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rPr>
          <w:highlight w:val="none"/>
        </w:rPr>
      </w:pPr>
    </w:p>
    <w:p>
      <w:pPr>
        <w:jc w:val="center"/>
        <w:rPr>
          <w:rFonts w:hAnsi="宋体"/>
          <w:spacing w:val="-20"/>
          <w:sz w:val="90"/>
          <w:szCs w:val="90"/>
          <w:highlight w:val="none"/>
        </w:rPr>
      </w:pPr>
      <w:r>
        <w:rPr>
          <w:rFonts w:hint="eastAsia" w:hAnsi="宋体"/>
          <w:spacing w:val="-20"/>
          <w:sz w:val="90"/>
          <w:szCs w:val="90"/>
          <w:highlight w:val="none"/>
        </w:rPr>
        <w:t>竞争性磋商文件</w:t>
      </w:r>
    </w:p>
    <w:p>
      <w:pPr>
        <w:rPr>
          <w:rFonts w:hAnsi="宋体"/>
          <w:spacing w:val="20"/>
          <w:highlight w:val="none"/>
        </w:rPr>
      </w:pPr>
    </w:p>
    <w:p>
      <w:pPr>
        <w:spacing w:line="360" w:lineRule="auto"/>
        <w:ind w:left="2501" w:hanging="2492" w:hangingChars="700"/>
        <w:rPr>
          <w:rFonts w:hAnsi="宋体" w:cs="宋体"/>
          <w:b/>
          <w:sz w:val="36"/>
          <w:szCs w:val="36"/>
          <w:highlight w:val="none"/>
          <w:lang w:val="zh-CN"/>
        </w:rPr>
      </w:pPr>
      <w:r>
        <w:rPr>
          <w:rFonts w:hint="eastAsia" w:hAnsi="宋体"/>
          <w:b/>
          <w:sz w:val="36"/>
          <w:szCs w:val="36"/>
          <w:highlight w:val="none"/>
          <w:lang w:val="zh-CN"/>
        </w:rPr>
        <w:t>采购项目名称：</w:t>
      </w:r>
      <w:r>
        <w:rPr>
          <w:rFonts w:hint="eastAsia" w:hAnsi="宋体" w:cs="宋体"/>
          <w:b/>
          <w:sz w:val="36"/>
          <w:szCs w:val="36"/>
          <w:highlight w:val="none"/>
        </w:rPr>
        <w:t>成都大熊猫繁育研究基地驻场运维服务采购项目</w:t>
      </w:r>
    </w:p>
    <w:p>
      <w:pPr>
        <w:spacing w:line="360" w:lineRule="auto"/>
        <w:rPr>
          <w:rFonts w:hAnsi="宋体"/>
          <w:b/>
          <w:sz w:val="36"/>
          <w:szCs w:val="36"/>
          <w:highlight w:val="none"/>
          <w:lang w:val="zh-CN"/>
        </w:rPr>
      </w:pPr>
      <w:r>
        <w:rPr>
          <w:rFonts w:hint="eastAsia" w:hAnsi="宋体"/>
          <w:b/>
          <w:sz w:val="36"/>
          <w:szCs w:val="36"/>
          <w:highlight w:val="none"/>
        </w:rPr>
        <w:t>采购</w:t>
      </w:r>
      <w:r>
        <w:rPr>
          <w:rFonts w:hint="eastAsia" w:hAnsi="宋体"/>
          <w:b/>
          <w:sz w:val="36"/>
          <w:szCs w:val="36"/>
          <w:highlight w:val="none"/>
          <w:lang w:val="zh-CN"/>
        </w:rPr>
        <w:t>项目编号：510101202100491</w:t>
      </w:r>
    </w:p>
    <w:p>
      <w:pPr>
        <w:spacing w:line="360" w:lineRule="auto"/>
        <w:rPr>
          <w:rFonts w:hAnsi="宋体"/>
          <w:highlight w:val="none"/>
        </w:rPr>
      </w:pPr>
    </w:p>
    <w:p>
      <w:pPr>
        <w:spacing w:line="360" w:lineRule="auto"/>
        <w:rPr>
          <w:rFonts w:hAnsi="宋体"/>
          <w:highlight w:val="none"/>
        </w:rPr>
      </w:pPr>
    </w:p>
    <w:p>
      <w:pPr>
        <w:spacing w:line="360" w:lineRule="auto"/>
        <w:jc w:val="center"/>
        <w:rPr>
          <w:rFonts w:hAnsi="宋体" w:cs="楷体"/>
          <w:highlight w:val="none"/>
        </w:rPr>
      </w:pPr>
      <w:r>
        <w:rPr>
          <w:rFonts w:hint="eastAsia" w:hAnsi="宋体" w:cs="楷体"/>
          <w:highlight w:val="none"/>
        </w:rPr>
        <w:t>中国·成都</w:t>
      </w:r>
    </w:p>
    <w:p>
      <w:pPr>
        <w:spacing w:line="360" w:lineRule="auto"/>
        <w:jc w:val="center"/>
        <w:rPr>
          <w:rFonts w:hAnsi="宋体"/>
          <w:highlight w:val="none"/>
          <w:lang w:val="zh-CN"/>
        </w:rPr>
      </w:pPr>
      <w:r>
        <w:rPr>
          <w:rFonts w:hint="eastAsia" w:hAnsi="宋体"/>
          <w:highlight w:val="none"/>
          <w:lang w:val="zh-CN"/>
        </w:rPr>
        <w:t>成都大熊猫繁育研究基地、</w:t>
      </w:r>
    </w:p>
    <w:p>
      <w:pPr>
        <w:spacing w:line="360" w:lineRule="auto"/>
        <w:jc w:val="center"/>
        <w:rPr>
          <w:rFonts w:hAnsi="宋体"/>
          <w:highlight w:val="none"/>
          <w:lang w:val="zh-CN"/>
        </w:rPr>
      </w:pPr>
      <w:r>
        <w:rPr>
          <w:rFonts w:hint="eastAsia" w:hAnsi="宋体"/>
          <w:highlight w:val="none"/>
          <w:lang w:val="zh-CN"/>
        </w:rPr>
        <w:t>四川正汇恒招标代理有限公司</w:t>
      </w:r>
    </w:p>
    <w:p>
      <w:pPr>
        <w:spacing w:line="360" w:lineRule="auto"/>
        <w:jc w:val="center"/>
        <w:rPr>
          <w:rFonts w:hAnsi="宋体"/>
          <w:highlight w:val="none"/>
        </w:rPr>
      </w:pPr>
      <w:r>
        <w:rPr>
          <w:rFonts w:hint="eastAsia" w:hAnsi="宋体"/>
          <w:highlight w:val="none"/>
          <w:lang w:val="zh-CN"/>
        </w:rPr>
        <w:t>共同编制</w:t>
      </w:r>
    </w:p>
    <w:p>
      <w:pPr>
        <w:spacing w:line="360" w:lineRule="auto"/>
        <w:jc w:val="center"/>
        <w:rPr>
          <w:rFonts w:hAnsi="宋体" w:cs="楷体"/>
          <w:highlight w:val="none"/>
        </w:rPr>
        <w:sectPr>
          <w:footerReference r:id="rId4" w:type="first"/>
          <w:headerReference r:id="rId3" w:type="default"/>
          <w:pgSz w:w="11907" w:h="16840"/>
          <w:pgMar w:top="2098" w:right="1531" w:bottom="1985" w:left="1531" w:header="709" w:footer="1418" w:gutter="0"/>
          <w:cols w:space="720" w:num="1"/>
          <w:docGrid w:type="linesAndChars" w:linePitch="579" w:charSpace="-842"/>
        </w:sectPr>
      </w:pPr>
      <w:r>
        <w:rPr>
          <w:rFonts w:hint="eastAsia" w:hAnsi="宋体" w:cs="楷体"/>
          <w:highlight w:val="none"/>
        </w:rPr>
        <w:t>二〇二一年五月</w:t>
      </w:r>
    </w:p>
    <w:p>
      <w:pPr>
        <w:jc w:val="center"/>
        <w:rPr>
          <w:rFonts w:hAnsi="宋体" w:cs="宋体"/>
          <w:b/>
          <w:bCs/>
          <w:sz w:val="44"/>
          <w:szCs w:val="44"/>
          <w:highlight w:val="none"/>
        </w:rPr>
      </w:pPr>
      <w:r>
        <w:rPr>
          <w:rFonts w:hint="eastAsia" w:hAnsi="宋体" w:cs="宋体"/>
          <w:b/>
          <w:bCs/>
          <w:sz w:val="44"/>
          <w:szCs w:val="44"/>
          <w:highlight w:val="none"/>
        </w:rPr>
        <w:t>目录</w:t>
      </w:r>
    </w:p>
    <w:p>
      <w:pPr>
        <w:pStyle w:val="20"/>
        <w:tabs>
          <w:tab w:val="right" w:leader="dot" w:pos="8845"/>
        </w:tabs>
        <w:rPr>
          <w:rFonts w:hAnsi="宋体" w:cs="宋体"/>
          <w:sz w:val="28"/>
          <w:szCs w:val="28"/>
          <w:highlight w:val="none"/>
        </w:rPr>
      </w:pPr>
      <w:r>
        <w:rPr>
          <w:rFonts w:hint="eastAsia" w:hAnsi="宋体" w:cs="宋体"/>
          <w:sz w:val="28"/>
          <w:szCs w:val="28"/>
          <w:highlight w:val="none"/>
        </w:rPr>
        <w:fldChar w:fldCharType="begin"/>
      </w:r>
      <w:r>
        <w:rPr>
          <w:rFonts w:hint="eastAsia" w:hAnsi="宋体" w:cs="宋体"/>
          <w:sz w:val="28"/>
          <w:szCs w:val="28"/>
          <w:highlight w:val="none"/>
        </w:rPr>
        <w:instrText xml:space="preserve">TOC \o "1-1" \h \u </w:instrText>
      </w:r>
      <w:r>
        <w:rPr>
          <w:rFonts w:hint="eastAsia" w:hAnsi="宋体" w:cs="宋体"/>
          <w:sz w:val="28"/>
          <w:szCs w:val="28"/>
          <w:highlight w:val="none"/>
        </w:rPr>
        <w:fldChar w:fldCharType="separate"/>
      </w:r>
    </w:p>
    <w:p>
      <w:pPr>
        <w:pStyle w:val="20"/>
        <w:tabs>
          <w:tab w:val="right" w:leader="dot" w:pos="8845"/>
        </w:tabs>
        <w:rPr>
          <w:rFonts w:hAnsi="宋体" w:cs="宋体"/>
          <w:sz w:val="28"/>
          <w:szCs w:val="28"/>
          <w:highlight w:val="none"/>
        </w:rPr>
      </w:pPr>
      <w:r>
        <w:rPr>
          <w:highlight w:val="none"/>
        </w:rPr>
        <w:fldChar w:fldCharType="begin"/>
      </w:r>
      <w:r>
        <w:rPr>
          <w:highlight w:val="none"/>
        </w:rPr>
        <w:instrText xml:space="preserve"> HYPERLINK \l "_Toc21488" </w:instrText>
      </w:r>
      <w:r>
        <w:rPr>
          <w:highlight w:val="none"/>
        </w:rPr>
        <w:fldChar w:fldCharType="separate"/>
      </w:r>
      <w:r>
        <w:rPr>
          <w:rFonts w:hint="eastAsia" w:hAnsi="宋体" w:cs="宋体"/>
          <w:sz w:val="28"/>
          <w:szCs w:val="28"/>
          <w:highlight w:val="none"/>
        </w:rPr>
        <w:t>第一章  竞争性磋商邀请</w:t>
      </w:r>
      <w:r>
        <w:rPr>
          <w:rFonts w:hint="eastAsia" w:hAnsi="宋体" w:cs="宋体"/>
          <w:sz w:val="28"/>
          <w:szCs w:val="28"/>
          <w:highlight w:val="none"/>
        </w:rPr>
        <w:tab/>
      </w:r>
      <w:r>
        <w:rPr>
          <w:rFonts w:hint="eastAsia" w:hAnsi="宋体" w:cs="宋体"/>
          <w:sz w:val="28"/>
          <w:szCs w:val="28"/>
          <w:highlight w:val="none"/>
        </w:rPr>
        <w:fldChar w:fldCharType="begin"/>
      </w:r>
      <w:r>
        <w:rPr>
          <w:rFonts w:hint="eastAsia" w:hAnsi="宋体" w:cs="宋体"/>
          <w:sz w:val="28"/>
          <w:szCs w:val="28"/>
          <w:highlight w:val="none"/>
        </w:rPr>
        <w:instrText xml:space="preserve"> PAGEREF _Toc21488 \h </w:instrText>
      </w:r>
      <w:r>
        <w:rPr>
          <w:rFonts w:hint="eastAsia" w:hAnsi="宋体" w:cs="宋体"/>
          <w:sz w:val="28"/>
          <w:szCs w:val="28"/>
          <w:highlight w:val="none"/>
        </w:rPr>
        <w:fldChar w:fldCharType="separate"/>
      </w:r>
      <w:r>
        <w:rPr>
          <w:rFonts w:hint="eastAsia" w:hAnsi="宋体" w:cs="宋体"/>
          <w:sz w:val="28"/>
          <w:szCs w:val="28"/>
          <w:highlight w:val="none"/>
        </w:rPr>
        <w:t>1</w:t>
      </w:r>
      <w:r>
        <w:rPr>
          <w:rFonts w:hint="eastAsia" w:hAnsi="宋体" w:cs="宋体"/>
          <w:sz w:val="28"/>
          <w:szCs w:val="28"/>
          <w:highlight w:val="none"/>
        </w:rPr>
        <w:fldChar w:fldCharType="end"/>
      </w:r>
      <w:r>
        <w:rPr>
          <w:rFonts w:hint="eastAsia" w:hAnsi="宋体" w:cs="宋体"/>
          <w:sz w:val="28"/>
          <w:szCs w:val="28"/>
          <w:highlight w:val="none"/>
        </w:rPr>
        <w:fldChar w:fldCharType="end"/>
      </w:r>
    </w:p>
    <w:p>
      <w:pPr>
        <w:pStyle w:val="20"/>
        <w:tabs>
          <w:tab w:val="right" w:leader="dot" w:pos="8845"/>
        </w:tabs>
        <w:rPr>
          <w:rFonts w:hAnsi="宋体" w:cs="宋体"/>
          <w:sz w:val="28"/>
          <w:szCs w:val="28"/>
          <w:highlight w:val="none"/>
        </w:rPr>
      </w:pPr>
      <w:r>
        <w:rPr>
          <w:highlight w:val="none"/>
        </w:rPr>
        <w:fldChar w:fldCharType="begin"/>
      </w:r>
      <w:r>
        <w:rPr>
          <w:highlight w:val="none"/>
        </w:rPr>
        <w:instrText xml:space="preserve"> HYPERLINK \l "_Toc9912" </w:instrText>
      </w:r>
      <w:r>
        <w:rPr>
          <w:highlight w:val="none"/>
        </w:rPr>
        <w:fldChar w:fldCharType="separate"/>
      </w:r>
      <w:r>
        <w:rPr>
          <w:rFonts w:hint="eastAsia" w:hAnsi="宋体" w:cs="宋体"/>
          <w:sz w:val="28"/>
          <w:szCs w:val="28"/>
          <w:highlight w:val="none"/>
        </w:rPr>
        <w:t>第二章  供应商须知</w:t>
      </w:r>
      <w:r>
        <w:rPr>
          <w:rFonts w:hint="eastAsia" w:hAnsi="宋体" w:cs="宋体"/>
          <w:sz w:val="28"/>
          <w:szCs w:val="28"/>
          <w:highlight w:val="none"/>
        </w:rPr>
        <w:tab/>
      </w:r>
      <w:r>
        <w:rPr>
          <w:rFonts w:hint="eastAsia" w:hAnsi="宋体" w:cs="宋体"/>
          <w:sz w:val="28"/>
          <w:szCs w:val="28"/>
          <w:highlight w:val="none"/>
        </w:rPr>
        <w:fldChar w:fldCharType="begin"/>
      </w:r>
      <w:r>
        <w:rPr>
          <w:rFonts w:hint="eastAsia" w:hAnsi="宋体" w:cs="宋体"/>
          <w:sz w:val="28"/>
          <w:szCs w:val="28"/>
          <w:highlight w:val="none"/>
        </w:rPr>
        <w:instrText xml:space="preserve"> PAGEREF _Toc9912 \h </w:instrText>
      </w:r>
      <w:r>
        <w:rPr>
          <w:rFonts w:hint="eastAsia" w:hAnsi="宋体" w:cs="宋体"/>
          <w:sz w:val="28"/>
          <w:szCs w:val="28"/>
          <w:highlight w:val="none"/>
        </w:rPr>
        <w:fldChar w:fldCharType="separate"/>
      </w:r>
      <w:r>
        <w:rPr>
          <w:rFonts w:hint="eastAsia" w:hAnsi="宋体" w:cs="宋体"/>
          <w:sz w:val="28"/>
          <w:szCs w:val="28"/>
          <w:highlight w:val="none"/>
        </w:rPr>
        <w:t>4</w:t>
      </w:r>
      <w:r>
        <w:rPr>
          <w:rFonts w:hint="eastAsia" w:hAnsi="宋体" w:cs="宋体"/>
          <w:sz w:val="28"/>
          <w:szCs w:val="28"/>
          <w:highlight w:val="none"/>
        </w:rPr>
        <w:fldChar w:fldCharType="end"/>
      </w:r>
      <w:r>
        <w:rPr>
          <w:rFonts w:hint="eastAsia" w:hAnsi="宋体" w:cs="宋体"/>
          <w:sz w:val="28"/>
          <w:szCs w:val="28"/>
          <w:highlight w:val="none"/>
        </w:rPr>
        <w:fldChar w:fldCharType="end"/>
      </w:r>
    </w:p>
    <w:p>
      <w:pPr>
        <w:pStyle w:val="20"/>
        <w:tabs>
          <w:tab w:val="right" w:leader="dot" w:pos="8845"/>
        </w:tabs>
        <w:rPr>
          <w:rFonts w:hAnsi="宋体" w:cs="宋体"/>
          <w:sz w:val="28"/>
          <w:szCs w:val="28"/>
          <w:highlight w:val="none"/>
        </w:rPr>
      </w:pPr>
      <w:r>
        <w:rPr>
          <w:highlight w:val="none"/>
        </w:rPr>
        <w:fldChar w:fldCharType="begin"/>
      </w:r>
      <w:r>
        <w:rPr>
          <w:highlight w:val="none"/>
        </w:rPr>
        <w:instrText xml:space="preserve"> HYPERLINK \l "_Toc28915" </w:instrText>
      </w:r>
      <w:r>
        <w:rPr>
          <w:highlight w:val="none"/>
        </w:rPr>
        <w:fldChar w:fldCharType="separate"/>
      </w:r>
      <w:r>
        <w:rPr>
          <w:rFonts w:hint="eastAsia" w:hAnsi="宋体" w:cs="宋体"/>
          <w:sz w:val="28"/>
          <w:szCs w:val="28"/>
          <w:highlight w:val="none"/>
        </w:rPr>
        <w:t>第三章 磋商办法</w:t>
      </w:r>
      <w:r>
        <w:rPr>
          <w:rFonts w:hint="eastAsia" w:hAnsi="宋体" w:cs="宋体"/>
          <w:sz w:val="28"/>
          <w:szCs w:val="28"/>
          <w:highlight w:val="none"/>
        </w:rPr>
        <w:tab/>
      </w:r>
      <w:r>
        <w:rPr>
          <w:rFonts w:hint="eastAsia" w:hAnsi="宋体" w:cs="宋体"/>
          <w:sz w:val="28"/>
          <w:szCs w:val="28"/>
          <w:highlight w:val="none"/>
        </w:rPr>
        <w:fldChar w:fldCharType="begin"/>
      </w:r>
      <w:r>
        <w:rPr>
          <w:rFonts w:hint="eastAsia" w:hAnsi="宋体" w:cs="宋体"/>
          <w:sz w:val="28"/>
          <w:szCs w:val="28"/>
          <w:highlight w:val="none"/>
        </w:rPr>
        <w:instrText xml:space="preserve"> PAGEREF _Toc28915 \h </w:instrText>
      </w:r>
      <w:r>
        <w:rPr>
          <w:rFonts w:hint="eastAsia" w:hAnsi="宋体" w:cs="宋体"/>
          <w:sz w:val="28"/>
          <w:szCs w:val="28"/>
          <w:highlight w:val="none"/>
        </w:rPr>
        <w:fldChar w:fldCharType="separate"/>
      </w:r>
      <w:r>
        <w:rPr>
          <w:rFonts w:hint="eastAsia" w:hAnsi="宋体" w:cs="宋体"/>
          <w:sz w:val="28"/>
          <w:szCs w:val="28"/>
          <w:highlight w:val="none"/>
        </w:rPr>
        <w:t>20</w:t>
      </w:r>
      <w:r>
        <w:rPr>
          <w:rFonts w:hint="eastAsia" w:hAnsi="宋体" w:cs="宋体"/>
          <w:sz w:val="28"/>
          <w:szCs w:val="28"/>
          <w:highlight w:val="none"/>
        </w:rPr>
        <w:fldChar w:fldCharType="end"/>
      </w:r>
      <w:r>
        <w:rPr>
          <w:rFonts w:hint="eastAsia" w:hAnsi="宋体" w:cs="宋体"/>
          <w:sz w:val="28"/>
          <w:szCs w:val="28"/>
          <w:highlight w:val="none"/>
        </w:rPr>
        <w:fldChar w:fldCharType="end"/>
      </w:r>
    </w:p>
    <w:p>
      <w:pPr>
        <w:pStyle w:val="20"/>
        <w:tabs>
          <w:tab w:val="right" w:leader="dot" w:pos="8845"/>
        </w:tabs>
        <w:rPr>
          <w:rFonts w:hAnsi="宋体" w:cs="宋体"/>
          <w:sz w:val="28"/>
          <w:szCs w:val="28"/>
          <w:highlight w:val="none"/>
        </w:rPr>
      </w:pPr>
      <w:r>
        <w:rPr>
          <w:highlight w:val="none"/>
        </w:rPr>
        <w:fldChar w:fldCharType="begin"/>
      </w:r>
      <w:r>
        <w:rPr>
          <w:highlight w:val="none"/>
        </w:rPr>
        <w:instrText xml:space="preserve"> HYPERLINK \l "_Toc6800" </w:instrText>
      </w:r>
      <w:r>
        <w:rPr>
          <w:highlight w:val="none"/>
        </w:rPr>
        <w:fldChar w:fldCharType="separate"/>
      </w:r>
      <w:r>
        <w:rPr>
          <w:rFonts w:hint="eastAsia" w:hAnsi="宋体" w:cs="宋体"/>
          <w:sz w:val="28"/>
          <w:szCs w:val="28"/>
          <w:highlight w:val="none"/>
        </w:rPr>
        <w:t xml:space="preserve">第四章 </w:t>
      </w:r>
      <w:r>
        <w:rPr>
          <w:rFonts w:hint="eastAsia" w:hAnsi="宋体" w:cs="宋体"/>
          <w:bCs/>
          <w:sz w:val="28"/>
          <w:szCs w:val="28"/>
          <w:highlight w:val="none"/>
        </w:rPr>
        <w:t>项目技术、服务、政府采购合同内容条款及其他商务要求</w:t>
      </w:r>
      <w:r>
        <w:rPr>
          <w:rFonts w:hint="eastAsia" w:hAnsi="宋体" w:cs="宋体"/>
          <w:sz w:val="28"/>
          <w:szCs w:val="28"/>
          <w:highlight w:val="none"/>
        </w:rPr>
        <w:tab/>
      </w:r>
      <w:r>
        <w:rPr>
          <w:rFonts w:hint="eastAsia" w:hAnsi="宋体" w:cs="宋体"/>
          <w:sz w:val="28"/>
          <w:szCs w:val="28"/>
          <w:highlight w:val="none"/>
        </w:rPr>
        <w:fldChar w:fldCharType="begin"/>
      </w:r>
      <w:r>
        <w:rPr>
          <w:rFonts w:hint="eastAsia" w:hAnsi="宋体" w:cs="宋体"/>
          <w:sz w:val="28"/>
          <w:szCs w:val="28"/>
          <w:highlight w:val="none"/>
        </w:rPr>
        <w:instrText xml:space="preserve"> PAGEREF _Toc6800 \h </w:instrText>
      </w:r>
      <w:r>
        <w:rPr>
          <w:rFonts w:hint="eastAsia" w:hAnsi="宋体" w:cs="宋体"/>
          <w:sz w:val="28"/>
          <w:szCs w:val="28"/>
          <w:highlight w:val="none"/>
        </w:rPr>
        <w:fldChar w:fldCharType="separate"/>
      </w:r>
      <w:r>
        <w:rPr>
          <w:rFonts w:hint="eastAsia" w:hAnsi="宋体" w:cs="宋体"/>
          <w:sz w:val="28"/>
          <w:szCs w:val="28"/>
          <w:highlight w:val="none"/>
        </w:rPr>
        <w:t>40</w:t>
      </w:r>
      <w:r>
        <w:rPr>
          <w:rFonts w:hint="eastAsia" w:hAnsi="宋体" w:cs="宋体"/>
          <w:sz w:val="28"/>
          <w:szCs w:val="28"/>
          <w:highlight w:val="none"/>
        </w:rPr>
        <w:fldChar w:fldCharType="end"/>
      </w:r>
      <w:r>
        <w:rPr>
          <w:rFonts w:hint="eastAsia" w:hAnsi="宋体" w:cs="宋体"/>
          <w:sz w:val="28"/>
          <w:szCs w:val="28"/>
          <w:highlight w:val="none"/>
        </w:rPr>
        <w:fldChar w:fldCharType="end"/>
      </w:r>
    </w:p>
    <w:p>
      <w:pPr>
        <w:pStyle w:val="20"/>
        <w:tabs>
          <w:tab w:val="right" w:leader="dot" w:pos="8845"/>
        </w:tabs>
        <w:rPr>
          <w:rFonts w:hAnsi="宋体" w:cs="宋体"/>
          <w:sz w:val="28"/>
          <w:szCs w:val="28"/>
          <w:highlight w:val="none"/>
        </w:rPr>
      </w:pPr>
      <w:r>
        <w:rPr>
          <w:highlight w:val="none"/>
        </w:rPr>
        <w:fldChar w:fldCharType="begin"/>
      </w:r>
      <w:r>
        <w:rPr>
          <w:highlight w:val="none"/>
        </w:rPr>
        <w:instrText xml:space="preserve"> HYPERLINK \l "_Toc20700" </w:instrText>
      </w:r>
      <w:r>
        <w:rPr>
          <w:highlight w:val="none"/>
        </w:rPr>
        <w:fldChar w:fldCharType="separate"/>
      </w:r>
      <w:r>
        <w:rPr>
          <w:rFonts w:hint="eastAsia" w:hAnsi="宋体" w:cs="宋体"/>
          <w:sz w:val="28"/>
          <w:szCs w:val="28"/>
          <w:highlight w:val="none"/>
        </w:rPr>
        <w:t>第五章 响应文件格式</w:t>
      </w:r>
      <w:r>
        <w:rPr>
          <w:rFonts w:hint="eastAsia" w:hAnsi="宋体" w:cs="宋体"/>
          <w:sz w:val="28"/>
          <w:szCs w:val="28"/>
          <w:highlight w:val="none"/>
        </w:rPr>
        <w:tab/>
      </w:r>
      <w:r>
        <w:rPr>
          <w:rFonts w:hint="eastAsia" w:hAnsi="宋体" w:cs="宋体"/>
          <w:sz w:val="28"/>
          <w:szCs w:val="28"/>
          <w:highlight w:val="none"/>
        </w:rPr>
        <w:fldChar w:fldCharType="begin"/>
      </w:r>
      <w:r>
        <w:rPr>
          <w:rFonts w:hint="eastAsia" w:hAnsi="宋体" w:cs="宋体"/>
          <w:sz w:val="28"/>
          <w:szCs w:val="28"/>
          <w:highlight w:val="none"/>
        </w:rPr>
        <w:instrText xml:space="preserve"> PAGEREF _Toc20700 \h </w:instrText>
      </w:r>
      <w:r>
        <w:rPr>
          <w:rFonts w:hint="eastAsia" w:hAnsi="宋体" w:cs="宋体"/>
          <w:sz w:val="28"/>
          <w:szCs w:val="28"/>
          <w:highlight w:val="none"/>
        </w:rPr>
        <w:fldChar w:fldCharType="separate"/>
      </w:r>
      <w:r>
        <w:rPr>
          <w:rFonts w:hint="eastAsia" w:hAnsi="宋体" w:cs="宋体"/>
          <w:sz w:val="28"/>
          <w:szCs w:val="28"/>
          <w:highlight w:val="none"/>
        </w:rPr>
        <w:t>48</w:t>
      </w:r>
      <w:r>
        <w:rPr>
          <w:rFonts w:hint="eastAsia" w:hAnsi="宋体" w:cs="宋体"/>
          <w:sz w:val="28"/>
          <w:szCs w:val="28"/>
          <w:highlight w:val="none"/>
        </w:rPr>
        <w:fldChar w:fldCharType="end"/>
      </w:r>
      <w:r>
        <w:rPr>
          <w:rFonts w:hint="eastAsia" w:hAnsi="宋体" w:cs="宋体"/>
          <w:sz w:val="28"/>
          <w:szCs w:val="28"/>
          <w:highlight w:val="none"/>
        </w:rPr>
        <w:fldChar w:fldCharType="end"/>
      </w:r>
    </w:p>
    <w:p>
      <w:pPr>
        <w:pStyle w:val="20"/>
        <w:tabs>
          <w:tab w:val="right" w:leader="dot" w:pos="8845"/>
        </w:tabs>
        <w:rPr>
          <w:rFonts w:hAnsi="宋体" w:cs="宋体"/>
          <w:sz w:val="28"/>
          <w:szCs w:val="28"/>
          <w:highlight w:val="none"/>
        </w:rPr>
      </w:pPr>
      <w:r>
        <w:rPr>
          <w:highlight w:val="none"/>
        </w:rPr>
        <w:fldChar w:fldCharType="begin"/>
      </w:r>
      <w:r>
        <w:rPr>
          <w:highlight w:val="none"/>
        </w:rPr>
        <w:instrText xml:space="preserve"> HYPERLINK \l "_Toc5264" </w:instrText>
      </w:r>
      <w:r>
        <w:rPr>
          <w:highlight w:val="none"/>
        </w:rPr>
        <w:fldChar w:fldCharType="separate"/>
      </w:r>
      <w:r>
        <w:rPr>
          <w:rFonts w:hint="eastAsia" w:hAnsi="宋体" w:cs="宋体"/>
          <w:sz w:val="28"/>
          <w:szCs w:val="28"/>
          <w:highlight w:val="none"/>
        </w:rPr>
        <w:t>第六章 拟签订合同主要条款(草案)</w:t>
      </w:r>
      <w:r>
        <w:rPr>
          <w:rFonts w:hint="eastAsia" w:hAnsi="宋体" w:cs="宋体"/>
          <w:sz w:val="28"/>
          <w:szCs w:val="28"/>
          <w:highlight w:val="none"/>
        </w:rPr>
        <w:tab/>
      </w:r>
      <w:r>
        <w:rPr>
          <w:rFonts w:hint="eastAsia" w:hAnsi="宋体" w:cs="宋体"/>
          <w:sz w:val="28"/>
          <w:szCs w:val="28"/>
          <w:highlight w:val="none"/>
        </w:rPr>
        <w:fldChar w:fldCharType="begin"/>
      </w:r>
      <w:r>
        <w:rPr>
          <w:rFonts w:hint="eastAsia" w:hAnsi="宋体" w:cs="宋体"/>
          <w:sz w:val="28"/>
          <w:szCs w:val="28"/>
          <w:highlight w:val="none"/>
        </w:rPr>
        <w:instrText xml:space="preserve"> PAGEREF _Toc5264 \h </w:instrText>
      </w:r>
      <w:r>
        <w:rPr>
          <w:rFonts w:hint="eastAsia" w:hAnsi="宋体" w:cs="宋体"/>
          <w:sz w:val="28"/>
          <w:szCs w:val="28"/>
          <w:highlight w:val="none"/>
        </w:rPr>
        <w:fldChar w:fldCharType="separate"/>
      </w:r>
      <w:r>
        <w:rPr>
          <w:rFonts w:hint="eastAsia" w:hAnsi="宋体" w:cs="宋体"/>
          <w:sz w:val="28"/>
          <w:szCs w:val="28"/>
          <w:highlight w:val="none"/>
        </w:rPr>
        <w:t>68</w:t>
      </w:r>
      <w:r>
        <w:rPr>
          <w:rFonts w:hint="eastAsia" w:hAnsi="宋体" w:cs="宋体"/>
          <w:sz w:val="28"/>
          <w:szCs w:val="28"/>
          <w:highlight w:val="none"/>
        </w:rPr>
        <w:fldChar w:fldCharType="end"/>
      </w:r>
      <w:r>
        <w:rPr>
          <w:rFonts w:hint="eastAsia" w:hAnsi="宋体" w:cs="宋体"/>
          <w:sz w:val="28"/>
          <w:szCs w:val="28"/>
          <w:highlight w:val="none"/>
        </w:rPr>
        <w:fldChar w:fldCharType="end"/>
      </w:r>
    </w:p>
    <w:p>
      <w:pPr>
        <w:pStyle w:val="63"/>
        <w:tabs>
          <w:tab w:val="right" w:leader="dot" w:pos="8845"/>
        </w:tabs>
        <w:spacing w:line="560" w:lineRule="exact"/>
        <w:rPr>
          <w:rFonts w:ascii="黑体" w:hAnsi="黑体" w:eastAsia="黑体" w:cs="黑体"/>
          <w:sz w:val="22"/>
          <w:szCs w:val="22"/>
          <w:highlight w:val="none"/>
        </w:rPr>
      </w:pPr>
      <w:r>
        <w:rPr>
          <w:rFonts w:hint="eastAsia" w:ascii="宋体" w:hAnsi="宋体" w:cs="宋体"/>
          <w:sz w:val="28"/>
          <w:szCs w:val="28"/>
          <w:highlight w:val="none"/>
        </w:rPr>
        <w:fldChar w:fldCharType="end"/>
      </w:r>
    </w:p>
    <w:p>
      <w:pPr>
        <w:spacing w:line="460" w:lineRule="exact"/>
        <w:rPr>
          <w:rFonts w:ascii="Times New Roman"/>
          <w:highlight w:val="none"/>
        </w:rPr>
      </w:pPr>
    </w:p>
    <w:p>
      <w:pPr>
        <w:pStyle w:val="23"/>
        <w:outlineLvl w:val="9"/>
        <w:rPr>
          <w:highlight w:val="none"/>
        </w:rPr>
        <w:sectPr>
          <w:headerReference r:id="rId5" w:type="default"/>
          <w:footerReference r:id="rId6" w:type="default"/>
          <w:pgSz w:w="11907" w:h="16840"/>
          <w:pgMar w:top="2098" w:right="1531" w:bottom="1985" w:left="1531" w:header="709" w:footer="1418" w:gutter="0"/>
          <w:cols w:space="720" w:num="1"/>
          <w:docGrid w:type="linesAndChars" w:linePitch="579" w:charSpace="-842"/>
        </w:sectPr>
      </w:pPr>
      <w:bookmarkStart w:id="0" w:name="_Toc12990"/>
    </w:p>
    <w:p>
      <w:pPr>
        <w:jc w:val="center"/>
        <w:outlineLvl w:val="0"/>
        <w:rPr>
          <w:rFonts w:ascii="仿宋" w:hAnsi="仿宋" w:eastAsia="仿宋" w:cs="仿宋"/>
          <w:spacing w:val="8"/>
          <w:sz w:val="36"/>
          <w:szCs w:val="36"/>
          <w:highlight w:val="none"/>
          <w:shd w:val="clear" w:color="auto" w:fill="FFFFFF"/>
        </w:rPr>
      </w:pPr>
      <w:bookmarkStart w:id="1" w:name="_Toc19092"/>
      <w:bookmarkStart w:id="2" w:name="_Toc27179"/>
      <w:r>
        <w:rPr>
          <w:rFonts w:hint="eastAsia" w:ascii="仿宋" w:hAnsi="仿宋" w:eastAsia="仿宋" w:cs="仿宋"/>
          <w:b/>
          <w:sz w:val="36"/>
          <w:szCs w:val="36"/>
          <w:highlight w:val="none"/>
          <w:shd w:val="clear" w:color="auto" w:fill="FFFFFF"/>
        </w:rPr>
        <w:t>信用融资</w:t>
      </w:r>
      <w:bookmarkEnd w:id="1"/>
      <w:bookmarkEnd w:id="2"/>
    </w:p>
    <w:p>
      <w:pPr>
        <w:ind w:firstLine="504" w:firstLineChars="200"/>
        <w:rPr>
          <w:rFonts w:ascii="仿宋" w:hAnsi="仿宋" w:eastAsia="仿宋" w:cs="仿宋"/>
          <w:spacing w:val="8"/>
          <w:sz w:val="24"/>
          <w:szCs w:val="24"/>
          <w:highlight w:val="none"/>
          <w:shd w:val="clear" w:color="auto" w:fill="FFFFFF"/>
        </w:rPr>
      </w:pPr>
      <w:r>
        <w:rPr>
          <w:rFonts w:hint="eastAsia" w:ascii="仿宋" w:hAnsi="仿宋" w:eastAsia="仿宋" w:cs="仿宋"/>
          <w:spacing w:val="8"/>
          <w:sz w:val="24"/>
          <w:szCs w:val="24"/>
          <w:highlight w:val="none"/>
          <w:shd w:val="clear" w:color="auto" w:fill="FFFFFF"/>
        </w:rPr>
        <w:t>为持续深入贯彻落实中央、省、市关于支持民营经济健康发展有关精神，落实《四川省财政厅关于推进四川省政府采购供应商信用融资工作的通知》(川财采〔2018〕123号)、《成都市中小企业政府采购信用融资暂行办法》和《成都市级支持中小企业政府采购信用融资实施方案》等政策措施（详见采购文件附件）。本项目为支持执行政府采购信用融资项目。本次采购活动的中小企业供应商如中标或成交，可无需提供财产抵押或第三方担保，凭借政府采购合同向融资机构申请融资，融资机构根据其授信政策为供应商提供信用融资。现已有多家银行确定为政府采购信用融资业务银行，现将部分银行名单公布如下：</w:t>
      </w:r>
    </w:p>
    <w:p>
      <w:pPr>
        <w:jc w:val="center"/>
        <w:rPr>
          <w:rFonts w:ascii="仿宋" w:hAnsi="仿宋" w:eastAsia="仿宋" w:cs="仿宋"/>
          <w:spacing w:val="8"/>
          <w:sz w:val="24"/>
          <w:szCs w:val="24"/>
          <w:highlight w:val="none"/>
          <w:shd w:val="clear" w:color="auto" w:fill="FFFFFF"/>
        </w:rPr>
      </w:pPr>
      <w:r>
        <w:rPr>
          <w:rFonts w:hint="eastAsia" w:ascii="仿宋" w:hAnsi="仿宋" w:eastAsia="仿宋" w:cs="仿宋"/>
          <w:highlight w:val="none"/>
        </w:rPr>
        <w:drawing>
          <wp:inline distT="0" distB="0" distL="114300" distR="114300">
            <wp:extent cx="5266690" cy="3255645"/>
            <wp:effectExtent l="0" t="0" r="10160" b="190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10"/>
                    <a:stretch>
                      <a:fillRect/>
                    </a:stretch>
                  </pic:blipFill>
                  <pic:spPr>
                    <a:xfrm>
                      <a:off x="0" y="0"/>
                      <a:ext cx="5266690" cy="3255645"/>
                    </a:xfrm>
                    <a:prstGeom prst="rect">
                      <a:avLst/>
                    </a:prstGeom>
                    <a:noFill/>
                    <a:ln>
                      <a:noFill/>
                    </a:ln>
                  </pic:spPr>
                </pic:pic>
              </a:graphicData>
            </a:graphic>
          </wp:inline>
        </w:drawing>
      </w:r>
    </w:p>
    <w:p>
      <w:pPr>
        <w:pStyle w:val="22"/>
        <w:spacing w:before="300" w:beforeAutospacing="0" w:after="0" w:afterAutospacing="0"/>
        <w:ind w:firstLine="504" w:firstLineChars="200"/>
        <w:jc w:val="both"/>
        <w:rPr>
          <w:rFonts w:ascii="仿宋" w:hAnsi="仿宋" w:eastAsia="仿宋" w:cs="仿宋"/>
          <w:spacing w:val="8"/>
          <w:kern w:val="2"/>
          <w:sz w:val="24"/>
          <w:szCs w:val="24"/>
          <w:highlight w:val="none"/>
          <w:shd w:val="clear" w:color="auto" w:fill="FFFFFF"/>
        </w:rPr>
      </w:pPr>
      <w:r>
        <w:rPr>
          <w:rFonts w:hint="eastAsia" w:ascii="仿宋" w:hAnsi="仿宋" w:eastAsia="仿宋" w:cs="仿宋"/>
          <w:spacing w:val="8"/>
          <w:kern w:val="2"/>
          <w:sz w:val="24"/>
          <w:szCs w:val="24"/>
          <w:highlight w:val="none"/>
          <w:shd w:val="clear" w:color="auto" w:fill="FFFFFF"/>
        </w:rPr>
        <w:t>详见本采购文件附件！</w:t>
      </w:r>
    </w:p>
    <w:p>
      <w:pPr>
        <w:pStyle w:val="22"/>
        <w:spacing w:before="300" w:beforeAutospacing="0" w:after="0" w:afterAutospacing="0"/>
        <w:ind w:firstLine="504" w:firstLineChars="200"/>
        <w:jc w:val="both"/>
        <w:rPr>
          <w:rFonts w:ascii="仿宋" w:hAnsi="仿宋" w:eastAsia="仿宋" w:cs="仿宋"/>
          <w:spacing w:val="8"/>
          <w:kern w:val="2"/>
          <w:sz w:val="24"/>
          <w:szCs w:val="24"/>
          <w:highlight w:val="none"/>
          <w:shd w:val="clear" w:color="auto" w:fill="FFFFFF"/>
        </w:rPr>
      </w:pPr>
      <w:r>
        <w:rPr>
          <w:rFonts w:hint="eastAsia" w:ascii="仿宋" w:hAnsi="仿宋" w:eastAsia="仿宋" w:cs="仿宋"/>
          <w:spacing w:val="8"/>
          <w:kern w:val="2"/>
          <w:sz w:val="24"/>
          <w:szCs w:val="24"/>
          <w:highlight w:val="none"/>
          <w:shd w:val="clear" w:color="auto" w:fill="FFFFFF"/>
        </w:rPr>
        <w:t xml:space="preserve">详情请向代理机构咨询，联系电话028-67171868。       </w:t>
      </w:r>
    </w:p>
    <w:p>
      <w:pPr>
        <w:spacing w:line="460" w:lineRule="exact"/>
        <w:rPr>
          <w:rFonts w:ascii="仿宋" w:hAnsi="仿宋" w:eastAsia="仿宋" w:cs="仿宋"/>
          <w:sz w:val="24"/>
          <w:highlight w:val="none"/>
        </w:rPr>
      </w:pPr>
    </w:p>
    <w:p>
      <w:pPr>
        <w:spacing w:line="480" w:lineRule="exact"/>
        <w:jc w:val="center"/>
        <w:rPr>
          <w:rFonts w:ascii="仿宋" w:hAnsi="仿宋" w:eastAsia="仿宋" w:cs="仿宋"/>
          <w:b/>
          <w:sz w:val="36"/>
          <w:szCs w:val="36"/>
          <w:highlight w:val="none"/>
        </w:rPr>
      </w:pPr>
    </w:p>
    <w:p>
      <w:pPr>
        <w:spacing w:line="480" w:lineRule="exact"/>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br w:type="page"/>
      </w:r>
      <w:bookmarkStart w:id="3" w:name="_Toc7303"/>
      <w:bookmarkStart w:id="4" w:name="_Toc24515"/>
      <w:r>
        <w:rPr>
          <w:rFonts w:hint="eastAsia" w:ascii="仿宋" w:hAnsi="仿宋" w:eastAsia="仿宋" w:cs="仿宋"/>
          <w:b/>
          <w:sz w:val="36"/>
          <w:szCs w:val="36"/>
          <w:highlight w:val="none"/>
        </w:rPr>
        <w:t>政府采购廉政宣言</w:t>
      </w:r>
      <w:bookmarkEnd w:id="3"/>
      <w:bookmarkEnd w:id="4"/>
    </w:p>
    <w:p>
      <w:pPr>
        <w:spacing w:line="480" w:lineRule="exact"/>
        <w:jc w:val="center"/>
        <w:rPr>
          <w:rFonts w:ascii="仿宋" w:hAnsi="仿宋" w:eastAsia="仿宋" w:cs="仿宋"/>
          <w:b/>
          <w:sz w:val="24"/>
          <w:szCs w:val="24"/>
          <w:highlight w:val="none"/>
        </w:rPr>
      </w:pP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四川正汇恒坚持“热情服务、规范管理、诚实信用、依法采购”的服务宗旨，遵循“诚信、专业、规范、创新”的经营理念，践行新 时代特色社会主义核心价值观，诚信于服务对象、诚信于员工、诚信于社会。</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坚决以维护国家利益和社会公共利益为核心，恪守职业道德，勤勉尽责，悉心维护采购人和供应商的合法权益。以自身的廉洁作为形成表率和带动作用，营造政府采购公平竞争市场环境，以实际行动感恩回馈社会。</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四川正汇恒全体员工恪守《四川正汇恒招标代理有限公司廉政管理制度》，遵纪守法、严格自律、廉洁从业，倡导遵守以下廉洁行为规范：</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1.不得接收或索取与本企业有业务关系的企业或个人提供的任何利益或利益输送；</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2.不得利用公司的资源、业务渠道、项目秘密等为本人或他人从事牟利活动和利益输送；</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3.不得利用行贿、欺骗、弄虚作假等不正当手段承接招标代理业务；</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4.不得与任何第三方串通进行虚假招标、陪标、围标、串标等活动；</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5.不得与供应商、评审专家或其他有利益关系的第三方恶意串通，非法干预评审活动；</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6.不得以任何形式向供应商等泄露采购项目的秘密；</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7.不向供应商索要或接受回扣、礼金、有价证券、贵重物品及其他任何有可能影响公正招标的礼物，包括未来利益；</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8.自觉接受政府采购监管部门、审计和纪检部门的监督和检查，自觉接受采购人和社会各界的监督。</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若发现违反宣言的行为，请及时向四川正汇恒投诉或举报，经核查属实的，严格按照公司制度处理，涉及违法违纪的将移送司法机关追究其法律责任。鼓励社会各界和公司内部员工对违规违纪行为进行投诉和举报，共同践行廉政宣言，共同营造风清气正、诚实信用的政采环境。</w:t>
      </w:r>
    </w:p>
    <w:p>
      <w:pPr>
        <w:spacing w:line="48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投诉及举报邮箱：zhhjc@sc-zhh.com</w:t>
      </w:r>
    </w:p>
    <w:p>
      <w:pPr>
        <w:spacing w:line="480" w:lineRule="exact"/>
        <w:ind w:firstLine="472" w:firstLineChars="200"/>
        <w:rPr>
          <w:rFonts w:hAnsi="宋体" w:cs="宋体"/>
          <w:sz w:val="24"/>
          <w:szCs w:val="24"/>
          <w:highlight w:val="none"/>
        </w:rPr>
      </w:pPr>
      <w:r>
        <w:rPr>
          <w:rFonts w:hint="eastAsia" w:ascii="仿宋" w:hAnsi="仿宋" w:eastAsia="仿宋" w:cs="仿宋"/>
          <w:sz w:val="24"/>
          <w:szCs w:val="24"/>
          <w:highlight w:val="none"/>
        </w:rPr>
        <w:t>投诉及举报电话：028-67171868转8010</w:t>
      </w:r>
      <w:r>
        <w:rPr>
          <w:rFonts w:hint="eastAsia" w:hAnsi="宋体" w:cs="宋体"/>
          <w:sz w:val="24"/>
          <w:szCs w:val="24"/>
          <w:highlight w:val="none"/>
        </w:rPr>
        <w:t xml:space="preserve">  </w:t>
      </w:r>
    </w:p>
    <w:p>
      <w:pPr>
        <w:spacing w:line="480" w:lineRule="exact"/>
        <w:ind w:firstLine="5428" w:firstLineChars="2300"/>
        <w:rPr>
          <w:rFonts w:hAnsi="宋体" w:cs="宋体"/>
          <w:b/>
          <w:bCs/>
          <w:sz w:val="24"/>
          <w:szCs w:val="24"/>
          <w:highlight w:val="none"/>
        </w:rPr>
      </w:pPr>
    </w:p>
    <w:p>
      <w:pPr>
        <w:pStyle w:val="23"/>
        <w:rPr>
          <w:highlight w:val="none"/>
        </w:rPr>
        <w:sectPr>
          <w:pgSz w:w="11907" w:h="16840"/>
          <w:pgMar w:top="1440" w:right="1080" w:bottom="1440" w:left="1080" w:header="709" w:footer="1418" w:gutter="0"/>
          <w:cols w:space="720" w:num="1"/>
          <w:docGrid w:type="linesAndChars" w:linePitch="579" w:charSpace="-842"/>
        </w:sectPr>
      </w:pPr>
      <w:bookmarkStart w:id="5" w:name="_Toc24849"/>
    </w:p>
    <w:p>
      <w:pPr>
        <w:pStyle w:val="23"/>
        <w:rPr>
          <w:rFonts w:ascii="Times New Roman" w:hAnsi="Times New Roman"/>
          <w:highlight w:val="none"/>
        </w:rPr>
      </w:pPr>
      <w:bookmarkStart w:id="6" w:name="_Toc21488"/>
      <w:r>
        <w:rPr>
          <w:highlight w:val="none"/>
        </w:rPr>
        <w:t>第一章  竞争性磋商邀请</w:t>
      </w:r>
      <w:bookmarkEnd w:id="0"/>
      <w:bookmarkEnd w:id="5"/>
      <w:bookmarkEnd w:id="6"/>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四川正汇恒招标代理有限公司受</w:t>
      </w:r>
      <w:r>
        <w:rPr>
          <w:rFonts w:hint="eastAsia" w:ascii="仿宋" w:hAnsi="仿宋" w:eastAsia="仿宋" w:cs="仿宋"/>
          <w:bCs/>
          <w:sz w:val="24"/>
          <w:szCs w:val="24"/>
          <w:highlight w:val="none"/>
          <w:u w:val="single"/>
        </w:rPr>
        <w:t>成都大熊猫繁育研究基地</w:t>
      </w:r>
      <w:r>
        <w:rPr>
          <w:rFonts w:hint="eastAsia" w:ascii="仿宋" w:hAnsi="仿宋" w:eastAsia="仿宋" w:cs="仿宋"/>
          <w:sz w:val="24"/>
          <w:highlight w:val="none"/>
        </w:rPr>
        <w:t>委托，拟对</w:t>
      </w:r>
      <w:r>
        <w:rPr>
          <w:rFonts w:hint="eastAsia" w:ascii="仿宋" w:hAnsi="仿宋" w:eastAsia="仿宋" w:cs="仿宋"/>
          <w:bCs/>
          <w:sz w:val="24"/>
          <w:szCs w:val="24"/>
          <w:highlight w:val="none"/>
          <w:u w:val="single"/>
        </w:rPr>
        <w:t>成都大熊猫繁育研究基地驻场运维服务采购项目</w:t>
      </w:r>
      <w:r>
        <w:rPr>
          <w:rFonts w:hint="eastAsia" w:ascii="仿宋" w:hAnsi="仿宋" w:eastAsia="仿宋" w:cs="仿宋"/>
          <w:sz w:val="24"/>
          <w:highlight w:val="none"/>
        </w:rPr>
        <w:t>进行国内竞争性磋商采购，兹邀请符合本次采购要求的供应商参加竞争性磋商活动。</w:t>
      </w:r>
    </w:p>
    <w:p>
      <w:pPr>
        <w:widowControl/>
        <w:spacing w:line="440" w:lineRule="exact"/>
        <w:ind w:firstLine="472"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一、采购项目编号：</w:t>
      </w:r>
      <w:r>
        <w:rPr>
          <w:rFonts w:hint="eastAsia" w:ascii="仿宋" w:hAnsi="仿宋" w:eastAsia="仿宋" w:cs="仿宋"/>
          <w:sz w:val="24"/>
          <w:highlight w:val="none"/>
          <w:lang w:eastAsia="zh-CN"/>
        </w:rPr>
        <w:t>510101202100491</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二、采购项目名称：</w:t>
      </w:r>
      <w:r>
        <w:rPr>
          <w:rFonts w:hint="eastAsia" w:ascii="仿宋" w:hAnsi="仿宋" w:eastAsia="仿宋" w:cs="仿宋"/>
          <w:bCs/>
          <w:sz w:val="24"/>
          <w:szCs w:val="24"/>
          <w:highlight w:val="none"/>
        </w:rPr>
        <w:t>成都大熊猫繁育研究基地驻场运维服务采购项目</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三、</w:t>
      </w:r>
      <w:r>
        <w:rPr>
          <w:rFonts w:hint="eastAsia" w:ascii="仿宋" w:hAnsi="仿宋" w:eastAsia="仿宋" w:cs="仿宋"/>
          <w:b/>
          <w:sz w:val="24"/>
          <w:highlight w:val="none"/>
        </w:rPr>
        <w:t>资金来源、预算金额：</w:t>
      </w:r>
      <w:r>
        <w:rPr>
          <w:rFonts w:hint="eastAsia" w:ascii="仿宋" w:hAnsi="仿宋" w:eastAsia="仿宋" w:cs="仿宋"/>
          <w:sz w:val="24"/>
          <w:highlight w:val="none"/>
        </w:rPr>
        <w:t>财政性资金。预算品目：硬件运维服务，预算金额：125万元，政府采购实施计划备案表：(2021)1296号，采购标的：</w:t>
      </w:r>
      <w:r>
        <w:rPr>
          <w:rFonts w:hint="eastAsia" w:ascii="仿宋" w:hAnsi="仿宋" w:eastAsia="仿宋" w:cs="仿宋"/>
          <w:bCs/>
          <w:sz w:val="24"/>
          <w:szCs w:val="24"/>
          <w:highlight w:val="none"/>
        </w:rPr>
        <w:t>驻场运维服务</w:t>
      </w:r>
      <w:r>
        <w:rPr>
          <w:rFonts w:hint="eastAsia" w:ascii="仿宋" w:hAnsi="仿宋" w:eastAsia="仿宋" w:cs="仿宋"/>
          <w:sz w:val="24"/>
          <w:highlight w:val="none"/>
        </w:rPr>
        <w:t>，所属行业：</w:t>
      </w:r>
      <w:r>
        <w:rPr>
          <w:rFonts w:hint="eastAsia" w:ascii="仿宋" w:hAnsi="仿宋" w:eastAsia="仿宋" w:cs="仿宋"/>
          <w:sz w:val="24"/>
          <w:highlight w:val="none"/>
          <w:lang w:eastAsia="zh-CN"/>
        </w:rPr>
        <w:t>软件和信息技术服务业</w:t>
      </w:r>
      <w:r>
        <w:rPr>
          <w:rFonts w:hint="eastAsia" w:ascii="仿宋" w:hAnsi="仿宋" w:eastAsia="仿宋" w:cs="仿宋"/>
          <w:sz w:val="24"/>
          <w:highlight w:val="none"/>
        </w:rPr>
        <w:t>。</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四、采购项目简介：</w:t>
      </w:r>
    </w:p>
    <w:p>
      <w:pPr>
        <w:spacing w:line="460" w:lineRule="exact"/>
        <w:ind w:firstLine="472" w:firstLineChars="200"/>
        <w:rPr>
          <w:rFonts w:ascii="仿宋" w:hAnsi="仿宋" w:eastAsia="仿宋" w:cs="仿宋"/>
          <w:sz w:val="24"/>
          <w:highlight w:val="none"/>
        </w:rPr>
      </w:pPr>
      <w:r>
        <w:rPr>
          <w:rFonts w:hint="eastAsia" w:ascii="仿宋" w:hAnsi="仿宋" w:eastAsia="仿宋" w:cs="仿宋"/>
          <w:bCs/>
          <w:sz w:val="24"/>
          <w:szCs w:val="24"/>
          <w:highlight w:val="none"/>
        </w:rPr>
        <w:t>驻场运维服务采购项目</w:t>
      </w:r>
      <w:r>
        <w:rPr>
          <w:rFonts w:hint="eastAsia" w:ascii="仿宋" w:hAnsi="仿宋" w:eastAsia="仿宋" w:cs="仿宋"/>
          <w:sz w:val="24"/>
          <w:highlight w:val="none"/>
        </w:rPr>
        <w:t>。</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（详见磋商文件第四章）。</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 xml:space="preserve">五、供应商邀请方式： </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公告方式：本竞争性磋商邀请在</w:t>
      </w:r>
      <w:r>
        <w:rPr>
          <w:rFonts w:ascii="仿宋" w:hAnsi="仿宋" w:eastAsia="仿宋" w:cs="仿宋"/>
          <w:sz w:val="24"/>
          <w:highlight w:val="none"/>
        </w:rPr>
        <w:t>四川政府采购网</w:t>
      </w:r>
      <w:r>
        <w:rPr>
          <w:rFonts w:hint="eastAsia" w:ascii="仿宋" w:hAnsi="仿宋" w:eastAsia="仿宋" w:cs="仿宋"/>
          <w:sz w:val="24"/>
          <w:highlight w:val="none"/>
        </w:rPr>
        <w:t>（</w:t>
      </w:r>
      <w:r>
        <w:rPr>
          <w:rFonts w:ascii="仿宋" w:hAnsi="仿宋" w:eastAsia="仿宋" w:cs="仿宋"/>
          <w:sz w:val="24"/>
          <w:highlight w:val="none"/>
        </w:rPr>
        <w:t>http://www.ccgp-sichuan.gov.cn</w:t>
      </w:r>
      <w:r>
        <w:rPr>
          <w:rFonts w:hint="eastAsia" w:ascii="仿宋" w:hAnsi="仿宋" w:eastAsia="仿宋" w:cs="仿宋"/>
          <w:sz w:val="24"/>
          <w:highlight w:val="none"/>
        </w:rPr>
        <w:t>）上以公告形式发布。</w:t>
      </w:r>
    </w:p>
    <w:p>
      <w:pPr>
        <w:widowControl/>
        <w:spacing w:line="440" w:lineRule="exact"/>
        <w:ind w:firstLine="472" w:firstLineChars="200"/>
        <w:outlineLvl w:val="1"/>
        <w:rPr>
          <w:rFonts w:ascii="仿宋" w:hAnsi="仿宋" w:eastAsia="仿宋" w:cs="仿宋"/>
          <w:sz w:val="24"/>
          <w:szCs w:val="24"/>
          <w:highlight w:val="none"/>
        </w:rPr>
      </w:pPr>
      <w:r>
        <w:rPr>
          <w:rFonts w:hint="eastAsia" w:ascii="仿宋" w:hAnsi="仿宋" w:eastAsia="仿宋" w:cs="仿宋"/>
          <w:sz w:val="24"/>
          <w:highlight w:val="none"/>
        </w:rPr>
        <w:t>六、供</w:t>
      </w:r>
      <w:r>
        <w:rPr>
          <w:rFonts w:hint="eastAsia" w:ascii="仿宋" w:hAnsi="仿宋" w:eastAsia="仿宋" w:cs="仿宋"/>
          <w:sz w:val="24"/>
          <w:szCs w:val="24"/>
          <w:highlight w:val="none"/>
        </w:rPr>
        <w:t>应商参加本次政府采购活动，应当具备的资格条件</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（一）具备《中华人民共和国政府采购法》第二十二条规定的条件：</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2.具有良好的商业信誉和健全的财务会计制度；</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3.具有履行合同所必须的设备和专业技术能力；</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4.具有依法缴纳税收和社会保障资金的良好记录；</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5.参加本次政府采购活动前三年内，在经营活动中没有重大违法记录；</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6.法律、行政法规规定的其他条件。</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（二）落实政府采购政策需满足的资格要求:本项目专门面向中小企业采购（监狱企业、残疾人福利性企业视同小微企业）。</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（三）根据本项目的特殊要求，供应商还须具备的其它特定条件：</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1.未被列入经营异常名录；</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 xml:space="preserve">2.未被列入失信被执行人、重大税收违法案件当事人名单、政府采购严重违法失信行为记录名单； </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 xml:space="preserve">3.在行贿犯罪信息查询期限内，供应商及其现任法定代表人、主要负责人没有行贿犯罪记录； </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 xml:space="preserve">4.不属于其他国家相关法律法规规定的禁止参加投标的供应商； </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5.本项目不接受联合体参与采购活动。</w:t>
      </w:r>
    </w:p>
    <w:p>
      <w:pPr>
        <w:widowControl/>
        <w:spacing w:line="440" w:lineRule="exact"/>
        <w:ind w:firstLine="472" w:firstLineChars="200"/>
        <w:outlineLvl w:val="1"/>
        <w:rPr>
          <w:rFonts w:ascii="仿宋" w:hAnsi="仿宋" w:eastAsia="仿宋" w:cs="仿宋"/>
          <w:sz w:val="24"/>
          <w:szCs w:val="24"/>
          <w:highlight w:val="none"/>
        </w:rPr>
      </w:pPr>
      <w:r>
        <w:rPr>
          <w:rFonts w:hint="eastAsia" w:ascii="仿宋" w:hAnsi="仿宋" w:eastAsia="仿宋" w:cs="仿宋"/>
          <w:sz w:val="24"/>
          <w:szCs w:val="24"/>
          <w:highlight w:val="none"/>
        </w:rPr>
        <w:t>七、禁止参加本次采购活动的供应商</w:t>
      </w:r>
    </w:p>
    <w:p>
      <w:pPr>
        <w:spacing w:line="460" w:lineRule="exact"/>
        <w:ind w:firstLine="472" w:firstLineChars="200"/>
        <w:rPr>
          <w:rStyle w:val="48"/>
          <w:rFonts w:ascii="仿宋" w:hAnsi="仿宋" w:eastAsia="仿宋" w:cs="仿宋"/>
          <w:highlight w:val="none"/>
        </w:rPr>
      </w:pPr>
      <w:r>
        <w:rPr>
          <w:rFonts w:hint="eastAsia" w:ascii="仿宋" w:hAnsi="仿宋" w:eastAsia="仿宋" w:cs="仿宋"/>
          <w:sz w:val="24"/>
          <w:szCs w:val="24"/>
          <w:highlight w:val="none"/>
        </w:rPr>
        <w:t>根据《关于在政府采购活动中查询及使用信用记录有关问题的通知》（财库〔2016〕125号）的要求，采购组织单位将通过“信用中国”网站（www.creditchina.gov.cn）、“中国政府采购网”网站（www.ccgp.gov.cn）等渠道查询供应商在采购公告发布之日前的信用记录并保存信用记录结果网页截图，拒绝列入失信被执行人、重大税收违法案件当事人名单、政府采购严重违法失信行为记录名单中的供应商报名参加本项目的采购活动。</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八、磋商文件获取方式、时间、地点</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磋商文件发售时间为自2021年</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31</w:t>
      </w:r>
      <w:r>
        <w:rPr>
          <w:rFonts w:hint="eastAsia" w:ascii="仿宋" w:hAnsi="仿宋" w:eastAsia="仿宋" w:cs="仿宋"/>
          <w:sz w:val="24"/>
          <w:highlight w:val="none"/>
        </w:rPr>
        <w:t>日至2021年</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日9:00 - 17:00（北京时间，法定节假日除外）。获取磋商文件时，供应商为法人或者其他组织的，只需提供单位介绍信、经办人身份证明；供应商为自然人的，只需提供本人身份证明。地点：成都市高新区吉泰路666号1栋9层10号(花样年福年广场)。</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邮购方式（邮费自理）：请自行在本采购项目采购公告网页附件中下载报名登记表，完整录入信息后将报名登记表、介绍信、身份证复印件、汇款凭证等信息资料快递至采购代理机构，采购代理机构收到邮件后发出采购文件。</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远程购买方式：请自行在本采购项目采购公告网页附件中下载报名登记表，完整录入信息后将报名登记表、介绍信、身份证复印件、汇款凭证等信息传至采购代理机构邮箱，采购代理机构收件后发出采购文件。</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报名成功后可免费提供采购文件电子档一份（报名供应商需提供可用的电子邮箱）。纸质采购文件人民币150元/份（按需要自愿购买）,采</w:t>
      </w:r>
      <w:bookmarkStart w:id="260" w:name="_GoBack"/>
      <w:bookmarkEnd w:id="260"/>
      <w:r>
        <w:rPr>
          <w:rFonts w:hint="eastAsia" w:ascii="仿宋" w:hAnsi="仿宋" w:eastAsia="仿宋" w:cs="仿宋"/>
          <w:sz w:val="24"/>
          <w:highlight w:val="none"/>
        </w:rPr>
        <w:t>购文件提供后不退，磋商资格不能转让。联系人：张女士；联系电话：028-67171868；邮箱：service@sc-zhh.com。</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九、递交响应文件时间：</w:t>
      </w:r>
      <w:r>
        <w:rPr>
          <w:rFonts w:hint="eastAsia" w:ascii="仿宋" w:hAnsi="仿宋" w:eastAsia="仿宋" w:cs="仿宋"/>
          <w:sz w:val="24"/>
          <w:highlight w:val="none"/>
          <w:u w:val="single"/>
        </w:rPr>
        <w:t>2021年</w:t>
      </w:r>
      <w:r>
        <w:rPr>
          <w:rFonts w:hint="eastAsia" w:ascii="仿宋" w:hAnsi="仿宋" w:eastAsia="仿宋" w:cs="仿宋"/>
          <w:sz w:val="24"/>
          <w:highlight w:val="none"/>
          <w:u w:val="single"/>
          <w:lang w:val="en-US" w:eastAsia="zh-CN"/>
        </w:rPr>
        <w:t>6</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10</w:t>
      </w:r>
      <w:r>
        <w:rPr>
          <w:rFonts w:hint="eastAsia" w:ascii="仿宋" w:hAnsi="仿宋" w:eastAsia="仿宋" w:cs="仿宋"/>
          <w:sz w:val="24"/>
          <w:highlight w:val="none"/>
          <w:u w:val="single"/>
        </w:rPr>
        <w:t>日</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0至1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0（北京时间）。</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十、递交响应文件截止时间：</w:t>
      </w:r>
      <w:r>
        <w:rPr>
          <w:rFonts w:hint="eastAsia" w:ascii="仿宋" w:hAnsi="仿宋" w:eastAsia="仿宋" w:cs="仿宋"/>
          <w:sz w:val="24"/>
          <w:highlight w:val="none"/>
          <w:u w:val="single"/>
        </w:rPr>
        <w:t>2021年</w:t>
      </w:r>
      <w:r>
        <w:rPr>
          <w:rFonts w:hint="eastAsia" w:ascii="仿宋" w:hAnsi="仿宋" w:eastAsia="仿宋" w:cs="仿宋"/>
          <w:sz w:val="24"/>
          <w:highlight w:val="none"/>
          <w:u w:val="single"/>
          <w:lang w:val="en-US" w:eastAsia="zh-CN"/>
        </w:rPr>
        <w:t>6</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10</w:t>
      </w:r>
      <w:r>
        <w:rPr>
          <w:rFonts w:hint="eastAsia" w:ascii="仿宋" w:hAnsi="仿宋" w:eastAsia="仿宋" w:cs="仿宋"/>
          <w:sz w:val="24"/>
          <w:highlight w:val="none"/>
          <w:u w:val="single"/>
        </w:rPr>
        <w:t>日</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0（北京时间）。</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十一、递交响应文件地点：响应文件必须在竞争性磋商截止时间前送达磋商地点。逾期送达的响应文件不予接收。本次采购不接受邮寄的响应文件。</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十二、磋商地点：成都市高新区吉泰路666号1栋9层8号(花样年福年广场)。</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十三、响应文件开启时间：</w:t>
      </w:r>
      <w:r>
        <w:rPr>
          <w:rFonts w:hint="eastAsia" w:ascii="仿宋" w:hAnsi="仿宋" w:eastAsia="仿宋" w:cs="仿宋"/>
          <w:bCs/>
          <w:sz w:val="24"/>
          <w:highlight w:val="none"/>
          <w:u w:val="single"/>
        </w:rPr>
        <w:t>2021年</w:t>
      </w:r>
      <w:r>
        <w:rPr>
          <w:rFonts w:hint="eastAsia" w:ascii="仿宋" w:hAnsi="仿宋" w:eastAsia="仿宋" w:cs="仿宋"/>
          <w:sz w:val="24"/>
          <w:highlight w:val="none"/>
          <w:u w:val="single"/>
          <w:lang w:val="en-US" w:eastAsia="zh-CN"/>
        </w:rPr>
        <w:t>6</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10</w:t>
      </w:r>
      <w:r>
        <w:rPr>
          <w:rFonts w:hint="eastAsia" w:ascii="仿宋" w:hAnsi="仿宋" w:eastAsia="仿宋" w:cs="仿宋"/>
          <w:sz w:val="24"/>
          <w:highlight w:val="none"/>
          <w:u w:val="single"/>
        </w:rPr>
        <w:t>日</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0（北京时间）在磋商地点开启。</w:t>
      </w:r>
    </w:p>
    <w:p>
      <w:pPr>
        <w:widowControl/>
        <w:spacing w:line="44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十四、联系方式</w:t>
      </w:r>
    </w:p>
    <w:p>
      <w:pPr>
        <w:spacing w:line="46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采购人：</w:t>
      </w:r>
      <w:r>
        <w:rPr>
          <w:rFonts w:hint="eastAsia" w:ascii="仿宋" w:hAnsi="仿宋" w:eastAsia="仿宋" w:cs="仿宋"/>
          <w:bCs/>
          <w:sz w:val="24"/>
          <w:szCs w:val="24"/>
          <w:highlight w:val="none"/>
        </w:rPr>
        <w:t>成都大熊猫繁育研究基地</w:t>
      </w:r>
    </w:p>
    <w:p>
      <w:pPr>
        <w:spacing w:line="46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地  址：成都市成华区熊猫大道1375号</w:t>
      </w:r>
    </w:p>
    <w:p>
      <w:pPr>
        <w:spacing w:line="460" w:lineRule="exact"/>
        <w:ind w:firstLine="472"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联系人：孙老师</w:t>
      </w:r>
    </w:p>
    <w:p>
      <w:pPr>
        <w:spacing w:line="460" w:lineRule="exact"/>
        <w:ind w:firstLine="472"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联系电话：15351211771</w:t>
      </w:r>
    </w:p>
    <w:p>
      <w:pPr>
        <w:spacing w:line="46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采购代理机构：四川正汇恒招标代理有限公司</w:t>
      </w:r>
    </w:p>
    <w:p>
      <w:pPr>
        <w:spacing w:line="46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通讯地址：成都市高新区吉泰路666号1栋9层10号(花样年福年广场)</w:t>
      </w:r>
    </w:p>
    <w:p>
      <w:pPr>
        <w:spacing w:line="46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联 系 人：马先生</w:t>
      </w:r>
    </w:p>
    <w:p>
      <w:pPr>
        <w:snapToGrid w:val="0"/>
        <w:spacing w:line="56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电话传真：028-67171868</w:t>
      </w:r>
    </w:p>
    <w:p>
      <w:pPr>
        <w:spacing w:line="460" w:lineRule="exact"/>
        <w:ind w:firstLine="472" w:firstLineChars="200"/>
        <w:rPr>
          <w:rFonts w:ascii="仿宋" w:hAnsi="仿宋" w:eastAsia="仿宋" w:cs="仿宋"/>
          <w:sz w:val="24"/>
          <w:szCs w:val="24"/>
          <w:highlight w:val="none"/>
        </w:rPr>
      </w:pPr>
      <w:r>
        <w:rPr>
          <w:rFonts w:hint="eastAsia" w:ascii="仿宋" w:hAnsi="仿宋" w:eastAsia="仿宋" w:cs="仿宋"/>
          <w:sz w:val="24"/>
          <w:szCs w:val="24"/>
          <w:highlight w:val="none"/>
        </w:rPr>
        <w:t>电子邮件：service@sc-zhh.com</w:t>
      </w:r>
    </w:p>
    <w:p>
      <w:pPr>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pPr>
        <w:pStyle w:val="2"/>
        <w:rPr>
          <w:rFonts w:ascii="仿宋" w:hAnsi="仿宋" w:eastAsia="仿宋" w:cs="仿宋"/>
          <w:highlight w:val="none"/>
        </w:rPr>
      </w:pPr>
    </w:p>
    <w:p>
      <w:pPr>
        <w:pStyle w:val="2"/>
        <w:rPr>
          <w:rFonts w:ascii="仿宋" w:hAnsi="仿宋" w:eastAsia="仿宋" w:cs="仿宋"/>
          <w:highlight w:val="none"/>
        </w:rPr>
      </w:pPr>
    </w:p>
    <w:p>
      <w:pPr>
        <w:pStyle w:val="2"/>
        <w:rPr>
          <w:rFonts w:ascii="仿宋" w:hAnsi="仿宋" w:eastAsia="仿宋" w:cs="仿宋"/>
          <w:highlight w:val="none"/>
        </w:rPr>
      </w:pPr>
    </w:p>
    <w:p>
      <w:pPr>
        <w:pStyle w:val="2"/>
        <w:rPr>
          <w:rFonts w:ascii="仿宋" w:hAnsi="仿宋" w:eastAsia="仿宋" w:cs="仿宋"/>
          <w:highlight w:val="none"/>
        </w:rPr>
      </w:pPr>
    </w:p>
    <w:p>
      <w:pPr>
        <w:pStyle w:val="2"/>
        <w:rPr>
          <w:rFonts w:ascii="仿宋" w:hAnsi="仿宋" w:eastAsia="仿宋" w:cs="仿宋"/>
          <w:highlight w:val="none"/>
        </w:rPr>
      </w:pPr>
    </w:p>
    <w:p>
      <w:pPr>
        <w:pStyle w:val="2"/>
        <w:rPr>
          <w:rFonts w:ascii="仿宋" w:hAnsi="仿宋" w:eastAsia="仿宋" w:cs="仿宋"/>
          <w:highlight w:val="none"/>
        </w:rPr>
      </w:pPr>
    </w:p>
    <w:p>
      <w:pPr>
        <w:pStyle w:val="2"/>
        <w:rPr>
          <w:rFonts w:ascii="仿宋" w:hAnsi="仿宋" w:eastAsia="仿宋" w:cs="仿宋"/>
          <w:highlight w:val="none"/>
        </w:rPr>
      </w:pPr>
    </w:p>
    <w:p>
      <w:pPr>
        <w:pStyle w:val="2"/>
        <w:rPr>
          <w:rFonts w:ascii="仿宋" w:hAnsi="仿宋" w:eastAsia="仿宋" w:cs="仿宋"/>
          <w:highlight w:val="none"/>
        </w:rPr>
      </w:pPr>
    </w:p>
    <w:p>
      <w:pPr>
        <w:pStyle w:val="23"/>
        <w:outlineLvl w:val="9"/>
        <w:rPr>
          <w:rFonts w:ascii="仿宋" w:hAnsi="仿宋" w:eastAsia="仿宋" w:cs="仿宋"/>
          <w:highlight w:val="none"/>
        </w:rPr>
        <w:sectPr>
          <w:footerReference r:id="rId7" w:type="default"/>
          <w:pgSz w:w="11907" w:h="16840"/>
          <w:pgMar w:top="1440" w:right="1080" w:bottom="1440" w:left="1080" w:header="709" w:footer="1418" w:gutter="0"/>
          <w:pgNumType w:start="1"/>
          <w:cols w:space="720" w:num="1"/>
          <w:docGrid w:type="linesAndChars" w:linePitch="579" w:charSpace="-842"/>
        </w:sectPr>
      </w:pPr>
      <w:bookmarkStart w:id="7" w:name="_Toc28659"/>
    </w:p>
    <w:p>
      <w:pPr>
        <w:pStyle w:val="23"/>
        <w:rPr>
          <w:rFonts w:ascii="仿宋" w:hAnsi="仿宋" w:eastAsia="仿宋" w:cs="仿宋"/>
          <w:highlight w:val="none"/>
        </w:rPr>
      </w:pPr>
      <w:bookmarkStart w:id="8" w:name="_Toc14816"/>
      <w:bookmarkStart w:id="9" w:name="_Toc9912"/>
      <w:r>
        <w:rPr>
          <w:rFonts w:hint="eastAsia" w:ascii="仿宋" w:hAnsi="仿宋" w:eastAsia="仿宋" w:cs="仿宋"/>
          <w:highlight w:val="none"/>
        </w:rPr>
        <w:t>第二章  供应商须知</w:t>
      </w:r>
      <w:bookmarkEnd w:id="7"/>
      <w:bookmarkEnd w:id="8"/>
      <w:bookmarkEnd w:id="9"/>
    </w:p>
    <w:p>
      <w:pPr>
        <w:pStyle w:val="23"/>
        <w:spacing w:line="560" w:lineRule="exact"/>
        <w:rPr>
          <w:rFonts w:ascii="仿宋" w:hAnsi="仿宋" w:eastAsia="仿宋" w:cs="仿宋"/>
          <w:sz w:val="30"/>
          <w:szCs w:val="30"/>
          <w:highlight w:val="none"/>
        </w:rPr>
      </w:pPr>
      <w:bookmarkStart w:id="10" w:name="_Toc21989"/>
      <w:bookmarkStart w:id="11" w:name="_Toc5780"/>
      <w:bookmarkStart w:id="12" w:name="_Toc21402"/>
      <w:r>
        <w:rPr>
          <w:rFonts w:hint="eastAsia" w:ascii="仿宋" w:hAnsi="仿宋" w:eastAsia="仿宋" w:cs="仿宋"/>
          <w:sz w:val="30"/>
          <w:szCs w:val="30"/>
          <w:highlight w:val="none"/>
        </w:rPr>
        <w:t>一、供应商须知附表</w:t>
      </w:r>
      <w:bookmarkEnd w:id="10"/>
      <w:bookmarkEnd w:id="11"/>
      <w:bookmarkEnd w:id="12"/>
    </w:p>
    <w:tbl>
      <w:tblPr>
        <w:tblStyle w:val="25"/>
        <w:tblW w:w="877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0"/>
        <w:gridCol w:w="1677"/>
        <w:gridCol w:w="63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6" w:hRule="atLeast"/>
          <w:jc w:val="center"/>
        </w:trPr>
        <w:tc>
          <w:tcPr>
            <w:tcW w:w="710" w:type="dxa"/>
            <w:vAlign w:val="center"/>
          </w:tcPr>
          <w:p>
            <w:pPr>
              <w:pStyle w:val="67"/>
              <w:snapToGrid w:val="0"/>
              <w:jc w:val="center"/>
              <w:rPr>
                <w:rFonts w:ascii="仿宋" w:hAnsi="仿宋" w:eastAsia="仿宋" w:cs="仿宋"/>
                <w:b/>
                <w:kern w:val="2"/>
                <w:highlight w:val="none"/>
              </w:rPr>
            </w:pPr>
            <w:r>
              <w:rPr>
                <w:rFonts w:hint="eastAsia" w:ascii="仿宋" w:hAnsi="仿宋" w:eastAsia="仿宋" w:cs="仿宋"/>
                <w:b/>
                <w:kern w:val="2"/>
                <w:highlight w:val="none"/>
              </w:rPr>
              <w:t xml:space="preserve">序号 </w:t>
            </w:r>
          </w:p>
        </w:tc>
        <w:tc>
          <w:tcPr>
            <w:tcW w:w="1677" w:type="dxa"/>
            <w:vAlign w:val="center"/>
          </w:tcPr>
          <w:p>
            <w:pPr>
              <w:pStyle w:val="67"/>
              <w:snapToGrid w:val="0"/>
              <w:jc w:val="center"/>
              <w:rPr>
                <w:rFonts w:ascii="仿宋" w:hAnsi="仿宋" w:eastAsia="仿宋" w:cs="仿宋"/>
                <w:b/>
                <w:kern w:val="2"/>
                <w:highlight w:val="none"/>
              </w:rPr>
            </w:pPr>
            <w:r>
              <w:rPr>
                <w:rFonts w:hint="eastAsia" w:ascii="仿宋" w:hAnsi="仿宋" w:eastAsia="仿宋" w:cs="仿宋"/>
                <w:b/>
                <w:kern w:val="2"/>
                <w:highlight w:val="none"/>
              </w:rPr>
              <w:t>条款名称</w:t>
            </w:r>
          </w:p>
        </w:tc>
        <w:tc>
          <w:tcPr>
            <w:tcW w:w="6392" w:type="dxa"/>
            <w:vAlign w:val="center"/>
          </w:tcPr>
          <w:p>
            <w:pPr>
              <w:pStyle w:val="67"/>
              <w:snapToGrid w:val="0"/>
              <w:jc w:val="center"/>
              <w:rPr>
                <w:rFonts w:ascii="仿宋" w:hAnsi="仿宋" w:eastAsia="仿宋" w:cs="仿宋"/>
                <w:b/>
                <w:kern w:val="2"/>
                <w:highlight w:val="none"/>
              </w:rPr>
            </w:pPr>
            <w:r>
              <w:rPr>
                <w:rFonts w:hint="eastAsia" w:ascii="仿宋" w:hAnsi="仿宋" w:eastAsia="仿宋" w:cs="仿宋"/>
                <w:b/>
                <w:kern w:val="2"/>
                <w:highlight w:val="none"/>
              </w:rPr>
              <w:t>说明和要求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w:t>
            </w:r>
          </w:p>
        </w:tc>
        <w:tc>
          <w:tcPr>
            <w:tcW w:w="1677" w:type="dxa"/>
            <w:vAlign w:val="center"/>
          </w:tcPr>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是否专门面向中小企业</w:t>
            </w:r>
          </w:p>
        </w:tc>
        <w:tc>
          <w:tcPr>
            <w:tcW w:w="6392" w:type="dxa"/>
            <w:vAlign w:val="center"/>
          </w:tcPr>
          <w:p>
            <w:pPr>
              <w:pStyle w:val="67"/>
              <w:snapToGrid w:val="0"/>
              <w:rPr>
                <w:rFonts w:ascii="仿宋" w:hAnsi="仿宋" w:eastAsia="仿宋" w:cs="仿宋"/>
                <w:b/>
                <w:kern w:val="2"/>
                <w:sz w:val="21"/>
                <w:szCs w:val="21"/>
                <w:highlight w:val="none"/>
              </w:rPr>
            </w:pPr>
            <w:r>
              <w:rPr>
                <w:rFonts w:hint="eastAsia" w:ascii="仿宋" w:hAnsi="仿宋" w:eastAsia="仿宋" w:cs="仿宋"/>
                <w:kern w:val="2"/>
                <w:sz w:val="21"/>
                <w:szCs w:val="21"/>
                <w:highlight w:val="none"/>
                <w:lang w:val="zh-CN"/>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8"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2</w:t>
            </w:r>
          </w:p>
        </w:tc>
        <w:tc>
          <w:tcPr>
            <w:tcW w:w="1677" w:type="dxa"/>
            <w:vAlign w:val="center"/>
          </w:tcPr>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采购预算</w:t>
            </w: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（实质性要求）</w:t>
            </w:r>
          </w:p>
        </w:tc>
        <w:tc>
          <w:tcPr>
            <w:tcW w:w="6392" w:type="dxa"/>
          </w:tcPr>
          <w:p>
            <w:pPr>
              <w:snapToGrid w:val="0"/>
              <w:ind w:right="48"/>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本项目采购品目为</w:t>
            </w:r>
            <w:r>
              <w:rPr>
                <w:rFonts w:hint="eastAsia" w:ascii="仿宋" w:hAnsi="仿宋" w:eastAsia="仿宋" w:cs="仿宋"/>
                <w:kern w:val="2"/>
                <w:sz w:val="21"/>
                <w:szCs w:val="21"/>
                <w:highlight w:val="none"/>
              </w:rPr>
              <w:t>硬件运维服务</w:t>
            </w:r>
            <w:r>
              <w:rPr>
                <w:rFonts w:hint="eastAsia" w:ascii="仿宋" w:hAnsi="仿宋" w:eastAsia="仿宋" w:cs="仿宋"/>
                <w:kern w:val="2"/>
                <w:sz w:val="21"/>
                <w:szCs w:val="21"/>
                <w:highlight w:val="none"/>
                <w:lang w:val="zh-CN"/>
              </w:rPr>
              <w:t>，预算金额为人民币</w:t>
            </w:r>
            <w:r>
              <w:rPr>
                <w:rFonts w:hint="eastAsia" w:ascii="仿宋" w:hAnsi="仿宋" w:eastAsia="仿宋" w:cs="仿宋"/>
                <w:kern w:val="2"/>
                <w:sz w:val="21"/>
                <w:szCs w:val="21"/>
                <w:highlight w:val="none"/>
              </w:rPr>
              <w:t>125万元</w:t>
            </w:r>
            <w:r>
              <w:rPr>
                <w:rFonts w:hint="eastAsia" w:ascii="仿宋" w:hAnsi="仿宋" w:eastAsia="仿宋" w:cs="仿宋"/>
                <w:kern w:val="2"/>
                <w:sz w:val="21"/>
                <w:szCs w:val="21"/>
                <w:highlight w:val="none"/>
                <w:lang w:val="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3</w:t>
            </w:r>
          </w:p>
        </w:tc>
        <w:tc>
          <w:tcPr>
            <w:tcW w:w="1677" w:type="dxa"/>
            <w:vAlign w:val="center"/>
          </w:tcPr>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低于成本价</w:t>
            </w: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不正当竞争</w:t>
            </w: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预防措施</w:t>
            </w: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（实质性要求）</w:t>
            </w:r>
          </w:p>
        </w:tc>
        <w:tc>
          <w:tcPr>
            <w:tcW w:w="6392" w:type="dxa"/>
            <w:vAlign w:val="center"/>
          </w:tcPr>
          <w:p>
            <w:pPr>
              <w:pStyle w:val="67"/>
              <w:snapToGrid w:val="0"/>
              <w:ind w:firstLine="412" w:firstLineChars="200"/>
              <w:rPr>
                <w:rFonts w:ascii="仿宋" w:hAnsi="仿宋" w:eastAsia="仿宋" w:cs="仿宋"/>
                <w:kern w:val="2"/>
                <w:sz w:val="21"/>
                <w:szCs w:val="21"/>
                <w:highlight w:val="none"/>
              </w:rPr>
            </w:pPr>
            <w:r>
              <w:rPr>
                <w:rFonts w:hint="eastAsia" w:ascii="仿宋" w:hAnsi="仿宋" w:eastAsia="仿宋" w:cs="仿宋"/>
                <w:kern w:val="2"/>
                <w:sz w:val="21"/>
                <w:szCs w:val="21"/>
                <w:highlight w:val="none"/>
              </w:rPr>
              <w:t>在评审过程中，磋商小组认为供应商的报价明显低于其他通过实质性审查供应商的报价，有可能影响产品质量或者不能诚信履约的，应当要求其在评审现场合理的时间内提供书面说明，必要时提交相关证明材料；供应商不能证明其报价合理性的，评审委员会应当将其作为无效处理。（供应商应自行衡量并准备相关证明材料）</w:t>
            </w:r>
          </w:p>
          <w:p>
            <w:pPr>
              <w:pStyle w:val="67"/>
              <w:snapToGrid w:val="0"/>
              <w:ind w:firstLine="412" w:firstLineChars="200"/>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供应商书面说明应当按照国家财会会计制度的规定要求，逐项就其提供的货物或服务的主营业务成本、税金及附加、销售费用、管理费用、财务费用等成本构成事项详细陈述。</w:t>
            </w:r>
          </w:p>
          <w:p>
            <w:pPr>
              <w:pStyle w:val="67"/>
              <w:snapToGrid w:val="0"/>
              <w:ind w:firstLine="412" w:firstLineChars="200"/>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应商书面说明应当签字确认或者加盖公章，否则无效。书面说明的签字确认，供应商为法人的，由其法定代表人或者授权代表签字确认；供应商为其他组织的，由其负责人或者授权代表签字确认；供应商为自然人的，由其本人或者授权代表签字确认。</w:t>
            </w:r>
          </w:p>
          <w:p>
            <w:pPr>
              <w:pStyle w:val="67"/>
              <w:snapToGrid w:val="0"/>
              <w:ind w:firstLine="412" w:firstLineChars="200"/>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供应商提供书面说明后，磋商小组应当结合采购项目采购需求、专业实际情况、供应商财务状况报告、与其他供应商比较情况等就其书面说明进行审查评价。</w:t>
            </w:r>
          </w:p>
          <w:p>
            <w:pPr>
              <w:pStyle w:val="67"/>
              <w:snapToGrid w:val="0"/>
              <w:ind w:firstLine="355" w:firstLineChars="172"/>
              <w:jc w:val="both"/>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供应商拒绝或者变相拒绝提供有效书面说明或者书面说明不能证明其报价合理性的或证明材料未被磋商小组采纳的，磋商小组应当将其最后报价作为无效报价处理，不允许进入综合评审。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4</w:t>
            </w:r>
          </w:p>
        </w:tc>
        <w:tc>
          <w:tcPr>
            <w:tcW w:w="1677" w:type="dxa"/>
            <w:vAlign w:val="center"/>
          </w:tcPr>
          <w:p>
            <w:pPr>
              <w:pStyle w:val="67"/>
              <w:snapToGrid w:val="0"/>
              <w:jc w:val="center"/>
              <w:rPr>
                <w:rFonts w:ascii="仿宋" w:hAnsi="仿宋" w:eastAsia="仿宋" w:cs="仿宋"/>
                <w:sz w:val="21"/>
                <w:szCs w:val="21"/>
                <w:highlight w:val="none"/>
              </w:rPr>
            </w:pPr>
            <w:r>
              <w:rPr>
                <w:rFonts w:hint="eastAsia" w:ascii="仿宋" w:hAnsi="仿宋" w:eastAsia="仿宋" w:cs="仿宋"/>
                <w:sz w:val="21"/>
                <w:szCs w:val="21"/>
                <w:highlight w:val="none"/>
              </w:rPr>
              <w:t>中小微企业（监狱企业、残疾人福利性单位视同小微企业）</w:t>
            </w:r>
          </w:p>
          <w:p>
            <w:pPr>
              <w:pStyle w:val="67"/>
              <w:snapToGrid w:val="0"/>
              <w:jc w:val="center"/>
              <w:rPr>
                <w:rFonts w:ascii="仿宋" w:hAnsi="仿宋" w:eastAsia="仿宋" w:cs="仿宋"/>
                <w:kern w:val="2"/>
                <w:sz w:val="21"/>
                <w:szCs w:val="21"/>
                <w:highlight w:val="none"/>
              </w:rPr>
            </w:pPr>
          </w:p>
        </w:tc>
        <w:tc>
          <w:tcPr>
            <w:tcW w:w="6392" w:type="dxa"/>
            <w:vAlign w:val="center"/>
          </w:tcPr>
          <w:p>
            <w:pPr>
              <w:pStyle w:val="67"/>
              <w:snapToGrid w:val="0"/>
              <w:ind w:firstLine="206" w:firstLineChars="100"/>
              <w:jc w:val="both"/>
              <w:rPr>
                <w:rFonts w:ascii="仿宋" w:hAnsi="仿宋" w:eastAsia="仿宋" w:cs="仿宋"/>
                <w:sz w:val="21"/>
                <w:szCs w:val="21"/>
                <w:highlight w:val="none"/>
              </w:rPr>
            </w:pPr>
            <w:r>
              <w:rPr>
                <w:rFonts w:hint="eastAsia" w:ascii="仿宋" w:hAnsi="仿宋" w:eastAsia="仿宋" w:cs="仿宋"/>
                <w:sz w:val="21"/>
                <w:szCs w:val="21"/>
                <w:highlight w:val="none"/>
              </w:rPr>
              <w:t>一、中小微企业（监狱企业和残疾人福利性单位视同小微企业）</w:t>
            </w:r>
          </w:p>
          <w:p>
            <w:pPr>
              <w:pStyle w:val="67"/>
              <w:snapToGrid w:val="0"/>
              <w:ind w:firstLine="206" w:firstLineChars="100"/>
              <w:jc w:val="both"/>
              <w:rPr>
                <w:rFonts w:ascii="仿宋" w:hAnsi="仿宋" w:eastAsia="仿宋" w:cs="仿宋"/>
                <w:sz w:val="21"/>
                <w:szCs w:val="21"/>
                <w:highlight w:val="none"/>
              </w:rPr>
            </w:pPr>
            <w:r>
              <w:rPr>
                <w:rFonts w:hint="eastAsia" w:ascii="仿宋" w:hAnsi="仿宋" w:eastAsia="仿宋" w:cs="仿宋"/>
                <w:sz w:val="21"/>
                <w:szCs w:val="21"/>
                <w:highlight w:val="none"/>
              </w:rPr>
              <w:t>1、根据《关于印发&lt;政府采购促进中小企业发展管理办法&gt;的通知》(财库〔2020〕46号）的规定，本项目专门面向中小企业采购。供应商应提供《中小企业声明函》原件。</w:t>
            </w:r>
          </w:p>
          <w:p>
            <w:pPr>
              <w:pStyle w:val="67"/>
              <w:snapToGrid w:val="0"/>
              <w:ind w:firstLine="206" w:firstLineChars="100"/>
              <w:jc w:val="both"/>
              <w:rPr>
                <w:rFonts w:ascii="仿宋" w:hAnsi="仿宋" w:eastAsia="仿宋" w:cs="仿宋"/>
                <w:sz w:val="21"/>
                <w:szCs w:val="21"/>
                <w:highlight w:val="none"/>
              </w:rPr>
            </w:pPr>
            <w:r>
              <w:rPr>
                <w:rFonts w:hint="eastAsia" w:ascii="仿宋" w:hAnsi="仿宋" w:eastAsia="仿宋" w:cs="仿宋"/>
                <w:sz w:val="21"/>
                <w:szCs w:val="21"/>
                <w:highlight w:val="none"/>
              </w:rPr>
              <w:t>2、根据《关于政府采购支持监狱企业发展有关问题的通知》（财库[2014]68号）的规定，监狱企业视同小型和微型企业，可以参加本次采购活动。供应商应提供《监狱企业证明材料》</w:t>
            </w:r>
          </w:p>
          <w:p>
            <w:pPr>
              <w:pStyle w:val="67"/>
              <w:snapToGrid w:val="0"/>
              <w:ind w:firstLine="206" w:firstLineChars="100"/>
              <w:jc w:val="both"/>
              <w:rPr>
                <w:rFonts w:ascii="仿宋" w:hAnsi="仿宋" w:eastAsia="仿宋" w:cs="仿宋"/>
                <w:sz w:val="21"/>
                <w:szCs w:val="21"/>
                <w:highlight w:val="none"/>
                <w:lang w:val="zh-CN"/>
              </w:rPr>
            </w:pPr>
            <w:r>
              <w:rPr>
                <w:rFonts w:hint="eastAsia" w:ascii="仿宋" w:hAnsi="仿宋" w:eastAsia="仿宋" w:cs="仿宋"/>
                <w:sz w:val="21"/>
                <w:szCs w:val="21"/>
                <w:highlight w:val="none"/>
              </w:rPr>
              <w:t>3、根据《关于促进残疾人就业政府采购政策的通知》（财库[2017]141号）的规定，残疾人福利性单位视同小型和微型企业，可以参加本次采购活动。供应商应提供《残疾人福利性单位声明函》原件。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5</w:t>
            </w:r>
          </w:p>
        </w:tc>
        <w:tc>
          <w:tcPr>
            <w:tcW w:w="1677" w:type="dxa"/>
            <w:vAlign w:val="center"/>
          </w:tcPr>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国家规定的</w:t>
            </w: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优先、强制</w:t>
            </w: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 xml:space="preserve">采购范围 </w:t>
            </w: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lang w:val="zh-CN"/>
              </w:rPr>
              <w:t>（实质性要求）</w:t>
            </w:r>
          </w:p>
        </w:tc>
        <w:tc>
          <w:tcPr>
            <w:tcW w:w="6392" w:type="dxa"/>
            <w:vAlign w:val="center"/>
          </w:tcPr>
          <w:p>
            <w:pPr>
              <w:pStyle w:val="67"/>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lang w:val="zh-CN"/>
              </w:rPr>
              <w:t>本项目采购需求中涉及</w:t>
            </w:r>
            <w:r>
              <w:rPr>
                <w:rFonts w:hint="eastAsia" w:ascii="仿宋" w:hAnsi="仿宋" w:eastAsia="仿宋" w:cs="仿宋"/>
                <w:kern w:val="2"/>
                <w:sz w:val="21"/>
                <w:szCs w:val="21"/>
                <w:highlight w:val="none"/>
              </w:rPr>
              <w:t>国家规定的强制采购范围内产品，均应按照国家相关要求进行审核。不管磋商文件是否要求，供应商必须提供相关证明材料；若未提供，供应商自行承担由此带来的后果，其响应文件作无效响应处理。优先采购范围内的产品按采购文件约定执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6</w:t>
            </w:r>
          </w:p>
        </w:tc>
        <w:tc>
          <w:tcPr>
            <w:tcW w:w="1677" w:type="dxa"/>
            <w:vAlign w:val="center"/>
          </w:tcPr>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 xml:space="preserve">响应文件有效期（实质性要求） </w:t>
            </w:r>
          </w:p>
        </w:tc>
        <w:tc>
          <w:tcPr>
            <w:tcW w:w="6392" w:type="dxa"/>
            <w:vAlign w:val="center"/>
          </w:tcPr>
          <w:p>
            <w:pPr>
              <w:pStyle w:val="67"/>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递交响应文件截止日期之日起</w:t>
            </w:r>
            <w:r>
              <w:rPr>
                <w:rFonts w:hint="eastAsia" w:ascii="仿宋" w:hAnsi="仿宋" w:eastAsia="仿宋" w:cs="仿宋"/>
                <w:kern w:val="2"/>
                <w:sz w:val="21"/>
                <w:szCs w:val="21"/>
                <w:highlight w:val="none"/>
              </w:rPr>
              <w:t>120</w:t>
            </w:r>
            <w:r>
              <w:rPr>
                <w:rFonts w:hint="eastAsia" w:ascii="仿宋" w:hAnsi="仿宋" w:eastAsia="仿宋" w:cs="仿宋"/>
                <w:kern w:val="2"/>
                <w:sz w:val="21"/>
                <w:szCs w:val="21"/>
                <w:highlight w:val="none"/>
                <w:lang w:val="zh-CN"/>
              </w:rPr>
              <w:t>天。</w:t>
            </w:r>
            <w:r>
              <w:rPr>
                <w:rFonts w:hint="eastAsia" w:ascii="仿宋" w:hAnsi="仿宋" w:eastAsia="仿宋" w:cs="仿宋"/>
                <w:kern w:val="2"/>
                <w:sz w:val="21"/>
                <w:szCs w:val="21"/>
                <w:highlight w:val="none"/>
              </w:rPr>
              <w:t>响应文件载明的有效期短于此规定期限的，则其响应文件将按无效响应文件处理。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7</w:t>
            </w:r>
          </w:p>
        </w:tc>
        <w:tc>
          <w:tcPr>
            <w:tcW w:w="1677" w:type="dxa"/>
            <w:vAlign w:val="center"/>
          </w:tcPr>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联合体磋商</w:t>
            </w:r>
          </w:p>
        </w:tc>
        <w:tc>
          <w:tcPr>
            <w:tcW w:w="6392" w:type="dxa"/>
            <w:vAlign w:val="center"/>
          </w:tcPr>
          <w:p>
            <w:pPr>
              <w:pStyle w:val="67"/>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本项目不接受联合体参与。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8</w:t>
            </w:r>
          </w:p>
        </w:tc>
        <w:tc>
          <w:tcPr>
            <w:tcW w:w="1677" w:type="dxa"/>
            <w:vAlign w:val="center"/>
          </w:tcPr>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响应文件份数 （实质性要求）</w:t>
            </w:r>
          </w:p>
        </w:tc>
        <w:tc>
          <w:tcPr>
            <w:tcW w:w="6392" w:type="dxa"/>
            <w:vAlign w:val="center"/>
          </w:tcPr>
          <w:p>
            <w:pPr>
              <w:pStyle w:val="67"/>
              <w:snapToGrid w:val="0"/>
              <w:rPr>
                <w:rFonts w:ascii="仿宋" w:hAnsi="仿宋" w:eastAsia="仿宋" w:cs="仿宋"/>
                <w:kern w:val="2"/>
                <w:sz w:val="21"/>
                <w:szCs w:val="21"/>
                <w:highlight w:val="none"/>
              </w:rPr>
            </w:pPr>
            <w:r>
              <w:rPr>
                <w:rFonts w:hint="eastAsia" w:ascii="仿宋" w:hAnsi="仿宋" w:eastAsia="仿宋" w:cs="仿宋"/>
                <w:sz w:val="21"/>
                <w:szCs w:val="21"/>
                <w:highlight w:val="none"/>
              </w:rPr>
              <w:t>资格性响应文件和其他响应文件正本各1份、副本各2份</w:t>
            </w:r>
            <w:r>
              <w:rPr>
                <w:rFonts w:hint="eastAsia" w:ascii="仿宋" w:hAnsi="仿宋" w:eastAsia="仿宋" w:cs="仿宋"/>
                <w:kern w:val="2"/>
                <w:sz w:val="21"/>
                <w:szCs w:val="21"/>
                <w:highlight w:val="none"/>
                <w:lang w:val="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7"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9</w:t>
            </w:r>
          </w:p>
        </w:tc>
        <w:tc>
          <w:tcPr>
            <w:tcW w:w="1677" w:type="dxa"/>
            <w:vAlign w:val="center"/>
          </w:tcPr>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竞争性磋商</w:t>
            </w:r>
          </w:p>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保证金</w:t>
            </w:r>
          </w:p>
        </w:tc>
        <w:tc>
          <w:tcPr>
            <w:tcW w:w="6392" w:type="dxa"/>
          </w:tcPr>
          <w:p>
            <w:pPr>
              <w:snapToGrid w:val="0"/>
              <w:jc w:val="left"/>
              <w:rPr>
                <w:rFonts w:ascii="仿宋" w:hAnsi="仿宋" w:eastAsia="仿宋" w:cs="仿宋"/>
                <w:sz w:val="21"/>
                <w:szCs w:val="21"/>
                <w:highlight w:val="none"/>
                <w:lang w:val="zh-CN"/>
              </w:rPr>
            </w:pPr>
            <w:r>
              <w:rPr>
                <w:rFonts w:hint="eastAsia" w:ascii="仿宋" w:hAnsi="仿宋" w:eastAsia="仿宋" w:cs="仿宋"/>
                <w:sz w:val="21"/>
                <w:szCs w:val="21"/>
                <w:highlight w:val="none"/>
              </w:rPr>
              <w:t>本项目不收取。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7"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10</w:t>
            </w:r>
          </w:p>
        </w:tc>
        <w:tc>
          <w:tcPr>
            <w:tcW w:w="1677" w:type="dxa"/>
            <w:vAlign w:val="center"/>
          </w:tcPr>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履约保证金</w:t>
            </w:r>
          </w:p>
        </w:tc>
        <w:tc>
          <w:tcPr>
            <w:tcW w:w="6392" w:type="dxa"/>
            <w:vAlign w:val="center"/>
          </w:tcPr>
          <w:p>
            <w:pPr>
              <w:pStyle w:val="67"/>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本项目不收取。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11</w:t>
            </w:r>
          </w:p>
        </w:tc>
        <w:tc>
          <w:tcPr>
            <w:tcW w:w="1677" w:type="dxa"/>
            <w:vAlign w:val="center"/>
          </w:tcPr>
          <w:p>
            <w:pPr>
              <w:snapToGrid w:val="0"/>
              <w:ind w:left="160" w:right="160"/>
              <w:jc w:val="center"/>
              <w:rPr>
                <w:rFonts w:ascii="仿宋" w:hAnsi="仿宋" w:eastAsia="仿宋" w:cs="仿宋"/>
                <w:kern w:val="2"/>
                <w:sz w:val="21"/>
                <w:szCs w:val="21"/>
                <w:highlight w:val="none"/>
                <w:lang w:val="zh-CN"/>
              </w:rPr>
            </w:pPr>
            <w:r>
              <w:rPr>
                <w:rFonts w:hint="eastAsia" w:ascii="仿宋" w:hAnsi="仿宋" w:eastAsia="仿宋" w:cs="仿宋"/>
                <w:sz w:val="21"/>
                <w:szCs w:val="21"/>
                <w:highlight w:val="none"/>
              </w:rPr>
              <w:t>评审情况公告</w:t>
            </w:r>
          </w:p>
        </w:tc>
        <w:tc>
          <w:tcPr>
            <w:tcW w:w="6392" w:type="dxa"/>
            <w:vAlign w:val="center"/>
          </w:tcPr>
          <w:p>
            <w:pPr>
              <w:snapToGrid w:val="0"/>
              <w:jc w:val="left"/>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rPr>
              <w:t>按照《中华人民共和国政府采购法实施条例》等相关规定，在指定网站公示相关评审情况。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12</w:t>
            </w:r>
          </w:p>
        </w:tc>
        <w:tc>
          <w:tcPr>
            <w:tcW w:w="1677" w:type="dxa"/>
            <w:vAlign w:val="center"/>
          </w:tcPr>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rPr>
              <w:t>磋商文件咨询</w:t>
            </w:r>
          </w:p>
        </w:tc>
        <w:tc>
          <w:tcPr>
            <w:tcW w:w="6392" w:type="dxa"/>
            <w:vAlign w:val="center"/>
          </w:tcPr>
          <w:p>
            <w:pPr>
              <w:snapToGrid w:val="0"/>
              <w:jc w:val="left"/>
              <w:rPr>
                <w:rFonts w:ascii="仿宋" w:hAnsi="仿宋" w:eastAsia="仿宋" w:cs="仿宋"/>
                <w:sz w:val="21"/>
                <w:szCs w:val="21"/>
                <w:highlight w:val="none"/>
                <w:lang w:val="zh-CN"/>
              </w:rPr>
            </w:pPr>
            <w:r>
              <w:rPr>
                <w:rFonts w:hint="eastAsia" w:ascii="仿宋" w:hAnsi="仿宋" w:eastAsia="仿宋" w:cs="仿宋"/>
                <w:sz w:val="21"/>
                <w:szCs w:val="21"/>
                <w:highlight w:val="none"/>
              </w:rPr>
              <w:t>联系人：</w:t>
            </w:r>
            <w:r>
              <w:rPr>
                <w:rFonts w:hint="eastAsia" w:ascii="仿宋" w:hAnsi="仿宋" w:eastAsia="仿宋" w:cs="仿宋"/>
                <w:sz w:val="21"/>
                <w:szCs w:val="21"/>
                <w:highlight w:val="none"/>
                <w:lang w:val="zh-CN"/>
              </w:rPr>
              <w:t>马先生。</w:t>
            </w:r>
            <w:r>
              <w:rPr>
                <w:rFonts w:hint="eastAsia" w:ascii="仿宋" w:hAnsi="仿宋" w:eastAsia="仿宋" w:cs="仿宋"/>
                <w:sz w:val="21"/>
                <w:szCs w:val="21"/>
                <w:highlight w:val="none"/>
              </w:rPr>
              <w:t xml:space="preserve">       联系电话：028-67171868</w:t>
            </w:r>
            <w:r>
              <w:rPr>
                <w:rFonts w:hint="eastAsia" w:ascii="仿宋" w:hAnsi="仿宋" w:eastAsia="仿宋" w:cs="仿宋"/>
                <w:sz w:val="21"/>
                <w:szCs w:val="21"/>
                <w:highlight w:val="none"/>
                <w:lang w:val="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13</w:t>
            </w:r>
          </w:p>
        </w:tc>
        <w:tc>
          <w:tcPr>
            <w:tcW w:w="1677" w:type="dxa"/>
            <w:vAlign w:val="center"/>
          </w:tcPr>
          <w:p>
            <w:pPr>
              <w:pStyle w:val="67"/>
              <w:snapToGrid w:val="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rPr>
              <w:t>评审工作咨询</w:t>
            </w:r>
          </w:p>
        </w:tc>
        <w:tc>
          <w:tcPr>
            <w:tcW w:w="6392" w:type="dxa"/>
            <w:vAlign w:val="center"/>
          </w:tcPr>
          <w:p>
            <w:pPr>
              <w:snapToGrid w:val="0"/>
              <w:jc w:val="left"/>
              <w:rPr>
                <w:rFonts w:ascii="仿宋" w:hAnsi="仿宋" w:eastAsia="仿宋" w:cs="仿宋"/>
                <w:sz w:val="21"/>
                <w:szCs w:val="21"/>
                <w:highlight w:val="none"/>
                <w:lang w:val="zh-CN"/>
              </w:rPr>
            </w:pPr>
            <w:r>
              <w:rPr>
                <w:rFonts w:hint="eastAsia" w:ascii="仿宋" w:hAnsi="仿宋" w:eastAsia="仿宋" w:cs="仿宋"/>
                <w:sz w:val="21"/>
                <w:szCs w:val="21"/>
                <w:highlight w:val="none"/>
              </w:rPr>
              <w:t>联系人：</w:t>
            </w:r>
            <w:r>
              <w:rPr>
                <w:rFonts w:hint="eastAsia" w:ascii="仿宋" w:hAnsi="仿宋" w:eastAsia="仿宋" w:cs="仿宋"/>
                <w:sz w:val="21"/>
                <w:szCs w:val="21"/>
                <w:highlight w:val="none"/>
                <w:lang w:val="zh-CN"/>
              </w:rPr>
              <w:t>马先生。</w:t>
            </w:r>
            <w:r>
              <w:rPr>
                <w:rFonts w:hint="eastAsia" w:ascii="仿宋" w:hAnsi="仿宋" w:eastAsia="仿宋" w:cs="仿宋"/>
                <w:sz w:val="21"/>
                <w:szCs w:val="21"/>
                <w:highlight w:val="none"/>
              </w:rPr>
              <w:t xml:space="preserve">       联系电话：028-67171868</w:t>
            </w:r>
            <w:r>
              <w:rPr>
                <w:rFonts w:hint="eastAsia" w:ascii="仿宋" w:hAnsi="仿宋" w:eastAsia="仿宋" w:cs="仿宋"/>
                <w:sz w:val="21"/>
                <w:szCs w:val="21"/>
                <w:highlight w:val="none"/>
                <w:lang w:val="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14</w:t>
            </w:r>
          </w:p>
        </w:tc>
        <w:tc>
          <w:tcPr>
            <w:tcW w:w="1677" w:type="dxa"/>
            <w:vAlign w:val="center"/>
          </w:tcPr>
          <w:p>
            <w:pPr>
              <w:snapToGrid w:val="0"/>
              <w:ind w:left="160" w:right="160"/>
              <w:jc w:val="center"/>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rPr>
              <w:t>成交通知书领取</w:t>
            </w:r>
          </w:p>
        </w:tc>
        <w:tc>
          <w:tcPr>
            <w:tcW w:w="6392" w:type="dxa"/>
            <w:vAlign w:val="center"/>
          </w:tcPr>
          <w:p>
            <w:pPr>
              <w:tabs>
                <w:tab w:val="left" w:pos="7665"/>
              </w:tabs>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成交公告在</w:t>
            </w:r>
            <w:r>
              <w:rPr>
                <w:rFonts w:ascii="仿宋" w:hAnsi="仿宋" w:eastAsia="仿宋" w:cs="仿宋"/>
                <w:kern w:val="2"/>
                <w:sz w:val="21"/>
                <w:szCs w:val="21"/>
                <w:highlight w:val="none"/>
              </w:rPr>
              <w:t>四川政府采购网</w:t>
            </w:r>
            <w:r>
              <w:rPr>
                <w:rFonts w:hint="eastAsia" w:ascii="仿宋" w:hAnsi="仿宋" w:eastAsia="仿宋" w:cs="仿宋"/>
                <w:kern w:val="2"/>
                <w:sz w:val="21"/>
                <w:szCs w:val="21"/>
                <w:highlight w:val="none"/>
              </w:rPr>
              <w:t>上公告后，请成交供应商凭公司介绍信及经办人身份证复印件（加盖公章）到</w:t>
            </w:r>
            <w:r>
              <w:rPr>
                <w:rFonts w:hint="eastAsia" w:ascii="仿宋" w:hAnsi="仿宋" w:eastAsia="仿宋" w:cs="仿宋"/>
                <w:kern w:val="2"/>
                <w:sz w:val="21"/>
                <w:szCs w:val="21"/>
                <w:highlight w:val="none"/>
                <w:lang w:val="zh-CN"/>
              </w:rPr>
              <w:t>四川正汇恒招标代理有限公司</w:t>
            </w:r>
            <w:r>
              <w:rPr>
                <w:rFonts w:hint="eastAsia" w:ascii="仿宋" w:hAnsi="仿宋" w:eastAsia="仿宋" w:cs="仿宋"/>
                <w:kern w:val="2"/>
                <w:sz w:val="21"/>
                <w:szCs w:val="21"/>
                <w:highlight w:val="none"/>
              </w:rPr>
              <w:t>领取成交通知书。</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联系人：张女士。</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联系电话：</w:t>
            </w:r>
            <w:r>
              <w:rPr>
                <w:rFonts w:hint="eastAsia" w:ascii="仿宋" w:hAnsi="仿宋" w:eastAsia="仿宋" w:cs="仿宋"/>
                <w:kern w:val="2"/>
                <w:sz w:val="21"/>
                <w:szCs w:val="21"/>
                <w:highlight w:val="none"/>
              </w:rPr>
              <w:t>028-67171868</w:t>
            </w:r>
            <w:r>
              <w:rPr>
                <w:rFonts w:hint="eastAsia" w:ascii="仿宋" w:hAnsi="仿宋" w:eastAsia="仿宋" w:cs="仿宋"/>
                <w:kern w:val="2"/>
                <w:sz w:val="21"/>
                <w:szCs w:val="21"/>
                <w:highlight w:val="none"/>
                <w:lang w:val="zh-CN"/>
              </w:rPr>
              <w:t>。</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地址：</w:t>
            </w:r>
            <w:r>
              <w:rPr>
                <w:rFonts w:hint="eastAsia" w:ascii="仿宋" w:hAnsi="仿宋" w:eastAsia="仿宋" w:cs="仿宋"/>
                <w:kern w:val="2"/>
                <w:sz w:val="21"/>
                <w:szCs w:val="21"/>
                <w:highlight w:val="none"/>
              </w:rPr>
              <w:t>成都市高新区吉泰路666号1栋9层10号(花样年福年广场)</w:t>
            </w:r>
            <w:r>
              <w:rPr>
                <w:rFonts w:hint="eastAsia" w:ascii="仿宋" w:hAnsi="仿宋" w:eastAsia="仿宋" w:cs="仿宋"/>
                <w:kern w:val="2"/>
                <w:sz w:val="21"/>
                <w:szCs w:val="21"/>
                <w:highlight w:val="none"/>
                <w:lang w:val="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15</w:t>
            </w:r>
          </w:p>
        </w:tc>
        <w:tc>
          <w:tcPr>
            <w:tcW w:w="1677" w:type="dxa"/>
          </w:tcPr>
          <w:p>
            <w:pPr>
              <w:pStyle w:val="67"/>
              <w:snapToGrid w:val="0"/>
              <w:jc w:val="center"/>
              <w:rPr>
                <w:rFonts w:ascii="仿宋" w:hAnsi="仿宋" w:eastAsia="仿宋" w:cs="仿宋"/>
                <w:kern w:val="2"/>
                <w:sz w:val="21"/>
                <w:szCs w:val="21"/>
                <w:highlight w:val="none"/>
              </w:rPr>
            </w:pPr>
          </w:p>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供应商询问</w:t>
            </w:r>
          </w:p>
        </w:tc>
        <w:tc>
          <w:tcPr>
            <w:tcW w:w="6392" w:type="dxa"/>
          </w:tcPr>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rPr>
              <w:t>根据委托代理协议约定，供应商询问由</w:t>
            </w:r>
            <w:r>
              <w:rPr>
                <w:rFonts w:hint="eastAsia" w:ascii="仿宋" w:hAnsi="仿宋" w:eastAsia="仿宋" w:cs="仿宋"/>
                <w:kern w:val="2"/>
                <w:sz w:val="21"/>
                <w:szCs w:val="21"/>
                <w:highlight w:val="none"/>
                <w:lang w:val="zh-CN"/>
              </w:rPr>
              <w:t>四川正汇恒招标代理有限公司负责答复。</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联系人：</w:t>
            </w:r>
            <w:r>
              <w:rPr>
                <w:rFonts w:hint="eastAsia" w:ascii="仿宋" w:hAnsi="仿宋" w:eastAsia="仿宋" w:cs="仿宋"/>
                <w:kern w:val="2"/>
                <w:sz w:val="21"/>
                <w:szCs w:val="21"/>
                <w:highlight w:val="none"/>
                <w:u w:val="single"/>
                <w:lang w:val="zh-CN"/>
              </w:rPr>
              <w:t>马先生</w:t>
            </w:r>
            <w:r>
              <w:rPr>
                <w:rFonts w:hint="eastAsia" w:ascii="仿宋" w:hAnsi="仿宋" w:eastAsia="仿宋" w:cs="仿宋"/>
                <w:kern w:val="2"/>
                <w:sz w:val="21"/>
                <w:szCs w:val="21"/>
                <w:highlight w:val="none"/>
                <w:lang w:val="zh-CN"/>
              </w:rPr>
              <w:t>。联系电话：028--67171868。</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地址：成都市高新区天府三街吉泰路666号T1-9</w:t>
            </w:r>
            <w:r>
              <w:rPr>
                <w:rFonts w:hint="eastAsia" w:ascii="仿宋" w:hAnsi="仿宋" w:eastAsia="仿宋" w:cs="仿宋"/>
                <w:kern w:val="2"/>
                <w:sz w:val="21"/>
                <w:szCs w:val="21"/>
                <w:highlight w:val="none"/>
              </w:rPr>
              <w:t>10</w:t>
            </w:r>
            <w:r>
              <w:rPr>
                <w:rFonts w:hint="eastAsia" w:ascii="仿宋" w:hAnsi="仿宋" w:eastAsia="仿宋" w:cs="仿宋"/>
                <w:kern w:val="2"/>
                <w:sz w:val="21"/>
                <w:szCs w:val="21"/>
                <w:highlight w:val="none"/>
                <w:lang w:val="zh-CN"/>
              </w:rPr>
              <w:t>(花样年福年广场)</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邮编：610094。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16</w:t>
            </w:r>
          </w:p>
        </w:tc>
        <w:tc>
          <w:tcPr>
            <w:tcW w:w="1677" w:type="dxa"/>
            <w:vAlign w:val="center"/>
          </w:tcPr>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供应商质疑</w:t>
            </w:r>
          </w:p>
        </w:tc>
        <w:tc>
          <w:tcPr>
            <w:tcW w:w="6392" w:type="dxa"/>
            <w:vAlign w:val="center"/>
          </w:tcPr>
          <w:p>
            <w:pPr>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根据委托代理协议约定，对于磋商文件、采购过程、采购结果的质疑由四川正汇恒招标代理有限公司负责答复。</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联系人：</w:t>
            </w:r>
            <w:r>
              <w:rPr>
                <w:rFonts w:hint="eastAsia" w:ascii="仿宋" w:hAnsi="仿宋" w:eastAsia="仿宋" w:cs="仿宋"/>
                <w:kern w:val="2"/>
                <w:sz w:val="21"/>
                <w:szCs w:val="21"/>
                <w:highlight w:val="none"/>
                <w:u w:val="single"/>
                <w:lang w:val="zh-CN"/>
              </w:rPr>
              <w:t>马先生</w:t>
            </w:r>
            <w:r>
              <w:rPr>
                <w:rFonts w:hint="eastAsia" w:ascii="仿宋" w:hAnsi="仿宋" w:eastAsia="仿宋" w:cs="仿宋"/>
                <w:kern w:val="2"/>
                <w:sz w:val="21"/>
                <w:szCs w:val="21"/>
                <w:highlight w:val="none"/>
                <w:lang w:val="zh-CN"/>
              </w:rPr>
              <w:t>。联系电话：028-67171868。</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地址：成都市高新区天府三街吉泰路666号T1-9</w:t>
            </w:r>
            <w:r>
              <w:rPr>
                <w:rFonts w:hint="eastAsia" w:ascii="仿宋" w:hAnsi="仿宋" w:eastAsia="仿宋" w:cs="仿宋"/>
                <w:kern w:val="2"/>
                <w:sz w:val="21"/>
                <w:szCs w:val="21"/>
                <w:highlight w:val="none"/>
              </w:rPr>
              <w:t>10</w:t>
            </w:r>
            <w:r>
              <w:rPr>
                <w:rFonts w:hint="eastAsia" w:ascii="仿宋" w:hAnsi="仿宋" w:eastAsia="仿宋" w:cs="仿宋"/>
                <w:kern w:val="2"/>
                <w:sz w:val="21"/>
                <w:szCs w:val="21"/>
                <w:highlight w:val="none"/>
                <w:lang w:val="zh-CN"/>
              </w:rPr>
              <w:t>(花样年福年广场)</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邮编：610094。</w:t>
            </w:r>
          </w:p>
          <w:p>
            <w:pPr>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lang w:val="zh-CN"/>
              </w:rPr>
              <w:t>注：根据《中华人民共和国政府采购法》的规定，供应商质疑不得超出磋商文件、采购过程、采购结果的范围。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17</w:t>
            </w:r>
          </w:p>
        </w:tc>
        <w:tc>
          <w:tcPr>
            <w:tcW w:w="1677" w:type="dxa"/>
            <w:vAlign w:val="center"/>
          </w:tcPr>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供应商投诉</w:t>
            </w:r>
          </w:p>
        </w:tc>
        <w:tc>
          <w:tcPr>
            <w:tcW w:w="6392" w:type="dxa"/>
          </w:tcPr>
          <w:p>
            <w:pPr>
              <w:tabs>
                <w:tab w:val="left" w:pos="7665"/>
              </w:tabs>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 xml:space="preserve">投诉受理单位：本采购项目同级财政部门，即成都市财政局。 </w:t>
            </w:r>
          </w:p>
          <w:p>
            <w:pPr>
              <w:tabs>
                <w:tab w:val="left" w:pos="7665"/>
              </w:tabs>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联系电话：028-61882648。</w:t>
            </w:r>
          </w:p>
          <w:p>
            <w:pPr>
              <w:tabs>
                <w:tab w:val="left" w:pos="7665"/>
              </w:tabs>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地址：成都高新区锦城大道366号。</w:t>
            </w:r>
          </w:p>
          <w:p>
            <w:pPr>
              <w:tabs>
                <w:tab w:val="left" w:pos="7665"/>
              </w:tabs>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邮编：610000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18</w:t>
            </w:r>
          </w:p>
        </w:tc>
        <w:tc>
          <w:tcPr>
            <w:tcW w:w="1677" w:type="dxa"/>
            <w:vAlign w:val="center"/>
          </w:tcPr>
          <w:p>
            <w:pPr>
              <w:pStyle w:val="67"/>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招标代理服务费</w:t>
            </w:r>
          </w:p>
        </w:tc>
        <w:tc>
          <w:tcPr>
            <w:tcW w:w="6392" w:type="dxa"/>
          </w:tcPr>
          <w:p>
            <w:pPr>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本磋商文件特别约定，采购人向采购代理机构交纳代理服务费17000元。</w:t>
            </w:r>
          </w:p>
          <w:p>
            <w:pPr>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服务费缴纳账户信息</w:t>
            </w:r>
          </w:p>
          <w:p>
            <w:pPr>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采购代理机构：四川正汇恒招标代理有限公司</w:t>
            </w:r>
          </w:p>
          <w:p>
            <w:pPr>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开户银行：中国农业银行成都高新技术产业开发区支行</w:t>
            </w:r>
          </w:p>
          <w:p>
            <w:pPr>
              <w:snapToGrid w:val="0"/>
              <w:rPr>
                <w:rFonts w:ascii="仿宋" w:hAnsi="仿宋" w:eastAsia="仿宋" w:cs="仿宋"/>
                <w:kern w:val="2"/>
                <w:sz w:val="21"/>
                <w:szCs w:val="21"/>
                <w:highlight w:val="none"/>
              </w:rPr>
            </w:pPr>
            <w:r>
              <w:rPr>
                <w:rFonts w:hint="eastAsia" w:ascii="仿宋" w:hAnsi="仿宋" w:eastAsia="仿宋" w:cs="仿宋"/>
                <w:kern w:val="2"/>
                <w:sz w:val="21"/>
                <w:szCs w:val="21"/>
                <w:highlight w:val="none"/>
              </w:rPr>
              <w:t>账    号：2280 8201 0400 04093</w:t>
            </w:r>
          </w:p>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rPr>
              <w:t>行    号：1036501080880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19</w:t>
            </w:r>
          </w:p>
        </w:tc>
        <w:tc>
          <w:tcPr>
            <w:tcW w:w="1677" w:type="dxa"/>
            <w:vAlign w:val="center"/>
          </w:tcPr>
          <w:p>
            <w:pPr>
              <w:tabs>
                <w:tab w:val="left" w:pos="7665"/>
              </w:tabs>
              <w:snapToGrid w:val="0"/>
              <w:spacing w:line="360" w:lineRule="auto"/>
              <w:jc w:val="left"/>
              <w:rPr>
                <w:rFonts w:ascii="仿宋" w:hAnsi="仿宋" w:eastAsia="仿宋" w:cs="仿宋"/>
                <w:kern w:val="2"/>
                <w:sz w:val="21"/>
                <w:szCs w:val="21"/>
                <w:highlight w:val="none"/>
              </w:rPr>
            </w:pPr>
            <w:r>
              <w:rPr>
                <w:rFonts w:hint="eastAsia" w:ascii="仿宋" w:hAnsi="仿宋" w:eastAsia="仿宋" w:cs="仿宋"/>
                <w:kern w:val="2"/>
                <w:sz w:val="21"/>
                <w:szCs w:val="21"/>
                <w:highlight w:val="none"/>
                <w:lang w:val="zh-CN"/>
              </w:rPr>
              <w:t>严禁虚假承诺告知</w:t>
            </w:r>
          </w:p>
        </w:tc>
        <w:tc>
          <w:tcPr>
            <w:tcW w:w="6392" w:type="dxa"/>
            <w:vAlign w:val="center"/>
          </w:tcPr>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供应商参与政府采购活动严禁提供虚假承诺，如提供虚假承诺，采购人或代理机构将报告监管部门严肃追究法律责任。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20</w:t>
            </w:r>
          </w:p>
        </w:tc>
        <w:tc>
          <w:tcPr>
            <w:tcW w:w="1677" w:type="dxa"/>
            <w:vAlign w:val="center"/>
          </w:tcPr>
          <w:p>
            <w:pPr>
              <w:tabs>
                <w:tab w:val="left" w:pos="7665"/>
              </w:tabs>
              <w:snapToGrid w:val="0"/>
              <w:spacing w:line="360" w:lineRule="auto"/>
              <w:rPr>
                <w:rFonts w:ascii="仿宋" w:hAnsi="仿宋" w:eastAsia="仿宋" w:cs="仿宋"/>
                <w:kern w:val="2"/>
                <w:sz w:val="21"/>
                <w:szCs w:val="21"/>
                <w:highlight w:val="none"/>
              </w:rPr>
            </w:pPr>
            <w:r>
              <w:rPr>
                <w:rFonts w:hint="eastAsia" w:ascii="仿宋" w:hAnsi="仿宋" w:eastAsia="仿宋" w:cs="仿宋"/>
                <w:kern w:val="2"/>
                <w:sz w:val="21"/>
                <w:szCs w:val="21"/>
                <w:highlight w:val="none"/>
                <w:lang w:val="zh-CN"/>
              </w:rPr>
              <w:t>政府采购信用融资</w:t>
            </w:r>
          </w:p>
        </w:tc>
        <w:tc>
          <w:tcPr>
            <w:tcW w:w="6392" w:type="dxa"/>
            <w:vAlign w:val="center"/>
          </w:tcPr>
          <w:p>
            <w:pPr>
              <w:snapToGrid w:val="0"/>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本项目为支持执行政府采购信用融资项目，政策文件附后。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10" w:type="dxa"/>
            <w:vAlign w:val="center"/>
          </w:tcPr>
          <w:p>
            <w:pPr>
              <w:snapToGrid w:val="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21</w:t>
            </w:r>
          </w:p>
        </w:tc>
        <w:tc>
          <w:tcPr>
            <w:tcW w:w="8069" w:type="dxa"/>
            <w:gridSpan w:val="2"/>
            <w:vAlign w:val="center"/>
          </w:tcPr>
          <w:p>
            <w:pPr>
              <w:tabs>
                <w:tab w:val="left" w:pos="7665"/>
              </w:tabs>
              <w:snapToGrid w:val="0"/>
              <w:spacing w:line="360" w:lineRule="auto"/>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本项目优先采购本国货物和服务，必须进行的技术引进和转让需符合国家政策和有利于国内行业的发展。</w:t>
            </w:r>
          </w:p>
          <w:p>
            <w:pPr>
              <w:tabs>
                <w:tab w:val="left" w:pos="7665"/>
              </w:tabs>
              <w:snapToGrid w:val="0"/>
              <w:spacing w:line="360" w:lineRule="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如</w:t>
            </w:r>
            <w:r>
              <w:rPr>
                <w:rFonts w:hint="eastAsia" w:ascii="仿宋" w:hAnsi="仿宋" w:eastAsia="仿宋" w:cs="仿宋"/>
                <w:kern w:val="2"/>
                <w:sz w:val="21"/>
                <w:szCs w:val="21"/>
                <w:highlight w:val="none"/>
                <w:lang w:val="zh-CN"/>
              </w:rPr>
              <w:t>涉及</w:t>
            </w:r>
            <w:r>
              <w:rPr>
                <w:rFonts w:hint="eastAsia" w:ascii="仿宋" w:hAnsi="仿宋" w:eastAsia="仿宋" w:cs="仿宋"/>
                <w:kern w:val="2"/>
                <w:sz w:val="21"/>
                <w:szCs w:val="21"/>
                <w:highlight w:val="none"/>
              </w:rPr>
              <w:t>采购的</w:t>
            </w:r>
            <w:r>
              <w:rPr>
                <w:rFonts w:hint="eastAsia" w:ascii="仿宋" w:hAnsi="仿宋" w:eastAsia="仿宋" w:cs="仿宋"/>
                <w:kern w:val="2"/>
                <w:sz w:val="21"/>
                <w:szCs w:val="21"/>
                <w:highlight w:val="none"/>
                <w:lang w:val="zh-CN"/>
              </w:rPr>
              <w:t>设备、材料在《</w:t>
            </w:r>
            <w:r>
              <w:rPr>
                <w:rFonts w:hint="eastAsia" w:ascii="仿宋" w:hAnsi="仿宋" w:eastAsia="仿宋" w:cs="仿宋"/>
                <w:kern w:val="2"/>
                <w:sz w:val="21"/>
                <w:szCs w:val="21"/>
                <w:highlight w:val="none"/>
              </w:rPr>
              <w:t>关于印发节能产品政府采购品目清单的通知</w:t>
            </w:r>
            <w:r>
              <w:rPr>
                <w:rFonts w:hint="eastAsia" w:ascii="仿宋" w:hAnsi="仿宋" w:eastAsia="仿宋" w:cs="仿宋"/>
                <w:kern w:val="2"/>
                <w:sz w:val="21"/>
                <w:szCs w:val="21"/>
                <w:highlight w:val="none"/>
                <w:lang w:val="zh-CN"/>
              </w:rPr>
              <w:t>》（财库</w:t>
            </w:r>
            <w:r>
              <w:rPr>
                <w:rFonts w:hint="eastAsia" w:ascii="仿宋" w:hAnsi="仿宋" w:eastAsia="仿宋" w:cs="仿宋"/>
                <w:kern w:val="2"/>
                <w:sz w:val="21"/>
                <w:szCs w:val="21"/>
                <w:highlight w:val="none"/>
              </w:rPr>
              <w:t>〔2019〕19号</w:t>
            </w:r>
            <w:r>
              <w:rPr>
                <w:rFonts w:hint="eastAsia" w:ascii="仿宋" w:hAnsi="仿宋" w:eastAsia="仿宋" w:cs="仿宋"/>
                <w:kern w:val="2"/>
                <w:sz w:val="21"/>
                <w:szCs w:val="21"/>
                <w:highlight w:val="none"/>
                <w:lang w:val="zh-CN"/>
              </w:rPr>
              <w:t>）</w:t>
            </w:r>
            <w:r>
              <w:rPr>
                <w:rFonts w:hint="eastAsia" w:ascii="仿宋" w:hAnsi="仿宋" w:eastAsia="仿宋" w:cs="仿宋"/>
                <w:kern w:val="2"/>
                <w:sz w:val="21"/>
                <w:szCs w:val="21"/>
                <w:highlight w:val="none"/>
              </w:rPr>
              <w:t>内的应按照相关政策严格执行强制采购和优先采购政策。供应商应自行提供国家确定的认证机构出具的、处于有效期之内的节能产品认证证书。</w:t>
            </w:r>
          </w:p>
          <w:p>
            <w:pPr>
              <w:tabs>
                <w:tab w:val="left" w:pos="7665"/>
              </w:tabs>
              <w:snapToGrid w:val="0"/>
              <w:spacing w:line="360" w:lineRule="auto"/>
              <w:rPr>
                <w:rFonts w:ascii="仿宋" w:hAnsi="仿宋" w:eastAsia="仿宋" w:cs="仿宋"/>
                <w:kern w:val="2"/>
                <w:sz w:val="21"/>
                <w:szCs w:val="21"/>
                <w:highlight w:val="none"/>
              </w:rPr>
            </w:pPr>
            <w:r>
              <w:rPr>
                <w:rFonts w:hint="eastAsia" w:ascii="仿宋" w:hAnsi="仿宋" w:eastAsia="仿宋" w:cs="仿宋"/>
                <w:kern w:val="2"/>
                <w:sz w:val="21"/>
                <w:szCs w:val="21"/>
                <w:highlight w:val="none"/>
              </w:rPr>
              <w:t>如</w:t>
            </w:r>
            <w:r>
              <w:rPr>
                <w:rFonts w:hint="eastAsia" w:ascii="仿宋" w:hAnsi="仿宋" w:eastAsia="仿宋" w:cs="仿宋"/>
                <w:kern w:val="2"/>
                <w:sz w:val="21"/>
                <w:szCs w:val="21"/>
                <w:highlight w:val="none"/>
                <w:lang w:val="zh-CN"/>
              </w:rPr>
              <w:t>涉及</w:t>
            </w:r>
            <w:r>
              <w:rPr>
                <w:rFonts w:hint="eastAsia" w:ascii="仿宋" w:hAnsi="仿宋" w:eastAsia="仿宋" w:cs="仿宋"/>
                <w:kern w:val="2"/>
                <w:sz w:val="21"/>
                <w:szCs w:val="21"/>
                <w:highlight w:val="none"/>
              </w:rPr>
              <w:t>采购的</w:t>
            </w:r>
            <w:r>
              <w:rPr>
                <w:rFonts w:hint="eastAsia" w:ascii="仿宋" w:hAnsi="仿宋" w:eastAsia="仿宋" w:cs="仿宋"/>
                <w:kern w:val="2"/>
                <w:sz w:val="21"/>
                <w:szCs w:val="21"/>
                <w:highlight w:val="none"/>
                <w:lang w:val="zh-CN"/>
              </w:rPr>
              <w:t>设备、材料在《</w:t>
            </w:r>
            <w:r>
              <w:rPr>
                <w:rFonts w:hint="eastAsia" w:ascii="仿宋" w:hAnsi="仿宋" w:eastAsia="仿宋" w:cs="仿宋"/>
                <w:kern w:val="2"/>
                <w:sz w:val="21"/>
                <w:szCs w:val="21"/>
                <w:highlight w:val="none"/>
              </w:rPr>
              <w:t>关于印发环境标志产品政府采购品目清单的通知</w:t>
            </w:r>
            <w:r>
              <w:rPr>
                <w:rFonts w:hint="eastAsia" w:ascii="仿宋" w:hAnsi="仿宋" w:eastAsia="仿宋" w:cs="仿宋"/>
                <w:kern w:val="2"/>
                <w:sz w:val="21"/>
                <w:szCs w:val="21"/>
                <w:highlight w:val="none"/>
                <w:lang w:val="zh-CN"/>
              </w:rPr>
              <w:t>》（财库</w:t>
            </w:r>
            <w:r>
              <w:rPr>
                <w:rFonts w:hint="eastAsia" w:ascii="仿宋" w:hAnsi="仿宋" w:eastAsia="仿宋" w:cs="仿宋"/>
                <w:kern w:val="2"/>
                <w:sz w:val="21"/>
                <w:szCs w:val="21"/>
                <w:highlight w:val="none"/>
              </w:rPr>
              <w:t>〔2019〕18号</w:t>
            </w:r>
            <w:r>
              <w:rPr>
                <w:rFonts w:hint="eastAsia" w:ascii="仿宋" w:hAnsi="仿宋" w:eastAsia="仿宋" w:cs="仿宋"/>
                <w:kern w:val="2"/>
                <w:sz w:val="21"/>
                <w:szCs w:val="21"/>
                <w:highlight w:val="none"/>
                <w:lang w:val="zh-CN"/>
              </w:rPr>
              <w:t>）</w:t>
            </w:r>
            <w:r>
              <w:rPr>
                <w:rFonts w:hint="eastAsia" w:ascii="仿宋" w:hAnsi="仿宋" w:eastAsia="仿宋" w:cs="仿宋"/>
                <w:kern w:val="2"/>
                <w:sz w:val="21"/>
                <w:szCs w:val="21"/>
                <w:highlight w:val="none"/>
              </w:rPr>
              <w:t>内的</w:t>
            </w:r>
            <w:r>
              <w:rPr>
                <w:rFonts w:hint="eastAsia" w:ascii="仿宋" w:hAnsi="仿宋" w:eastAsia="仿宋" w:cs="仿宋"/>
                <w:kern w:val="2"/>
                <w:sz w:val="21"/>
                <w:szCs w:val="21"/>
                <w:highlight w:val="none"/>
                <w:lang w:val="zh-CN"/>
              </w:rPr>
              <w:t>，</w:t>
            </w:r>
            <w:r>
              <w:rPr>
                <w:rFonts w:hint="eastAsia" w:ascii="仿宋" w:hAnsi="仿宋" w:eastAsia="仿宋" w:cs="仿宋"/>
                <w:kern w:val="2"/>
                <w:sz w:val="21"/>
                <w:szCs w:val="21"/>
                <w:highlight w:val="none"/>
              </w:rPr>
              <w:t>应按照相关政策严格优先采购政策</w:t>
            </w:r>
            <w:r>
              <w:rPr>
                <w:rFonts w:hint="eastAsia" w:ascii="仿宋" w:hAnsi="仿宋" w:eastAsia="仿宋" w:cs="仿宋"/>
                <w:kern w:val="2"/>
                <w:sz w:val="21"/>
                <w:szCs w:val="21"/>
                <w:highlight w:val="none"/>
                <w:lang w:val="zh-CN"/>
              </w:rPr>
              <w:t>。</w:t>
            </w:r>
            <w:r>
              <w:rPr>
                <w:rFonts w:hint="eastAsia" w:ascii="仿宋" w:hAnsi="仿宋" w:eastAsia="仿宋" w:cs="仿宋"/>
                <w:kern w:val="2"/>
                <w:sz w:val="21"/>
                <w:szCs w:val="21"/>
                <w:highlight w:val="none"/>
              </w:rPr>
              <w:t>供应商应自行提供国家确定的认证机构出具的、处于有效期之内的环境标志产品认证证书。</w:t>
            </w:r>
          </w:p>
          <w:p>
            <w:pPr>
              <w:tabs>
                <w:tab w:val="left" w:pos="7665"/>
              </w:tabs>
              <w:snapToGrid w:val="0"/>
              <w:spacing w:line="360" w:lineRule="auto"/>
              <w:rPr>
                <w:rFonts w:ascii="仿宋" w:hAnsi="仿宋" w:eastAsia="仿宋" w:cs="仿宋"/>
                <w:kern w:val="2"/>
                <w:sz w:val="21"/>
                <w:szCs w:val="21"/>
                <w:highlight w:val="none"/>
                <w:lang w:val="zh-CN"/>
              </w:rPr>
            </w:pPr>
            <w:r>
              <w:rPr>
                <w:rFonts w:hint="eastAsia" w:ascii="仿宋" w:hAnsi="仿宋" w:eastAsia="仿宋" w:cs="仿宋"/>
                <w:kern w:val="2"/>
                <w:sz w:val="21"/>
                <w:szCs w:val="21"/>
                <w:highlight w:val="none"/>
                <w:lang w:val="zh-CN"/>
              </w:rPr>
              <w:t>如根据《无线局域网产品政府采购实施意见》相关要求，本项目涉及其他国家采购的产品属于中国政府采购扶持政策（少数民族地区和不发达地区、网公布的《无线局域网认证产品等）的，应在响应文件中提供政府采购清单》的，应按照相关证明材料。供应商为政策严格执行优先采购政策。</w:t>
            </w:r>
          </w:p>
          <w:p>
            <w:pPr>
              <w:tabs>
                <w:tab w:val="left" w:pos="7665"/>
              </w:tabs>
              <w:snapToGrid w:val="0"/>
              <w:spacing w:line="360" w:lineRule="auto"/>
              <w:rPr>
                <w:rFonts w:ascii="仿宋" w:hAnsi="仿宋" w:eastAsia="仿宋" w:cs="仿宋"/>
                <w:kern w:val="2"/>
                <w:sz w:val="21"/>
                <w:szCs w:val="21"/>
                <w:highlight w:val="none"/>
              </w:rPr>
            </w:pPr>
            <w:r>
              <w:rPr>
                <w:rFonts w:hint="eastAsia" w:ascii="仿宋" w:hAnsi="仿宋" w:eastAsia="仿宋" w:cs="仿宋"/>
                <w:kern w:val="2"/>
                <w:sz w:val="21"/>
                <w:szCs w:val="21"/>
                <w:highlight w:val="none"/>
                <w:lang w:val="zh-CN"/>
              </w:rPr>
              <w:t>按照《中华人民共和国政府采购法》落实对不发达地区和少数民族地区的扶持政策供应商应提供相关证明材料。</w:t>
            </w:r>
          </w:p>
        </w:tc>
      </w:tr>
    </w:tbl>
    <w:p>
      <w:pPr>
        <w:pStyle w:val="23"/>
        <w:spacing w:line="560" w:lineRule="exact"/>
        <w:rPr>
          <w:rFonts w:ascii="仿宋" w:hAnsi="仿宋" w:eastAsia="仿宋" w:cs="仿宋"/>
          <w:highlight w:val="none"/>
        </w:rPr>
      </w:pPr>
      <w:r>
        <w:rPr>
          <w:rFonts w:ascii="Times New Roman" w:hAnsi="Times New Roman"/>
          <w:highlight w:val="none"/>
        </w:rPr>
        <w:br w:type="page"/>
      </w:r>
      <w:bookmarkStart w:id="13" w:name="_Toc24169"/>
      <w:bookmarkStart w:id="14" w:name="_Toc7901"/>
      <w:bookmarkStart w:id="15" w:name="_Toc29058"/>
      <w:r>
        <w:rPr>
          <w:rFonts w:hint="eastAsia" w:ascii="仿宋" w:hAnsi="仿宋" w:eastAsia="仿宋" w:cs="仿宋"/>
          <w:highlight w:val="none"/>
        </w:rPr>
        <w:t>二、总  则</w:t>
      </w:r>
      <w:bookmarkEnd w:id="13"/>
      <w:bookmarkEnd w:id="14"/>
      <w:bookmarkEnd w:id="15"/>
    </w:p>
    <w:p>
      <w:pPr>
        <w:pStyle w:val="23"/>
        <w:numPr>
          <w:ilvl w:val="0"/>
          <w:numId w:val="5"/>
        </w:numPr>
        <w:spacing w:before="0" w:after="0" w:line="560" w:lineRule="exact"/>
        <w:jc w:val="left"/>
        <w:rPr>
          <w:rFonts w:ascii="仿宋" w:hAnsi="仿宋" w:eastAsia="仿宋" w:cs="仿宋"/>
          <w:sz w:val="24"/>
          <w:highlight w:val="none"/>
        </w:rPr>
      </w:pPr>
      <w:bookmarkStart w:id="16" w:name="_Toc1071"/>
      <w:bookmarkStart w:id="17" w:name="_Toc10422"/>
      <w:bookmarkStart w:id="18" w:name="_Toc18628"/>
      <w:r>
        <w:rPr>
          <w:rFonts w:hint="eastAsia" w:ascii="仿宋" w:hAnsi="仿宋" w:eastAsia="仿宋" w:cs="仿宋"/>
          <w:sz w:val="24"/>
          <w:highlight w:val="none"/>
        </w:rPr>
        <w:t>适用范围</w:t>
      </w:r>
      <w:bookmarkEnd w:id="16"/>
      <w:bookmarkEnd w:id="17"/>
      <w:bookmarkEnd w:id="18"/>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1.1本磋商文件仅适用于本竞争性磋商邀请中所叙述项目的采购。</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1.2本磋商文件的解释权在采购人和采购代理机构。</w:t>
      </w:r>
    </w:p>
    <w:p>
      <w:pPr>
        <w:pStyle w:val="23"/>
        <w:numPr>
          <w:ilvl w:val="0"/>
          <w:numId w:val="5"/>
        </w:numPr>
        <w:spacing w:before="0" w:after="0" w:line="560" w:lineRule="exact"/>
        <w:jc w:val="left"/>
        <w:rPr>
          <w:rFonts w:ascii="仿宋" w:hAnsi="仿宋" w:eastAsia="仿宋" w:cs="仿宋"/>
          <w:sz w:val="24"/>
          <w:highlight w:val="none"/>
        </w:rPr>
      </w:pPr>
      <w:bookmarkStart w:id="19" w:name="_Toc14537"/>
      <w:bookmarkStart w:id="20" w:name="_Toc13436"/>
      <w:bookmarkStart w:id="21" w:name="_Toc29074"/>
      <w:r>
        <w:rPr>
          <w:rFonts w:hint="eastAsia" w:ascii="仿宋" w:hAnsi="仿宋" w:eastAsia="仿宋" w:cs="仿宋"/>
          <w:sz w:val="24"/>
          <w:highlight w:val="none"/>
        </w:rPr>
        <w:t>有关定义</w:t>
      </w:r>
      <w:bookmarkEnd w:id="19"/>
      <w:bookmarkEnd w:id="20"/>
      <w:bookmarkEnd w:id="21"/>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2.1 “采购人”系指依法进行政府采购的国家机关、事业单位、团体组织。本次采购的采购人是</w:t>
      </w:r>
      <w:r>
        <w:rPr>
          <w:rFonts w:hint="eastAsia" w:ascii="仿宋" w:hAnsi="仿宋" w:eastAsia="仿宋" w:cs="仿宋"/>
          <w:bCs/>
          <w:sz w:val="24"/>
          <w:szCs w:val="24"/>
          <w:highlight w:val="none"/>
        </w:rPr>
        <w:t>成都大熊猫繁育研究基地</w:t>
      </w:r>
      <w:r>
        <w:rPr>
          <w:rFonts w:hint="eastAsia" w:ascii="仿宋" w:hAnsi="仿宋" w:eastAsia="仿宋" w:cs="仿宋"/>
          <w:sz w:val="24"/>
          <w:highlight w:val="none"/>
        </w:rPr>
        <w:t>。</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2.2 “采购代理机构”系指根据采购人的委托依法办理采购事宜的采购机构。本次采购的采购代理机构是四川正汇恒招标代理有限公司。</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2.3 “采购组织单位”系指“采购人”和“采购代理机构”的统称。</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2.4 “供应商”系指购买了磋商文件拟参加竞争性磋商和向采购人提供服务的供应商。“乙方”系指成交供应商。</w:t>
      </w:r>
    </w:p>
    <w:p>
      <w:pPr>
        <w:pStyle w:val="23"/>
        <w:numPr>
          <w:ilvl w:val="0"/>
          <w:numId w:val="5"/>
        </w:numPr>
        <w:spacing w:before="0" w:after="0" w:line="560" w:lineRule="exact"/>
        <w:jc w:val="left"/>
        <w:rPr>
          <w:rFonts w:ascii="仿宋" w:hAnsi="仿宋" w:eastAsia="仿宋" w:cs="仿宋"/>
          <w:sz w:val="24"/>
          <w:highlight w:val="none"/>
        </w:rPr>
      </w:pPr>
      <w:bookmarkStart w:id="22" w:name="_Toc10211"/>
      <w:bookmarkStart w:id="23" w:name="_Toc15757"/>
      <w:bookmarkStart w:id="24" w:name="_Toc24569"/>
      <w:r>
        <w:rPr>
          <w:rFonts w:hint="eastAsia" w:ascii="仿宋" w:hAnsi="仿宋" w:eastAsia="仿宋" w:cs="仿宋"/>
          <w:sz w:val="24"/>
          <w:highlight w:val="none"/>
        </w:rPr>
        <w:t>合格的供应商</w:t>
      </w:r>
      <w:bookmarkEnd w:id="22"/>
      <w:bookmarkEnd w:id="23"/>
      <w:bookmarkEnd w:id="24"/>
    </w:p>
    <w:p>
      <w:pPr>
        <w:spacing w:line="460" w:lineRule="exact"/>
        <w:rPr>
          <w:rFonts w:ascii="仿宋" w:hAnsi="仿宋" w:eastAsia="仿宋" w:cs="仿宋"/>
          <w:sz w:val="24"/>
          <w:highlight w:val="none"/>
        </w:rPr>
      </w:pPr>
      <w:r>
        <w:rPr>
          <w:rFonts w:hint="eastAsia" w:ascii="仿宋" w:hAnsi="仿宋" w:eastAsia="仿宋" w:cs="仿宋"/>
          <w:sz w:val="24"/>
          <w:highlight w:val="none"/>
        </w:rPr>
        <w:t xml:space="preserve">    合格的供应商应具备以下条件：</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3.1本磋商文件规定的供应商资格条件；</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3.2 向采购代理机构获取了磋商文件并登记备案的；</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3.3 遵守国家有关的法律、法规、规章和其他政策制度。</w:t>
      </w:r>
    </w:p>
    <w:p>
      <w:pPr>
        <w:pStyle w:val="23"/>
        <w:numPr>
          <w:ilvl w:val="0"/>
          <w:numId w:val="5"/>
        </w:numPr>
        <w:spacing w:before="0" w:after="0" w:line="560" w:lineRule="exact"/>
        <w:jc w:val="left"/>
        <w:rPr>
          <w:rFonts w:ascii="仿宋" w:hAnsi="仿宋" w:eastAsia="仿宋" w:cs="仿宋"/>
          <w:sz w:val="24"/>
          <w:highlight w:val="none"/>
        </w:rPr>
      </w:pPr>
      <w:bookmarkStart w:id="25" w:name="_Toc20026"/>
      <w:bookmarkStart w:id="26" w:name="_Toc31158"/>
      <w:bookmarkStart w:id="27" w:name="_Toc20673"/>
      <w:r>
        <w:rPr>
          <w:rFonts w:hint="eastAsia" w:ascii="仿宋" w:hAnsi="仿宋" w:eastAsia="仿宋" w:cs="仿宋"/>
          <w:sz w:val="24"/>
          <w:highlight w:val="none"/>
        </w:rPr>
        <w:t>竞争性磋商费用（实质性要求）</w:t>
      </w:r>
      <w:bookmarkEnd w:id="25"/>
      <w:bookmarkEnd w:id="26"/>
      <w:bookmarkEnd w:id="27"/>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供应商参加竞争性磋商的有关费用由供应商自行承担。</w:t>
      </w:r>
    </w:p>
    <w:p>
      <w:pPr>
        <w:pStyle w:val="23"/>
        <w:numPr>
          <w:ilvl w:val="0"/>
          <w:numId w:val="5"/>
        </w:numPr>
        <w:spacing w:before="0" w:after="0" w:line="560" w:lineRule="exact"/>
        <w:jc w:val="left"/>
        <w:rPr>
          <w:rFonts w:ascii="仿宋" w:hAnsi="仿宋" w:eastAsia="仿宋" w:cs="仿宋"/>
          <w:sz w:val="24"/>
          <w:highlight w:val="none"/>
        </w:rPr>
      </w:pPr>
      <w:bookmarkStart w:id="28" w:name="_Toc10015"/>
      <w:bookmarkStart w:id="29" w:name="_Toc27446"/>
      <w:bookmarkStart w:id="30" w:name="_Toc28569"/>
      <w:r>
        <w:rPr>
          <w:rFonts w:hint="eastAsia" w:ascii="仿宋" w:hAnsi="仿宋" w:eastAsia="仿宋" w:cs="仿宋"/>
          <w:sz w:val="24"/>
          <w:highlight w:val="none"/>
        </w:rPr>
        <w:t>充分、公平竞争保障措施（实质性要求）</w:t>
      </w:r>
      <w:bookmarkEnd w:id="28"/>
      <w:bookmarkEnd w:id="29"/>
      <w:bookmarkEnd w:id="30"/>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5.1利害关系代理人处理。2家以上的供应商不得在同一合同项下的采购项目中，同时委托同一个自然人、同一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 xml:space="preserve">2家以上的供应商不得在同一合同项下的采购项目中，同时委托同一个自然人、同一家庭的人员、同一单位的人员作为其代理人，否则，其响应文件作为无效处理。 </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5.2前期参与供应商处理。除单一来源采购项目外，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说明：无供应商为本项目提供整体设计、规范编制或者项目管理、监理、检测等服务。）</w:t>
      </w:r>
    </w:p>
    <w:p>
      <w:pPr>
        <w:widowControl/>
        <w:spacing w:line="560" w:lineRule="exact"/>
        <w:ind w:firstLine="425" w:firstLineChars="180"/>
        <w:outlineLvl w:val="1"/>
        <w:rPr>
          <w:rFonts w:ascii="仿宋" w:hAnsi="仿宋" w:eastAsia="仿宋" w:cs="仿宋"/>
          <w:sz w:val="24"/>
          <w:highlight w:val="none"/>
        </w:rPr>
      </w:pPr>
      <w:r>
        <w:rPr>
          <w:rFonts w:hint="eastAsia" w:ascii="仿宋" w:hAnsi="仿宋" w:eastAsia="仿宋" w:cs="仿宋"/>
          <w:sz w:val="24"/>
          <w:highlight w:val="none"/>
        </w:rPr>
        <w:t>5.3回避。政府采购活动中，采购人员及相关人员与供应商有下列利害关系之一的，应当回避：</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（1）参加采购活动前3年内与供应商存在劳动关系；</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（2）参加采购活动前3年内担任供应商的董事、监事；</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（3）参加采购活动前3年内是供应商的控股股东或者实际控制人；</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（4）与供应商的法定代表人或者负责人有夫妻、直系血亲、三代以内旁系血亲或者近姻亲关系；</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（5）与供应商有其他可能影响政府采购活动公平、公正进行的关系。</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3"/>
        <w:numPr>
          <w:ilvl w:val="0"/>
          <w:numId w:val="5"/>
        </w:numPr>
        <w:spacing w:before="0" w:after="0" w:line="560" w:lineRule="exact"/>
        <w:jc w:val="left"/>
        <w:rPr>
          <w:rFonts w:ascii="仿宋" w:hAnsi="仿宋" w:eastAsia="仿宋" w:cs="仿宋"/>
          <w:sz w:val="24"/>
          <w:highlight w:val="none"/>
        </w:rPr>
      </w:pPr>
      <w:bookmarkStart w:id="31" w:name="_Toc11979"/>
      <w:bookmarkStart w:id="32" w:name="_Toc25453"/>
      <w:bookmarkStart w:id="33" w:name="_Toc25233"/>
      <w:r>
        <w:rPr>
          <w:rFonts w:hint="eastAsia" w:ascii="仿宋" w:hAnsi="仿宋" w:eastAsia="仿宋" w:cs="仿宋"/>
          <w:sz w:val="24"/>
          <w:highlight w:val="none"/>
        </w:rPr>
        <w:t>联合体竞争性磋商（实质性要求）</w:t>
      </w:r>
      <w:bookmarkEnd w:id="31"/>
      <w:bookmarkEnd w:id="32"/>
      <w:bookmarkEnd w:id="33"/>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本项目不接受联合体参与采购活动。</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34" w:name="_Toc2694"/>
      <w:bookmarkStart w:id="35" w:name="_Toc6323"/>
      <w:bookmarkStart w:id="36" w:name="_Toc9683"/>
      <w:r>
        <w:rPr>
          <w:rFonts w:hint="eastAsia" w:ascii="仿宋" w:hAnsi="仿宋" w:eastAsia="仿宋" w:cs="仿宋"/>
          <w:sz w:val="24"/>
          <w:highlight w:val="none"/>
        </w:rPr>
        <w:t>竞争性磋商保证金（实质性要求）</w:t>
      </w:r>
      <w:bookmarkEnd w:id="34"/>
      <w:bookmarkEnd w:id="35"/>
      <w:bookmarkEnd w:id="36"/>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本项目不收取。</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37" w:name="_Toc15567"/>
      <w:bookmarkStart w:id="38" w:name="_Toc505"/>
      <w:bookmarkStart w:id="39" w:name="_Toc7512"/>
      <w:r>
        <w:rPr>
          <w:rFonts w:hint="eastAsia" w:ascii="仿宋" w:hAnsi="仿宋" w:eastAsia="仿宋" w:cs="仿宋"/>
          <w:sz w:val="24"/>
          <w:highlight w:val="none"/>
        </w:rPr>
        <w:t>响应文件有效期（实质性要求）</w:t>
      </w:r>
      <w:bookmarkEnd w:id="37"/>
      <w:bookmarkEnd w:id="38"/>
      <w:bookmarkEnd w:id="39"/>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8.1本项目响应文件有效期为递交磋商响应文件截止之日起120天。供应商响应文件中必须载明响应文件有效期，响应文件中载明的响应文件有效期可以长于磋商文件规定的期限，但不得短于磋商文件规定的期限。否则，其响应文件将作为无效处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 xml:space="preserve">8.2因不可抗力事件，采购人可于响应文件有效期届满之前与供应商协商延长响应文件有效期。供应商拒绝延长响应文件有效期的，不得再参与该项目后续采购活动，但由此给供应商造成的损失，采购人可以自主决定是否可以给予适当补偿。供应商同意延长响应文件有效期的，不能修改响应文件。 </w:t>
      </w:r>
    </w:p>
    <w:p>
      <w:pPr>
        <w:pStyle w:val="23"/>
        <w:numPr>
          <w:ilvl w:val="0"/>
          <w:numId w:val="5"/>
        </w:numPr>
        <w:spacing w:before="0" w:after="0" w:line="560" w:lineRule="exact"/>
        <w:jc w:val="left"/>
        <w:rPr>
          <w:rFonts w:ascii="仿宋" w:hAnsi="仿宋" w:eastAsia="仿宋" w:cs="仿宋"/>
          <w:sz w:val="24"/>
          <w:highlight w:val="none"/>
        </w:rPr>
      </w:pPr>
      <w:bookmarkStart w:id="40" w:name="_Toc27557"/>
      <w:bookmarkStart w:id="41" w:name="_Toc29091"/>
      <w:bookmarkStart w:id="42" w:name="_Toc4888"/>
      <w:r>
        <w:rPr>
          <w:rFonts w:hint="eastAsia" w:ascii="仿宋" w:hAnsi="仿宋" w:eastAsia="仿宋" w:cs="仿宋"/>
          <w:sz w:val="24"/>
          <w:highlight w:val="none"/>
        </w:rPr>
        <w:t>知识产权</w:t>
      </w:r>
      <w:bookmarkEnd w:id="40"/>
      <w:bookmarkEnd w:id="41"/>
      <w:bookmarkEnd w:id="42"/>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9.1供应商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9.2除非磋商文件特别规定，采购人享有本项目实施过程中产生的知识成果及知识产权。</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9.3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 xml:space="preserve">9.4如采用供应商所不拥有的知识产权，则在报价中必须包括合法获取该知识产权的相关费用。 </w:t>
      </w:r>
    </w:p>
    <w:p>
      <w:pPr>
        <w:widowControl/>
        <w:spacing w:line="560" w:lineRule="exact"/>
        <w:ind w:firstLine="472" w:firstLineChars="200"/>
        <w:outlineLvl w:val="1"/>
        <w:rPr>
          <w:rFonts w:ascii="仿宋" w:hAnsi="仿宋" w:eastAsia="仿宋" w:cs="仿宋"/>
          <w:highlight w:val="none"/>
        </w:rPr>
      </w:pPr>
      <w:r>
        <w:rPr>
          <w:rFonts w:hint="eastAsia" w:ascii="仿宋" w:hAnsi="仿宋" w:eastAsia="仿宋" w:cs="仿宋"/>
          <w:sz w:val="24"/>
          <w:highlight w:val="none"/>
        </w:rPr>
        <w:t>9.5根据《中华人民共和国政府采购法实施条例》第四十三条的规定，公告内容应当包括主要中标或者成交标的的名称、规格型号、数量、单价、服务要求以及评审专家名单。供应商需将响应文件中涉及商业秘密和知识产权的内容进行标注和说明。若未进行标注和说明的，视为全部内容均可公布，采购组织单位对此不承担任何责任。</w:t>
      </w:r>
    </w:p>
    <w:p>
      <w:pPr>
        <w:pStyle w:val="23"/>
        <w:spacing w:line="560" w:lineRule="exact"/>
        <w:rPr>
          <w:rFonts w:ascii="仿宋" w:hAnsi="仿宋" w:eastAsia="仿宋" w:cs="仿宋"/>
          <w:highlight w:val="none"/>
        </w:rPr>
      </w:pPr>
      <w:bookmarkStart w:id="43" w:name="_Toc26884"/>
      <w:bookmarkStart w:id="44" w:name="_Toc4641"/>
      <w:bookmarkStart w:id="45" w:name="_Toc6360"/>
      <w:r>
        <w:rPr>
          <w:rFonts w:hint="eastAsia" w:ascii="仿宋" w:hAnsi="仿宋" w:eastAsia="仿宋" w:cs="仿宋"/>
          <w:highlight w:val="none"/>
        </w:rPr>
        <w:t>三、磋商文件</w:t>
      </w:r>
      <w:bookmarkEnd w:id="43"/>
      <w:bookmarkEnd w:id="44"/>
      <w:bookmarkEnd w:id="45"/>
    </w:p>
    <w:p>
      <w:pPr>
        <w:pStyle w:val="23"/>
        <w:numPr>
          <w:ilvl w:val="0"/>
          <w:numId w:val="5"/>
        </w:numPr>
        <w:spacing w:before="0" w:after="0" w:line="560" w:lineRule="exact"/>
        <w:jc w:val="left"/>
        <w:rPr>
          <w:rFonts w:ascii="仿宋" w:hAnsi="仿宋" w:eastAsia="仿宋" w:cs="仿宋"/>
          <w:sz w:val="24"/>
          <w:highlight w:val="none"/>
        </w:rPr>
      </w:pPr>
      <w:bookmarkStart w:id="46" w:name="_Toc15448"/>
      <w:bookmarkStart w:id="47" w:name="_Toc11960"/>
      <w:bookmarkStart w:id="48" w:name="_Toc655"/>
      <w:r>
        <w:rPr>
          <w:rFonts w:hint="eastAsia" w:ascii="仿宋" w:hAnsi="仿宋" w:eastAsia="仿宋" w:cs="仿宋"/>
          <w:sz w:val="24"/>
          <w:highlight w:val="none"/>
        </w:rPr>
        <w:t>磋商文件的构成</w:t>
      </w:r>
      <w:bookmarkEnd w:id="46"/>
      <w:bookmarkEnd w:id="47"/>
      <w:bookmarkEnd w:id="48"/>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10</w:t>
      </w:r>
      <w:r>
        <w:rPr>
          <w:rFonts w:ascii="仿宋" w:hAnsi="仿宋" w:eastAsia="仿宋" w:cs="仿宋"/>
          <w:b/>
          <w:bCs/>
          <w:sz w:val="24"/>
          <w:highlight w:val="none"/>
        </w:rPr>
        <w:t>.</w:t>
      </w:r>
      <w:r>
        <w:rPr>
          <w:rFonts w:hint="eastAsia" w:ascii="仿宋" w:hAnsi="仿宋" w:eastAsia="仿宋" w:cs="仿宋"/>
          <w:sz w:val="24"/>
          <w:highlight w:val="none"/>
        </w:rPr>
        <w:t>1 磋商文件是供应商准备响应文件和参加磋商的依据，同时也是磋商的重要依据。磋商文件主要包括以下内容：</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一、竞争性磋商邀请；</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二、供应商须知；</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三、磋商办法；</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四、项目技术、服务、政府采购合同内容条款及其他商务要求；</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五、响应文件格式；</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六、拟签订合同主要条款（草案）。</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b/>
          <w:bCs/>
          <w:sz w:val="24"/>
          <w:highlight w:val="none"/>
        </w:rPr>
        <w:t>.</w:t>
      </w:r>
      <w:r>
        <w:rPr>
          <w:rFonts w:hint="eastAsia" w:ascii="仿宋" w:hAnsi="仿宋" w:eastAsia="仿宋" w:cs="仿宋"/>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23"/>
        <w:numPr>
          <w:ilvl w:val="0"/>
          <w:numId w:val="5"/>
        </w:numPr>
        <w:spacing w:before="0" w:after="0" w:line="560" w:lineRule="exact"/>
        <w:jc w:val="left"/>
        <w:rPr>
          <w:rFonts w:ascii="仿宋" w:hAnsi="仿宋" w:eastAsia="仿宋" w:cs="仿宋"/>
          <w:sz w:val="24"/>
          <w:highlight w:val="none"/>
        </w:rPr>
      </w:pPr>
      <w:bookmarkStart w:id="49" w:name="_Toc22053"/>
      <w:bookmarkStart w:id="50" w:name="_Toc7216"/>
      <w:bookmarkStart w:id="51" w:name="_Toc12352"/>
      <w:r>
        <w:rPr>
          <w:rFonts w:hint="eastAsia" w:ascii="仿宋" w:hAnsi="仿宋" w:eastAsia="仿宋" w:cs="仿宋"/>
          <w:sz w:val="24"/>
          <w:highlight w:val="none"/>
        </w:rPr>
        <w:t>磋商文件的澄清和修改</w:t>
      </w:r>
      <w:bookmarkEnd w:id="49"/>
      <w:bookmarkEnd w:id="50"/>
      <w:bookmarkEnd w:id="51"/>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11.1采购组织单位可以依法对磋商文件进行澄清或者修改。</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11.2 采购组织单位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应当在提交首次响应文件截止时间至少5日前，以书面形式通知所有获取磋商文件的供应商；不足5日的，应当顺延提交首次响应文件截止时间。</w:t>
      </w:r>
    </w:p>
    <w:p>
      <w:pPr>
        <w:pStyle w:val="23"/>
        <w:numPr>
          <w:ilvl w:val="0"/>
          <w:numId w:val="5"/>
        </w:numPr>
        <w:spacing w:before="0" w:after="0" w:line="560" w:lineRule="exact"/>
        <w:jc w:val="left"/>
        <w:rPr>
          <w:rFonts w:ascii="仿宋" w:hAnsi="仿宋" w:eastAsia="仿宋" w:cs="仿宋"/>
          <w:sz w:val="24"/>
          <w:highlight w:val="none"/>
        </w:rPr>
      </w:pPr>
      <w:bookmarkStart w:id="52" w:name="_Toc4542"/>
      <w:bookmarkStart w:id="53" w:name="_Toc848"/>
      <w:bookmarkStart w:id="54" w:name="_Toc15135"/>
      <w:r>
        <w:rPr>
          <w:rFonts w:hint="eastAsia" w:ascii="仿宋" w:hAnsi="仿宋" w:eastAsia="仿宋" w:cs="仿宋"/>
          <w:sz w:val="24"/>
          <w:highlight w:val="none"/>
        </w:rPr>
        <w:t>答疑会和现场考察</w:t>
      </w:r>
      <w:bookmarkEnd w:id="52"/>
      <w:bookmarkEnd w:id="53"/>
      <w:bookmarkEnd w:id="54"/>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12.1根据采购项目和具体情况，采购组织单位认为有必要，可以在磋商文件提供期限截止后，组织已获取磋商文件的潜在供应商现场考察或者召开答疑会。组织现场考察或者召开答疑会的，应当以书面形式通知所有获取磋商文件的潜在供应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12.2采购组织单位组织现场考察或者召开答疑会的，将以书面形式通知所有获取磋商文件的潜在供应商。供应商接到通知后，不按照要求参加现场考察或者答疑会的，视同放弃参加现场考察或者答疑的权利，采购组织单位不再对该供应商重新组织，但也不会以此限制供应商提交响应文件或者以此将供应商响应文件直接作为无效处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12</w:t>
      </w:r>
      <w:r>
        <w:rPr>
          <w:rFonts w:ascii="仿宋" w:hAnsi="仿宋" w:eastAsia="仿宋" w:cs="仿宋"/>
          <w:sz w:val="24"/>
          <w:highlight w:val="none"/>
        </w:rPr>
        <w:t>.</w:t>
      </w:r>
      <w:r>
        <w:rPr>
          <w:rFonts w:hint="eastAsia" w:ascii="仿宋" w:hAnsi="仿宋" w:eastAsia="仿宋" w:cs="仿宋"/>
          <w:sz w:val="24"/>
          <w:highlight w:val="none"/>
        </w:rPr>
        <w:t>3 供应商考察现场或者参加答疑会所发生的一切费用由供应商自己承担。</w:t>
      </w:r>
    </w:p>
    <w:p>
      <w:pPr>
        <w:pStyle w:val="23"/>
        <w:spacing w:line="560" w:lineRule="exact"/>
        <w:rPr>
          <w:rFonts w:ascii="仿宋" w:hAnsi="仿宋" w:eastAsia="仿宋" w:cs="仿宋"/>
          <w:highlight w:val="none"/>
        </w:rPr>
      </w:pPr>
      <w:bookmarkStart w:id="55" w:name="_Toc8226"/>
      <w:bookmarkStart w:id="56" w:name="_Toc30507"/>
      <w:bookmarkStart w:id="57" w:name="_Toc21629"/>
      <w:r>
        <w:rPr>
          <w:rFonts w:hint="eastAsia" w:ascii="仿宋" w:hAnsi="仿宋" w:eastAsia="仿宋" w:cs="仿宋"/>
          <w:highlight w:val="none"/>
        </w:rPr>
        <w:t>四、响应文件</w:t>
      </w:r>
      <w:bookmarkEnd w:id="55"/>
      <w:bookmarkEnd w:id="56"/>
      <w:bookmarkEnd w:id="57"/>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58" w:name="_Toc9098"/>
      <w:bookmarkStart w:id="59" w:name="_Toc15818"/>
      <w:bookmarkStart w:id="60" w:name="_Toc27896"/>
      <w:r>
        <w:rPr>
          <w:rFonts w:hint="eastAsia" w:ascii="仿宋" w:hAnsi="仿宋" w:eastAsia="仿宋" w:cs="仿宋"/>
          <w:sz w:val="24"/>
          <w:highlight w:val="none"/>
        </w:rPr>
        <w:t>响应文件的组成</w:t>
      </w:r>
      <w:bookmarkEnd w:id="58"/>
      <w:bookmarkEnd w:id="59"/>
      <w:bookmarkEnd w:id="60"/>
    </w:p>
    <w:p>
      <w:pPr>
        <w:spacing w:line="460" w:lineRule="exact"/>
        <w:ind w:firstLine="472" w:firstLineChars="200"/>
        <w:rPr>
          <w:rFonts w:ascii="仿宋" w:hAnsi="仿宋" w:eastAsia="仿宋" w:cs="仿宋"/>
          <w:b/>
          <w:bCs/>
          <w:sz w:val="24"/>
          <w:highlight w:val="none"/>
        </w:rPr>
      </w:pPr>
      <w:r>
        <w:rPr>
          <w:rFonts w:hint="eastAsia" w:ascii="仿宋" w:hAnsi="仿宋" w:eastAsia="仿宋" w:cs="仿宋"/>
          <w:b/>
          <w:bCs/>
          <w:sz w:val="24"/>
          <w:highlight w:val="none"/>
        </w:rPr>
        <w:t>供应商应按照磋商文件的规定和要求编制响应文件。供应商编写的响应文件应包括但不限于下列部分：</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13.1资格性响应文件组成。详见第三章2.2.2资格性审查标准。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13.2其他响应文件组成。</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（1）供应商基本情况表；</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（2）实施本项目的主要人员情况表；</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（3）类似项目实施案例一览表；</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（4）服务偏离表；</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（5）商务应答表；</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（6）针对本项目的技术方案、项目实施方案；</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（7）其他资料。</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13.3报价单（文件中的报价属于第一轮报价）。</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报价表。</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13.4其他部分。供应商按照磋商文件要求作出的其他应答和承诺。</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61" w:name="_Toc22676"/>
      <w:bookmarkStart w:id="62" w:name="_Toc30613"/>
      <w:bookmarkStart w:id="63" w:name="_Toc3811"/>
      <w:r>
        <w:rPr>
          <w:rFonts w:hint="eastAsia" w:ascii="仿宋" w:hAnsi="仿宋" w:eastAsia="仿宋" w:cs="仿宋"/>
          <w:sz w:val="24"/>
          <w:highlight w:val="none"/>
        </w:rPr>
        <w:t>响应文件的语言（实质性要求）</w:t>
      </w:r>
      <w:bookmarkEnd w:id="61"/>
      <w:bookmarkEnd w:id="62"/>
      <w:bookmarkEnd w:id="63"/>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14.1 供应商提交的响应文件以及供应商就有关竞争性磋商采购活动的所有来往书面文件均须使用中文。响应文件中所附或引用的外文资料，必须逐一对应翻译成中文并加盖供应商公章后附在相关外文资料后面，否则，所提供的外文资料将可能被视为无效材料。（说明：供应商的法定代表人为外籍人士的，法定代表人的签字（或印章）和护照除外。）</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14.2 翻译的中文资料与外文资料如果出现差异和矛盾时，以中文为准。涉嫌虚假响应的按照相关法律法规处理。</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64" w:name="_Toc14324"/>
      <w:bookmarkStart w:id="65" w:name="_Toc1169"/>
      <w:bookmarkStart w:id="66" w:name="_Toc32397"/>
      <w:r>
        <w:rPr>
          <w:rFonts w:hint="eastAsia" w:ascii="仿宋" w:hAnsi="仿宋" w:eastAsia="仿宋" w:cs="仿宋"/>
          <w:sz w:val="24"/>
          <w:highlight w:val="none"/>
        </w:rPr>
        <w:t>计量单位（实质性要求）</w:t>
      </w:r>
      <w:bookmarkEnd w:id="64"/>
      <w:bookmarkEnd w:id="65"/>
      <w:bookmarkEnd w:id="66"/>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除磋商文件中另有规定外，本次采购项目所有合同项下的竞争性磋商均采用国家法定的计量单位。</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67" w:name="_Toc22414"/>
      <w:bookmarkStart w:id="68" w:name="_Toc7214"/>
      <w:bookmarkStart w:id="69" w:name="_Toc9020"/>
      <w:r>
        <w:rPr>
          <w:rFonts w:hint="eastAsia" w:ascii="仿宋" w:hAnsi="仿宋" w:eastAsia="仿宋" w:cs="仿宋"/>
          <w:sz w:val="24"/>
          <w:highlight w:val="none"/>
        </w:rPr>
        <w:t>竞争性磋商货币（实质性要求）</w:t>
      </w:r>
      <w:bookmarkEnd w:id="67"/>
      <w:bookmarkEnd w:id="68"/>
      <w:bookmarkEnd w:id="69"/>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本项目报价货币为人民币，报价以磋商文件约定为准。</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70" w:name="_Toc21505"/>
      <w:bookmarkStart w:id="71" w:name="_Toc15965"/>
      <w:bookmarkStart w:id="72" w:name="_Toc4245"/>
      <w:r>
        <w:rPr>
          <w:rFonts w:hint="eastAsia" w:ascii="仿宋" w:hAnsi="仿宋" w:eastAsia="仿宋" w:cs="仿宋"/>
          <w:sz w:val="24"/>
          <w:highlight w:val="none"/>
        </w:rPr>
        <w:t>响应文件格式</w:t>
      </w:r>
      <w:bookmarkEnd w:id="70"/>
      <w:bookmarkEnd w:id="71"/>
      <w:bookmarkEnd w:id="72"/>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17.1供应商可参考磋商文件第五章的规定要求。</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17.2对于没有格式要求的响应文件由供应商自行编写。</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73" w:name="_Toc20374"/>
      <w:bookmarkStart w:id="74" w:name="_Toc25822"/>
      <w:bookmarkStart w:id="75" w:name="_Toc23769"/>
      <w:r>
        <w:rPr>
          <w:rFonts w:hint="eastAsia" w:ascii="仿宋" w:hAnsi="仿宋" w:eastAsia="仿宋" w:cs="仿宋"/>
          <w:sz w:val="24"/>
          <w:highlight w:val="none"/>
        </w:rPr>
        <w:t>响应文件的印制和签署</w:t>
      </w:r>
      <w:bookmarkEnd w:id="73"/>
      <w:bookmarkEnd w:id="74"/>
      <w:bookmarkEnd w:id="75"/>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18.1供应商应按要求分别准备资格性响应文件和其他响应文件</w:t>
      </w:r>
      <w:r>
        <w:rPr>
          <w:rFonts w:hint="eastAsia" w:ascii="仿宋" w:hAnsi="仿宋" w:eastAsia="仿宋" w:cs="仿宋"/>
          <w:b/>
          <w:bCs/>
          <w:sz w:val="24"/>
          <w:highlight w:val="none"/>
        </w:rPr>
        <w:t>正本各1份、副本各2份</w:t>
      </w:r>
      <w:r>
        <w:rPr>
          <w:rFonts w:hint="eastAsia" w:ascii="仿宋" w:hAnsi="仿宋" w:eastAsia="仿宋" w:cs="仿宋"/>
          <w:sz w:val="24"/>
          <w:highlight w:val="none"/>
        </w:rPr>
        <w:t>且分册装订。并在其封面上清楚地标明响应文件、采购项目名称、采购项目编号、供应商名称以及“正本”、“副本”字样。</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18.2响应文件的正本和副本均需打印或用不褪色、不变质的墨水书写。</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18.3响应文件的打印和书写应清楚工整，任何行间插字、涂改或增删，必须由供应商的法定代表人或其授权代表签字或盖个人印章。</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18.4</w:t>
      </w:r>
      <w:r>
        <w:rPr>
          <w:rFonts w:hint="eastAsia" w:ascii="仿宋" w:hAnsi="仿宋" w:eastAsia="仿宋" w:cs="仿宋"/>
          <w:b/>
          <w:sz w:val="24"/>
          <w:highlight w:val="none"/>
        </w:rPr>
        <w:t>（实质性要求）</w:t>
      </w:r>
      <w:r>
        <w:rPr>
          <w:rFonts w:hint="eastAsia" w:ascii="仿宋" w:hAnsi="仿宋" w:eastAsia="仿宋" w:cs="仿宋"/>
          <w:sz w:val="24"/>
          <w:highlight w:val="none"/>
        </w:rPr>
        <w:t>响应文件应由供应商法定代表人或经法定代表人授权代表在响应文件要求的地方签字（或加盖印章），要求加盖公章的地方加盖公章。</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18.5</w:t>
      </w:r>
      <w:r>
        <w:rPr>
          <w:rFonts w:hint="eastAsia" w:ascii="仿宋" w:hAnsi="仿宋" w:eastAsia="仿宋" w:cs="仿宋"/>
          <w:b/>
          <w:sz w:val="24"/>
          <w:highlight w:val="none"/>
        </w:rPr>
        <w:t>（实质性要求）</w:t>
      </w:r>
      <w:r>
        <w:rPr>
          <w:rFonts w:hint="eastAsia" w:ascii="仿宋" w:hAnsi="仿宋" w:eastAsia="仿宋" w:cs="仿宋"/>
          <w:sz w:val="24"/>
          <w:highlight w:val="none"/>
        </w:rPr>
        <w:t>所有要求盖公章的地方都应加盖供应商单位（法定名称）章（鲜章），不得使用专用章（如经济合同章、磋商专用章等）或下属单位印章代替。</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18.6响应文件中表格、顺序等格式（如：“注”等）未按磋商文件要求制作的，不影响响应文件的有效性。</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18.7响应文件正本和副本采取</w:t>
      </w:r>
      <w:r>
        <w:rPr>
          <w:rFonts w:hint="eastAsia" w:ascii="仿宋" w:hAnsi="仿宋" w:eastAsia="仿宋" w:cs="仿宋"/>
          <w:b/>
          <w:bCs/>
          <w:sz w:val="24"/>
          <w:highlight w:val="none"/>
        </w:rPr>
        <w:t>胶装方式装订成册</w:t>
      </w:r>
      <w:r>
        <w:rPr>
          <w:rFonts w:hint="eastAsia" w:ascii="仿宋" w:hAnsi="仿宋" w:eastAsia="仿宋" w:cs="仿宋"/>
          <w:sz w:val="24"/>
          <w:highlight w:val="none"/>
        </w:rPr>
        <w:t>，不得散装或者合页装订。</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76" w:name="_Toc10770"/>
      <w:bookmarkStart w:id="77" w:name="_Toc3930"/>
      <w:bookmarkStart w:id="78" w:name="_Toc16893"/>
      <w:r>
        <w:rPr>
          <w:rFonts w:hint="eastAsia" w:ascii="仿宋" w:hAnsi="仿宋" w:eastAsia="仿宋" w:cs="仿宋"/>
          <w:sz w:val="24"/>
          <w:highlight w:val="none"/>
        </w:rPr>
        <w:t>响应文件的密封和标注</w:t>
      </w:r>
      <w:bookmarkEnd w:id="76"/>
      <w:bookmarkEnd w:id="77"/>
      <w:bookmarkEnd w:id="78"/>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19.1</w:t>
      </w:r>
      <w:r>
        <w:rPr>
          <w:rFonts w:hint="eastAsia" w:ascii="华文楷体" w:hAnsi="华文楷体" w:eastAsia="华文楷体" w:cs="华文楷体"/>
          <w:sz w:val="24"/>
          <w:highlight w:val="none"/>
        </w:rPr>
        <w:t>资</w:t>
      </w:r>
      <w:r>
        <w:rPr>
          <w:rFonts w:hint="eastAsia" w:ascii="仿宋" w:hAnsi="仿宋" w:eastAsia="仿宋" w:cs="仿宋"/>
          <w:sz w:val="24"/>
          <w:highlight w:val="none"/>
        </w:rPr>
        <w:t>格性响应文件和其他响应文件应分别制作。</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19.2资格性响应文件和其他响应文件应分别密封包装和标注。密封包装的最外层应清楚地标明采购项目名称、采购项目编号、供应商名称字样。</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79" w:name="_Toc25818"/>
      <w:bookmarkStart w:id="80" w:name="_Toc21375"/>
      <w:bookmarkStart w:id="81" w:name="_Toc24838"/>
      <w:r>
        <w:rPr>
          <w:rFonts w:hint="eastAsia" w:ascii="仿宋" w:hAnsi="仿宋" w:eastAsia="仿宋" w:cs="仿宋"/>
          <w:sz w:val="24"/>
          <w:highlight w:val="none"/>
        </w:rPr>
        <w:t>响应文件的修改和撤回</w:t>
      </w:r>
      <w:bookmarkEnd w:id="79"/>
      <w:bookmarkEnd w:id="80"/>
      <w:bookmarkEnd w:id="81"/>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20.1供应商在提交响应文件后可对其响应文件进行修改或撤回，但该修改或撤回的书面通知须在递交响应文件截止时间之前送达。修改的内容为响应文件的组成部分。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20.2供应商修改或撤回的书面通知，应由其法定代表人或授权代表签署并盖供应商公章。修改书应按18和19规定进行编制、密封、标注，并在每个包装的最外层标明“修改响应文件”字样。</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20.3在提交最后报价前，供应商可以退出磋商。</w:t>
      </w:r>
    </w:p>
    <w:p>
      <w:pPr>
        <w:pStyle w:val="23"/>
        <w:spacing w:line="560" w:lineRule="exact"/>
        <w:rPr>
          <w:rFonts w:ascii="仿宋" w:hAnsi="仿宋" w:eastAsia="仿宋" w:cs="仿宋"/>
          <w:highlight w:val="none"/>
        </w:rPr>
      </w:pPr>
      <w:bookmarkStart w:id="82" w:name="_Toc23621"/>
      <w:bookmarkStart w:id="83" w:name="_Toc572"/>
      <w:bookmarkStart w:id="84" w:name="_Toc6321"/>
      <w:r>
        <w:rPr>
          <w:rFonts w:hint="eastAsia" w:ascii="仿宋" w:hAnsi="仿宋" w:eastAsia="仿宋" w:cs="仿宋"/>
          <w:highlight w:val="none"/>
        </w:rPr>
        <w:t>五、磋商及评审过程</w:t>
      </w:r>
      <w:bookmarkEnd w:id="82"/>
      <w:bookmarkEnd w:id="83"/>
      <w:bookmarkEnd w:id="84"/>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85" w:name="_Toc9881"/>
      <w:bookmarkStart w:id="86" w:name="_Toc25539"/>
      <w:bookmarkStart w:id="87" w:name="_Toc1688"/>
      <w:r>
        <w:rPr>
          <w:rFonts w:hint="eastAsia" w:ascii="仿宋" w:hAnsi="仿宋" w:eastAsia="仿宋" w:cs="仿宋"/>
          <w:sz w:val="24"/>
          <w:highlight w:val="none"/>
        </w:rPr>
        <w:t>供应商报名</w:t>
      </w:r>
      <w:bookmarkEnd w:id="85"/>
      <w:bookmarkEnd w:id="86"/>
      <w:bookmarkEnd w:id="87"/>
      <w:r>
        <w:rPr>
          <w:rFonts w:hint="eastAsia" w:ascii="仿宋" w:hAnsi="仿宋" w:eastAsia="仿宋" w:cs="仿宋"/>
          <w:sz w:val="24"/>
          <w:highlight w:val="none"/>
        </w:rPr>
        <w:t xml:space="preserve"> </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参加报名的供应商不足3家的，本次竞争性磋商采购活动终止，并发布终止竞争性磋商公告。</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88" w:name="_Toc27984"/>
      <w:bookmarkStart w:id="89" w:name="_Toc6856"/>
      <w:bookmarkStart w:id="90" w:name="_Toc21239"/>
      <w:r>
        <w:rPr>
          <w:rFonts w:hint="eastAsia" w:ascii="仿宋" w:hAnsi="仿宋" w:eastAsia="仿宋" w:cs="仿宋"/>
          <w:sz w:val="24"/>
          <w:highlight w:val="none"/>
        </w:rPr>
        <w:t>接收响应文件</w:t>
      </w:r>
      <w:bookmarkEnd w:id="88"/>
      <w:bookmarkEnd w:id="89"/>
      <w:bookmarkEnd w:id="90"/>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供应商递交响应文件截止时间结束后，递交响应文件的供应商不足3家的，本次竞争性磋商采购活动终止，并发布终止竞争性磋商公告。</w:t>
      </w:r>
    </w:p>
    <w:p>
      <w:pPr>
        <w:pStyle w:val="23"/>
        <w:widowControl/>
        <w:numPr>
          <w:ilvl w:val="0"/>
          <w:numId w:val="5"/>
        </w:numPr>
        <w:spacing w:before="0" w:after="0" w:line="560" w:lineRule="exact"/>
        <w:jc w:val="left"/>
        <w:outlineLvl w:val="1"/>
        <w:rPr>
          <w:rFonts w:ascii="仿宋" w:hAnsi="仿宋" w:eastAsia="仿宋" w:cs="仿宋"/>
          <w:sz w:val="24"/>
          <w:highlight w:val="none"/>
        </w:rPr>
      </w:pPr>
      <w:bookmarkStart w:id="91" w:name="_Toc11560"/>
      <w:bookmarkStart w:id="92" w:name="_Toc13417"/>
      <w:bookmarkStart w:id="93" w:name="_Toc464"/>
      <w:r>
        <w:rPr>
          <w:rFonts w:hint="eastAsia" w:ascii="仿宋" w:hAnsi="仿宋" w:eastAsia="仿宋" w:cs="仿宋"/>
          <w:sz w:val="24"/>
          <w:highlight w:val="none"/>
        </w:rPr>
        <w:t>成立磋商小组</w:t>
      </w:r>
      <w:bookmarkEnd w:id="91"/>
      <w:bookmarkEnd w:id="92"/>
      <w:bookmarkEnd w:id="93"/>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磋商小组由采购人代表和根据采购项目情况确定的技术或经济或法律等有关专家三人以上的单数组成。磋商小组负责本项目的磋商和评审工作。</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24.磋商及评审过程</w:t>
      </w:r>
    </w:p>
    <w:p>
      <w:pPr>
        <w:spacing w:line="460" w:lineRule="exact"/>
        <w:ind w:firstLine="472" w:firstLineChars="200"/>
        <w:rPr>
          <w:rFonts w:ascii="仿宋" w:hAnsi="仿宋" w:eastAsia="仿宋" w:cs="仿宋"/>
          <w:highlight w:val="none"/>
        </w:rPr>
      </w:pPr>
      <w:r>
        <w:rPr>
          <w:rFonts w:hint="eastAsia" w:ascii="仿宋" w:hAnsi="仿宋" w:eastAsia="仿宋" w:cs="仿宋"/>
          <w:sz w:val="24"/>
          <w:highlight w:val="none"/>
        </w:rPr>
        <w:t>磋商小组按照本文件第三章规定的磋商办法进行磋商及评审。</w:t>
      </w:r>
    </w:p>
    <w:p>
      <w:pPr>
        <w:pStyle w:val="23"/>
        <w:spacing w:line="560" w:lineRule="exact"/>
        <w:rPr>
          <w:rFonts w:ascii="仿宋" w:hAnsi="仿宋" w:eastAsia="仿宋" w:cs="仿宋"/>
          <w:highlight w:val="none"/>
        </w:rPr>
      </w:pPr>
      <w:bookmarkStart w:id="94" w:name="_Toc7307"/>
      <w:bookmarkStart w:id="95" w:name="_Toc15783"/>
      <w:bookmarkStart w:id="96" w:name="_Toc30182"/>
      <w:r>
        <w:rPr>
          <w:rFonts w:hint="eastAsia" w:ascii="仿宋" w:hAnsi="仿宋" w:eastAsia="仿宋" w:cs="仿宋"/>
          <w:highlight w:val="none"/>
        </w:rPr>
        <w:t>六、定标</w:t>
      </w:r>
      <w:bookmarkEnd w:id="94"/>
      <w:bookmarkEnd w:id="95"/>
      <w:bookmarkEnd w:id="96"/>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25.确定成交供应商</w:t>
      </w:r>
    </w:p>
    <w:p>
      <w:pPr>
        <w:spacing w:line="460" w:lineRule="exact"/>
        <w:ind w:firstLine="472" w:firstLineChars="200"/>
        <w:rPr>
          <w:rFonts w:ascii="仿宋" w:hAnsi="仿宋" w:eastAsia="仿宋" w:cs="仿宋"/>
          <w:b/>
          <w:bCs/>
          <w:sz w:val="24"/>
          <w:highlight w:val="none"/>
        </w:rPr>
      </w:pPr>
      <w:r>
        <w:rPr>
          <w:rFonts w:hint="eastAsia" w:ascii="仿宋" w:hAnsi="仿宋" w:eastAsia="仿宋" w:cs="仿宋"/>
          <w:sz w:val="24"/>
          <w:highlight w:val="none"/>
        </w:rPr>
        <w:t>采购人从评审报告提出的成交候选供应商中，按照排序由高到低的原则确定成交供应商；排序并列的，由采购人优先选择不发达地区和少数民族地区的供应商。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25.1采购组织单位自评审结束后2个工作日内将磋商报告及有关资料送交采购人确定成交供应商。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25.2采购人收到磋商报告及有关资料后，应当在5个工作日内按照磋商报告中推荐的成交候选供应商顺序确定成交供应商。成交候选供应商并列的，由采购人自主采取公平、择优的方式选择成交供应商。采购人逾期未确定成交供应商且不提出异议的，视为确定磋商报告提出的排序第一的供应商为成交供应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25.3采购人收到磋商报告后，采购人因客观情况不能在规定时间内确定成交供应商的，应当向各方当事人说明情况。</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25.4采购人确定成交供应商过程中，发现成交候选供应商有下列情形之一的，应当不予确定其为成交供应商：</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（1）成交候选供应商存在违法、违纪行为的；</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（2）成交候选供应商因不可抗力、社会经济形势发生重大变化、破产、重组等原因确定无法履行合同的；</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（3）成交候选供应商书面自愿放弃成交，且无其他非法目的的；</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（4）其他不应确定成交供应商的情形。</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成交候选供应商有本条情形之一的，采购人应当确定后一位成交候选供应商为成交供应商，依次类推。无法确定成交供应商的，应当重新组织采购。</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成交候选供应商以本条第（3）项规定放弃成交的，应当说明理由。</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26.行贿犯罪</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供应商单位及其现任法定代表人、主要负责人存在行贿犯罪记录的，成交后未签订政府采购合同的，应当认定成交无效；成交后签订政府采购合同未履行的，应当认定成交无效，同时撤销政府采购合同；成交后签订政府采购合同且已经履行的，应当认定采购活动违法，由相关当事人承担赔偿责任。</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27.成交结果</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27.1采购人确定成交供应商后，应当及时书面通知采购组织单位，由其发出成交通知书并发布成交结果公告。</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27.2成交供应商应当及时领取成交通知书。</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28.成交通知书</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28.1成交通知书为签订政府采购合同的依据之一，是合同的有效组成部分。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28.2供应商成交后，拒绝领取成交通知书的，采购组织单位将于成交供应商确定之日起两个工作日内采取邮寄、快递方式按照供应商响应文件中的地址发出成交通知书。</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28.3成交通知书对采购人和成交供应商均具有法律效力。成交通知书发出后，采购人改变成交结果，或者成交供应商无正当理由放弃成交的，应当承担相应的法律责任。</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28.4成交供应商的响应文件本应作为无效竞争性磋商处理或者有政府采购法律法规规章制度规定的成交无效情形的，采购组织单位在取得有权主体的认定以后，将宣布发出的成交通知书无效，并收回发出的成交通知书（成交供应商也应当缴回），依法重新确定成交供应商或者重新开展采购活动。</w:t>
      </w:r>
    </w:p>
    <w:p>
      <w:pPr>
        <w:pStyle w:val="23"/>
        <w:spacing w:line="560" w:lineRule="exact"/>
        <w:rPr>
          <w:rFonts w:ascii="仿宋" w:hAnsi="仿宋" w:eastAsia="仿宋" w:cs="仿宋"/>
          <w:highlight w:val="none"/>
        </w:rPr>
      </w:pPr>
      <w:bookmarkStart w:id="97" w:name="_Toc26368"/>
      <w:bookmarkStart w:id="98" w:name="_Toc27927"/>
      <w:bookmarkStart w:id="99" w:name="_Toc14377"/>
      <w:r>
        <w:rPr>
          <w:rFonts w:hint="eastAsia" w:ascii="仿宋" w:hAnsi="仿宋" w:eastAsia="仿宋" w:cs="仿宋"/>
          <w:highlight w:val="none"/>
        </w:rPr>
        <w:t>七、签订及履行合同和验收</w:t>
      </w:r>
      <w:bookmarkEnd w:id="97"/>
      <w:bookmarkEnd w:id="98"/>
      <w:bookmarkEnd w:id="99"/>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29.签订合同</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29.1成交供应商在收到《成交通知书》后，应在规定的时间内与采购人签订采购合同。由于成交供应商的原因逾期未与采购人签订采购合同的，将视为放弃成交，取消其成交资格并将按相关规定进行处理。</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29.2采购人不得向成交供应商提出任何不合理的要求，作为签订合同的条件，不得与成交供应商私下订立背离合同实质性内容的任何协议，所签订的合同不得对磋商文件和成交供应商响应文件作实质性修改。</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29.3成交供应商因不可抗力原因不能履行采购合同或放弃成交的，采购人可以与排在成交供应商之后第一位的成交候选供应商签订采购合同，以此类推。</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30.合同分包</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本项目不允许分包。</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31.合同转包</w:t>
      </w:r>
      <w:r>
        <w:rPr>
          <w:rFonts w:hint="eastAsia" w:ascii="仿宋" w:hAnsi="仿宋" w:eastAsia="仿宋" w:cs="仿宋"/>
          <w:b/>
          <w:sz w:val="24"/>
          <w:highlight w:val="none"/>
        </w:rPr>
        <w:t>（实质性要求）</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本项目严禁成交供应商将任何政府采购合同义务转包。本项目所称转包，是指成交供应商将政府采购合同义务转让给第三人，并退出现有政府采购合同当事人双方的权利义务关系，受让人（第三人）成为政府采购合同的另一方当事人的行为。</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成交供应商转包的，视同拒绝履行政府采购合同义务，将依法追究法律责任。</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32.采购人增加合同标的权利</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33.履约保证金</w:t>
      </w:r>
    </w:p>
    <w:p>
      <w:pPr>
        <w:pStyle w:val="8"/>
        <w:spacing w:line="560" w:lineRule="exact"/>
        <w:ind w:firstLine="472"/>
        <w:rPr>
          <w:rFonts w:eastAsia="仿宋"/>
          <w:highlight w:val="none"/>
        </w:rPr>
      </w:pPr>
      <w:r>
        <w:rPr>
          <w:rFonts w:hint="eastAsia" w:ascii="仿宋" w:hAnsi="仿宋" w:eastAsia="仿宋" w:cs="仿宋"/>
          <w:sz w:val="24"/>
          <w:highlight w:val="none"/>
        </w:rPr>
        <w:t>本项目不收取。</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34.合同公告</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35.合同备案</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采购人应当将政府采购合同副本自签订（双方当事人均已签字盖章）之日起七个工作日内报同级财政部门备案。</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36.履行合同</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36.1成交供应商与采购人签订合同后，合同双方应严格执行合同条款，履行合同规定的义务，保证合同的顺利完成。</w:t>
      </w:r>
    </w:p>
    <w:p>
      <w:pPr>
        <w:widowControl/>
        <w:spacing w:line="560" w:lineRule="exact"/>
        <w:ind w:firstLine="472" w:firstLineChars="200"/>
        <w:outlineLvl w:val="1"/>
        <w:rPr>
          <w:rFonts w:ascii="仿宋" w:hAnsi="仿宋" w:eastAsia="仿宋" w:cs="仿宋"/>
          <w:sz w:val="24"/>
          <w:highlight w:val="none"/>
        </w:rPr>
      </w:pPr>
      <w:r>
        <w:rPr>
          <w:rFonts w:hint="eastAsia" w:ascii="仿宋" w:hAnsi="仿宋" w:eastAsia="仿宋" w:cs="仿宋"/>
          <w:sz w:val="24"/>
          <w:highlight w:val="none"/>
        </w:rPr>
        <w:t>36.2在合同履行过程中，如发生合同纠纷，合同双方应按照《中华人民共和国民法典》的有关规定进行处理。</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37.验收</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严格按照政府采购相关法律法规以及《财政部关于进一步加强政府采购需求和履约验收管理的指导意见》（财库[2016]205号）的要求进行验收。</w:t>
      </w:r>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38.资金支付</w:t>
      </w:r>
    </w:p>
    <w:p>
      <w:pPr>
        <w:spacing w:line="560" w:lineRule="exact"/>
        <w:ind w:firstLine="472" w:firstLineChars="200"/>
        <w:rPr>
          <w:rFonts w:ascii="仿宋" w:hAnsi="仿宋" w:eastAsia="仿宋" w:cs="仿宋"/>
          <w:sz w:val="24"/>
          <w:highlight w:val="none"/>
        </w:rPr>
      </w:pPr>
      <w:r>
        <w:rPr>
          <w:rFonts w:hint="eastAsia" w:ascii="仿宋" w:hAnsi="仿宋" w:eastAsia="仿宋" w:cs="仿宋"/>
          <w:b/>
          <w:bCs/>
          <w:sz w:val="24"/>
          <w:highlight w:val="none"/>
        </w:rPr>
        <w:t>采购人将按照政府采购合同规定，及时向成交供应商支付采购资金。</w:t>
      </w:r>
      <w:r>
        <w:rPr>
          <w:rFonts w:hint="eastAsia" w:ascii="仿宋" w:hAnsi="仿宋" w:eastAsia="仿宋" w:cs="仿宋"/>
          <w:sz w:val="24"/>
          <w:highlight w:val="none"/>
        </w:rPr>
        <w:t xml:space="preserve">支付程序为：    </w:t>
      </w:r>
    </w:p>
    <w:p>
      <w:pPr>
        <w:spacing w:line="5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38.1采购项目验收合格，采购人签署《验收结算书》后，向财政部门提出支付申请。采购人的自有资金，由采购人直接支付给成交供应商或者按照有关规定执行。</w:t>
      </w:r>
      <w:r>
        <w:rPr>
          <w:rFonts w:hint="eastAsia" w:ascii="仿宋" w:hAnsi="仿宋" w:eastAsia="仿宋" w:cs="仿宋"/>
          <w:sz w:val="24"/>
          <w:highlight w:val="none"/>
        </w:rPr>
        <w:br w:type="textWrapping"/>
      </w:r>
      <w:r>
        <w:rPr>
          <w:rFonts w:hint="eastAsia" w:ascii="仿宋" w:hAnsi="仿宋" w:eastAsia="仿宋" w:cs="仿宋"/>
          <w:sz w:val="24"/>
          <w:highlight w:val="none"/>
        </w:rPr>
        <w:t xml:space="preserve">    38.2财政部门根据采购人的支付申请，并对采购合同进行审核后，根据财政部门支付办法将款项支付给成交供应商。</w:t>
      </w:r>
    </w:p>
    <w:p>
      <w:pPr>
        <w:pStyle w:val="23"/>
        <w:spacing w:line="560" w:lineRule="exact"/>
        <w:rPr>
          <w:rFonts w:ascii="仿宋" w:hAnsi="仿宋" w:eastAsia="仿宋" w:cs="仿宋"/>
          <w:highlight w:val="none"/>
        </w:rPr>
      </w:pPr>
      <w:bookmarkStart w:id="100" w:name="_Toc23786"/>
      <w:bookmarkStart w:id="101" w:name="_Toc26904"/>
      <w:bookmarkStart w:id="102" w:name="_Toc4341"/>
      <w:r>
        <w:rPr>
          <w:rFonts w:hint="eastAsia" w:ascii="仿宋" w:hAnsi="仿宋" w:eastAsia="仿宋" w:cs="仿宋"/>
          <w:highlight w:val="none"/>
        </w:rPr>
        <w:t>八、竞争性磋商纪律要求</w:t>
      </w:r>
      <w:bookmarkEnd w:id="100"/>
      <w:bookmarkEnd w:id="101"/>
      <w:bookmarkEnd w:id="102"/>
    </w:p>
    <w:p>
      <w:pPr>
        <w:widowControl/>
        <w:spacing w:line="560" w:lineRule="exact"/>
        <w:outlineLvl w:val="1"/>
        <w:rPr>
          <w:rFonts w:ascii="仿宋" w:hAnsi="仿宋" w:eastAsia="仿宋" w:cs="仿宋"/>
          <w:b/>
          <w:bCs/>
          <w:sz w:val="24"/>
          <w:highlight w:val="none"/>
        </w:rPr>
      </w:pPr>
      <w:r>
        <w:rPr>
          <w:rFonts w:hint="eastAsia" w:ascii="仿宋" w:hAnsi="仿宋" w:eastAsia="仿宋" w:cs="仿宋"/>
          <w:b/>
          <w:bCs/>
          <w:sz w:val="24"/>
          <w:highlight w:val="none"/>
        </w:rPr>
        <w:t>39.供应商不得具有的情形</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磋商采购活动中，供应商不得具有下列情形：</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（1）提供虚假材料谋取成交；</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（2）采取不正当手段诋毁、排挤其他供应商；</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（3）与采购组织单位、其他供应商恶意串通；</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（4）向采购组织单位、磋商小组成员行贿或者提供其他不正当利益；</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（5）在磋商采购过程中与采购组织单位进行磋商磋商；</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（6）成交后无正当理由拒不与采购人签订政府采购合同；</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（7）未按照采购文件确定的事项签订政府采购合同；</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（8）将政府采购合同转包或者违规分包；</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（9）提供假冒伪劣产品；</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（10）擅自变更、中止或者终止政府采购合同；</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（11）拒绝有关部门的监督检查或者向监督检查部门提供虚假情况；</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（12）法律法规规定的其他情形。</w:t>
      </w:r>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供应商有上述情形的，按照规定追究法律责任，具备（1）-（10）条情形之一的，同时将取消成交资格或者认定成交无效。</w:t>
      </w:r>
    </w:p>
    <w:p>
      <w:pPr>
        <w:pStyle w:val="23"/>
        <w:spacing w:line="560" w:lineRule="exact"/>
        <w:rPr>
          <w:rFonts w:ascii="仿宋" w:hAnsi="仿宋" w:eastAsia="仿宋" w:cs="仿宋"/>
          <w:highlight w:val="none"/>
        </w:rPr>
      </w:pPr>
      <w:bookmarkStart w:id="103" w:name="_Toc377"/>
      <w:bookmarkStart w:id="104" w:name="_Toc18331"/>
      <w:bookmarkStart w:id="105" w:name="_Toc24057"/>
      <w:r>
        <w:rPr>
          <w:rFonts w:hint="eastAsia" w:ascii="仿宋" w:hAnsi="仿宋" w:eastAsia="仿宋" w:cs="仿宋"/>
          <w:highlight w:val="none"/>
        </w:rPr>
        <w:t>九、询问、质疑和投诉</w:t>
      </w:r>
      <w:bookmarkEnd w:id="103"/>
      <w:bookmarkEnd w:id="104"/>
      <w:bookmarkEnd w:id="105"/>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询问、质疑、投诉的接收和处理严格按照《中华人共和国政府采购法》、《中华人民共和国政府采购法实施条例》、《政府采购竞争性磋商采购方式管理暂行办法》、《中华人民共和国财政部令第94号--政府采购质疑和投诉办法》的规定办理（详细规定请在四川政府采购网政策法规模块查询）。</w:t>
      </w:r>
    </w:p>
    <w:p>
      <w:pPr>
        <w:pStyle w:val="23"/>
        <w:spacing w:line="560" w:lineRule="exact"/>
        <w:rPr>
          <w:rFonts w:ascii="仿宋" w:hAnsi="仿宋" w:eastAsia="仿宋" w:cs="仿宋"/>
          <w:highlight w:val="none"/>
        </w:rPr>
      </w:pPr>
      <w:bookmarkStart w:id="106" w:name="_Toc29233"/>
      <w:bookmarkStart w:id="107" w:name="_Toc8205"/>
      <w:bookmarkStart w:id="108" w:name="_Toc19048"/>
      <w:r>
        <w:rPr>
          <w:rFonts w:hint="eastAsia" w:ascii="仿宋" w:hAnsi="仿宋" w:eastAsia="仿宋" w:cs="仿宋"/>
          <w:highlight w:val="none"/>
        </w:rPr>
        <w:t>十、其他</w:t>
      </w:r>
      <w:bookmarkEnd w:id="106"/>
      <w:bookmarkEnd w:id="107"/>
      <w:bookmarkEnd w:id="108"/>
    </w:p>
    <w:p>
      <w:pPr>
        <w:spacing w:line="460" w:lineRule="exact"/>
        <w:ind w:firstLine="472" w:firstLineChars="200"/>
        <w:rPr>
          <w:rFonts w:ascii="仿宋" w:hAnsi="仿宋" w:eastAsia="仿宋" w:cs="仿宋"/>
          <w:sz w:val="24"/>
          <w:highlight w:val="none"/>
        </w:rPr>
      </w:pPr>
      <w:r>
        <w:rPr>
          <w:rFonts w:hint="eastAsia" w:ascii="仿宋" w:hAnsi="仿宋" w:eastAsia="仿宋" w:cs="仿宋"/>
          <w:sz w:val="24"/>
          <w:highlight w:val="none"/>
        </w:rPr>
        <w:t>本磋商文件中所引相关法律制度规定，在政府采购中有变化的，按照变化后的相关法律制度规定执行。在本项目递交响应文件截止时间届满后，因相关法律制度规定的变化导致不符合相关法律制度规定的，直接按照变化后的相关法律制度规定执行，本磋商文件不再做调整。本磋商文件中未引用的相关法律制度规定，按照中华人民共和国政府采购法及其实施条例，以及其他相关的法律、规章的规定执行。</w:t>
      </w:r>
    </w:p>
    <w:p>
      <w:pPr>
        <w:pStyle w:val="2"/>
        <w:ind w:firstLine="672"/>
        <w:rPr>
          <w:highlight w:val="none"/>
        </w:rPr>
      </w:pPr>
      <w:r>
        <w:rPr>
          <w:rFonts w:hint="eastAsia" w:ascii="仿宋" w:hAnsi="仿宋" w:eastAsia="仿宋" w:cs="仿宋"/>
          <w:szCs w:val="22"/>
          <w:highlight w:val="none"/>
        </w:rPr>
        <w:t>本</w:t>
      </w:r>
      <w:r>
        <w:rPr>
          <w:rFonts w:hint="eastAsia" w:ascii="仿宋" w:hAnsi="仿宋" w:eastAsia="仿宋" w:cs="仿宋"/>
          <w:highlight w:val="none"/>
        </w:rPr>
        <w:t>磋商</w:t>
      </w:r>
      <w:r>
        <w:rPr>
          <w:rFonts w:hint="eastAsia" w:ascii="仿宋" w:hAnsi="仿宋" w:eastAsia="仿宋" w:cs="仿宋"/>
          <w:szCs w:val="22"/>
          <w:highlight w:val="none"/>
        </w:rPr>
        <w:t>文件中作为实质性的内容，除明确要求需在响应时提供承诺函或证明材料的以外，</w:t>
      </w:r>
      <w:r>
        <w:rPr>
          <w:rFonts w:hint="eastAsia" w:ascii="仿宋" w:hAnsi="仿宋" w:eastAsia="仿宋" w:cs="仿宋"/>
          <w:highlight w:val="none"/>
        </w:rPr>
        <w:t>磋商</w:t>
      </w:r>
      <w:r>
        <w:rPr>
          <w:rFonts w:hint="eastAsia" w:ascii="仿宋" w:hAnsi="仿宋" w:eastAsia="仿宋" w:cs="仿宋"/>
          <w:szCs w:val="22"/>
          <w:highlight w:val="none"/>
        </w:rPr>
        <w:t>小组在评审时，仅对</w:t>
      </w:r>
      <w:r>
        <w:rPr>
          <w:rFonts w:hint="eastAsia" w:ascii="仿宋" w:hAnsi="仿宋" w:eastAsia="仿宋" w:cs="仿宋"/>
          <w:highlight w:val="none"/>
        </w:rPr>
        <w:t>磋商</w:t>
      </w:r>
      <w:r>
        <w:rPr>
          <w:rFonts w:hint="eastAsia" w:ascii="仿宋" w:hAnsi="仿宋" w:eastAsia="仿宋" w:cs="仿宋"/>
          <w:szCs w:val="22"/>
          <w:highlight w:val="none"/>
        </w:rPr>
        <w:t>文件是否违背实质性要求进行审查。</w:t>
      </w:r>
    </w:p>
    <w:p>
      <w:pPr>
        <w:pStyle w:val="23"/>
        <w:spacing w:line="560" w:lineRule="exact"/>
        <w:jc w:val="both"/>
        <w:outlineLvl w:val="9"/>
        <w:rPr>
          <w:rFonts w:ascii="仿宋" w:hAnsi="仿宋" w:eastAsia="仿宋" w:cs="仿宋"/>
          <w:highlight w:val="none"/>
        </w:rPr>
        <w:sectPr>
          <w:pgSz w:w="11907" w:h="16840"/>
          <w:pgMar w:top="2098" w:right="1531" w:bottom="1985" w:left="1531" w:header="709" w:footer="1418" w:gutter="0"/>
          <w:cols w:space="720" w:num="1"/>
          <w:docGrid w:type="linesAndChars" w:linePitch="579" w:charSpace="-842"/>
        </w:sectPr>
      </w:pPr>
    </w:p>
    <w:p>
      <w:pPr>
        <w:pStyle w:val="23"/>
        <w:rPr>
          <w:rFonts w:ascii="仿宋" w:hAnsi="仿宋" w:eastAsia="仿宋" w:cs="仿宋"/>
          <w:highlight w:val="none"/>
        </w:rPr>
      </w:pPr>
      <w:bookmarkStart w:id="109" w:name="_Toc3451"/>
      <w:bookmarkStart w:id="110" w:name="_Toc21174"/>
      <w:bookmarkStart w:id="111" w:name="_Toc28915"/>
      <w:r>
        <w:rPr>
          <w:rFonts w:hint="eastAsia"/>
          <w:highlight w:val="none"/>
        </w:rPr>
        <w:t>第三章 磋商办法</w:t>
      </w:r>
      <w:bookmarkEnd w:id="109"/>
      <w:bookmarkEnd w:id="110"/>
      <w:bookmarkEnd w:id="111"/>
    </w:p>
    <w:p>
      <w:pPr>
        <w:pStyle w:val="23"/>
        <w:spacing w:line="560" w:lineRule="exact"/>
        <w:rPr>
          <w:rFonts w:ascii="仿宋" w:hAnsi="仿宋" w:eastAsia="仿宋" w:cs="仿宋"/>
          <w:sz w:val="24"/>
          <w:highlight w:val="none"/>
        </w:rPr>
      </w:pPr>
      <w:bookmarkStart w:id="112" w:name="_Toc32003"/>
      <w:bookmarkStart w:id="113" w:name="_Toc31456"/>
      <w:bookmarkStart w:id="114" w:name="_Toc15275"/>
      <w:r>
        <w:rPr>
          <w:rFonts w:hint="eastAsia" w:ascii="仿宋" w:hAnsi="仿宋" w:eastAsia="仿宋" w:cs="仿宋"/>
          <w:sz w:val="24"/>
          <w:highlight w:val="none"/>
        </w:rPr>
        <w:t>一、总则</w:t>
      </w:r>
      <w:bookmarkEnd w:id="112"/>
      <w:bookmarkEnd w:id="113"/>
      <w:bookmarkEnd w:id="114"/>
    </w:p>
    <w:p>
      <w:pPr>
        <w:widowControl/>
        <w:spacing w:line="560" w:lineRule="exact"/>
        <w:ind w:firstLine="480" w:firstLineChars="200"/>
        <w:outlineLvl w:val="1"/>
        <w:rPr>
          <w:rFonts w:ascii="仿宋" w:hAnsi="仿宋" w:eastAsia="仿宋" w:cs="仿宋"/>
          <w:sz w:val="24"/>
          <w:szCs w:val="24"/>
          <w:highlight w:val="none"/>
        </w:rPr>
      </w:pPr>
      <w:r>
        <w:rPr>
          <w:rFonts w:hint="eastAsia" w:ascii="仿宋" w:hAnsi="仿宋" w:eastAsia="仿宋" w:cs="仿宋"/>
          <w:sz w:val="24"/>
          <w:highlight w:val="none"/>
        </w:rPr>
        <w:t>1.1 根据《中华人民共和国政府采购法》、《中华人民共和国政府采购法实施条例》、《政府采购竞争性磋商采购方式管理暂行办法》等法律制度，结合采购项目特点制定本办法。</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 xml:space="preserve">1.2 </w:t>
      </w:r>
      <w:r>
        <w:rPr>
          <w:rFonts w:hint="eastAsia" w:ascii="仿宋" w:hAnsi="仿宋" w:eastAsia="仿宋" w:cs="仿宋"/>
          <w:bCs/>
          <w:sz w:val="24"/>
          <w:highlight w:val="none"/>
        </w:rPr>
        <w:t>磋商工作由采购组织单位负责组织，具体磋商事务由采购组织单位依法组建的磋商小组负责。磋商小组由采购人代表和有关技术、经济、法律等方面的专家组成。</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1.3 磋商工作应遵循公平、公正、科学及择优的原则，并以相同的磋商程序、评分方法和标准对待所有的供应商。</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1.4 磋商小组按照磋商文件规定的磋商程序、评分方法和标准进行评审，并独立履行下列职责：</w:t>
      </w:r>
    </w:p>
    <w:p>
      <w:pPr>
        <w:spacing w:line="560" w:lineRule="exact"/>
        <w:ind w:firstLine="480" w:firstLineChars="200"/>
        <w:rPr>
          <w:rFonts w:ascii="仿宋" w:hAnsi="仿宋" w:eastAsia="仿宋" w:cs="仿宋"/>
          <w:sz w:val="24"/>
          <w:highlight w:val="none"/>
        </w:rPr>
      </w:pPr>
      <w:bookmarkStart w:id="115" w:name="_Toc217446098"/>
      <w:r>
        <w:rPr>
          <w:rFonts w:hint="eastAsia" w:ascii="仿宋" w:hAnsi="仿宋" w:eastAsia="仿宋" w:cs="仿宋"/>
          <w:sz w:val="24"/>
          <w:highlight w:val="none"/>
        </w:rPr>
        <w:t>（1）熟悉和理解磋商文件；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（2）审查供应商响应文件等是否满足磋商文件要求，并作出公正评价；</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（3）根据需要要求采购组织单位对磋商文件作出解释；根据需要要求供应商对响应文件有关事项作出澄清、说明或者更正；</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（4）推荐成交候选供应商，或者受采购人委托确定成交供应商；</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（5）起草磋商报告并进行签署；</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（6）向采购组织单位、财政部门或者其他监督部门报告非法干预评审工作的行为；</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（7）法律、法规和规章规定的其他职责。</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1.5 磋商过程独立、保密。供应商非法干预磋商过程的行为将导致其响应文件作为无效处理。</w:t>
      </w:r>
    </w:p>
    <w:p>
      <w:pPr>
        <w:pStyle w:val="23"/>
        <w:spacing w:line="560" w:lineRule="exact"/>
        <w:rPr>
          <w:rFonts w:ascii="仿宋" w:hAnsi="仿宋" w:eastAsia="仿宋" w:cs="仿宋"/>
          <w:sz w:val="24"/>
          <w:highlight w:val="none"/>
        </w:rPr>
      </w:pPr>
      <w:bookmarkStart w:id="116" w:name="_Toc8109"/>
      <w:bookmarkStart w:id="117" w:name="_Toc31518"/>
      <w:bookmarkStart w:id="118" w:name="_Toc28739"/>
      <w:r>
        <w:rPr>
          <w:rFonts w:hint="eastAsia" w:ascii="仿宋" w:hAnsi="仿宋" w:eastAsia="仿宋" w:cs="仿宋"/>
          <w:sz w:val="24"/>
          <w:highlight w:val="none"/>
        </w:rPr>
        <w:t>二、磋商程序</w:t>
      </w:r>
      <w:bookmarkEnd w:id="115"/>
      <w:bookmarkEnd w:id="116"/>
      <w:bookmarkEnd w:id="117"/>
      <w:bookmarkEnd w:id="118"/>
    </w:p>
    <w:p>
      <w:pPr>
        <w:widowControl/>
        <w:spacing w:line="560" w:lineRule="exact"/>
        <w:ind w:firstLine="482" w:firstLineChars="200"/>
        <w:outlineLvl w:val="1"/>
        <w:rPr>
          <w:rFonts w:ascii="仿宋" w:hAnsi="仿宋" w:eastAsia="仿宋" w:cs="仿宋"/>
          <w:b/>
          <w:sz w:val="24"/>
          <w:highlight w:val="none"/>
        </w:rPr>
      </w:pPr>
      <w:bookmarkStart w:id="119" w:name="_Toc217446103"/>
      <w:r>
        <w:rPr>
          <w:rFonts w:hint="eastAsia" w:ascii="仿宋" w:hAnsi="仿宋" w:eastAsia="仿宋" w:cs="仿宋"/>
          <w:b/>
          <w:sz w:val="24"/>
          <w:highlight w:val="none"/>
        </w:rPr>
        <w:t>2.1审查磋商文件和停止评审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2.1.1磋商小组正式评审前，应当对磋商文件进行熟悉和理解，内容主要包括磋商文件中供应商资格要求、采购项目技术、服务和商务要求、评审方法和标准以及可能涉及签订政府采购合同的内容等。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2.1.2磋商小组熟悉和理解磋商文件的过程中，发现本磋商文件有下列情形之一的，磋商小组应当停止评审：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（1）磋商文件的规定存在重大缺陷影响评审的；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（2）磋商文件的规定存在歧义，采购组织单位未进行书面澄清影响评审的；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（3）磋商文件明显以不合理条件对供应商实行差别待遇或歧视待遇的；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（4）采购项目属于国家规定的优先、强制采购范围，但是磋商文件未依法体现优先、强制采购相关规定的；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（5）采购项目属于政府采购促进中小企业发展的范围，但是磋商文件未依法体现促进中小企业发展相关规定的；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（6）磋商文件规定的综合评分是综合评分法之外的评分方法，或者虽然名称为综合评分法，但实际上不符合国家规定；</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（7）磋商文件将供应商的资格条件列为评分因素的；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（8）磋商文件载明的成交原则不合法的；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（9）磋商文件有违反国家其他有关强制性规定的情况。</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磋商小组熟悉和理解磋商文件完成后，应书面签字确认本磋商文件是否有属于应当停止评审的情形。出现本条2.1.2规定应当停止评审情形的，磋商小组应当向采购人书面说明情况。除本章2.1.2规定和磋商小组无法依法组建的情形外，磋商小组不得以任何方式和理由停止评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2.1.4出现应当停止评审情形的，采购组织单位应当书面告知参加本项目采购活动的供应商，并说明具体原因，同时在</w:t>
      </w:r>
      <w:r>
        <w:rPr>
          <w:rFonts w:ascii="仿宋" w:hAnsi="仿宋" w:eastAsia="仿宋" w:cs="仿宋"/>
          <w:sz w:val="24"/>
          <w:highlight w:val="none"/>
        </w:rPr>
        <w:t>四川政府采购网</w:t>
      </w:r>
      <w:r>
        <w:rPr>
          <w:rFonts w:hint="eastAsia" w:ascii="仿宋" w:hAnsi="仿宋" w:eastAsia="仿宋" w:cs="仿宋"/>
          <w:sz w:val="24"/>
          <w:highlight w:val="none"/>
        </w:rPr>
        <w:t>公告。</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2.2</w:t>
      </w:r>
      <w:r>
        <w:rPr>
          <w:rFonts w:hint="eastAsia" w:ascii="仿宋" w:hAnsi="仿宋" w:eastAsia="仿宋" w:cs="仿宋"/>
          <w:b/>
          <w:sz w:val="24"/>
          <w:szCs w:val="24"/>
          <w:highlight w:val="none"/>
        </w:rPr>
        <w:t>资格性审查</w:t>
      </w:r>
    </w:p>
    <w:p>
      <w:pPr>
        <w:spacing w:line="460" w:lineRule="exact"/>
        <w:ind w:firstLine="480" w:firstLineChars="200"/>
        <w:rPr>
          <w:rFonts w:ascii="仿宋" w:hAnsi="仿宋" w:eastAsia="仿宋" w:cs="仿宋"/>
          <w:sz w:val="24"/>
          <w:highlight w:val="none"/>
        </w:rPr>
      </w:pPr>
      <w:r>
        <w:rPr>
          <w:rFonts w:hint="eastAsia" w:ascii="仿宋" w:hAnsi="仿宋" w:eastAsia="仿宋"/>
          <w:sz w:val="24"/>
          <w:szCs w:val="24"/>
          <w:highlight w:val="none"/>
        </w:rPr>
        <w:t>2.2.1本项目需要磋商小组进行资格性检查。</w:t>
      </w:r>
      <w:r>
        <w:rPr>
          <w:rFonts w:hint="eastAsia" w:ascii="仿宋" w:hAnsi="仿宋" w:eastAsia="仿宋" w:cs="仿宋"/>
          <w:sz w:val="24"/>
          <w:highlight w:val="none"/>
        </w:rPr>
        <w:t>递交响应文件截止时间结束，磋商小组应依据法律法规和磋商文件的规定，对响应文件是否按照规定要求提供资格性证明材料、是否属于禁止参加磋商的供应商等进行审查，以确定供应商是否具备磋商资格，并确定参加磋商的供应商名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磋商小组在资格性审查过程中，磋商小组成员对供应商资格是否符合规定存在争议的，应当以少数服从多数的原则处理，但不违背政府采购法和磋商文件规定。</w:t>
      </w:r>
    </w:p>
    <w:p>
      <w:pPr>
        <w:pStyle w:val="2"/>
        <w:ind w:firstLine="480" w:firstLineChars="200"/>
        <w:rPr>
          <w:rFonts w:ascii="仿宋" w:hAnsi="仿宋" w:eastAsia="仿宋" w:cs="仿宋"/>
          <w:highlight w:val="none"/>
        </w:rPr>
      </w:pPr>
      <w:r>
        <w:rPr>
          <w:rFonts w:hint="eastAsia" w:ascii="仿宋" w:hAnsi="仿宋" w:eastAsia="仿宋" w:cs="仿宋"/>
          <w:highlight w:val="none"/>
        </w:rPr>
        <w:t>2.2.2资格性审查标准。</w:t>
      </w:r>
    </w:p>
    <w:tbl>
      <w:tblPr>
        <w:tblStyle w:val="25"/>
        <w:tblW w:w="9356" w:type="dxa"/>
        <w:tblInd w:w="-34"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56"/>
        <w:gridCol w:w="1170"/>
        <w:gridCol w:w="5012"/>
        <w:gridCol w:w="70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09" w:type="dxa"/>
            <w:vAlign w:val="center"/>
          </w:tcPr>
          <w:p>
            <w:pPr>
              <w:snapToGrid w:val="0"/>
              <w:jc w:val="center"/>
              <w:rPr>
                <w:rFonts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2926" w:type="dxa"/>
            <w:gridSpan w:val="2"/>
            <w:vAlign w:val="center"/>
          </w:tcPr>
          <w:p>
            <w:pPr>
              <w:snapToGrid w:val="0"/>
              <w:jc w:val="center"/>
              <w:rPr>
                <w:rFonts w:ascii="仿宋" w:hAnsi="仿宋" w:eastAsia="仿宋" w:cs="仿宋"/>
                <w:b/>
                <w:kern w:val="2"/>
                <w:sz w:val="24"/>
                <w:szCs w:val="24"/>
                <w:highlight w:val="none"/>
              </w:rPr>
            </w:pPr>
            <w:r>
              <w:rPr>
                <w:rFonts w:hint="eastAsia" w:ascii="仿宋" w:hAnsi="仿宋" w:eastAsia="仿宋" w:cs="仿宋"/>
                <w:b/>
                <w:kern w:val="2"/>
                <w:sz w:val="24"/>
                <w:szCs w:val="24"/>
                <w:highlight w:val="none"/>
              </w:rPr>
              <w:t>评审内容</w:t>
            </w:r>
          </w:p>
        </w:tc>
        <w:tc>
          <w:tcPr>
            <w:tcW w:w="5012" w:type="dxa"/>
            <w:vAlign w:val="center"/>
          </w:tcPr>
          <w:p>
            <w:pPr>
              <w:snapToGrid w:val="0"/>
              <w:jc w:val="center"/>
              <w:rPr>
                <w:rFonts w:ascii="仿宋" w:hAnsi="仿宋" w:eastAsia="仿宋" w:cs="仿宋"/>
                <w:kern w:val="2"/>
                <w:sz w:val="24"/>
                <w:szCs w:val="24"/>
                <w:highlight w:val="none"/>
              </w:rPr>
            </w:pPr>
            <w:r>
              <w:rPr>
                <w:rFonts w:hint="eastAsia" w:ascii="仿宋" w:hAnsi="仿宋" w:eastAsia="仿宋" w:cs="仿宋"/>
                <w:b/>
                <w:kern w:val="2"/>
                <w:sz w:val="24"/>
                <w:szCs w:val="24"/>
                <w:highlight w:val="none"/>
              </w:rPr>
              <w:t>审查依据及通过条件</w:t>
            </w:r>
          </w:p>
        </w:tc>
        <w:tc>
          <w:tcPr>
            <w:tcW w:w="709" w:type="dxa"/>
            <w:vAlign w:val="center"/>
          </w:tcPr>
          <w:p>
            <w:pPr>
              <w:snapToGrid w:val="0"/>
              <w:jc w:val="center"/>
              <w:rPr>
                <w:rFonts w:ascii="仿宋" w:hAnsi="仿宋" w:eastAsia="仿宋" w:cs="仿宋"/>
                <w:b/>
                <w:kern w:val="2"/>
                <w:sz w:val="24"/>
                <w:szCs w:val="24"/>
                <w:highlight w:val="none"/>
              </w:rPr>
            </w:pPr>
            <w:r>
              <w:rPr>
                <w:rFonts w:hint="eastAsia" w:ascii="仿宋" w:hAnsi="仿宋" w:eastAsia="仿宋" w:cs="仿宋"/>
                <w:b/>
                <w:kern w:val="2"/>
                <w:sz w:val="24"/>
                <w:szCs w:val="24"/>
                <w:highlight w:val="none"/>
              </w:rPr>
              <w:t>结论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相关资格承诺函</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提供承诺函。</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9" w:type="dxa"/>
            <w:vAlign w:val="center"/>
          </w:tcPr>
          <w:p>
            <w:pPr>
              <w:snapToGrid w:val="0"/>
              <w:spacing w:line="400" w:lineRule="exact"/>
              <w:ind w:firstLine="240" w:firstLineChars="100"/>
              <w:rPr>
                <w:rFonts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具有独立承担民事责任的能力</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营业执照复印件（正本或副本）或法人证书复印件（正本或副本）【供应商为自然人的仅提供身份证复印件。】。</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09" w:type="dxa"/>
            <w:vMerge w:val="restart"/>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1756" w:type="dxa"/>
            <w:vMerge w:val="restart"/>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具有良好的商业信誉和健全的财务会计制度</w:t>
            </w:r>
          </w:p>
        </w:tc>
        <w:tc>
          <w:tcPr>
            <w:tcW w:w="1170"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（1）具有良好的商业信誉的证明材料</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提供承诺函</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09" w:type="dxa"/>
            <w:vMerge w:val="continue"/>
            <w:vAlign w:val="center"/>
          </w:tcPr>
          <w:p>
            <w:pPr>
              <w:snapToGrid w:val="0"/>
              <w:spacing w:line="400" w:lineRule="exact"/>
              <w:jc w:val="center"/>
              <w:rPr>
                <w:rFonts w:ascii="仿宋" w:hAnsi="仿宋" w:eastAsia="仿宋" w:cs="仿宋"/>
                <w:kern w:val="2"/>
                <w:sz w:val="24"/>
                <w:szCs w:val="24"/>
                <w:highlight w:val="none"/>
              </w:rPr>
            </w:pPr>
          </w:p>
        </w:tc>
        <w:tc>
          <w:tcPr>
            <w:tcW w:w="1756" w:type="dxa"/>
            <w:vMerge w:val="continue"/>
            <w:vAlign w:val="center"/>
          </w:tcPr>
          <w:p>
            <w:pPr>
              <w:snapToGrid w:val="0"/>
              <w:spacing w:line="400" w:lineRule="exact"/>
              <w:rPr>
                <w:rFonts w:ascii="仿宋" w:hAnsi="仿宋" w:eastAsia="仿宋" w:cs="仿宋"/>
                <w:kern w:val="2"/>
                <w:sz w:val="24"/>
                <w:szCs w:val="24"/>
                <w:highlight w:val="none"/>
              </w:rPr>
            </w:pPr>
          </w:p>
        </w:tc>
        <w:tc>
          <w:tcPr>
            <w:tcW w:w="1170"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（2）具有健全的财务会计制度的证明材料</w:t>
            </w:r>
          </w:p>
        </w:tc>
        <w:tc>
          <w:tcPr>
            <w:tcW w:w="5012" w:type="dxa"/>
            <w:vAlign w:val="center"/>
          </w:tcPr>
          <w:p>
            <w:pPr>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①可提供2019或2020年度经审计的财务报告复印件（包含审计报告和审计报告中所涉及的财务报表和报表附注），②可提供2019或2020年度供应商完整的全套财务报表复印件（全套指现金流量表、资产负债表、利润表），③可提供截至响应文件递交截止日一年内银行出具的资信证明（复印件），④供应商注册时间截至响应文件递交截止日不足一年的，也可提供在工商备案的公司章程（复印件）。</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具有履行合同所必须的设备和专业技术能力</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提供承诺函</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09" w:type="dxa"/>
            <w:vMerge w:val="restart"/>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1756" w:type="dxa"/>
            <w:vMerge w:val="restart"/>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有依法缴纳税收和社会保障资金的良好记录（供应商响应为承诺的，应保证为诚信承诺，并对真实性负责，采购活动结束后采购人或采购代理机构将通过信用中国等网站核实供应商所作承诺的真实性。）</w:t>
            </w:r>
          </w:p>
        </w:tc>
        <w:tc>
          <w:tcPr>
            <w:tcW w:w="1170"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（1）缴纳社会保障资金的证明材料</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提供证明材料或承诺函</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09" w:type="dxa"/>
            <w:vMerge w:val="continue"/>
            <w:vAlign w:val="center"/>
          </w:tcPr>
          <w:p>
            <w:pPr>
              <w:snapToGrid w:val="0"/>
              <w:spacing w:line="400" w:lineRule="exact"/>
              <w:jc w:val="center"/>
              <w:rPr>
                <w:rFonts w:ascii="仿宋" w:hAnsi="仿宋" w:eastAsia="仿宋" w:cs="仿宋"/>
                <w:kern w:val="2"/>
                <w:sz w:val="24"/>
                <w:szCs w:val="24"/>
                <w:highlight w:val="none"/>
              </w:rPr>
            </w:pPr>
          </w:p>
        </w:tc>
        <w:tc>
          <w:tcPr>
            <w:tcW w:w="1756" w:type="dxa"/>
            <w:vMerge w:val="continue"/>
            <w:vAlign w:val="center"/>
          </w:tcPr>
          <w:p>
            <w:pPr>
              <w:snapToGrid w:val="0"/>
              <w:spacing w:line="400" w:lineRule="exact"/>
              <w:rPr>
                <w:rFonts w:ascii="仿宋" w:hAnsi="仿宋" w:eastAsia="仿宋" w:cs="仿宋"/>
                <w:kern w:val="2"/>
                <w:sz w:val="24"/>
                <w:szCs w:val="24"/>
                <w:highlight w:val="none"/>
              </w:rPr>
            </w:pPr>
          </w:p>
        </w:tc>
        <w:tc>
          <w:tcPr>
            <w:tcW w:w="1170"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（2）缴纳税收的证明材料</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提供证明材料或承诺函</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向采购代理机构登记购买了磋商文件的供应商</w:t>
            </w:r>
          </w:p>
        </w:tc>
        <w:tc>
          <w:tcPr>
            <w:tcW w:w="5012" w:type="dxa"/>
            <w:vAlign w:val="center"/>
          </w:tcPr>
          <w:p>
            <w:pPr>
              <w:snapToGrid w:val="0"/>
              <w:spacing w:line="400" w:lineRule="exact"/>
              <w:rPr>
                <w:rFonts w:ascii="仿宋" w:hAnsi="仿宋" w:eastAsia="仿宋" w:cs="仿宋"/>
                <w:kern w:val="2"/>
                <w:sz w:val="24"/>
                <w:szCs w:val="24"/>
                <w:highlight w:val="none"/>
                <w:lang w:val="zh-CN"/>
              </w:rPr>
            </w:pPr>
            <w:r>
              <w:rPr>
                <w:rFonts w:hint="eastAsia" w:ascii="仿宋" w:hAnsi="仿宋" w:eastAsia="仿宋" w:cs="仿宋"/>
                <w:kern w:val="2"/>
                <w:sz w:val="24"/>
                <w:szCs w:val="24"/>
                <w:highlight w:val="none"/>
                <w:lang w:val="zh-CN"/>
              </w:rPr>
              <w:t>四川正汇恒招标代理有限公司向磋商小组出具的供应商报名情况汇总表。</w:t>
            </w:r>
          </w:p>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【注：内容显示项目名称或项目编号、供应商名称与供应商递交文件名称一致】。</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参加政府采购活动前三年内，在经营活动中没有重大违法记录</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1.提供承诺函。（说明：供应商在参加政府采购活动前3年内因违法经营被禁止在一定期限内参加政府采购活动，期限届满的，可以参加政府采购活动，但供应商应提供相关证明材料复印件）。</w:t>
            </w:r>
          </w:p>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2.采购组织单位工作人员通过“信用中国”网站、“中国政府采购网”、“四川政府采购”网站（曝光台）、“成都信用”网站，在响应文件截止时间对供应商进行查询（说明：①供应商参加政府采购活动前三年内，在经营活动中没有重大违法记录[注：供应商在参加政府采购活动前3年内因违法经营被禁止在一定期限内参加政府采购活动，期限届满的可以参加政府采购活动，但供应商应提供相关证明材料]；②向磋商小组出具查询结果书面。）</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法律、行政法规规定的其他条件</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供应商具有有效的营业执照或法人证书即可，可不提供其他证明材料。</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9</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联合体</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不接受联合体参与。</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10</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法定代表人授权委托书原件及代理人身份证或护照复印件复印件</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法定代表人授权委托书原件及代理人身份证（或护照）复印件加盖鲜章【注：（1）法人授权书符合磋商文件要求，代理人身份证复印件（身份证两面均应复印，在有效期内）；（2）如响应文件均由供应商法定代表人签字的或供应商为自然人的，则可不提供法定代表人授权委托书及代理人身份证;（3）供应商为非法人单位的，上述“法定代表人”指供应商的主要负责人】。</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11</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法定代表人身份证明书原件及法定代表人身份证复印件或护照复印件</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法定代表人身份证明书原件（自然人参加磋商的不须提供身份证明书）及身份证复印件或护照复印件加盖鲜章【注：（1）身份证明书符合磋商文件要求；（2）法定代表人身份证复印件（身份证两面均应复印，在有效期内）或护照复印件（法定代表人为外籍人士的，按此提供）；（3）供应商为非法人单位的，上述“法定代表人”指供应商的主要负责人；（4）供应商为自然人的仅提供本人身份证复印件】。</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12</w:t>
            </w:r>
          </w:p>
        </w:tc>
        <w:tc>
          <w:tcPr>
            <w:tcW w:w="2926" w:type="dxa"/>
            <w:gridSpan w:val="2"/>
            <w:vAlign w:val="center"/>
          </w:tcPr>
          <w:p>
            <w:pPr>
              <w:spacing w:line="32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响应文件数量</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资格性响应文件和其他响应文件正本各1份、副本各2份。</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13</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是否属于禁止参加磋商的供应商</w:t>
            </w:r>
          </w:p>
        </w:tc>
        <w:tc>
          <w:tcPr>
            <w:tcW w:w="5012" w:type="dxa"/>
            <w:vAlign w:val="center"/>
          </w:tcPr>
          <w:p>
            <w:pPr>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（1）根据磋商文件的要求不属于禁止参加磋商的供应商；</w:t>
            </w:r>
          </w:p>
          <w:p>
            <w:pPr>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（2）磋商小组未发现或者未知晓供应商存在属于国家相关法律法规规定的禁止参加磋商的供应商。</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14</w:t>
            </w:r>
          </w:p>
        </w:tc>
        <w:tc>
          <w:tcPr>
            <w:tcW w:w="2926" w:type="dxa"/>
            <w:gridSpan w:val="2"/>
            <w:vAlign w:val="center"/>
          </w:tcPr>
          <w:p>
            <w:pPr>
              <w:spacing w:line="360" w:lineRule="auto"/>
              <w:rPr>
                <w:rFonts w:ascii="仿宋" w:hAnsi="仿宋" w:eastAsia="仿宋" w:cs="仿宋"/>
                <w:kern w:val="2"/>
                <w:sz w:val="24"/>
                <w:szCs w:val="24"/>
                <w:highlight w:val="none"/>
              </w:rPr>
            </w:pPr>
            <w:r>
              <w:rPr>
                <w:rFonts w:hint="eastAsia" w:ascii="仿宋" w:hAnsi="仿宋" w:eastAsia="仿宋" w:cs="仿宋"/>
                <w:kern w:val="2"/>
                <w:sz w:val="24"/>
                <w:szCs w:val="24"/>
                <w:highlight w:val="none"/>
              </w:rPr>
              <w:t>行贿犯罪记录</w:t>
            </w:r>
          </w:p>
        </w:tc>
        <w:tc>
          <w:tcPr>
            <w:tcW w:w="5012" w:type="dxa"/>
            <w:vAlign w:val="center"/>
          </w:tcPr>
          <w:p>
            <w:pPr>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提供承诺函。</w:t>
            </w:r>
          </w:p>
        </w:tc>
        <w:tc>
          <w:tcPr>
            <w:tcW w:w="709" w:type="dxa"/>
            <w:vAlign w:val="center"/>
          </w:tcPr>
          <w:p>
            <w:pPr>
              <w:snapToGrid w:val="0"/>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09" w:type="dxa"/>
            <w:vAlign w:val="center"/>
          </w:tcPr>
          <w:p>
            <w:pPr>
              <w:snapToGrid w:val="0"/>
              <w:spacing w:line="40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15</w:t>
            </w:r>
          </w:p>
        </w:tc>
        <w:tc>
          <w:tcPr>
            <w:tcW w:w="2926" w:type="dxa"/>
            <w:gridSpan w:val="2"/>
            <w:vAlign w:val="center"/>
          </w:tcPr>
          <w:p>
            <w:pPr>
              <w:spacing w:line="3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未被列入经营异常名录</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1、供应商未被列入经营异常名录的书面承诺函。</w:t>
            </w:r>
          </w:p>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2、采购组织单位工作人员通过“信用中国”网站、“中国政府采购网”、“四川政府采购”网站（曝光台）、“成都信用”网站，在响应文件截止时间对供应商进行查询，并向磋商小组出具查询结果。</w:t>
            </w:r>
          </w:p>
        </w:tc>
        <w:tc>
          <w:tcPr>
            <w:tcW w:w="709" w:type="dxa"/>
            <w:vAlign w:val="center"/>
          </w:tcPr>
          <w:p>
            <w:pPr>
              <w:spacing w:line="360" w:lineRule="auto"/>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709"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16</w:t>
            </w:r>
          </w:p>
        </w:tc>
        <w:tc>
          <w:tcPr>
            <w:tcW w:w="2926" w:type="dxa"/>
            <w:gridSpan w:val="2"/>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未被列入失信被执行人、重大税收违法案件当事人名单、政府采购严重违法失信行为记录名单</w:t>
            </w:r>
          </w:p>
        </w:tc>
        <w:tc>
          <w:tcPr>
            <w:tcW w:w="5012"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1、未被列入失信被执行人、重大税收违法案件当事人名单、政府采购严重违法失信行为记录名单的承诺函。</w:t>
            </w:r>
          </w:p>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2、采购组织单位工作人员通过“信用中国”网站、“中国政府采购网”、“四川政府采购”网站（曝光台）、“成都信用”网站，在响应文件截止时间对供应商进行查询，并向磋商小组出具查询结果。</w:t>
            </w:r>
          </w:p>
        </w:tc>
        <w:tc>
          <w:tcPr>
            <w:tcW w:w="709" w:type="dxa"/>
          </w:tcPr>
          <w:p>
            <w:pPr>
              <w:spacing w:line="360" w:lineRule="auto"/>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09" w:type="dxa"/>
            <w:vAlign w:val="center"/>
          </w:tcPr>
          <w:p>
            <w:pPr>
              <w:snapToGrid w:val="0"/>
              <w:spacing w:line="4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17</w:t>
            </w:r>
          </w:p>
        </w:tc>
        <w:tc>
          <w:tcPr>
            <w:tcW w:w="2926" w:type="dxa"/>
            <w:gridSpan w:val="2"/>
            <w:vAlign w:val="center"/>
          </w:tcPr>
          <w:p>
            <w:pPr>
              <w:spacing w:line="3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落实政府采购政策需满足的资格要求</w:t>
            </w:r>
          </w:p>
        </w:tc>
        <w:tc>
          <w:tcPr>
            <w:tcW w:w="5012" w:type="dxa"/>
            <w:vAlign w:val="center"/>
          </w:tcPr>
          <w:p>
            <w:pPr>
              <w:spacing w:line="3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lang w:eastAsia="zh-CN"/>
              </w:rPr>
              <w:t>按磋商文件要求</w:t>
            </w:r>
            <w:r>
              <w:rPr>
                <w:rFonts w:hint="eastAsia" w:ascii="仿宋" w:hAnsi="仿宋" w:eastAsia="仿宋" w:cs="仿宋"/>
                <w:kern w:val="2"/>
                <w:sz w:val="24"/>
                <w:szCs w:val="24"/>
                <w:highlight w:val="none"/>
              </w:rPr>
              <w:t>提供中小企业声明函原件（监狱企业、残疾人福利性单位视同中小企业），（①供应商为监狱企业的，提供监狱企业证明文件；②供应商为残疾人福利性单位的，提供《残疾人福利性单位声明函》原件）。</w:t>
            </w:r>
          </w:p>
        </w:tc>
        <w:tc>
          <w:tcPr>
            <w:tcW w:w="709" w:type="dxa"/>
          </w:tcPr>
          <w:p>
            <w:pPr>
              <w:spacing w:line="360" w:lineRule="auto"/>
              <w:rPr>
                <w:rFonts w:ascii="仿宋" w:hAnsi="仿宋" w:eastAsia="仿宋" w:cs="仿宋"/>
                <w:kern w:val="2"/>
                <w:sz w:val="24"/>
                <w:szCs w:val="24"/>
                <w:highlight w:val="none"/>
              </w:rPr>
            </w:pPr>
          </w:p>
        </w:tc>
      </w:tr>
    </w:tbl>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1、以上每一项结论均为“通过”的，则供应商通过资格性审查。如有任意一项结论为“不通过”的，则供应商的响应文件按无效响应文件处理。如果磋商小组认为供应商有任意一项不通过的，应在评审报告中载明不通过的具体原因。</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采购组织单位工作人员通过“信用中国”网站、“中国政府采购网”、“四川政府采购”网站（曝光台）、“成都信用”网站，在响应文件截止时间对供应商进行信用记录查询的结果，将以纸质截图或将截图保存至电子介质的形式留存。</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2.2.3资格性审查结束后，磋商小组应当出具资格性审查报告，没有通过资格审查的供应商，磋商小组应当在资格审查报告中说明原因。</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2.2.4采购组织单位宣布未通过资格审查的供应商名单位时，应当告知供应商未通过审查的原因。</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2.2.5通过资格审查的供应商不足3家的，</w:t>
      </w:r>
      <w:r>
        <w:rPr>
          <w:rFonts w:hint="eastAsia" w:ascii="仿宋" w:hAnsi="仿宋" w:eastAsia="仿宋"/>
          <w:sz w:val="24"/>
          <w:szCs w:val="24"/>
          <w:highlight w:val="none"/>
        </w:rPr>
        <w:t>终止本次采购活动，并发布终止采购活动公告。</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2.3磋商</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磋商小组所有成员集中与单一供应商分别进行一轮或多轮的磋商，并给予所有参加磋商的供应商平等的磋商机会。磋商顺序以现场抽签的方式确定。磋商过程中，磋商小组可以根据磋商情况调整磋商轮次。本次磋商轮次授权磋商小组确定。</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2.3.2每轮磋商开始前，磋商小组应根据磋商文件的规定，并结合各供应商的响应文件拟定磋商内容。</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2.3.3在磋商过程中，磋商小组可以根据磋商文件和磋商情况实质性变动磋商文件第四章相关内容，但不得变动磋商文件中的其他内容。实质性变动的内容，须经采购人代表书面确认。</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2.3.4对磋商文件作出的实质性变动是磋商文件的有效组成部分，磋商小组应当及时以书面形式同时通知所有参加磋商的供应商。</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2.3.5磋商过程中，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2.3.6磋商过程中，磋商的任何一方不得透露与磋商有关的其他供应商的技术资料、价格和其他信息。</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2.3.7磋商过程中，磋商小组发现或者知晓供应商存在违法、违纪行为的，磋商小组应当将该供应商响应文件作无效处理，不允许其提交最后报价。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2.3.8磋商完成后，供应商提交的响应文件未满足磋商文件实质性要求的，磋商小组应当对其响应文件按无效处理 ，不允许其提交最后报价。</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2.3.9磋商完成后，磋商小组应出具磋商情况记录表，磋商情况记录表需包含磋商内容、供应商响应情况记录、实质性变动内容、淘汰供应商原因等。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磋商情况记录表（样表）</w:t>
      </w:r>
    </w:p>
    <w:tbl>
      <w:tblPr>
        <w:tblStyle w:val="25"/>
        <w:tblW w:w="8640" w:type="dxa"/>
        <w:tblInd w:w="93" w:type="dxa"/>
        <w:tblLayout w:type="fixed"/>
        <w:tblCellMar>
          <w:top w:w="0" w:type="dxa"/>
          <w:left w:w="108" w:type="dxa"/>
          <w:bottom w:w="0" w:type="dxa"/>
          <w:right w:w="108" w:type="dxa"/>
        </w:tblCellMar>
      </w:tblPr>
      <w:tblGrid>
        <w:gridCol w:w="690"/>
        <w:gridCol w:w="1168"/>
        <w:gridCol w:w="1134"/>
        <w:gridCol w:w="992"/>
        <w:gridCol w:w="1567"/>
        <w:gridCol w:w="1429"/>
        <w:gridCol w:w="1660"/>
      </w:tblGrid>
      <w:tr>
        <w:tblPrEx>
          <w:tblCellMar>
            <w:top w:w="0" w:type="dxa"/>
            <w:left w:w="108" w:type="dxa"/>
            <w:bottom w:w="0" w:type="dxa"/>
            <w:right w:w="108" w:type="dxa"/>
          </w:tblCellMar>
        </w:tblPrEx>
        <w:trPr>
          <w:trHeight w:val="576" w:hRule="atLeast"/>
        </w:trPr>
        <w:tc>
          <w:tcPr>
            <w:tcW w:w="690"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 xml:space="preserve">序号 </w:t>
            </w:r>
          </w:p>
        </w:tc>
        <w:tc>
          <w:tcPr>
            <w:tcW w:w="1168"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磋商内容</w:t>
            </w:r>
          </w:p>
        </w:tc>
        <w:tc>
          <w:tcPr>
            <w:tcW w:w="1134"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 xml:space="preserve">是否实质性变动 </w:t>
            </w:r>
          </w:p>
        </w:tc>
        <w:tc>
          <w:tcPr>
            <w:tcW w:w="992"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变动后的内容</w:t>
            </w:r>
          </w:p>
        </w:tc>
        <w:tc>
          <w:tcPr>
            <w:tcW w:w="1567"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磋商要点</w:t>
            </w:r>
          </w:p>
        </w:tc>
        <w:tc>
          <w:tcPr>
            <w:tcW w:w="1429"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响应情况</w:t>
            </w:r>
          </w:p>
        </w:tc>
        <w:tc>
          <w:tcPr>
            <w:tcW w:w="1660"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备注</w:t>
            </w:r>
          </w:p>
        </w:tc>
      </w:tr>
      <w:tr>
        <w:tblPrEx>
          <w:tblCellMar>
            <w:top w:w="0" w:type="dxa"/>
            <w:left w:w="108" w:type="dxa"/>
            <w:bottom w:w="0" w:type="dxa"/>
            <w:right w:w="108" w:type="dxa"/>
          </w:tblCellMar>
        </w:tblPrEx>
        <w:trPr>
          <w:trHeight w:val="288" w:hRule="atLeast"/>
        </w:trPr>
        <w:tc>
          <w:tcPr>
            <w:tcW w:w="8640" w:type="dxa"/>
            <w:gridSpan w:val="7"/>
            <w:tcBorders>
              <w:top w:val="nil"/>
              <w:left w:val="single" w:color="auto" w:sz="4" w:space="0"/>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例如：</w:t>
            </w:r>
          </w:p>
        </w:tc>
      </w:tr>
      <w:tr>
        <w:tblPrEx>
          <w:tblCellMar>
            <w:top w:w="0" w:type="dxa"/>
            <w:left w:w="108" w:type="dxa"/>
            <w:bottom w:w="0" w:type="dxa"/>
            <w:right w:w="108" w:type="dxa"/>
          </w:tblCellMar>
        </w:tblPrEx>
        <w:trPr>
          <w:trHeight w:val="1292" w:hRule="atLeast"/>
        </w:trPr>
        <w:tc>
          <w:tcPr>
            <w:tcW w:w="690"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1</w:t>
            </w:r>
          </w:p>
        </w:tc>
        <w:tc>
          <w:tcPr>
            <w:tcW w:w="1168"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1134"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992"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　</w:t>
            </w:r>
          </w:p>
        </w:tc>
        <w:tc>
          <w:tcPr>
            <w:tcW w:w="1567"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1429"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1660"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r>
      <w:tr>
        <w:tblPrEx>
          <w:tblCellMar>
            <w:top w:w="0" w:type="dxa"/>
            <w:left w:w="108" w:type="dxa"/>
            <w:bottom w:w="0" w:type="dxa"/>
            <w:right w:w="108" w:type="dxa"/>
          </w:tblCellMar>
        </w:tblPrEx>
        <w:trPr>
          <w:trHeight w:val="1221" w:hRule="atLeast"/>
        </w:trPr>
        <w:tc>
          <w:tcPr>
            <w:tcW w:w="690"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2</w:t>
            </w:r>
          </w:p>
        </w:tc>
        <w:tc>
          <w:tcPr>
            <w:tcW w:w="1168"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1134"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992"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1567"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1429"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p>
        </w:tc>
        <w:tc>
          <w:tcPr>
            <w:tcW w:w="1660"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　</w:t>
            </w:r>
          </w:p>
        </w:tc>
      </w:tr>
      <w:tr>
        <w:tblPrEx>
          <w:tblCellMar>
            <w:top w:w="0" w:type="dxa"/>
            <w:left w:w="108" w:type="dxa"/>
            <w:bottom w:w="0" w:type="dxa"/>
            <w:right w:w="108" w:type="dxa"/>
          </w:tblCellMar>
        </w:tblPrEx>
        <w:trPr>
          <w:trHeight w:val="288" w:hRule="atLeast"/>
        </w:trPr>
        <w:tc>
          <w:tcPr>
            <w:tcW w:w="690" w:type="dxa"/>
            <w:tcBorders>
              <w:top w:val="nil"/>
              <w:left w:val="single" w:color="auto" w:sz="4" w:space="0"/>
              <w:bottom w:val="single" w:color="auto" w:sz="4" w:space="0"/>
              <w:right w:val="single" w:color="auto" w:sz="4" w:space="0"/>
            </w:tcBorders>
            <w:vAlign w:val="center"/>
          </w:tcPr>
          <w:p>
            <w:pPr>
              <w:widowControl/>
              <w:spacing w:line="560" w:lineRule="exact"/>
              <w:jc w:val="center"/>
              <w:rPr>
                <w:rFonts w:ascii="仿宋" w:hAnsi="仿宋" w:eastAsia="仿宋" w:cs="仿宋"/>
                <w:sz w:val="22"/>
                <w:highlight w:val="none"/>
              </w:rPr>
            </w:pPr>
            <w:r>
              <w:rPr>
                <w:rFonts w:hint="eastAsia" w:ascii="仿宋" w:hAnsi="仿宋" w:eastAsia="仿宋" w:cs="仿宋"/>
                <w:sz w:val="22"/>
                <w:highlight w:val="none"/>
              </w:rPr>
              <w:t>3</w:t>
            </w:r>
          </w:p>
        </w:tc>
        <w:tc>
          <w:tcPr>
            <w:tcW w:w="1168"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w:t>
            </w:r>
          </w:p>
        </w:tc>
        <w:tc>
          <w:tcPr>
            <w:tcW w:w="1134"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　</w:t>
            </w:r>
          </w:p>
        </w:tc>
        <w:tc>
          <w:tcPr>
            <w:tcW w:w="992"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　</w:t>
            </w:r>
          </w:p>
        </w:tc>
        <w:tc>
          <w:tcPr>
            <w:tcW w:w="1567"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　</w:t>
            </w:r>
          </w:p>
        </w:tc>
        <w:tc>
          <w:tcPr>
            <w:tcW w:w="1429"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　</w:t>
            </w:r>
          </w:p>
        </w:tc>
        <w:tc>
          <w:tcPr>
            <w:tcW w:w="1660" w:type="dxa"/>
            <w:tcBorders>
              <w:top w:val="nil"/>
              <w:left w:val="nil"/>
              <w:bottom w:val="single" w:color="auto" w:sz="4" w:space="0"/>
              <w:right w:val="single" w:color="auto" w:sz="4" w:space="0"/>
            </w:tcBorders>
            <w:vAlign w:val="center"/>
          </w:tcPr>
          <w:p>
            <w:pPr>
              <w:widowControl/>
              <w:spacing w:line="560" w:lineRule="exact"/>
              <w:jc w:val="left"/>
              <w:rPr>
                <w:rFonts w:ascii="仿宋" w:hAnsi="仿宋" w:eastAsia="仿宋" w:cs="仿宋"/>
                <w:sz w:val="22"/>
                <w:highlight w:val="none"/>
              </w:rPr>
            </w:pPr>
            <w:r>
              <w:rPr>
                <w:rFonts w:hint="eastAsia" w:ascii="仿宋" w:hAnsi="仿宋" w:eastAsia="仿宋" w:cs="仿宋"/>
                <w:sz w:val="22"/>
                <w:highlight w:val="none"/>
              </w:rPr>
              <w:t>　</w:t>
            </w:r>
          </w:p>
        </w:tc>
      </w:tr>
    </w:tbl>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2.4 有效性、完整性和响应程度审查</w:t>
      </w:r>
    </w:p>
    <w:p>
      <w:pPr>
        <w:widowControl/>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磋商小组审查中发现供应商响应文件有下列情况之一的，应按照无效响应文件处理：</w:t>
      </w:r>
    </w:p>
    <w:p>
      <w:pPr>
        <w:widowControl/>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（1）响应文件正副本数量不足的；</w:t>
      </w:r>
    </w:p>
    <w:p>
      <w:pPr>
        <w:widowControl/>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（2）响应文件的语言、报价货币、知识产权、响应文件有效期不符合采购文件的规定，影响磋商小组评判的。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磋商小组对响应文件签署、盖章等进行审查过程中，有下列情形的，磋商小组应当评定为不影响整个响应文件有效性和采购活动公平竞争，并通过响应文件的有效性审查：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（1）响应文件除采购文件明确要求加盖单位(法人)公章的以外，其他地方以相关专用章加盖的；</w:t>
      </w:r>
    </w:p>
    <w:p>
      <w:pPr>
        <w:widowControl/>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（2）以骑缝章的形式代替响应文件内容逐页盖章的（但是骑缝章模糊不清，印章名称无法辨认的除外）。</w:t>
      </w:r>
    </w:p>
    <w:p>
      <w:pPr>
        <w:widowControl/>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widowControl/>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2.5最后报价</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2.5.1磋商文件能够详细列明采购标的的技术、服务要求的，磋商结束后，磋商小组应当要求所有实质性响应的供应商在规定时间内提交最后报价，提交最后报价的供应商不得少于3家（符合政府采购竞争性磋商采购方式管理暂行办法第三条第四项情形或《财政部关于政府采购竞争性磋商采购方式管理暂行办法有关问题的补充通知》适用情形的除外）。</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磋商文件不能详细列明采购标的的技术、服务要求，需经磋商由供应商提供最终设计方案或解决方案的，磋商结束后，磋商小组应当按照少数服从多数的原则投票推荐3家（或2家）以上供应商的设计方案或者解决方案，并要求其在规定时间内提交最后报价。</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2.5.2磋商结束后，磋商小组要求所有实质性响应的供应商在规定时间内提交最后报价或者多轮报价后再最后报价。两轮以上报价的，供应商在未提高响应文件中承诺的产品及其服务质量的情况下，其最后报价不得高于对该项目之前的报价，否则，磋商小组应当对其响应文件按无效处理，不允许进入综合评审，并书面告知供应商，说明理由。</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2.5.3磋商结束后供应商可在采购组织单位指定区域填写报价单，密封递交采购组织单位工作人员，由工作人员收齐后集中递交磋商小组。工作人员不能拆封供应商报价单。</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2.5.4供应商报价资料应当由现任法定代表人/主要负责人/本人或其授权代表签字确认或加盖公章。最后报价是供应商响应文件的有效组成部分。</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2.5.5最后报价中的算术错误将按以下方法更正：响应文件的大写金额和小写金额不一致的，以大写金额为准；总价金额与按单价汇总金额不一致的，以单价金额计算结果为准；单价金额小数点有明显错位的，应以总价为准，并修改单价。</w:t>
      </w:r>
      <w:r>
        <w:rPr>
          <w:rFonts w:hint="eastAsia" w:ascii="仿宋" w:hAnsi="仿宋" w:eastAsia="仿宋"/>
          <w:sz w:val="24"/>
          <w:highlight w:val="none"/>
        </w:rPr>
        <w:t>如果小写、大写金额和单价、总价金额出现明显文字错误，应当按照澄清、说明或者更正程序先纠正错误后，再行修正，不得不经过澄清、说明或者更正，直接将供应商响应文件作为无效处理。</w:t>
      </w:r>
      <w:r>
        <w:rPr>
          <w:rFonts w:hint="eastAsia" w:ascii="仿宋" w:hAnsi="仿宋" w:eastAsia="仿宋" w:cs="仿宋"/>
          <w:sz w:val="24"/>
          <w:highlight w:val="none"/>
        </w:rPr>
        <w:t>对不同文字文本响应文件的解释发生异议的，以中文文本为准。如果供应商不接受对其错误的更正，其响应文件将被拒绝。</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2.6 比较与评价</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由磋商小组采用综合评分法对提交最后报价的供应商的响应文件和最后报价进行综合评分，具体要求详见本章的评审方法。</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2.7推荐成交候选供应商</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成交候选供应商应当排序。磋商小组应当根据综合评分情况，按照评审得分由高到低顺序推荐3家以上成交候选供应商，并编写磋商报告。综合得分相同的，评审结果按评审后得分由高到低顺序排列。评审得分相同的，按照最后报价由低到高的顺序推荐。评审得分且最后报价相同的，按照技术指标优劣顺序推荐。</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2.8采购组织单位现场复核评审结果</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2.8.1评审结果汇总完成后，磋商小组拟出具磋商报告前，采购组织单位应当组织2名以上的本单位工作人员，在采购现场监督人员的监督之下，依据有关的法律制度和磋商文件对评审结果进行复核，出具复核报告，存在下列情形之一的，采购组织单位应当根据情况书面建议磋商小组现场修改评审结果或者重新评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（1）资格性审查认定错误的；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（2）分值汇总计算错误的；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（3）分项评分超出评分标准范围的；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（4）客观评分不一致的。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存在本条上述情形的，由磋商小组自主决定是否采纳采购组织单位的书面建议，并承担独立评审责任。磋商小组采纳采购组织单位书面建议的，应当按照规定现场修改评审结果或者重新评审，并在磋商报告中详细记载有关事宜；不采纳采购组织单位书面建议的，应当书面说明理由。采购组织单位书面建议未被磋商小组采纳的，应当接照规定程序要求继续组织实施采购活动，不得擅自中止采购活动。采购组织单位认为磋商小组评审结果不合法的，应当书面报告采购项目同级财政部门。</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采购组织单位复核过程中，磋商小组成员不得离开评审现场。</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2.8.2有下列情形之一的，不得修改评审结果或者重新评审：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（1）磋商小组已经出具磋商报告并且离开评审现场的；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（2）采购组织单位现场复核时，复核工作人员数量不足的；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（3）采购组织单位现场复核时，没有采购监督人员现场监督的；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（4）采购组织单位现场复核内容超出规定范围的；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（5）采购组织单位未提供书面建议的。</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2.9编写磋商报告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磋商小组推荐成交候选供应商后，应向采购组织单位出具磋商报告。磋商报告应当包括以下主要内容：</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（1）邀请供应商参加采购活动的具体方式和相关情况；</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（2）响应文件开启日期和地点；</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（3）获取磋商文件的供应商名单和磋商小组成员名单；</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（4）评审情况记录和说明，包括对供应商的资格审查情况、供应商响应文件评审情况、磋商情况、报价情况等；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（5）提出的成交候选供应商的排序名单及理由。</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2.10磋商争议处理规则</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及时向采购组织单位书面反映。采购组织单位收到书面反映后，应当书面报告采购项目同级财政部门依法处理。</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2.11供应商澄清、说明</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2.11.2磋商小组要求供应商澄清、说明或者更正响应文件应当以书面形式作出。供应商的澄清、说明或者更正应当由法定代表人或其</w:t>
      </w:r>
      <w:r>
        <w:rPr>
          <w:rFonts w:hint="eastAsia" w:ascii="仿宋" w:hAnsi="仿宋" w:eastAsia="仿宋" w:cs="仿宋"/>
          <w:sz w:val="21"/>
          <w:szCs w:val="21"/>
          <w:highlight w:val="none"/>
        </w:rPr>
        <w:t>授权代表</w:t>
      </w:r>
      <w:r>
        <w:rPr>
          <w:rFonts w:hint="eastAsia" w:ascii="仿宋" w:hAnsi="仿宋" w:eastAsia="仿宋" w:cs="仿宋"/>
          <w:sz w:val="24"/>
          <w:highlight w:val="none"/>
        </w:rPr>
        <w:t>签字或者加盖公章。由</w:t>
      </w:r>
      <w:r>
        <w:rPr>
          <w:rFonts w:hint="eastAsia" w:ascii="仿宋" w:hAnsi="仿宋" w:eastAsia="仿宋" w:cs="仿宋"/>
          <w:sz w:val="21"/>
          <w:szCs w:val="21"/>
          <w:highlight w:val="none"/>
        </w:rPr>
        <w:t>授权代表</w:t>
      </w:r>
      <w:r>
        <w:rPr>
          <w:rFonts w:hint="eastAsia" w:ascii="仿宋" w:hAnsi="仿宋" w:eastAsia="仿宋" w:cs="仿宋"/>
          <w:sz w:val="24"/>
          <w:highlight w:val="none"/>
        </w:rPr>
        <w:t>签字的，应当附法定代表人授权书（授权代表为同一人的可不再提供）。供应商为自然人的，应当由本人签字并附身份证明。供应商的澄清、说明或者更正应当由法定代表人/主要负责人/本人或其授权代表签字或者加盖公章。</w:t>
      </w:r>
    </w:p>
    <w:p>
      <w:pPr>
        <w:widowControl/>
        <w:spacing w:line="560" w:lineRule="exact"/>
        <w:ind w:firstLine="482" w:firstLineChars="200"/>
        <w:outlineLvl w:val="1"/>
        <w:rPr>
          <w:rFonts w:ascii="仿宋" w:hAnsi="仿宋" w:eastAsia="仿宋" w:cs="仿宋"/>
          <w:b/>
          <w:sz w:val="24"/>
          <w:highlight w:val="none"/>
        </w:rPr>
      </w:pPr>
      <w:r>
        <w:rPr>
          <w:rFonts w:hint="eastAsia" w:ascii="仿宋" w:hAnsi="仿宋" w:eastAsia="仿宋" w:cs="仿宋"/>
          <w:b/>
          <w:sz w:val="24"/>
          <w:highlight w:val="none"/>
        </w:rPr>
        <w:t>2.12终止磋商采购活动</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出现下列情形之一的，采购人或者采购代理机构应当终止竞争性磋商采购活动，发布项目终止公告并说明原因，重新开展采购活动：</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（1）因情况变化，不再符合规定的竞争性磋商采购方式适用情形的；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（2）出现影响采购公正的违法、违规行为的；</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在采购过程中符合要求的供应商或者报价未超过采购预算的供应商不足3家（符合政府采购竞争性磋商采购方式管理暂行办法第三条第四项情形或《财政部关于政府采购竞争性磋商采购方式管理暂行办法有关问题的补充通知》适用情形的除外）的。</w:t>
      </w:r>
    </w:p>
    <w:p>
      <w:pPr>
        <w:pStyle w:val="23"/>
        <w:spacing w:line="560" w:lineRule="exact"/>
        <w:ind w:firstLine="472"/>
        <w:rPr>
          <w:rFonts w:ascii="仿宋" w:hAnsi="仿宋" w:eastAsia="仿宋" w:cs="仿宋"/>
          <w:sz w:val="24"/>
          <w:highlight w:val="none"/>
        </w:rPr>
      </w:pPr>
      <w:bookmarkStart w:id="120" w:name="_Toc10743"/>
      <w:bookmarkStart w:id="121" w:name="_Toc21784"/>
      <w:bookmarkStart w:id="122" w:name="_Toc3581"/>
      <w:r>
        <w:rPr>
          <w:rFonts w:hint="eastAsia" w:ascii="仿宋" w:hAnsi="仿宋" w:eastAsia="仿宋" w:cs="仿宋"/>
          <w:sz w:val="24"/>
          <w:highlight w:val="none"/>
        </w:rPr>
        <w:t>三、综合评分</w:t>
      </w:r>
      <w:bookmarkEnd w:id="120"/>
      <w:bookmarkEnd w:id="121"/>
      <w:bookmarkEnd w:id="122"/>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3.1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3.2磋商小组成员应当根据自身专业情况独立对每个有效供应商的响应文件进行评价、打分，加权汇总每项评分因素的得分，得出每个有效供应商的总分。技术类评分因素由技术方面磋商小组成员独立评分。经济类评分因素由经济方面磋商小组成员独立评分。采购人代表原则上对技术类评分因素独立评分。共同评分因素由磋商小组成员共同评分。</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评审得分＝（A1＋A2＋……＋An）/n1+（B1＋B2＋……＋Bn）/ n2+（C1＋C2＋……＋Cn）/ n3</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A1、A2……An分别为每个经济类评委的打分，n1为经济类评委人数；B1、B2＋……Bn 分别为每个技术类评委（含采购人代表）的打分，n2为技术类评委（含采购人代表）人数；C1、C2……Cn 分别为评审委员会每个成员的打分，n3为评委人数。</w:t>
      </w:r>
    </w:p>
    <w:p>
      <w:pPr>
        <w:widowControl/>
        <w:spacing w:line="560" w:lineRule="exact"/>
        <w:ind w:firstLine="480" w:firstLineChars="200"/>
        <w:outlineLvl w:val="1"/>
        <w:rPr>
          <w:rFonts w:ascii="仿宋" w:hAnsi="仿宋" w:eastAsia="仿宋" w:cs="仿宋"/>
          <w:sz w:val="24"/>
          <w:highlight w:val="none"/>
        </w:rPr>
      </w:pPr>
      <w:r>
        <w:rPr>
          <w:rFonts w:hint="eastAsia" w:ascii="仿宋" w:hAnsi="仿宋" w:eastAsia="仿宋" w:cs="仿宋"/>
          <w:sz w:val="24"/>
          <w:highlight w:val="none"/>
        </w:rPr>
        <w:t>3.3评审细则及标准</w:t>
      </w:r>
      <w:bookmarkEnd w:id="119"/>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3.3.1本次综合评分的因素是：见综合评分明细表。</w:t>
      </w:r>
    </w:p>
    <w:p>
      <w:pPr>
        <w:pStyle w:val="12"/>
        <w:tabs>
          <w:tab w:val="left" w:pos="600"/>
        </w:tabs>
        <w:spacing w:line="56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3.3.2综合评分明细表的制定以科学合理、降低评委会自由裁量权为原则。</w:t>
      </w:r>
    </w:p>
    <w:p>
      <w:pPr>
        <w:pStyle w:val="12"/>
        <w:tabs>
          <w:tab w:val="left" w:pos="600"/>
        </w:tabs>
        <w:spacing w:line="56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3.3.3综合评分明细表：</w:t>
      </w:r>
    </w:p>
    <w:tbl>
      <w:tblPr>
        <w:tblStyle w:val="25"/>
        <w:tblW w:w="91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08"/>
        <w:gridCol w:w="959"/>
        <w:gridCol w:w="3698"/>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1" w:type="dxa"/>
            <w:vAlign w:val="center"/>
          </w:tcPr>
          <w:p>
            <w:pPr>
              <w:spacing w:line="560" w:lineRule="exact"/>
              <w:rPr>
                <w:rFonts w:ascii="仿宋" w:hAnsi="仿宋" w:eastAsia="仿宋" w:cs="仿宋"/>
                <w:b/>
                <w:bCs/>
                <w:kern w:val="2"/>
                <w:sz w:val="24"/>
                <w:szCs w:val="24"/>
                <w:highlight w:val="none"/>
              </w:rPr>
            </w:pPr>
            <w:r>
              <w:rPr>
                <w:rFonts w:hint="eastAsia" w:ascii="仿宋" w:hAnsi="仿宋" w:eastAsia="仿宋" w:cs="仿宋"/>
                <w:b/>
                <w:bCs/>
                <w:kern w:val="2"/>
                <w:sz w:val="24"/>
                <w:szCs w:val="24"/>
                <w:highlight w:val="none"/>
              </w:rPr>
              <w:t>序号</w:t>
            </w:r>
          </w:p>
        </w:tc>
        <w:tc>
          <w:tcPr>
            <w:tcW w:w="1608" w:type="dxa"/>
            <w:vAlign w:val="center"/>
          </w:tcPr>
          <w:p>
            <w:pPr>
              <w:spacing w:line="560" w:lineRule="exact"/>
              <w:rPr>
                <w:rFonts w:ascii="仿宋" w:hAnsi="仿宋" w:eastAsia="仿宋" w:cs="仿宋"/>
                <w:b/>
                <w:bCs/>
                <w:kern w:val="2"/>
                <w:sz w:val="24"/>
                <w:szCs w:val="24"/>
                <w:highlight w:val="none"/>
              </w:rPr>
            </w:pPr>
            <w:r>
              <w:rPr>
                <w:rFonts w:hint="eastAsia" w:ascii="仿宋" w:hAnsi="仿宋" w:eastAsia="仿宋" w:cs="仿宋"/>
                <w:b/>
                <w:bCs/>
                <w:kern w:val="2"/>
                <w:sz w:val="24"/>
                <w:szCs w:val="24"/>
                <w:highlight w:val="none"/>
              </w:rPr>
              <w:t>评分因素</w:t>
            </w:r>
          </w:p>
        </w:tc>
        <w:tc>
          <w:tcPr>
            <w:tcW w:w="959" w:type="dxa"/>
            <w:vAlign w:val="center"/>
          </w:tcPr>
          <w:p>
            <w:pPr>
              <w:spacing w:line="560" w:lineRule="exact"/>
              <w:rPr>
                <w:rFonts w:ascii="仿宋" w:hAnsi="仿宋" w:eastAsia="仿宋" w:cs="仿宋"/>
                <w:b/>
                <w:bCs/>
                <w:kern w:val="2"/>
                <w:sz w:val="24"/>
                <w:szCs w:val="24"/>
                <w:highlight w:val="none"/>
              </w:rPr>
            </w:pPr>
            <w:r>
              <w:rPr>
                <w:rFonts w:hint="eastAsia" w:ascii="仿宋" w:hAnsi="仿宋" w:eastAsia="仿宋" w:cs="仿宋"/>
                <w:b/>
                <w:bCs/>
                <w:kern w:val="2"/>
                <w:sz w:val="24"/>
                <w:szCs w:val="24"/>
                <w:highlight w:val="none"/>
              </w:rPr>
              <w:t>分值</w:t>
            </w:r>
          </w:p>
        </w:tc>
        <w:tc>
          <w:tcPr>
            <w:tcW w:w="3698" w:type="dxa"/>
            <w:vAlign w:val="center"/>
          </w:tcPr>
          <w:p>
            <w:pPr>
              <w:spacing w:line="560" w:lineRule="exact"/>
              <w:ind w:firstLine="482" w:firstLineChars="200"/>
              <w:rPr>
                <w:rFonts w:ascii="仿宋" w:hAnsi="仿宋" w:eastAsia="仿宋" w:cs="仿宋"/>
                <w:b/>
                <w:bCs/>
                <w:kern w:val="2"/>
                <w:sz w:val="24"/>
                <w:szCs w:val="24"/>
                <w:highlight w:val="none"/>
              </w:rPr>
            </w:pPr>
            <w:r>
              <w:rPr>
                <w:rFonts w:hint="eastAsia" w:ascii="仿宋" w:hAnsi="仿宋" w:eastAsia="仿宋" w:cs="仿宋"/>
                <w:b/>
                <w:bCs/>
                <w:kern w:val="2"/>
                <w:sz w:val="24"/>
                <w:szCs w:val="24"/>
                <w:highlight w:val="none"/>
              </w:rPr>
              <w:t>评分标准</w:t>
            </w:r>
          </w:p>
        </w:tc>
        <w:tc>
          <w:tcPr>
            <w:tcW w:w="2145" w:type="dxa"/>
            <w:vAlign w:val="center"/>
          </w:tcPr>
          <w:p>
            <w:pPr>
              <w:spacing w:line="560" w:lineRule="exact"/>
              <w:ind w:firstLine="482" w:firstLineChars="200"/>
              <w:rPr>
                <w:rFonts w:ascii="仿宋" w:hAnsi="仿宋" w:eastAsia="仿宋" w:cs="仿宋"/>
                <w:b/>
                <w:bCs/>
                <w:kern w:val="2"/>
                <w:sz w:val="24"/>
                <w:szCs w:val="24"/>
                <w:highlight w:val="none"/>
              </w:rPr>
            </w:pPr>
            <w:r>
              <w:rPr>
                <w:rFonts w:hint="eastAsia" w:ascii="仿宋" w:hAnsi="仿宋" w:eastAsia="仿宋" w:cs="仿宋"/>
                <w:b/>
                <w:bCs/>
                <w:kern w:val="2"/>
                <w:sz w:val="24"/>
                <w:szCs w:val="24"/>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1" w:type="dxa"/>
            <w:vAlign w:val="center"/>
          </w:tcPr>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1608" w:type="dxa"/>
            <w:vAlign w:val="center"/>
          </w:tcPr>
          <w:p>
            <w:pPr>
              <w:spacing w:line="560" w:lineRule="exact"/>
              <w:jc w:val="left"/>
              <w:rPr>
                <w:rFonts w:ascii="仿宋" w:hAnsi="仿宋" w:eastAsia="仿宋" w:cs="仿宋"/>
                <w:kern w:val="2"/>
                <w:sz w:val="24"/>
                <w:szCs w:val="24"/>
                <w:highlight w:val="none"/>
              </w:rPr>
            </w:pPr>
            <w:r>
              <w:rPr>
                <w:rFonts w:hint="eastAsia" w:ascii="仿宋" w:hAnsi="仿宋" w:eastAsia="仿宋" w:cs="仿宋"/>
                <w:kern w:val="2"/>
                <w:sz w:val="24"/>
                <w:szCs w:val="24"/>
                <w:highlight w:val="none"/>
              </w:rPr>
              <w:t>报价</w:t>
            </w:r>
          </w:p>
          <w:p>
            <w:pPr>
              <w:spacing w:line="560" w:lineRule="exact"/>
              <w:jc w:val="left"/>
              <w:rPr>
                <w:rFonts w:ascii="仿宋" w:hAnsi="仿宋" w:eastAsia="仿宋" w:cs="仿宋"/>
                <w:kern w:val="2"/>
                <w:sz w:val="24"/>
                <w:szCs w:val="24"/>
                <w:highlight w:val="none"/>
              </w:rPr>
            </w:pPr>
            <w:r>
              <w:rPr>
                <w:rFonts w:hint="eastAsia" w:ascii="仿宋" w:hAnsi="仿宋" w:eastAsia="仿宋" w:cs="仿宋"/>
                <w:kern w:val="2"/>
                <w:sz w:val="24"/>
                <w:szCs w:val="24"/>
                <w:highlight w:val="none"/>
              </w:rPr>
              <w:t>（共同评分因素）</w:t>
            </w:r>
          </w:p>
          <w:p>
            <w:pPr>
              <w:spacing w:line="560" w:lineRule="exact"/>
              <w:jc w:val="left"/>
              <w:rPr>
                <w:rFonts w:ascii="仿宋" w:hAnsi="仿宋" w:eastAsia="仿宋" w:cs="仿宋"/>
                <w:kern w:val="2"/>
                <w:sz w:val="24"/>
                <w:szCs w:val="24"/>
                <w:highlight w:val="none"/>
              </w:rPr>
            </w:pPr>
          </w:p>
        </w:tc>
        <w:tc>
          <w:tcPr>
            <w:tcW w:w="959" w:type="dxa"/>
            <w:vAlign w:val="center"/>
          </w:tcPr>
          <w:p>
            <w:pPr>
              <w:spacing w:line="560" w:lineRule="exact"/>
              <w:jc w:val="left"/>
              <w:rPr>
                <w:rFonts w:ascii="仿宋" w:hAnsi="仿宋" w:eastAsia="仿宋" w:cs="仿宋"/>
                <w:kern w:val="2"/>
                <w:sz w:val="24"/>
                <w:szCs w:val="24"/>
                <w:highlight w:val="none"/>
              </w:rPr>
            </w:pPr>
            <w:r>
              <w:rPr>
                <w:rFonts w:ascii="仿宋" w:hAnsi="仿宋" w:eastAsia="仿宋" w:cs="仿宋"/>
                <w:kern w:val="2"/>
                <w:sz w:val="24"/>
                <w:szCs w:val="24"/>
                <w:highlight w:val="none"/>
              </w:rPr>
              <w:t>30</w:t>
            </w:r>
            <w:r>
              <w:rPr>
                <w:rFonts w:hint="eastAsia" w:ascii="仿宋" w:hAnsi="仿宋" w:eastAsia="仿宋" w:cs="仿宋"/>
                <w:kern w:val="2"/>
                <w:sz w:val="24"/>
                <w:szCs w:val="24"/>
                <w:highlight w:val="none"/>
              </w:rPr>
              <w:t>分</w:t>
            </w:r>
          </w:p>
        </w:tc>
        <w:tc>
          <w:tcPr>
            <w:tcW w:w="3698" w:type="dxa"/>
            <w:vAlign w:val="center"/>
          </w:tcPr>
          <w:p>
            <w:pPr>
              <w:spacing w:line="500" w:lineRule="exact"/>
              <w:ind w:firstLine="480" w:firstLineChars="200"/>
              <w:rPr>
                <w:rFonts w:ascii="仿宋" w:hAnsi="仿宋" w:eastAsia="仿宋" w:cs="仿宋"/>
                <w:kern w:val="2"/>
                <w:sz w:val="24"/>
                <w:szCs w:val="24"/>
                <w:highlight w:val="none"/>
              </w:rPr>
            </w:pPr>
            <w:r>
              <w:rPr>
                <w:rFonts w:hint="eastAsia" w:ascii="仿宋" w:hAnsi="仿宋" w:eastAsia="仿宋" w:cs="仿宋"/>
                <w:kern w:val="2"/>
                <w:sz w:val="24"/>
                <w:szCs w:val="24"/>
                <w:highlight w:val="none"/>
              </w:rPr>
              <w:t>满足磋商文件要求且报价最低的报价为评审基准价；</w:t>
            </w:r>
          </w:p>
          <w:p>
            <w:pPr>
              <w:spacing w:line="500" w:lineRule="exact"/>
              <w:ind w:firstLine="480" w:firstLineChars="200"/>
              <w:rPr>
                <w:rFonts w:ascii="仿宋" w:hAnsi="仿宋" w:eastAsia="仿宋" w:cs="仿宋"/>
                <w:kern w:val="2"/>
                <w:sz w:val="24"/>
                <w:szCs w:val="24"/>
                <w:highlight w:val="none"/>
              </w:rPr>
            </w:pPr>
            <w:r>
              <w:rPr>
                <w:rFonts w:hint="eastAsia" w:ascii="仿宋" w:hAnsi="仿宋" w:eastAsia="仿宋" w:cs="仿宋"/>
                <w:kern w:val="2"/>
                <w:sz w:val="24"/>
                <w:szCs w:val="24"/>
                <w:highlight w:val="none"/>
              </w:rPr>
              <w:t>报价得分=(评审基准价／最后报价)×30。</w:t>
            </w:r>
          </w:p>
        </w:tc>
        <w:tc>
          <w:tcPr>
            <w:tcW w:w="2145" w:type="dxa"/>
            <w:vAlign w:val="center"/>
          </w:tcPr>
          <w:p>
            <w:pPr>
              <w:spacing w:line="560" w:lineRule="exact"/>
              <w:jc w:val="left"/>
              <w:rPr>
                <w:rFonts w:ascii="仿宋" w:hAnsi="仿宋" w:eastAsia="仿宋" w:cs="仿宋"/>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1" w:type="dxa"/>
            <w:vAlign w:val="center"/>
          </w:tcPr>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1608" w:type="dxa"/>
            <w:vAlign w:val="center"/>
          </w:tcPr>
          <w:p>
            <w:pPr>
              <w:spacing w:line="560" w:lineRule="exact"/>
              <w:jc w:val="left"/>
              <w:rPr>
                <w:rFonts w:ascii="仿宋" w:hAnsi="仿宋" w:eastAsia="仿宋" w:cs="仿宋"/>
                <w:kern w:val="2"/>
                <w:sz w:val="24"/>
                <w:szCs w:val="24"/>
                <w:highlight w:val="none"/>
              </w:rPr>
            </w:pPr>
            <w:r>
              <w:rPr>
                <w:rFonts w:hint="eastAsia" w:ascii="仿宋" w:hAnsi="仿宋" w:eastAsia="仿宋" w:cs="仿宋"/>
                <w:kern w:val="2"/>
                <w:sz w:val="24"/>
                <w:szCs w:val="24"/>
                <w:highlight w:val="none"/>
              </w:rPr>
              <w:t>履约经验（技术类评分因素）</w:t>
            </w:r>
          </w:p>
        </w:tc>
        <w:tc>
          <w:tcPr>
            <w:tcW w:w="959" w:type="dxa"/>
            <w:vAlign w:val="center"/>
          </w:tcPr>
          <w:p>
            <w:pPr>
              <w:spacing w:line="560" w:lineRule="exact"/>
              <w:jc w:val="left"/>
              <w:rPr>
                <w:rFonts w:ascii="仿宋" w:hAnsi="仿宋" w:eastAsia="仿宋" w:cs="仿宋"/>
                <w:kern w:val="2"/>
                <w:sz w:val="24"/>
                <w:szCs w:val="24"/>
                <w:highlight w:val="none"/>
              </w:rPr>
            </w:pPr>
            <w:r>
              <w:rPr>
                <w:rFonts w:ascii="仿宋" w:hAnsi="仿宋" w:eastAsia="仿宋" w:cs="仿宋"/>
                <w:kern w:val="2"/>
                <w:sz w:val="24"/>
                <w:szCs w:val="24"/>
                <w:highlight w:val="none"/>
              </w:rPr>
              <w:t>12</w:t>
            </w:r>
            <w:r>
              <w:rPr>
                <w:rFonts w:hint="eastAsia" w:ascii="仿宋" w:hAnsi="仿宋" w:eastAsia="仿宋" w:cs="仿宋"/>
                <w:kern w:val="2"/>
                <w:sz w:val="24"/>
                <w:szCs w:val="24"/>
                <w:highlight w:val="none"/>
              </w:rPr>
              <w:t>分</w:t>
            </w:r>
          </w:p>
        </w:tc>
        <w:tc>
          <w:tcPr>
            <w:tcW w:w="3698" w:type="dxa"/>
            <w:vAlign w:val="center"/>
          </w:tcPr>
          <w:p>
            <w:pPr>
              <w:spacing w:line="500" w:lineRule="exact"/>
              <w:ind w:firstLine="480" w:firstLineChars="200"/>
              <w:rPr>
                <w:rFonts w:ascii="仿宋" w:hAnsi="仿宋" w:eastAsia="仿宋" w:cs="仿宋"/>
                <w:kern w:val="2"/>
                <w:sz w:val="24"/>
                <w:szCs w:val="24"/>
                <w:highlight w:val="none"/>
              </w:rPr>
            </w:pPr>
            <w:r>
              <w:rPr>
                <w:rFonts w:hint="eastAsia" w:ascii="仿宋" w:hAnsi="仿宋" w:eastAsia="仿宋" w:cs="仿宋"/>
                <w:kern w:val="2"/>
                <w:sz w:val="24"/>
                <w:szCs w:val="24"/>
                <w:highlight w:val="none"/>
              </w:rPr>
              <w:t>供应商需提供</w:t>
            </w:r>
            <w:r>
              <w:rPr>
                <w:rFonts w:ascii="仿宋" w:hAnsi="仿宋" w:eastAsia="仿宋" w:cs="仿宋"/>
                <w:kern w:val="2"/>
                <w:sz w:val="24"/>
                <w:szCs w:val="24"/>
                <w:highlight w:val="none"/>
              </w:rPr>
              <w:t>2</w:t>
            </w:r>
            <w:r>
              <w:rPr>
                <w:rFonts w:hint="eastAsia" w:ascii="仿宋" w:hAnsi="仿宋" w:eastAsia="仿宋" w:cs="仿宋"/>
                <w:kern w:val="2"/>
                <w:sz w:val="24"/>
                <w:szCs w:val="24"/>
                <w:highlight w:val="none"/>
              </w:rPr>
              <w:t>019年度至今类似本项目相关</w:t>
            </w:r>
            <w:r>
              <w:rPr>
                <w:rFonts w:ascii="仿宋" w:hAnsi="仿宋" w:eastAsia="仿宋" w:cs="仿宋"/>
                <w:kern w:val="2"/>
                <w:sz w:val="24"/>
                <w:szCs w:val="24"/>
                <w:highlight w:val="none"/>
              </w:rPr>
              <w:t>运维</w:t>
            </w:r>
            <w:r>
              <w:rPr>
                <w:rFonts w:hint="eastAsia" w:ascii="仿宋" w:hAnsi="仿宋" w:eastAsia="仿宋" w:cs="仿宋"/>
                <w:kern w:val="2"/>
                <w:sz w:val="24"/>
                <w:szCs w:val="24"/>
                <w:highlight w:val="none"/>
              </w:rPr>
              <w:t>服务履约合同。每提供一个合同内容至少包含桌面终端运维服务的得2分，最多得2分；每提供一个合同内容至少包含</w:t>
            </w:r>
            <w:r>
              <w:rPr>
                <w:rFonts w:ascii="仿宋" w:hAnsi="仿宋" w:eastAsia="仿宋" w:cs="仿宋"/>
                <w:kern w:val="2"/>
                <w:sz w:val="24"/>
                <w:szCs w:val="24"/>
                <w:highlight w:val="none"/>
              </w:rPr>
              <w:t>服务</w:t>
            </w:r>
            <w:r>
              <w:rPr>
                <w:rFonts w:hint="eastAsia" w:ascii="仿宋" w:hAnsi="仿宋" w:eastAsia="仿宋" w:cs="仿宋"/>
                <w:kern w:val="2"/>
                <w:sz w:val="24"/>
                <w:szCs w:val="24"/>
                <w:highlight w:val="none"/>
              </w:rPr>
              <w:t>器</w:t>
            </w:r>
            <w:r>
              <w:rPr>
                <w:rFonts w:ascii="仿宋" w:hAnsi="仿宋" w:eastAsia="仿宋" w:cs="仿宋"/>
                <w:kern w:val="2"/>
                <w:sz w:val="24"/>
                <w:szCs w:val="24"/>
                <w:highlight w:val="none"/>
              </w:rPr>
              <w:t>运维</w:t>
            </w:r>
            <w:r>
              <w:rPr>
                <w:rFonts w:hint="eastAsia" w:ascii="仿宋" w:hAnsi="仿宋" w:eastAsia="仿宋" w:cs="仿宋"/>
                <w:kern w:val="2"/>
                <w:sz w:val="24"/>
                <w:szCs w:val="24"/>
                <w:highlight w:val="none"/>
              </w:rPr>
              <w:t>服务的得2分，最多得2分；每提供一个合同内容至少包含</w:t>
            </w:r>
            <w:r>
              <w:rPr>
                <w:rFonts w:ascii="仿宋" w:hAnsi="仿宋" w:eastAsia="仿宋" w:cs="仿宋"/>
                <w:kern w:val="2"/>
                <w:sz w:val="24"/>
                <w:szCs w:val="24"/>
                <w:highlight w:val="none"/>
              </w:rPr>
              <w:t>网络</w:t>
            </w:r>
            <w:r>
              <w:rPr>
                <w:rFonts w:hint="eastAsia" w:ascii="仿宋" w:hAnsi="仿宋" w:eastAsia="仿宋" w:cs="仿宋"/>
                <w:kern w:val="2"/>
                <w:sz w:val="24"/>
                <w:szCs w:val="24"/>
                <w:highlight w:val="none"/>
              </w:rPr>
              <w:t>设备</w:t>
            </w:r>
            <w:r>
              <w:rPr>
                <w:rFonts w:ascii="仿宋" w:hAnsi="仿宋" w:eastAsia="仿宋" w:cs="仿宋"/>
                <w:kern w:val="2"/>
                <w:sz w:val="24"/>
                <w:szCs w:val="24"/>
                <w:highlight w:val="none"/>
              </w:rPr>
              <w:t>运维</w:t>
            </w:r>
            <w:r>
              <w:rPr>
                <w:rFonts w:hint="eastAsia" w:ascii="仿宋" w:hAnsi="仿宋" w:eastAsia="仿宋" w:cs="仿宋"/>
                <w:kern w:val="2"/>
                <w:sz w:val="24"/>
                <w:szCs w:val="24"/>
                <w:highlight w:val="none"/>
              </w:rPr>
              <w:t>服务的得2分，最多得2分；每提供一个合同内容至少包含</w:t>
            </w:r>
            <w:r>
              <w:rPr>
                <w:rFonts w:ascii="仿宋" w:hAnsi="仿宋" w:eastAsia="仿宋" w:cs="仿宋"/>
                <w:kern w:val="2"/>
                <w:sz w:val="24"/>
                <w:szCs w:val="24"/>
                <w:highlight w:val="none"/>
              </w:rPr>
              <w:t>视频监控运维</w:t>
            </w:r>
            <w:r>
              <w:rPr>
                <w:rFonts w:hint="eastAsia" w:ascii="仿宋" w:hAnsi="仿宋" w:eastAsia="仿宋" w:cs="仿宋"/>
                <w:kern w:val="2"/>
                <w:sz w:val="24"/>
                <w:szCs w:val="24"/>
                <w:highlight w:val="none"/>
              </w:rPr>
              <w:t>服务的得2分，最多得2分；每提供一个合同内容至少包含信息</w:t>
            </w:r>
            <w:r>
              <w:rPr>
                <w:rFonts w:ascii="仿宋" w:hAnsi="仿宋" w:eastAsia="仿宋" w:cs="仿宋"/>
                <w:kern w:val="2"/>
                <w:sz w:val="24"/>
                <w:szCs w:val="24"/>
                <w:highlight w:val="none"/>
              </w:rPr>
              <w:t>系统运维</w:t>
            </w:r>
            <w:r>
              <w:rPr>
                <w:rFonts w:hint="eastAsia" w:ascii="仿宋" w:hAnsi="仿宋" w:eastAsia="仿宋" w:cs="仿宋"/>
                <w:kern w:val="2"/>
                <w:sz w:val="24"/>
                <w:szCs w:val="24"/>
                <w:highlight w:val="none"/>
              </w:rPr>
              <w:t>服务的得2分，最多得2分；每提供一个合同内容至少包含数据机房</w:t>
            </w:r>
            <w:r>
              <w:rPr>
                <w:rFonts w:ascii="仿宋" w:hAnsi="仿宋" w:eastAsia="仿宋" w:cs="仿宋"/>
                <w:kern w:val="2"/>
                <w:sz w:val="24"/>
                <w:szCs w:val="24"/>
                <w:highlight w:val="none"/>
              </w:rPr>
              <w:t>运维</w:t>
            </w:r>
            <w:r>
              <w:rPr>
                <w:rFonts w:hint="eastAsia" w:ascii="仿宋" w:hAnsi="仿宋" w:eastAsia="仿宋" w:cs="仿宋"/>
                <w:kern w:val="2"/>
                <w:sz w:val="24"/>
                <w:szCs w:val="24"/>
                <w:highlight w:val="none"/>
              </w:rPr>
              <w:t>服务的得2分，最多得2分；本项最多得1</w:t>
            </w:r>
            <w:r>
              <w:rPr>
                <w:rFonts w:ascii="仿宋" w:hAnsi="仿宋" w:eastAsia="仿宋" w:cs="仿宋"/>
                <w:kern w:val="2"/>
                <w:sz w:val="24"/>
                <w:szCs w:val="24"/>
                <w:highlight w:val="none"/>
              </w:rPr>
              <w:t>2</w:t>
            </w:r>
            <w:r>
              <w:rPr>
                <w:rFonts w:hint="eastAsia" w:ascii="仿宋" w:hAnsi="仿宋" w:eastAsia="仿宋" w:cs="仿宋"/>
                <w:kern w:val="2"/>
                <w:sz w:val="24"/>
                <w:szCs w:val="24"/>
                <w:highlight w:val="none"/>
              </w:rPr>
              <w:t>分。</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同一合同不重复得分，提供合同复印件及</w:t>
            </w:r>
            <w:r>
              <w:rPr>
                <w:rFonts w:ascii="仿宋" w:hAnsi="仿宋" w:eastAsia="仿宋" w:cs="仿宋"/>
                <w:kern w:val="2"/>
                <w:sz w:val="24"/>
                <w:szCs w:val="24"/>
                <w:highlight w:val="none"/>
              </w:rPr>
              <w:t>发票</w:t>
            </w:r>
            <w:r>
              <w:rPr>
                <w:rFonts w:hint="eastAsia" w:ascii="仿宋" w:hAnsi="仿宋" w:eastAsia="仿宋" w:cs="仿宋"/>
                <w:kern w:val="2"/>
                <w:sz w:val="24"/>
                <w:szCs w:val="24"/>
                <w:highlight w:val="none"/>
              </w:rPr>
              <w:t>凭证</w:t>
            </w:r>
            <w:r>
              <w:rPr>
                <w:rFonts w:ascii="仿宋" w:hAnsi="仿宋" w:eastAsia="仿宋" w:cs="仿宋"/>
                <w:kern w:val="2"/>
                <w:sz w:val="24"/>
                <w:szCs w:val="24"/>
                <w:highlight w:val="none"/>
              </w:rPr>
              <w:t>影印件</w:t>
            </w:r>
            <w:r>
              <w:rPr>
                <w:rFonts w:hint="eastAsia" w:ascii="仿宋" w:hAnsi="仿宋" w:eastAsia="仿宋" w:cs="仿宋"/>
                <w:kern w:val="2"/>
                <w:sz w:val="24"/>
                <w:szCs w:val="24"/>
                <w:highlight w:val="none"/>
              </w:rPr>
              <w:t>佐证材料，并加盖供应商公章。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741" w:type="dxa"/>
            <w:vAlign w:val="center"/>
          </w:tcPr>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1608" w:type="dxa"/>
            <w:vAlign w:val="center"/>
          </w:tcPr>
          <w:p>
            <w:pPr>
              <w:spacing w:line="560" w:lineRule="exact"/>
              <w:jc w:val="left"/>
              <w:rPr>
                <w:rFonts w:ascii="仿宋" w:hAnsi="仿宋" w:eastAsia="仿宋" w:cs="仿宋"/>
                <w:kern w:val="2"/>
                <w:sz w:val="24"/>
                <w:szCs w:val="24"/>
                <w:highlight w:val="none"/>
              </w:rPr>
            </w:pPr>
            <w:r>
              <w:rPr>
                <w:rFonts w:hint="eastAsia" w:ascii="仿宋" w:hAnsi="仿宋" w:eastAsia="仿宋" w:cs="仿宋"/>
                <w:kern w:val="2"/>
                <w:sz w:val="24"/>
                <w:szCs w:val="24"/>
                <w:highlight w:val="none"/>
              </w:rPr>
              <w:t>总体服务方案（技术类评分因素）</w:t>
            </w:r>
          </w:p>
          <w:p>
            <w:pPr>
              <w:spacing w:line="560" w:lineRule="exact"/>
              <w:jc w:val="left"/>
              <w:rPr>
                <w:rFonts w:ascii="仿宋" w:hAnsi="仿宋" w:eastAsia="仿宋" w:cs="仿宋"/>
                <w:kern w:val="2"/>
                <w:sz w:val="24"/>
                <w:szCs w:val="24"/>
                <w:highlight w:val="none"/>
              </w:rPr>
            </w:pPr>
          </w:p>
        </w:tc>
        <w:tc>
          <w:tcPr>
            <w:tcW w:w="959" w:type="dxa"/>
            <w:vAlign w:val="center"/>
          </w:tcPr>
          <w:p>
            <w:pPr>
              <w:spacing w:line="560" w:lineRule="exact"/>
              <w:jc w:val="left"/>
              <w:rPr>
                <w:rFonts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698" w:type="dxa"/>
            <w:vAlign w:val="center"/>
          </w:tcPr>
          <w:p>
            <w:pPr>
              <w:pStyle w:val="2"/>
              <w:spacing w:line="500" w:lineRule="exact"/>
              <w:ind w:firstLine="480" w:firstLineChars="200"/>
              <w:rPr>
                <w:rFonts w:ascii="仿宋" w:hAnsi="仿宋" w:eastAsia="仿宋" w:cs="仿宋"/>
                <w:kern w:val="2"/>
                <w:highlight w:val="none"/>
              </w:rPr>
            </w:pPr>
            <w:r>
              <w:rPr>
                <w:rFonts w:hint="eastAsia" w:ascii="仿宋" w:hAnsi="仿宋" w:eastAsia="仿宋" w:cs="仿宋"/>
                <w:kern w:val="2"/>
                <w:highlight w:val="none"/>
              </w:rPr>
              <w:t>供应商根据磋商文件要求，编制总体服务方案，包含①服务目标；②信息安全措施；③驻场运维措施；④服务质量保证措施；⑤突发事件应急处理措施；⑥进度计划安排；⑦服务保障措施；⑧服务响应，以上8点内容均完全满足项目需求且根据本项目需求展开详细阐述，契合本项目需求、阐述无矛盾的得8分；每存在一点内容缺失或不契合需求或表述矛盾或与本项目无关的扣1分，直至本项分数扣完为止。</w:t>
            </w:r>
          </w:p>
          <w:p>
            <w:pPr>
              <w:pStyle w:val="2"/>
              <w:spacing w:line="500" w:lineRule="exact"/>
              <w:ind w:firstLine="480" w:firstLineChars="200"/>
              <w:rPr>
                <w:rFonts w:hAnsi="Calibri"/>
                <w:kern w:val="2"/>
                <w:highlight w:val="none"/>
              </w:rPr>
            </w:pPr>
            <w:r>
              <w:rPr>
                <w:rFonts w:hint="eastAsia" w:ascii="仿宋" w:hAnsi="仿宋" w:eastAsia="仿宋" w:cs="仿宋"/>
                <w:kern w:val="2"/>
                <w:highlight w:val="none"/>
              </w:rPr>
              <w:t>供应商根据磋商文件要求，编制培训方案，培训方案完全满足项目需求且依据本项目需求编制，契合本项目需求、前后无矛盾的得</w:t>
            </w:r>
            <w:r>
              <w:rPr>
                <w:rFonts w:ascii="仿宋" w:hAnsi="仿宋" w:eastAsia="仿宋" w:cs="仿宋"/>
                <w:kern w:val="2"/>
                <w:highlight w:val="none"/>
              </w:rPr>
              <w:t>2分；内容缺失或表述</w:t>
            </w:r>
            <w:r>
              <w:rPr>
                <w:rFonts w:hint="eastAsia" w:ascii="仿宋" w:hAnsi="仿宋" w:eastAsia="仿宋" w:cs="仿宋"/>
                <w:kern w:val="2"/>
                <w:highlight w:val="none"/>
              </w:rPr>
              <w:t>矛盾或不契合需求或与本项目无关的扣</w:t>
            </w:r>
            <w:r>
              <w:rPr>
                <w:rFonts w:ascii="仿宋" w:hAnsi="仿宋" w:eastAsia="仿宋" w:cs="仿宋"/>
                <w:kern w:val="2"/>
                <w:highlight w:val="none"/>
              </w:rPr>
              <w:t>1</w:t>
            </w:r>
            <w:r>
              <w:rPr>
                <w:rFonts w:hint="eastAsia" w:ascii="仿宋" w:hAnsi="仿宋" w:eastAsia="仿宋" w:cs="仿宋"/>
                <w:kern w:val="2"/>
                <w:highlight w:val="none"/>
              </w:rPr>
              <w:t>分，直至本项分数扣完为止。</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以响应文件为准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1" w:type="dxa"/>
            <w:vMerge w:val="restart"/>
            <w:vAlign w:val="center"/>
          </w:tcPr>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1608" w:type="dxa"/>
            <w:vMerge w:val="restart"/>
            <w:vAlign w:val="center"/>
          </w:tcPr>
          <w:p>
            <w:pPr>
              <w:spacing w:line="560" w:lineRule="exact"/>
              <w:jc w:val="left"/>
              <w:rPr>
                <w:rFonts w:ascii="仿宋" w:hAnsi="仿宋" w:eastAsia="仿宋" w:cs="仿宋"/>
                <w:kern w:val="2"/>
                <w:sz w:val="24"/>
                <w:szCs w:val="24"/>
                <w:highlight w:val="none"/>
              </w:rPr>
            </w:pPr>
            <w:r>
              <w:rPr>
                <w:rFonts w:hint="eastAsia" w:ascii="仿宋" w:hAnsi="仿宋" w:eastAsia="仿宋" w:cs="仿宋"/>
                <w:kern w:val="2"/>
                <w:sz w:val="24"/>
                <w:szCs w:val="24"/>
                <w:highlight w:val="none"/>
              </w:rPr>
              <w:t>企业实力（技术类评分因素）</w:t>
            </w:r>
          </w:p>
        </w:tc>
        <w:tc>
          <w:tcPr>
            <w:tcW w:w="959" w:type="dxa"/>
            <w:vMerge w:val="restart"/>
            <w:vAlign w:val="center"/>
          </w:tcPr>
          <w:p>
            <w:pPr>
              <w:spacing w:line="560" w:lineRule="exact"/>
              <w:jc w:val="left"/>
              <w:rPr>
                <w:rFonts w:ascii="仿宋" w:hAnsi="仿宋" w:eastAsia="仿宋" w:cs="仿宋"/>
                <w:kern w:val="2"/>
                <w:sz w:val="24"/>
                <w:szCs w:val="24"/>
                <w:highlight w:val="none"/>
              </w:rPr>
            </w:pPr>
            <w:r>
              <w:rPr>
                <w:rFonts w:hint="eastAsia" w:ascii="仿宋" w:hAnsi="仿宋" w:eastAsia="仿宋" w:cs="仿宋"/>
                <w:kern w:val="2"/>
                <w:sz w:val="24"/>
                <w:szCs w:val="24"/>
                <w:highlight w:val="none"/>
              </w:rPr>
              <w:t>1</w:t>
            </w:r>
            <w:r>
              <w:rPr>
                <w:rFonts w:ascii="仿宋" w:hAnsi="仿宋" w:eastAsia="仿宋" w:cs="仿宋"/>
                <w:kern w:val="2"/>
                <w:sz w:val="24"/>
                <w:szCs w:val="24"/>
                <w:highlight w:val="none"/>
              </w:rPr>
              <w:t>3</w:t>
            </w:r>
            <w:r>
              <w:rPr>
                <w:rFonts w:hint="eastAsia" w:ascii="仿宋" w:hAnsi="仿宋" w:eastAsia="仿宋" w:cs="仿宋"/>
                <w:kern w:val="2"/>
                <w:sz w:val="24"/>
                <w:szCs w:val="24"/>
                <w:highlight w:val="none"/>
              </w:rPr>
              <w:t>分</w:t>
            </w:r>
          </w:p>
        </w:tc>
        <w:tc>
          <w:tcPr>
            <w:tcW w:w="3698" w:type="dxa"/>
            <w:vAlign w:val="center"/>
          </w:tcPr>
          <w:p>
            <w:pPr>
              <w:spacing w:line="500" w:lineRule="exact"/>
              <w:ind w:firstLine="480" w:firstLineChars="200"/>
              <w:rPr>
                <w:rFonts w:ascii="仿宋" w:hAnsi="仿宋" w:eastAsia="仿宋" w:cs="仿宋"/>
                <w:kern w:val="2"/>
                <w:sz w:val="24"/>
                <w:szCs w:val="24"/>
                <w:highlight w:val="none"/>
              </w:rPr>
            </w:pPr>
            <w:r>
              <w:rPr>
                <w:rFonts w:hint="eastAsia" w:ascii="仿宋" w:hAnsi="仿宋" w:eastAsia="仿宋" w:cs="仿宋"/>
                <w:kern w:val="2"/>
                <w:sz w:val="24"/>
                <w:szCs w:val="24"/>
                <w:highlight w:val="none"/>
              </w:rPr>
              <w:t>供应商具备ITSS信息技术服务运行维护三级及以上证书得3分，未提供得0分。</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提供证书复印件并加盖供应商公章。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741" w:type="dxa"/>
            <w:vMerge w:val="continue"/>
            <w:vAlign w:val="center"/>
          </w:tcPr>
          <w:p>
            <w:pPr>
              <w:spacing w:line="560" w:lineRule="exact"/>
              <w:jc w:val="center"/>
              <w:rPr>
                <w:rFonts w:hAnsi="Calibri"/>
                <w:kern w:val="2"/>
                <w:sz w:val="24"/>
                <w:szCs w:val="24"/>
                <w:highlight w:val="none"/>
              </w:rPr>
            </w:pPr>
          </w:p>
        </w:tc>
        <w:tc>
          <w:tcPr>
            <w:tcW w:w="1608" w:type="dxa"/>
            <w:vMerge w:val="continue"/>
            <w:vAlign w:val="center"/>
          </w:tcPr>
          <w:p>
            <w:pPr>
              <w:spacing w:line="560" w:lineRule="exact"/>
              <w:rPr>
                <w:rFonts w:hAnsi="Calibri"/>
                <w:kern w:val="2"/>
                <w:sz w:val="24"/>
                <w:szCs w:val="24"/>
                <w:highlight w:val="none"/>
              </w:rPr>
            </w:pPr>
          </w:p>
        </w:tc>
        <w:tc>
          <w:tcPr>
            <w:tcW w:w="959" w:type="dxa"/>
            <w:vMerge w:val="continue"/>
            <w:vAlign w:val="center"/>
          </w:tcPr>
          <w:p>
            <w:pPr>
              <w:spacing w:line="560" w:lineRule="exact"/>
              <w:rPr>
                <w:rFonts w:hAnsi="Calibri"/>
                <w:kern w:val="2"/>
                <w:sz w:val="24"/>
                <w:szCs w:val="24"/>
                <w:highlight w:val="none"/>
              </w:rPr>
            </w:pPr>
          </w:p>
        </w:tc>
        <w:tc>
          <w:tcPr>
            <w:tcW w:w="3698" w:type="dxa"/>
            <w:vAlign w:val="center"/>
          </w:tcPr>
          <w:p>
            <w:pPr>
              <w:spacing w:line="500" w:lineRule="exact"/>
              <w:ind w:firstLine="480" w:firstLineChars="200"/>
              <w:rPr>
                <w:rFonts w:ascii="仿宋_GB2312" w:hAnsi="仿宋_GB2312" w:eastAsia="仿宋_GB2312" w:cs="仿宋_GB2312"/>
                <w:color w:val="000000"/>
                <w:sz w:val="24"/>
                <w:szCs w:val="24"/>
                <w:highlight w:val="none"/>
              </w:rPr>
            </w:pPr>
            <w:r>
              <w:rPr>
                <w:rFonts w:hint="eastAsia" w:ascii="仿宋" w:hAnsi="仿宋" w:eastAsia="仿宋" w:cs="仿宋"/>
                <w:kern w:val="2"/>
                <w:sz w:val="24"/>
                <w:szCs w:val="24"/>
                <w:highlight w:val="none"/>
              </w:rPr>
              <w:t>供应商具备ISO信息</w:t>
            </w:r>
            <w:r>
              <w:rPr>
                <w:rFonts w:ascii="仿宋" w:hAnsi="仿宋" w:eastAsia="仿宋" w:cs="仿宋"/>
                <w:kern w:val="2"/>
                <w:sz w:val="24"/>
                <w:szCs w:val="24"/>
                <w:highlight w:val="none"/>
              </w:rPr>
              <w:t>安全管理体系认证证书</w:t>
            </w:r>
            <w:r>
              <w:rPr>
                <w:rFonts w:hint="eastAsia" w:ascii="仿宋" w:hAnsi="仿宋" w:eastAsia="仿宋" w:cs="仿宋"/>
                <w:kern w:val="2"/>
                <w:sz w:val="24"/>
                <w:szCs w:val="24"/>
                <w:highlight w:val="none"/>
              </w:rPr>
              <w:t>，ISO质量</w:t>
            </w:r>
            <w:r>
              <w:rPr>
                <w:rFonts w:ascii="仿宋" w:hAnsi="仿宋" w:eastAsia="仿宋" w:cs="仿宋"/>
                <w:kern w:val="2"/>
                <w:sz w:val="24"/>
                <w:szCs w:val="24"/>
                <w:highlight w:val="none"/>
              </w:rPr>
              <w:t>管理体系认证证书</w:t>
            </w:r>
            <w:r>
              <w:rPr>
                <w:rFonts w:hint="eastAsia" w:ascii="仿宋" w:hAnsi="仿宋" w:eastAsia="仿宋" w:cs="仿宋"/>
                <w:kern w:val="2"/>
                <w:sz w:val="24"/>
                <w:szCs w:val="24"/>
                <w:highlight w:val="none"/>
              </w:rPr>
              <w:t>，ISO环境</w:t>
            </w:r>
            <w:r>
              <w:rPr>
                <w:rFonts w:ascii="仿宋" w:hAnsi="仿宋" w:eastAsia="仿宋" w:cs="仿宋"/>
                <w:kern w:val="2"/>
                <w:sz w:val="24"/>
                <w:szCs w:val="24"/>
                <w:highlight w:val="none"/>
              </w:rPr>
              <w:t>管理体系认证</w:t>
            </w:r>
            <w:r>
              <w:rPr>
                <w:rFonts w:hint="eastAsia" w:ascii="仿宋" w:hAnsi="仿宋" w:eastAsia="仿宋" w:cs="仿宋"/>
                <w:kern w:val="2"/>
                <w:sz w:val="24"/>
                <w:szCs w:val="24"/>
                <w:highlight w:val="none"/>
              </w:rPr>
              <w:t>证书，ISO职业</w:t>
            </w:r>
            <w:r>
              <w:rPr>
                <w:rFonts w:ascii="仿宋" w:hAnsi="仿宋" w:eastAsia="仿宋" w:cs="仿宋"/>
                <w:kern w:val="2"/>
                <w:sz w:val="24"/>
                <w:szCs w:val="24"/>
                <w:highlight w:val="none"/>
              </w:rPr>
              <w:t>健康安全管理体系认证证书</w:t>
            </w:r>
            <w:r>
              <w:rPr>
                <w:rFonts w:hint="eastAsia" w:ascii="仿宋" w:hAnsi="仿宋" w:eastAsia="仿宋" w:cs="仿宋"/>
                <w:kern w:val="2"/>
                <w:sz w:val="24"/>
                <w:szCs w:val="24"/>
                <w:highlight w:val="none"/>
              </w:rPr>
              <w:t>，每提供一项得2分，最多得8分。</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提供证书复印件并加盖供应商公章。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741" w:type="dxa"/>
            <w:vMerge w:val="continue"/>
            <w:vAlign w:val="center"/>
          </w:tcPr>
          <w:p>
            <w:pPr>
              <w:spacing w:line="560" w:lineRule="exact"/>
              <w:jc w:val="center"/>
              <w:rPr>
                <w:rFonts w:hAnsi="Calibri"/>
                <w:kern w:val="2"/>
                <w:sz w:val="24"/>
                <w:szCs w:val="24"/>
                <w:highlight w:val="none"/>
              </w:rPr>
            </w:pPr>
          </w:p>
        </w:tc>
        <w:tc>
          <w:tcPr>
            <w:tcW w:w="1608" w:type="dxa"/>
            <w:vMerge w:val="continue"/>
            <w:vAlign w:val="center"/>
          </w:tcPr>
          <w:p>
            <w:pPr>
              <w:spacing w:line="560" w:lineRule="exact"/>
              <w:rPr>
                <w:rFonts w:hAnsi="Calibri"/>
                <w:kern w:val="2"/>
                <w:sz w:val="24"/>
                <w:szCs w:val="24"/>
                <w:highlight w:val="none"/>
              </w:rPr>
            </w:pPr>
          </w:p>
        </w:tc>
        <w:tc>
          <w:tcPr>
            <w:tcW w:w="959" w:type="dxa"/>
            <w:vMerge w:val="continue"/>
            <w:vAlign w:val="center"/>
          </w:tcPr>
          <w:p>
            <w:pPr>
              <w:spacing w:line="560" w:lineRule="exact"/>
              <w:rPr>
                <w:rFonts w:hAnsi="Calibri"/>
                <w:kern w:val="2"/>
                <w:sz w:val="24"/>
                <w:szCs w:val="24"/>
                <w:highlight w:val="none"/>
              </w:rPr>
            </w:pPr>
          </w:p>
        </w:tc>
        <w:tc>
          <w:tcPr>
            <w:tcW w:w="3698" w:type="dxa"/>
            <w:vAlign w:val="center"/>
          </w:tcPr>
          <w:p>
            <w:pPr>
              <w:spacing w:line="500" w:lineRule="exact"/>
              <w:ind w:firstLine="360" w:firstLineChars="150"/>
              <w:rPr>
                <w:rFonts w:ascii="仿宋" w:hAnsi="仿宋" w:eastAsia="仿宋" w:cs="仿宋"/>
                <w:kern w:val="2"/>
                <w:sz w:val="24"/>
                <w:szCs w:val="24"/>
                <w:highlight w:val="none"/>
              </w:rPr>
            </w:pPr>
            <w:r>
              <w:rPr>
                <w:rFonts w:hint="eastAsia" w:ascii="仿宋" w:hAnsi="仿宋" w:eastAsia="仿宋" w:cs="仿宋"/>
                <w:kern w:val="2"/>
                <w:sz w:val="24"/>
                <w:szCs w:val="24"/>
                <w:highlight w:val="none"/>
              </w:rPr>
              <w:t>供应商具备信息系统建设和服务能力等级证书</w:t>
            </w:r>
            <w:r>
              <w:rPr>
                <w:rFonts w:hint="eastAsia" w:ascii="仿宋" w:hAnsi="仿宋" w:eastAsia="仿宋" w:cs="仿宋"/>
                <w:kern w:val="2"/>
                <w:sz w:val="24"/>
                <w:szCs w:val="24"/>
                <w:highlight w:val="none"/>
                <w:lang w:val="en-US" w:eastAsia="zh-CN"/>
              </w:rPr>
              <w:t>（CS3级）及以上</w:t>
            </w:r>
            <w:r>
              <w:rPr>
                <w:rFonts w:hint="eastAsia" w:ascii="仿宋" w:hAnsi="仿宋" w:eastAsia="仿宋" w:cs="仿宋"/>
                <w:kern w:val="2"/>
                <w:sz w:val="24"/>
                <w:szCs w:val="24"/>
                <w:highlight w:val="none"/>
              </w:rPr>
              <w:t>得2分，未提供得0分。</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提供证书复印件并加盖供应商公章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41" w:type="dxa"/>
            <w:vMerge w:val="restart"/>
            <w:vAlign w:val="center"/>
          </w:tcPr>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1608" w:type="dxa"/>
            <w:vMerge w:val="restart"/>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人员配置（技术类评分因素）</w:t>
            </w:r>
          </w:p>
        </w:tc>
        <w:tc>
          <w:tcPr>
            <w:tcW w:w="959" w:type="dxa"/>
            <w:vMerge w:val="restart"/>
            <w:vAlign w:val="center"/>
          </w:tcPr>
          <w:p>
            <w:pPr>
              <w:spacing w:line="560" w:lineRule="exact"/>
              <w:rPr>
                <w:rFonts w:ascii="仿宋" w:hAnsi="仿宋" w:eastAsia="仿宋" w:cs="仿宋"/>
                <w:kern w:val="2"/>
                <w:sz w:val="24"/>
                <w:szCs w:val="24"/>
                <w:highlight w:val="none"/>
              </w:rPr>
            </w:pPr>
            <w:r>
              <w:rPr>
                <w:rFonts w:ascii="仿宋" w:hAnsi="仿宋" w:eastAsia="仿宋" w:cs="仿宋"/>
                <w:kern w:val="2"/>
                <w:sz w:val="24"/>
                <w:szCs w:val="24"/>
                <w:highlight w:val="none"/>
              </w:rPr>
              <w:t>34</w:t>
            </w:r>
            <w:r>
              <w:rPr>
                <w:rFonts w:hint="eastAsia" w:ascii="仿宋" w:hAnsi="仿宋" w:eastAsia="仿宋" w:cs="仿宋"/>
                <w:kern w:val="2"/>
                <w:sz w:val="24"/>
                <w:szCs w:val="24"/>
                <w:highlight w:val="none"/>
              </w:rPr>
              <w:t>分</w:t>
            </w:r>
          </w:p>
        </w:tc>
        <w:tc>
          <w:tcPr>
            <w:tcW w:w="3698" w:type="dxa"/>
            <w:vAlign w:val="center"/>
          </w:tcPr>
          <w:p>
            <w:pPr>
              <w:spacing w:line="500" w:lineRule="exact"/>
              <w:ind w:firstLine="480" w:firstLineChars="200"/>
              <w:rPr>
                <w:rFonts w:ascii="仿宋" w:hAnsi="仿宋" w:eastAsia="仿宋" w:cs="仿宋"/>
                <w:kern w:val="2"/>
                <w:sz w:val="24"/>
                <w:szCs w:val="24"/>
                <w:highlight w:val="none"/>
              </w:rPr>
            </w:pPr>
            <w:r>
              <w:rPr>
                <w:rFonts w:hint="eastAsia" w:ascii="仿宋" w:hAnsi="仿宋" w:eastAsia="仿宋" w:cs="仿宋"/>
                <w:kern w:val="2"/>
                <w:sz w:val="24"/>
                <w:szCs w:val="24"/>
                <w:highlight w:val="none"/>
              </w:rPr>
              <w:t>本项目派驻的一名技术主管，应</w:t>
            </w:r>
            <w:r>
              <w:rPr>
                <w:rFonts w:ascii="仿宋" w:hAnsi="仿宋" w:eastAsia="仿宋" w:cs="仿宋"/>
                <w:kern w:val="2"/>
                <w:sz w:val="24"/>
                <w:szCs w:val="24"/>
                <w:highlight w:val="none"/>
              </w:rPr>
              <w:t>具备</w:t>
            </w:r>
            <w:r>
              <w:rPr>
                <w:rFonts w:hint="eastAsia" w:ascii="仿宋" w:hAnsi="仿宋" w:eastAsia="仿宋" w:cs="仿宋"/>
                <w:kern w:val="2"/>
                <w:sz w:val="24"/>
                <w:szCs w:val="24"/>
                <w:highlight w:val="none"/>
              </w:rPr>
              <w:t>技术支撑</w:t>
            </w:r>
            <w:r>
              <w:rPr>
                <w:rFonts w:ascii="仿宋" w:hAnsi="仿宋" w:eastAsia="仿宋" w:cs="仿宋"/>
                <w:kern w:val="2"/>
                <w:sz w:val="24"/>
                <w:szCs w:val="24"/>
                <w:highlight w:val="none"/>
              </w:rPr>
              <w:t>能力</w:t>
            </w:r>
            <w:r>
              <w:rPr>
                <w:rFonts w:hint="eastAsia" w:ascii="仿宋" w:hAnsi="仿宋" w:eastAsia="仿宋" w:cs="仿宋"/>
                <w:kern w:val="2"/>
                <w:sz w:val="24"/>
                <w:szCs w:val="24"/>
                <w:highlight w:val="none"/>
              </w:rPr>
              <w:t>和</w:t>
            </w:r>
            <w:r>
              <w:rPr>
                <w:rFonts w:ascii="仿宋" w:hAnsi="仿宋" w:eastAsia="仿宋" w:cs="仿宋"/>
                <w:kern w:val="2"/>
                <w:sz w:val="24"/>
                <w:szCs w:val="24"/>
                <w:highlight w:val="none"/>
              </w:rPr>
              <w:t>项目管理经验</w:t>
            </w:r>
            <w:r>
              <w:rPr>
                <w:rFonts w:hint="eastAsia" w:ascii="仿宋" w:hAnsi="仿宋" w:eastAsia="仿宋" w:cs="仿宋"/>
                <w:kern w:val="2"/>
                <w:sz w:val="24"/>
                <w:szCs w:val="24"/>
                <w:highlight w:val="none"/>
              </w:rPr>
              <w:t>。具备</w:t>
            </w:r>
            <w:r>
              <w:rPr>
                <w:rFonts w:ascii="仿宋" w:hAnsi="仿宋" w:eastAsia="仿宋" w:cs="仿宋"/>
                <w:kern w:val="2"/>
                <w:sz w:val="24"/>
                <w:szCs w:val="24"/>
                <w:highlight w:val="none"/>
              </w:rPr>
              <w:t>ITSS IT服务</w:t>
            </w:r>
            <w:r>
              <w:rPr>
                <w:rFonts w:hint="eastAsia" w:ascii="仿宋" w:hAnsi="仿宋" w:eastAsia="仿宋" w:cs="仿宋"/>
                <w:kern w:val="2"/>
                <w:sz w:val="24"/>
                <w:szCs w:val="24"/>
                <w:highlight w:val="none"/>
              </w:rPr>
              <w:t>工程</w:t>
            </w:r>
            <w:r>
              <w:rPr>
                <w:rFonts w:ascii="仿宋" w:hAnsi="仿宋" w:eastAsia="仿宋" w:cs="仿宋"/>
                <w:kern w:val="2"/>
                <w:sz w:val="24"/>
                <w:szCs w:val="24"/>
                <w:highlight w:val="none"/>
              </w:rPr>
              <w:t>师证书</w:t>
            </w:r>
            <w:r>
              <w:rPr>
                <w:rFonts w:hint="eastAsia" w:ascii="仿宋" w:hAnsi="仿宋" w:eastAsia="仿宋" w:cs="仿宋"/>
                <w:kern w:val="2"/>
                <w:sz w:val="24"/>
                <w:szCs w:val="24"/>
                <w:highlight w:val="none"/>
              </w:rPr>
              <w:t>得</w:t>
            </w:r>
            <w:r>
              <w:rPr>
                <w:rFonts w:ascii="仿宋" w:hAnsi="仿宋" w:eastAsia="仿宋" w:cs="仿宋"/>
                <w:kern w:val="2"/>
                <w:sz w:val="24"/>
                <w:szCs w:val="24"/>
                <w:highlight w:val="none"/>
              </w:rPr>
              <w:t>3</w:t>
            </w:r>
            <w:r>
              <w:rPr>
                <w:rFonts w:hint="eastAsia" w:ascii="仿宋" w:hAnsi="仿宋" w:eastAsia="仿宋" w:cs="仿宋"/>
                <w:kern w:val="2"/>
                <w:sz w:val="24"/>
                <w:szCs w:val="24"/>
                <w:highlight w:val="none"/>
              </w:rPr>
              <w:t>分；具备系统集成项目管理工程师证书得</w:t>
            </w:r>
            <w:r>
              <w:rPr>
                <w:rFonts w:ascii="仿宋" w:hAnsi="仿宋" w:eastAsia="仿宋" w:cs="仿宋"/>
                <w:kern w:val="2"/>
                <w:sz w:val="24"/>
                <w:szCs w:val="24"/>
                <w:highlight w:val="none"/>
              </w:rPr>
              <w:t>3</w:t>
            </w:r>
            <w:r>
              <w:rPr>
                <w:rFonts w:hint="eastAsia" w:ascii="仿宋" w:hAnsi="仿宋" w:eastAsia="仿宋" w:cs="仿宋"/>
                <w:kern w:val="2"/>
                <w:sz w:val="24"/>
                <w:szCs w:val="24"/>
                <w:highlight w:val="none"/>
              </w:rPr>
              <w:t>分；具备信息安全工程师证书得</w:t>
            </w:r>
            <w:r>
              <w:rPr>
                <w:rFonts w:ascii="仿宋" w:hAnsi="仿宋" w:eastAsia="仿宋" w:cs="仿宋"/>
                <w:kern w:val="2"/>
                <w:sz w:val="24"/>
                <w:szCs w:val="24"/>
                <w:highlight w:val="none"/>
              </w:rPr>
              <w:t>2</w:t>
            </w:r>
            <w:r>
              <w:rPr>
                <w:rFonts w:hint="eastAsia" w:ascii="仿宋" w:hAnsi="仿宋" w:eastAsia="仿宋" w:cs="仿宋"/>
                <w:kern w:val="2"/>
                <w:sz w:val="24"/>
                <w:szCs w:val="24"/>
                <w:highlight w:val="none"/>
              </w:rPr>
              <w:t>分；具备信息</w:t>
            </w:r>
            <w:r>
              <w:rPr>
                <w:rFonts w:ascii="仿宋" w:hAnsi="仿宋" w:eastAsia="仿宋" w:cs="仿宋"/>
                <w:kern w:val="2"/>
                <w:sz w:val="24"/>
                <w:szCs w:val="24"/>
                <w:highlight w:val="none"/>
              </w:rPr>
              <w:t>技术</w:t>
            </w:r>
            <w:r>
              <w:rPr>
                <w:rFonts w:hint="eastAsia" w:ascii="仿宋" w:hAnsi="仿宋" w:eastAsia="仿宋" w:cs="仿宋"/>
                <w:kern w:val="2"/>
                <w:sz w:val="24"/>
                <w:szCs w:val="24"/>
                <w:highlight w:val="none"/>
              </w:rPr>
              <w:t>支持</w:t>
            </w:r>
            <w:r>
              <w:rPr>
                <w:rFonts w:ascii="仿宋" w:hAnsi="仿宋" w:eastAsia="仿宋" w:cs="仿宋"/>
                <w:kern w:val="2"/>
                <w:sz w:val="24"/>
                <w:szCs w:val="24"/>
                <w:highlight w:val="none"/>
              </w:rPr>
              <w:t>工程师</w:t>
            </w:r>
            <w:r>
              <w:rPr>
                <w:rFonts w:hint="eastAsia" w:ascii="仿宋" w:hAnsi="仿宋" w:eastAsia="仿宋" w:cs="仿宋"/>
                <w:kern w:val="2"/>
                <w:sz w:val="24"/>
                <w:szCs w:val="24"/>
                <w:highlight w:val="none"/>
              </w:rPr>
              <w:t>证书得2分；持有证书的人员必须和供应商具有合法劳动关系证明材料</w:t>
            </w:r>
            <w:r>
              <w:rPr>
                <w:rFonts w:ascii="仿宋" w:hAnsi="仿宋" w:eastAsia="仿宋" w:cs="仿宋"/>
                <w:kern w:val="2"/>
                <w:sz w:val="24"/>
                <w:szCs w:val="24"/>
                <w:highlight w:val="none"/>
              </w:rPr>
              <w:t>(</w:t>
            </w:r>
            <w:r>
              <w:rPr>
                <w:rFonts w:hint="eastAsia" w:ascii="仿宋" w:hAnsi="仿宋" w:eastAsia="仿宋" w:cs="仿宋"/>
                <w:kern w:val="2"/>
                <w:sz w:val="24"/>
                <w:szCs w:val="24"/>
                <w:highlight w:val="none"/>
                <w:lang w:eastAsia="zh-CN"/>
              </w:rPr>
              <w:t>需提供劳动合同和近1年内任意6个月社保证明</w:t>
            </w:r>
            <w:r>
              <w:rPr>
                <w:rFonts w:hint="eastAsia" w:ascii="仿宋" w:hAnsi="仿宋" w:eastAsia="仿宋" w:cs="仿宋"/>
                <w:kern w:val="2"/>
                <w:sz w:val="24"/>
                <w:szCs w:val="24"/>
                <w:highlight w:val="none"/>
              </w:rPr>
              <w:t>）本项最多得</w:t>
            </w:r>
            <w:r>
              <w:rPr>
                <w:rFonts w:ascii="仿宋" w:hAnsi="仿宋" w:eastAsia="仿宋" w:cs="仿宋"/>
                <w:kern w:val="2"/>
                <w:sz w:val="24"/>
                <w:szCs w:val="24"/>
                <w:highlight w:val="none"/>
              </w:rPr>
              <w:t>10</w:t>
            </w:r>
            <w:r>
              <w:rPr>
                <w:rFonts w:hint="eastAsia" w:ascii="仿宋" w:hAnsi="仿宋" w:eastAsia="仿宋" w:cs="仿宋"/>
                <w:kern w:val="2"/>
                <w:sz w:val="24"/>
                <w:szCs w:val="24"/>
                <w:highlight w:val="none"/>
              </w:rPr>
              <w:t>分。</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需提供人员证书复印件及</w:t>
            </w:r>
            <w:r>
              <w:rPr>
                <w:rFonts w:ascii="仿宋" w:hAnsi="仿宋" w:eastAsia="仿宋" w:cs="仿宋"/>
                <w:kern w:val="2"/>
                <w:sz w:val="24"/>
                <w:szCs w:val="24"/>
                <w:highlight w:val="none"/>
              </w:rPr>
              <w:t>社保证明影印件</w:t>
            </w:r>
            <w:r>
              <w:rPr>
                <w:rFonts w:hint="eastAsia" w:ascii="仿宋" w:hAnsi="仿宋" w:eastAsia="仿宋" w:cs="仿宋"/>
                <w:kern w:val="2"/>
                <w:sz w:val="24"/>
                <w:szCs w:val="24"/>
                <w:highlight w:val="none"/>
              </w:rPr>
              <w:t>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41" w:type="dxa"/>
            <w:vMerge w:val="continue"/>
            <w:vAlign w:val="center"/>
          </w:tcPr>
          <w:p>
            <w:pPr>
              <w:spacing w:line="560" w:lineRule="exact"/>
              <w:jc w:val="center"/>
              <w:rPr>
                <w:rFonts w:hAnsi="Calibri"/>
                <w:kern w:val="2"/>
                <w:sz w:val="24"/>
                <w:szCs w:val="24"/>
                <w:highlight w:val="none"/>
              </w:rPr>
            </w:pPr>
          </w:p>
        </w:tc>
        <w:tc>
          <w:tcPr>
            <w:tcW w:w="1608" w:type="dxa"/>
            <w:vMerge w:val="continue"/>
            <w:vAlign w:val="center"/>
          </w:tcPr>
          <w:p>
            <w:pPr>
              <w:spacing w:line="560" w:lineRule="exact"/>
              <w:rPr>
                <w:rFonts w:hAnsi="Calibri"/>
                <w:kern w:val="2"/>
                <w:sz w:val="24"/>
                <w:szCs w:val="24"/>
                <w:highlight w:val="none"/>
              </w:rPr>
            </w:pPr>
          </w:p>
        </w:tc>
        <w:tc>
          <w:tcPr>
            <w:tcW w:w="959" w:type="dxa"/>
            <w:vMerge w:val="continue"/>
            <w:vAlign w:val="center"/>
          </w:tcPr>
          <w:p>
            <w:pPr>
              <w:spacing w:line="560" w:lineRule="exact"/>
              <w:rPr>
                <w:rFonts w:hAnsi="Calibri"/>
                <w:kern w:val="2"/>
                <w:sz w:val="24"/>
                <w:szCs w:val="24"/>
                <w:highlight w:val="none"/>
              </w:rPr>
            </w:pPr>
          </w:p>
        </w:tc>
        <w:tc>
          <w:tcPr>
            <w:tcW w:w="3698" w:type="dxa"/>
            <w:vAlign w:val="center"/>
          </w:tcPr>
          <w:p>
            <w:pPr>
              <w:spacing w:line="500" w:lineRule="exact"/>
              <w:ind w:firstLine="480" w:firstLineChars="200"/>
              <w:rPr>
                <w:rFonts w:ascii="仿宋" w:hAnsi="仿宋" w:eastAsia="仿宋" w:cs="仿宋"/>
                <w:kern w:val="2"/>
                <w:sz w:val="24"/>
                <w:szCs w:val="24"/>
                <w:highlight w:val="none"/>
              </w:rPr>
            </w:pPr>
            <w:r>
              <w:rPr>
                <w:rFonts w:hint="eastAsia" w:ascii="仿宋" w:hAnsi="仿宋" w:eastAsia="仿宋" w:cs="仿宋"/>
                <w:kern w:val="2"/>
                <w:sz w:val="24"/>
                <w:szCs w:val="24"/>
                <w:highlight w:val="none"/>
              </w:rPr>
              <w:t>本项目派驻的一名项目经理，应具备优秀</w:t>
            </w:r>
            <w:r>
              <w:rPr>
                <w:rFonts w:ascii="仿宋" w:hAnsi="仿宋" w:eastAsia="仿宋" w:cs="仿宋"/>
                <w:kern w:val="2"/>
                <w:sz w:val="24"/>
                <w:szCs w:val="24"/>
                <w:highlight w:val="none"/>
              </w:rPr>
              <w:t>的</w:t>
            </w:r>
            <w:r>
              <w:rPr>
                <w:rFonts w:hint="eastAsia" w:ascii="仿宋" w:hAnsi="仿宋" w:eastAsia="仿宋" w:cs="仿宋"/>
                <w:kern w:val="2"/>
                <w:sz w:val="24"/>
                <w:szCs w:val="24"/>
                <w:highlight w:val="none"/>
              </w:rPr>
              <w:t>项目服务经验与安全服务能力，具备ITSS IT服务项目经理证书得</w:t>
            </w:r>
            <w:r>
              <w:rPr>
                <w:rFonts w:ascii="仿宋" w:hAnsi="仿宋" w:eastAsia="仿宋" w:cs="仿宋"/>
                <w:kern w:val="2"/>
                <w:sz w:val="24"/>
                <w:szCs w:val="24"/>
                <w:highlight w:val="none"/>
              </w:rPr>
              <w:t>3</w:t>
            </w:r>
            <w:r>
              <w:rPr>
                <w:rFonts w:hint="eastAsia" w:ascii="仿宋" w:hAnsi="仿宋" w:eastAsia="仿宋" w:cs="仿宋"/>
                <w:kern w:val="2"/>
                <w:sz w:val="24"/>
                <w:szCs w:val="24"/>
                <w:highlight w:val="none"/>
              </w:rPr>
              <w:t>分，具备智能化系统集成项目经理证书得</w:t>
            </w:r>
            <w:r>
              <w:rPr>
                <w:rFonts w:ascii="仿宋" w:hAnsi="仿宋" w:eastAsia="仿宋" w:cs="仿宋"/>
                <w:kern w:val="2"/>
                <w:sz w:val="24"/>
                <w:szCs w:val="24"/>
                <w:highlight w:val="none"/>
              </w:rPr>
              <w:t>3</w:t>
            </w:r>
            <w:r>
              <w:rPr>
                <w:rFonts w:hint="eastAsia" w:ascii="仿宋" w:hAnsi="仿宋" w:eastAsia="仿宋" w:cs="仿宋"/>
                <w:kern w:val="2"/>
                <w:sz w:val="24"/>
                <w:szCs w:val="24"/>
                <w:highlight w:val="none"/>
              </w:rPr>
              <w:t>分；具备信息系统</w:t>
            </w:r>
            <w:r>
              <w:rPr>
                <w:rFonts w:ascii="仿宋" w:hAnsi="仿宋" w:eastAsia="仿宋" w:cs="仿宋"/>
                <w:kern w:val="2"/>
                <w:sz w:val="24"/>
                <w:szCs w:val="24"/>
                <w:highlight w:val="none"/>
              </w:rPr>
              <w:t>管理工程师证书</w:t>
            </w:r>
            <w:r>
              <w:rPr>
                <w:rFonts w:hint="eastAsia" w:ascii="仿宋" w:hAnsi="仿宋" w:eastAsia="仿宋" w:cs="仿宋"/>
                <w:kern w:val="2"/>
                <w:sz w:val="24"/>
                <w:szCs w:val="24"/>
                <w:highlight w:val="none"/>
              </w:rPr>
              <w:t>得</w:t>
            </w:r>
            <w:r>
              <w:rPr>
                <w:rFonts w:ascii="仿宋" w:hAnsi="仿宋" w:eastAsia="仿宋" w:cs="仿宋"/>
                <w:kern w:val="2"/>
                <w:sz w:val="24"/>
                <w:szCs w:val="24"/>
                <w:highlight w:val="none"/>
              </w:rPr>
              <w:t>2</w:t>
            </w:r>
            <w:r>
              <w:rPr>
                <w:rFonts w:hint="eastAsia" w:ascii="仿宋" w:hAnsi="仿宋" w:eastAsia="仿宋" w:cs="仿宋"/>
                <w:kern w:val="2"/>
                <w:sz w:val="24"/>
                <w:szCs w:val="24"/>
                <w:highlight w:val="none"/>
              </w:rPr>
              <w:t>分；持有证书的人员必须和供应商具有合法劳动关系证明材料(</w:t>
            </w:r>
            <w:r>
              <w:rPr>
                <w:rFonts w:hint="eastAsia" w:ascii="仿宋" w:hAnsi="仿宋" w:eastAsia="仿宋" w:cs="仿宋"/>
                <w:kern w:val="2"/>
                <w:sz w:val="24"/>
                <w:szCs w:val="24"/>
                <w:highlight w:val="none"/>
                <w:lang w:eastAsia="zh-CN"/>
              </w:rPr>
              <w:t>需提供劳动合同和近1年内任意6个月社保证明</w:t>
            </w:r>
            <w:r>
              <w:rPr>
                <w:rFonts w:hint="eastAsia" w:ascii="仿宋" w:hAnsi="仿宋" w:eastAsia="仿宋" w:cs="仿宋"/>
                <w:kern w:val="2"/>
                <w:sz w:val="24"/>
                <w:szCs w:val="24"/>
                <w:highlight w:val="none"/>
              </w:rPr>
              <w:t>）本项最多得</w:t>
            </w:r>
            <w:r>
              <w:rPr>
                <w:rFonts w:ascii="仿宋" w:hAnsi="仿宋" w:eastAsia="仿宋" w:cs="仿宋"/>
                <w:kern w:val="2"/>
                <w:sz w:val="24"/>
                <w:szCs w:val="24"/>
                <w:highlight w:val="none"/>
              </w:rPr>
              <w:t>8</w:t>
            </w:r>
            <w:r>
              <w:rPr>
                <w:rFonts w:hint="eastAsia" w:ascii="仿宋" w:hAnsi="仿宋" w:eastAsia="仿宋" w:cs="仿宋"/>
                <w:kern w:val="2"/>
                <w:sz w:val="24"/>
                <w:szCs w:val="24"/>
                <w:highlight w:val="none"/>
              </w:rPr>
              <w:t>分。</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需提供人员证书复印件及</w:t>
            </w:r>
            <w:r>
              <w:rPr>
                <w:rFonts w:ascii="仿宋" w:hAnsi="仿宋" w:eastAsia="仿宋" w:cs="仿宋"/>
                <w:kern w:val="2"/>
                <w:sz w:val="24"/>
                <w:szCs w:val="24"/>
                <w:highlight w:val="none"/>
              </w:rPr>
              <w:t>社保证明影印件</w:t>
            </w:r>
            <w:r>
              <w:rPr>
                <w:rFonts w:hint="eastAsia" w:ascii="仿宋" w:hAnsi="仿宋" w:eastAsia="仿宋" w:cs="仿宋"/>
                <w:kern w:val="2"/>
                <w:sz w:val="24"/>
                <w:szCs w:val="24"/>
                <w:highlight w:val="none"/>
              </w:rPr>
              <w:t>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41" w:type="dxa"/>
            <w:vMerge w:val="continue"/>
            <w:vAlign w:val="center"/>
          </w:tcPr>
          <w:p>
            <w:pPr>
              <w:spacing w:line="560" w:lineRule="exact"/>
              <w:jc w:val="center"/>
              <w:rPr>
                <w:rFonts w:hAnsi="Calibri"/>
                <w:kern w:val="2"/>
                <w:sz w:val="24"/>
                <w:szCs w:val="24"/>
                <w:highlight w:val="none"/>
              </w:rPr>
            </w:pPr>
          </w:p>
        </w:tc>
        <w:tc>
          <w:tcPr>
            <w:tcW w:w="1608" w:type="dxa"/>
            <w:vMerge w:val="continue"/>
            <w:vAlign w:val="center"/>
          </w:tcPr>
          <w:p>
            <w:pPr>
              <w:spacing w:line="560" w:lineRule="exact"/>
              <w:rPr>
                <w:rFonts w:hAnsi="Calibri"/>
                <w:kern w:val="2"/>
                <w:sz w:val="24"/>
                <w:szCs w:val="24"/>
                <w:highlight w:val="none"/>
              </w:rPr>
            </w:pPr>
          </w:p>
        </w:tc>
        <w:tc>
          <w:tcPr>
            <w:tcW w:w="959" w:type="dxa"/>
            <w:vMerge w:val="continue"/>
            <w:vAlign w:val="center"/>
          </w:tcPr>
          <w:p>
            <w:pPr>
              <w:spacing w:line="560" w:lineRule="exact"/>
              <w:rPr>
                <w:rFonts w:hAnsi="Calibri"/>
                <w:kern w:val="2"/>
                <w:sz w:val="24"/>
                <w:szCs w:val="24"/>
                <w:highlight w:val="none"/>
              </w:rPr>
            </w:pPr>
          </w:p>
        </w:tc>
        <w:tc>
          <w:tcPr>
            <w:tcW w:w="3698" w:type="dxa"/>
            <w:vAlign w:val="center"/>
          </w:tcPr>
          <w:p>
            <w:pPr>
              <w:pStyle w:val="3"/>
              <w:spacing w:line="500" w:lineRule="exact"/>
              <w:ind w:firstLine="0" w:firstLineChars="0"/>
              <w:rPr>
                <w:rFonts w:ascii="仿宋" w:hAnsi="仿宋" w:eastAsia="仿宋" w:cs="仿宋"/>
                <w:kern w:val="2"/>
                <w:sz w:val="24"/>
                <w:szCs w:val="24"/>
                <w:highlight w:val="none"/>
              </w:rPr>
            </w:pPr>
            <w:r>
              <w:rPr>
                <w:rFonts w:hint="eastAsia" w:ascii="仿宋" w:hAnsi="仿宋" w:eastAsia="仿宋" w:cs="仿宋"/>
                <w:kern w:val="2"/>
                <w:sz w:val="24"/>
                <w:szCs w:val="24"/>
                <w:highlight w:val="none"/>
              </w:rPr>
              <w:t>本项目派驻的其他四名</w:t>
            </w:r>
            <w:r>
              <w:rPr>
                <w:rFonts w:ascii="仿宋" w:hAnsi="仿宋" w:eastAsia="仿宋" w:cs="仿宋"/>
                <w:kern w:val="2"/>
                <w:sz w:val="24"/>
                <w:szCs w:val="24"/>
                <w:highlight w:val="none"/>
              </w:rPr>
              <w:t>运维</w:t>
            </w:r>
            <w:r>
              <w:rPr>
                <w:rFonts w:hint="eastAsia" w:ascii="仿宋" w:hAnsi="仿宋" w:eastAsia="仿宋" w:cs="仿宋"/>
                <w:kern w:val="2"/>
                <w:sz w:val="24"/>
                <w:szCs w:val="24"/>
                <w:highlight w:val="none"/>
              </w:rPr>
              <w:t>人员，</w:t>
            </w:r>
            <w:r>
              <w:rPr>
                <w:rFonts w:ascii="仿宋" w:hAnsi="仿宋" w:eastAsia="仿宋" w:cs="仿宋"/>
                <w:kern w:val="2"/>
                <w:sz w:val="24"/>
                <w:szCs w:val="24"/>
                <w:highlight w:val="none"/>
              </w:rPr>
              <w:t>应能够熟练</w:t>
            </w:r>
            <w:r>
              <w:rPr>
                <w:rFonts w:hint="eastAsia" w:ascii="仿宋" w:hAnsi="仿宋" w:eastAsia="仿宋" w:cs="仿宋"/>
                <w:kern w:val="2"/>
                <w:sz w:val="24"/>
                <w:szCs w:val="24"/>
                <w:highlight w:val="none"/>
              </w:rPr>
              <w:t>维护基地</w:t>
            </w:r>
            <w:r>
              <w:rPr>
                <w:rFonts w:ascii="仿宋" w:hAnsi="仿宋" w:eastAsia="仿宋" w:cs="仿宋"/>
                <w:kern w:val="2"/>
                <w:sz w:val="24"/>
                <w:szCs w:val="24"/>
                <w:highlight w:val="none"/>
              </w:rPr>
              <w:t>现有设备，</w:t>
            </w:r>
            <w:r>
              <w:rPr>
                <w:rFonts w:hint="eastAsia" w:ascii="仿宋" w:hAnsi="仿宋" w:eastAsia="仿宋" w:cs="仿宋"/>
                <w:kern w:val="2"/>
                <w:sz w:val="24"/>
                <w:szCs w:val="24"/>
                <w:highlight w:val="none"/>
              </w:rPr>
              <w:t>其中每有一人具备</w:t>
            </w:r>
            <w:r>
              <w:rPr>
                <w:rFonts w:ascii="仿宋" w:hAnsi="仿宋" w:eastAsia="仿宋" w:cs="仿宋"/>
                <w:kern w:val="2"/>
                <w:sz w:val="24"/>
                <w:szCs w:val="24"/>
                <w:highlight w:val="none"/>
              </w:rPr>
              <w:t>ITSS IT服务</w:t>
            </w:r>
            <w:r>
              <w:rPr>
                <w:rFonts w:hint="eastAsia" w:ascii="仿宋" w:hAnsi="仿宋" w:eastAsia="仿宋" w:cs="仿宋"/>
                <w:kern w:val="2"/>
                <w:sz w:val="24"/>
                <w:szCs w:val="24"/>
                <w:highlight w:val="none"/>
              </w:rPr>
              <w:t>工程</w:t>
            </w:r>
            <w:r>
              <w:rPr>
                <w:rFonts w:ascii="仿宋" w:hAnsi="仿宋" w:eastAsia="仿宋" w:cs="仿宋"/>
                <w:kern w:val="2"/>
                <w:sz w:val="24"/>
                <w:szCs w:val="24"/>
                <w:highlight w:val="none"/>
              </w:rPr>
              <w:t>师证书</w:t>
            </w:r>
            <w:r>
              <w:rPr>
                <w:rFonts w:hint="eastAsia" w:ascii="仿宋" w:hAnsi="仿宋" w:eastAsia="仿宋" w:cs="仿宋"/>
                <w:kern w:val="2"/>
                <w:sz w:val="24"/>
                <w:szCs w:val="24"/>
                <w:highlight w:val="none"/>
              </w:rPr>
              <w:t>或</w:t>
            </w:r>
            <w:r>
              <w:rPr>
                <w:rFonts w:ascii="仿宋" w:hAnsi="仿宋" w:eastAsia="仿宋" w:cs="仿宋"/>
                <w:kern w:val="2"/>
                <w:sz w:val="24"/>
                <w:szCs w:val="24"/>
                <w:highlight w:val="none"/>
              </w:rPr>
              <w:t>ITSS IT</w:t>
            </w:r>
            <w:r>
              <w:rPr>
                <w:rFonts w:hint="eastAsia" w:ascii="仿宋" w:hAnsi="仿宋" w:eastAsia="仿宋" w:cs="仿宋"/>
                <w:kern w:val="2"/>
                <w:sz w:val="24"/>
                <w:szCs w:val="24"/>
                <w:highlight w:val="none"/>
              </w:rPr>
              <w:t>服务项目经理证书得</w:t>
            </w:r>
            <w:r>
              <w:rPr>
                <w:rFonts w:ascii="仿宋" w:hAnsi="仿宋" w:eastAsia="仿宋" w:cs="仿宋"/>
                <w:kern w:val="2"/>
                <w:sz w:val="24"/>
                <w:szCs w:val="24"/>
                <w:highlight w:val="none"/>
              </w:rPr>
              <w:t>2</w:t>
            </w:r>
            <w:r>
              <w:rPr>
                <w:rFonts w:hint="eastAsia" w:ascii="仿宋" w:hAnsi="仿宋" w:eastAsia="仿宋" w:cs="仿宋"/>
                <w:kern w:val="2"/>
                <w:sz w:val="24"/>
                <w:szCs w:val="24"/>
                <w:highlight w:val="none"/>
              </w:rPr>
              <w:t>分，最多得</w:t>
            </w:r>
            <w:r>
              <w:rPr>
                <w:rFonts w:ascii="仿宋" w:hAnsi="仿宋" w:eastAsia="仿宋" w:cs="仿宋"/>
                <w:kern w:val="2"/>
                <w:sz w:val="24"/>
                <w:szCs w:val="24"/>
                <w:highlight w:val="none"/>
              </w:rPr>
              <w:t>8</w:t>
            </w:r>
            <w:r>
              <w:rPr>
                <w:rFonts w:hint="eastAsia" w:ascii="仿宋" w:hAnsi="仿宋" w:eastAsia="仿宋" w:cs="仿宋"/>
                <w:kern w:val="2"/>
                <w:sz w:val="24"/>
                <w:szCs w:val="24"/>
                <w:highlight w:val="none"/>
              </w:rPr>
              <w:t>分；每有一人具备采购人现有网络设备品牌厂商认证工程师证书得</w:t>
            </w:r>
            <w:r>
              <w:rPr>
                <w:rFonts w:ascii="仿宋" w:hAnsi="仿宋" w:eastAsia="仿宋" w:cs="仿宋"/>
                <w:kern w:val="2"/>
                <w:sz w:val="24"/>
                <w:szCs w:val="24"/>
                <w:highlight w:val="none"/>
              </w:rPr>
              <w:t>2分</w:t>
            </w:r>
            <w:r>
              <w:rPr>
                <w:rFonts w:hint="eastAsia" w:ascii="仿宋" w:hAnsi="仿宋" w:eastAsia="仿宋" w:cs="仿宋"/>
                <w:kern w:val="2"/>
                <w:sz w:val="24"/>
                <w:szCs w:val="24"/>
                <w:highlight w:val="none"/>
              </w:rPr>
              <w:t>，最多得2分；每有一人具备数据库</w:t>
            </w:r>
            <w:r>
              <w:rPr>
                <w:rFonts w:ascii="仿宋" w:hAnsi="仿宋" w:eastAsia="仿宋" w:cs="仿宋"/>
                <w:kern w:val="2"/>
                <w:sz w:val="24"/>
                <w:szCs w:val="24"/>
                <w:highlight w:val="none"/>
              </w:rPr>
              <w:t>系统工程师</w:t>
            </w:r>
            <w:r>
              <w:rPr>
                <w:rFonts w:hint="eastAsia" w:ascii="仿宋" w:hAnsi="仿宋" w:eastAsia="仿宋" w:cs="仿宋"/>
                <w:kern w:val="2"/>
                <w:sz w:val="24"/>
                <w:szCs w:val="24"/>
                <w:highlight w:val="none"/>
              </w:rPr>
              <w:t>证书得2分，最多得2分；每有一人具备注册信息安全专业人员</w:t>
            </w:r>
            <w:r>
              <w:rPr>
                <w:rFonts w:ascii="仿宋" w:hAnsi="仿宋" w:eastAsia="仿宋" w:cs="仿宋"/>
                <w:kern w:val="2"/>
                <w:sz w:val="24"/>
                <w:szCs w:val="24"/>
                <w:highlight w:val="none"/>
              </w:rPr>
              <w:t>CISP证书得2分，</w:t>
            </w:r>
            <w:r>
              <w:rPr>
                <w:rFonts w:hint="eastAsia" w:ascii="仿宋" w:hAnsi="仿宋" w:eastAsia="仿宋" w:cs="仿宋"/>
                <w:kern w:val="2"/>
                <w:sz w:val="24"/>
                <w:szCs w:val="24"/>
                <w:highlight w:val="none"/>
              </w:rPr>
              <w:t>最多得2分。每有一人具备计算机硬件工程师证书得</w:t>
            </w:r>
            <w:r>
              <w:rPr>
                <w:rFonts w:ascii="仿宋" w:hAnsi="仿宋" w:eastAsia="仿宋" w:cs="仿宋"/>
                <w:kern w:val="2"/>
                <w:sz w:val="24"/>
                <w:szCs w:val="24"/>
                <w:highlight w:val="none"/>
              </w:rPr>
              <w:t>2</w:t>
            </w:r>
            <w:r>
              <w:rPr>
                <w:rFonts w:hint="eastAsia" w:ascii="仿宋" w:hAnsi="仿宋" w:eastAsia="仿宋" w:cs="仿宋"/>
                <w:kern w:val="2"/>
                <w:sz w:val="24"/>
                <w:szCs w:val="24"/>
                <w:highlight w:val="none"/>
              </w:rPr>
              <w:t>分，最多得2分；持有证书的人员必须和供应商具有合法劳动关系证明材料(</w:t>
            </w:r>
            <w:r>
              <w:rPr>
                <w:rFonts w:hint="eastAsia" w:ascii="仿宋" w:hAnsi="仿宋" w:eastAsia="仿宋" w:cs="仿宋"/>
                <w:kern w:val="2"/>
                <w:sz w:val="24"/>
                <w:szCs w:val="24"/>
                <w:highlight w:val="none"/>
                <w:lang w:eastAsia="zh-CN"/>
              </w:rPr>
              <w:t>需提供劳动合同和近1年内任意6个月社保证明</w:t>
            </w:r>
            <w:r>
              <w:rPr>
                <w:rFonts w:hint="eastAsia" w:ascii="仿宋" w:hAnsi="仿宋" w:eastAsia="仿宋" w:cs="仿宋"/>
                <w:kern w:val="2"/>
                <w:sz w:val="24"/>
                <w:szCs w:val="24"/>
                <w:highlight w:val="none"/>
              </w:rPr>
              <w:t>）本项最多得</w:t>
            </w:r>
            <w:r>
              <w:rPr>
                <w:rFonts w:ascii="仿宋" w:hAnsi="仿宋" w:eastAsia="仿宋" w:cs="仿宋"/>
                <w:kern w:val="2"/>
                <w:sz w:val="24"/>
                <w:szCs w:val="24"/>
                <w:highlight w:val="none"/>
              </w:rPr>
              <w:t>16</w:t>
            </w:r>
            <w:r>
              <w:rPr>
                <w:rFonts w:hint="eastAsia" w:ascii="仿宋" w:hAnsi="仿宋" w:eastAsia="仿宋" w:cs="仿宋"/>
                <w:kern w:val="2"/>
                <w:sz w:val="24"/>
                <w:szCs w:val="24"/>
                <w:highlight w:val="none"/>
              </w:rPr>
              <w:t>分。</w:t>
            </w:r>
          </w:p>
        </w:tc>
        <w:tc>
          <w:tcPr>
            <w:tcW w:w="2145"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需提供人员证书复印件及</w:t>
            </w:r>
            <w:r>
              <w:rPr>
                <w:rFonts w:ascii="仿宋" w:hAnsi="仿宋" w:eastAsia="仿宋" w:cs="仿宋"/>
                <w:kern w:val="2"/>
                <w:sz w:val="24"/>
                <w:szCs w:val="24"/>
                <w:highlight w:val="none"/>
              </w:rPr>
              <w:t>社保证明影印件</w:t>
            </w:r>
            <w:r>
              <w:rPr>
                <w:rFonts w:hint="eastAsia" w:ascii="仿宋" w:hAnsi="仿宋" w:eastAsia="仿宋" w:cs="仿宋"/>
                <w:kern w:val="2"/>
                <w:sz w:val="24"/>
                <w:szCs w:val="24"/>
                <w:highlight w:val="none"/>
              </w:rPr>
              <w:t>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1" w:type="dxa"/>
            <w:vAlign w:val="center"/>
          </w:tcPr>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1608"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响应文件的规范性（共同评分因素）</w:t>
            </w:r>
          </w:p>
        </w:tc>
        <w:tc>
          <w:tcPr>
            <w:tcW w:w="959" w:type="dxa"/>
            <w:vAlign w:val="center"/>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1分</w:t>
            </w:r>
          </w:p>
        </w:tc>
        <w:tc>
          <w:tcPr>
            <w:tcW w:w="3698" w:type="dxa"/>
            <w:vAlign w:val="center"/>
          </w:tcPr>
          <w:p>
            <w:pPr>
              <w:spacing w:line="50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响应文件制作规范，没有细微偏差情形的得1分；有一项细微偏差扣0.5分，直至该项分值扣完为止。</w:t>
            </w:r>
          </w:p>
        </w:tc>
        <w:tc>
          <w:tcPr>
            <w:tcW w:w="2145" w:type="dxa"/>
            <w:vAlign w:val="center"/>
          </w:tcPr>
          <w:p>
            <w:pPr>
              <w:spacing w:line="560" w:lineRule="exact"/>
              <w:rPr>
                <w:rFonts w:ascii="仿宋" w:hAnsi="仿宋" w:eastAsia="仿宋" w:cs="仿宋"/>
                <w:kern w:val="2"/>
                <w:sz w:val="24"/>
                <w:szCs w:val="24"/>
                <w:highlight w:val="none"/>
              </w:rPr>
            </w:pPr>
          </w:p>
        </w:tc>
      </w:tr>
    </w:tbl>
    <w:p>
      <w:pPr>
        <w:spacing w:line="560" w:lineRule="exact"/>
        <w:rPr>
          <w:rFonts w:ascii="仿宋" w:hAnsi="仿宋" w:eastAsia="仿宋" w:cs="仿宋"/>
          <w:sz w:val="24"/>
          <w:highlight w:val="none"/>
        </w:rPr>
      </w:pPr>
    </w:p>
    <w:p>
      <w:pPr>
        <w:spacing w:line="560" w:lineRule="exact"/>
        <w:rPr>
          <w:rFonts w:ascii="仿宋" w:hAnsi="仿宋" w:eastAsia="仿宋" w:cs="仿宋"/>
          <w:sz w:val="24"/>
          <w:highlight w:val="none"/>
        </w:rPr>
      </w:pPr>
      <w:r>
        <w:rPr>
          <w:rFonts w:hint="eastAsia" w:ascii="仿宋" w:hAnsi="仿宋" w:eastAsia="仿宋" w:cs="仿宋"/>
          <w:sz w:val="24"/>
          <w:highlight w:val="none"/>
        </w:rPr>
        <w:t>注：</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一、评分的取值按四舍五入法，保留小数点后两位；</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二、评分标准中要求提供复印件的证明材料须清晰可辨；</w:t>
      </w:r>
    </w:p>
    <w:p>
      <w:pPr>
        <w:pStyle w:val="23"/>
        <w:spacing w:line="560" w:lineRule="exact"/>
        <w:rPr>
          <w:rFonts w:ascii="仿宋" w:hAnsi="仿宋" w:eastAsia="仿宋" w:cs="仿宋"/>
          <w:sz w:val="24"/>
          <w:highlight w:val="none"/>
        </w:rPr>
      </w:pPr>
      <w:bookmarkStart w:id="123" w:name="_Toc25100"/>
      <w:bookmarkStart w:id="124" w:name="_Toc24869"/>
      <w:bookmarkStart w:id="125" w:name="_Toc8122"/>
      <w:r>
        <w:rPr>
          <w:rFonts w:hint="eastAsia" w:ascii="仿宋" w:hAnsi="仿宋" w:eastAsia="仿宋" w:cs="仿宋"/>
          <w:sz w:val="24"/>
          <w:highlight w:val="none"/>
        </w:rPr>
        <w:t>四、磋商纪律及注意事项</w:t>
      </w:r>
      <w:bookmarkEnd w:id="123"/>
      <w:bookmarkEnd w:id="124"/>
      <w:bookmarkEnd w:id="125"/>
    </w:p>
    <w:p>
      <w:pPr>
        <w:tabs>
          <w:tab w:val="left" w:pos="851"/>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（一）磋商小组内部讨论的情况和意见必须保密，任何人不得以任何形式透露给供应商或与供应商有关的单位或个人。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（二）在磋商过程中，供应商不得以任何形式对磋商小组成员进行旨在影响磋商结果的私下接触，否则将取消其参与磋商的资格。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（三）对各供应商的商业秘密，磋商小组成员应予以保密，不得泄露给其他供应商。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（四 ）磋商小组独立评判，推荐成交候选人，并写出书面报告。</w:t>
      </w:r>
    </w:p>
    <w:p>
      <w:pPr>
        <w:pStyle w:val="2"/>
        <w:ind w:firstLine="672"/>
        <w:rPr>
          <w:highlight w:val="none"/>
        </w:rPr>
      </w:pPr>
    </w:p>
    <w:p>
      <w:pPr>
        <w:pStyle w:val="23"/>
        <w:spacing w:line="560" w:lineRule="exact"/>
        <w:ind w:firstLine="472"/>
        <w:rPr>
          <w:rFonts w:ascii="仿宋" w:hAnsi="仿宋" w:eastAsia="仿宋" w:cs="仿宋"/>
          <w:sz w:val="24"/>
          <w:highlight w:val="none"/>
        </w:rPr>
      </w:pPr>
      <w:bookmarkStart w:id="126" w:name="_Toc1552"/>
      <w:bookmarkStart w:id="127" w:name="_Toc25412"/>
      <w:bookmarkStart w:id="128" w:name="_Toc17537"/>
      <w:r>
        <w:rPr>
          <w:rFonts w:hint="eastAsia" w:ascii="仿宋" w:hAnsi="仿宋" w:eastAsia="仿宋" w:cs="仿宋"/>
          <w:sz w:val="24"/>
          <w:highlight w:val="none"/>
        </w:rPr>
        <w:t>五、磋商小组义务</w:t>
      </w:r>
      <w:bookmarkEnd w:id="126"/>
      <w:bookmarkEnd w:id="127"/>
      <w:bookmarkEnd w:id="128"/>
    </w:p>
    <w:p>
      <w:pPr>
        <w:tabs>
          <w:tab w:val="left" w:pos="7665"/>
        </w:tabs>
        <w:spacing w:line="400" w:lineRule="exact"/>
        <w:ind w:firstLine="482" w:firstLineChars="200"/>
        <w:rPr>
          <w:rFonts w:ascii="仿宋" w:hAnsi="仿宋" w:eastAsia="仿宋"/>
          <w:sz w:val="24"/>
          <w:highlight w:val="none"/>
        </w:rPr>
      </w:pPr>
      <w:r>
        <w:rPr>
          <w:rFonts w:hint="eastAsia" w:ascii="仿宋" w:hAnsi="仿宋" w:eastAsia="仿宋" w:cs="仿宋"/>
          <w:b/>
          <w:sz w:val="24"/>
          <w:highlight w:val="none"/>
        </w:rPr>
        <w:t>磋商小组在政府采购活动中承担以下义务：</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（一）遵守评审工作纪律；</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（三）不得泄露评审文件、评审情况和在评审过程中获悉的商业秘密；</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（七）配合答复处理供应商的询问、质疑和投诉等事项；</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（八）法律、法规和规章规定的其他义务。</w:t>
      </w:r>
    </w:p>
    <w:p>
      <w:pPr>
        <w:tabs>
          <w:tab w:val="left" w:pos="7665"/>
        </w:tabs>
        <w:spacing w:line="400" w:lineRule="exact"/>
        <w:rPr>
          <w:rFonts w:hAnsi="宋体"/>
          <w:sz w:val="24"/>
          <w:highlight w:val="none"/>
        </w:rPr>
      </w:pPr>
    </w:p>
    <w:p>
      <w:pPr>
        <w:pStyle w:val="23"/>
        <w:spacing w:line="560" w:lineRule="exact"/>
        <w:ind w:firstLine="472"/>
        <w:rPr>
          <w:rFonts w:ascii="仿宋" w:hAnsi="仿宋" w:eastAsia="仿宋" w:cs="仿宋"/>
          <w:sz w:val="24"/>
          <w:highlight w:val="none"/>
        </w:rPr>
      </w:pPr>
      <w:bookmarkStart w:id="129" w:name="_Toc14106"/>
      <w:bookmarkStart w:id="130" w:name="_Toc14382"/>
      <w:bookmarkStart w:id="131" w:name="_Toc6160"/>
      <w:r>
        <w:rPr>
          <w:rFonts w:hint="eastAsia" w:ascii="仿宋" w:hAnsi="仿宋" w:eastAsia="仿宋" w:cs="仿宋"/>
          <w:sz w:val="24"/>
          <w:highlight w:val="none"/>
        </w:rPr>
        <w:t>六、磋商小组工作纪律</w:t>
      </w:r>
      <w:bookmarkEnd w:id="129"/>
      <w:bookmarkEnd w:id="130"/>
      <w:bookmarkEnd w:id="131"/>
    </w:p>
    <w:p>
      <w:pPr>
        <w:ind w:firstLine="482" w:firstLineChars="200"/>
        <w:rPr>
          <w:highlight w:val="none"/>
        </w:rPr>
      </w:pPr>
      <w:r>
        <w:rPr>
          <w:rFonts w:hint="eastAsia" w:ascii="仿宋" w:hAnsi="仿宋" w:eastAsia="仿宋" w:cs="仿宋"/>
          <w:b/>
          <w:sz w:val="24"/>
          <w:highlight w:val="none"/>
        </w:rPr>
        <w:t>磋商小组在政府采购活动中应当遵守以下工作纪律：</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highlight w:val="none"/>
        </w:rPr>
      </w:pPr>
      <w:r>
        <w:rPr>
          <w:rFonts w:hint="eastAsia" w:ascii="仿宋" w:hAnsi="仿宋" w:eastAsia="仿宋"/>
          <w:sz w:val="24"/>
          <w:highlight w:val="none"/>
        </w:rPr>
        <w:t>（七）遵守有关廉洁自律规定，不得私下接触供应商，不得收受供应商及有关业务单位和个人的财物或好处，不得接受采购代理机构的请托。</w:t>
      </w:r>
    </w:p>
    <w:p>
      <w:pPr>
        <w:pStyle w:val="23"/>
        <w:jc w:val="both"/>
        <w:rPr>
          <w:rFonts w:ascii="仿宋" w:hAnsi="仿宋" w:eastAsia="仿宋" w:cs="仿宋"/>
          <w:bCs w:val="0"/>
          <w:sz w:val="30"/>
          <w:szCs w:val="30"/>
          <w:highlight w:val="none"/>
        </w:rPr>
      </w:pPr>
      <w:bookmarkStart w:id="132" w:name="_Toc1116"/>
      <w:bookmarkStart w:id="133" w:name="_Toc5068"/>
      <w:r>
        <w:rPr>
          <w:rFonts w:hint="eastAsia" w:ascii="仿宋" w:hAnsi="仿宋" w:eastAsia="仿宋" w:cs="仿宋"/>
          <w:highlight w:val="none"/>
        </w:rPr>
        <w:br w:type="page"/>
      </w:r>
      <w:bookmarkStart w:id="134" w:name="_Toc6800"/>
      <w:r>
        <w:rPr>
          <w:rFonts w:hint="eastAsia" w:ascii="仿宋" w:hAnsi="仿宋" w:eastAsia="仿宋" w:cs="仿宋"/>
          <w:highlight w:val="none"/>
        </w:rPr>
        <w:t>第四章</w:t>
      </w:r>
      <w:r>
        <w:rPr>
          <w:rFonts w:hint="eastAsia" w:ascii="仿宋" w:hAnsi="仿宋" w:eastAsia="仿宋" w:cs="仿宋"/>
          <w:b w:val="0"/>
          <w:highlight w:val="none"/>
        </w:rPr>
        <w:t xml:space="preserve"> </w:t>
      </w:r>
      <w:r>
        <w:rPr>
          <w:rFonts w:hint="eastAsia" w:ascii="仿宋" w:hAnsi="仿宋" w:eastAsia="仿宋" w:cs="仿宋"/>
          <w:bCs w:val="0"/>
          <w:sz w:val="30"/>
          <w:szCs w:val="30"/>
          <w:highlight w:val="none"/>
        </w:rPr>
        <w:t>项目技术、服务、政府采购合同内容条款及其他商务要求</w:t>
      </w:r>
      <w:bookmarkEnd w:id="132"/>
      <w:bookmarkEnd w:id="133"/>
      <w:bookmarkEnd w:id="134"/>
    </w:p>
    <w:p>
      <w:pPr>
        <w:rPr>
          <w:rFonts w:ascii="仿宋" w:hAnsi="仿宋" w:eastAsia="仿宋" w:cs="仿宋"/>
          <w:bCs/>
          <w:sz w:val="30"/>
          <w:szCs w:val="30"/>
          <w:highlight w:val="none"/>
        </w:rPr>
      </w:pPr>
    </w:p>
    <w:p>
      <w:pPr>
        <w:pStyle w:val="2"/>
        <w:rPr>
          <w:highlight w:val="none"/>
        </w:rPr>
      </w:pPr>
    </w:p>
    <w:p>
      <w:pPr>
        <w:pStyle w:val="54"/>
        <w:widowControl/>
        <w:numPr>
          <w:ilvl w:val="0"/>
          <w:numId w:val="6"/>
        </w:numPr>
        <w:spacing w:line="360" w:lineRule="auto"/>
        <w:ind w:firstLineChars="0"/>
        <w:outlineLvl w:val="1"/>
        <w:rPr>
          <w:rFonts w:ascii="仿宋" w:hAnsi="仿宋" w:eastAsia="仿宋" w:cs="仿宋"/>
          <w:b/>
          <w:bCs/>
          <w:sz w:val="24"/>
          <w:highlight w:val="none"/>
        </w:rPr>
      </w:pPr>
      <w:bookmarkStart w:id="135" w:name="_Toc177"/>
      <w:bookmarkStart w:id="136" w:name="_Toc1144"/>
      <w:r>
        <w:rPr>
          <w:rFonts w:hint="eastAsia" w:ascii="仿宋" w:hAnsi="仿宋" w:eastAsia="仿宋" w:cs="仿宋"/>
          <w:b/>
          <w:bCs/>
          <w:sz w:val="24"/>
          <w:highlight w:val="none"/>
        </w:rPr>
        <w:t>项目概况</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为保障成都大熊猫繁育研究基地1500多台桌面终端（主要包含计算机、打印机、传真机、扫描仪等办公设备）以及景区17个弱电子系统（主要包含综合布线系统、智能会议室系统、计算机网络系统、视频安防系统、信息发布系统、人脸识别门禁及通道闸机系统、无线巡更系统、公共广播系统、应急报警系统、智慧物联杆系统、无线对讲系统、数据中心机房、指挥中心、智慧停车场系统、私有云平台、信息安全</w:t>
      </w:r>
      <w:r>
        <w:rPr>
          <w:rFonts w:ascii="仿宋" w:hAnsi="仿宋" w:eastAsia="仿宋" w:cs="仿宋"/>
          <w:sz w:val="24"/>
          <w:highlight w:val="none"/>
        </w:rPr>
        <w:t>系统</w:t>
      </w:r>
      <w:r>
        <w:rPr>
          <w:rFonts w:hint="eastAsia" w:ascii="仿宋" w:hAnsi="仿宋" w:eastAsia="仿宋" w:cs="仿宋"/>
          <w:sz w:val="24"/>
          <w:highlight w:val="none"/>
        </w:rPr>
        <w:t>、综合管控平台）的稳定正常运行，供应商须派遣驻场工程师进行日常巡检、</w:t>
      </w:r>
      <w:r>
        <w:rPr>
          <w:rFonts w:ascii="仿宋" w:hAnsi="仿宋" w:eastAsia="仿宋" w:cs="仿宋"/>
          <w:sz w:val="24"/>
          <w:highlight w:val="none"/>
        </w:rPr>
        <w:t>维护</w:t>
      </w:r>
      <w:r>
        <w:rPr>
          <w:rFonts w:hint="eastAsia" w:ascii="仿宋" w:hAnsi="仿宋" w:eastAsia="仿宋" w:cs="仿宋"/>
          <w:sz w:val="24"/>
          <w:highlight w:val="none"/>
        </w:rPr>
        <w:t>保养</w:t>
      </w:r>
      <w:r>
        <w:rPr>
          <w:rFonts w:ascii="仿宋" w:hAnsi="仿宋" w:eastAsia="仿宋" w:cs="仿宋"/>
          <w:sz w:val="24"/>
          <w:highlight w:val="none"/>
        </w:rPr>
        <w:t>、</w:t>
      </w:r>
      <w:r>
        <w:rPr>
          <w:rFonts w:hint="eastAsia" w:ascii="仿宋" w:hAnsi="仿宋" w:eastAsia="仿宋" w:cs="仿宋"/>
          <w:sz w:val="24"/>
          <w:highlight w:val="none"/>
        </w:rPr>
        <w:t>故障应急处理以及</w:t>
      </w:r>
      <w:r>
        <w:rPr>
          <w:rFonts w:ascii="仿宋" w:hAnsi="仿宋" w:eastAsia="仿宋" w:cs="仿宋"/>
          <w:sz w:val="24"/>
          <w:highlight w:val="none"/>
        </w:rPr>
        <w:t>协助</w:t>
      </w:r>
      <w:r>
        <w:rPr>
          <w:rFonts w:hint="eastAsia" w:ascii="仿宋" w:hAnsi="仿宋" w:eastAsia="仿宋" w:cs="仿宋"/>
          <w:sz w:val="24"/>
          <w:highlight w:val="none"/>
        </w:rPr>
        <w:t>设备生产厂商</w:t>
      </w:r>
      <w:r>
        <w:rPr>
          <w:rFonts w:ascii="仿宋" w:hAnsi="仿宋" w:eastAsia="仿宋" w:cs="仿宋"/>
          <w:sz w:val="24"/>
          <w:highlight w:val="none"/>
        </w:rPr>
        <w:t>维修</w:t>
      </w:r>
      <w:r>
        <w:rPr>
          <w:rFonts w:hint="eastAsia" w:ascii="仿宋" w:hAnsi="仿宋" w:eastAsia="仿宋" w:cs="仿宋"/>
          <w:sz w:val="24"/>
          <w:highlight w:val="none"/>
        </w:rPr>
        <w:t>等相关技术支撑和运维服务工作。</w:t>
      </w:r>
    </w:p>
    <w:p>
      <w:pPr>
        <w:widowControl/>
        <w:numPr>
          <w:ilvl w:val="0"/>
          <w:numId w:val="7"/>
        </w:numPr>
        <w:spacing w:line="360" w:lineRule="auto"/>
        <w:ind w:firstLine="482" w:firstLineChars="200"/>
        <w:outlineLvl w:val="1"/>
        <w:rPr>
          <w:rFonts w:ascii="仿宋" w:hAnsi="仿宋" w:eastAsia="仿宋" w:cs="仿宋"/>
          <w:b/>
          <w:bCs/>
          <w:sz w:val="24"/>
          <w:szCs w:val="24"/>
          <w:highlight w:val="none"/>
        </w:rPr>
      </w:pPr>
      <w:r>
        <w:rPr>
          <w:rFonts w:hint="eastAsia" w:ascii="仿宋" w:hAnsi="仿宋" w:eastAsia="仿宋" w:cs="仿宋"/>
          <w:b/>
          <w:bCs/>
          <w:sz w:val="24"/>
          <w:szCs w:val="24"/>
          <w:highlight w:val="none"/>
        </w:rPr>
        <w:t>服务内容及要求</w:t>
      </w:r>
    </w:p>
    <w:p>
      <w:pPr>
        <w:pStyle w:val="54"/>
        <w:autoSpaceDN w:val="0"/>
        <w:spacing w:line="560" w:lineRule="exact"/>
        <w:ind w:firstLine="482"/>
        <w:textAlignment w:val="center"/>
        <w:rPr>
          <w:rFonts w:ascii="仿宋" w:hAnsi="仿宋" w:eastAsia="仿宋" w:cs="仿宋"/>
          <w:sz w:val="24"/>
          <w:highlight w:val="none"/>
        </w:rPr>
      </w:pPr>
      <w:r>
        <w:rPr>
          <w:rFonts w:hint="eastAsia" w:ascii="仿宋" w:hAnsi="仿宋" w:eastAsia="仿宋"/>
          <w:b/>
          <w:sz w:val="24"/>
          <w:highlight w:val="none"/>
        </w:rPr>
        <w:t>★（一）服务</w:t>
      </w:r>
      <w:r>
        <w:rPr>
          <w:rFonts w:ascii="仿宋" w:hAnsi="仿宋" w:eastAsia="仿宋"/>
          <w:b/>
          <w:sz w:val="24"/>
          <w:highlight w:val="none"/>
        </w:rPr>
        <w:t>方式：</w:t>
      </w:r>
      <w:r>
        <w:rPr>
          <w:rFonts w:hint="eastAsia" w:ascii="仿宋" w:hAnsi="仿宋" w:eastAsia="仿宋" w:cs="仿宋"/>
          <w:sz w:val="24"/>
          <w:highlight w:val="none"/>
        </w:rPr>
        <w:t>要求供应商须派驻不少于</w:t>
      </w:r>
      <w:r>
        <w:rPr>
          <w:rFonts w:ascii="仿宋" w:hAnsi="仿宋" w:eastAsia="仿宋" w:cs="仿宋"/>
          <w:sz w:val="24"/>
          <w:highlight w:val="none"/>
        </w:rPr>
        <w:t>6</w:t>
      </w:r>
      <w:r>
        <w:rPr>
          <w:rFonts w:hint="eastAsia" w:ascii="仿宋" w:hAnsi="仿宋" w:eastAsia="仿宋" w:cs="仿宋"/>
          <w:sz w:val="24"/>
          <w:highlight w:val="none"/>
        </w:rPr>
        <w:t>名技术人员组成运维团队，驻场在采购人指定的办公场地进行办公。配备的6名技术人员至少包含项目经理1名，技术主管1名</w:t>
      </w:r>
      <w:r>
        <w:rPr>
          <w:rFonts w:ascii="仿宋" w:hAnsi="仿宋" w:eastAsia="仿宋" w:cs="仿宋"/>
          <w:sz w:val="24"/>
          <w:highlight w:val="none"/>
        </w:rPr>
        <w:t>，</w:t>
      </w:r>
      <w:r>
        <w:rPr>
          <w:rFonts w:hint="eastAsia" w:ascii="仿宋" w:hAnsi="仿宋" w:eastAsia="仿宋" w:cs="仿宋"/>
          <w:sz w:val="24"/>
          <w:highlight w:val="none"/>
        </w:rPr>
        <w:t>桌面终端运维工程师2名，网络运维工程师1名，软件系统运维工程师1名。</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要求所有运维团队技术</w:t>
      </w:r>
      <w:r>
        <w:rPr>
          <w:rFonts w:ascii="仿宋" w:hAnsi="仿宋" w:eastAsia="仿宋" w:cs="仿宋"/>
          <w:sz w:val="24"/>
          <w:highlight w:val="none"/>
        </w:rPr>
        <w:t>人员</w:t>
      </w:r>
      <w:r>
        <w:rPr>
          <w:rFonts w:hint="eastAsia" w:ascii="仿宋" w:hAnsi="仿宋" w:eastAsia="仿宋" w:cs="仿宋"/>
          <w:sz w:val="24"/>
          <w:highlight w:val="none"/>
        </w:rPr>
        <w:t>全年（含节假日在内，</w:t>
      </w:r>
      <w:r>
        <w:rPr>
          <w:rFonts w:ascii="仿宋" w:hAnsi="仿宋" w:eastAsia="仿宋" w:cs="仿宋"/>
          <w:sz w:val="24"/>
          <w:highlight w:val="none"/>
        </w:rPr>
        <w:t>轮休</w:t>
      </w:r>
      <w:r>
        <w:rPr>
          <w:rFonts w:hint="eastAsia" w:ascii="仿宋" w:hAnsi="仿宋" w:eastAsia="仿宋" w:cs="仿宋"/>
          <w:sz w:val="24"/>
          <w:highlight w:val="none"/>
        </w:rPr>
        <w:t>）8:</w:t>
      </w:r>
      <w:r>
        <w:rPr>
          <w:rFonts w:ascii="仿宋" w:hAnsi="仿宋" w:eastAsia="仿宋" w:cs="仿宋"/>
          <w:sz w:val="24"/>
          <w:highlight w:val="none"/>
        </w:rPr>
        <w:t>1</w:t>
      </w:r>
      <w:r>
        <w:rPr>
          <w:rFonts w:hint="eastAsia" w:ascii="仿宋" w:hAnsi="仿宋" w:eastAsia="仿宋" w:cs="仿宋"/>
          <w:sz w:val="24"/>
          <w:highlight w:val="none"/>
        </w:rPr>
        <w:t>0至17:30（自行排班）驻守于成都大熊猫繁育研究基地提供</w:t>
      </w:r>
      <w:r>
        <w:rPr>
          <w:rFonts w:ascii="仿宋" w:hAnsi="仿宋" w:eastAsia="仿宋" w:cs="仿宋"/>
          <w:sz w:val="24"/>
          <w:highlight w:val="none"/>
        </w:rPr>
        <w:t>7</w:t>
      </w:r>
      <w:r>
        <w:rPr>
          <w:rFonts w:hint="eastAsia" w:ascii="仿宋" w:hAnsi="仿宋" w:eastAsia="仿宋" w:cs="仿宋"/>
          <w:sz w:val="24"/>
          <w:highlight w:val="none"/>
        </w:rPr>
        <w:t>×8小时现场保障，7×24小时电话应急响应。（</w:t>
      </w:r>
      <w:r>
        <w:rPr>
          <w:rFonts w:hint="eastAsia" w:ascii="仿宋" w:hAnsi="仿宋" w:eastAsia="仿宋" w:cs="仿宋"/>
          <w:b/>
          <w:bCs/>
          <w:sz w:val="24"/>
          <w:highlight w:val="none"/>
        </w:rPr>
        <w:t>提供承诺函</w:t>
      </w:r>
      <w:r>
        <w:rPr>
          <w:rFonts w:hint="eastAsia" w:ascii="仿宋" w:hAnsi="仿宋" w:eastAsia="仿宋" w:cs="仿宋"/>
          <w:b/>
          <w:bCs/>
          <w:sz w:val="24"/>
          <w:highlight w:val="none"/>
          <w:lang w:val="en-US" w:eastAsia="zh-CN"/>
        </w:rPr>
        <w:t>,格式自拟</w:t>
      </w:r>
      <w:r>
        <w:rPr>
          <w:rFonts w:hint="eastAsia" w:ascii="仿宋" w:hAnsi="仿宋" w:eastAsia="仿宋" w:cs="仿宋"/>
          <w:sz w:val="24"/>
          <w:highlight w:val="none"/>
        </w:rPr>
        <w:t>）</w:t>
      </w:r>
    </w:p>
    <w:p>
      <w:pPr>
        <w:pStyle w:val="54"/>
        <w:autoSpaceDN w:val="0"/>
        <w:spacing w:line="560" w:lineRule="exact"/>
        <w:ind w:firstLine="482"/>
        <w:textAlignment w:val="center"/>
        <w:rPr>
          <w:rFonts w:ascii="仿宋" w:hAnsi="仿宋" w:eastAsia="仿宋" w:cs="仿宋"/>
          <w:b/>
          <w:sz w:val="24"/>
          <w:highlight w:val="none"/>
        </w:rPr>
      </w:pPr>
      <w:r>
        <w:rPr>
          <w:rFonts w:hint="eastAsia" w:ascii="仿宋" w:hAnsi="仿宋" w:eastAsia="仿宋" w:cs="仿宋"/>
          <w:b/>
          <w:sz w:val="24"/>
          <w:highlight w:val="none"/>
        </w:rPr>
        <w:t>（二）主要工作内容：</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1、桌面终端及外设的软硬件维护</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①硬件的日常护理：对桌面设备硬件进行专业的保养维护；</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②硬件的检测和诊断：对发生故障的设备进行检测，诊断问题的所在；</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③硬件的维修：桌面设备在使用过程中若出现硬件故障，对于保内桌面设备，供应商负责联系设备生产厂商进行免费保修；对于保外桌面设备，经采购人</w:t>
      </w:r>
      <w:r>
        <w:rPr>
          <w:rFonts w:ascii="仿宋" w:hAnsi="仿宋" w:eastAsia="仿宋" w:cs="仿宋"/>
          <w:sz w:val="24"/>
          <w:highlight w:val="none"/>
        </w:rPr>
        <w:t>管理</w:t>
      </w:r>
      <w:r>
        <w:rPr>
          <w:rFonts w:hint="eastAsia" w:ascii="仿宋" w:hAnsi="仿宋" w:eastAsia="仿宋" w:cs="仿宋"/>
          <w:sz w:val="24"/>
          <w:highlight w:val="none"/>
        </w:rPr>
        <w:t>部门审批，供应商进行配件更换，费用据实结算；</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④计算机系统的故障解决、安装及调试等；</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⑤常用系统的安装及更新：Windows系列等；</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⑥常用的软件安装及防、杀病毒软件等；</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⑦协助处理专业性较强的其他软件。</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2、网络设备（含办公区域设备、游客区域设备）的维护，现有设备品牌涉及</w:t>
      </w:r>
      <w:r>
        <w:rPr>
          <w:rFonts w:hint="eastAsia" w:ascii="仿宋" w:hAnsi="仿宋" w:eastAsia="仿宋" w:cs="仿宋"/>
          <w:sz w:val="24"/>
          <w:szCs w:val="20"/>
          <w:highlight w:val="none"/>
        </w:rPr>
        <w:t>华为、华三、锐捷。</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①设备维保：完成对网络</w:t>
      </w:r>
      <w:r>
        <w:rPr>
          <w:rFonts w:ascii="仿宋" w:hAnsi="仿宋" w:eastAsia="仿宋" w:cs="仿宋"/>
          <w:sz w:val="24"/>
          <w:highlight w:val="none"/>
        </w:rPr>
        <w:t>设备</w:t>
      </w:r>
      <w:r>
        <w:rPr>
          <w:rFonts w:hint="eastAsia" w:ascii="仿宋" w:hAnsi="仿宋" w:eastAsia="仿宋" w:cs="仿宋"/>
          <w:sz w:val="24"/>
          <w:highlight w:val="none"/>
        </w:rPr>
        <w:t>硬件故障检测与维护工作；</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②日常巡检：完成对网络设备的日常巡检工作；</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③系统升级：完成对网络设备的软件升级工作；</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④硬件故障检修配合：联系和</w:t>
      </w:r>
      <w:r>
        <w:rPr>
          <w:rFonts w:ascii="仿宋" w:hAnsi="仿宋" w:eastAsia="仿宋" w:cs="仿宋"/>
          <w:sz w:val="24"/>
          <w:highlight w:val="none"/>
        </w:rPr>
        <w:t>配合</w:t>
      </w:r>
      <w:r>
        <w:rPr>
          <w:rFonts w:hint="eastAsia" w:ascii="仿宋" w:hAnsi="仿宋" w:eastAsia="仿宋" w:cs="仿宋"/>
          <w:sz w:val="24"/>
          <w:highlight w:val="none"/>
        </w:rPr>
        <w:t>设备生产厂商完成对网络设备的故障处理，包括恢复系统、故障（缺陷）定位、原因分析、故障（缺陷）排障等；</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⑤软件问题处理：对网络</w:t>
      </w:r>
      <w:r>
        <w:rPr>
          <w:rFonts w:ascii="仿宋" w:hAnsi="仿宋" w:eastAsia="仿宋" w:cs="仿宋"/>
          <w:sz w:val="24"/>
          <w:highlight w:val="none"/>
        </w:rPr>
        <w:t>设备软件故障</w:t>
      </w:r>
      <w:r>
        <w:rPr>
          <w:rFonts w:hint="eastAsia" w:ascii="仿宋" w:hAnsi="仿宋" w:eastAsia="仿宋" w:cs="仿宋"/>
          <w:sz w:val="24"/>
          <w:highlight w:val="none"/>
        </w:rPr>
        <w:t>进行处理；</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⑥运行分析:完成对路由器、交换机进行运行及性能分析，并提交季度运行分析报告；</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⑦设备运行状态监测:完成对路由器、交换机设备运行状态的重要指标进行监测预警。</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3、视频安防</w:t>
      </w:r>
      <w:r>
        <w:rPr>
          <w:rFonts w:ascii="仿宋" w:hAnsi="仿宋" w:eastAsia="仿宋" w:cs="仿宋"/>
          <w:sz w:val="24"/>
          <w:highlight w:val="none"/>
        </w:rPr>
        <w:t>系统</w:t>
      </w:r>
      <w:r>
        <w:rPr>
          <w:rFonts w:hint="eastAsia" w:ascii="仿宋" w:hAnsi="仿宋" w:eastAsia="仿宋" w:cs="仿宋"/>
          <w:sz w:val="24"/>
          <w:highlight w:val="none"/>
        </w:rPr>
        <w:t>的维护</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 xml:space="preserve">①负责视频信号线路、摄像机供电线路的检测、故障排除、隐患排查。监控系统前端摄像机的维护、位置调整、设备维修及更换、故障排除； </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②对监控设备进行除尘、清理服务，所有接口、线路接口的焊点的检测、视频头的更换；</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③监控系统主机设备进行定期检测，矩阵、监视器画面的切换、轮巡等；</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④联系和</w:t>
      </w:r>
      <w:r>
        <w:rPr>
          <w:rFonts w:ascii="仿宋" w:hAnsi="仿宋" w:eastAsia="仿宋" w:cs="仿宋"/>
          <w:sz w:val="24"/>
          <w:highlight w:val="none"/>
        </w:rPr>
        <w:t>配合</w:t>
      </w:r>
      <w:r>
        <w:rPr>
          <w:rFonts w:hint="eastAsia" w:ascii="仿宋" w:hAnsi="仿宋" w:eastAsia="仿宋" w:cs="仿宋"/>
          <w:sz w:val="24"/>
          <w:highlight w:val="none"/>
        </w:rPr>
        <w:t>设备生产厂商完成对视频监控设备的软硬件故障处理；</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⑤对监控软件进行检测、软件升级、软件维护、数据备份等；</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4、其它弱电</w:t>
      </w:r>
      <w:r>
        <w:rPr>
          <w:rFonts w:ascii="仿宋" w:hAnsi="仿宋" w:eastAsia="仿宋" w:cs="仿宋"/>
          <w:sz w:val="24"/>
          <w:highlight w:val="none"/>
        </w:rPr>
        <w:t>子</w:t>
      </w:r>
      <w:r>
        <w:rPr>
          <w:rFonts w:hint="eastAsia" w:ascii="仿宋" w:hAnsi="仿宋" w:eastAsia="仿宋" w:cs="仿宋"/>
          <w:sz w:val="24"/>
          <w:highlight w:val="none"/>
        </w:rPr>
        <w:t>系统的维护</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（1）弱电布线类：综合布线系统</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①日常管理：对综合布线跳线的位置调整和标签变更；</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②日常维护：综合布线系统在正常运行期间，定期进行保养和检查；</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③故障排除：在网络管理系统、电子配线架软件报警或接到故障投诉后，驻场工程师应立即进行故障确认并将故障对机房运行的影响降至最低。</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2）弱电设备类：信息发布系统、人脸识别门禁及通道闸机系统、无线巡更系统、公共广播系统、应急报警系统、智慧物联杆系统、无线对讲系统、数据中心机房、指挥中心、智慧停车场系统、安全防护体系、私有云平台、游客休息区、智能会议室系统、</w:t>
      </w:r>
      <w:r>
        <w:rPr>
          <w:rFonts w:ascii="仿宋" w:hAnsi="仿宋" w:eastAsia="仿宋" w:cs="仿宋"/>
          <w:sz w:val="24"/>
          <w:highlight w:val="none"/>
        </w:rPr>
        <w:t>综合管控平台</w:t>
      </w:r>
      <w:r>
        <w:rPr>
          <w:rFonts w:hint="eastAsia" w:ascii="仿宋" w:hAnsi="仿宋" w:eastAsia="仿宋" w:cs="仿宋"/>
          <w:sz w:val="24"/>
          <w:highlight w:val="none"/>
        </w:rPr>
        <w:t>。</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①信息发布系统的维护：对设备硬件进行专业的保养维护，硬件设备在使用过程中若出现故障，驻场工程师应立即</w:t>
      </w:r>
      <w:r>
        <w:rPr>
          <w:rFonts w:ascii="仿宋" w:hAnsi="仿宋" w:eastAsia="仿宋" w:cs="仿宋"/>
          <w:sz w:val="24"/>
          <w:highlight w:val="none"/>
        </w:rPr>
        <w:t>进行</w:t>
      </w:r>
      <w:r>
        <w:rPr>
          <w:rFonts w:hint="eastAsia" w:ascii="仿宋" w:hAnsi="仿宋" w:eastAsia="仿宋" w:cs="仿宋"/>
          <w:sz w:val="24"/>
          <w:highlight w:val="none"/>
        </w:rPr>
        <w:t>故障</w:t>
      </w:r>
      <w:r>
        <w:rPr>
          <w:rFonts w:ascii="仿宋" w:hAnsi="仿宋" w:eastAsia="仿宋" w:cs="仿宋"/>
          <w:sz w:val="24"/>
          <w:highlight w:val="none"/>
        </w:rPr>
        <w:t>处理</w:t>
      </w:r>
      <w:r>
        <w:rPr>
          <w:rFonts w:hint="eastAsia" w:ascii="仿宋" w:hAnsi="仿宋" w:eastAsia="仿宋" w:cs="仿宋"/>
          <w:sz w:val="24"/>
          <w:highlight w:val="none"/>
        </w:rPr>
        <w:t>。对于保内硬件设备损坏，供应商负责联系原厂商进行免费保修。</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②人脸识别门禁及通道闸机系统：定期对摄像机镜头镜片，外观进行清洁除尘；对摄像机，云台各供电连接点，定期维护，维护时检查是否有松动，保护绝缘层是否高温有损坏脱落现象；定期备份存储器资料。</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③无线巡更系统的维护：对设备硬件进行专业的保养维护，硬件设备在使用过程中若出现故障，驻场工程师应立即</w:t>
      </w:r>
      <w:r>
        <w:rPr>
          <w:rFonts w:ascii="仿宋" w:hAnsi="仿宋" w:eastAsia="仿宋" w:cs="仿宋"/>
          <w:sz w:val="24"/>
          <w:highlight w:val="none"/>
        </w:rPr>
        <w:t>进行</w:t>
      </w:r>
      <w:r>
        <w:rPr>
          <w:rFonts w:hint="eastAsia" w:ascii="仿宋" w:hAnsi="仿宋" w:eastAsia="仿宋" w:cs="仿宋"/>
          <w:sz w:val="24"/>
          <w:highlight w:val="none"/>
        </w:rPr>
        <w:t>故障</w:t>
      </w:r>
      <w:r>
        <w:rPr>
          <w:rFonts w:ascii="仿宋" w:hAnsi="仿宋" w:eastAsia="仿宋" w:cs="仿宋"/>
          <w:sz w:val="24"/>
          <w:highlight w:val="none"/>
        </w:rPr>
        <w:t>处理</w:t>
      </w:r>
      <w:r>
        <w:rPr>
          <w:rFonts w:hint="eastAsia" w:ascii="仿宋" w:hAnsi="仿宋" w:eastAsia="仿宋" w:cs="仿宋"/>
          <w:sz w:val="24"/>
          <w:highlight w:val="none"/>
        </w:rPr>
        <w:t>。对于保内硬件设备损坏，供应商负责联系原厂商进行免费保修。</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④公共广播系统的维护：对设备硬件进行专业的保养维护。各寻呼终端在寻呼完毕后，要将寻呼功能关闭。确保系统安全、可靠。</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⑤应急报警系统的维护：协助相关</w:t>
      </w:r>
      <w:r>
        <w:rPr>
          <w:rFonts w:ascii="仿宋" w:hAnsi="仿宋" w:eastAsia="仿宋" w:cs="仿宋"/>
          <w:sz w:val="24"/>
          <w:highlight w:val="none"/>
        </w:rPr>
        <w:t>部门</w:t>
      </w:r>
      <w:r>
        <w:rPr>
          <w:rFonts w:hint="eastAsia" w:ascii="仿宋" w:hAnsi="仿宋" w:eastAsia="仿宋" w:cs="仿宋"/>
          <w:sz w:val="24"/>
          <w:highlight w:val="none"/>
        </w:rPr>
        <w:t>对火灾自动报警系统技术档案资料的管理；触发装置在使用中常出现的问题及排除；</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⑥智慧物联杆系统的维护：对物联杆承载的各种应用功能的统计数据，进行及时的备份处理。对智慧物联干搭载的信息发布设备硬件进行专业的保养维护；</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⑦无线对讲系统：协助相关</w:t>
      </w:r>
      <w:r>
        <w:rPr>
          <w:rFonts w:ascii="仿宋" w:hAnsi="仿宋" w:eastAsia="仿宋" w:cs="仿宋"/>
          <w:sz w:val="24"/>
          <w:highlight w:val="none"/>
        </w:rPr>
        <w:t>部门</w:t>
      </w:r>
      <w:r>
        <w:rPr>
          <w:rFonts w:hint="eastAsia" w:ascii="仿宋" w:hAnsi="仿宋" w:eastAsia="仿宋" w:cs="仿宋"/>
          <w:sz w:val="24"/>
          <w:highlight w:val="none"/>
        </w:rPr>
        <w:t>进行必要的维护，防止按健、控制旋钮和机壳变脏甚至损坏，防止键帽、键盘之间积满灰尘。</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⑧数据中心机房的维护：日常机房环境巡检：确认机房电源供电、UPS输入与输出、空调运行是否正常，机房温、湿度是否符合标准，消防设施是否部署，机房环境清洁状况、设备是否结尘等。网络设备状态巡检：确认路由器指示灯、路由器CPU\内存资源占用率、交换机指示灯、交换机CPU\内存资源占用率、网络线缆连接是否正常等。安全设备状态巡检：主要是针对防火墙、入侵防御系统、数据库审计系统、运维审计系统、WAF等安全设备的运行情况进行巡检，其巡检内容包括确认设备指示灯、设备CPU\内存资源占用率是否正常，设备配置策略是否改变，设备系统日志是否有异常记录，网络连接是否存在异常，网络线缆连接是否正常等。应用系统状态巡检：确认主机设备指示灯、电缆和线缆连接是否正常；确认操作系统CPU\内存\磁盘资源占用率是否正常，系统进程是否存在异常，系统安全补丁是否更新到最新，系统日志是否有异常记录，系统账户是否存在异常，是否安装有非授权软件；业务系统进程运行是否正常，使用是否正常，输入、输出是否正常；中间件进程、服务运行是否正常；数据库进程、服务运行是否正常，连接是否正常，日志是否有异常记录，数据库管理账号是否存在异常等；</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⑨指挥中心的维护：大屏幕出现故障时，应立即进行故障确认并将故障影响降至最低，及时恢复屏幕使用；熟练掌握系统软件的安装及</w:t>
      </w:r>
      <w:r>
        <w:rPr>
          <w:rFonts w:ascii="仿宋" w:hAnsi="仿宋" w:eastAsia="仿宋" w:cs="仿宋"/>
          <w:sz w:val="24"/>
          <w:highlight w:val="none"/>
        </w:rPr>
        <w:t>操作</w:t>
      </w:r>
      <w:r>
        <w:rPr>
          <w:rFonts w:hint="eastAsia" w:ascii="仿宋" w:hAnsi="仿宋" w:eastAsia="仿宋" w:cs="仿宋"/>
          <w:sz w:val="24"/>
          <w:highlight w:val="none"/>
        </w:rPr>
        <w:t>方法，进行数据恢复、备份，定期检查病毒，删除无关数据等</w:t>
      </w:r>
      <w:r>
        <w:rPr>
          <w:rFonts w:ascii="仿宋" w:hAnsi="仿宋" w:eastAsia="仿宋" w:cs="仿宋"/>
          <w:sz w:val="24"/>
          <w:highlight w:val="none"/>
        </w:rPr>
        <w:t>工作</w:t>
      </w:r>
      <w:r>
        <w:rPr>
          <w:rFonts w:hint="eastAsia" w:ascii="仿宋" w:hAnsi="仿宋" w:eastAsia="仿宋" w:cs="仿宋"/>
          <w:sz w:val="24"/>
          <w:highlight w:val="none"/>
        </w:rPr>
        <w:t>；</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⑩智慧停车场系统的维护：读卡器和控制器外壳进行内部除尘；对道闸主机的电源线和信号线、地线的接线端子进行检查，对松动的接头进行紧固；对道闸主机的机械转动部分加适量的润滑机油，保证转动灵活；</w:t>
      </w:r>
    </w:p>
    <w:p>
      <w:pPr>
        <w:pStyle w:val="54"/>
        <w:autoSpaceDN w:val="0"/>
        <w:spacing w:line="560" w:lineRule="exact"/>
        <w:ind w:firstLine="480"/>
        <w:textAlignment w:val="center"/>
        <w:rPr>
          <w:rFonts w:ascii="仿宋" w:hAnsi="仿宋" w:eastAsia="仿宋" w:cs="仿宋"/>
          <w:sz w:val="24"/>
          <w:highlight w:val="none"/>
        </w:rPr>
      </w:pPr>
      <w:r>
        <w:rPr>
          <w:rFonts w:ascii="Cambria Math" w:hAnsi="Cambria Math" w:eastAsia="仿宋" w:cs="Cambria Math"/>
          <w:sz w:val="24"/>
          <w:highlight w:val="none"/>
        </w:rPr>
        <w:t>⑪</w:t>
      </w:r>
      <w:r>
        <w:rPr>
          <w:rFonts w:hint="eastAsia" w:ascii="仿宋" w:hAnsi="仿宋" w:eastAsia="仿宋" w:cs="仿宋"/>
          <w:sz w:val="24"/>
          <w:highlight w:val="none"/>
        </w:rPr>
        <w:t>安全防护体系的维护：联系</w:t>
      </w:r>
      <w:r>
        <w:rPr>
          <w:rFonts w:ascii="仿宋" w:hAnsi="仿宋" w:eastAsia="仿宋" w:cs="仿宋"/>
          <w:sz w:val="24"/>
          <w:highlight w:val="none"/>
        </w:rPr>
        <w:t>和</w:t>
      </w:r>
      <w:r>
        <w:rPr>
          <w:rFonts w:hint="eastAsia" w:ascii="仿宋" w:hAnsi="仿宋" w:eastAsia="仿宋" w:cs="仿宋"/>
          <w:sz w:val="24"/>
          <w:highlight w:val="none"/>
        </w:rPr>
        <w:t>协助</w:t>
      </w:r>
      <w:r>
        <w:rPr>
          <w:rFonts w:ascii="仿宋" w:hAnsi="仿宋" w:eastAsia="仿宋" w:cs="仿宋"/>
          <w:sz w:val="24"/>
          <w:highlight w:val="none"/>
        </w:rPr>
        <w:t>专业</w:t>
      </w:r>
      <w:r>
        <w:rPr>
          <w:rFonts w:hint="eastAsia" w:ascii="仿宋" w:hAnsi="仿宋" w:eastAsia="仿宋" w:cs="仿宋"/>
          <w:sz w:val="24"/>
          <w:highlight w:val="none"/>
        </w:rPr>
        <w:t>工程师</w:t>
      </w:r>
      <w:r>
        <w:rPr>
          <w:rFonts w:ascii="仿宋" w:hAnsi="仿宋" w:eastAsia="仿宋" w:cs="仿宋"/>
          <w:sz w:val="24"/>
          <w:highlight w:val="none"/>
        </w:rPr>
        <w:t>进行安全防护</w:t>
      </w:r>
      <w:r>
        <w:rPr>
          <w:rFonts w:hint="eastAsia" w:ascii="仿宋" w:hAnsi="仿宋" w:eastAsia="仿宋" w:cs="仿宋"/>
          <w:sz w:val="24"/>
          <w:highlight w:val="none"/>
        </w:rPr>
        <w:t>相关</w:t>
      </w:r>
      <w:r>
        <w:rPr>
          <w:rFonts w:ascii="仿宋" w:hAnsi="仿宋" w:eastAsia="仿宋" w:cs="仿宋"/>
          <w:sz w:val="24"/>
          <w:highlight w:val="none"/>
        </w:rPr>
        <w:t>工作</w:t>
      </w:r>
      <w:r>
        <w:rPr>
          <w:rFonts w:hint="eastAsia" w:ascii="仿宋" w:hAnsi="仿宋" w:eastAsia="仿宋" w:cs="仿宋"/>
          <w:sz w:val="24"/>
          <w:highlight w:val="none"/>
        </w:rPr>
        <w:t>；</w:t>
      </w:r>
    </w:p>
    <w:p>
      <w:pPr>
        <w:pStyle w:val="54"/>
        <w:autoSpaceDN w:val="0"/>
        <w:spacing w:line="560" w:lineRule="exact"/>
        <w:ind w:firstLine="480"/>
        <w:textAlignment w:val="center"/>
        <w:rPr>
          <w:rFonts w:ascii="仿宋" w:hAnsi="仿宋" w:eastAsia="仿宋" w:cs="仿宋"/>
          <w:sz w:val="24"/>
          <w:highlight w:val="none"/>
        </w:rPr>
      </w:pPr>
      <w:r>
        <w:rPr>
          <w:rFonts w:ascii="Cambria Math" w:hAnsi="Cambria Math" w:eastAsia="仿宋" w:cs="Cambria Math"/>
          <w:sz w:val="24"/>
          <w:highlight w:val="none"/>
        </w:rPr>
        <w:t>⑫</w:t>
      </w:r>
      <w:r>
        <w:rPr>
          <w:rFonts w:hint="eastAsia" w:ascii="仿宋" w:hAnsi="仿宋" w:eastAsia="仿宋" w:cs="仿宋"/>
          <w:sz w:val="24"/>
          <w:highlight w:val="none"/>
        </w:rPr>
        <w:t>私有云平台的维护：联系</w:t>
      </w:r>
      <w:r>
        <w:rPr>
          <w:rFonts w:ascii="仿宋" w:hAnsi="仿宋" w:eastAsia="仿宋" w:cs="仿宋"/>
          <w:sz w:val="24"/>
          <w:highlight w:val="none"/>
        </w:rPr>
        <w:t>和</w:t>
      </w:r>
      <w:r>
        <w:rPr>
          <w:rFonts w:hint="eastAsia" w:ascii="仿宋" w:hAnsi="仿宋" w:eastAsia="仿宋" w:cs="仿宋"/>
          <w:sz w:val="24"/>
          <w:highlight w:val="none"/>
        </w:rPr>
        <w:t>协助</w:t>
      </w:r>
      <w:r>
        <w:rPr>
          <w:rFonts w:ascii="仿宋" w:hAnsi="仿宋" w:eastAsia="仿宋" w:cs="仿宋"/>
          <w:sz w:val="24"/>
          <w:highlight w:val="none"/>
        </w:rPr>
        <w:t>专业工程</w:t>
      </w:r>
      <w:r>
        <w:rPr>
          <w:rFonts w:hint="eastAsia" w:ascii="仿宋" w:hAnsi="仿宋" w:eastAsia="仿宋" w:cs="仿宋"/>
          <w:sz w:val="24"/>
          <w:highlight w:val="none"/>
        </w:rPr>
        <w:t>师对服务器进行硬件维护，对云平台服务器进行、服务器硬件检查、操作系统检查、</w:t>
      </w:r>
      <w:r>
        <w:rPr>
          <w:rFonts w:ascii="仿宋" w:hAnsi="仿宋" w:eastAsia="仿宋" w:cs="仿宋"/>
          <w:sz w:val="24"/>
          <w:highlight w:val="none"/>
        </w:rPr>
        <w:t>CPU</w:t>
      </w:r>
      <w:r>
        <w:rPr>
          <w:rFonts w:hint="eastAsia" w:ascii="仿宋" w:hAnsi="仿宋" w:eastAsia="仿宋" w:cs="仿宋"/>
          <w:sz w:val="24"/>
          <w:highlight w:val="none"/>
        </w:rPr>
        <w:t>、内存性能检查、安全基线检查。定期查杀木马、定期清理插件、定期漏洞修复、定期检查病毒库版本更新情况，并根据需要升级等；</w:t>
      </w:r>
    </w:p>
    <w:p>
      <w:pPr>
        <w:pStyle w:val="54"/>
        <w:autoSpaceDN w:val="0"/>
        <w:spacing w:line="560" w:lineRule="exact"/>
        <w:ind w:firstLine="480"/>
        <w:textAlignment w:val="center"/>
        <w:rPr>
          <w:rFonts w:ascii="仿宋" w:hAnsi="仿宋" w:eastAsia="仿宋" w:cs="仿宋"/>
          <w:sz w:val="24"/>
          <w:highlight w:val="none"/>
        </w:rPr>
      </w:pPr>
      <w:r>
        <w:rPr>
          <w:rFonts w:ascii="Cambria Math" w:hAnsi="Cambria Math" w:eastAsia="仿宋" w:cs="Cambria Math"/>
          <w:sz w:val="24"/>
          <w:highlight w:val="none"/>
        </w:rPr>
        <w:t>⑬</w:t>
      </w:r>
      <w:r>
        <w:rPr>
          <w:rFonts w:hint="eastAsia" w:ascii="仿宋" w:hAnsi="仿宋" w:eastAsia="仿宋" w:cs="仿宋"/>
          <w:sz w:val="24"/>
          <w:highlight w:val="none"/>
        </w:rPr>
        <w:t>游客休息区的维护：定期巡视，查看休息区设施是否有损坏，进行及时的更换；休息设施如有损坏且没有维修价值时，要及时上报给采购人</w:t>
      </w:r>
      <w:r>
        <w:rPr>
          <w:rFonts w:ascii="仿宋" w:hAnsi="仿宋" w:eastAsia="仿宋" w:cs="仿宋"/>
          <w:sz w:val="24"/>
          <w:highlight w:val="none"/>
        </w:rPr>
        <w:t>管理部门</w:t>
      </w:r>
      <w:r>
        <w:rPr>
          <w:rFonts w:hint="eastAsia" w:ascii="仿宋" w:hAnsi="仿宋" w:eastAsia="仿宋" w:cs="仿宋"/>
          <w:sz w:val="24"/>
          <w:highlight w:val="none"/>
        </w:rPr>
        <w:t>进行报废处理，并及时拆除重建或购置；</w:t>
      </w:r>
    </w:p>
    <w:p>
      <w:pPr>
        <w:pStyle w:val="54"/>
        <w:autoSpaceDN w:val="0"/>
        <w:spacing w:line="560" w:lineRule="exact"/>
        <w:ind w:firstLine="480"/>
        <w:textAlignment w:val="center"/>
        <w:rPr>
          <w:rFonts w:ascii="仿宋" w:hAnsi="仿宋" w:eastAsia="仿宋" w:cs="仿宋"/>
          <w:sz w:val="24"/>
          <w:highlight w:val="none"/>
        </w:rPr>
      </w:pPr>
      <w:r>
        <w:rPr>
          <w:rFonts w:ascii="Cambria Math" w:hAnsi="Cambria Math" w:eastAsia="仿宋" w:cs="Cambria Math"/>
          <w:sz w:val="24"/>
          <w:highlight w:val="none"/>
        </w:rPr>
        <w:t>⑭</w:t>
      </w:r>
      <w:r>
        <w:rPr>
          <w:rFonts w:hint="eastAsia" w:ascii="仿宋" w:hAnsi="仿宋" w:eastAsia="仿宋" w:cs="仿宋"/>
          <w:sz w:val="24"/>
          <w:highlight w:val="none"/>
        </w:rPr>
        <w:t>智能会议室系统的维护：保证日常会议室系统设备运行正常的日常维护工作，以及</w:t>
      </w:r>
      <w:r>
        <w:rPr>
          <w:rFonts w:ascii="仿宋" w:hAnsi="仿宋" w:eastAsia="仿宋" w:cs="仿宋"/>
          <w:sz w:val="24"/>
          <w:highlight w:val="none"/>
        </w:rPr>
        <w:t>日常</w:t>
      </w:r>
      <w:r>
        <w:rPr>
          <w:rFonts w:hint="eastAsia" w:ascii="仿宋" w:hAnsi="仿宋" w:eastAsia="仿宋" w:cs="仿宋"/>
          <w:sz w:val="24"/>
          <w:highlight w:val="none"/>
        </w:rPr>
        <w:t>会议</w:t>
      </w:r>
      <w:r>
        <w:rPr>
          <w:rFonts w:ascii="仿宋" w:hAnsi="仿宋" w:eastAsia="仿宋" w:cs="仿宋"/>
          <w:sz w:val="24"/>
          <w:highlight w:val="none"/>
        </w:rPr>
        <w:t>设备</w:t>
      </w:r>
      <w:r>
        <w:rPr>
          <w:rFonts w:hint="eastAsia" w:ascii="仿宋" w:hAnsi="仿宋" w:eastAsia="仿宋" w:cs="仿宋"/>
          <w:sz w:val="24"/>
          <w:highlight w:val="none"/>
        </w:rPr>
        <w:t>的布置</w:t>
      </w:r>
      <w:r>
        <w:rPr>
          <w:rFonts w:ascii="仿宋" w:hAnsi="仿宋" w:eastAsia="仿宋" w:cs="仿宋"/>
          <w:sz w:val="24"/>
          <w:highlight w:val="none"/>
        </w:rPr>
        <w:t>、调试</w:t>
      </w:r>
      <w:r>
        <w:rPr>
          <w:rFonts w:hint="eastAsia" w:ascii="仿宋" w:hAnsi="仿宋" w:eastAsia="仿宋" w:cs="仿宋"/>
          <w:sz w:val="24"/>
          <w:highlight w:val="none"/>
        </w:rPr>
        <w:t>准备等技术保障</w:t>
      </w:r>
      <w:r>
        <w:rPr>
          <w:rFonts w:ascii="仿宋" w:hAnsi="仿宋" w:eastAsia="仿宋" w:cs="仿宋"/>
          <w:sz w:val="24"/>
          <w:highlight w:val="none"/>
        </w:rPr>
        <w:t>工作</w:t>
      </w:r>
      <w:r>
        <w:rPr>
          <w:rFonts w:hint="eastAsia" w:ascii="仿宋" w:hAnsi="仿宋" w:eastAsia="仿宋" w:cs="仿宋"/>
          <w:sz w:val="24"/>
          <w:highlight w:val="none"/>
        </w:rPr>
        <w:t>；</w:t>
      </w:r>
    </w:p>
    <w:p>
      <w:pPr>
        <w:pStyle w:val="54"/>
        <w:autoSpaceDN w:val="0"/>
        <w:spacing w:line="560" w:lineRule="exact"/>
        <w:ind w:firstLine="480"/>
        <w:textAlignment w:val="center"/>
        <w:rPr>
          <w:rFonts w:ascii="仿宋" w:hAnsi="仿宋" w:eastAsia="仿宋" w:cs="仿宋"/>
          <w:sz w:val="24"/>
          <w:highlight w:val="none"/>
        </w:rPr>
      </w:pPr>
      <w:r>
        <w:rPr>
          <w:rFonts w:ascii="Cambria Math" w:hAnsi="Cambria Math" w:eastAsia="仿宋" w:cs="Cambria Math"/>
          <w:sz w:val="24"/>
          <w:highlight w:val="none"/>
        </w:rPr>
        <w:t>⑮</w:t>
      </w:r>
      <w:r>
        <w:rPr>
          <w:rFonts w:ascii="仿宋" w:hAnsi="仿宋" w:eastAsia="仿宋" w:cs="仿宋"/>
          <w:sz w:val="24"/>
          <w:highlight w:val="none"/>
        </w:rPr>
        <w:t>综合管控平台</w:t>
      </w:r>
      <w:r>
        <w:rPr>
          <w:rFonts w:hint="eastAsia" w:ascii="仿宋" w:hAnsi="仿宋" w:eastAsia="仿宋" w:cs="仿宋"/>
          <w:sz w:val="24"/>
          <w:highlight w:val="none"/>
        </w:rPr>
        <w:t>的</w:t>
      </w:r>
      <w:r>
        <w:rPr>
          <w:rFonts w:ascii="仿宋" w:hAnsi="仿宋" w:eastAsia="仿宋" w:cs="仿宋"/>
          <w:sz w:val="24"/>
          <w:highlight w:val="none"/>
        </w:rPr>
        <w:t>维护</w:t>
      </w:r>
      <w:r>
        <w:rPr>
          <w:rFonts w:hint="eastAsia" w:ascii="仿宋" w:hAnsi="仿宋" w:eastAsia="仿宋" w:cs="仿宋"/>
          <w:sz w:val="24"/>
          <w:highlight w:val="none"/>
        </w:rPr>
        <w:t>：平台软件</w:t>
      </w:r>
      <w:r>
        <w:rPr>
          <w:rFonts w:ascii="仿宋" w:hAnsi="仿宋" w:eastAsia="仿宋" w:cs="仿宋"/>
          <w:sz w:val="24"/>
          <w:highlight w:val="none"/>
        </w:rPr>
        <w:t>系统</w:t>
      </w:r>
      <w:r>
        <w:rPr>
          <w:rFonts w:hint="eastAsia" w:ascii="仿宋" w:hAnsi="仿宋" w:eastAsia="仿宋" w:cs="仿宋"/>
          <w:sz w:val="24"/>
          <w:highlight w:val="none"/>
        </w:rPr>
        <w:t>的日常</w:t>
      </w:r>
      <w:r>
        <w:rPr>
          <w:rFonts w:ascii="仿宋" w:hAnsi="仿宋" w:eastAsia="仿宋" w:cs="仿宋"/>
          <w:sz w:val="24"/>
          <w:highlight w:val="none"/>
        </w:rPr>
        <w:t>巡检；</w:t>
      </w:r>
      <w:r>
        <w:rPr>
          <w:rFonts w:hint="eastAsia" w:ascii="仿宋" w:hAnsi="仿宋" w:eastAsia="仿宋" w:cs="仿宋"/>
          <w:sz w:val="24"/>
          <w:highlight w:val="none"/>
        </w:rPr>
        <w:t>协助操作系统配置、优化、加固等日常管理；协助对数据库系统进行日常维护；创建和维护存储过程，程序及触发器，对出现错误的可编程对象进行排错，并解决问题；协助进行数据库数据备份，当数据库出现灾难性问题时可进行灾后的数据恢复；进行数据库性能监控、优化，发现异常情况或系统性能瓶颈并解决；负责日常运维相关报告的编写。</w:t>
      </w:r>
    </w:p>
    <w:p>
      <w:pPr>
        <w:pStyle w:val="54"/>
        <w:autoSpaceDN w:val="0"/>
        <w:spacing w:line="560" w:lineRule="exact"/>
        <w:ind w:firstLine="480"/>
        <w:textAlignment w:val="center"/>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、培训服务</w:t>
      </w:r>
    </w:p>
    <w:p>
      <w:pPr>
        <w:pStyle w:val="54"/>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根据成都大熊猫繁育研究基地要求，组织对桌面终端计算机、操作系统、办公</w:t>
      </w:r>
      <w:r>
        <w:rPr>
          <w:rFonts w:ascii="仿宋" w:hAnsi="仿宋" w:eastAsia="仿宋" w:cs="仿宋"/>
          <w:sz w:val="24"/>
          <w:highlight w:val="none"/>
        </w:rPr>
        <w:t>软件</w:t>
      </w:r>
      <w:r>
        <w:rPr>
          <w:rFonts w:hint="eastAsia" w:ascii="仿宋" w:hAnsi="仿宋" w:eastAsia="仿宋" w:cs="仿宋"/>
          <w:sz w:val="24"/>
          <w:highlight w:val="none"/>
        </w:rPr>
        <w:t>、打印机等管理及日常维护知识进行培训。</w:t>
      </w:r>
    </w:p>
    <w:p>
      <w:pPr>
        <w:spacing w:line="360" w:lineRule="auto"/>
        <w:ind w:firstLine="482" w:firstLineChars="200"/>
        <w:rPr>
          <w:rFonts w:ascii="仿宋" w:hAnsi="仿宋" w:eastAsia="仿宋" w:cs="仿宋"/>
          <w:b/>
          <w:bCs/>
          <w:color w:val="000000"/>
          <w:sz w:val="24"/>
          <w:highlight w:val="none"/>
        </w:rPr>
      </w:pPr>
      <w:r>
        <w:rPr>
          <w:rFonts w:hint="eastAsia" w:ascii="仿宋" w:hAnsi="仿宋" w:eastAsia="仿宋" w:cs="仿宋"/>
          <w:b/>
          <w:bCs/>
          <w:color w:val="000000"/>
          <w:sz w:val="24"/>
          <w:highlight w:val="none"/>
        </w:rPr>
        <w:t>（三）驻场值守纪律</w:t>
      </w:r>
    </w:p>
    <w:p>
      <w:pPr>
        <w:spacing w:line="360" w:lineRule="auto"/>
        <w:ind w:firstLine="480" w:firstLineChars="200"/>
        <w:rPr>
          <w:rFonts w:ascii="仿宋" w:hAnsi="仿宋" w:eastAsia="仿宋" w:cs="仿宋"/>
          <w:bCs/>
          <w:sz w:val="24"/>
          <w:highlight w:val="none"/>
        </w:rPr>
      </w:pPr>
      <w:r>
        <w:rPr>
          <w:rFonts w:hint="eastAsia" w:ascii="仿宋" w:hAnsi="仿宋" w:eastAsia="仿宋" w:cs="仿宋"/>
          <w:bCs/>
          <w:sz w:val="24"/>
          <w:highlight w:val="none"/>
        </w:rPr>
        <w:t>供应商驻场值守人员须遵守国家的法律和法规，同时认真学习和遵守采购人单位的各项规章制度。不得无故迟到、早退、擅自离岗以及从事与工作无关的活动，日常工作安排和管理由采购人指定部门负责。</w:t>
      </w:r>
    </w:p>
    <w:p>
      <w:pPr>
        <w:pStyle w:val="8"/>
        <w:spacing w:line="360" w:lineRule="auto"/>
        <w:ind w:firstLine="480"/>
        <w:rPr>
          <w:rFonts w:ascii="仿宋" w:hAnsi="仿宋" w:eastAsia="仿宋" w:cs="仿宋"/>
          <w:bCs/>
          <w:sz w:val="24"/>
          <w:highlight w:val="none"/>
        </w:rPr>
      </w:pPr>
      <w:r>
        <w:rPr>
          <w:rFonts w:hint="eastAsia" w:ascii="仿宋" w:hAnsi="仿宋" w:eastAsia="仿宋" w:cs="仿宋"/>
          <w:bCs/>
          <w:sz w:val="24"/>
          <w:highlight w:val="none"/>
        </w:rPr>
        <w:t>未经采购人信息设备管理人员同意，严禁供应商驻场值守人员私自将采购人物品带离基地，如若发生，采购人有权追究供应商法律责任和经济赔偿责任。</w:t>
      </w:r>
    </w:p>
    <w:p>
      <w:pPr>
        <w:pStyle w:val="8"/>
        <w:spacing w:line="360" w:lineRule="auto"/>
        <w:ind w:left="1" w:firstLine="480"/>
        <w:rPr>
          <w:rFonts w:ascii="仿宋" w:hAnsi="仿宋" w:eastAsia="仿宋" w:cs="仿宋"/>
          <w:bCs/>
          <w:sz w:val="24"/>
          <w:highlight w:val="none"/>
        </w:rPr>
      </w:pPr>
      <w:r>
        <w:rPr>
          <w:rFonts w:hint="eastAsia" w:ascii="仿宋" w:hAnsi="仿宋" w:eastAsia="仿宋" w:cs="仿宋"/>
          <w:bCs/>
          <w:sz w:val="24"/>
          <w:highlight w:val="none"/>
        </w:rPr>
        <w:t>若供应商驻场值守人员存在不遵守采购人各项规章制度、不服从采购人管理以及不能胜任相关维护工作等情况，采购人有权要求供应商进行更换。</w:t>
      </w:r>
    </w:p>
    <w:p>
      <w:pPr>
        <w:widowControl/>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highlight w:val="none"/>
        </w:rPr>
        <w:t>周末及国家法定节假日须服从采购人管理部门统一布置的值班安排及调休时间。工作时间以外提供维护服务的按实际加班时间安排调休。调休时间由供应商驻场值守人员向采购人指定部门提出申请，获得批准后方可调休。</w:t>
      </w:r>
    </w:p>
    <w:p>
      <w:pPr>
        <w:widowControl/>
        <w:spacing w:line="360" w:lineRule="auto"/>
        <w:ind w:firstLine="482" w:firstLineChars="200"/>
        <w:outlineLvl w:val="1"/>
        <w:rPr>
          <w:rFonts w:ascii="仿宋" w:hAnsi="仿宋" w:eastAsia="仿宋" w:cs="仿宋"/>
          <w:b/>
          <w:bCs/>
          <w:sz w:val="24"/>
          <w:szCs w:val="24"/>
          <w:highlight w:val="none"/>
        </w:rPr>
      </w:pPr>
      <w:r>
        <w:rPr>
          <w:rFonts w:hint="eastAsia" w:ascii="仿宋" w:hAnsi="仿宋" w:eastAsia="仿宋" w:cs="仿宋"/>
          <w:b/>
          <w:bCs/>
          <w:sz w:val="24"/>
          <w:szCs w:val="24"/>
          <w:highlight w:val="none"/>
        </w:rPr>
        <w:t>三、商务要求</w:t>
      </w:r>
    </w:p>
    <w:p>
      <w:pPr>
        <w:widowControl/>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（一）服务期限：合同签订并接到采购人驻场通知之日起，一年。</w:t>
      </w:r>
    </w:p>
    <w:p>
      <w:pPr>
        <w:widowControl/>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（二）服务地点：成都大熊猫繁育研究基地（成华区外北</w:t>
      </w:r>
      <w:r>
        <w:rPr>
          <w:rFonts w:ascii="仿宋" w:hAnsi="仿宋" w:eastAsia="仿宋" w:cs="仿宋"/>
          <w:bCs/>
          <w:sz w:val="24"/>
          <w:szCs w:val="24"/>
          <w:highlight w:val="none"/>
        </w:rPr>
        <w:t>熊猫大道</w:t>
      </w:r>
      <w:r>
        <w:rPr>
          <w:rFonts w:hint="eastAsia" w:ascii="仿宋" w:hAnsi="仿宋" w:eastAsia="仿宋" w:cs="仿宋"/>
          <w:bCs/>
          <w:sz w:val="24"/>
          <w:szCs w:val="24"/>
          <w:highlight w:val="none"/>
        </w:rPr>
        <w:t>1375号）。</w:t>
      </w:r>
    </w:p>
    <w:p>
      <w:pPr>
        <w:widowControl/>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三）付款方式：签订合同后分三次支付。本合同签订后10个工作日内，由采购人支付给供应商当年合同金额的40%；实际运维服务时间已满6个月且考核评分80分及以上，由采购人支付供应商当年合同金额的40%（考核评分在80分以下的，经整改后仍然无法保障服务质量的，则终止合同）；服务到期并通过采购人验收合格后7个工作日内，由采购人支付给供应商合同剩余款项。</w:t>
      </w:r>
    </w:p>
    <w:p>
      <w:pPr>
        <w:widowControl/>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若供应商在维护期内有违约行为且按本合同约定需向采购人承担相关损失赔偿责任时，采购人有权在年度验收应付款中直接予以扣除。</w:t>
      </w:r>
    </w:p>
    <w:p>
      <w:pPr>
        <w:widowControl/>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（四）验收标准：严格按照政府采购相关法律法规以及《财政部关于进一步加强政府采购需求和履约验收管理的指导意见》（财库[2016]205号）的要求进行验收。</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（五）违约责任</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采购人违约责任 </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1.采购人无正当理由导致变更、中止或者终止政府采购合同的，采购人应对供应商受到的损失予以赔偿或者补偿；</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2.采购人偿付的违约金不足以弥补成交供应商损失的，还应按成交供应商损失尚未弥补的部分，支付赔偿金给成交供应商。</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成交供应商违约责任 </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1.成交供应商所提供的服务有不符合招投标文件约定及本项目合同约定的，成交供应商应向采购人支付合同约定的违约金，并须在采购人规定的整改期限内改正，否则视作成交供应商不能履约而违约。</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2.成交供应商不能履约而违约的，采购人有权终止合同，并须全额退还采购人已经付给成交供应商的款项及其利息。</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3.成交供应商偿付的违约金不足以弥补采购人损失的，还应按采购人损失尚未弥补的部分，支付赔偿金给采购人。</w:t>
      </w:r>
    </w:p>
    <w:p>
      <w:pPr>
        <w:spacing w:line="360" w:lineRule="auto"/>
        <w:ind w:firstLine="480" w:firstLineChars="200"/>
        <w:outlineLvl w:val="1"/>
        <w:rPr>
          <w:rFonts w:ascii="仿宋" w:hAnsi="仿宋" w:eastAsia="仿宋" w:cs="仿宋"/>
          <w:bCs/>
          <w:sz w:val="24"/>
          <w:szCs w:val="24"/>
          <w:highlight w:val="none"/>
        </w:rPr>
      </w:pPr>
      <w:r>
        <w:rPr>
          <w:rFonts w:hint="eastAsia" w:ascii="仿宋" w:hAnsi="仿宋" w:eastAsia="仿宋" w:cs="仿宋"/>
          <w:bCs/>
          <w:sz w:val="24"/>
          <w:szCs w:val="24"/>
          <w:highlight w:val="none"/>
        </w:rPr>
        <w:t>（六）考核标准：服务期满半年后采购人将对供应商的服务质量进行考核评分，考核评分80分及以上（满分100）的继续执行合同，考核评分在80分以下的，经整改后仍然无法保障服务质量的，则终止合同。</w:t>
      </w:r>
    </w:p>
    <w:tbl>
      <w:tblPr>
        <w:tblStyle w:val="2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1"/>
        <w:gridCol w:w="2265"/>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8" w:type="dxa"/>
            <w:gridSpan w:val="3"/>
          </w:tcPr>
          <w:p>
            <w:pPr>
              <w:pStyle w:val="85"/>
              <w:autoSpaceDN w:val="0"/>
              <w:spacing w:line="560" w:lineRule="exact"/>
              <w:ind w:firstLine="482"/>
              <w:jc w:val="center"/>
              <w:textAlignment w:val="center"/>
              <w:rPr>
                <w:rFonts w:ascii="仿宋" w:hAnsi="仿宋" w:eastAsia="仿宋" w:cs="仿宋"/>
                <w:sz w:val="24"/>
                <w:highlight w:val="none"/>
              </w:rPr>
            </w:pPr>
            <w:r>
              <w:rPr>
                <w:rFonts w:hint="eastAsia" w:ascii="仿宋" w:hAnsi="仿宋" w:eastAsia="仿宋" w:cs="仿宋"/>
                <w:b/>
                <w:bCs/>
                <w:sz w:val="24"/>
                <w:highlight w:val="none"/>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tcPr>
          <w:p>
            <w:pPr>
              <w:pStyle w:val="85"/>
              <w:autoSpaceDN w:val="0"/>
              <w:spacing w:line="560" w:lineRule="exact"/>
              <w:ind w:firstLine="960" w:firstLineChars="400"/>
              <w:textAlignment w:val="center"/>
              <w:rPr>
                <w:rFonts w:ascii="仿宋" w:hAnsi="仿宋" w:eastAsia="仿宋" w:cs="仿宋"/>
                <w:sz w:val="24"/>
                <w:highlight w:val="none"/>
              </w:rPr>
            </w:pPr>
            <w:r>
              <w:rPr>
                <w:rFonts w:hint="eastAsia" w:ascii="仿宋" w:hAnsi="仿宋" w:eastAsia="仿宋" w:cs="仿宋"/>
                <w:sz w:val="24"/>
                <w:highlight w:val="none"/>
              </w:rPr>
              <w:t>考核内容</w:t>
            </w:r>
          </w:p>
        </w:tc>
        <w:tc>
          <w:tcPr>
            <w:tcW w:w="2265" w:type="dxa"/>
          </w:tcPr>
          <w:p>
            <w:pPr>
              <w:pStyle w:val="85"/>
              <w:autoSpaceDN w:val="0"/>
              <w:spacing w:line="560" w:lineRule="exact"/>
              <w:ind w:firstLine="480"/>
              <w:textAlignment w:val="center"/>
              <w:rPr>
                <w:rFonts w:ascii="仿宋" w:hAnsi="仿宋" w:eastAsia="仿宋" w:cs="仿宋"/>
                <w:sz w:val="24"/>
                <w:highlight w:val="none"/>
              </w:rPr>
            </w:pPr>
            <w:r>
              <w:rPr>
                <w:rFonts w:hint="eastAsia" w:ascii="仿宋" w:hAnsi="仿宋" w:eastAsia="仿宋" w:cs="仿宋"/>
                <w:sz w:val="24"/>
                <w:highlight w:val="none"/>
              </w:rPr>
              <w:t>考核分值</w:t>
            </w:r>
          </w:p>
        </w:tc>
        <w:tc>
          <w:tcPr>
            <w:tcW w:w="2852" w:type="dxa"/>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left="-68" w:leftChars="-53" w:hanging="112" w:hangingChars="47"/>
              <w:jc w:val="center"/>
              <w:textAlignment w:val="center"/>
              <w:rPr>
                <w:rFonts w:ascii="仿宋" w:hAnsi="仿宋" w:eastAsia="仿宋" w:cs="仿宋"/>
                <w:sz w:val="24"/>
                <w:highlight w:val="none"/>
              </w:rPr>
            </w:pPr>
            <w:r>
              <w:rPr>
                <w:rFonts w:hint="eastAsia" w:ascii="仿宋" w:hAnsi="仿宋" w:eastAsia="仿宋" w:cs="仿宋"/>
                <w:sz w:val="24"/>
                <w:highlight w:val="none"/>
              </w:rPr>
              <w:t>日常巡检</w:t>
            </w:r>
          </w:p>
        </w:tc>
        <w:tc>
          <w:tcPr>
            <w:tcW w:w="2265" w:type="dxa"/>
            <w:vAlign w:val="center"/>
          </w:tcPr>
          <w:p>
            <w:pPr>
              <w:pStyle w:val="85"/>
              <w:autoSpaceDN w:val="0"/>
              <w:spacing w:line="560" w:lineRule="exact"/>
              <w:ind w:firstLine="960" w:firstLineChars="400"/>
              <w:textAlignment w:val="center"/>
              <w:rPr>
                <w:rFonts w:ascii="仿宋" w:hAnsi="仿宋" w:eastAsia="仿宋" w:cs="仿宋"/>
                <w:sz w:val="24"/>
                <w:highlight w:val="none"/>
              </w:rPr>
            </w:pPr>
            <w:r>
              <w:rPr>
                <w:rFonts w:hint="eastAsia" w:ascii="仿宋" w:hAnsi="仿宋" w:eastAsia="仿宋" w:cs="仿宋"/>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left="-68" w:leftChars="-53" w:hanging="112" w:hangingChars="47"/>
              <w:jc w:val="center"/>
              <w:textAlignment w:val="center"/>
              <w:rPr>
                <w:rFonts w:ascii="仿宋" w:hAnsi="仿宋" w:eastAsia="仿宋" w:cs="仿宋"/>
                <w:sz w:val="24"/>
                <w:highlight w:val="none"/>
              </w:rPr>
            </w:pPr>
            <w:r>
              <w:rPr>
                <w:rFonts w:hint="eastAsia" w:ascii="仿宋" w:hAnsi="仿宋" w:eastAsia="仿宋" w:cs="仿宋"/>
                <w:sz w:val="24"/>
                <w:highlight w:val="none"/>
              </w:rPr>
              <w:t>制度</w:t>
            </w:r>
            <w:r>
              <w:rPr>
                <w:rFonts w:ascii="仿宋" w:hAnsi="仿宋" w:eastAsia="仿宋" w:cs="仿宋"/>
                <w:sz w:val="24"/>
                <w:highlight w:val="none"/>
              </w:rPr>
              <w:t>遵守</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ascii="仿宋" w:hAnsi="仿宋" w:eastAsia="仿宋" w:cs="仿宋"/>
                <w:kern w:val="2"/>
                <w:sz w:val="24"/>
                <w:highlight w:val="none"/>
              </w:rPr>
              <w:t>10</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应急支撑服务</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人员培训</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驻场人员工作质量考核</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ascii="仿宋" w:hAnsi="仿宋" w:eastAsia="仿宋" w:cs="仿宋"/>
                <w:kern w:val="2"/>
                <w:sz w:val="24"/>
                <w:highlight w:val="none"/>
              </w:rPr>
              <w:t>30</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服务响应速度</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维护记录及</w:t>
            </w:r>
            <w:r>
              <w:rPr>
                <w:rFonts w:ascii="仿宋" w:hAnsi="仿宋" w:eastAsia="仿宋" w:cs="仿宋"/>
                <w:sz w:val="24"/>
                <w:highlight w:val="none"/>
              </w:rPr>
              <w:t>报告</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服务满意度</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是否符合相关规范和标准</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巡查清单</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1" w:type="dxa"/>
            <w:vAlign w:val="center"/>
          </w:tcPr>
          <w:p>
            <w:pPr>
              <w:pStyle w:val="85"/>
              <w:autoSpaceDN w:val="0"/>
              <w:spacing w:line="560" w:lineRule="exact"/>
              <w:ind w:firstLine="0" w:firstLineChars="0"/>
              <w:jc w:val="center"/>
              <w:textAlignment w:val="center"/>
              <w:rPr>
                <w:rFonts w:ascii="仿宋" w:hAnsi="仿宋" w:eastAsia="仿宋" w:cs="仿宋"/>
                <w:sz w:val="24"/>
                <w:highlight w:val="none"/>
              </w:rPr>
            </w:pPr>
            <w:r>
              <w:rPr>
                <w:rFonts w:hint="eastAsia" w:ascii="仿宋" w:hAnsi="仿宋" w:eastAsia="仿宋" w:cs="仿宋"/>
                <w:sz w:val="24"/>
                <w:highlight w:val="none"/>
              </w:rPr>
              <w:t>安全事故</w:t>
            </w:r>
          </w:p>
        </w:tc>
        <w:tc>
          <w:tcPr>
            <w:tcW w:w="2265" w:type="dxa"/>
            <w:vAlign w:val="center"/>
          </w:tcPr>
          <w:p>
            <w:pPr>
              <w:autoSpaceDN w:val="0"/>
              <w:spacing w:line="560" w:lineRule="exact"/>
              <w:jc w:val="center"/>
              <w:textAlignment w:val="center"/>
              <w:rPr>
                <w:rFonts w:ascii="仿宋" w:hAnsi="仿宋" w:eastAsia="仿宋" w:cs="仿宋"/>
                <w:kern w:val="2"/>
                <w:sz w:val="24"/>
                <w:highlight w:val="none"/>
              </w:rPr>
            </w:pPr>
            <w:r>
              <w:rPr>
                <w:rFonts w:ascii="仿宋" w:hAnsi="仿宋" w:eastAsia="仿宋" w:cs="仿宋"/>
                <w:kern w:val="2"/>
                <w:sz w:val="24"/>
                <w:highlight w:val="none"/>
              </w:rPr>
              <w:t>20</w:t>
            </w:r>
          </w:p>
        </w:tc>
        <w:tc>
          <w:tcPr>
            <w:tcW w:w="2852" w:type="dxa"/>
          </w:tcPr>
          <w:p>
            <w:pPr>
              <w:pStyle w:val="85"/>
              <w:autoSpaceDN w:val="0"/>
              <w:spacing w:line="560" w:lineRule="exact"/>
              <w:ind w:firstLine="0" w:firstLineChars="0"/>
              <w:jc w:val="left"/>
              <w:textAlignment w:val="center"/>
              <w:rPr>
                <w:rFonts w:ascii="仿宋" w:hAnsi="仿宋" w:eastAsia="仿宋" w:cs="仿宋"/>
                <w:sz w:val="24"/>
                <w:highlight w:val="none"/>
              </w:rPr>
            </w:pPr>
            <w:r>
              <w:rPr>
                <w:rFonts w:hint="eastAsia" w:ascii="仿宋" w:hAnsi="仿宋" w:eastAsia="仿宋" w:cs="仿宋"/>
                <w:sz w:val="24"/>
                <w:highlight w:val="none"/>
              </w:rPr>
              <w:t>定量</w:t>
            </w:r>
            <w:r>
              <w:rPr>
                <w:rFonts w:ascii="仿宋" w:hAnsi="仿宋" w:eastAsia="仿宋" w:cs="仿宋"/>
                <w:sz w:val="24"/>
                <w:highlight w:val="none"/>
              </w:rPr>
              <w:t>指标以合同</w:t>
            </w:r>
            <w:r>
              <w:rPr>
                <w:rFonts w:hint="eastAsia" w:ascii="仿宋" w:hAnsi="仿宋" w:eastAsia="仿宋" w:cs="仿宋"/>
                <w:sz w:val="24"/>
                <w:highlight w:val="none"/>
              </w:rPr>
              <w:t>为</w:t>
            </w:r>
            <w:r>
              <w:rPr>
                <w:rFonts w:ascii="仿宋" w:hAnsi="仿宋" w:eastAsia="仿宋" w:cs="仿宋"/>
                <w:sz w:val="24"/>
                <w:highlight w:val="none"/>
              </w:rPr>
              <w:t>准</w:t>
            </w:r>
          </w:p>
        </w:tc>
      </w:tr>
    </w:tbl>
    <w:p>
      <w:pPr>
        <w:widowControl/>
        <w:spacing w:line="360" w:lineRule="auto"/>
        <w:ind w:firstLine="482" w:firstLineChars="200"/>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四、方案编制</w:t>
      </w:r>
    </w:p>
    <w:p>
      <w:pPr>
        <w:widowControl/>
        <w:pBdr>
          <w:bottom w:val="single" w:color="auto" w:sz="4" w:space="0"/>
        </w:pBdr>
        <w:spacing w:line="360" w:lineRule="auto"/>
        <w:ind w:firstLine="480" w:firstLineChars="200"/>
        <w:outlineLvl w:val="1"/>
        <w:rPr>
          <w:rFonts w:ascii="仿宋" w:hAnsi="仿宋" w:eastAsia="仿宋" w:cs="仿宋"/>
          <w:bCs/>
          <w:sz w:val="24"/>
          <w:highlight w:val="none"/>
        </w:rPr>
      </w:pPr>
      <w:r>
        <w:rPr>
          <w:rFonts w:hint="eastAsia" w:ascii="仿宋" w:hAnsi="仿宋" w:eastAsia="仿宋" w:cs="仿宋"/>
          <w:bCs/>
          <w:sz w:val="24"/>
          <w:highlight w:val="none"/>
        </w:rPr>
        <w:t>（一）供应商需编制总体服务运维方案，主要包含：</w:t>
      </w:r>
    </w:p>
    <w:p>
      <w:pPr>
        <w:widowControl/>
        <w:pBdr>
          <w:bottom w:val="single" w:color="auto" w:sz="4" w:space="0"/>
        </w:pBdr>
        <w:spacing w:line="360" w:lineRule="auto"/>
        <w:ind w:firstLine="480" w:firstLineChars="200"/>
        <w:outlineLvl w:val="1"/>
        <w:rPr>
          <w:rFonts w:ascii="仿宋" w:hAnsi="仿宋" w:eastAsia="仿宋" w:cs="仿宋"/>
          <w:bCs/>
          <w:sz w:val="24"/>
          <w:highlight w:val="none"/>
        </w:rPr>
      </w:pPr>
      <w:r>
        <w:rPr>
          <w:rFonts w:hint="eastAsia" w:ascii="仿宋" w:hAnsi="仿宋" w:eastAsia="仿宋" w:cs="仿宋"/>
          <w:bCs/>
          <w:sz w:val="24"/>
          <w:highlight w:val="none"/>
        </w:rPr>
        <w:t>1.总体服务方案；</w:t>
      </w:r>
    </w:p>
    <w:p>
      <w:pPr>
        <w:widowControl/>
        <w:pBdr>
          <w:bottom w:val="single" w:color="auto" w:sz="4" w:space="0"/>
        </w:pBdr>
        <w:spacing w:line="360" w:lineRule="auto"/>
        <w:ind w:firstLine="480" w:firstLineChars="200"/>
        <w:outlineLvl w:val="1"/>
        <w:rPr>
          <w:rFonts w:ascii="仿宋" w:hAnsi="仿宋" w:eastAsia="仿宋" w:cs="仿宋"/>
          <w:bCs/>
          <w:sz w:val="24"/>
          <w:highlight w:val="none"/>
        </w:rPr>
      </w:pPr>
      <w:r>
        <w:rPr>
          <w:rFonts w:hint="eastAsia" w:ascii="仿宋" w:hAnsi="仿宋" w:eastAsia="仿宋" w:cs="仿宋"/>
          <w:bCs/>
          <w:sz w:val="24"/>
          <w:highlight w:val="none"/>
        </w:rPr>
        <w:t>2.培训方案。</w:t>
      </w:r>
    </w:p>
    <w:p>
      <w:pPr>
        <w:widowControl/>
        <w:pBdr>
          <w:bottom w:val="single" w:color="auto" w:sz="4" w:space="0"/>
        </w:pBdr>
        <w:spacing w:line="360" w:lineRule="auto"/>
        <w:ind w:firstLine="480" w:firstLineChars="200"/>
        <w:outlineLvl w:val="1"/>
        <w:rPr>
          <w:rFonts w:ascii="仿宋" w:hAnsi="仿宋" w:eastAsia="仿宋" w:cs="仿宋"/>
          <w:bCs/>
          <w:sz w:val="24"/>
          <w:highlight w:val="none"/>
        </w:rPr>
      </w:pPr>
      <w:r>
        <w:rPr>
          <w:rFonts w:hint="eastAsia" w:ascii="仿宋" w:hAnsi="仿宋" w:eastAsia="仿宋" w:cs="仿宋"/>
          <w:bCs/>
          <w:sz w:val="24"/>
          <w:highlight w:val="none"/>
        </w:rPr>
        <w:t>（二）供应商根据项目的实际需求和具体情况实事求是地编制方案，能具体量化，具有可行性及便于监督考核，不得违反法律、法规规定，不得夸大其词和空口许诺。</w:t>
      </w:r>
    </w:p>
    <w:p>
      <w:pPr>
        <w:widowControl/>
        <w:pBdr>
          <w:bottom w:val="single" w:color="auto" w:sz="4" w:space="0"/>
        </w:pBdr>
        <w:spacing w:line="360" w:lineRule="auto"/>
        <w:ind w:firstLine="482" w:firstLineChars="200"/>
        <w:outlineLvl w:val="1"/>
        <w:rPr>
          <w:rFonts w:ascii="仿宋" w:hAnsi="仿宋" w:eastAsia="仿宋" w:cs="仿宋"/>
          <w:b/>
          <w:bCs/>
          <w:sz w:val="24"/>
          <w:szCs w:val="24"/>
          <w:highlight w:val="none"/>
        </w:rPr>
      </w:pPr>
      <w:r>
        <w:rPr>
          <w:rFonts w:hint="eastAsia" w:ascii="仿宋" w:hAnsi="仿宋" w:eastAsia="仿宋" w:cs="仿宋"/>
          <w:b/>
          <w:bCs/>
          <w:sz w:val="24"/>
          <w:szCs w:val="24"/>
          <w:highlight w:val="none"/>
        </w:rPr>
        <w:t>注、磋商内容、磋商过程中可实质性变动的内容</w:t>
      </w:r>
    </w:p>
    <w:p>
      <w:pPr>
        <w:pStyle w:val="2"/>
        <w:pBdr>
          <w:bottom w:val="single" w:color="auto" w:sz="4" w:space="0"/>
        </w:pBdr>
        <w:spacing w:line="360" w:lineRule="auto"/>
        <w:ind w:firstLine="482" w:firstLineChars="200"/>
        <w:rPr>
          <w:rFonts w:ascii="仿宋" w:hAnsi="仿宋" w:eastAsia="仿宋"/>
          <w:b/>
          <w:highlight w:val="none"/>
        </w:rPr>
      </w:pPr>
      <w:r>
        <w:rPr>
          <w:rFonts w:hint="eastAsia" w:ascii="仿宋" w:hAnsi="仿宋" w:eastAsia="仿宋"/>
          <w:b/>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pPr>
        <w:pStyle w:val="23"/>
        <w:rPr>
          <w:rFonts w:ascii="仿宋" w:hAnsi="仿宋" w:eastAsia="仿宋" w:cs="仿宋"/>
          <w:highlight w:val="none"/>
        </w:rPr>
      </w:pPr>
      <w:r>
        <w:rPr>
          <w:rFonts w:hint="eastAsia" w:ascii="仿宋" w:hAnsi="仿宋" w:eastAsia="仿宋" w:cs="仿宋"/>
          <w:sz w:val="24"/>
          <w:szCs w:val="24"/>
          <w:highlight w:val="none"/>
        </w:rPr>
        <w:br w:type="page"/>
      </w:r>
      <w:bookmarkStart w:id="137" w:name="_Toc20700"/>
      <w:r>
        <w:rPr>
          <w:rFonts w:hint="eastAsia"/>
          <w:highlight w:val="none"/>
        </w:rPr>
        <w:t>第五章 响应文件格式</w:t>
      </w:r>
      <w:bookmarkEnd w:id="135"/>
      <w:bookmarkEnd w:id="136"/>
      <w:bookmarkEnd w:id="137"/>
    </w:p>
    <w:p>
      <w:pPr>
        <w:widowControl/>
        <w:jc w:val="left"/>
        <w:rPr>
          <w:rFonts w:hAnsi="宋体" w:cs="宋体"/>
          <w:sz w:val="24"/>
          <w:szCs w:val="24"/>
          <w:highlight w:val="none"/>
        </w:rPr>
      </w:pPr>
    </w:p>
    <w:p>
      <w:pPr>
        <w:widowControl/>
        <w:jc w:val="left"/>
        <w:rPr>
          <w:rFonts w:hAnsi="宋体" w:cs="宋体"/>
          <w:sz w:val="24"/>
          <w:szCs w:val="24"/>
          <w:highlight w:val="none"/>
        </w:rPr>
      </w:pPr>
    </w:p>
    <w:p>
      <w:pPr>
        <w:widowControl/>
        <w:jc w:val="left"/>
        <w:rPr>
          <w:rFonts w:hAnsi="宋体" w:cs="宋体"/>
          <w:sz w:val="24"/>
          <w:szCs w:val="24"/>
          <w:highlight w:val="none"/>
        </w:rPr>
      </w:pPr>
    </w:p>
    <w:p>
      <w:pPr>
        <w:widowControl/>
        <w:ind w:firstLine="482" w:firstLineChars="200"/>
        <w:jc w:val="left"/>
        <w:rPr>
          <w:rFonts w:hAnsi="宋体" w:cs="宋体"/>
          <w:b/>
          <w:sz w:val="24"/>
          <w:szCs w:val="24"/>
          <w:highlight w:val="none"/>
        </w:rPr>
      </w:pPr>
      <w:r>
        <w:rPr>
          <w:rFonts w:hint="eastAsia" w:hAnsi="宋体" w:cs="宋体"/>
          <w:b/>
          <w:sz w:val="24"/>
          <w:szCs w:val="24"/>
          <w:highlight w:val="none"/>
        </w:rPr>
        <w:t>说明：</w:t>
      </w:r>
    </w:p>
    <w:p>
      <w:pPr>
        <w:widowControl/>
        <w:ind w:firstLine="480" w:firstLineChars="200"/>
        <w:jc w:val="left"/>
        <w:rPr>
          <w:rFonts w:ascii="仿宋" w:hAnsi="仿宋" w:eastAsia="仿宋" w:cs="仿宋"/>
          <w:sz w:val="24"/>
          <w:highlight w:val="none"/>
        </w:rPr>
      </w:pPr>
      <w:r>
        <w:rPr>
          <w:rFonts w:hint="eastAsia" w:ascii="仿宋" w:hAnsi="仿宋" w:eastAsia="仿宋" w:cs="仿宋"/>
          <w:sz w:val="24"/>
          <w:highlight w:val="none"/>
        </w:rPr>
        <w:t>1、本章所制响应文件格式一律不具有强制性，仅供文件編制参考，表格可增减删改。</w:t>
      </w:r>
    </w:p>
    <w:p>
      <w:pPr>
        <w:widowControl/>
        <w:ind w:firstLine="480" w:firstLineChars="200"/>
        <w:jc w:val="left"/>
        <w:rPr>
          <w:rFonts w:ascii="仿宋" w:hAnsi="仿宋" w:eastAsia="仿宋" w:cs="仿宋"/>
          <w:sz w:val="24"/>
          <w:highlight w:val="none"/>
        </w:rPr>
      </w:pPr>
      <w:r>
        <w:rPr>
          <w:rFonts w:hint="eastAsia" w:ascii="仿宋" w:hAnsi="仿宋" w:eastAsia="仿宋" w:cs="仿宋"/>
          <w:sz w:val="24"/>
          <w:highlight w:val="none"/>
        </w:rPr>
        <w:t>2、本章所制响应文件格式有关表格中的备注栏，由供应商根据自身响应情况作解释性说明，不作为必填项。</w:t>
      </w:r>
    </w:p>
    <w:p>
      <w:pPr>
        <w:widowControl/>
        <w:jc w:val="left"/>
        <w:rPr>
          <w:rFonts w:hAnsi="宋体" w:cs="宋体"/>
          <w:sz w:val="24"/>
          <w:szCs w:val="24"/>
          <w:highlight w:val="none"/>
        </w:rPr>
      </w:pPr>
    </w:p>
    <w:p>
      <w:pPr>
        <w:widowControl/>
        <w:jc w:val="left"/>
        <w:rPr>
          <w:rFonts w:hAnsi="宋体" w:cs="宋体"/>
          <w:sz w:val="24"/>
          <w:szCs w:val="24"/>
          <w:highlight w:val="none"/>
        </w:rPr>
      </w:pPr>
    </w:p>
    <w:p>
      <w:pPr>
        <w:widowControl/>
        <w:jc w:val="left"/>
        <w:rPr>
          <w:rFonts w:hAnsi="宋体" w:cs="宋体"/>
          <w:sz w:val="24"/>
          <w:szCs w:val="24"/>
          <w:highlight w:val="none"/>
        </w:rPr>
      </w:pPr>
    </w:p>
    <w:p>
      <w:pPr>
        <w:widowControl/>
        <w:jc w:val="left"/>
        <w:rPr>
          <w:rFonts w:hAnsi="宋体" w:cs="宋体"/>
          <w:sz w:val="24"/>
          <w:szCs w:val="24"/>
          <w:highlight w:val="none"/>
        </w:rPr>
      </w:pPr>
    </w:p>
    <w:p>
      <w:pPr>
        <w:widowControl/>
        <w:jc w:val="left"/>
        <w:rPr>
          <w:rFonts w:hAnsi="宋体" w:cs="宋体"/>
          <w:sz w:val="24"/>
          <w:szCs w:val="24"/>
          <w:highlight w:val="none"/>
        </w:rPr>
      </w:pPr>
    </w:p>
    <w:p>
      <w:pPr>
        <w:pStyle w:val="2"/>
        <w:rPr>
          <w:rFonts w:hAnsi="宋体" w:cs="宋体"/>
          <w:highlight w:val="none"/>
        </w:rPr>
      </w:pPr>
    </w:p>
    <w:p>
      <w:pPr>
        <w:pStyle w:val="3"/>
        <w:ind w:firstLine="240"/>
        <w:rPr>
          <w:rFonts w:hAnsi="宋体" w:cs="宋体"/>
          <w:sz w:val="24"/>
          <w:szCs w:val="24"/>
          <w:highlight w:val="none"/>
        </w:rPr>
      </w:pPr>
    </w:p>
    <w:p>
      <w:pPr>
        <w:widowControl/>
        <w:jc w:val="left"/>
        <w:rPr>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bookmarkStart w:id="138" w:name="_Toc320698754"/>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响应文件密封包装最外层格式</w:t>
      </w:r>
      <w:bookmarkEnd w:id="138"/>
    </w:p>
    <w:tbl>
      <w:tblPr>
        <w:tblStyle w:val="2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6" w:hRule="atLeast"/>
          <w:jc w:val="center"/>
        </w:trPr>
        <w:tc>
          <w:tcPr>
            <w:tcW w:w="8755" w:type="dxa"/>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采购项目名称：</w:t>
            </w:r>
          </w:p>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采购项目编号：</w:t>
            </w:r>
          </w:p>
          <w:p>
            <w:pPr>
              <w:spacing w:line="560" w:lineRule="exact"/>
              <w:jc w:val="center"/>
              <w:rPr>
                <w:rFonts w:ascii="仿宋" w:hAnsi="仿宋" w:eastAsia="仿宋" w:cs="仿宋"/>
                <w:kern w:val="2"/>
                <w:sz w:val="24"/>
                <w:szCs w:val="24"/>
                <w:highlight w:val="none"/>
              </w:rPr>
            </w:pPr>
          </w:p>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响应文件</w:t>
            </w:r>
          </w:p>
          <w:p>
            <w:pPr>
              <w:spacing w:line="560" w:lineRule="exact"/>
              <w:jc w:val="center"/>
              <w:rPr>
                <w:rFonts w:ascii="仿宋" w:hAnsi="仿宋" w:eastAsia="仿宋" w:cs="仿宋"/>
                <w:kern w:val="2"/>
                <w:sz w:val="24"/>
                <w:szCs w:val="24"/>
                <w:highlight w:val="none"/>
              </w:rPr>
            </w:pPr>
          </w:p>
          <w:p>
            <w:pPr>
              <w:spacing w:line="560" w:lineRule="exact"/>
              <w:jc w:val="center"/>
              <w:rPr>
                <w:rFonts w:ascii="仿宋" w:hAnsi="仿宋" w:eastAsia="仿宋" w:cs="仿宋"/>
                <w:kern w:val="2"/>
                <w:sz w:val="24"/>
                <w:szCs w:val="24"/>
                <w:highlight w:val="none"/>
              </w:rPr>
            </w:pPr>
          </w:p>
          <w:p>
            <w:pPr>
              <w:spacing w:line="560" w:lineRule="exact"/>
              <w:jc w:val="center"/>
              <w:rPr>
                <w:rFonts w:ascii="仿宋" w:hAnsi="仿宋" w:eastAsia="仿宋" w:cs="仿宋"/>
                <w:b/>
                <w:kern w:val="2"/>
                <w:sz w:val="24"/>
                <w:szCs w:val="24"/>
                <w:highlight w:val="none"/>
              </w:rPr>
            </w:pPr>
            <w:r>
              <w:rPr>
                <w:rFonts w:hint="eastAsia" w:ascii="仿宋" w:hAnsi="仿宋" w:eastAsia="仿宋" w:cs="仿宋"/>
                <w:kern w:val="2"/>
                <w:sz w:val="24"/>
                <w:szCs w:val="24"/>
                <w:highlight w:val="none"/>
              </w:rPr>
              <w:t>供应商名称：</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（加盖公章）</w:t>
            </w:r>
          </w:p>
        </w:tc>
      </w:tr>
    </w:tbl>
    <w:p>
      <w:pPr>
        <w:widowControl/>
        <w:spacing w:line="560" w:lineRule="exact"/>
        <w:rPr>
          <w:rFonts w:ascii="仿宋" w:hAnsi="仿宋" w:eastAsia="仿宋" w:cs="仿宋"/>
          <w:b/>
          <w:bCs/>
          <w:sz w:val="28"/>
          <w:szCs w:val="28"/>
          <w:highlight w:val="none"/>
        </w:rPr>
      </w:pPr>
      <w:bookmarkStart w:id="139" w:name="_Toc320698755"/>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t>响应文件封面格式</w:t>
      </w:r>
      <w:bookmarkEnd w:id="139"/>
    </w:p>
    <w:tbl>
      <w:tblPr>
        <w:tblStyle w:val="25"/>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6" w:hRule="atLeast"/>
          <w:jc w:val="center"/>
        </w:trPr>
        <w:tc>
          <w:tcPr>
            <w:tcW w:w="8780" w:type="dxa"/>
          </w:tcPr>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采购项目名称： </w:t>
            </w:r>
          </w:p>
          <w:p>
            <w:pPr>
              <w:spacing w:line="560" w:lineRule="exact"/>
              <w:rPr>
                <w:rFonts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采购项目编号： </w:t>
            </w:r>
          </w:p>
          <w:p>
            <w:pPr>
              <w:pStyle w:val="2"/>
              <w:ind w:firstLine="2640" w:firstLineChars="1100"/>
              <w:rPr>
                <w:rFonts w:ascii="华文楷体" w:hAnsi="华文楷体" w:eastAsia="华文楷体" w:cs="华文楷体"/>
                <w:kern w:val="2"/>
                <w:highlight w:val="none"/>
              </w:rPr>
            </w:pPr>
          </w:p>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资格性响应文件/其他响应文件</w:t>
            </w:r>
          </w:p>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（正本或副本）</w:t>
            </w:r>
          </w:p>
          <w:p>
            <w:pPr>
              <w:spacing w:line="560" w:lineRule="exact"/>
              <w:rPr>
                <w:rFonts w:ascii="仿宋" w:hAnsi="仿宋" w:eastAsia="仿宋" w:cs="仿宋"/>
                <w:kern w:val="2"/>
                <w:sz w:val="24"/>
                <w:szCs w:val="24"/>
                <w:highlight w:val="none"/>
              </w:rPr>
            </w:pPr>
          </w:p>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供应商名称：</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（加盖公章）</w:t>
            </w:r>
          </w:p>
          <w:p>
            <w:pPr>
              <w:spacing w:line="560" w:lineRule="exact"/>
              <w:jc w:val="center"/>
              <w:rPr>
                <w:rFonts w:ascii="仿宋" w:hAnsi="仿宋" w:eastAsia="仿宋" w:cs="仿宋"/>
                <w:kern w:val="2"/>
                <w:sz w:val="24"/>
                <w:szCs w:val="24"/>
                <w:highlight w:val="none"/>
              </w:rPr>
            </w:pPr>
            <w:r>
              <w:rPr>
                <w:rFonts w:hint="eastAsia" w:ascii="仿宋" w:hAnsi="仿宋" w:eastAsia="仿宋" w:cs="仿宋"/>
                <w:kern w:val="2"/>
                <w:sz w:val="24"/>
                <w:szCs w:val="24"/>
                <w:highlight w:val="none"/>
              </w:rPr>
              <w:t>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年</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月</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日</w:t>
            </w:r>
          </w:p>
        </w:tc>
      </w:tr>
    </w:tbl>
    <w:p>
      <w:pPr>
        <w:widowControl/>
        <w:spacing w:line="560" w:lineRule="exact"/>
        <w:rPr>
          <w:rFonts w:ascii="仿宋" w:hAnsi="仿宋" w:eastAsia="仿宋" w:cs="仿宋"/>
          <w:b/>
          <w:bCs/>
          <w:sz w:val="28"/>
          <w:szCs w:val="28"/>
          <w:highlight w:val="none"/>
        </w:rPr>
      </w:pPr>
    </w:p>
    <w:p>
      <w:pPr>
        <w:pStyle w:val="2"/>
        <w:rPr>
          <w:highlight w:val="none"/>
        </w:rPr>
      </w:pPr>
    </w:p>
    <w:p>
      <w:pPr>
        <w:pStyle w:val="3"/>
        <w:ind w:firstLine="0" w:firstLineChars="0"/>
        <w:rPr>
          <w:highlight w:val="none"/>
        </w:rPr>
      </w:pPr>
    </w:p>
    <w:p>
      <w:pPr>
        <w:pStyle w:val="3"/>
        <w:ind w:firstLine="0" w:firstLineChars="0"/>
        <w:rPr>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t>磋商承诺函</w:t>
      </w:r>
    </w:p>
    <w:p>
      <w:pPr>
        <w:spacing w:line="480" w:lineRule="exact"/>
        <w:rPr>
          <w:rFonts w:ascii="仿宋" w:hAnsi="仿宋" w:eastAsia="仿宋" w:cs="仿宋"/>
          <w:sz w:val="24"/>
          <w:highlight w:val="none"/>
        </w:rPr>
      </w:pPr>
      <w:r>
        <w:rPr>
          <w:rFonts w:hint="eastAsia" w:ascii="仿宋" w:hAnsi="仿宋" w:eastAsia="仿宋" w:cs="仿宋"/>
          <w:sz w:val="24"/>
          <w:highlight w:val="none"/>
        </w:rPr>
        <w:t>四川正汇恒招标代理有限公司：</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我方全面研究了</w:t>
      </w:r>
      <w:r>
        <w:rPr>
          <w:rFonts w:hint="eastAsia" w:ascii="仿宋" w:hAnsi="仿宋" w:eastAsia="仿宋" w:cs="仿宋"/>
          <w:sz w:val="24"/>
          <w:highlight w:val="none"/>
          <w:u w:val="single"/>
        </w:rPr>
        <w:t xml:space="preserve"> “                    ”（项目名称）（采购项目编号：         ）</w:t>
      </w:r>
      <w:r>
        <w:rPr>
          <w:rFonts w:hint="eastAsia" w:ascii="仿宋" w:hAnsi="仿宋" w:eastAsia="仿宋" w:cs="仿宋"/>
          <w:sz w:val="24"/>
          <w:highlight w:val="none"/>
        </w:rPr>
        <w:t xml:space="preserve">的磋商文件，决定参加贵单位组织的本项目的磋商。我公司作为本次采购项目的非联合体供应商，根据磋商文件要求，现郑重承诺如下： </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一、我方自愿按照磋商文件规定的各项要求向采购人提供所需服务。一旦我方成交，我方将严格履行合同规定的责任和义务，并完成项目的相关服务。</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二、磋商有效期为递交响应文件截止日期之日起120天。</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三、我方在响应文件中提供的任何资料和技术、服务、商务等响应承诺情况都是真实的、有效的、合法的。同时，我方愿意提供贵单位可能另外要求的，与磋商有关的文件资料，并保证我方已提供和将要提供的文件资料是真实、准确的。</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四、我方完全响应磋商文件中关于知识产权的要求。</w:t>
      </w:r>
      <w:r>
        <w:rPr>
          <w:rFonts w:hint="eastAsia" w:ascii="仿宋" w:hAnsi="仿宋" w:eastAsia="仿宋"/>
          <w:sz w:val="24"/>
          <w:highlight w:val="none"/>
        </w:rPr>
        <w:t>我公司在本项目使用的任何产品和服务（包括部分使用）时，不会产生因第三方提出侵犯其专利权、商标权或其它知识产权而引起的法律和经济纠纷，如因专利权、商标权或其它知识产权而引起法律和经济纠纷，由我公司承担所有相关责任。</w:t>
      </w:r>
      <w:r>
        <w:rPr>
          <w:rFonts w:hint="eastAsia" w:ascii="仿宋" w:hAnsi="仿宋" w:eastAsia="仿宋" w:cs="仿宋"/>
          <w:sz w:val="24"/>
          <w:highlight w:val="none"/>
        </w:rPr>
        <w:t>除非磋商文件特别规定，采购人享有本项目实施过程中产生的知识成果及知识产权。</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五、我方已详细阅读和审查了全部磋商文件，包括磋商文件的澄清、修改书及有关补充通知（如有）以及全部相关资料和有关附件，并对上述文件均无异议。我方完全接受并满足本项目磋商文件规定的实质性要求，如对磋商文件有异议，已经在递交响应文件截止时间届满前依法进行了维权救济，不存在对磋商文件有异议的同时又递交响应文件以求侥幸成交或者为实现其他非法目的的行为。</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六、我方在参加本次采购活动中，不存在与单位负责人为同一人或者存在直接控股、管理关系的其他供应商参与同一合同项下的政府采购活动的行为；不存在和其他供应商在同一合同项下的采购项目中，同时委托同一个自然人、同一家庭的人员、同一单位的人员作为代理人的行为。</w:t>
      </w: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七、我公司遵守国家有关的法律、法规、规章和其他政策制度。</w:t>
      </w:r>
    </w:p>
    <w:p>
      <w:pPr>
        <w:pStyle w:val="2"/>
        <w:rPr>
          <w:rFonts w:eastAsia="仿宋"/>
          <w:highlight w:val="none"/>
        </w:rPr>
      </w:pPr>
    </w:p>
    <w:p>
      <w:pPr>
        <w:spacing w:line="48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本公司对上述承诺的内容事项真实性负责。如经查实上述承诺的内容事项存在虚假，我公司愿意接受以提供虚假材料谋取成交的法律责任。</w:t>
      </w:r>
    </w:p>
    <w:p>
      <w:pPr>
        <w:spacing w:line="480" w:lineRule="exact"/>
        <w:ind w:firstLine="680" w:firstLineChars="200"/>
        <w:rPr>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供应商名称（公章）：</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日    期：</w:t>
      </w:r>
    </w:p>
    <w:p>
      <w:pPr>
        <w:pStyle w:val="2"/>
        <w:ind w:firstLine="672"/>
        <w:rPr>
          <w:highlight w:val="none"/>
        </w:rPr>
      </w:pPr>
    </w:p>
    <w:p>
      <w:pPr>
        <w:pStyle w:val="3"/>
        <w:ind w:firstLine="340"/>
        <w:rPr>
          <w:highlight w:val="none"/>
        </w:rPr>
      </w:pPr>
    </w:p>
    <w:p>
      <w:pPr>
        <w:pStyle w:val="3"/>
        <w:ind w:firstLine="340"/>
        <w:rPr>
          <w:highlight w:val="none"/>
        </w:rPr>
      </w:pPr>
    </w:p>
    <w:p>
      <w:pPr>
        <w:pStyle w:val="3"/>
        <w:ind w:firstLine="340"/>
        <w:rPr>
          <w:highlight w:val="none"/>
        </w:rPr>
      </w:pPr>
    </w:p>
    <w:p>
      <w:pPr>
        <w:pStyle w:val="3"/>
        <w:ind w:firstLine="340"/>
        <w:rPr>
          <w:highlight w:val="none"/>
        </w:rPr>
      </w:pPr>
    </w:p>
    <w:p>
      <w:pPr>
        <w:pStyle w:val="3"/>
        <w:ind w:firstLine="340"/>
        <w:rPr>
          <w:highlight w:val="none"/>
        </w:rPr>
      </w:pPr>
    </w:p>
    <w:p>
      <w:pPr>
        <w:pStyle w:val="3"/>
        <w:ind w:firstLine="340"/>
        <w:rPr>
          <w:highlight w:val="none"/>
        </w:rPr>
      </w:pPr>
    </w:p>
    <w:p>
      <w:pPr>
        <w:pStyle w:val="3"/>
        <w:ind w:firstLine="340"/>
        <w:rPr>
          <w:highlight w:val="none"/>
        </w:rPr>
      </w:pPr>
    </w:p>
    <w:p>
      <w:pPr>
        <w:spacing w:line="460" w:lineRule="exact"/>
        <w:rPr>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相关资格承诺函</w:t>
      </w:r>
    </w:p>
    <w:p>
      <w:pPr>
        <w:spacing w:line="460" w:lineRule="exact"/>
        <w:rPr>
          <w:rFonts w:ascii="仿宋" w:hAnsi="仿宋" w:eastAsia="仿宋" w:cs="仿宋"/>
          <w:b/>
          <w:sz w:val="24"/>
          <w:highlight w:val="none"/>
        </w:rPr>
      </w:pPr>
      <w:r>
        <w:rPr>
          <w:rFonts w:hint="eastAsia" w:ascii="仿宋" w:hAnsi="仿宋" w:eastAsia="仿宋" w:cs="仿宋"/>
          <w:b/>
          <w:sz w:val="24"/>
          <w:highlight w:val="none"/>
        </w:rPr>
        <w:t>采购项目名称：</w:t>
      </w:r>
    </w:p>
    <w:p>
      <w:pPr>
        <w:spacing w:line="460" w:lineRule="exact"/>
        <w:rPr>
          <w:rFonts w:ascii="仿宋" w:hAnsi="仿宋" w:eastAsia="仿宋" w:cs="仿宋"/>
          <w:b/>
          <w:sz w:val="24"/>
          <w:highlight w:val="none"/>
        </w:rPr>
      </w:pPr>
      <w:r>
        <w:rPr>
          <w:rFonts w:hint="eastAsia" w:ascii="仿宋" w:hAnsi="仿宋" w:eastAsia="仿宋" w:cs="仿宋"/>
          <w:b/>
          <w:sz w:val="24"/>
          <w:highlight w:val="none"/>
        </w:rPr>
        <w:t>采购项目编号：</w:t>
      </w:r>
    </w:p>
    <w:p>
      <w:pPr>
        <w:spacing w:line="460" w:lineRule="exact"/>
        <w:rPr>
          <w:rFonts w:ascii="仿宋" w:hAnsi="仿宋" w:eastAsia="仿宋" w:cs="仿宋"/>
          <w:sz w:val="24"/>
          <w:highlight w:val="none"/>
        </w:rPr>
      </w:pPr>
    </w:p>
    <w:p>
      <w:pPr>
        <w:spacing w:line="460" w:lineRule="exact"/>
        <w:rPr>
          <w:rFonts w:ascii="仿宋" w:hAnsi="仿宋" w:eastAsia="仿宋" w:cs="仿宋"/>
          <w:sz w:val="24"/>
          <w:highlight w:val="none"/>
        </w:rPr>
      </w:pPr>
      <w:r>
        <w:rPr>
          <w:rFonts w:hint="eastAsia" w:ascii="仿宋" w:hAnsi="仿宋" w:eastAsia="仿宋" w:cs="仿宋"/>
          <w:sz w:val="24"/>
          <w:highlight w:val="none"/>
        </w:rPr>
        <w:t>四川正汇恒招标代理有限公司：</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我单位作为本项目的磋商供应商，就本次采购项目供应商资格郑重承诺如下：</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一、我单位</w:t>
      </w:r>
      <w:r>
        <w:rPr>
          <w:rFonts w:hint="eastAsia" w:ascii="仿宋" w:hAnsi="仿宋" w:eastAsia="仿宋" w:cs="仿宋"/>
          <w:b/>
          <w:sz w:val="24"/>
          <w:highlight w:val="none"/>
          <w:u w:val="single"/>
        </w:rPr>
        <w:t>（填写：不属于或属于）</w:t>
      </w:r>
      <w:r>
        <w:rPr>
          <w:rFonts w:hint="eastAsia" w:ascii="仿宋" w:hAnsi="仿宋" w:eastAsia="仿宋" w:cs="仿宋"/>
          <w:sz w:val="24"/>
          <w:highlight w:val="none"/>
        </w:rPr>
        <w:t>相关法律法规规定的回避对象。</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二、我单位</w:t>
      </w:r>
      <w:r>
        <w:rPr>
          <w:rFonts w:hint="eastAsia" w:ascii="仿宋" w:hAnsi="仿宋" w:eastAsia="仿宋" w:cs="仿宋"/>
          <w:b/>
          <w:sz w:val="24"/>
          <w:highlight w:val="none"/>
          <w:u w:val="single"/>
        </w:rPr>
        <w:t>未对</w:t>
      </w:r>
      <w:r>
        <w:rPr>
          <w:rFonts w:hint="eastAsia" w:ascii="仿宋" w:hAnsi="仿宋" w:eastAsia="仿宋" w:cs="仿宋"/>
          <w:sz w:val="24"/>
          <w:highlight w:val="none"/>
        </w:rPr>
        <w:t>本次采购项目提供过整体设计、规范编制或者项目管理、监理服务。</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三、我单位具备《中华人民共和国政府采购法》第二十二条第一款和本项目规定的条件：</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（一）具有独立承担民事责任的能力；</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（二）具有良好的商业信誉和健全的财务会计制度；</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（三）具有履行合同所必需的设备和专业技术能力；</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（四）有依法缴纳税收和社会保障资金的良好记录；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（五）参加政府采购活动前三年内，在经营活动中没有重大违法记录；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（六）法律、行政法规规定的其他条件；</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（七）我公司非联合体参与本项目。</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四、我公司及现任法定代表人、主要负责人无行贿犯罪记录。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五、我公司未列入失信被执行人、重大税收违法案件当事人名单。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六、我公司未列入政府采购严重违法失信行为记录名单。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七、我公司未列入经营异常名录。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八、与我公司存在直接控股、管理关系的相关供应商：</w:t>
      </w:r>
      <w:r>
        <w:rPr>
          <w:rFonts w:hint="eastAsia" w:ascii="仿宋" w:hAnsi="仿宋" w:eastAsia="仿宋" w:cs="仿宋"/>
          <w:sz w:val="24"/>
          <w:highlight w:val="none"/>
          <w:u w:val="single"/>
        </w:rPr>
        <w:t xml:space="preserve">　  （说明：填写“无”或“（一）供应商名称１；（二）供应商名称２；（三）……”） </w:t>
      </w:r>
      <w:r>
        <w:rPr>
          <w:rFonts w:hint="eastAsia" w:ascii="仿宋" w:hAnsi="仿宋" w:eastAsia="仿宋" w:cs="仿宋"/>
          <w:sz w:val="24"/>
          <w:highlight w:val="none"/>
        </w:rPr>
        <w:t>。</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九、我公司没有未依法缴纳税收和社会保障资金的不良记录。</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本公司对上述承诺的内容事项真实性负责。如经查实上述承诺的内容事项存在虚假，我公司愿意接受以提供虚假材料谋取成交的法律责任和其他有关法律责任。</w:t>
      </w:r>
    </w:p>
    <w:p>
      <w:pPr>
        <w:pStyle w:val="2"/>
        <w:rPr>
          <w:highlight w:val="none"/>
        </w:rPr>
      </w:pP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供应商名称（公章）：</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法定代表人或授权代表（签字）：</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日  期:</w:t>
      </w: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1.供应商已对本次采购项目提供过整体设计、规范编制或者项目管理、监理服务的作无效响应处理。</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供应商在参加政府采购活动前，被纳入法院、工商行政管理部门、税务部门、银行认定的失信名单且在有效期内，或者在前三年政府采购合同履约过程中及其他经营活动履约过程中未依法履约被有关部门处罚（处理）的，不能认定为具有良好的商业信誉。</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重大违法记录是指，供应商因违法经营受到刑事处罚或者责令停产停业、吊销许可证或者执照、较大数额罚款等行政处罚。同时规定，供应商在参加政府采购活动前3年内因违法经营被禁止在一定期限内参加政府采购活动，期限届满的，可以参加政府采购活动。</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重大违法记录中的较大数额罚款的具体金额标准，以所属行业行政主管部门规定的为准。</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4.对声明中第九条的说明：单位负责人为同一人或者存在直接控股、管理关系的不同供应商，不得参加同一合同项下的政府采购活动。</w:t>
      </w:r>
    </w:p>
    <w:p>
      <w:pPr>
        <w:pStyle w:val="2"/>
        <w:rPr>
          <w:rFonts w:eastAsia="仿宋"/>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法定代表人身份证明书</w:t>
      </w:r>
    </w:p>
    <w:p>
      <w:pPr>
        <w:rPr>
          <w:sz w:val="24"/>
          <w:szCs w:val="24"/>
          <w:highlight w:val="none"/>
        </w:rPr>
      </w:pP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四川正汇恒招标代理有限公司：</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rPr>
        <w:t>（法定代表人姓名）</w:t>
      </w:r>
      <w:r>
        <w:rPr>
          <w:rFonts w:hint="eastAsia" w:ascii="仿宋" w:hAnsi="仿宋" w:eastAsia="仿宋" w:cs="仿宋"/>
          <w:sz w:val="24"/>
          <w:highlight w:val="none"/>
        </w:rPr>
        <w:t>在</w:t>
      </w:r>
      <w:r>
        <w:rPr>
          <w:rFonts w:hint="eastAsia" w:ascii="仿宋" w:hAnsi="仿宋" w:eastAsia="仿宋" w:cs="仿宋"/>
          <w:sz w:val="24"/>
          <w:highlight w:val="none"/>
          <w:u w:val="single"/>
        </w:rPr>
        <w:t>（供应商名称）</w:t>
      </w:r>
      <w:r>
        <w:rPr>
          <w:rFonts w:hint="eastAsia" w:ascii="仿宋" w:hAnsi="仿宋" w:eastAsia="仿宋" w:cs="仿宋"/>
          <w:sz w:val="24"/>
          <w:highlight w:val="none"/>
        </w:rPr>
        <w:t>处任</w:t>
      </w:r>
      <w:r>
        <w:rPr>
          <w:rFonts w:hint="eastAsia" w:ascii="仿宋" w:hAnsi="仿宋" w:eastAsia="仿宋" w:cs="仿宋"/>
          <w:sz w:val="24"/>
          <w:highlight w:val="none"/>
          <w:u w:val="single"/>
        </w:rPr>
        <w:t>（职务名称）</w:t>
      </w:r>
      <w:r>
        <w:rPr>
          <w:rFonts w:hint="eastAsia" w:ascii="仿宋" w:hAnsi="仿宋" w:eastAsia="仿宋" w:cs="仿宋"/>
          <w:sz w:val="24"/>
          <w:highlight w:val="none"/>
        </w:rPr>
        <w:t>职务，是</w:t>
      </w:r>
      <w:r>
        <w:rPr>
          <w:rFonts w:hint="eastAsia" w:ascii="仿宋" w:hAnsi="仿宋" w:eastAsia="仿宋" w:cs="仿宋"/>
          <w:sz w:val="24"/>
          <w:highlight w:val="none"/>
          <w:u w:val="single"/>
        </w:rPr>
        <w:t>（供应商名称）</w:t>
      </w:r>
      <w:r>
        <w:rPr>
          <w:rFonts w:hint="eastAsia" w:ascii="仿宋" w:hAnsi="仿宋" w:eastAsia="仿宋" w:cs="仿宋"/>
          <w:sz w:val="24"/>
          <w:highlight w:val="none"/>
        </w:rPr>
        <w:t xml:space="preserve">    的法定代表人。</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法定代表人联系方式：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特此证明。</w:t>
      </w: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供应商名称（公章）：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日  期:     年     月     日</w:t>
      </w: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说明：上述证明文件在响应文件中附有法定代表人身份证复印件（身份证两面均应复印）或护照复印件（供应商的法定代表人为外籍人士的，则提供护照复印件）时才能生效。</w:t>
      </w:r>
    </w:p>
    <w:p>
      <w:pPr>
        <w:pStyle w:val="2"/>
        <w:rPr>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sectPr>
          <w:footerReference r:id="rId8" w:type="default"/>
          <w:pgSz w:w="11905" w:h="16838"/>
          <w:pgMar w:top="2098" w:right="1531" w:bottom="1984" w:left="1531" w:header="709" w:footer="1417" w:gutter="0"/>
          <w:cols w:space="720" w:num="1"/>
          <w:docGrid w:linePitch="579" w:charSpace="0"/>
        </w:sect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t>法定代表人授权委托书</w:t>
      </w:r>
    </w:p>
    <w:p>
      <w:pPr>
        <w:spacing w:line="560" w:lineRule="exact"/>
        <w:rPr>
          <w:rFonts w:ascii="仿宋" w:hAnsi="仿宋" w:eastAsia="仿宋" w:cs="仿宋"/>
          <w:sz w:val="24"/>
          <w:szCs w:val="24"/>
          <w:highlight w:val="none"/>
        </w:rPr>
      </w:pPr>
      <w:r>
        <w:rPr>
          <w:rFonts w:hint="eastAsia" w:ascii="仿宋" w:hAnsi="仿宋" w:eastAsia="仿宋" w:cs="仿宋"/>
          <w:sz w:val="24"/>
          <w:szCs w:val="24"/>
          <w:highlight w:val="none"/>
        </w:rPr>
        <w:t>四川正汇恒招标代理有限公司：</w:t>
      </w:r>
    </w:p>
    <w:p>
      <w:pPr>
        <w:spacing w:line="56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u w:val="single"/>
        </w:rPr>
        <w:t xml:space="preserve">        （供应商全称）</w:t>
      </w:r>
      <w:r>
        <w:rPr>
          <w:rFonts w:hint="eastAsia" w:ascii="仿宋" w:hAnsi="仿宋" w:eastAsia="仿宋" w:cs="仿宋"/>
          <w:sz w:val="24"/>
          <w:szCs w:val="24"/>
          <w:highlight w:val="none"/>
        </w:rPr>
        <w:t>法定代表人____________授权委托_____________为我的代理人，参加贵单位组织的</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项目（采购项目编号：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）的磋商采购活动。代理人在本次采购活动中所签署的一切文件和处理的一切有关事宜，我方均予承认，所产生的法律后果均由我单位承担。</w:t>
      </w:r>
    </w:p>
    <w:p>
      <w:pPr>
        <w:spacing w:line="560" w:lineRule="exact"/>
        <w:rPr>
          <w:rFonts w:ascii="仿宋" w:hAnsi="仿宋" w:eastAsia="仿宋" w:cs="仿宋"/>
          <w:sz w:val="24"/>
          <w:szCs w:val="24"/>
          <w:highlight w:val="none"/>
        </w:rPr>
      </w:pPr>
      <w:r>
        <w:rPr>
          <w:rFonts w:hint="eastAsia" w:ascii="仿宋" w:hAnsi="仿宋" w:eastAsia="仿宋" w:cs="仿宋"/>
          <w:sz w:val="24"/>
          <w:szCs w:val="24"/>
          <w:highlight w:val="none"/>
        </w:rPr>
        <w:t>代理人无转委托权，本授权书自</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日签字生效，特此声明。</w:t>
      </w:r>
    </w:p>
    <w:p>
      <w:pPr>
        <w:spacing w:line="560" w:lineRule="exact"/>
        <w:rPr>
          <w:rFonts w:ascii="仿宋" w:hAnsi="仿宋" w:eastAsia="仿宋" w:cs="仿宋"/>
          <w:sz w:val="24"/>
          <w:szCs w:val="24"/>
          <w:highlight w:val="none"/>
        </w:rPr>
      </w:pPr>
    </w:p>
    <w:p>
      <w:pPr>
        <w:spacing w:line="560" w:lineRule="exact"/>
        <w:rPr>
          <w:rFonts w:ascii="仿宋" w:hAnsi="仿宋" w:eastAsia="仿宋" w:cs="仿宋"/>
          <w:sz w:val="24"/>
          <w:szCs w:val="24"/>
          <w:highlight w:val="none"/>
        </w:rPr>
      </w:pPr>
    </w:p>
    <w:p>
      <w:pPr>
        <w:spacing w:line="560" w:lineRule="exact"/>
        <w:rPr>
          <w:rFonts w:ascii="仿宋" w:hAnsi="仿宋" w:eastAsia="仿宋" w:cs="仿宋"/>
          <w:sz w:val="24"/>
          <w:szCs w:val="24"/>
          <w:highlight w:val="none"/>
        </w:rPr>
      </w:pPr>
      <w:r>
        <w:rPr>
          <w:rFonts w:hint="eastAsia" w:ascii="仿宋" w:hAnsi="仿宋" w:eastAsia="仿宋" w:cs="仿宋"/>
          <w:sz w:val="24"/>
          <w:szCs w:val="24"/>
          <w:highlight w:val="none"/>
        </w:rPr>
        <w:t>法定代表人（签字或盖法定代表人印章）：</w:t>
      </w:r>
      <w:r>
        <w:rPr>
          <w:rFonts w:hint="eastAsia" w:ascii="仿宋" w:hAnsi="仿宋" w:eastAsia="仿宋" w:cs="仿宋"/>
          <w:sz w:val="24"/>
          <w:szCs w:val="24"/>
          <w:highlight w:val="none"/>
          <w:u w:val="single"/>
        </w:rPr>
        <w:t xml:space="preserve">                           </w:t>
      </w:r>
    </w:p>
    <w:p>
      <w:pPr>
        <w:spacing w:line="560" w:lineRule="exact"/>
        <w:rPr>
          <w:rFonts w:ascii="仿宋" w:hAnsi="仿宋" w:eastAsia="仿宋" w:cs="仿宋"/>
          <w:sz w:val="24"/>
          <w:szCs w:val="24"/>
          <w:highlight w:val="none"/>
        </w:rPr>
      </w:pPr>
      <w:r>
        <w:rPr>
          <w:rFonts w:hint="eastAsia" w:ascii="仿宋" w:hAnsi="仿宋" w:eastAsia="仿宋" w:cs="仿宋"/>
          <w:sz w:val="24"/>
          <w:szCs w:val="24"/>
          <w:highlight w:val="none"/>
        </w:rPr>
        <w:t>授权代理人（签字）：</w:t>
      </w:r>
      <w:r>
        <w:rPr>
          <w:rFonts w:hint="eastAsia" w:ascii="仿宋" w:hAnsi="仿宋" w:eastAsia="仿宋" w:cs="仿宋"/>
          <w:sz w:val="24"/>
          <w:szCs w:val="24"/>
          <w:highlight w:val="none"/>
          <w:u w:val="single"/>
        </w:rPr>
        <w:t xml:space="preserve">                             </w:t>
      </w:r>
    </w:p>
    <w:p>
      <w:pPr>
        <w:spacing w:line="560" w:lineRule="exact"/>
        <w:rPr>
          <w:rFonts w:ascii="仿宋" w:hAnsi="仿宋" w:eastAsia="仿宋" w:cs="仿宋"/>
          <w:sz w:val="24"/>
          <w:szCs w:val="24"/>
          <w:highlight w:val="none"/>
        </w:rPr>
      </w:pPr>
      <w:r>
        <w:rPr>
          <w:rFonts w:hint="eastAsia" w:ascii="仿宋" w:hAnsi="仿宋" w:eastAsia="仿宋" w:cs="仿宋"/>
          <w:sz w:val="24"/>
          <w:highlight w:val="none"/>
        </w:rPr>
        <w:t>供应商名称：</w:t>
      </w:r>
      <w:r>
        <w:rPr>
          <w:rFonts w:hint="eastAsia" w:ascii="仿宋" w:hAnsi="仿宋" w:eastAsia="仿宋" w:cs="仿宋"/>
          <w:sz w:val="24"/>
          <w:szCs w:val="24"/>
          <w:highlight w:val="none"/>
          <w:u w:val="single"/>
        </w:rPr>
        <w:t xml:space="preserve">                       </w:t>
      </w:r>
      <w:r>
        <w:rPr>
          <w:rFonts w:hint="eastAsia" w:ascii="仿宋" w:hAnsi="仿宋" w:eastAsia="仿宋" w:cs="仿宋"/>
          <w:sz w:val="24"/>
          <w:highlight w:val="none"/>
        </w:rPr>
        <w:t>（单位盖章）</w:t>
      </w:r>
    </w:p>
    <w:p>
      <w:pPr>
        <w:spacing w:line="560" w:lineRule="exact"/>
        <w:rPr>
          <w:rFonts w:ascii="仿宋" w:hAnsi="仿宋" w:eastAsia="仿宋" w:cs="仿宋"/>
          <w:sz w:val="24"/>
          <w:szCs w:val="24"/>
          <w:highlight w:val="none"/>
        </w:rPr>
      </w:pPr>
      <w:r>
        <w:rPr>
          <w:rFonts w:hint="eastAsia" w:ascii="仿宋" w:hAnsi="仿宋" w:eastAsia="仿宋" w:cs="仿宋"/>
          <w:sz w:val="24"/>
          <w:szCs w:val="24"/>
          <w:highlight w:val="none"/>
        </w:rPr>
        <w:t>日  期:</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 xml:space="preserve"> 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rPr>
        <w:t>日</w:t>
      </w:r>
    </w:p>
    <w:p>
      <w:pPr>
        <w:spacing w:line="560" w:lineRule="exact"/>
        <w:rPr>
          <w:rFonts w:ascii="仿宋" w:hAnsi="仿宋" w:eastAsia="仿宋" w:cs="仿宋"/>
          <w:sz w:val="24"/>
          <w:szCs w:val="24"/>
          <w:highlight w:val="none"/>
        </w:rPr>
      </w:pPr>
    </w:p>
    <w:p>
      <w:pPr>
        <w:pStyle w:val="16"/>
        <w:spacing w:line="560" w:lineRule="exact"/>
        <w:ind w:left="0" w:leftChars="0" w:firstLine="366" w:firstLineChars="152"/>
        <w:rPr>
          <w:rFonts w:ascii="仿宋" w:hAnsi="仿宋" w:eastAsia="仿宋" w:cs="仿宋"/>
          <w:b/>
          <w:sz w:val="24"/>
          <w:szCs w:val="24"/>
          <w:highlight w:val="none"/>
        </w:rPr>
      </w:pPr>
      <w:r>
        <w:rPr>
          <w:rFonts w:hint="eastAsia" w:ascii="仿宋" w:hAnsi="仿宋" w:eastAsia="仿宋" w:cs="仿宋"/>
          <w:b/>
          <w:sz w:val="24"/>
          <w:szCs w:val="24"/>
          <w:highlight w:val="none"/>
          <w:lang w:val="zh-CN"/>
        </w:rPr>
        <w:t>说明：</w:t>
      </w:r>
      <w:r>
        <w:rPr>
          <w:rFonts w:hint="eastAsia" w:ascii="仿宋" w:hAnsi="仿宋" w:eastAsia="仿宋" w:cs="仿宋"/>
          <w:b/>
          <w:sz w:val="24"/>
          <w:szCs w:val="24"/>
          <w:highlight w:val="none"/>
        </w:rPr>
        <w:t>1、</w:t>
      </w:r>
      <w:r>
        <w:rPr>
          <w:rFonts w:hint="eastAsia" w:ascii="仿宋" w:hAnsi="仿宋" w:eastAsia="仿宋" w:cs="仿宋"/>
          <w:b/>
          <w:sz w:val="24"/>
          <w:szCs w:val="24"/>
          <w:highlight w:val="none"/>
          <w:lang w:val="zh-CN"/>
        </w:rPr>
        <w:t>上述证明文件在响应文件中附有代理人身份证复印件（身份证两面均应复印）时才能生效</w:t>
      </w:r>
      <w:r>
        <w:rPr>
          <w:rFonts w:hint="eastAsia" w:ascii="仿宋" w:hAnsi="仿宋" w:eastAsia="仿宋" w:cs="仿宋"/>
          <w:b/>
          <w:sz w:val="24"/>
          <w:szCs w:val="24"/>
          <w:highlight w:val="none"/>
        </w:rPr>
        <w:t>。2、响应文件均由供应商法定代表人签字的,响应文件中可不提供该附件的内容。</w:t>
      </w:r>
    </w:p>
    <w:p>
      <w:pPr>
        <w:pStyle w:val="16"/>
        <w:spacing w:line="560" w:lineRule="exact"/>
        <w:ind w:left="0" w:leftChars="0" w:firstLine="366" w:firstLineChars="152"/>
        <w:rPr>
          <w:rFonts w:ascii="仿宋" w:hAnsi="仿宋" w:eastAsia="仿宋" w:cs="仿宋"/>
          <w:b/>
          <w:sz w:val="24"/>
          <w:szCs w:val="24"/>
          <w:highlight w:val="none"/>
        </w:rPr>
      </w:pPr>
    </w:p>
    <w:p>
      <w:pPr>
        <w:pStyle w:val="16"/>
        <w:spacing w:line="560" w:lineRule="exact"/>
        <w:ind w:left="0" w:leftChars="0" w:firstLine="366" w:firstLineChars="152"/>
        <w:rPr>
          <w:rFonts w:ascii="仿宋" w:hAnsi="仿宋" w:eastAsia="仿宋" w:cs="仿宋"/>
          <w:b/>
          <w:sz w:val="24"/>
          <w:szCs w:val="24"/>
          <w:highlight w:val="none"/>
        </w:rPr>
      </w:pPr>
    </w:p>
    <w:p>
      <w:pPr>
        <w:pStyle w:val="16"/>
        <w:spacing w:line="560" w:lineRule="exact"/>
        <w:ind w:left="0" w:leftChars="0" w:firstLine="366" w:firstLineChars="152"/>
        <w:rPr>
          <w:rFonts w:ascii="仿宋" w:hAnsi="仿宋" w:eastAsia="仿宋" w:cs="仿宋"/>
          <w:b/>
          <w:sz w:val="24"/>
          <w:szCs w:val="24"/>
          <w:highlight w:val="none"/>
        </w:rPr>
      </w:pPr>
    </w:p>
    <w:p>
      <w:pPr>
        <w:pStyle w:val="16"/>
        <w:spacing w:line="560" w:lineRule="exact"/>
        <w:ind w:left="0" w:leftChars="0" w:firstLine="366" w:firstLineChars="152"/>
        <w:rPr>
          <w:rFonts w:ascii="仿宋" w:hAnsi="仿宋" w:eastAsia="仿宋" w:cs="仿宋"/>
          <w:b/>
          <w:sz w:val="24"/>
          <w:szCs w:val="24"/>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t>中小企业声明函（提供监狱企业证明文件或残疾人福利性单位声明函的可不提供此函）</w:t>
      </w:r>
    </w:p>
    <w:p>
      <w:pPr>
        <w:spacing w:line="560" w:lineRule="exact"/>
        <w:jc w:val="center"/>
        <w:rPr>
          <w:rFonts w:ascii="仿宋" w:hAnsi="仿宋" w:eastAsia="仿宋" w:cs="仿宋"/>
          <w:b/>
          <w:spacing w:val="6"/>
          <w:sz w:val="24"/>
          <w:highlight w:val="none"/>
        </w:rPr>
      </w:pPr>
    </w:p>
    <w:p>
      <w:pPr>
        <w:spacing w:line="560" w:lineRule="exact"/>
        <w:jc w:val="center"/>
        <w:rPr>
          <w:rFonts w:ascii="仿宋" w:hAnsi="仿宋" w:eastAsia="仿宋" w:cs="仿宋"/>
          <w:b/>
          <w:spacing w:val="6"/>
          <w:sz w:val="28"/>
          <w:szCs w:val="28"/>
          <w:highlight w:val="none"/>
        </w:rPr>
      </w:pPr>
      <w:r>
        <w:rPr>
          <w:rFonts w:hint="eastAsia" w:ascii="仿宋" w:hAnsi="仿宋" w:eastAsia="仿宋" w:cs="仿宋"/>
          <w:b/>
          <w:spacing w:val="6"/>
          <w:sz w:val="28"/>
          <w:szCs w:val="28"/>
          <w:highlight w:val="none"/>
        </w:rPr>
        <w:t>中小企业声明函</w:t>
      </w:r>
    </w:p>
    <w:p>
      <w:pPr>
        <w:spacing w:line="560" w:lineRule="exact"/>
        <w:ind w:firstLine="480" w:firstLineChars="200"/>
        <w:rPr>
          <w:rFonts w:ascii="仿宋" w:hAnsi="仿宋" w:eastAsia="仿宋" w:cs="仿宋"/>
          <w:bCs/>
          <w:sz w:val="24"/>
          <w:szCs w:val="24"/>
          <w:highlight w:val="none"/>
        </w:rPr>
      </w:pPr>
      <w:r>
        <w:rPr>
          <w:rFonts w:hint="eastAsia" w:ascii="仿宋" w:hAnsi="仿宋" w:eastAsia="仿宋" w:cs="仿宋"/>
          <w:sz w:val="24"/>
          <w:szCs w:val="24"/>
          <w:highlight w:val="none"/>
        </w:rPr>
        <w:t>本公司（联合体）郑重声明，根据《政府采购促进中小企业发展管理办法》（财库﹝2020﹞46 号）的规定，本公司参加</w:t>
      </w:r>
      <w:r>
        <w:rPr>
          <w:rFonts w:hint="eastAsia" w:ascii="仿宋" w:hAnsi="仿宋" w:eastAsia="仿宋" w:cs="仿宋"/>
          <w:sz w:val="24"/>
          <w:szCs w:val="24"/>
          <w:highlight w:val="none"/>
          <w:u w:val="single"/>
        </w:rPr>
        <w:t>（单位名称）</w:t>
      </w:r>
      <w:r>
        <w:rPr>
          <w:rFonts w:hint="eastAsia" w:ascii="仿宋" w:hAnsi="仿宋" w:eastAsia="仿宋" w:cs="仿宋"/>
          <w:sz w:val="24"/>
          <w:szCs w:val="24"/>
          <w:highlight w:val="none"/>
        </w:rPr>
        <w:t>的</w:t>
      </w:r>
      <w:r>
        <w:rPr>
          <w:rFonts w:hint="eastAsia" w:ascii="仿宋" w:hAnsi="仿宋" w:eastAsia="仿宋" w:cs="仿宋"/>
          <w:sz w:val="24"/>
          <w:szCs w:val="24"/>
          <w:highlight w:val="none"/>
          <w:u w:val="single"/>
        </w:rPr>
        <w:t>（项目名称）</w:t>
      </w:r>
      <w:r>
        <w:rPr>
          <w:rFonts w:hint="eastAsia" w:ascii="仿宋" w:hAnsi="仿宋" w:eastAsia="仿宋" w:cs="仿宋"/>
          <w:sz w:val="24"/>
          <w:szCs w:val="24"/>
          <w:highlight w:val="none"/>
        </w:rPr>
        <w:t>采购活动，服务全部由符合政策要求的中小企业承接。相关企业（含联合体中的中小企业、签订分包意向协议的中小企业）的具体情况如下：</w:t>
      </w:r>
    </w:p>
    <w:p>
      <w:pPr>
        <w:spacing w:line="560" w:lineRule="exact"/>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sz w:val="24"/>
          <w:szCs w:val="24"/>
          <w:highlight w:val="none"/>
          <w:u w:val="single"/>
        </w:rPr>
        <w:t xml:space="preserve"> （标的名称） </w:t>
      </w:r>
      <w:r>
        <w:rPr>
          <w:rFonts w:hint="eastAsia" w:ascii="仿宋" w:hAnsi="仿宋" w:eastAsia="仿宋" w:cs="仿宋"/>
          <w:sz w:val="24"/>
          <w:szCs w:val="24"/>
          <w:highlight w:val="none"/>
        </w:rPr>
        <w:t>，属于（采购文件中明确的所属行业）；承接企业为</w:t>
      </w:r>
      <w:r>
        <w:rPr>
          <w:rFonts w:hint="eastAsia" w:ascii="仿宋" w:hAnsi="仿宋" w:eastAsia="仿宋" w:cs="仿宋"/>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（中型企业、小型企业、微型企业）；</w:t>
      </w:r>
    </w:p>
    <w:p>
      <w:pPr>
        <w:spacing w:line="560" w:lineRule="exact"/>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sz w:val="24"/>
          <w:szCs w:val="24"/>
          <w:highlight w:val="none"/>
          <w:u w:val="single"/>
        </w:rPr>
        <w:t xml:space="preserve"> （标的名称） </w:t>
      </w:r>
      <w:r>
        <w:rPr>
          <w:rFonts w:hint="eastAsia" w:ascii="仿宋" w:hAnsi="仿宋" w:eastAsia="仿宋" w:cs="仿宋"/>
          <w:sz w:val="24"/>
          <w:szCs w:val="24"/>
          <w:highlight w:val="none"/>
        </w:rPr>
        <w:t>，属于（采购文件中明确的所属行业）；承接企业为</w:t>
      </w:r>
      <w:r>
        <w:rPr>
          <w:rFonts w:hint="eastAsia" w:ascii="仿宋" w:hAnsi="仿宋" w:eastAsia="仿宋" w:cs="仿宋"/>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（中型企业、小型企业、微型企业）；</w:t>
      </w:r>
    </w:p>
    <w:p>
      <w:pPr>
        <w:pStyle w:val="2"/>
        <w:ind w:firstLine="480" w:firstLineChars="200"/>
        <w:rPr>
          <w:rFonts w:ascii="仿宋" w:hAnsi="仿宋" w:eastAsia="仿宋" w:cs="仿宋"/>
          <w:highlight w:val="none"/>
        </w:rPr>
      </w:pPr>
      <w:r>
        <w:rPr>
          <w:rFonts w:hint="eastAsia" w:ascii="仿宋" w:hAnsi="仿宋" w:eastAsia="仿宋" w:cs="仿宋"/>
          <w:highlight w:val="none"/>
        </w:rPr>
        <w:t>……</w:t>
      </w:r>
    </w:p>
    <w:p>
      <w:pPr>
        <w:pStyle w:val="2"/>
        <w:ind w:firstLine="480" w:firstLineChars="200"/>
        <w:rPr>
          <w:rFonts w:ascii="仿宋" w:hAnsi="仿宋" w:eastAsia="仿宋" w:cs="仿宋"/>
          <w:highlight w:val="none"/>
        </w:rPr>
      </w:pPr>
      <w:r>
        <w:rPr>
          <w:rFonts w:hint="eastAsia" w:ascii="仿宋" w:hAnsi="仿宋" w:eastAsia="仿宋" w:cs="仿宋"/>
          <w:highlight w:val="none"/>
        </w:rPr>
        <w:t>以上企业，不属于大企业的分支机构，不存在控股股东为大企业的情形，也不存在与大企业的负责人为同一人的情形。</w:t>
      </w:r>
    </w:p>
    <w:p>
      <w:pPr>
        <w:pStyle w:val="2"/>
        <w:ind w:firstLine="480" w:firstLineChars="200"/>
        <w:rPr>
          <w:rFonts w:ascii="仿宋" w:hAnsi="仿宋" w:eastAsia="仿宋" w:cs="仿宋"/>
          <w:highlight w:val="none"/>
        </w:rPr>
      </w:pPr>
      <w:r>
        <w:rPr>
          <w:rFonts w:hint="eastAsia" w:ascii="仿宋" w:hAnsi="仿宋" w:eastAsia="仿宋" w:cs="仿宋"/>
          <w:highlight w:val="none"/>
        </w:rPr>
        <w:t>本企业对上述声明内容的真实性负责。如有虚假，将依法承担相应责任。</w:t>
      </w:r>
    </w:p>
    <w:p>
      <w:pPr>
        <w:rPr>
          <w:rFonts w:ascii="仿宋" w:hAnsi="仿宋" w:eastAsia="仿宋" w:cs="仿宋"/>
          <w:sz w:val="24"/>
          <w:highlight w:val="none"/>
        </w:rPr>
      </w:pPr>
      <w:r>
        <w:rPr>
          <w:rFonts w:hint="eastAsia" w:ascii="仿宋" w:hAnsi="仿宋" w:eastAsia="仿宋" w:cs="仿宋"/>
          <w:sz w:val="24"/>
          <w:highlight w:val="none"/>
        </w:rPr>
        <w:t>供应商名称（公章）：</w:t>
      </w:r>
    </w:p>
    <w:p>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日  期: </w:t>
      </w:r>
    </w:p>
    <w:p>
      <w:pPr>
        <w:spacing w:line="560" w:lineRule="exact"/>
        <w:rPr>
          <w:rFonts w:ascii="仿宋" w:hAnsi="仿宋" w:eastAsia="仿宋" w:cs="仿宋"/>
          <w:sz w:val="24"/>
          <w:highlight w:val="none"/>
        </w:rPr>
      </w:pPr>
      <w:r>
        <w:rPr>
          <w:rFonts w:hint="eastAsia" w:ascii="仿宋" w:hAnsi="仿宋" w:eastAsia="仿宋" w:cs="仿宋"/>
          <w:b/>
          <w:spacing w:val="6"/>
          <w:sz w:val="24"/>
          <w:highlight w:val="none"/>
        </w:rPr>
        <w:t>说明：</w:t>
      </w:r>
      <w:r>
        <w:rPr>
          <w:rFonts w:hint="eastAsia" w:ascii="仿宋" w:hAnsi="仿宋" w:eastAsia="仿宋" w:cs="仿宋"/>
          <w:sz w:val="24"/>
          <w:highlight w:val="none"/>
        </w:rPr>
        <w:t>1、供应商参加政府采购时，需按格式提供虚假中小企业申明函的，以提供虚假材料谋取成交处理。</w:t>
      </w:r>
    </w:p>
    <w:p>
      <w:pPr>
        <w:widowControl/>
        <w:ind w:firstLine="480" w:firstLineChars="200"/>
        <w:jc w:val="left"/>
        <w:rPr>
          <w:rFonts w:ascii="仿宋" w:hAnsi="仿宋" w:eastAsia="仿宋" w:cs="仿宋"/>
          <w:sz w:val="24"/>
          <w:szCs w:val="24"/>
          <w:highlight w:val="none"/>
        </w:rPr>
      </w:pPr>
      <w:r>
        <w:rPr>
          <w:rFonts w:hint="eastAsia" w:ascii="仿宋" w:hAnsi="仿宋" w:eastAsia="仿宋" w:cs="仿宋"/>
          <w:sz w:val="24"/>
          <w:highlight w:val="none"/>
        </w:rPr>
        <w:t>2、本次采购标的对</w:t>
      </w:r>
      <w:r>
        <w:rPr>
          <w:rFonts w:hint="eastAsia" w:ascii="仿宋" w:hAnsi="仿宋" w:eastAsia="仿宋" w:cs="仿宋"/>
          <w:sz w:val="24"/>
          <w:szCs w:val="24"/>
          <w:highlight w:val="none"/>
        </w:rPr>
        <w:t>应的中小企业划分标准所属行业为</w:t>
      </w:r>
      <w:r>
        <w:rPr>
          <w:rFonts w:hint="eastAsia" w:ascii="仿宋" w:hAnsi="仿宋" w:eastAsia="仿宋" w:cs="仿宋"/>
          <w:sz w:val="24"/>
          <w:szCs w:val="24"/>
          <w:highlight w:val="none"/>
          <w:u w:val="single"/>
          <w:lang w:eastAsia="zh-CN"/>
        </w:rPr>
        <w:t>软件和信息技术服务业</w:t>
      </w:r>
      <w:r>
        <w:rPr>
          <w:rFonts w:hint="eastAsia" w:ascii="仿宋" w:hAnsi="仿宋" w:eastAsia="仿宋" w:cs="仿宋"/>
          <w:sz w:val="24"/>
          <w:szCs w:val="24"/>
          <w:highlight w:val="none"/>
        </w:rPr>
        <w:t>。</w:t>
      </w:r>
    </w:p>
    <w:p>
      <w:pPr>
        <w:pStyle w:val="5"/>
        <w:rPr>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t>监狱企业证明材料（提供中小企业声明函或残疾人福利性单位声明函的可不提供此证明材料）</w:t>
      </w:r>
    </w:p>
    <w:p>
      <w:pPr>
        <w:spacing w:line="560" w:lineRule="exact"/>
        <w:rPr>
          <w:rFonts w:ascii="仿宋" w:hAnsi="仿宋" w:eastAsia="仿宋" w:cs="仿宋"/>
          <w:sz w:val="24"/>
          <w:highlight w:val="none"/>
          <w:u w:val="single"/>
        </w:rPr>
      </w:pPr>
    </w:p>
    <w:p>
      <w:pPr>
        <w:spacing w:line="560" w:lineRule="exact"/>
        <w:rPr>
          <w:rFonts w:ascii="仿宋" w:hAnsi="仿宋" w:eastAsia="仿宋" w:cs="仿宋"/>
          <w:sz w:val="24"/>
          <w:highlight w:val="none"/>
          <w:u w:val="single"/>
        </w:rPr>
      </w:pPr>
    </w:p>
    <w:p>
      <w:pPr>
        <w:spacing w:line="560" w:lineRule="exact"/>
        <w:rPr>
          <w:rFonts w:ascii="仿宋" w:hAnsi="仿宋" w:eastAsia="仿宋" w:cs="仿宋"/>
          <w:sz w:val="24"/>
          <w:highlight w:val="none"/>
          <w:u w:val="single"/>
        </w:r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参加政府采购活动的监狱企业应当提供省级以上监狱管理局、戒毒管理局（含新疆生产建设兵团）出具的属于监狱企业的证明文件复印件加盖供应商公章，提供虚假材料的以提供虚假材料谋取成交处理。</w:t>
      </w:r>
    </w:p>
    <w:p>
      <w:pPr>
        <w:spacing w:line="560" w:lineRule="exact"/>
        <w:rPr>
          <w:rFonts w:ascii="仿宋" w:hAnsi="仿宋" w:eastAsia="仿宋" w:cs="仿宋"/>
          <w:sz w:val="24"/>
          <w:highlight w:val="none"/>
        </w:rPr>
      </w:pPr>
    </w:p>
    <w:p>
      <w:pPr>
        <w:pStyle w:val="2"/>
        <w:rPr>
          <w:rFonts w:ascii="仿宋" w:hAnsi="仿宋" w:eastAsia="仿宋" w:cs="仿宋"/>
          <w:highlight w:val="none"/>
        </w:rPr>
      </w:pPr>
    </w:p>
    <w:p>
      <w:pPr>
        <w:pStyle w:val="2"/>
        <w:rPr>
          <w:rFonts w:ascii="仿宋" w:hAnsi="仿宋" w:eastAsia="仿宋" w:cs="仿宋"/>
          <w:highlight w:val="none"/>
        </w:rPr>
      </w:pPr>
    </w:p>
    <w:p>
      <w:pPr>
        <w:spacing w:line="560" w:lineRule="exact"/>
        <w:rPr>
          <w:rFonts w:ascii="仿宋" w:hAnsi="仿宋" w:eastAsia="仿宋" w:cs="仿宋"/>
          <w:sz w:val="24"/>
          <w:highlight w:val="none"/>
        </w:rPr>
      </w:pPr>
    </w:p>
    <w:p>
      <w:pPr>
        <w:spacing w:line="560" w:lineRule="exact"/>
        <w:rPr>
          <w:rFonts w:ascii="仿宋" w:hAnsi="仿宋" w:eastAsia="仿宋" w:cs="仿宋"/>
          <w:sz w:val="24"/>
          <w:highlight w:val="none"/>
        </w:rPr>
      </w:pPr>
    </w:p>
    <w:p>
      <w:pPr>
        <w:pStyle w:val="2"/>
        <w:rPr>
          <w:rFonts w:ascii="仿宋" w:hAnsi="仿宋" w:eastAsia="仿宋" w:cs="仿宋"/>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pStyle w:val="3"/>
        <w:ind w:firstLine="240"/>
        <w:rPr>
          <w:rFonts w:ascii="仿宋" w:hAnsi="仿宋" w:eastAsia="仿宋" w:cs="仿宋"/>
          <w:sz w:val="24"/>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t>残疾人福利性单位声明函（提供中小企业声明函或监狱企业证明文件的可不提供此函）</w:t>
      </w:r>
    </w:p>
    <w:p>
      <w:pPr>
        <w:spacing w:line="560" w:lineRule="exact"/>
        <w:ind w:firstLine="480" w:firstLineChars="200"/>
        <w:rPr>
          <w:rFonts w:ascii="仿宋" w:hAnsi="仿宋" w:eastAsia="仿宋" w:cs="仿宋"/>
          <w:bCs/>
          <w:sz w:val="24"/>
          <w:szCs w:val="24"/>
          <w:highlight w:val="none"/>
        </w:rPr>
      </w:pPr>
    </w:p>
    <w:p>
      <w:pPr>
        <w:spacing w:line="560" w:lineRule="exact"/>
        <w:jc w:val="center"/>
        <w:rPr>
          <w:rFonts w:ascii="仿宋" w:hAnsi="仿宋" w:eastAsia="仿宋" w:cs="仿宋"/>
          <w:b/>
          <w:spacing w:val="6"/>
          <w:sz w:val="28"/>
          <w:szCs w:val="28"/>
          <w:highlight w:val="none"/>
        </w:rPr>
      </w:pPr>
      <w:r>
        <w:rPr>
          <w:rFonts w:hint="eastAsia" w:ascii="仿宋" w:hAnsi="仿宋" w:eastAsia="仿宋" w:cs="仿宋"/>
          <w:b/>
          <w:spacing w:val="6"/>
          <w:sz w:val="28"/>
          <w:szCs w:val="28"/>
          <w:highlight w:val="none"/>
        </w:rPr>
        <w:t>残疾人福利性单位声明函</w:t>
      </w:r>
    </w:p>
    <w:p>
      <w:pPr>
        <w:spacing w:line="560" w:lineRule="exact"/>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本单位郑重声明，根据《关于促进残疾人就业政府采购政策的通知》（财库〔2017〕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本单位对上述声明的真实性负责。如有虚假，将依法承担相应责任。</w:t>
      </w:r>
    </w:p>
    <w:p>
      <w:pPr>
        <w:spacing w:line="560" w:lineRule="exact"/>
        <w:ind w:firstLine="480" w:firstLineChars="200"/>
        <w:rPr>
          <w:rFonts w:ascii="仿宋" w:hAnsi="仿宋" w:eastAsia="仿宋" w:cs="仿宋"/>
          <w:bCs/>
          <w:sz w:val="24"/>
          <w:szCs w:val="24"/>
          <w:highlight w:val="none"/>
        </w:rPr>
      </w:pPr>
    </w:p>
    <w:p>
      <w:pPr>
        <w:spacing w:line="560" w:lineRule="exact"/>
        <w:ind w:firstLine="480" w:firstLineChars="200"/>
        <w:rPr>
          <w:rFonts w:ascii="仿宋" w:hAnsi="仿宋" w:eastAsia="仿宋" w:cs="仿宋"/>
          <w:bCs/>
          <w:sz w:val="24"/>
          <w:szCs w:val="24"/>
          <w:highlight w:val="none"/>
        </w:rPr>
      </w:pPr>
    </w:p>
    <w:p>
      <w:pPr>
        <w:spacing w:line="560" w:lineRule="exact"/>
        <w:ind w:firstLine="480" w:firstLineChars="200"/>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pPr>
        <w:spacing w:line="560" w:lineRule="exact"/>
        <w:ind w:firstLine="480" w:firstLineChars="200"/>
        <w:jc w:val="center"/>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供应商名称（公章）：</w:t>
      </w:r>
    </w:p>
    <w:p>
      <w:pPr>
        <w:spacing w:line="560" w:lineRule="exact"/>
        <w:ind w:firstLine="480" w:firstLineChars="200"/>
        <w:jc w:val="center"/>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日 期：</w:t>
      </w:r>
    </w:p>
    <w:p>
      <w:pPr>
        <w:spacing w:line="560" w:lineRule="exact"/>
        <w:rPr>
          <w:rFonts w:ascii="仿宋" w:hAnsi="仿宋" w:eastAsia="仿宋" w:cs="仿宋"/>
          <w:b/>
          <w:bCs/>
          <w:sz w:val="28"/>
          <w:szCs w:val="28"/>
          <w:highlight w:val="none"/>
        </w:rPr>
      </w:pPr>
    </w:p>
    <w:p>
      <w:pPr>
        <w:pStyle w:val="16"/>
        <w:spacing w:line="560" w:lineRule="exact"/>
        <w:ind w:left="0" w:leftChars="0" w:firstLine="364" w:firstLineChars="152"/>
        <w:rPr>
          <w:rFonts w:ascii="仿宋" w:hAnsi="仿宋" w:eastAsia="仿宋" w:cs="仿宋"/>
          <w:b/>
          <w:sz w:val="24"/>
          <w:szCs w:val="24"/>
          <w:highlight w:val="none"/>
        </w:rPr>
      </w:pPr>
      <w:r>
        <w:rPr>
          <w:rFonts w:hint="eastAsia" w:ascii="仿宋" w:hAnsi="仿宋" w:eastAsia="仿宋" w:cs="仿宋"/>
          <w:sz w:val="24"/>
          <w:highlight w:val="none"/>
        </w:rPr>
        <w:t>说明：</w:t>
      </w:r>
      <w:r>
        <w:rPr>
          <w:rFonts w:hint="eastAsia" w:ascii="仿宋" w:hAnsi="仿宋" w:eastAsia="仿宋" w:cs="仿宋"/>
          <w:b/>
          <w:sz w:val="24"/>
          <w:highlight w:val="none"/>
        </w:rPr>
        <w:t>成交供应商为残疾人福利性单位的，随成交结果同时公告其《残疾人福利性单位声明函》，接受社会监督。</w:t>
      </w:r>
    </w:p>
    <w:p>
      <w:pPr>
        <w:pStyle w:val="16"/>
        <w:spacing w:line="560" w:lineRule="exact"/>
        <w:ind w:left="0" w:leftChars="0" w:firstLine="366" w:firstLineChars="152"/>
        <w:rPr>
          <w:rFonts w:ascii="仿宋" w:hAnsi="仿宋" w:eastAsia="仿宋" w:cs="仿宋"/>
          <w:b/>
          <w:sz w:val="24"/>
          <w:szCs w:val="24"/>
          <w:highlight w:val="none"/>
        </w:rPr>
      </w:pPr>
    </w:p>
    <w:p>
      <w:pPr>
        <w:pStyle w:val="16"/>
        <w:spacing w:line="560" w:lineRule="exact"/>
        <w:ind w:left="0" w:leftChars="0" w:firstLine="366" w:firstLineChars="152"/>
        <w:rPr>
          <w:rFonts w:ascii="仿宋" w:hAnsi="仿宋" w:eastAsia="仿宋" w:cs="仿宋"/>
          <w:b/>
          <w:sz w:val="24"/>
          <w:szCs w:val="24"/>
          <w:highlight w:val="none"/>
        </w:rPr>
        <w:sectPr>
          <w:pgSz w:w="11905" w:h="16838"/>
          <w:pgMar w:top="2098" w:right="1531" w:bottom="1984" w:left="1531" w:header="709" w:footer="1417" w:gutter="0"/>
          <w:cols w:space="720" w:num="1"/>
          <w:docGrid w:linePitch="312" w:charSpace="0"/>
        </w:sect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t>供应商基本情况表</w:t>
      </w:r>
    </w:p>
    <w:tbl>
      <w:tblPr>
        <w:tblStyle w:val="25"/>
        <w:tblW w:w="913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993"/>
        <w:gridCol w:w="1235"/>
        <w:gridCol w:w="1268"/>
        <w:gridCol w:w="8"/>
        <w:gridCol w:w="1339"/>
        <w:gridCol w:w="398"/>
        <w:gridCol w:w="1029"/>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供应商名称</w:t>
            </w:r>
          </w:p>
        </w:tc>
        <w:tc>
          <w:tcPr>
            <w:tcW w:w="7354" w:type="dxa"/>
            <w:gridSpan w:val="8"/>
            <w:vAlign w:val="center"/>
          </w:tcPr>
          <w:p>
            <w:pPr>
              <w:autoSpaceDE w:val="0"/>
              <w:autoSpaceDN w:val="0"/>
              <w:adjustRightInd w:val="0"/>
              <w:spacing w:line="560" w:lineRule="exact"/>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注册地址</w:t>
            </w:r>
          </w:p>
        </w:tc>
        <w:tc>
          <w:tcPr>
            <w:tcW w:w="3504" w:type="dxa"/>
            <w:gridSpan w:val="4"/>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339"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邮政编码</w:t>
            </w:r>
          </w:p>
        </w:tc>
        <w:tc>
          <w:tcPr>
            <w:tcW w:w="2511"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Merge w:val="restart"/>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联系方式</w:t>
            </w:r>
          </w:p>
        </w:tc>
        <w:tc>
          <w:tcPr>
            <w:tcW w:w="993"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联系人</w:t>
            </w:r>
          </w:p>
        </w:tc>
        <w:tc>
          <w:tcPr>
            <w:tcW w:w="2503"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347"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电话</w:t>
            </w:r>
          </w:p>
        </w:tc>
        <w:tc>
          <w:tcPr>
            <w:tcW w:w="2511"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trPr>
        <w:tc>
          <w:tcPr>
            <w:tcW w:w="1776" w:type="dxa"/>
            <w:vMerge w:val="continue"/>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993"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传真</w:t>
            </w:r>
          </w:p>
        </w:tc>
        <w:tc>
          <w:tcPr>
            <w:tcW w:w="2503"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347"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网址</w:t>
            </w:r>
          </w:p>
        </w:tc>
        <w:tc>
          <w:tcPr>
            <w:tcW w:w="2511"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法定代表人</w:t>
            </w:r>
          </w:p>
        </w:tc>
        <w:tc>
          <w:tcPr>
            <w:tcW w:w="993"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姓名</w:t>
            </w:r>
          </w:p>
        </w:tc>
        <w:tc>
          <w:tcPr>
            <w:tcW w:w="2503"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347"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电话</w:t>
            </w:r>
          </w:p>
        </w:tc>
        <w:tc>
          <w:tcPr>
            <w:tcW w:w="1427"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084" w:type="dxa"/>
            <w:vAlign w:val="center"/>
          </w:tcPr>
          <w:p>
            <w:pPr>
              <w:autoSpaceDE w:val="0"/>
              <w:autoSpaceDN w:val="0"/>
              <w:adjustRightInd w:val="0"/>
              <w:spacing w:line="560" w:lineRule="exact"/>
              <w:jc w:val="center"/>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技术负责人</w:t>
            </w:r>
          </w:p>
        </w:tc>
        <w:tc>
          <w:tcPr>
            <w:tcW w:w="993"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姓名</w:t>
            </w:r>
          </w:p>
        </w:tc>
        <w:tc>
          <w:tcPr>
            <w:tcW w:w="2503"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347"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电话</w:t>
            </w:r>
          </w:p>
        </w:tc>
        <w:tc>
          <w:tcPr>
            <w:tcW w:w="1427"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084" w:type="dxa"/>
            <w:vAlign w:val="center"/>
          </w:tcPr>
          <w:p>
            <w:pPr>
              <w:autoSpaceDE w:val="0"/>
              <w:autoSpaceDN w:val="0"/>
              <w:adjustRightInd w:val="0"/>
              <w:spacing w:line="560" w:lineRule="exact"/>
              <w:jc w:val="center"/>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成立时间</w:t>
            </w:r>
          </w:p>
        </w:tc>
        <w:tc>
          <w:tcPr>
            <w:tcW w:w="2228"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5126" w:type="dxa"/>
            <w:gridSpan w:val="6"/>
            <w:vAlign w:val="center"/>
          </w:tcPr>
          <w:p>
            <w:pPr>
              <w:autoSpaceDE w:val="0"/>
              <w:autoSpaceDN w:val="0"/>
              <w:adjustRightInd w:val="0"/>
              <w:spacing w:line="560" w:lineRule="exact"/>
              <w:rPr>
                <w:rFonts w:ascii="仿宋" w:hAnsi="仿宋" w:eastAsia="仿宋" w:cs="仿宋"/>
                <w:kern w:val="2"/>
                <w:sz w:val="24"/>
                <w:highlight w:val="none"/>
              </w:rPr>
            </w:pPr>
            <w:r>
              <w:rPr>
                <w:rFonts w:hint="eastAsia" w:ascii="仿宋" w:hAnsi="仿宋" w:eastAsia="仿宋" w:cs="仿宋"/>
                <w:kern w:val="2"/>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企业资质等级</w:t>
            </w:r>
          </w:p>
        </w:tc>
        <w:tc>
          <w:tcPr>
            <w:tcW w:w="2228"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268" w:type="dxa"/>
            <w:vMerge w:val="restart"/>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其中</w:t>
            </w:r>
          </w:p>
        </w:tc>
        <w:tc>
          <w:tcPr>
            <w:tcW w:w="1745"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项目经理</w:t>
            </w:r>
          </w:p>
        </w:tc>
        <w:tc>
          <w:tcPr>
            <w:tcW w:w="2113" w:type="dxa"/>
            <w:gridSpan w:val="2"/>
            <w:vAlign w:val="center"/>
          </w:tcPr>
          <w:p>
            <w:pPr>
              <w:autoSpaceDE w:val="0"/>
              <w:autoSpaceDN w:val="0"/>
              <w:adjustRightInd w:val="0"/>
              <w:spacing w:line="560" w:lineRule="exact"/>
              <w:jc w:val="center"/>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编号</w:t>
            </w:r>
          </w:p>
        </w:tc>
        <w:tc>
          <w:tcPr>
            <w:tcW w:w="2228"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268" w:type="dxa"/>
            <w:vMerge w:val="continue"/>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745"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高级职称人员</w:t>
            </w:r>
          </w:p>
        </w:tc>
        <w:tc>
          <w:tcPr>
            <w:tcW w:w="2113" w:type="dxa"/>
            <w:gridSpan w:val="2"/>
            <w:vAlign w:val="center"/>
          </w:tcPr>
          <w:p>
            <w:pPr>
              <w:autoSpaceDE w:val="0"/>
              <w:autoSpaceDN w:val="0"/>
              <w:adjustRightInd w:val="0"/>
              <w:spacing w:line="560" w:lineRule="exact"/>
              <w:jc w:val="center"/>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注册资金</w:t>
            </w:r>
          </w:p>
        </w:tc>
        <w:tc>
          <w:tcPr>
            <w:tcW w:w="2228"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268" w:type="dxa"/>
            <w:vMerge w:val="continue"/>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745"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中级职称人员</w:t>
            </w:r>
          </w:p>
        </w:tc>
        <w:tc>
          <w:tcPr>
            <w:tcW w:w="2113" w:type="dxa"/>
            <w:gridSpan w:val="2"/>
            <w:vAlign w:val="center"/>
          </w:tcPr>
          <w:p>
            <w:pPr>
              <w:autoSpaceDE w:val="0"/>
              <w:autoSpaceDN w:val="0"/>
              <w:adjustRightInd w:val="0"/>
              <w:spacing w:line="560" w:lineRule="exact"/>
              <w:jc w:val="center"/>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开户银行</w:t>
            </w:r>
          </w:p>
        </w:tc>
        <w:tc>
          <w:tcPr>
            <w:tcW w:w="2228"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268" w:type="dxa"/>
            <w:vMerge w:val="continue"/>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745"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初级职称人员</w:t>
            </w:r>
          </w:p>
        </w:tc>
        <w:tc>
          <w:tcPr>
            <w:tcW w:w="2113" w:type="dxa"/>
            <w:gridSpan w:val="2"/>
            <w:vAlign w:val="center"/>
          </w:tcPr>
          <w:p>
            <w:pPr>
              <w:autoSpaceDE w:val="0"/>
              <w:autoSpaceDN w:val="0"/>
              <w:adjustRightInd w:val="0"/>
              <w:spacing w:line="560" w:lineRule="exact"/>
              <w:jc w:val="center"/>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帐号</w:t>
            </w:r>
          </w:p>
        </w:tc>
        <w:tc>
          <w:tcPr>
            <w:tcW w:w="2228" w:type="dxa"/>
            <w:gridSpan w:val="2"/>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268" w:type="dxa"/>
            <w:vMerge w:val="continue"/>
            <w:vAlign w:val="center"/>
          </w:tcPr>
          <w:p>
            <w:pPr>
              <w:autoSpaceDE w:val="0"/>
              <w:autoSpaceDN w:val="0"/>
              <w:adjustRightInd w:val="0"/>
              <w:spacing w:line="560" w:lineRule="exact"/>
              <w:jc w:val="center"/>
              <w:rPr>
                <w:rFonts w:ascii="仿宋" w:hAnsi="仿宋" w:eastAsia="仿宋" w:cs="仿宋"/>
                <w:kern w:val="2"/>
                <w:sz w:val="24"/>
                <w:highlight w:val="none"/>
              </w:rPr>
            </w:pPr>
          </w:p>
        </w:tc>
        <w:tc>
          <w:tcPr>
            <w:tcW w:w="1745" w:type="dxa"/>
            <w:gridSpan w:val="3"/>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技工</w:t>
            </w:r>
          </w:p>
        </w:tc>
        <w:tc>
          <w:tcPr>
            <w:tcW w:w="2113" w:type="dxa"/>
            <w:gridSpan w:val="2"/>
            <w:vAlign w:val="center"/>
          </w:tcPr>
          <w:p>
            <w:pPr>
              <w:autoSpaceDE w:val="0"/>
              <w:autoSpaceDN w:val="0"/>
              <w:adjustRightInd w:val="0"/>
              <w:spacing w:line="560" w:lineRule="exact"/>
              <w:jc w:val="center"/>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经营范围</w:t>
            </w:r>
          </w:p>
        </w:tc>
        <w:tc>
          <w:tcPr>
            <w:tcW w:w="7354" w:type="dxa"/>
            <w:gridSpan w:val="8"/>
            <w:vAlign w:val="center"/>
          </w:tcPr>
          <w:p>
            <w:pPr>
              <w:autoSpaceDE w:val="0"/>
              <w:autoSpaceDN w:val="0"/>
              <w:adjustRightInd w:val="0"/>
              <w:spacing w:line="560" w:lineRule="exact"/>
              <w:rPr>
                <w:rFonts w:ascii="仿宋" w:hAnsi="仿宋" w:eastAsia="仿宋" w:cs="仿宋"/>
                <w:b/>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1776" w:type="dxa"/>
            <w:vAlign w:val="center"/>
          </w:tcPr>
          <w:p>
            <w:pPr>
              <w:autoSpaceDE w:val="0"/>
              <w:autoSpaceDN w:val="0"/>
              <w:adjustRightInd w:val="0"/>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备注</w:t>
            </w:r>
          </w:p>
        </w:tc>
        <w:tc>
          <w:tcPr>
            <w:tcW w:w="7354" w:type="dxa"/>
            <w:gridSpan w:val="8"/>
          </w:tcPr>
          <w:p>
            <w:pPr>
              <w:autoSpaceDE w:val="0"/>
              <w:autoSpaceDN w:val="0"/>
              <w:adjustRightInd w:val="0"/>
              <w:spacing w:line="560" w:lineRule="exact"/>
              <w:rPr>
                <w:rFonts w:ascii="仿宋" w:hAnsi="仿宋" w:eastAsia="仿宋" w:cs="仿宋"/>
                <w:kern w:val="2"/>
                <w:sz w:val="24"/>
                <w:highlight w:val="none"/>
              </w:rPr>
            </w:pPr>
          </w:p>
        </w:tc>
      </w:tr>
    </w:tbl>
    <w:p>
      <w:pPr>
        <w:spacing w:line="560" w:lineRule="exact"/>
        <w:rPr>
          <w:rFonts w:ascii="仿宋" w:hAnsi="仿宋" w:eastAsia="仿宋" w:cs="仿宋"/>
          <w:sz w:val="24"/>
          <w:highlight w:val="none"/>
        </w:rPr>
      </w:pPr>
    </w:p>
    <w:p>
      <w:pPr>
        <w:spacing w:line="560" w:lineRule="exact"/>
        <w:rPr>
          <w:rFonts w:ascii="仿宋" w:hAnsi="仿宋" w:eastAsia="仿宋" w:cs="仿宋"/>
          <w:sz w:val="24"/>
          <w:highlight w:val="none"/>
        </w:rPr>
      </w:pPr>
      <w:r>
        <w:rPr>
          <w:rFonts w:hint="eastAsia" w:ascii="仿宋" w:hAnsi="仿宋" w:eastAsia="仿宋" w:cs="仿宋"/>
          <w:sz w:val="24"/>
          <w:highlight w:val="none"/>
        </w:rPr>
        <w:t>供应商名称(公章)：</w:t>
      </w:r>
      <w:r>
        <w:rPr>
          <w:rFonts w:hint="eastAsia" w:ascii="仿宋" w:hAnsi="仿宋" w:eastAsia="仿宋" w:cs="仿宋"/>
          <w:sz w:val="24"/>
          <w:highlight w:val="none"/>
          <w:u w:val="single"/>
        </w:rPr>
        <w:t xml:space="preserve">                                       </w:t>
      </w:r>
    </w:p>
    <w:p>
      <w:pPr>
        <w:spacing w:line="560" w:lineRule="exact"/>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560" w:lineRule="exact"/>
        <w:rPr>
          <w:rFonts w:ascii="仿宋" w:hAnsi="仿宋" w:eastAsia="仿宋" w:cs="仿宋"/>
          <w:sz w:val="24"/>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实施本项目的主要人员情况表</w:t>
      </w:r>
    </w:p>
    <w:p>
      <w:pPr>
        <w:spacing w:line="560" w:lineRule="exact"/>
        <w:ind w:firstLine="120" w:firstLineChars="50"/>
        <w:rPr>
          <w:rFonts w:ascii="仿宋" w:hAnsi="仿宋" w:eastAsia="仿宋" w:cs="仿宋"/>
          <w:sz w:val="24"/>
          <w:highlight w:val="none"/>
        </w:rPr>
      </w:pPr>
    </w:p>
    <w:p>
      <w:pPr>
        <w:spacing w:line="560" w:lineRule="exact"/>
        <w:ind w:firstLine="120" w:firstLineChars="50"/>
        <w:rPr>
          <w:rFonts w:ascii="仿宋" w:hAnsi="仿宋" w:eastAsia="仿宋" w:cs="仿宋"/>
          <w:sz w:val="24"/>
          <w:highlight w:val="none"/>
        </w:rPr>
      </w:pPr>
      <w:r>
        <w:rPr>
          <w:rFonts w:hint="eastAsia" w:ascii="仿宋" w:hAnsi="仿宋" w:eastAsia="仿宋" w:cs="仿宋"/>
          <w:sz w:val="24"/>
          <w:highlight w:val="none"/>
        </w:rPr>
        <w:t>采购项目名称：</w:t>
      </w:r>
    </w:p>
    <w:p>
      <w:pPr>
        <w:spacing w:line="560" w:lineRule="exact"/>
        <w:ind w:firstLine="120" w:firstLineChars="50"/>
        <w:rPr>
          <w:rFonts w:ascii="仿宋" w:hAnsi="仿宋" w:eastAsia="仿宋" w:cs="仿宋"/>
          <w:sz w:val="24"/>
          <w:highlight w:val="none"/>
        </w:rPr>
      </w:pPr>
      <w:r>
        <w:rPr>
          <w:rFonts w:hint="eastAsia" w:ascii="仿宋" w:hAnsi="仿宋" w:eastAsia="仿宋" w:cs="仿宋"/>
          <w:sz w:val="24"/>
          <w:highlight w:val="none"/>
        </w:rPr>
        <w:t>采购项目编号：</w:t>
      </w:r>
    </w:p>
    <w:tbl>
      <w:tblPr>
        <w:tblStyle w:val="25"/>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1168"/>
        <w:gridCol w:w="1276"/>
        <w:gridCol w:w="708"/>
        <w:gridCol w:w="716"/>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类别</w:t>
            </w:r>
          </w:p>
        </w:tc>
        <w:tc>
          <w:tcPr>
            <w:tcW w:w="901" w:type="dxa"/>
            <w:vMerge w:val="restart"/>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职务</w:t>
            </w:r>
          </w:p>
        </w:tc>
        <w:tc>
          <w:tcPr>
            <w:tcW w:w="901" w:type="dxa"/>
            <w:vMerge w:val="restart"/>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姓名</w:t>
            </w:r>
          </w:p>
        </w:tc>
        <w:tc>
          <w:tcPr>
            <w:tcW w:w="901" w:type="dxa"/>
            <w:vMerge w:val="restart"/>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职称</w:t>
            </w:r>
          </w:p>
        </w:tc>
        <w:tc>
          <w:tcPr>
            <w:tcW w:w="1168" w:type="dxa"/>
            <w:vMerge w:val="restart"/>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常住地</w:t>
            </w:r>
          </w:p>
        </w:tc>
        <w:tc>
          <w:tcPr>
            <w:tcW w:w="3517" w:type="dxa"/>
            <w:gridSpan w:val="4"/>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相关资料（无可不提供）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vAlign w:val="center"/>
          </w:tcPr>
          <w:p>
            <w:pPr>
              <w:spacing w:line="560" w:lineRule="exact"/>
              <w:jc w:val="center"/>
              <w:rPr>
                <w:rFonts w:ascii="仿宋" w:hAnsi="仿宋" w:eastAsia="仿宋" w:cs="仿宋"/>
                <w:kern w:val="2"/>
                <w:sz w:val="24"/>
                <w:highlight w:val="none"/>
              </w:rPr>
            </w:pPr>
          </w:p>
        </w:tc>
        <w:tc>
          <w:tcPr>
            <w:tcW w:w="901" w:type="dxa"/>
            <w:vMerge w:val="continue"/>
            <w:vAlign w:val="center"/>
          </w:tcPr>
          <w:p>
            <w:pPr>
              <w:spacing w:line="560" w:lineRule="exact"/>
              <w:jc w:val="center"/>
              <w:rPr>
                <w:rFonts w:ascii="仿宋" w:hAnsi="仿宋" w:eastAsia="仿宋" w:cs="仿宋"/>
                <w:kern w:val="2"/>
                <w:sz w:val="24"/>
                <w:highlight w:val="none"/>
              </w:rPr>
            </w:pPr>
          </w:p>
        </w:tc>
        <w:tc>
          <w:tcPr>
            <w:tcW w:w="901" w:type="dxa"/>
            <w:vMerge w:val="continue"/>
            <w:vAlign w:val="center"/>
          </w:tcPr>
          <w:p>
            <w:pPr>
              <w:spacing w:line="560" w:lineRule="exact"/>
              <w:jc w:val="center"/>
              <w:rPr>
                <w:rFonts w:ascii="仿宋" w:hAnsi="仿宋" w:eastAsia="仿宋" w:cs="仿宋"/>
                <w:kern w:val="2"/>
                <w:sz w:val="24"/>
                <w:highlight w:val="none"/>
              </w:rPr>
            </w:pPr>
          </w:p>
        </w:tc>
        <w:tc>
          <w:tcPr>
            <w:tcW w:w="901" w:type="dxa"/>
            <w:vMerge w:val="continue"/>
            <w:vAlign w:val="center"/>
          </w:tcPr>
          <w:p>
            <w:pPr>
              <w:spacing w:line="560" w:lineRule="exact"/>
              <w:jc w:val="center"/>
              <w:rPr>
                <w:rFonts w:ascii="仿宋" w:hAnsi="仿宋" w:eastAsia="仿宋" w:cs="仿宋"/>
                <w:kern w:val="2"/>
                <w:sz w:val="24"/>
                <w:highlight w:val="none"/>
              </w:rPr>
            </w:pPr>
          </w:p>
        </w:tc>
        <w:tc>
          <w:tcPr>
            <w:tcW w:w="1168" w:type="dxa"/>
            <w:vMerge w:val="continue"/>
            <w:vAlign w:val="center"/>
          </w:tcPr>
          <w:p>
            <w:pPr>
              <w:spacing w:line="560" w:lineRule="exact"/>
              <w:jc w:val="center"/>
              <w:rPr>
                <w:rFonts w:ascii="仿宋" w:hAnsi="仿宋" w:eastAsia="仿宋" w:cs="仿宋"/>
                <w:kern w:val="2"/>
                <w:sz w:val="24"/>
                <w:highlight w:val="none"/>
              </w:rPr>
            </w:pPr>
          </w:p>
        </w:tc>
        <w:tc>
          <w:tcPr>
            <w:tcW w:w="1276"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证书名称</w:t>
            </w:r>
          </w:p>
        </w:tc>
        <w:tc>
          <w:tcPr>
            <w:tcW w:w="708"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级别</w:t>
            </w:r>
          </w:p>
        </w:tc>
        <w:tc>
          <w:tcPr>
            <w:tcW w:w="716"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证号</w:t>
            </w:r>
          </w:p>
        </w:tc>
        <w:tc>
          <w:tcPr>
            <w:tcW w:w="817"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项目管理成员</w:t>
            </w: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1168" w:type="dxa"/>
            <w:vAlign w:val="center"/>
          </w:tcPr>
          <w:p>
            <w:pPr>
              <w:spacing w:line="560" w:lineRule="exact"/>
              <w:jc w:val="center"/>
              <w:rPr>
                <w:rFonts w:ascii="仿宋" w:hAnsi="仿宋" w:eastAsia="仿宋" w:cs="仿宋"/>
                <w:kern w:val="2"/>
                <w:sz w:val="24"/>
                <w:highlight w:val="none"/>
              </w:rPr>
            </w:pPr>
          </w:p>
        </w:tc>
        <w:tc>
          <w:tcPr>
            <w:tcW w:w="1276" w:type="dxa"/>
            <w:vAlign w:val="center"/>
          </w:tcPr>
          <w:p>
            <w:pPr>
              <w:spacing w:line="560" w:lineRule="exact"/>
              <w:jc w:val="center"/>
              <w:rPr>
                <w:rFonts w:ascii="仿宋" w:hAnsi="仿宋" w:eastAsia="仿宋" w:cs="仿宋"/>
                <w:kern w:val="2"/>
                <w:sz w:val="24"/>
                <w:highlight w:val="none"/>
              </w:rPr>
            </w:pPr>
          </w:p>
        </w:tc>
        <w:tc>
          <w:tcPr>
            <w:tcW w:w="708" w:type="dxa"/>
            <w:vAlign w:val="center"/>
          </w:tcPr>
          <w:p>
            <w:pPr>
              <w:spacing w:line="560" w:lineRule="exact"/>
              <w:jc w:val="center"/>
              <w:rPr>
                <w:rFonts w:ascii="仿宋" w:hAnsi="仿宋" w:eastAsia="仿宋" w:cs="仿宋"/>
                <w:kern w:val="2"/>
                <w:sz w:val="24"/>
                <w:highlight w:val="none"/>
              </w:rPr>
            </w:pPr>
          </w:p>
        </w:tc>
        <w:tc>
          <w:tcPr>
            <w:tcW w:w="716" w:type="dxa"/>
            <w:vAlign w:val="center"/>
          </w:tcPr>
          <w:p>
            <w:pPr>
              <w:spacing w:line="560" w:lineRule="exact"/>
              <w:jc w:val="center"/>
              <w:rPr>
                <w:rFonts w:ascii="仿宋" w:hAnsi="仿宋" w:eastAsia="仿宋" w:cs="仿宋"/>
                <w:kern w:val="2"/>
                <w:sz w:val="24"/>
                <w:highlight w:val="none"/>
              </w:rPr>
            </w:pPr>
          </w:p>
        </w:tc>
        <w:tc>
          <w:tcPr>
            <w:tcW w:w="817" w:type="dxa"/>
            <w:vAlign w:val="center"/>
          </w:tcPr>
          <w:p>
            <w:pPr>
              <w:spacing w:line="560" w:lineRule="exact"/>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Merge w:val="continue"/>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1168" w:type="dxa"/>
            <w:vAlign w:val="center"/>
          </w:tcPr>
          <w:p>
            <w:pPr>
              <w:spacing w:line="560" w:lineRule="exact"/>
              <w:jc w:val="center"/>
              <w:rPr>
                <w:rFonts w:ascii="仿宋" w:hAnsi="仿宋" w:eastAsia="仿宋" w:cs="仿宋"/>
                <w:kern w:val="2"/>
                <w:sz w:val="24"/>
                <w:highlight w:val="none"/>
              </w:rPr>
            </w:pPr>
          </w:p>
        </w:tc>
        <w:tc>
          <w:tcPr>
            <w:tcW w:w="1276" w:type="dxa"/>
            <w:vAlign w:val="center"/>
          </w:tcPr>
          <w:p>
            <w:pPr>
              <w:spacing w:line="560" w:lineRule="exact"/>
              <w:jc w:val="center"/>
              <w:rPr>
                <w:rFonts w:ascii="仿宋" w:hAnsi="仿宋" w:eastAsia="仿宋" w:cs="仿宋"/>
                <w:kern w:val="2"/>
                <w:sz w:val="24"/>
                <w:highlight w:val="none"/>
              </w:rPr>
            </w:pPr>
          </w:p>
        </w:tc>
        <w:tc>
          <w:tcPr>
            <w:tcW w:w="708" w:type="dxa"/>
            <w:vAlign w:val="center"/>
          </w:tcPr>
          <w:p>
            <w:pPr>
              <w:spacing w:line="560" w:lineRule="exact"/>
              <w:jc w:val="center"/>
              <w:rPr>
                <w:rFonts w:ascii="仿宋" w:hAnsi="仿宋" w:eastAsia="仿宋" w:cs="仿宋"/>
                <w:kern w:val="2"/>
                <w:sz w:val="24"/>
                <w:highlight w:val="none"/>
              </w:rPr>
            </w:pPr>
          </w:p>
        </w:tc>
        <w:tc>
          <w:tcPr>
            <w:tcW w:w="716" w:type="dxa"/>
            <w:vAlign w:val="center"/>
          </w:tcPr>
          <w:p>
            <w:pPr>
              <w:spacing w:line="560" w:lineRule="exact"/>
              <w:jc w:val="center"/>
              <w:rPr>
                <w:rFonts w:ascii="仿宋" w:hAnsi="仿宋" w:eastAsia="仿宋" w:cs="仿宋"/>
                <w:kern w:val="2"/>
                <w:sz w:val="24"/>
                <w:highlight w:val="none"/>
              </w:rPr>
            </w:pPr>
          </w:p>
        </w:tc>
        <w:tc>
          <w:tcPr>
            <w:tcW w:w="817" w:type="dxa"/>
            <w:vAlign w:val="center"/>
          </w:tcPr>
          <w:p>
            <w:pPr>
              <w:spacing w:line="560" w:lineRule="exact"/>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1168" w:type="dxa"/>
            <w:vAlign w:val="center"/>
          </w:tcPr>
          <w:p>
            <w:pPr>
              <w:spacing w:line="560" w:lineRule="exact"/>
              <w:jc w:val="center"/>
              <w:rPr>
                <w:rFonts w:ascii="仿宋" w:hAnsi="仿宋" w:eastAsia="仿宋" w:cs="仿宋"/>
                <w:bCs/>
                <w:kern w:val="2"/>
                <w:sz w:val="24"/>
                <w:highlight w:val="none"/>
              </w:rPr>
            </w:pPr>
          </w:p>
        </w:tc>
        <w:tc>
          <w:tcPr>
            <w:tcW w:w="1276" w:type="dxa"/>
            <w:vAlign w:val="center"/>
          </w:tcPr>
          <w:p>
            <w:pPr>
              <w:spacing w:line="560" w:lineRule="exact"/>
              <w:jc w:val="center"/>
              <w:rPr>
                <w:rFonts w:ascii="仿宋" w:hAnsi="仿宋" w:eastAsia="仿宋" w:cs="仿宋"/>
                <w:bCs/>
                <w:kern w:val="2"/>
                <w:sz w:val="24"/>
                <w:highlight w:val="none"/>
              </w:rPr>
            </w:pPr>
          </w:p>
        </w:tc>
        <w:tc>
          <w:tcPr>
            <w:tcW w:w="708" w:type="dxa"/>
            <w:vAlign w:val="center"/>
          </w:tcPr>
          <w:p>
            <w:pPr>
              <w:spacing w:line="560" w:lineRule="exact"/>
              <w:jc w:val="center"/>
              <w:rPr>
                <w:rFonts w:ascii="仿宋" w:hAnsi="仿宋" w:eastAsia="仿宋" w:cs="仿宋"/>
                <w:bCs/>
                <w:kern w:val="2"/>
                <w:sz w:val="24"/>
                <w:highlight w:val="none"/>
              </w:rPr>
            </w:pPr>
          </w:p>
        </w:tc>
        <w:tc>
          <w:tcPr>
            <w:tcW w:w="716" w:type="dxa"/>
            <w:vAlign w:val="center"/>
          </w:tcPr>
          <w:p>
            <w:pPr>
              <w:spacing w:line="560" w:lineRule="exact"/>
              <w:jc w:val="center"/>
              <w:rPr>
                <w:rFonts w:ascii="仿宋" w:hAnsi="仿宋" w:eastAsia="仿宋" w:cs="仿宋"/>
                <w:bCs/>
                <w:kern w:val="2"/>
                <w:sz w:val="24"/>
                <w:highlight w:val="none"/>
              </w:rPr>
            </w:pPr>
          </w:p>
        </w:tc>
        <w:tc>
          <w:tcPr>
            <w:tcW w:w="817" w:type="dxa"/>
            <w:vAlign w:val="center"/>
          </w:tcPr>
          <w:p>
            <w:pPr>
              <w:spacing w:line="560" w:lineRule="exact"/>
              <w:jc w:val="center"/>
              <w:rPr>
                <w:rFonts w:ascii="仿宋" w:hAnsi="仿宋" w:eastAsia="仿宋" w:cs="仿宋"/>
                <w:bCs/>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1168" w:type="dxa"/>
            <w:vAlign w:val="center"/>
          </w:tcPr>
          <w:p>
            <w:pPr>
              <w:spacing w:line="560" w:lineRule="exact"/>
              <w:jc w:val="center"/>
              <w:rPr>
                <w:rFonts w:ascii="仿宋" w:hAnsi="仿宋" w:eastAsia="仿宋" w:cs="仿宋"/>
                <w:bCs/>
                <w:kern w:val="2"/>
                <w:sz w:val="24"/>
                <w:highlight w:val="none"/>
              </w:rPr>
            </w:pPr>
          </w:p>
        </w:tc>
        <w:tc>
          <w:tcPr>
            <w:tcW w:w="1276" w:type="dxa"/>
            <w:vAlign w:val="center"/>
          </w:tcPr>
          <w:p>
            <w:pPr>
              <w:spacing w:line="560" w:lineRule="exact"/>
              <w:jc w:val="center"/>
              <w:rPr>
                <w:rFonts w:ascii="仿宋" w:hAnsi="仿宋" w:eastAsia="仿宋" w:cs="仿宋"/>
                <w:bCs/>
                <w:kern w:val="2"/>
                <w:sz w:val="24"/>
                <w:highlight w:val="none"/>
              </w:rPr>
            </w:pPr>
          </w:p>
        </w:tc>
        <w:tc>
          <w:tcPr>
            <w:tcW w:w="708" w:type="dxa"/>
            <w:vAlign w:val="center"/>
          </w:tcPr>
          <w:p>
            <w:pPr>
              <w:spacing w:line="560" w:lineRule="exact"/>
              <w:jc w:val="center"/>
              <w:rPr>
                <w:rFonts w:ascii="仿宋" w:hAnsi="仿宋" w:eastAsia="仿宋" w:cs="仿宋"/>
                <w:bCs/>
                <w:kern w:val="2"/>
                <w:sz w:val="24"/>
                <w:highlight w:val="none"/>
              </w:rPr>
            </w:pPr>
          </w:p>
        </w:tc>
        <w:tc>
          <w:tcPr>
            <w:tcW w:w="716" w:type="dxa"/>
            <w:vAlign w:val="center"/>
          </w:tcPr>
          <w:p>
            <w:pPr>
              <w:spacing w:line="560" w:lineRule="exact"/>
              <w:jc w:val="center"/>
              <w:rPr>
                <w:rFonts w:ascii="仿宋" w:hAnsi="仿宋" w:eastAsia="仿宋" w:cs="仿宋"/>
                <w:bCs/>
                <w:kern w:val="2"/>
                <w:sz w:val="24"/>
                <w:highlight w:val="none"/>
              </w:rPr>
            </w:pPr>
          </w:p>
        </w:tc>
        <w:tc>
          <w:tcPr>
            <w:tcW w:w="817" w:type="dxa"/>
            <w:vAlign w:val="center"/>
          </w:tcPr>
          <w:p>
            <w:pPr>
              <w:spacing w:line="560" w:lineRule="exact"/>
              <w:jc w:val="center"/>
              <w:rPr>
                <w:rFonts w:ascii="仿宋" w:hAnsi="仿宋" w:eastAsia="仿宋" w:cs="仿宋"/>
                <w:bCs/>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vAlign w:val="center"/>
          </w:tcPr>
          <w:p>
            <w:pPr>
              <w:spacing w:line="560" w:lineRule="exact"/>
              <w:jc w:val="center"/>
              <w:rPr>
                <w:rFonts w:ascii="仿宋" w:hAnsi="仿宋" w:eastAsia="仿宋" w:cs="仿宋"/>
                <w:kern w:val="2"/>
                <w:sz w:val="24"/>
                <w:highlight w:val="none"/>
              </w:rPr>
            </w:pPr>
            <w:r>
              <w:rPr>
                <w:rFonts w:ascii="Arial" w:hAnsi="Arial" w:eastAsia="仿宋" w:cs="Arial"/>
                <w:kern w:val="2"/>
                <w:sz w:val="24"/>
                <w:highlight w:val="none"/>
              </w:rPr>
              <w:t>…</w:t>
            </w: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1168" w:type="dxa"/>
            <w:vAlign w:val="center"/>
          </w:tcPr>
          <w:p>
            <w:pPr>
              <w:spacing w:line="560" w:lineRule="exact"/>
              <w:jc w:val="center"/>
              <w:rPr>
                <w:rFonts w:ascii="仿宋" w:hAnsi="仿宋" w:eastAsia="仿宋" w:cs="仿宋"/>
                <w:bCs/>
                <w:kern w:val="2"/>
                <w:sz w:val="24"/>
                <w:highlight w:val="none"/>
              </w:rPr>
            </w:pPr>
          </w:p>
        </w:tc>
        <w:tc>
          <w:tcPr>
            <w:tcW w:w="1276" w:type="dxa"/>
            <w:vAlign w:val="center"/>
          </w:tcPr>
          <w:p>
            <w:pPr>
              <w:spacing w:line="560" w:lineRule="exact"/>
              <w:jc w:val="center"/>
              <w:rPr>
                <w:rFonts w:ascii="仿宋" w:hAnsi="仿宋" w:eastAsia="仿宋" w:cs="仿宋"/>
                <w:bCs/>
                <w:kern w:val="2"/>
                <w:sz w:val="24"/>
                <w:highlight w:val="none"/>
              </w:rPr>
            </w:pPr>
          </w:p>
        </w:tc>
        <w:tc>
          <w:tcPr>
            <w:tcW w:w="708" w:type="dxa"/>
            <w:vAlign w:val="center"/>
          </w:tcPr>
          <w:p>
            <w:pPr>
              <w:spacing w:line="560" w:lineRule="exact"/>
              <w:jc w:val="center"/>
              <w:rPr>
                <w:rFonts w:ascii="仿宋" w:hAnsi="仿宋" w:eastAsia="仿宋" w:cs="仿宋"/>
                <w:bCs/>
                <w:kern w:val="2"/>
                <w:sz w:val="24"/>
                <w:highlight w:val="none"/>
              </w:rPr>
            </w:pPr>
          </w:p>
        </w:tc>
        <w:tc>
          <w:tcPr>
            <w:tcW w:w="716" w:type="dxa"/>
            <w:vAlign w:val="center"/>
          </w:tcPr>
          <w:p>
            <w:pPr>
              <w:spacing w:line="560" w:lineRule="exact"/>
              <w:jc w:val="center"/>
              <w:rPr>
                <w:rFonts w:ascii="仿宋" w:hAnsi="仿宋" w:eastAsia="仿宋" w:cs="仿宋"/>
                <w:bCs/>
                <w:kern w:val="2"/>
                <w:sz w:val="24"/>
                <w:highlight w:val="none"/>
              </w:rPr>
            </w:pPr>
          </w:p>
        </w:tc>
        <w:tc>
          <w:tcPr>
            <w:tcW w:w="817" w:type="dxa"/>
            <w:vAlign w:val="center"/>
          </w:tcPr>
          <w:p>
            <w:pPr>
              <w:spacing w:line="560" w:lineRule="exact"/>
              <w:jc w:val="center"/>
              <w:rPr>
                <w:rFonts w:ascii="仿宋" w:hAnsi="仿宋" w:eastAsia="仿宋" w:cs="仿宋"/>
                <w:bCs/>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901" w:type="dxa"/>
            <w:vAlign w:val="center"/>
          </w:tcPr>
          <w:p>
            <w:pPr>
              <w:spacing w:line="560" w:lineRule="exact"/>
              <w:jc w:val="center"/>
              <w:rPr>
                <w:rFonts w:ascii="仿宋" w:hAnsi="仿宋" w:eastAsia="仿宋" w:cs="仿宋"/>
                <w:bCs/>
                <w:kern w:val="2"/>
                <w:sz w:val="24"/>
                <w:highlight w:val="none"/>
              </w:rPr>
            </w:pPr>
          </w:p>
        </w:tc>
        <w:tc>
          <w:tcPr>
            <w:tcW w:w="1168" w:type="dxa"/>
            <w:vAlign w:val="center"/>
          </w:tcPr>
          <w:p>
            <w:pPr>
              <w:spacing w:line="560" w:lineRule="exact"/>
              <w:jc w:val="center"/>
              <w:rPr>
                <w:rFonts w:ascii="仿宋" w:hAnsi="仿宋" w:eastAsia="仿宋" w:cs="仿宋"/>
                <w:bCs/>
                <w:kern w:val="2"/>
                <w:sz w:val="24"/>
                <w:highlight w:val="none"/>
              </w:rPr>
            </w:pPr>
          </w:p>
        </w:tc>
        <w:tc>
          <w:tcPr>
            <w:tcW w:w="1276" w:type="dxa"/>
            <w:vAlign w:val="center"/>
          </w:tcPr>
          <w:p>
            <w:pPr>
              <w:spacing w:line="560" w:lineRule="exact"/>
              <w:jc w:val="center"/>
              <w:rPr>
                <w:rFonts w:ascii="仿宋" w:hAnsi="仿宋" w:eastAsia="仿宋" w:cs="仿宋"/>
                <w:bCs/>
                <w:kern w:val="2"/>
                <w:sz w:val="24"/>
                <w:highlight w:val="none"/>
              </w:rPr>
            </w:pPr>
          </w:p>
        </w:tc>
        <w:tc>
          <w:tcPr>
            <w:tcW w:w="708" w:type="dxa"/>
            <w:vAlign w:val="center"/>
          </w:tcPr>
          <w:p>
            <w:pPr>
              <w:spacing w:line="560" w:lineRule="exact"/>
              <w:jc w:val="center"/>
              <w:rPr>
                <w:rFonts w:ascii="仿宋" w:hAnsi="仿宋" w:eastAsia="仿宋" w:cs="仿宋"/>
                <w:bCs/>
                <w:kern w:val="2"/>
                <w:sz w:val="24"/>
                <w:highlight w:val="none"/>
              </w:rPr>
            </w:pPr>
          </w:p>
        </w:tc>
        <w:tc>
          <w:tcPr>
            <w:tcW w:w="716" w:type="dxa"/>
            <w:vAlign w:val="center"/>
          </w:tcPr>
          <w:p>
            <w:pPr>
              <w:spacing w:line="560" w:lineRule="exact"/>
              <w:jc w:val="center"/>
              <w:rPr>
                <w:rFonts w:ascii="仿宋" w:hAnsi="仿宋" w:eastAsia="仿宋" w:cs="仿宋"/>
                <w:bCs/>
                <w:kern w:val="2"/>
                <w:sz w:val="24"/>
                <w:highlight w:val="none"/>
              </w:rPr>
            </w:pPr>
          </w:p>
        </w:tc>
        <w:tc>
          <w:tcPr>
            <w:tcW w:w="817" w:type="dxa"/>
            <w:vAlign w:val="center"/>
          </w:tcPr>
          <w:p>
            <w:pPr>
              <w:spacing w:line="560" w:lineRule="exact"/>
              <w:jc w:val="center"/>
              <w:rPr>
                <w:rFonts w:ascii="仿宋" w:hAnsi="仿宋" w:eastAsia="仿宋" w:cs="仿宋"/>
                <w:bCs/>
                <w:kern w:val="2"/>
                <w:sz w:val="24"/>
                <w:highlight w:val="none"/>
              </w:rPr>
            </w:pPr>
          </w:p>
        </w:tc>
      </w:tr>
    </w:tbl>
    <w:p>
      <w:pPr>
        <w:spacing w:line="560" w:lineRule="exact"/>
        <w:rPr>
          <w:rFonts w:ascii="仿宋" w:hAnsi="仿宋" w:eastAsia="仿宋" w:cs="仿宋"/>
          <w:sz w:val="24"/>
          <w:highlight w:val="none"/>
        </w:rPr>
      </w:pPr>
      <w:r>
        <w:rPr>
          <w:rFonts w:hint="eastAsia" w:ascii="仿宋" w:hAnsi="仿宋" w:eastAsia="仿宋" w:cs="仿宋"/>
          <w:sz w:val="24"/>
          <w:highlight w:val="none"/>
        </w:rPr>
        <w:t>注：</w:t>
      </w:r>
    </w:p>
    <w:p>
      <w:pPr>
        <w:spacing w:line="560" w:lineRule="exact"/>
        <w:ind w:firstLine="480"/>
        <w:rPr>
          <w:rFonts w:ascii="仿宋" w:hAnsi="仿宋" w:eastAsia="仿宋" w:cs="仿宋"/>
          <w:bCs/>
          <w:sz w:val="24"/>
          <w:highlight w:val="none"/>
        </w:rPr>
      </w:pPr>
      <w:r>
        <w:rPr>
          <w:rFonts w:hint="eastAsia" w:ascii="仿宋" w:hAnsi="仿宋" w:eastAsia="仿宋" w:cs="仿宋"/>
          <w:bCs/>
          <w:sz w:val="24"/>
          <w:highlight w:val="none"/>
        </w:rPr>
        <w:t>1.</w:t>
      </w:r>
      <w:r>
        <w:rPr>
          <w:rFonts w:hint="eastAsia" w:ascii="仿宋" w:hAnsi="仿宋" w:eastAsia="仿宋" w:cs="仿宋"/>
          <w:sz w:val="24"/>
          <w:highlight w:val="none"/>
        </w:rPr>
        <w:t>以上表格格式行可增减。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2.证明材料详见综合评分明细表。</w:t>
      </w:r>
    </w:p>
    <w:p>
      <w:pPr>
        <w:spacing w:line="560" w:lineRule="exact"/>
        <w:jc w:val="center"/>
        <w:rPr>
          <w:rFonts w:ascii="仿宋" w:hAnsi="仿宋" w:eastAsia="仿宋" w:cs="仿宋"/>
          <w:bCs/>
          <w:sz w:val="24"/>
          <w:highlight w:val="none"/>
        </w:rPr>
      </w:pPr>
    </w:p>
    <w:p>
      <w:pPr>
        <w:spacing w:line="560" w:lineRule="exact"/>
        <w:ind w:firstLine="480"/>
        <w:rPr>
          <w:rFonts w:ascii="仿宋" w:hAnsi="仿宋" w:eastAsia="仿宋" w:cs="仿宋"/>
          <w:sz w:val="24"/>
          <w:highlight w:val="none"/>
        </w:rPr>
      </w:pPr>
    </w:p>
    <w:p>
      <w:pPr>
        <w:spacing w:line="560" w:lineRule="exact"/>
        <w:ind w:firstLine="480"/>
        <w:rPr>
          <w:rFonts w:ascii="仿宋" w:hAnsi="仿宋" w:eastAsia="仿宋" w:cs="仿宋"/>
          <w:sz w:val="24"/>
          <w:highlight w:val="none"/>
        </w:rPr>
      </w:pPr>
      <w:r>
        <w:rPr>
          <w:rFonts w:hint="eastAsia" w:ascii="仿宋" w:hAnsi="仿宋" w:eastAsia="仿宋" w:cs="仿宋"/>
          <w:sz w:val="24"/>
          <w:highlight w:val="none"/>
        </w:rPr>
        <w:t>供应商名称（公章）：</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日  期：</w:t>
      </w:r>
    </w:p>
    <w:p>
      <w:pPr>
        <w:spacing w:line="560" w:lineRule="exact"/>
        <w:ind w:firstLine="480" w:firstLineChars="200"/>
        <w:rPr>
          <w:rFonts w:ascii="仿宋" w:hAnsi="仿宋" w:eastAsia="仿宋" w:cs="仿宋"/>
          <w:sz w:val="24"/>
          <w:highlight w:val="none"/>
        </w:rPr>
      </w:pPr>
    </w:p>
    <w:p>
      <w:pPr>
        <w:spacing w:line="560" w:lineRule="exact"/>
        <w:ind w:firstLine="480" w:firstLineChars="200"/>
        <w:rPr>
          <w:rFonts w:ascii="仿宋" w:hAnsi="仿宋" w:eastAsia="仿宋" w:cs="仿宋"/>
          <w:sz w:val="24"/>
          <w:highlight w:val="none"/>
        </w:rPr>
      </w:pPr>
    </w:p>
    <w:p>
      <w:pPr>
        <w:spacing w:line="560" w:lineRule="exact"/>
        <w:ind w:firstLine="480" w:firstLineChars="200"/>
        <w:rPr>
          <w:rFonts w:ascii="仿宋" w:hAnsi="仿宋" w:eastAsia="仿宋" w:cs="仿宋"/>
          <w:sz w:val="24"/>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类似项目实施案例一览表</w:t>
      </w:r>
    </w:p>
    <w:p>
      <w:pPr>
        <w:spacing w:line="560" w:lineRule="exact"/>
        <w:ind w:firstLine="436" w:firstLineChars="182"/>
        <w:rPr>
          <w:rFonts w:ascii="仿宋" w:hAnsi="仿宋" w:eastAsia="仿宋" w:cs="仿宋"/>
          <w:sz w:val="24"/>
          <w:highlight w:val="none"/>
        </w:rPr>
      </w:pPr>
    </w:p>
    <w:tbl>
      <w:tblPr>
        <w:tblStyle w:val="25"/>
        <w:tblW w:w="8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356"/>
        <w:gridCol w:w="9"/>
        <w:gridCol w:w="7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年份</w:t>
            </w:r>
          </w:p>
        </w:tc>
        <w:tc>
          <w:tcPr>
            <w:tcW w:w="1440"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用户名称</w:t>
            </w:r>
          </w:p>
        </w:tc>
        <w:tc>
          <w:tcPr>
            <w:tcW w:w="1320"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项目名称</w:t>
            </w:r>
          </w:p>
        </w:tc>
        <w:tc>
          <w:tcPr>
            <w:tcW w:w="1161"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完成时间</w:t>
            </w:r>
          </w:p>
        </w:tc>
        <w:tc>
          <w:tcPr>
            <w:tcW w:w="1260" w:type="dxa"/>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合同金额</w:t>
            </w:r>
          </w:p>
        </w:tc>
        <w:tc>
          <w:tcPr>
            <w:tcW w:w="1374" w:type="dxa"/>
            <w:gridSpan w:val="3"/>
            <w:tcBorders>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是否通过</w:t>
            </w:r>
          </w:p>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验收</w:t>
            </w:r>
          </w:p>
        </w:tc>
        <w:tc>
          <w:tcPr>
            <w:tcW w:w="782" w:type="dxa"/>
            <w:tcBorders>
              <w:lef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560" w:lineRule="exact"/>
              <w:ind w:firstLine="480"/>
              <w:jc w:val="center"/>
              <w:rPr>
                <w:rFonts w:ascii="仿宋" w:hAnsi="仿宋" w:eastAsia="仿宋" w:cs="仿宋"/>
                <w:kern w:val="2"/>
                <w:sz w:val="24"/>
                <w:highlight w:val="none"/>
              </w:rPr>
            </w:pPr>
          </w:p>
        </w:tc>
        <w:tc>
          <w:tcPr>
            <w:tcW w:w="1440" w:type="dxa"/>
            <w:vAlign w:val="center"/>
          </w:tcPr>
          <w:p>
            <w:pPr>
              <w:spacing w:line="560" w:lineRule="exact"/>
              <w:ind w:firstLine="480"/>
              <w:jc w:val="center"/>
              <w:rPr>
                <w:rFonts w:ascii="仿宋" w:hAnsi="仿宋" w:eastAsia="仿宋" w:cs="仿宋"/>
                <w:kern w:val="2"/>
                <w:sz w:val="24"/>
                <w:highlight w:val="none"/>
              </w:rPr>
            </w:pPr>
          </w:p>
        </w:tc>
        <w:tc>
          <w:tcPr>
            <w:tcW w:w="1320" w:type="dxa"/>
            <w:vAlign w:val="center"/>
          </w:tcPr>
          <w:p>
            <w:pPr>
              <w:spacing w:line="560" w:lineRule="exact"/>
              <w:ind w:firstLine="480"/>
              <w:jc w:val="center"/>
              <w:rPr>
                <w:rFonts w:ascii="仿宋" w:hAnsi="仿宋" w:eastAsia="仿宋" w:cs="仿宋"/>
                <w:kern w:val="2"/>
                <w:sz w:val="24"/>
                <w:highlight w:val="none"/>
              </w:rPr>
            </w:pPr>
          </w:p>
        </w:tc>
        <w:tc>
          <w:tcPr>
            <w:tcW w:w="1161" w:type="dxa"/>
            <w:vAlign w:val="center"/>
          </w:tcPr>
          <w:p>
            <w:pPr>
              <w:spacing w:line="560" w:lineRule="exact"/>
              <w:ind w:firstLine="480"/>
              <w:jc w:val="center"/>
              <w:rPr>
                <w:rFonts w:ascii="仿宋" w:hAnsi="仿宋" w:eastAsia="仿宋" w:cs="仿宋"/>
                <w:kern w:val="2"/>
                <w:sz w:val="24"/>
                <w:highlight w:val="none"/>
              </w:rPr>
            </w:pPr>
          </w:p>
        </w:tc>
        <w:tc>
          <w:tcPr>
            <w:tcW w:w="1260" w:type="dxa"/>
            <w:vAlign w:val="center"/>
          </w:tcPr>
          <w:p>
            <w:pPr>
              <w:spacing w:line="560" w:lineRule="exact"/>
              <w:ind w:firstLine="480"/>
              <w:jc w:val="center"/>
              <w:rPr>
                <w:rFonts w:ascii="仿宋" w:hAnsi="仿宋" w:eastAsia="仿宋" w:cs="仿宋"/>
                <w:kern w:val="2"/>
                <w:sz w:val="24"/>
                <w:highlight w:val="none"/>
              </w:rPr>
            </w:pPr>
          </w:p>
        </w:tc>
        <w:tc>
          <w:tcPr>
            <w:tcW w:w="1374" w:type="dxa"/>
            <w:gridSpan w:val="3"/>
            <w:tcBorders>
              <w:right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782" w:type="dxa"/>
            <w:tcBorders>
              <w:left w:val="single" w:color="auto" w:sz="4" w:space="0"/>
            </w:tcBorders>
            <w:vAlign w:val="center"/>
          </w:tcPr>
          <w:p>
            <w:pPr>
              <w:spacing w:line="560" w:lineRule="exact"/>
              <w:ind w:firstLine="480"/>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560" w:lineRule="exact"/>
              <w:ind w:firstLine="480"/>
              <w:jc w:val="center"/>
              <w:rPr>
                <w:rFonts w:ascii="仿宋" w:hAnsi="仿宋" w:eastAsia="仿宋" w:cs="仿宋"/>
                <w:kern w:val="2"/>
                <w:sz w:val="24"/>
                <w:highlight w:val="none"/>
              </w:rPr>
            </w:pPr>
          </w:p>
        </w:tc>
        <w:tc>
          <w:tcPr>
            <w:tcW w:w="1440" w:type="dxa"/>
            <w:vAlign w:val="center"/>
          </w:tcPr>
          <w:p>
            <w:pPr>
              <w:spacing w:line="560" w:lineRule="exact"/>
              <w:ind w:firstLine="480"/>
              <w:jc w:val="center"/>
              <w:rPr>
                <w:rFonts w:ascii="仿宋" w:hAnsi="仿宋" w:eastAsia="仿宋" w:cs="仿宋"/>
                <w:kern w:val="2"/>
                <w:sz w:val="24"/>
                <w:highlight w:val="none"/>
              </w:rPr>
            </w:pPr>
          </w:p>
        </w:tc>
        <w:tc>
          <w:tcPr>
            <w:tcW w:w="1320" w:type="dxa"/>
            <w:vAlign w:val="center"/>
          </w:tcPr>
          <w:p>
            <w:pPr>
              <w:spacing w:line="560" w:lineRule="exact"/>
              <w:ind w:firstLine="480"/>
              <w:jc w:val="center"/>
              <w:rPr>
                <w:rFonts w:ascii="仿宋" w:hAnsi="仿宋" w:eastAsia="仿宋" w:cs="仿宋"/>
                <w:kern w:val="2"/>
                <w:sz w:val="24"/>
                <w:highlight w:val="none"/>
              </w:rPr>
            </w:pPr>
          </w:p>
        </w:tc>
        <w:tc>
          <w:tcPr>
            <w:tcW w:w="1161" w:type="dxa"/>
            <w:vAlign w:val="center"/>
          </w:tcPr>
          <w:p>
            <w:pPr>
              <w:spacing w:line="560" w:lineRule="exact"/>
              <w:ind w:firstLine="480"/>
              <w:jc w:val="center"/>
              <w:rPr>
                <w:rFonts w:ascii="仿宋" w:hAnsi="仿宋" w:eastAsia="仿宋" w:cs="仿宋"/>
                <w:kern w:val="2"/>
                <w:sz w:val="24"/>
                <w:highlight w:val="none"/>
              </w:rPr>
            </w:pPr>
          </w:p>
        </w:tc>
        <w:tc>
          <w:tcPr>
            <w:tcW w:w="1260" w:type="dxa"/>
            <w:vAlign w:val="center"/>
          </w:tcPr>
          <w:p>
            <w:pPr>
              <w:spacing w:line="560" w:lineRule="exact"/>
              <w:ind w:firstLine="480"/>
              <w:jc w:val="center"/>
              <w:rPr>
                <w:rFonts w:ascii="仿宋" w:hAnsi="仿宋" w:eastAsia="仿宋" w:cs="仿宋"/>
                <w:kern w:val="2"/>
                <w:sz w:val="24"/>
                <w:highlight w:val="none"/>
              </w:rPr>
            </w:pPr>
          </w:p>
        </w:tc>
        <w:tc>
          <w:tcPr>
            <w:tcW w:w="1374" w:type="dxa"/>
            <w:gridSpan w:val="3"/>
            <w:tcBorders>
              <w:right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782" w:type="dxa"/>
            <w:tcBorders>
              <w:left w:val="single" w:color="auto" w:sz="4" w:space="0"/>
            </w:tcBorders>
            <w:vAlign w:val="center"/>
          </w:tcPr>
          <w:p>
            <w:pPr>
              <w:spacing w:line="560" w:lineRule="exact"/>
              <w:ind w:firstLine="480"/>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560" w:lineRule="exact"/>
              <w:ind w:firstLine="480"/>
              <w:jc w:val="center"/>
              <w:rPr>
                <w:rFonts w:ascii="仿宋" w:hAnsi="仿宋" w:eastAsia="仿宋" w:cs="仿宋"/>
                <w:kern w:val="2"/>
                <w:sz w:val="24"/>
                <w:highlight w:val="none"/>
              </w:rPr>
            </w:pPr>
          </w:p>
        </w:tc>
        <w:tc>
          <w:tcPr>
            <w:tcW w:w="1440" w:type="dxa"/>
            <w:vAlign w:val="center"/>
          </w:tcPr>
          <w:p>
            <w:pPr>
              <w:spacing w:line="560" w:lineRule="exact"/>
              <w:ind w:firstLine="480"/>
              <w:jc w:val="center"/>
              <w:rPr>
                <w:rFonts w:ascii="仿宋" w:hAnsi="仿宋" w:eastAsia="仿宋" w:cs="仿宋"/>
                <w:kern w:val="2"/>
                <w:sz w:val="24"/>
                <w:highlight w:val="none"/>
              </w:rPr>
            </w:pPr>
          </w:p>
        </w:tc>
        <w:tc>
          <w:tcPr>
            <w:tcW w:w="1320" w:type="dxa"/>
            <w:vAlign w:val="center"/>
          </w:tcPr>
          <w:p>
            <w:pPr>
              <w:spacing w:line="560" w:lineRule="exact"/>
              <w:ind w:firstLine="480"/>
              <w:jc w:val="center"/>
              <w:rPr>
                <w:rFonts w:ascii="仿宋" w:hAnsi="仿宋" w:eastAsia="仿宋" w:cs="仿宋"/>
                <w:kern w:val="2"/>
                <w:sz w:val="24"/>
                <w:highlight w:val="none"/>
              </w:rPr>
            </w:pPr>
          </w:p>
        </w:tc>
        <w:tc>
          <w:tcPr>
            <w:tcW w:w="1161" w:type="dxa"/>
            <w:vAlign w:val="center"/>
          </w:tcPr>
          <w:p>
            <w:pPr>
              <w:spacing w:line="560" w:lineRule="exact"/>
              <w:ind w:firstLine="480"/>
              <w:jc w:val="center"/>
              <w:rPr>
                <w:rFonts w:ascii="仿宋" w:hAnsi="仿宋" w:eastAsia="仿宋" w:cs="仿宋"/>
                <w:kern w:val="2"/>
                <w:sz w:val="24"/>
                <w:highlight w:val="none"/>
              </w:rPr>
            </w:pPr>
          </w:p>
        </w:tc>
        <w:tc>
          <w:tcPr>
            <w:tcW w:w="1269" w:type="dxa"/>
            <w:gridSpan w:val="2"/>
            <w:tcBorders>
              <w:right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1356" w:type="dxa"/>
            <w:tcBorders>
              <w:left w:val="single" w:color="auto" w:sz="4" w:space="0"/>
              <w:right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791" w:type="dxa"/>
            <w:gridSpan w:val="2"/>
            <w:tcBorders>
              <w:left w:val="single" w:color="auto" w:sz="4" w:space="0"/>
            </w:tcBorders>
            <w:vAlign w:val="center"/>
          </w:tcPr>
          <w:p>
            <w:pPr>
              <w:spacing w:line="560" w:lineRule="exact"/>
              <w:ind w:firstLine="480"/>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1440" w:type="dxa"/>
            <w:tcBorders>
              <w:top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1320" w:type="dxa"/>
            <w:tcBorders>
              <w:top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1161" w:type="dxa"/>
            <w:tcBorders>
              <w:top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1269" w:type="dxa"/>
            <w:gridSpan w:val="2"/>
            <w:tcBorders>
              <w:top w:val="single" w:color="auto" w:sz="4" w:space="0"/>
              <w:right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1356" w:type="dxa"/>
            <w:tcBorders>
              <w:top w:val="single" w:color="auto" w:sz="4" w:space="0"/>
              <w:left w:val="single" w:color="auto" w:sz="4" w:space="0"/>
              <w:right w:val="single" w:color="auto" w:sz="4" w:space="0"/>
            </w:tcBorders>
            <w:vAlign w:val="center"/>
          </w:tcPr>
          <w:p>
            <w:pPr>
              <w:spacing w:line="560" w:lineRule="exact"/>
              <w:ind w:firstLine="480"/>
              <w:jc w:val="center"/>
              <w:rPr>
                <w:rFonts w:ascii="仿宋" w:hAnsi="仿宋" w:eastAsia="仿宋" w:cs="仿宋"/>
                <w:kern w:val="2"/>
                <w:sz w:val="24"/>
                <w:highlight w:val="none"/>
              </w:rPr>
            </w:pPr>
          </w:p>
        </w:tc>
        <w:tc>
          <w:tcPr>
            <w:tcW w:w="791" w:type="dxa"/>
            <w:gridSpan w:val="2"/>
            <w:tcBorders>
              <w:top w:val="single" w:color="auto" w:sz="4" w:space="0"/>
              <w:left w:val="single" w:color="auto" w:sz="4" w:space="0"/>
            </w:tcBorders>
            <w:vAlign w:val="center"/>
          </w:tcPr>
          <w:p>
            <w:pPr>
              <w:spacing w:line="560" w:lineRule="exact"/>
              <w:ind w:firstLine="480"/>
              <w:jc w:val="center"/>
              <w:rPr>
                <w:rFonts w:ascii="仿宋" w:hAnsi="仿宋" w:eastAsia="仿宋" w:cs="仿宋"/>
                <w:kern w:val="2"/>
                <w:sz w:val="24"/>
                <w:highlight w:val="none"/>
              </w:rPr>
            </w:pPr>
          </w:p>
        </w:tc>
      </w:tr>
    </w:tbl>
    <w:p>
      <w:pPr>
        <w:spacing w:line="560" w:lineRule="exact"/>
        <w:ind w:right="-228" w:rightChars="-67"/>
        <w:rPr>
          <w:rFonts w:ascii="仿宋" w:hAnsi="仿宋" w:eastAsia="仿宋" w:cs="仿宋"/>
          <w:sz w:val="24"/>
          <w:highlight w:val="none"/>
        </w:rPr>
      </w:pPr>
      <w:r>
        <w:rPr>
          <w:rFonts w:hint="eastAsia" w:ascii="仿宋" w:hAnsi="仿宋" w:eastAsia="仿宋" w:cs="仿宋"/>
          <w:sz w:val="24"/>
          <w:highlight w:val="none"/>
        </w:rPr>
        <w:t>注：</w:t>
      </w:r>
    </w:p>
    <w:p>
      <w:pPr>
        <w:spacing w:line="560" w:lineRule="exact"/>
        <w:ind w:firstLine="480"/>
        <w:rPr>
          <w:rFonts w:ascii="仿宋" w:hAnsi="仿宋" w:eastAsia="仿宋" w:cs="仿宋"/>
          <w:bCs/>
          <w:sz w:val="24"/>
          <w:highlight w:val="none"/>
        </w:rPr>
      </w:pPr>
      <w:r>
        <w:rPr>
          <w:rFonts w:hint="eastAsia" w:ascii="仿宋" w:hAnsi="仿宋" w:eastAsia="仿宋" w:cs="仿宋"/>
          <w:bCs/>
          <w:sz w:val="24"/>
          <w:highlight w:val="none"/>
        </w:rPr>
        <w:t>1.</w:t>
      </w:r>
      <w:r>
        <w:rPr>
          <w:rFonts w:hint="eastAsia" w:ascii="仿宋" w:hAnsi="仿宋" w:eastAsia="仿宋" w:cs="仿宋"/>
          <w:sz w:val="24"/>
          <w:highlight w:val="none"/>
        </w:rPr>
        <w:t>以上表格格式行可增减。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2.业绩证明材料要求详见</w:t>
      </w:r>
      <w:r>
        <w:rPr>
          <w:rFonts w:hint="eastAsia" w:ascii="仿宋" w:hAnsi="仿宋" w:eastAsia="仿宋" w:cs="仿宋"/>
          <w:bCs/>
          <w:sz w:val="24"/>
          <w:highlight w:val="none"/>
        </w:rPr>
        <w:t>综合评分明细表</w:t>
      </w:r>
      <w:r>
        <w:rPr>
          <w:rFonts w:hint="eastAsia" w:ascii="仿宋" w:hAnsi="仿宋" w:eastAsia="仿宋" w:cs="仿宋"/>
          <w:sz w:val="24"/>
          <w:highlight w:val="none"/>
        </w:rPr>
        <w:t>。</w:t>
      </w:r>
    </w:p>
    <w:p>
      <w:pPr>
        <w:spacing w:line="560" w:lineRule="exact"/>
        <w:ind w:left="360"/>
        <w:jc w:val="center"/>
        <w:rPr>
          <w:rFonts w:ascii="仿宋" w:hAnsi="仿宋" w:eastAsia="仿宋" w:cs="仿宋"/>
          <w:sz w:val="24"/>
          <w:highlight w:val="none"/>
        </w:rPr>
      </w:pPr>
    </w:p>
    <w:p>
      <w:pPr>
        <w:spacing w:line="560" w:lineRule="exact"/>
        <w:ind w:firstLine="480"/>
        <w:rPr>
          <w:rFonts w:ascii="仿宋" w:hAnsi="仿宋" w:eastAsia="仿宋" w:cs="仿宋"/>
          <w:sz w:val="24"/>
          <w:highlight w:val="none"/>
        </w:rPr>
      </w:pPr>
      <w:r>
        <w:rPr>
          <w:rFonts w:hint="eastAsia" w:ascii="仿宋" w:hAnsi="仿宋" w:eastAsia="仿宋" w:cs="仿宋"/>
          <w:sz w:val="24"/>
          <w:highlight w:val="none"/>
        </w:rPr>
        <w:t>供应商名称（公章）：</w:t>
      </w:r>
    </w:p>
    <w:p>
      <w:pPr>
        <w:spacing w:line="560" w:lineRule="exact"/>
        <w:ind w:firstLine="480"/>
        <w:rPr>
          <w:rFonts w:ascii="仿宋" w:hAnsi="仿宋" w:eastAsia="仿宋" w:cs="仿宋"/>
          <w:sz w:val="24"/>
          <w:highlight w:val="none"/>
        </w:rPr>
      </w:pPr>
      <w:r>
        <w:rPr>
          <w:rFonts w:hint="eastAsia" w:ascii="仿宋" w:hAnsi="仿宋" w:eastAsia="仿宋" w:cs="仿宋"/>
          <w:sz w:val="24"/>
          <w:highlight w:val="none"/>
        </w:rPr>
        <w:t>日  期：</w:t>
      </w:r>
    </w:p>
    <w:p>
      <w:pPr>
        <w:spacing w:line="560" w:lineRule="exact"/>
        <w:ind w:firstLine="436" w:firstLineChars="182"/>
        <w:rPr>
          <w:rFonts w:ascii="仿宋" w:hAnsi="仿宋" w:eastAsia="仿宋" w:cs="仿宋"/>
          <w:bCs/>
          <w:sz w:val="24"/>
          <w:highlight w:val="none"/>
        </w:rPr>
      </w:pPr>
    </w:p>
    <w:p>
      <w:pPr>
        <w:spacing w:line="560" w:lineRule="exact"/>
        <w:rPr>
          <w:rFonts w:ascii="仿宋" w:hAnsi="仿宋" w:eastAsia="仿宋" w:cs="仿宋"/>
          <w:sz w:val="24"/>
          <w:highlight w:val="none"/>
        </w:rPr>
      </w:pPr>
    </w:p>
    <w:p>
      <w:pPr>
        <w:spacing w:line="560" w:lineRule="exact"/>
        <w:rPr>
          <w:rFonts w:ascii="仿宋" w:hAnsi="仿宋" w:eastAsia="仿宋" w:cs="仿宋"/>
          <w:sz w:val="24"/>
          <w:highlight w:val="none"/>
        </w:rPr>
      </w:pPr>
    </w:p>
    <w:p>
      <w:pPr>
        <w:spacing w:line="560" w:lineRule="exact"/>
        <w:rPr>
          <w:rFonts w:ascii="仿宋" w:hAnsi="仿宋" w:eastAsia="仿宋" w:cs="仿宋"/>
          <w:sz w:val="24"/>
          <w:highlight w:val="none"/>
        </w:rPr>
      </w:pPr>
    </w:p>
    <w:p>
      <w:pPr>
        <w:spacing w:line="560" w:lineRule="exact"/>
        <w:rPr>
          <w:rFonts w:ascii="仿宋" w:hAnsi="仿宋" w:eastAsia="仿宋" w:cs="仿宋"/>
          <w:sz w:val="24"/>
          <w:highlight w:val="none"/>
        </w:rPr>
      </w:pPr>
    </w:p>
    <w:p>
      <w:pPr>
        <w:spacing w:line="460" w:lineRule="exact"/>
        <w:ind w:firstLine="680" w:firstLineChars="200"/>
        <w:rPr>
          <w:rFonts w:ascii="仿宋" w:hAnsi="仿宋" w:eastAsia="仿宋" w:cs="仿宋"/>
          <w:highlight w:val="none"/>
        </w:rPr>
      </w:pPr>
    </w:p>
    <w:p>
      <w:pPr>
        <w:spacing w:line="460" w:lineRule="exact"/>
        <w:ind w:firstLine="680" w:firstLineChars="200"/>
        <w:rPr>
          <w:rFonts w:ascii="仿宋" w:hAnsi="仿宋" w:eastAsia="仿宋" w:cs="仿宋"/>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服务偏离表</w:t>
      </w:r>
    </w:p>
    <w:p>
      <w:pPr>
        <w:pStyle w:val="52"/>
        <w:spacing w:line="560" w:lineRule="exact"/>
        <w:ind w:firstLine="0"/>
        <w:rPr>
          <w:rFonts w:ascii="仿宋" w:hAnsi="仿宋" w:eastAsia="仿宋" w:cs="仿宋"/>
          <w:sz w:val="24"/>
          <w:szCs w:val="24"/>
          <w:highlight w:val="none"/>
        </w:rPr>
      </w:pPr>
      <w:r>
        <w:rPr>
          <w:rFonts w:hint="eastAsia" w:ascii="仿宋" w:hAnsi="仿宋" w:eastAsia="仿宋" w:cs="仿宋"/>
          <w:sz w:val="24"/>
          <w:szCs w:val="24"/>
          <w:highlight w:val="none"/>
        </w:rPr>
        <w:t>采购项目名称：</w:t>
      </w:r>
    </w:p>
    <w:p>
      <w:pPr>
        <w:pStyle w:val="52"/>
        <w:spacing w:line="560" w:lineRule="exact"/>
        <w:ind w:firstLine="0"/>
        <w:rPr>
          <w:rFonts w:ascii="仿宋" w:hAnsi="仿宋" w:eastAsia="仿宋" w:cs="仿宋"/>
          <w:sz w:val="24"/>
          <w:szCs w:val="24"/>
          <w:highlight w:val="none"/>
        </w:rPr>
      </w:pPr>
      <w:r>
        <w:rPr>
          <w:rFonts w:hint="eastAsia" w:ascii="仿宋" w:hAnsi="仿宋" w:eastAsia="仿宋" w:cs="仿宋"/>
          <w:sz w:val="24"/>
          <w:szCs w:val="24"/>
          <w:highlight w:val="none"/>
        </w:rPr>
        <w:t>采购项目编号：</w:t>
      </w:r>
    </w:p>
    <w:tbl>
      <w:tblPr>
        <w:tblStyle w:val="25"/>
        <w:tblW w:w="9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000"/>
        <w:gridCol w:w="2000"/>
        <w:gridCol w:w="2935"/>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708" w:type="dxa"/>
            <w:vAlign w:val="center"/>
          </w:tcPr>
          <w:p>
            <w:pPr>
              <w:spacing w:before="60" w:after="6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序号</w:t>
            </w:r>
          </w:p>
        </w:tc>
        <w:tc>
          <w:tcPr>
            <w:tcW w:w="2000" w:type="dxa"/>
            <w:vAlign w:val="center"/>
          </w:tcPr>
          <w:p>
            <w:pPr>
              <w:spacing w:before="60" w:after="6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磋商文件条目号</w:t>
            </w:r>
          </w:p>
        </w:tc>
        <w:tc>
          <w:tcPr>
            <w:tcW w:w="2000" w:type="dxa"/>
            <w:vAlign w:val="center"/>
          </w:tcPr>
          <w:p>
            <w:pPr>
              <w:spacing w:before="60" w:after="6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磋商文件要求</w:t>
            </w:r>
          </w:p>
        </w:tc>
        <w:tc>
          <w:tcPr>
            <w:tcW w:w="2935" w:type="dxa"/>
            <w:vAlign w:val="center"/>
          </w:tcPr>
          <w:p>
            <w:pPr>
              <w:spacing w:before="60" w:after="6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磋商响应文件响应说明</w:t>
            </w:r>
          </w:p>
        </w:tc>
        <w:tc>
          <w:tcPr>
            <w:tcW w:w="1381" w:type="dxa"/>
            <w:vAlign w:val="center"/>
          </w:tcPr>
          <w:p>
            <w:pPr>
              <w:spacing w:before="60" w:after="6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08"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935" w:type="dxa"/>
          </w:tcPr>
          <w:p>
            <w:pPr>
              <w:spacing w:before="120" w:after="120"/>
              <w:rPr>
                <w:rFonts w:ascii="仿宋" w:hAnsi="仿宋" w:eastAsia="仿宋" w:cs="仿宋"/>
                <w:kern w:val="2"/>
                <w:sz w:val="21"/>
                <w:szCs w:val="21"/>
                <w:highlight w:val="none"/>
              </w:rPr>
            </w:pPr>
          </w:p>
        </w:tc>
        <w:tc>
          <w:tcPr>
            <w:tcW w:w="1381" w:type="dxa"/>
          </w:tcPr>
          <w:p>
            <w:pPr>
              <w:spacing w:before="120" w:after="120"/>
              <w:rPr>
                <w:rFonts w:ascii="仿宋" w:hAnsi="仿宋" w:eastAsia="仿宋" w:cs="仿宋"/>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08"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935" w:type="dxa"/>
          </w:tcPr>
          <w:p>
            <w:pPr>
              <w:spacing w:before="120" w:after="120"/>
              <w:rPr>
                <w:rFonts w:ascii="仿宋" w:hAnsi="仿宋" w:eastAsia="仿宋" w:cs="仿宋"/>
                <w:kern w:val="2"/>
                <w:sz w:val="21"/>
                <w:szCs w:val="21"/>
                <w:highlight w:val="none"/>
              </w:rPr>
            </w:pPr>
          </w:p>
        </w:tc>
        <w:tc>
          <w:tcPr>
            <w:tcW w:w="1381" w:type="dxa"/>
          </w:tcPr>
          <w:p>
            <w:pPr>
              <w:spacing w:before="120" w:after="120"/>
              <w:rPr>
                <w:rFonts w:ascii="仿宋" w:hAnsi="仿宋" w:eastAsia="仿宋" w:cs="仿宋"/>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08"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935" w:type="dxa"/>
          </w:tcPr>
          <w:p>
            <w:pPr>
              <w:spacing w:before="120" w:after="120"/>
              <w:rPr>
                <w:rFonts w:ascii="仿宋" w:hAnsi="仿宋" w:eastAsia="仿宋" w:cs="仿宋"/>
                <w:kern w:val="2"/>
                <w:sz w:val="21"/>
                <w:szCs w:val="21"/>
                <w:highlight w:val="none"/>
              </w:rPr>
            </w:pPr>
          </w:p>
        </w:tc>
        <w:tc>
          <w:tcPr>
            <w:tcW w:w="1381" w:type="dxa"/>
          </w:tcPr>
          <w:p>
            <w:pPr>
              <w:spacing w:before="120" w:after="120"/>
              <w:rPr>
                <w:rFonts w:ascii="仿宋" w:hAnsi="仿宋" w:eastAsia="仿宋" w:cs="仿宋"/>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08"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935" w:type="dxa"/>
          </w:tcPr>
          <w:p>
            <w:pPr>
              <w:spacing w:before="120" w:after="120"/>
              <w:rPr>
                <w:rFonts w:ascii="仿宋" w:hAnsi="仿宋" w:eastAsia="仿宋" w:cs="仿宋"/>
                <w:kern w:val="2"/>
                <w:sz w:val="21"/>
                <w:szCs w:val="21"/>
                <w:highlight w:val="none"/>
              </w:rPr>
            </w:pPr>
          </w:p>
        </w:tc>
        <w:tc>
          <w:tcPr>
            <w:tcW w:w="1381" w:type="dxa"/>
          </w:tcPr>
          <w:p>
            <w:pPr>
              <w:spacing w:before="120" w:after="120"/>
              <w:rPr>
                <w:rFonts w:ascii="仿宋" w:hAnsi="仿宋" w:eastAsia="仿宋" w:cs="仿宋"/>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08"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935" w:type="dxa"/>
          </w:tcPr>
          <w:p>
            <w:pPr>
              <w:spacing w:before="120" w:after="120"/>
              <w:rPr>
                <w:rFonts w:ascii="仿宋" w:hAnsi="仿宋" w:eastAsia="仿宋" w:cs="仿宋"/>
                <w:kern w:val="2"/>
                <w:sz w:val="21"/>
                <w:szCs w:val="21"/>
                <w:highlight w:val="none"/>
              </w:rPr>
            </w:pPr>
          </w:p>
        </w:tc>
        <w:tc>
          <w:tcPr>
            <w:tcW w:w="1381" w:type="dxa"/>
          </w:tcPr>
          <w:p>
            <w:pPr>
              <w:spacing w:before="120" w:after="120"/>
              <w:rPr>
                <w:rFonts w:ascii="仿宋" w:hAnsi="仿宋" w:eastAsia="仿宋" w:cs="仿宋"/>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708"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000" w:type="dxa"/>
          </w:tcPr>
          <w:p>
            <w:pPr>
              <w:spacing w:before="120" w:after="120"/>
              <w:rPr>
                <w:rFonts w:ascii="仿宋" w:hAnsi="仿宋" w:eastAsia="仿宋" w:cs="仿宋"/>
                <w:kern w:val="2"/>
                <w:sz w:val="21"/>
                <w:szCs w:val="21"/>
                <w:highlight w:val="none"/>
              </w:rPr>
            </w:pPr>
          </w:p>
        </w:tc>
        <w:tc>
          <w:tcPr>
            <w:tcW w:w="2935" w:type="dxa"/>
          </w:tcPr>
          <w:p>
            <w:pPr>
              <w:spacing w:before="120" w:after="120"/>
              <w:rPr>
                <w:rFonts w:ascii="仿宋" w:hAnsi="仿宋" w:eastAsia="仿宋" w:cs="仿宋"/>
                <w:kern w:val="2"/>
                <w:sz w:val="21"/>
                <w:szCs w:val="21"/>
                <w:highlight w:val="none"/>
              </w:rPr>
            </w:pPr>
          </w:p>
        </w:tc>
        <w:tc>
          <w:tcPr>
            <w:tcW w:w="1381" w:type="dxa"/>
          </w:tcPr>
          <w:p>
            <w:pPr>
              <w:spacing w:before="120" w:after="120"/>
              <w:rPr>
                <w:rFonts w:ascii="仿宋" w:hAnsi="仿宋" w:eastAsia="仿宋" w:cs="仿宋"/>
                <w:kern w:val="2"/>
                <w:sz w:val="21"/>
                <w:szCs w:val="21"/>
                <w:highlight w:val="none"/>
              </w:rPr>
            </w:pPr>
          </w:p>
        </w:tc>
      </w:tr>
    </w:tbl>
    <w:p>
      <w:pPr>
        <w:spacing w:line="400" w:lineRule="exact"/>
        <w:ind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 xml:space="preserve">供应商名称（公章）：         </w:t>
      </w:r>
    </w:p>
    <w:p>
      <w:pPr>
        <w:spacing w:line="400" w:lineRule="exact"/>
        <w:ind w:firstLine="420" w:firstLineChars="175"/>
        <w:rPr>
          <w:rFonts w:ascii="仿宋" w:hAnsi="仿宋" w:eastAsia="仿宋" w:cs="仿宋"/>
          <w:sz w:val="24"/>
          <w:szCs w:val="24"/>
          <w:highlight w:val="none"/>
        </w:rPr>
      </w:pPr>
      <w:r>
        <w:rPr>
          <w:rFonts w:hint="eastAsia" w:ascii="仿宋" w:hAnsi="仿宋" w:eastAsia="仿宋" w:cs="仿宋"/>
          <w:sz w:val="24"/>
          <w:szCs w:val="24"/>
          <w:highlight w:val="none"/>
        </w:rPr>
        <w:t>日期：</w:t>
      </w:r>
    </w:p>
    <w:p>
      <w:pPr>
        <w:spacing w:line="400" w:lineRule="exact"/>
        <w:rPr>
          <w:rFonts w:ascii="仿宋" w:hAnsi="仿宋" w:eastAsia="仿宋" w:cs="仿宋"/>
          <w:sz w:val="24"/>
          <w:szCs w:val="24"/>
          <w:highlight w:val="none"/>
        </w:rPr>
      </w:pPr>
    </w:p>
    <w:p>
      <w:pPr>
        <w:spacing w:line="400" w:lineRule="exact"/>
        <w:rPr>
          <w:rFonts w:ascii="仿宋" w:hAnsi="仿宋" w:eastAsia="仿宋" w:cs="仿宋"/>
          <w:sz w:val="24"/>
          <w:szCs w:val="24"/>
          <w:highlight w:val="none"/>
        </w:rPr>
      </w:pPr>
      <w:r>
        <w:rPr>
          <w:rFonts w:hint="eastAsia" w:ascii="仿宋" w:hAnsi="仿宋" w:eastAsia="仿宋" w:cs="仿宋"/>
          <w:sz w:val="24"/>
          <w:szCs w:val="24"/>
          <w:highlight w:val="none"/>
        </w:rPr>
        <w:t>注：</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1、以上表格格式行可增减。</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供应商必须据实填写，不得虚假应答，否则将取消其报价或成交资格。如与磋商文件所列服务相关条款无偏离（包括正偏离和负偏离），则无须逐条应答。如有偏离条款，请将偏离条款逐条应答。未明确偏离的条款，视为默认接受，供应商不得籍未作应答而拒不接受。</w:t>
      </w:r>
    </w:p>
    <w:p>
      <w:pPr>
        <w:rPr>
          <w:highlight w:val="none"/>
        </w:rPr>
      </w:pPr>
    </w:p>
    <w:p>
      <w:pPr>
        <w:spacing w:line="460" w:lineRule="exact"/>
        <w:ind w:firstLine="560" w:firstLineChars="200"/>
        <w:rPr>
          <w:rFonts w:ascii="仿宋" w:hAnsi="仿宋" w:eastAsia="仿宋" w:cs="仿宋"/>
          <w:sz w:val="28"/>
          <w:szCs w:val="28"/>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商务应答表</w:t>
      </w:r>
    </w:p>
    <w:p>
      <w:pPr>
        <w:pStyle w:val="52"/>
        <w:spacing w:line="560" w:lineRule="exact"/>
        <w:ind w:firstLine="0"/>
        <w:rPr>
          <w:rFonts w:ascii="仿宋" w:hAnsi="仿宋" w:eastAsia="仿宋" w:cs="仿宋"/>
          <w:sz w:val="24"/>
          <w:szCs w:val="24"/>
          <w:highlight w:val="none"/>
        </w:rPr>
      </w:pPr>
    </w:p>
    <w:p>
      <w:pPr>
        <w:pStyle w:val="52"/>
        <w:spacing w:line="560" w:lineRule="exact"/>
        <w:ind w:firstLine="0"/>
        <w:rPr>
          <w:rFonts w:ascii="仿宋" w:hAnsi="仿宋" w:eastAsia="仿宋" w:cs="仿宋"/>
          <w:sz w:val="24"/>
          <w:szCs w:val="24"/>
          <w:highlight w:val="none"/>
        </w:rPr>
      </w:pPr>
      <w:r>
        <w:rPr>
          <w:rFonts w:hint="eastAsia" w:ascii="仿宋" w:hAnsi="仿宋" w:eastAsia="仿宋" w:cs="仿宋"/>
          <w:sz w:val="24"/>
          <w:szCs w:val="24"/>
          <w:highlight w:val="none"/>
        </w:rPr>
        <w:t>采购项目名称：</w:t>
      </w:r>
    </w:p>
    <w:p>
      <w:pPr>
        <w:pStyle w:val="52"/>
        <w:spacing w:line="560" w:lineRule="exact"/>
        <w:ind w:firstLine="0"/>
        <w:rPr>
          <w:rFonts w:ascii="仿宋" w:hAnsi="仿宋" w:eastAsia="仿宋" w:cs="仿宋"/>
          <w:sz w:val="24"/>
          <w:szCs w:val="24"/>
          <w:highlight w:val="none"/>
        </w:rPr>
      </w:pPr>
      <w:r>
        <w:rPr>
          <w:rFonts w:hint="eastAsia" w:ascii="仿宋" w:hAnsi="仿宋" w:eastAsia="仿宋" w:cs="仿宋"/>
          <w:sz w:val="24"/>
          <w:szCs w:val="24"/>
          <w:highlight w:val="none"/>
        </w:rPr>
        <w:t>采购项目编号：</w:t>
      </w:r>
    </w:p>
    <w:p>
      <w:pPr>
        <w:pStyle w:val="52"/>
        <w:spacing w:line="560" w:lineRule="exact"/>
        <w:ind w:firstLine="0"/>
        <w:rPr>
          <w:rFonts w:ascii="仿宋" w:hAnsi="仿宋" w:eastAsia="仿宋" w:cs="仿宋"/>
          <w:sz w:val="24"/>
          <w:szCs w:val="24"/>
          <w:highlight w:val="none"/>
        </w:rPr>
      </w:pPr>
    </w:p>
    <w:tbl>
      <w:tblPr>
        <w:tblStyle w:val="25"/>
        <w:tblW w:w="8898" w:type="dxa"/>
        <w:tblInd w:w="108" w:type="dxa"/>
        <w:tblLayout w:type="fixed"/>
        <w:tblCellMar>
          <w:top w:w="0" w:type="dxa"/>
          <w:left w:w="108" w:type="dxa"/>
          <w:bottom w:w="0" w:type="dxa"/>
          <w:right w:w="108" w:type="dxa"/>
        </w:tblCellMar>
      </w:tblPr>
      <w:tblGrid>
        <w:gridCol w:w="1227"/>
        <w:gridCol w:w="3688"/>
        <w:gridCol w:w="3983"/>
      </w:tblGrid>
      <w:tr>
        <w:tblPrEx>
          <w:tblCellMar>
            <w:top w:w="0" w:type="dxa"/>
            <w:left w:w="108" w:type="dxa"/>
            <w:bottom w:w="0" w:type="dxa"/>
            <w:right w:w="108" w:type="dxa"/>
          </w:tblCellMar>
        </w:tblPrEx>
        <w:trPr>
          <w:trHeight w:val="1015" w:hRule="exact"/>
        </w:trPr>
        <w:tc>
          <w:tcPr>
            <w:tcW w:w="122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序号</w:t>
            </w:r>
          </w:p>
        </w:tc>
        <w:tc>
          <w:tcPr>
            <w:tcW w:w="3688" w:type="dxa"/>
            <w:tcBorders>
              <w:top w:val="single" w:color="auto" w:sz="6" w:space="0"/>
              <w:left w:val="single" w:color="auto" w:sz="6" w:space="0"/>
              <w:bottom w:val="single" w:color="auto" w:sz="4" w:space="0"/>
              <w:right w:val="single" w:color="auto" w:sz="6"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商务要求</w:t>
            </w:r>
          </w:p>
        </w:tc>
        <w:tc>
          <w:tcPr>
            <w:tcW w:w="3983" w:type="dxa"/>
            <w:tcBorders>
              <w:top w:val="single" w:color="auto" w:sz="6" w:space="0"/>
              <w:left w:val="single" w:color="auto" w:sz="6" w:space="0"/>
              <w:bottom w:val="single" w:color="auto" w:sz="4" w:space="0"/>
              <w:right w:val="single" w:color="auto" w:sz="6"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磋商应答（响应或不响应）</w:t>
            </w:r>
          </w:p>
        </w:tc>
      </w:tr>
      <w:tr>
        <w:tblPrEx>
          <w:tblCellMar>
            <w:top w:w="0" w:type="dxa"/>
            <w:left w:w="108" w:type="dxa"/>
            <w:bottom w:w="0" w:type="dxa"/>
            <w:right w:w="108" w:type="dxa"/>
          </w:tblCellMar>
        </w:tblPrEx>
        <w:trPr>
          <w:trHeight w:val="799" w:hRule="exact"/>
        </w:trPr>
        <w:tc>
          <w:tcPr>
            <w:tcW w:w="122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1</w:t>
            </w:r>
          </w:p>
        </w:tc>
        <w:tc>
          <w:tcPr>
            <w:tcW w:w="3688" w:type="dxa"/>
            <w:tcBorders>
              <w:top w:val="single" w:color="auto" w:sz="6" w:space="0"/>
              <w:left w:val="single" w:color="auto" w:sz="6"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bCs/>
                <w:kern w:val="2"/>
                <w:sz w:val="24"/>
                <w:szCs w:val="24"/>
                <w:highlight w:val="none"/>
              </w:rPr>
              <w:t>服务期限</w:t>
            </w:r>
          </w:p>
        </w:tc>
        <w:tc>
          <w:tcPr>
            <w:tcW w:w="3983" w:type="dxa"/>
            <w:tcBorders>
              <w:top w:val="single" w:color="auto" w:sz="6" w:space="0"/>
              <w:left w:val="single" w:color="auto" w:sz="4" w:space="0"/>
              <w:bottom w:val="single" w:color="auto" w:sz="4" w:space="0"/>
              <w:right w:val="single" w:color="auto" w:sz="6" w:space="0"/>
            </w:tcBorders>
            <w:vAlign w:val="center"/>
          </w:tcPr>
          <w:p>
            <w:pPr>
              <w:spacing w:line="560" w:lineRule="exact"/>
              <w:jc w:val="center"/>
              <w:rPr>
                <w:rFonts w:ascii="仿宋" w:hAnsi="仿宋" w:eastAsia="仿宋" w:cs="仿宋"/>
                <w:kern w:val="2"/>
                <w:sz w:val="24"/>
                <w:highlight w:val="none"/>
              </w:rPr>
            </w:pPr>
          </w:p>
        </w:tc>
      </w:tr>
      <w:tr>
        <w:tblPrEx>
          <w:tblCellMar>
            <w:top w:w="0" w:type="dxa"/>
            <w:left w:w="108" w:type="dxa"/>
            <w:bottom w:w="0" w:type="dxa"/>
            <w:right w:w="108" w:type="dxa"/>
          </w:tblCellMar>
        </w:tblPrEx>
        <w:trPr>
          <w:trHeight w:val="732" w:hRule="exact"/>
        </w:trPr>
        <w:tc>
          <w:tcPr>
            <w:tcW w:w="1227" w:type="dxa"/>
            <w:tcBorders>
              <w:top w:val="single" w:color="auto" w:sz="6" w:space="0"/>
              <w:left w:val="single" w:color="auto" w:sz="6" w:space="0"/>
              <w:bottom w:val="single" w:color="auto" w:sz="6"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2</w:t>
            </w:r>
          </w:p>
        </w:tc>
        <w:tc>
          <w:tcPr>
            <w:tcW w:w="368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bCs/>
                <w:kern w:val="2"/>
                <w:sz w:val="24"/>
                <w:szCs w:val="24"/>
                <w:highlight w:val="none"/>
              </w:rPr>
              <w:t>服务地点</w:t>
            </w:r>
          </w:p>
        </w:tc>
        <w:tc>
          <w:tcPr>
            <w:tcW w:w="398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p>
        </w:tc>
      </w:tr>
      <w:tr>
        <w:tblPrEx>
          <w:tblCellMar>
            <w:top w:w="0" w:type="dxa"/>
            <w:left w:w="108" w:type="dxa"/>
            <w:bottom w:w="0" w:type="dxa"/>
            <w:right w:w="108" w:type="dxa"/>
          </w:tblCellMar>
        </w:tblPrEx>
        <w:trPr>
          <w:trHeight w:val="638" w:hRule="exact"/>
        </w:trPr>
        <w:tc>
          <w:tcPr>
            <w:tcW w:w="1227" w:type="dxa"/>
            <w:tcBorders>
              <w:top w:val="single" w:color="auto" w:sz="6" w:space="0"/>
              <w:left w:val="single" w:color="auto" w:sz="6" w:space="0"/>
              <w:bottom w:val="single" w:color="auto" w:sz="6"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3</w:t>
            </w:r>
          </w:p>
        </w:tc>
        <w:tc>
          <w:tcPr>
            <w:tcW w:w="368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bCs/>
                <w:kern w:val="2"/>
                <w:sz w:val="24"/>
                <w:szCs w:val="24"/>
                <w:highlight w:val="none"/>
              </w:rPr>
              <w:t>付款方式</w:t>
            </w:r>
          </w:p>
        </w:tc>
        <w:tc>
          <w:tcPr>
            <w:tcW w:w="398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p>
        </w:tc>
      </w:tr>
      <w:tr>
        <w:trPr>
          <w:trHeight w:val="687" w:hRule="exact"/>
        </w:trPr>
        <w:tc>
          <w:tcPr>
            <w:tcW w:w="1227" w:type="dxa"/>
            <w:tcBorders>
              <w:top w:val="single" w:color="auto" w:sz="6" w:space="0"/>
              <w:left w:val="single" w:color="auto" w:sz="6" w:space="0"/>
              <w:bottom w:val="single" w:color="auto" w:sz="6"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4</w:t>
            </w:r>
          </w:p>
        </w:tc>
        <w:tc>
          <w:tcPr>
            <w:tcW w:w="368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bCs/>
                <w:kern w:val="2"/>
                <w:sz w:val="24"/>
                <w:szCs w:val="24"/>
                <w:highlight w:val="none"/>
              </w:rPr>
              <w:t>验收标准</w:t>
            </w:r>
          </w:p>
        </w:tc>
        <w:tc>
          <w:tcPr>
            <w:tcW w:w="398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p>
        </w:tc>
      </w:tr>
      <w:tr>
        <w:tblPrEx>
          <w:tblCellMar>
            <w:top w:w="0" w:type="dxa"/>
            <w:left w:w="108" w:type="dxa"/>
            <w:bottom w:w="0" w:type="dxa"/>
            <w:right w:w="108" w:type="dxa"/>
          </w:tblCellMar>
        </w:tblPrEx>
        <w:trPr>
          <w:trHeight w:val="687" w:hRule="exact"/>
        </w:trPr>
        <w:tc>
          <w:tcPr>
            <w:tcW w:w="1227" w:type="dxa"/>
            <w:tcBorders>
              <w:top w:val="single" w:color="auto" w:sz="6" w:space="0"/>
              <w:left w:val="single" w:color="auto" w:sz="6" w:space="0"/>
              <w:bottom w:val="single" w:color="auto" w:sz="6"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5</w:t>
            </w:r>
          </w:p>
        </w:tc>
        <w:tc>
          <w:tcPr>
            <w:tcW w:w="368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Cs/>
                <w:kern w:val="2"/>
                <w:sz w:val="24"/>
                <w:szCs w:val="24"/>
                <w:highlight w:val="none"/>
              </w:rPr>
            </w:pPr>
            <w:r>
              <w:rPr>
                <w:rFonts w:hint="eastAsia" w:ascii="仿宋" w:hAnsi="仿宋" w:eastAsia="仿宋" w:cs="仿宋"/>
                <w:bCs/>
                <w:kern w:val="2"/>
                <w:sz w:val="24"/>
                <w:szCs w:val="24"/>
                <w:highlight w:val="none"/>
              </w:rPr>
              <w:t>违约责任</w:t>
            </w:r>
          </w:p>
        </w:tc>
        <w:tc>
          <w:tcPr>
            <w:tcW w:w="398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p>
        </w:tc>
      </w:tr>
      <w:tr>
        <w:trPr>
          <w:trHeight w:val="687" w:hRule="exact"/>
        </w:trPr>
        <w:tc>
          <w:tcPr>
            <w:tcW w:w="1227" w:type="dxa"/>
            <w:tcBorders>
              <w:top w:val="single" w:color="auto" w:sz="6" w:space="0"/>
              <w:left w:val="single" w:color="auto" w:sz="6" w:space="0"/>
              <w:bottom w:val="single" w:color="auto" w:sz="6" w:space="0"/>
              <w:right w:val="single" w:color="auto" w:sz="4" w:space="0"/>
            </w:tcBorders>
            <w:vAlign w:val="center"/>
          </w:tcPr>
          <w:p>
            <w:pPr>
              <w:spacing w:line="560" w:lineRule="exact"/>
              <w:jc w:val="center"/>
              <w:rPr>
                <w:rFonts w:ascii="仿宋" w:hAnsi="仿宋" w:eastAsia="仿宋" w:cs="仿宋"/>
                <w:kern w:val="2"/>
                <w:sz w:val="24"/>
                <w:highlight w:val="none"/>
              </w:rPr>
            </w:pPr>
            <w:r>
              <w:rPr>
                <w:rFonts w:hint="eastAsia" w:ascii="仿宋" w:hAnsi="仿宋" w:eastAsia="仿宋" w:cs="仿宋"/>
                <w:kern w:val="2"/>
                <w:sz w:val="24"/>
                <w:highlight w:val="none"/>
              </w:rPr>
              <w:t>6</w:t>
            </w:r>
          </w:p>
        </w:tc>
        <w:tc>
          <w:tcPr>
            <w:tcW w:w="368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Cs/>
                <w:kern w:val="2"/>
                <w:sz w:val="24"/>
                <w:szCs w:val="24"/>
                <w:highlight w:val="none"/>
              </w:rPr>
            </w:pPr>
            <w:r>
              <w:rPr>
                <w:rFonts w:hint="eastAsia" w:ascii="仿宋" w:hAnsi="仿宋" w:eastAsia="仿宋" w:cs="仿宋"/>
                <w:bCs/>
                <w:kern w:val="2"/>
                <w:sz w:val="24"/>
                <w:szCs w:val="24"/>
                <w:highlight w:val="none"/>
              </w:rPr>
              <w:t>考核标准</w:t>
            </w:r>
          </w:p>
        </w:tc>
        <w:tc>
          <w:tcPr>
            <w:tcW w:w="398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kern w:val="2"/>
                <w:sz w:val="24"/>
                <w:highlight w:val="none"/>
              </w:rPr>
            </w:pPr>
          </w:p>
        </w:tc>
      </w:tr>
    </w:tbl>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注：供应商必须据实填写，不得虚假响应，否则将取消其成交资格。</w:t>
      </w:r>
    </w:p>
    <w:p>
      <w:pPr>
        <w:spacing w:line="560" w:lineRule="exact"/>
        <w:ind w:firstLine="523"/>
        <w:rPr>
          <w:rFonts w:ascii="仿宋" w:hAnsi="仿宋" w:eastAsia="仿宋" w:cs="仿宋"/>
          <w:sz w:val="24"/>
          <w:highlight w:val="none"/>
        </w:rPr>
      </w:pPr>
    </w:p>
    <w:p>
      <w:pPr>
        <w:spacing w:line="560" w:lineRule="exact"/>
        <w:ind w:firstLine="480"/>
        <w:rPr>
          <w:rFonts w:ascii="仿宋" w:hAnsi="仿宋" w:eastAsia="仿宋" w:cs="仿宋"/>
          <w:sz w:val="24"/>
          <w:highlight w:val="none"/>
        </w:rPr>
      </w:pPr>
    </w:p>
    <w:p>
      <w:pPr>
        <w:spacing w:line="560" w:lineRule="exact"/>
        <w:ind w:firstLine="480"/>
        <w:rPr>
          <w:rFonts w:ascii="仿宋" w:hAnsi="仿宋" w:eastAsia="仿宋" w:cs="仿宋"/>
          <w:sz w:val="24"/>
          <w:highlight w:val="none"/>
        </w:rPr>
      </w:pPr>
      <w:r>
        <w:rPr>
          <w:rFonts w:hint="eastAsia" w:ascii="仿宋" w:hAnsi="仿宋" w:eastAsia="仿宋" w:cs="仿宋"/>
          <w:sz w:val="24"/>
          <w:highlight w:val="none"/>
        </w:rPr>
        <w:t>供应商名称（公章）：</w:t>
      </w:r>
    </w:p>
    <w:p>
      <w:pPr>
        <w:spacing w:line="560" w:lineRule="exact"/>
        <w:ind w:firstLine="480"/>
        <w:rPr>
          <w:rFonts w:ascii="仿宋" w:hAnsi="仿宋" w:eastAsia="仿宋" w:cs="仿宋"/>
          <w:bCs/>
          <w:sz w:val="24"/>
          <w:highlight w:val="none"/>
        </w:rPr>
      </w:pPr>
      <w:r>
        <w:rPr>
          <w:rFonts w:hint="eastAsia" w:ascii="仿宋" w:hAnsi="仿宋" w:eastAsia="仿宋" w:cs="仿宋"/>
          <w:sz w:val="24"/>
          <w:highlight w:val="none"/>
        </w:rPr>
        <w:t>日  期:</w:t>
      </w:r>
      <w:r>
        <w:rPr>
          <w:rFonts w:hint="eastAsia" w:ascii="仿宋" w:hAnsi="仿宋" w:eastAsia="仿宋" w:cs="仿宋"/>
          <w:bCs/>
          <w:sz w:val="24"/>
          <w:highlight w:val="none"/>
        </w:rPr>
        <w:t xml:space="preserve">   </w:t>
      </w:r>
    </w:p>
    <w:p>
      <w:pPr>
        <w:spacing w:line="560" w:lineRule="exact"/>
        <w:ind w:firstLine="480"/>
        <w:rPr>
          <w:rFonts w:ascii="仿宋" w:hAnsi="仿宋" w:eastAsia="仿宋" w:cs="仿宋"/>
          <w:bCs/>
          <w:sz w:val="24"/>
          <w:highlight w:val="none"/>
        </w:rPr>
      </w:pPr>
    </w:p>
    <w:p>
      <w:pPr>
        <w:spacing w:line="560" w:lineRule="exact"/>
        <w:ind w:firstLine="480"/>
        <w:rPr>
          <w:rFonts w:ascii="仿宋" w:hAnsi="仿宋" w:eastAsia="仿宋" w:cs="仿宋"/>
          <w:bCs/>
          <w:sz w:val="24"/>
          <w:highlight w:val="none"/>
        </w:rPr>
      </w:pPr>
    </w:p>
    <w:p>
      <w:pPr>
        <w:spacing w:line="560" w:lineRule="exact"/>
        <w:rPr>
          <w:rFonts w:ascii="仿宋" w:hAnsi="仿宋" w:eastAsia="仿宋" w:cs="仿宋"/>
          <w:sz w:val="24"/>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sz w:val="28"/>
          <w:szCs w:val="28"/>
          <w:highlight w:val="none"/>
        </w:rPr>
        <w:br w:type="page"/>
      </w:r>
      <w:r>
        <w:rPr>
          <w:rFonts w:hint="eastAsia" w:ascii="仿宋" w:hAnsi="仿宋" w:eastAsia="仿宋" w:cs="仿宋"/>
          <w:b/>
          <w:bCs/>
          <w:sz w:val="28"/>
          <w:szCs w:val="28"/>
          <w:highlight w:val="none"/>
        </w:rPr>
        <w:t>本项目的技术方案、项目实施方案</w:t>
      </w:r>
    </w:p>
    <w:p>
      <w:pPr>
        <w:spacing w:line="560" w:lineRule="exact"/>
        <w:ind w:firstLine="120" w:firstLineChars="50"/>
        <w:rPr>
          <w:rFonts w:ascii="仿宋" w:hAnsi="仿宋" w:eastAsia="仿宋" w:cs="仿宋"/>
          <w:sz w:val="24"/>
          <w:highlight w:val="none"/>
        </w:rPr>
      </w:pPr>
      <w:r>
        <w:rPr>
          <w:rFonts w:hint="eastAsia" w:ascii="仿宋" w:hAnsi="仿宋" w:eastAsia="仿宋" w:cs="仿宋"/>
          <w:sz w:val="24"/>
          <w:highlight w:val="none"/>
        </w:rPr>
        <w:t>采购项目名称：</w:t>
      </w:r>
    </w:p>
    <w:p>
      <w:pPr>
        <w:spacing w:line="560" w:lineRule="exact"/>
        <w:ind w:firstLine="120" w:firstLineChars="50"/>
        <w:rPr>
          <w:rFonts w:ascii="仿宋" w:hAnsi="仿宋" w:eastAsia="仿宋" w:cs="仿宋"/>
          <w:sz w:val="24"/>
          <w:highlight w:val="none"/>
        </w:rPr>
      </w:pPr>
      <w:r>
        <w:rPr>
          <w:rFonts w:hint="eastAsia" w:ascii="仿宋" w:hAnsi="仿宋" w:eastAsia="仿宋" w:cs="仿宋"/>
          <w:sz w:val="24"/>
          <w:highlight w:val="none"/>
        </w:rPr>
        <w:t>采购项目编号：</w:t>
      </w:r>
    </w:p>
    <w:p>
      <w:pPr>
        <w:spacing w:line="460" w:lineRule="exact"/>
        <w:ind w:firstLine="680" w:firstLineChars="200"/>
        <w:rPr>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560" w:lineRule="exact"/>
        <w:ind w:firstLine="480" w:firstLineChars="200"/>
        <w:rPr>
          <w:rFonts w:ascii="仿宋" w:hAnsi="仿宋" w:eastAsia="仿宋" w:cs="仿宋"/>
          <w:sz w:val="24"/>
          <w:highlight w:val="none"/>
        </w:rPr>
      </w:pPr>
      <w:r>
        <w:rPr>
          <w:rFonts w:hint="eastAsia" w:ascii="仿宋" w:hAnsi="仿宋" w:eastAsia="仿宋" w:cs="仿宋"/>
          <w:bCs/>
          <w:sz w:val="24"/>
          <w:highlight w:val="none"/>
        </w:rPr>
        <w:t>由供应商自行编写，格式不限，应根据但不限于采购需求涉及内容、综合评分明细表内容及合同草案重要条款等内容来编写针对本项目的全方面服务方案。方案的评价内容及标准以采购需求和综合评分明细表内容为准。</w:t>
      </w: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560" w:lineRule="exact"/>
        <w:rPr>
          <w:rFonts w:ascii="仿宋" w:hAnsi="仿宋" w:eastAsia="仿宋" w:cs="仿宋"/>
          <w:sz w:val="24"/>
          <w:highlight w:val="none"/>
        </w:rPr>
      </w:pPr>
      <w:r>
        <w:rPr>
          <w:rFonts w:hint="eastAsia" w:ascii="仿宋" w:hAnsi="仿宋" w:eastAsia="仿宋" w:cs="仿宋"/>
          <w:sz w:val="24"/>
          <w:highlight w:val="none"/>
        </w:rPr>
        <w:t>供应商名称（公章）：</w:t>
      </w:r>
    </w:p>
    <w:p>
      <w:pPr>
        <w:spacing w:line="560" w:lineRule="exact"/>
        <w:rPr>
          <w:rFonts w:ascii="仿宋" w:hAnsi="仿宋" w:eastAsia="仿宋" w:cs="仿宋"/>
          <w:sz w:val="24"/>
          <w:highlight w:val="none"/>
        </w:rPr>
      </w:pPr>
      <w:r>
        <w:rPr>
          <w:rFonts w:hint="eastAsia" w:ascii="仿宋" w:hAnsi="仿宋" w:eastAsia="仿宋" w:cs="仿宋"/>
          <w:sz w:val="24"/>
          <w:highlight w:val="none"/>
        </w:rPr>
        <w:t xml:space="preserve">日  期: </w:t>
      </w:r>
    </w:p>
    <w:p>
      <w:pPr>
        <w:spacing w:line="560" w:lineRule="exact"/>
        <w:ind w:firstLine="607" w:firstLineChars="253"/>
        <w:rPr>
          <w:rFonts w:ascii="仿宋" w:hAnsi="仿宋" w:eastAsia="仿宋" w:cs="仿宋"/>
          <w:sz w:val="24"/>
          <w:highlight w:val="none"/>
          <w:u w:val="single"/>
        </w:rPr>
      </w:pPr>
    </w:p>
    <w:p>
      <w:pPr>
        <w:spacing w:line="560" w:lineRule="exact"/>
        <w:rPr>
          <w:rFonts w:ascii="仿宋" w:hAnsi="仿宋" w:eastAsia="仿宋" w:cs="仿宋"/>
          <w:sz w:val="24"/>
          <w:highlight w:val="none"/>
          <w:u w:val="single"/>
        </w:rPr>
      </w:pPr>
    </w:p>
    <w:p>
      <w:pPr>
        <w:pStyle w:val="2"/>
        <w:rPr>
          <w:highlight w:val="none"/>
        </w:rPr>
      </w:pPr>
    </w:p>
    <w:p>
      <w:pPr>
        <w:pStyle w:val="3"/>
        <w:ind w:firstLine="340"/>
        <w:rPr>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 xml:space="preserve">技术、服务、商务应答附表   </w:t>
      </w:r>
    </w:p>
    <w:p>
      <w:pPr>
        <w:widowControl/>
        <w:spacing w:line="360" w:lineRule="auto"/>
        <w:ind w:firstLine="480"/>
        <w:jc w:val="left"/>
        <w:rPr>
          <w:rFonts w:ascii="仿宋" w:hAnsi="仿宋" w:eastAsia="仿宋" w:cs="仿宋"/>
          <w:bCs/>
          <w:sz w:val="24"/>
          <w:szCs w:val="24"/>
          <w:highlight w:val="none"/>
        </w:rPr>
      </w:pPr>
      <w:r>
        <w:rPr>
          <w:rFonts w:hint="eastAsia" w:ascii="仿宋" w:hAnsi="仿宋" w:eastAsia="仿宋" w:cs="仿宋"/>
          <w:bCs/>
          <w:sz w:val="24"/>
          <w:szCs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5"/>
        <w:tblW w:w="875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243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755" w:type="dxa"/>
            <w:gridSpan w:val="9"/>
            <w:vAlign w:val="center"/>
          </w:tcPr>
          <w:p>
            <w:pPr>
              <w:widowControl/>
              <w:spacing w:line="360" w:lineRule="atLeast"/>
              <w:jc w:val="center"/>
              <w:outlineLvl w:val="1"/>
              <w:rPr>
                <w:rFonts w:ascii="仿宋" w:hAnsi="仿宋" w:eastAsia="仿宋" w:cs="仿宋"/>
                <w:kern w:val="2"/>
                <w:sz w:val="24"/>
                <w:szCs w:val="24"/>
                <w:highlight w:val="none"/>
              </w:rPr>
            </w:pPr>
            <w:bookmarkStart w:id="140" w:name="_Toc515287760"/>
            <w:bookmarkStart w:id="141" w:name="_Toc527214655"/>
            <w:bookmarkStart w:id="142" w:name="_Toc502754414"/>
            <w:r>
              <w:rPr>
                <w:rFonts w:hint="eastAsia" w:ascii="仿宋" w:hAnsi="仿宋" w:eastAsia="仿宋" w:cs="仿宋"/>
                <w:b/>
                <w:sz w:val="24"/>
                <w:szCs w:val="24"/>
                <w:highlight w:val="none"/>
              </w:rPr>
              <w:t>中标（成交）供应商的相关信息</w:t>
            </w:r>
            <w:bookmarkEnd w:id="140"/>
            <w:bookmarkEnd w:id="141"/>
            <w:bookmarkEnd w:id="142"/>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仿宋" w:hAnsi="仿宋" w:eastAsia="仿宋" w:cs="仿宋"/>
                <w:kern w:val="2"/>
                <w:sz w:val="24"/>
                <w:szCs w:val="24"/>
                <w:highlight w:val="none"/>
              </w:rPr>
            </w:pPr>
            <w:bookmarkStart w:id="143" w:name="_Toc515287761"/>
            <w:bookmarkStart w:id="144" w:name="_Toc502754415"/>
            <w:bookmarkStart w:id="145" w:name="_Toc527214656"/>
            <w:bookmarkStart w:id="146" w:name="_Toc501975518"/>
            <w:bookmarkStart w:id="147" w:name="_Toc502822049"/>
            <w:r>
              <w:rPr>
                <w:rFonts w:hint="eastAsia" w:ascii="仿宋" w:hAnsi="仿宋" w:eastAsia="仿宋" w:cs="仿宋"/>
                <w:kern w:val="2"/>
                <w:sz w:val="24"/>
                <w:szCs w:val="24"/>
                <w:highlight w:val="none"/>
              </w:rPr>
              <w:t>*项目名称</w:t>
            </w:r>
            <w:bookmarkEnd w:id="143"/>
            <w:bookmarkEnd w:id="144"/>
            <w:bookmarkEnd w:id="145"/>
            <w:bookmarkEnd w:id="146"/>
            <w:bookmarkEnd w:id="147"/>
          </w:p>
        </w:tc>
        <w:tc>
          <w:tcPr>
            <w:tcW w:w="7014" w:type="dxa"/>
            <w:gridSpan w:val="7"/>
            <w:vAlign w:val="center"/>
          </w:tcPr>
          <w:p>
            <w:pPr>
              <w:widowControl/>
              <w:spacing w:line="360" w:lineRule="atLeast"/>
              <w:ind w:firstLine="470" w:firstLineChars="196"/>
              <w:jc w:val="left"/>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仿宋" w:hAnsi="仿宋" w:eastAsia="仿宋" w:cs="仿宋"/>
                <w:kern w:val="2"/>
                <w:sz w:val="24"/>
                <w:szCs w:val="24"/>
                <w:highlight w:val="none"/>
              </w:rPr>
            </w:pPr>
            <w:bookmarkStart w:id="148" w:name="_Toc515287762"/>
            <w:bookmarkStart w:id="149" w:name="_Toc501975519"/>
            <w:bookmarkStart w:id="150" w:name="_Toc502754416"/>
            <w:bookmarkStart w:id="151" w:name="_Toc502822050"/>
            <w:bookmarkStart w:id="152" w:name="_Toc527214657"/>
            <w:r>
              <w:rPr>
                <w:rFonts w:hint="eastAsia" w:ascii="仿宋" w:hAnsi="仿宋" w:eastAsia="仿宋" w:cs="仿宋"/>
                <w:kern w:val="2"/>
                <w:sz w:val="24"/>
                <w:szCs w:val="24"/>
                <w:highlight w:val="none"/>
              </w:rPr>
              <w:t>*供应商名称</w:t>
            </w:r>
            <w:bookmarkEnd w:id="148"/>
            <w:bookmarkEnd w:id="149"/>
            <w:bookmarkEnd w:id="150"/>
            <w:bookmarkEnd w:id="151"/>
            <w:bookmarkEnd w:id="152"/>
          </w:p>
        </w:tc>
        <w:tc>
          <w:tcPr>
            <w:tcW w:w="7014" w:type="dxa"/>
            <w:gridSpan w:val="7"/>
            <w:vAlign w:val="center"/>
          </w:tcPr>
          <w:p>
            <w:pPr>
              <w:widowControl/>
              <w:spacing w:line="360" w:lineRule="atLeast"/>
              <w:ind w:firstLine="470" w:firstLineChars="196"/>
              <w:jc w:val="left"/>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仿宋" w:hAnsi="仿宋" w:eastAsia="仿宋" w:cs="仿宋"/>
                <w:kern w:val="2"/>
                <w:sz w:val="24"/>
                <w:szCs w:val="24"/>
                <w:highlight w:val="none"/>
              </w:rPr>
            </w:pPr>
            <w:bookmarkStart w:id="153" w:name="_Toc502754417"/>
            <w:bookmarkStart w:id="154" w:name="_Toc501975520"/>
            <w:bookmarkStart w:id="155" w:name="_Toc502822051"/>
            <w:bookmarkStart w:id="156" w:name="_Toc515287763"/>
            <w:bookmarkStart w:id="157" w:name="_Toc527214658"/>
            <w:r>
              <w:rPr>
                <w:rFonts w:hint="eastAsia" w:ascii="仿宋" w:hAnsi="仿宋" w:eastAsia="仿宋" w:cs="仿宋"/>
                <w:kern w:val="2"/>
                <w:sz w:val="24"/>
                <w:szCs w:val="24"/>
                <w:highlight w:val="none"/>
              </w:rPr>
              <w:t>*注册地址</w:t>
            </w:r>
            <w:bookmarkEnd w:id="153"/>
            <w:bookmarkEnd w:id="154"/>
            <w:bookmarkEnd w:id="155"/>
            <w:bookmarkEnd w:id="156"/>
            <w:bookmarkEnd w:id="157"/>
          </w:p>
        </w:tc>
        <w:tc>
          <w:tcPr>
            <w:tcW w:w="2985" w:type="dxa"/>
            <w:gridSpan w:val="3"/>
            <w:tcBorders>
              <w:right w:val="single" w:color="auto" w:sz="4" w:space="0"/>
            </w:tcBorders>
            <w:vAlign w:val="center"/>
          </w:tcPr>
          <w:p>
            <w:pPr>
              <w:widowControl/>
              <w:spacing w:line="360" w:lineRule="atLeast"/>
              <w:jc w:val="left"/>
              <w:rPr>
                <w:rFonts w:ascii="仿宋" w:hAnsi="仿宋" w:eastAsia="仿宋" w:cs="仿宋"/>
                <w:kern w:val="2"/>
                <w:sz w:val="24"/>
                <w:szCs w:val="24"/>
                <w:highlight w:val="none"/>
              </w:rPr>
            </w:pPr>
          </w:p>
        </w:tc>
        <w:tc>
          <w:tcPr>
            <w:tcW w:w="1590" w:type="dxa"/>
            <w:gridSpan w:val="3"/>
            <w:tcBorders>
              <w:left w:val="single" w:color="auto" w:sz="4" w:space="0"/>
              <w:right w:val="single" w:color="auto" w:sz="4" w:space="0"/>
            </w:tcBorders>
            <w:vAlign w:val="center"/>
          </w:tcPr>
          <w:p>
            <w:pPr>
              <w:widowControl/>
              <w:spacing w:line="360" w:lineRule="atLeast"/>
              <w:jc w:val="left"/>
              <w:outlineLvl w:val="1"/>
              <w:rPr>
                <w:rFonts w:ascii="仿宋" w:hAnsi="仿宋" w:eastAsia="仿宋" w:cs="仿宋"/>
                <w:kern w:val="2"/>
                <w:sz w:val="24"/>
                <w:szCs w:val="24"/>
                <w:highlight w:val="none"/>
              </w:rPr>
            </w:pPr>
            <w:bookmarkStart w:id="158" w:name="_Toc527214659"/>
            <w:bookmarkStart w:id="159" w:name="_Toc502754418"/>
            <w:bookmarkStart w:id="160" w:name="_Toc502822052"/>
            <w:bookmarkStart w:id="161" w:name="_Toc515287764"/>
            <w:bookmarkStart w:id="162" w:name="_Toc501975521"/>
            <w:r>
              <w:rPr>
                <w:rFonts w:hint="eastAsia" w:ascii="仿宋" w:hAnsi="仿宋" w:eastAsia="仿宋" w:cs="仿宋"/>
                <w:kern w:val="2"/>
                <w:sz w:val="24"/>
                <w:szCs w:val="24"/>
                <w:highlight w:val="none"/>
              </w:rPr>
              <w:t>*行政区域</w:t>
            </w:r>
            <w:bookmarkEnd w:id="158"/>
            <w:bookmarkEnd w:id="159"/>
            <w:bookmarkEnd w:id="160"/>
            <w:bookmarkEnd w:id="161"/>
            <w:bookmarkEnd w:id="162"/>
          </w:p>
        </w:tc>
        <w:tc>
          <w:tcPr>
            <w:tcW w:w="2439" w:type="dxa"/>
            <w:tcBorders>
              <w:left w:val="single" w:color="auto" w:sz="4" w:space="0"/>
            </w:tcBorders>
            <w:vAlign w:val="center"/>
          </w:tcPr>
          <w:p>
            <w:pPr>
              <w:widowControl/>
              <w:spacing w:line="360" w:lineRule="atLeast"/>
              <w:ind w:firstLine="470" w:firstLineChars="196"/>
              <w:jc w:val="left"/>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line="360" w:lineRule="atLeast"/>
              <w:jc w:val="left"/>
              <w:outlineLvl w:val="1"/>
              <w:rPr>
                <w:rFonts w:ascii="仿宋" w:hAnsi="仿宋" w:eastAsia="仿宋" w:cs="仿宋"/>
                <w:kern w:val="2"/>
                <w:sz w:val="24"/>
                <w:szCs w:val="24"/>
                <w:highlight w:val="none"/>
              </w:rPr>
            </w:pPr>
            <w:bookmarkStart w:id="163" w:name="_Toc515287765"/>
            <w:bookmarkStart w:id="164" w:name="_Toc502754419"/>
            <w:bookmarkStart w:id="165" w:name="_Toc527214660"/>
            <w:bookmarkStart w:id="166" w:name="_Toc502822053"/>
            <w:bookmarkStart w:id="167" w:name="_Toc501975522"/>
            <w:r>
              <w:rPr>
                <w:rFonts w:hint="eastAsia" w:ascii="仿宋" w:hAnsi="仿宋" w:eastAsia="仿宋" w:cs="仿宋"/>
                <w:kern w:val="2"/>
                <w:sz w:val="24"/>
                <w:szCs w:val="24"/>
                <w:highlight w:val="none"/>
              </w:rPr>
              <w:t>*供应商规模</w:t>
            </w:r>
            <w:bookmarkEnd w:id="163"/>
            <w:bookmarkEnd w:id="164"/>
            <w:bookmarkEnd w:id="165"/>
            <w:bookmarkEnd w:id="166"/>
            <w:bookmarkEnd w:id="167"/>
          </w:p>
        </w:tc>
        <w:tc>
          <w:tcPr>
            <w:tcW w:w="7014" w:type="dxa"/>
            <w:gridSpan w:val="7"/>
            <w:vAlign w:val="center"/>
          </w:tcPr>
          <w:p>
            <w:pPr>
              <w:widowControl/>
              <w:spacing w:line="360" w:lineRule="atLeast"/>
              <w:jc w:val="center"/>
              <w:outlineLvl w:val="1"/>
              <w:rPr>
                <w:rFonts w:ascii="仿宋" w:hAnsi="仿宋" w:eastAsia="仿宋" w:cs="仿宋"/>
                <w:kern w:val="2"/>
                <w:sz w:val="24"/>
                <w:szCs w:val="24"/>
                <w:highlight w:val="none"/>
              </w:rPr>
            </w:pPr>
            <w:bookmarkStart w:id="168" w:name="_Toc502754420"/>
            <w:bookmarkStart w:id="169" w:name="_Toc502822054"/>
            <w:bookmarkStart w:id="170" w:name="_Toc501975523"/>
            <w:bookmarkStart w:id="171" w:name="_Toc515287766"/>
            <w:bookmarkStart w:id="172" w:name="_Toc527214661"/>
            <w:r>
              <w:rPr>
                <w:rFonts w:hint="eastAsia" w:ascii="仿宋" w:hAnsi="仿宋" w:eastAsia="仿宋" w:cs="仿宋"/>
                <w:kern w:val="2"/>
                <w:sz w:val="24"/>
                <w:szCs w:val="24"/>
                <w:highlight w:val="none"/>
              </w:rPr>
              <w:t>□大型企业   □中型企业   □小微型企业（对应处打“√”）</w:t>
            </w:r>
            <w:bookmarkEnd w:id="168"/>
            <w:bookmarkEnd w:id="169"/>
            <w:bookmarkEnd w:id="170"/>
            <w:bookmarkEnd w:id="171"/>
            <w:bookmarkEnd w:id="172"/>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line="360" w:lineRule="atLeast"/>
              <w:jc w:val="left"/>
              <w:outlineLvl w:val="1"/>
              <w:rPr>
                <w:rFonts w:ascii="仿宋" w:hAnsi="仿宋" w:eastAsia="仿宋" w:cs="仿宋"/>
                <w:kern w:val="2"/>
                <w:sz w:val="24"/>
                <w:szCs w:val="24"/>
                <w:highlight w:val="none"/>
              </w:rPr>
            </w:pPr>
            <w:bookmarkStart w:id="173" w:name="_Toc501975524"/>
            <w:bookmarkStart w:id="174" w:name="_Toc527214662"/>
            <w:bookmarkStart w:id="175" w:name="_Toc515287767"/>
            <w:bookmarkStart w:id="176" w:name="_Toc502754421"/>
            <w:bookmarkStart w:id="177" w:name="_Toc502822055"/>
            <w:r>
              <w:rPr>
                <w:rFonts w:hint="eastAsia" w:ascii="仿宋" w:hAnsi="仿宋" w:eastAsia="仿宋" w:cs="仿宋"/>
                <w:kern w:val="2"/>
                <w:sz w:val="24"/>
                <w:szCs w:val="24"/>
                <w:highlight w:val="none"/>
              </w:rPr>
              <w:t>*单位联系方式</w:t>
            </w:r>
            <w:bookmarkEnd w:id="173"/>
            <w:bookmarkEnd w:id="174"/>
            <w:bookmarkEnd w:id="175"/>
            <w:bookmarkEnd w:id="176"/>
            <w:bookmarkEnd w:id="177"/>
          </w:p>
        </w:tc>
        <w:tc>
          <w:tcPr>
            <w:tcW w:w="1635" w:type="dxa"/>
            <w:vAlign w:val="center"/>
          </w:tcPr>
          <w:p>
            <w:pPr>
              <w:widowControl/>
              <w:spacing w:line="360" w:lineRule="atLeast"/>
              <w:jc w:val="left"/>
              <w:outlineLvl w:val="1"/>
              <w:rPr>
                <w:rFonts w:ascii="仿宋" w:hAnsi="仿宋" w:eastAsia="仿宋" w:cs="仿宋"/>
                <w:kern w:val="2"/>
                <w:sz w:val="24"/>
                <w:szCs w:val="24"/>
                <w:highlight w:val="none"/>
              </w:rPr>
            </w:pPr>
            <w:bookmarkStart w:id="178" w:name="_Toc502754422"/>
            <w:bookmarkStart w:id="179" w:name="_Toc527214663"/>
            <w:bookmarkStart w:id="180" w:name="_Toc501975525"/>
            <w:bookmarkStart w:id="181" w:name="_Toc515287768"/>
            <w:bookmarkStart w:id="182" w:name="_Toc502822056"/>
            <w:r>
              <w:rPr>
                <w:rFonts w:hint="eastAsia" w:ascii="仿宋" w:hAnsi="仿宋" w:eastAsia="仿宋" w:cs="仿宋"/>
                <w:kern w:val="2"/>
                <w:sz w:val="24"/>
                <w:szCs w:val="24"/>
                <w:highlight w:val="none"/>
              </w:rPr>
              <w:t>*单位联系人</w:t>
            </w:r>
            <w:bookmarkEnd w:id="178"/>
            <w:bookmarkEnd w:id="179"/>
            <w:bookmarkEnd w:id="180"/>
            <w:bookmarkEnd w:id="181"/>
            <w:bookmarkEnd w:id="182"/>
          </w:p>
        </w:tc>
        <w:tc>
          <w:tcPr>
            <w:tcW w:w="1380" w:type="dxa"/>
            <w:gridSpan w:val="3"/>
            <w:vAlign w:val="center"/>
          </w:tcPr>
          <w:p>
            <w:pPr>
              <w:widowControl/>
              <w:spacing w:line="360" w:lineRule="atLeast"/>
              <w:ind w:firstLine="470" w:firstLineChars="196"/>
              <w:jc w:val="left"/>
              <w:rPr>
                <w:rFonts w:ascii="仿宋" w:hAnsi="仿宋" w:eastAsia="仿宋" w:cs="仿宋"/>
                <w:kern w:val="2"/>
                <w:sz w:val="24"/>
                <w:szCs w:val="24"/>
                <w:highlight w:val="none"/>
              </w:rPr>
            </w:pPr>
          </w:p>
        </w:tc>
        <w:tc>
          <w:tcPr>
            <w:tcW w:w="1529" w:type="dxa"/>
            <w:vAlign w:val="center"/>
          </w:tcPr>
          <w:p>
            <w:pPr>
              <w:widowControl/>
              <w:spacing w:line="360" w:lineRule="atLeast"/>
              <w:jc w:val="left"/>
              <w:outlineLvl w:val="1"/>
              <w:rPr>
                <w:rFonts w:ascii="仿宋" w:hAnsi="仿宋" w:eastAsia="仿宋" w:cs="仿宋"/>
                <w:kern w:val="2"/>
                <w:sz w:val="24"/>
                <w:szCs w:val="24"/>
                <w:highlight w:val="none"/>
              </w:rPr>
            </w:pPr>
            <w:bookmarkStart w:id="183" w:name="_Toc502754423"/>
            <w:bookmarkStart w:id="184" w:name="_Toc527214664"/>
            <w:bookmarkStart w:id="185" w:name="_Toc501975526"/>
            <w:bookmarkStart w:id="186" w:name="_Toc515287769"/>
            <w:bookmarkStart w:id="187" w:name="_Toc502822057"/>
            <w:r>
              <w:rPr>
                <w:rFonts w:hint="eastAsia" w:ascii="仿宋" w:hAnsi="仿宋" w:eastAsia="仿宋" w:cs="仿宋"/>
                <w:kern w:val="2"/>
                <w:sz w:val="24"/>
                <w:szCs w:val="24"/>
                <w:highlight w:val="none"/>
              </w:rPr>
              <w:t>*单位电话</w:t>
            </w:r>
            <w:bookmarkEnd w:id="183"/>
            <w:bookmarkEnd w:id="184"/>
            <w:bookmarkEnd w:id="185"/>
            <w:bookmarkEnd w:id="186"/>
            <w:bookmarkEnd w:id="187"/>
          </w:p>
        </w:tc>
        <w:tc>
          <w:tcPr>
            <w:tcW w:w="2470" w:type="dxa"/>
            <w:gridSpan w:val="2"/>
            <w:vAlign w:val="center"/>
          </w:tcPr>
          <w:p>
            <w:pPr>
              <w:widowControl/>
              <w:spacing w:line="360" w:lineRule="atLeast"/>
              <w:ind w:firstLine="470" w:firstLineChars="196"/>
              <w:jc w:val="left"/>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rPr>
                <w:rFonts w:ascii="仿宋" w:hAnsi="仿宋" w:eastAsia="仿宋" w:cs="仿宋"/>
                <w:kern w:val="2"/>
                <w:sz w:val="24"/>
                <w:szCs w:val="24"/>
                <w:highlight w:val="none"/>
              </w:rPr>
            </w:pPr>
          </w:p>
        </w:tc>
        <w:tc>
          <w:tcPr>
            <w:tcW w:w="1635" w:type="dxa"/>
            <w:vAlign w:val="center"/>
          </w:tcPr>
          <w:p>
            <w:pPr>
              <w:widowControl/>
              <w:spacing w:line="360" w:lineRule="atLeast"/>
              <w:jc w:val="left"/>
              <w:outlineLvl w:val="1"/>
              <w:rPr>
                <w:rFonts w:ascii="仿宋" w:hAnsi="仿宋" w:eastAsia="仿宋" w:cs="仿宋"/>
                <w:kern w:val="2"/>
                <w:sz w:val="24"/>
                <w:szCs w:val="24"/>
                <w:highlight w:val="none"/>
              </w:rPr>
            </w:pPr>
            <w:bookmarkStart w:id="188" w:name="_Toc502822058"/>
            <w:bookmarkStart w:id="189" w:name="_Toc501975527"/>
            <w:bookmarkStart w:id="190" w:name="_Toc527214665"/>
            <w:bookmarkStart w:id="191" w:name="_Toc502754424"/>
            <w:bookmarkStart w:id="192" w:name="_Toc515287770"/>
            <w:r>
              <w:rPr>
                <w:rFonts w:hint="eastAsia" w:ascii="仿宋" w:hAnsi="仿宋" w:eastAsia="仿宋" w:cs="仿宋"/>
                <w:kern w:val="2"/>
                <w:sz w:val="24"/>
                <w:szCs w:val="24"/>
                <w:highlight w:val="none"/>
              </w:rPr>
              <w:t>*单位邮箱</w:t>
            </w:r>
            <w:bookmarkEnd w:id="188"/>
            <w:bookmarkEnd w:id="189"/>
            <w:bookmarkEnd w:id="190"/>
            <w:bookmarkEnd w:id="191"/>
            <w:bookmarkEnd w:id="192"/>
          </w:p>
        </w:tc>
        <w:tc>
          <w:tcPr>
            <w:tcW w:w="5379" w:type="dxa"/>
            <w:gridSpan w:val="6"/>
            <w:vAlign w:val="center"/>
          </w:tcPr>
          <w:p>
            <w:pPr>
              <w:widowControl/>
              <w:spacing w:line="360" w:lineRule="atLeast"/>
              <w:ind w:firstLine="470" w:firstLineChars="196"/>
              <w:jc w:val="left"/>
              <w:rPr>
                <w:rFonts w:ascii="仿宋" w:hAnsi="仿宋" w:eastAsia="仿宋" w:cs="仿宋"/>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755" w:type="dxa"/>
            <w:gridSpan w:val="9"/>
            <w:vAlign w:val="center"/>
          </w:tcPr>
          <w:p>
            <w:pPr>
              <w:widowControl/>
              <w:spacing w:line="360" w:lineRule="atLeast"/>
              <w:ind w:firstLine="472" w:firstLineChars="196"/>
              <w:jc w:val="left"/>
              <w:outlineLvl w:val="1"/>
              <w:rPr>
                <w:rFonts w:ascii="仿宋" w:hAnsi="仿宋" w:eastAsia="仿宋" w:cs="仿宋"/>
                <w:kern w:val="2"/>
                <w:sz w:val="24"/>
                <w:szCs w:val="24"/>
                <w:highlight w:val="none"/>
              </w:rPr>
            </w:pPr>
            <w:bookmarkStart w:id="193" w:name="_Toc527214666"/>
            <w:bookmarkStart w:id="194" w:name="_Toc501975528"/>
            <w:bookmarkStart w:id="195" w:name="_Toc502754425"/>
            <w:bookmarkStart w:id="196" w:name="_Toc515287771"/>
            <w:bookmarkStart w:id="197" w:name="_Toc502822059"/>
            <w:r>
              <w:rPr>
                <w:rFonts w:hint="eastAsia" w:ascii="仿宋" w:hAnsi="仿宋" w:eastAsia="仿宋" w:cs="仿宋"/>
                <w:b/>
                <w:bCs/>
                <w:kern w:val="2"/>
                <w:sz w:val="24"/>
                <w:szCs w:val="24"/>
                <w:highlight w:val="none"/>
              </w:rPr>
              <w:t>注：以上*号项信息供应商须如实填写，若因供应商提供错误信息造成的问题，由其自身承担。</w:t>
            </w:r>
            <w:bookmarkEnd w:id="193"/>
            <w:bookmarkEnd w:id="194"/>
            <w:bookmarkEnd w:id="195"/>
            <w:bookmarkEnd w:id="196"/>
            <w:bookmarkEnd w:id="197"/>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line="360" w:lineRule="atLeast"/>
              <w:jc w:val="left"/>
              <w:outlineLvl w:val="1"/>
              <w:rPr>
                <w:rFonts w:ascii="仿宋" w:hAnsi="仿宋" w:eastAsia="仿宋" w:cs="仿宋"/>
                <w:b/>
                <w:bCs/>
                <w:kern w:val="2"/>
                <w:sz w:val="24"/>
                <w:szCs w:val="24"/>
                <w:highlight w:val="none"/>
              </w:rPr>
            </w:pPr>
            <w:bookmarkStart w:id="198" w:name="_Toc527214667"/>
            <w:bookmarkStart w:id="199" w:name="_Toc502822060"/>
            <w:bookmarkStart w:id="200" w:name="_Toc515287772"/>
            <w:bookmarkStart w:id="201" w:name="_Toc502754426"/>
            <w:bookmarkStart w:id="202" w:name="_Toc501975529"/>
            <w:r>
              <w:rPr>
                <w:rFonts w:hint="eastAsia" w:ascii="仿宋" w:hAnsi="仿宋" w:eastAsia="仿宋" w:cs="仿宋"/>
                <w:b/>
                <w:bCs/>
                <w:kern w:val="2"/>
                <w:sz w:val="24"/>
                <w:szCs w:val="24"/>
                <w:highlight w:val="none"/>
              </w:rPr>
              <w:t>供应商应答“采购文件”的主要内容</w:t>
            </w:r>
            <w:bookmarkEnd w:id="198"/>
            <w:bookmarkEnd w:id="199"/>
            <w:bookmarkEnd w:id="200"/>
            <w:bookmarkEnd w:id="201"/>
            <w:bookmarkEnd w:id="202"/>
          </w:p>
        </w:tc>
        <w:tc>
          <w:tcPr>
            <w:tcW w:w="2373" w:type="dxa"/>
            <w:gridSpan w:val="3"/>
            <w:tcBorders>
              <w:left w:val="single" w:color="auto" w:sz="4" w:space="0"/>
              <w:right w:val="single" w:color="auto" w:sz="4" w:space="0"/>
            </w:tcBorders>
            <w:vAlign w:val="center"/>
          </w:tcPr>
          <w:p>
            <w:pPr>
              <w:jc w:val="left"/>
              <w:rPr>
                <w:rFonts w:ascii="仿宋" w:hAnsi="仿宋" w:eastAsia="仿宋" w:cs="仿宋"/>
                <w:b/>
                <w:bCs/>
                <w:kern w:val="2"/>
                <w:sz w:val="24"/>
                <w:szCs w:val="24"/>
                <w:highlight w:val="none"/>
              </w:rPr>
            </w:pPr>
            <w:r>
              <w:rPr>
                <w:rFonts w:hint="eastAsia" w:ascii="仿宋" w:hAnsi="仿宋" w:eastAsia="仿宋" w:cs="仿宋"/>
                <w:bCs/>
                <w:sz w:val="24"/>
                <w:szCs w:val="24"/>
                <w:highlight w:val="none"/>
              </w:rPr>
              <w:t>成交标的的名称</w:t>
            </w:r>
          </w:p>
        </w:tc>
        <w:tc>
          <w:tcPr>
            <w:tcW w:w="5104" w:type="dxa"/>
            <w:gridSpan w:val="5"/>
            <w:tcBorders>
              <w:left w:val="single" w:color="auto" w:sz="4" w:space="0"/>
            </w:tcBorders>
            <w:vAlign w:val="center"/>
          </w:tcPr>
          <w:p>
            <w:pPr>
              <w:jc w:val="left"/>
              <w:rPr>
                <w:rFonts w:ascii="仿宋" w:hAnsi="仿宋" w:eastAsia="仿宋" w:cs="仿宋"/>
                <w:b/>
                <w:bCs/>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360" w:lineRule="atLeast"/>
              <w:ind w:firstLine="472" w:firstLineChars="196"/>
              <w:jc w:val="left"/>
              <w:rPr>
                <w:rFonts w:ascii="仿宋" w:hAnsi="仿宋" w:eastAsia="仿宋" w:cs="仿宋"/>
                <w:b/>
                <w:bCs/>
                <w:kern w:val="2"/>
                <w:sz w:val="24"/>
                <w:szCs w:val="24"/>
                <w:highlight w:val="none"/>
              </w:rPr>
            </w:pPr>
          </w:p>
        </w:tc>
        <w:tc>
          <w:tcPr>
            <w:tcW w:w="2373" w:type="dxa"/>
            <w:gridSpan w:val="3"/>
            <w:tcBorders>
              <w:left w:val="single" w:color="auto" w:sz="4" w:space="0"/>
              <w:right w:val="single" w:color="auto" w:sz="4" w:space="0"/>
            </w:tcBorders>
            <w:vAlign w:val="center"/>
          </w:tcPr>
          <w:p>
            <w:pPr>
              <w:jc w:val="left"/>
              <w:rPr>
                <w:rFonts w:ascii="仿宋" w:hAnsi="仿宋" w:eastAsia="仿宋" w:cs="仿宋"/>
                <w:b/>
                <w:bCs/>
                <w:kern w:val="2"/>
                <w:sz w:val="24"/>
                <w:szCs w:val="24"/>
                <w:highlight w:val="none"/>
              </w:rPr>
            </w:pPr>
            <w:r>
              <w:rPr>
                <w:rFonts w:hint="eastAsia" w:ascii="仿宋" w:hAnsi="仿宋" w:eastAsia="仿宋" w:cs="仿宋"/>
                <w:bCs/>
                <w:sz w:val="24"/>
                <w:szCs w:val="24"/>
                <w:highlight w:val="none"/>
              </w:rPr>
              <w:t>成交标的的总价</w:t>
            </w:r>
          </w:p>
        </w:tc>
        <w:tc>
          <w:tcPr>
            <w:tcW w:w="5104" w:type="dxa"/>
            <w:gridSpan w:val="5"/>
            <w:tcBorders>
              <w:left w:val="single" w:color="auto" w:sz="4" w:space="0"/>
            </w:tcBorders>
            <w:vAlign w:val="center"/>
          </w:tcPr>
          <w:p>
            <w:pPr>
              <w:jc w:val="left"/>
              <w:rPr>
                <w:rFonts w:ascii="仿宋" w:hAnsi="仿宋" w:eastAsia="仿宋" w:cs="仿宋"/>
                <w:b/>
                <w:bCs/>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line="360" w:lineRule="atLeast"/>
              <w:ind w:firstLine="472" w:firstLineChars="196"/>
              <w:jc w:val="left"/>
              <w:rPr>
                <w:rFonts w:ascii="仿宋" w:hAnsi="仿宋" w:eastAsia="仿宋" w:cs="仿宋"/>
                <w:b/>
                <w:bCs/>
                <w:kern w:val="2"/>
                <w:sz w:val="24"/>
                <w:szCs w:val="24"/>
                <w:highlight w:val="none"/>
              </w:rPr>
            </w:pPr>
          </w:p>
        </w:tc>
        <w:tc>
          <w:tcPr>
            <w:tcW w:w="2373" w:type="dxa"/>
            <w:gridSpan w:val="3"/>
            <w:tcBorders>
              <w:left w:val="single" w:color="auto" w:sz="4" w:space="0"/>
              <w:right w:val="single" w:color="auto" w:sz="4" w:space="0"/>
            </w:tcBorders>
            <w:vAlign w:val="center"/>
          </w:tcPr>
          <w:p>
            <w:pPr>
              <w:jc w:val="left"/>
              <w:rPr>
                <w:rFonts w:ascii="仿宋" w:hAnsi="仿宋" w:eastAsia="仿宋" w:cs="仿宋"/>
                <w:b/>
                <w:bCs/>
                <w:kern w:val="2"/>
                <w:sz w:val="24"/>
                <w:szCs w:val="24"/>
                <w:highlight w:val="none"/>
              </w:rPr>
            </w:pPr>
            <w:r>
              <w:rPr>
                <w:rFonts w:hint="eastAsia" w:ascii="仿宋" w:hAnsi="仿宋" w:eastAsia="仿宋" w:cs="仿宋"/>
                <w:bCs/>
                <w:sz w:val="24"/>
                <w:szCs w:val="24"/>
                <w:highlight w:val="none"/>
              </w:rPr>
              <w:t>成交标的的服务要求</w:t>
            </w:r>
          </w:p>
        </w:tc>
        <w:tc>
          <w:tcPr>
            <w:tcW w:w="5104" w:type="dxa"/>
            <w:gridSpan w:val="5"/>
            <w:tcBorders>
              <w:left w:val="single" w:color="auto" w:sz="4" w:space="0"/>
            </w:tcBorders>
            <w:vAlign w:val="center"/>
          </w:tcPr>
          <w:p>
            <w:pPr>
              <w:numPr>
                <w:ilvl w:val="0"/>
                <w:numId w:val="9"/>
              </w:numPr>
              <w:jc w:val="left"/>
              <w:rPr>
                <w:rFonts w:ascii="仿宋" w:hAnsi="仿宋" w:eastAsia="仿宋" w:cs="仿宋"/>
                <w:bCs/>
                <w:kern w:val="2"/>
                <w:sz w:val="24"/>
                <w:szCs w:val="24"/>
                <w:highlight w:val="none"/>
              </w:rPr>
            </w:pPr>
            <w:r>
              <w:rPr>
                <w:rFonts w:hint="eastAsia" w:ascii="仿宋" w:hAnsi="仿宋" w:eastAsia="仿宋" w:cs="仿宋"/>
                <w:bCs/>
                <w:kern w:val="2"/>
                <w:sz w:val="24"/>
                <w:szCs w:val="24"/>
                <w:highlight w:val="none"/>
              </w:rPr>
              <w:t>....</w:t>
            </w:r>
          </w:p>
          <w:p>
            <w:pPr>
              <w:numPr>
                <w:ilvl w:val="0"/>
                <w:numId w:val="9"/>
              </w:numPr>
              <w:jc w:val="left"/>
              <w:rPr>
                <w:rFonts w:ascii="仿宋" w:hAnsi="仿宋" w:eastAsia="仿宋" w:cs="仿宋"/>
                <w:bCs/>
                <w:kern w:val="2"/>
                <w:sz w:val="24"/>
                <w:szCs w:val="24"/>
                <w:highlight w:val="none"/>
              </w:rPr>
            </w:pPr>
            <w:r>
              <w:rPr>
                <w:rFonts w:hint="eastAsia" w:ascii="仿宋" w:hAnsi="仿宋" w:eastAsia="仿宋" w:cs="仿宋"/>
                <w:bCs/>
                <w:kern w:val="2"/>
                <w:sz w:val="24"/>
                <w:szCs w:val="24"/>
                <w:highlight w:val="none"/>
              </w:rPr>
              <w:t>....</w:t>
            </w:r>
          </w:p>
          <w:p>
            <w:pPr>
              <w:numPr>
                <w:ilvl w:val="0"/>
                <w:numId w:val="9"/>
              </w:numPr>
              <w:jc w:val="left"/>
              <w:rPr>
                <w:rFonts w:ascii="仿宋" w:hAnsi="仿宋" w:eastAsia="仿宋" w:cs="仿宋"/>
                <w:bCs/>
                <w:kern w:val="2"/>
                <w:sz w:val="24"/>
                <w:szCs w:val="24"/>
                <w:highlight w:val="none"/>
              </w:rPr>
            </w:pPr>
            <w:r>
              <w:rPr>
                <w:rFonts w:hint="eastAsia" w:ascii="仿宋" w:hAnsi="仿宋" w:eastAsia="仿宋" w:cs="仿宋"/>
                <w:bCs/>
                <w:kern w:val="2"/>
                <w:sz w:val="24"/>
                <w:szCs w:val="24"/>
                <w:highlight w:val="none"/>
              </w:rPr>
              <w:t>....</w:t>
            </w:r>
          </w:p>
          <w:p>
            <w:pPr>
              <w:jc w:val="left"/>
              <w:rPr>
                <w:rFonts w:ascii="仿宋" w:hAnsi="仿宋" w:eastAsia="仿宋" w:cs="仿宋"/>
                <w:b/>
                <w:bCs/>
                <w:kern w:val="2"/>
                <w:sz w:val="24"/>
                <w:szCs w:val="24"/>
                <w:highlight w:val="none"/>
              </w:rPr>
            </w:pPr>
            <w:r>
              <w:rPr>
                <w:rFonts w:hint="eastAsia" w:ascii="仿宋" w:hAnsi="仿宋" w:eastAsia="仿宋" w:cs="仿宋"/>
                <w:bCs/>
                <w:kern w:val="2"/>
                <w:sz w:val="24"/>
                <w:szCs w:val="24"/>
                <w:highlight w:val="none"/>
              </w:rPr>
              <w:t>......</w:t>
            </w:r>
          </w:p>
        </w:tc>
      </w:tr>
    </w:tbl>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说明：</w:t>
      </w:r>
    </w:p>
    <w:p>
      <w:pPr>
        <w:numPr>
          <w:ilvl w:val="0"/>
          <w:numId w:val="10"/>
        </w:numPr>
        <w:spacing w:line="360" w:lineRule="auto"/>
        <w:rPr>
          <w:rFonts w:ascii="仿宋" w:hAnsi="仿宋" w:eastAsia="仿宋" w:cs="仿宋"/>
          <w:sz w:val="24"/>
          <w:szCs w:val="24"/>
          <w:highlight w:val="none"/>
        </w:rPr>
      </w:pPr>
      <w:r>
        <w:rPr>
          <w:rFonts w:hint="eastAsia" w:ascii="仿宋" w:hAnsi="仿宋" w:eastAsia="仿宋" w:cs="仿宋"/>
          <w:bCs/>
          <w:sz w:val="24"/>
          <w:szCs w:val="24"/>
          <w:highlight w:val="none"/>
        </w:rPr>
        <w:t>供应商</w:t>
      </w:r>
      <w:r>
        <w:rPr>
          <w:rFonts w:hint="eastAsia" w:ascii="仿宋" w:hAnsi="仿宋" w:eastAsia="仿宋" w:cs="仿宋"/>
          <w:sz w:val="24"/>
          <w:szCs w:val="24"/>
          <w:highlight w:val="none"/>
        </w:rPr>
        <w:t>需如实完善表格内容。</w:t>
      </w:r>
    </w:p>
    <w:p>
      <w:pPr>
        <w:numPr>
          <w:ilvl w:val="0"/>
          <w:numId w:val="10"/>
        </w:numPr>
        <w:spacing w:line="360" w:lineRule="auto"/>
        <w:rPr>
          <w:rFonts w:ascii="仿宋" w:hAnsi="仿宋" w:eastAsia="仿宋" w:cs="仿宋"/>
          <w:sz w:val="24"/>
          <w:szCs w:val="24"/>
          <w:highlight w:val="none"/>
        </w:rPr>
      </w:pPr>
      <w:r>
        <w:rPr>
          <w:rFonts w:hint="eastAsia" w:ascii="仿宋" w:hAnsi="仿宋" w:eastAsia="仿宋" w:cs="仿宋"/>
          <w:bCs/>
          <w:sz w:val="24"/>
          <w:szCs w:val="24"/>
          <w:highlight w:val="none"/>
        </w:rPr>
        <w:t>供应商</w:t>
      </w:r>
      <w:r>
        <w:rPr>
          <w:rFonts w:hint="eastAsia" w:ascii="仿宋" w:hAnsi="仿宋" w:eastAsia="仿宋" w:cs="仿宋"/>
          <w:sz w:val="24"/>
          <w:szCs w:val="24"/>
          <w:highlight w:val="none"/>
        </w:rPr>
        <w:t>应答的主要内容应与响应文件一致，可以进行简要概括性表述。</w:t>
      </w:r>
    </w:p>
    <w:p>
      <w:pPr>
        <w:widowControl/>
        <w:spacing w:line="360" w:lineRule="auto"/>
        <w:jc w:val="left"/>
        <w:rPr>
          <w:rFonts w:ascii="仿宋" w:hAnsi="仿宋" w:eastAsia="仿宋" w:cs="仿宋"/>
          <w:sz w:val="24"/>
          <w:szCs w:val="24"/>
          <w:highlight w:val="none"/>
        </w:rPr>
      </w:pPr>
      <w:r>
        <w:rPr>
          <w:rFonts w:hint="eastAsia" w:ascii="仿宋" w:hAnsi="仿宋" w:eastAsia="仿宋" w:cs="仿宋"/>
          <w:bCs/>
          <w:sz w:val="24"/>
          <w:szCs w:val="24"/>
          <w:highlight w:val="none"/>
        </w:rPr>
        <w:t>供应商</w:t>
      </w:r>
      <w:r>
        <w:rPr>
          <w:rFonts w:hint="eastAsia" w:ascii="仿宋" w:hAnsi="仿宋" w:eastAsia="仿宋" w:cs="仿宋"/>
          <w:sz w:val="24"/>
          <w:szCs w:val="24"/>
          <w:highlight w:val="none"/>
        </w:rPr>
        <w:t>应答的主要内容仅用于结果公告，</w:t>
      </w:r>
      <w:r>
        <w:rPr>
          <w:rFonts w:hint="eastAsia" w:ascii="仿宋" w:hAnsi="仿宋" w:eastAsia="仿宋" w:cs="仿宋"/>
          <w:bCs/>
          <w:sz w:val="24"/>
          <w:szCs w:val="24"/>
          <w:highlight w:val="none"/>
        </w:rPr>
        <w:t>供应商</w:t>
      </w:r>
      <w:r>
        <w:rPr>
          <w:rFonts w:hint="eastAsia" w:ascii="仿宋" w:hAnsi="仿宋" w:eastAsia="仿宋" w:cs="仿宋"/>
          <w:sz w:val="24"/>
          <w:szCs w:val="24"/>
          <w:highlight w:val="none"/>
        </w:rPr>
        <w:t>自行完善的内容视为不涉及供应商商业秘密。若</w:t>
      </w:r>
      <w:r>
        <w:rPr>
          <w:rFonts w:hint="eastAsia" w:ascii="仿宋" w:hAnsi="仿宋" w:eastAsia="仿宋" w:cs="仿宋"/>
          <w:bCs/>
          <w:sz w:val="24"/>
          <w:szCs w:val="24"/>
          <w:highlight w:val="none"/>
        </w:rPr>
        <w:t>供应商</w:t>
      </w:r>
      <w:r>
        <w:rPr>
          <w:rFonts w:hint="eastAsia" w:ascii="仿宋" w:hAnsi="仿宋" w:eastAsia="仿宋" w:cs="仿宋"/>
          <w:sz w:val="24"/>
          <w:szCs w:val="24"/>
          <w:highlight w:val="none"/>
        </w:rPr>
        <w:t>没有填写或没有递交此表，视为允许采购代理机构将供应商响应文件中所有相关的应答内容进行公告。（仅用于中标、成交结果公告，此表不作为评审内容）</w:t>
      </w:r>
    </w:p>
    <w:p>
      <w:pPr>
        <w:rPr>
          <w:rFonts w:ascii="仿宋" w:hAnsi="仿宋" w:eastAsia="仿宋" w:cs="仿宋"/>
          <w:sz w:val="24"/>
          <w:szCs w:val="24"/>
          <w:highlight w:val="none"/>
        </w:rPr>
      </w:pPr>
    </w:p>
    <w:p>
      <w:pPr>
        <w:spacing w:line="360" w:lineRule="auto"/>
        <w:ind w:firstLine="960" w:firstLineChars="400"/>
        <w:rPr>
          <w:rFonts w:ascii="仿宋" w:hAnsi="仿宋" w:eastAsia="仿宋" w:cs="仿宋"/>
          <w:bCs/>
          <w:sz w:val="24"/>
          <w:szCs w:val="24"/>
          <w:highlight w:val="none"/>
        </w:rPr>
      </w:pPr>
      <w:r>
        <w:rPr>
          <w:rFonts w:hint="eastAsia" w:ascii="仿宋" w:hAnsi="仿宋" w:eastAsia="仿宋" w:cs="仿宋"/>
          <w:bCs/>
          <w:sz w:val="24"/>
          <w:szCs w:val="24"/>
          <w:highlight w:val="none"/>
        </w:rPr>
        <w:t>供应商名称：</w:t>
      </w:r>
      <w:r>
        <w:rPr>
          <w:rFonts w:hint="eastAsia" w:ascii="仿宋" w:hAnsi="仿宋" w:eastAsia="仿宋" w:cs="仿宋"/>
          <w:sz w:val="24"/>
          <w:szCs w:val="24"/>
          <w:highlight w:val="none"/>
          <w:u w:val="single"/>
        </w:rPr>
        <w:t xml:space="preserve">                </w:t>
      </w:r>
      <w:r>
        <w:rPr>
          <w:rFonts w:hint="eastAsia" w:ascii="仿宋" w:hAnsi="仿宋" w:eastAsia="仿宋" w:cs="仿宋"/>
          <w:bCs/>
          <w:sz w:val="24"/>
          <w:szCs w:val="24"/>
          <w:highlight w:val="none"/>
        </w:rPr>
        <w:t>（加盖公章）</w:t>
      </w:r>
    </w:p>
    <w:p>
      <w:pPr>
        <w:adjustRightInd w:val="0"/>
        <w:spacing w:line="360" w:lineRule="auto"/>
        <w:ind w:firstLine="960" w:firstLineChars="400"/>
        <w:jc w:val="left"/>
        <w:rPr>
          <w:rFonts w:ascii="仿宋" w:hAnsi="仿宋" w:eastAsia="仿宋" w:cs="仿宋"/>
          <w:sz w:val="24"/>
          <w:szCs w:val="24"/>
          <w:highlight w:val="none"/>
        </w:rPr>
      </w:pPr>
      <w:r>
        <w:rPr>
          <w:rFonts w:hint="eastAsia" w:ascii="仿宋" w:hAnsi="仿宋" w:eastAsia="仿宋" w:cs="仿宋"/>
          <w:sz w:val="24"/>
          <w:szCs w:val="24"/>
          <w:highlight w:val="none"/>
        </w:rPr>
        <w:t>日      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w:t>
      </w:r>
    </w:p>
    <w:p>
      <w:pPr>
        <w:pStyle w:val="2"/>
        <w:rPr>
          <w:highlight w:val="none"/>
        </w:rPr>
      </w:pPr>
    </w:p>
    <w:p>
      <w:pPr>
        <w:widowControl/>
        <w:numPr>
          <w:ilvl w:val="0"/>
          <w:numId w:val="8"/>
        </w:numPr>
        <w:spacing w:line="560" w:lineRule="exact"/>
        <w:jc w:val="center"/>
        <w:outlineLvl w:val="1"/>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报价表</w:t>
      </w:r>
    </w:p>
    <w:p>
      <w:pPr>
        <w:spacing w:line="560" w:lineRule="exact"/>
        <w:ind w:firstLine="436" w:firstLineChars="182"/>
        <w:rPr>
          <w:rFonts w:ascii="仿宋" w:hAnsi="仿宋" w:eastAsia="仿宋" w:cs="仿宋"/>
          <w:sz w:val="24"/>
          <w:highlight w:val="none"/>
        </w:rPr>
      </w:pPr>
    </w:p>
    <w:tbl>
      <w:tblPr>
        <w:tblStyle w:val="25"/>
        <w:tblW w:w="9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6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仿宋" w:hAnsi="仿宋" w:eastAsia="仿宋" w:cs="仿宋"/>
                <w:kern w:val="2"/>
                <w:sz w:val="24"/>
                <w:highlight w:val="none"/>
              </w:rPr>
            </w:pPr>
            <w:r>
              <w:rPr>
                <w:rFonts w:hint="eastAsia" w:ascii="仿宋" w:hAnsi="仿宋" w:eastAsia="仿宋" w:cs="仿宋"/>
                <w:kern w:val="2"/>
                <w:sz w:val="24"/>
                <w:highlight w:val="none"/>
              </w:rPr>
              <w:t>采购项目名称</w:t>
            </w:r>
          </w:p>
        </w:tc>
        <w:tc>
          <w:tcPr>
            <w:tcW w:w="6649" w:type="dxa"/>
            <w:vAlign w:val="center"/>
          </w:tcPr>
          <w:p>
            <w:pPr>
              <w:snapToGrid w:val="0"/>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仿宋" w:hAnsi="仿宋" w:eastAsia="仿宋" w:cs="仿宋"/>
                <w:kern w:val="2"/>
                <w:sz w:val="24"/>
                <w:highlight w:val="none"/>
              </w:rPr>
            </w:pPr>
            <w:r>
              <w:rPr>
                <w:rFonts w:hint="eastAsia" w:ascii="仿宋" w:hAnsi="仿宋" w:eastAsia="仿宋" w:cs="仿宋"/>
                <w:kern w:val="2"/>
                <w:sz w:val="24"/>
                <w:highlight w:val="none"/>
              </w:rPr>
              <w:t>采购项目编号</w:t>
            </w:r>
          </w:p>
        </w:tc>
        <w:tc>
          <w:tcPr>
            <w:tcW w:w="6649" w:type="dxa"/>
            <w:vAlign w:val="center"/>
          </w:tcPr>
          <w:p>
            <w:pPr>
              <w:snapToGrid w:val="0"/>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仿宋" w:hAnsi="仿宋" w:eastAsia="仿宋" w:cs="仿宋"/>
                <w:kern w:val="2"/>
                <w:sz w:val="24"/>
                <w:highlight w:val="none"/>
              </w:rPr>
            </w:pPr>
            <w:r>
              <w:rPr>
                <w:rFonts w:hint="eastAsia" w:ascii="仿宋" w:hAnsi="仿宋" w:eastAsia="仿宋" w:cs="仿宋"/>
                <w:kern w:val="2"/>
                <w:sz w:val="24"/>
                <w:highlight w:val="none"/>
              </w:rPr>
              <w:t>供应商名称</w:t>
            </w:r>
          </w:p>
        </w:tc>
        <w:tc>
          <w:tcPr>
            <w:tcW w:w="6649" w:type="dxa"/>
            <w:vAlign w:val="center"/>
          </w:tcPr>
          <w:p>
            <w:pPr>
              <w:snapToGrid w:val="0"/>
              <w:jc w:val="center"/>
              <w:rPr>
                <w:rFonts w:ascii="仿宋" w:hAnsi="仿宋" w:eastAsia="仿宋" w:cs="仿宋"/>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jc w:val="center"/>
              <w:rPr>
                <w:rFonts w:ascii="仿宋" w:hAnsi="仿宋" w:eastAsia="仿宋" w:cs="仿宋"/>
                <w:kern w:val="2"/>
                <w:sz w:val="24"/>
                <w:highlight w:val="none"/>
              </w:rPr>
            </w:pPr>
            <w:r>
              <w:rPr>
                <w:rFonts w:hint="eastAsia" w:ascii="仿宋" w:hAnsi="仿宋" w:eastAsia="仿宋" w:cs="仿宋"/>
                <w:kern w:val="2"/>
                <w:sz w:val="24"/>
                <w:highlight w:val="none"/>
              </w:rPr>
              <w:t>磋商报价</w:t>
            </w:r>
          </w:p>
        </w:tc>
        <w:tc>
          <w:tcPr>
            <w:tcW w:w="6649" w:type="dxa"/>
            <w:vAlign w:val="bottom"/>
          </w:tcPr>
          <w:p>
            <w:pPr>
              <w:snapToGrid w:val="0"/>
              <w:jc w:val="right"/>
              <w:rPr>
                <w:rFonts w:ascii="仿宋" w:hAnsi="仿宋" w:eastAsia="仿宋" w:cs="仿宋"/>
                <w:kern w:val="2"/>
                <w:sz w:val="24"/>
                <w:highlight w:val="none"/>
              </w:rPr>
            </w:pPr>
            <w:r>
              <w:rPr>
                <w:rFonts w:hint="eastAsia" w:ascii="仿宋" w:hAnsi="仿宋" w:eastAsia="仿宋" w:cs="仿宋"/>
                <w:kern w:val="2"/>
                <w:sz w:val="24"/>
                <w:highlight w:val="none"/>
              </w:rPr>
              <w:t xml:space="preserve">               （大写）</w:t>
            </w:r>
          </w:p>
          <w:p>
            <w:pPr>
              <w:snapToGrid w:val="0"/>
              <w:jc w:val="right"/>
              <w:rPr>
                <w:rFonts w:ascii="仿宋" w:hAnsi="仿宋" w:eastAsia="仿宋" w:cs="仿宋"/>
                <w:kern w:val="2"/>
                <w:sz w:val="24"/>
                <w:highlight w:val="none"/>
              </w:rPr>
            </w:pPr>
            <w:r>
              <w:rPr>
                <w:rFonts w:hint="eastAsia" w:ascii="仿宋" w:hAnsi="仿宋" w:eastAsia="仿宋" w:cs="仿宋"/>
                <w:kern w:val="2"/>
                <w:sz w:val="24"/>
                <w:highlight w:val="none"/>
              </w:rPr>
              <w:t xml:space="preserve">                 （小写）</w:t>
            </w:r>
          </w:p>
        </w:tc>
      </w:tr>
    </w:tbl>
    <w:p>
      <w:pPr>
        <w:spacing w:line="440" w:lineRule="exact"/>
        <w:rPr>
          <w:rFonts w:ascii="仿宋" w:hAnsi="仿宋" w:eastAsia="仿宋" w:cs="仿宋"/>
          <w:sz w:val="24"/>
          <w:highlight w:val="none"/>
        </w:rPr>
      </w:pP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注：磋商报价应是磋商文件要求的全部服务的含税总报价，包括人工费、保险、国内税费、招标代理等费用以及一切其它相关费用。</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供应商名称（公章）：</w:t>
      </w:r>
    </w:p>
    <w:p>
      <w:pPr>
        <w:spacing w:line="440" w:lineRule="exact"/>
        <w:rPr>
          <w:rFonts w:ascii="仿宋" w:hAnsi="仿宋" w:eastAsia="仿宋" w:cs="仿宋"/>
          <w:sz w:val="24"/>
          <w:highlight w:val="none"/>
          <w:u w:val="single"/>
        </w:rPr>
      </w:pPr>
      <w:r>
        <w:rPr>
          <w:rFonts w:hint="eastAsia" w:ascii="仿宋" w:hAnsi="仿宋" w:eastAsia="仿宋" w:cs="仿宋"/>
          <w:sz w:val="24"/>
          <w:highlight w:val="none"/>
        </w:rPr>
        <w:t>法定代表人或授权代表（签字）：</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日期： </w:t>
      </w:r>
    </w:p>
    <w:p>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p>
    <w:p>
      <w:pPr>
        <w:widowControl/>
        <w:numPr>
          <w:ilvl w:val="0"/>
          <w:numId w:val="8"/>
        </w:numPr>
        <w:spacing w:line="560" w:lineRule="exact"/>
        <w:jc w:val="center"/>
        <w:outlineLvl w:val="1"/>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eastAsia="zh-CN"/>
        </w:rPr>
        <w:t>其他</w:t>
      </w:r>
      <w:r>
        <w:rPr>
          <w:rFonts w:hint="eastAsia" w:ascii="仿宋" w:hAnsi="仿宋" w:eastAsia="仿宋" w:cs="仿宋"/>
          <w:b/>
          <w:bCs/>
          <w:sz w:val="28"/>
          <w:szCs w:val="28"/>
          <w:highlight w:val="none"/>
        </w:rPr>
        <w:t>承诺函</w:t>
      </w:r>
    </w:p>
    <w:p>
      <w:pPr>
        <w:spacing w:line="560" w:lineRule="exact"/>
        <w:ind w:firstLine="120" w:firstLineChars="50"/>
        <w:rPr>
          <w:rFonts w:ascii="仿宋" w:hAnsi="仿宋" w:eastAsia="仿宋" w:cs="仿宋"/>
          <w:sz w:val="24"/>
          <w:highlight w:val="none"/>
        </w:rPr>
      </w:pPr>
      <w:r>
        <w:rPr>
          <w:rFonts w:hint="eastAsia" w:ascii="仿宋" w:hAnsi="仿宋" w:eastAsia="仿宋" w:cs="仿宋"/>
          <w:sz w:val="24"/>
          <w:highlight w:val="none"/>
        </w:rPr>
        <w:t>采购项目名称：</w:t>
      </w:r>
    </w:p>
    <w:p>
      <w:pPr>
        <w:spacing w:line="560" w:lineRule="exact"/>
        <w:ind w:firstLine="120" w:firstLineChars="50"/>
        <w:rPr>
          <w:rFonts w:ascii="仿宋" w:hAnsi="仿宋" w:eastAsia="仿宋" w:cs="仿宋"/>
          <w:sz w:val="24"/>
          <w:highlight w:val="none"/>
        </w:rPr>
      </w:pPr>
      <w:r>
        <w:rPr>
          <w:rFonts w:hint="eastAsia" w:ascii="仿宋" w:hAnsi="仿宋" w:eastAsia="仿宋" w:cs="仿宋"/>
          <w:sz w:val="24"/>
          <w:highlight w:val="none"/>
        </w:rPr>
        <w:t>采购项目编号：</w:t>
      </w:r>
    </w:p>
    <w:p>
      <w:pPr>
        <w:spacing w:line="460" w:lineRule="exact"/>
        <w:ind w:firstLine="680" w:firstLineChars="200"/>
        <w:rPr>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格式自拟。</w:t>
      </w: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460" w:lineRule="exact"/>
        <w:ind w:firstLine="480" w:firstLineChars="200"/>
        <w:rPr>
          <w:rFonts w:ascii="仿宋" w:hAnsi="仿宋" w:eastAsia="仿宋" w:cs="仿宋"/>
          <w:sz w:val="24"/>
          <w:highlight w:val="none"/>
        </w:rPr>
      </w:pPr>
    </w:p>
    <w:p>
      <w:pPr>
        <w:spacing w:line="560" w:lineRule="exact"/>
        <w:rPr>
          <w:rFonts w:ascii="仿宋" w:hAnsi="仿宋" w:eastAsia="仿宋" w:cs="仿宋"/>
          <w:sz w:val="24"/>
          <w:highlight w:val="none"/>
        </w:rPr>
      </w:pPr>
      <w:r>
        <w:rPr>
          <w:rFonts w:hint="eastAsia" w:ascii="仿宋" w:hAnsi="仿宋" w:eastAsia="仿宋" w:cs="仿宋"/>
          <w:sz w:val="24"/>
          <w:highlight w:val="none"/>
        </w:rPr>
        <w:t>供应商名称（公章）：</w:t>
      </w:r>
    </w:p>
    <w:p>
      <w:pPr>
        <w:pStyle w:val="2"/>
        <w:rPr>
          <w:rFonts w:hint="eastAsia"/>
          <w:highlight w:val="none"/>
        </w:rPr>
      </w:pPr>
      <w:r>
        <w:rPr>
          <w:rFonts w:hint="eastAsia" w:ascii="仿宋" w:hAnsi="仿宋" w:eastAsia="仿宋" w:cs="仿宋"/>
          <w:sz w:val="24"/>
          <w:highlight w:val="none"/>
        </w:rPr>
        <w:t xml:space="preserve">日  期: </w:t>
      </w:r>
    </w:p>
    <w:p>
      <w:pPr>
        <w:spacing w:line="560" w:lineRule="exact"/>
        <w:rPr>
          <w:rFonts w:ascii="仿宋" w:hAnsi="仿宋" w:eastAsia="仿宋" w:cs="仿宋"/>
          <w:b/>
          <w:bCs/>
          <w:highlight w:val="none"/>
        </w:rPr>
      </w:pPr>
      <w:r>
        <w:rPr>
          <w:rFonts w:hint="eastAsia" w:ascii="仿宋" w:hAnsi="仿宋" w:eastAsia="仿宋" w:cs="仿宋"/>
          <w:b/>
          <w:bCs/>
          <w:sz w:val="28"/>
          <w:szCs w:val="28"/>
          <w:highlight w:val="none"/>
        </w:rPr>
        <w:br w:type="page"/>
      </w:r>
      <w:bookmarkStart w:id="203" w:name="_Toc14052"/>
      <w:bookmarkStart w:id="204" w:name="_Toc31171"/>
      <w:r>
        <w:rPr>
          <w:rFonts w:hint="eastAsia" w:ascii="仿宋" w:hAnsi="仿宋" w:eastAsia="仿宋" w:cs="仿宋"/>
          <w:b/>
          <w:bCs/>
          <w:sz w:val="24"/>
          <w:highlight w:val="none"/>
        </w:rPr>
        <w:t>注：拟签订合同主要条款（草案）应当包括本项目服务的内容及有关要求。</w:t>
      </w:r>
      <w:bookmarkEnd w:id="203"/>
      <w:bookmarkEnd w:id="204"/>
    </w:p>
    <w:p>
      <w:pPr>
        <w:pStyle w:val="23"/>
        <w:rPr>
          <w:rFonts w:ascii="仿宋" w:hAnsi="仿宋" w:eastAsia="仿宋" w:cs="仿宋"/>
          <w:sz w:val="24"/>
          <w:highlight w:val="none"/>
        </w:rPr>
      </w:pPr>
      <w:bookmarkStart w:id="205" w:name="_Toc13628"/>
      <w:bookmarkStart w:id="206" w:name="_Toc7256"/>
      <w:bookmarkStart w:id="207" w:name="_Toc5264"/>
      <w:r>
        <w:rPr>
          <w:rFonts w:hint="eastAsia"/>
          <w:highlight w:val="none"/>
        </w:rPr>
        <w:t>第六章 拟签订合同主要条款(草案)</w:t>
      </w:r>
      <w:bookmarkEnd w:id="205"/>
      <w:bookmarkEnd w:id="206"/>
      <w:bookmarkEnd w:id="207"/>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合同编号：XXXX。</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签订地点：XXXX。</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签订时间：XXXX年XX月XX日。</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采购人（甲方）：                              </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供应商（乙方）：                                                                     </w:t>
      </w:r>
    </w:p>
    <w:p>
      <w:pPr>
        <w:spacing w:line="400" w:lineRule="exact"/>
        <w:rPr>
          <w:rFonts w:ascii="仿宋" w:hAnsi="仿宋" w:eastAsia="仿宋" w:cs="仿宋"/>
          <w:sz w:val="24"/>
          <w:szCs w:val="24"/>
          <w:highlight w:val="none"/>
        </w:rPr>
      </w:pP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依据《中华人民共和国民法典》、《中华人民共和国政府采购法》及其他与项目行业有关的法律法规，以及XXXX项目（项目编号：XXXX）的《竞争性磋商文件》，乙方的《响应文件》及《成交通知书》，甲、乙双方同意签订本合同。详细技术说明及其他有关合同项目的特定信息由合同附件予以说明，合同附件及本项目的《竞争性磋商文件》、《响应文件》、《成交通知书》等均为本合同的组成部分。 </w:t>
      </w:r>
    </w:p>
    <w:p>
      <w:pPr>
        <w:numPr>
          <w:ilvl w:val="0"/>
          <w:numId w:val="11"/>
        </w:numPr>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项目基本情况</w:t>
      </w:r>
    </w:p>
    <w:p>
      <w:pPr>
        <w:spacing w:line="360" w:lineRule="auto"/>
        <w:ind w:firstLine="630"/>
        <w:rPr>
          <w:rFonts w:ascii="仿宋" w:hAnsi="仿宋" w:eastAsia="仿宋" w:cs="仿宋"/>
          <w:b/>
          <w:sz w:val="24"/>
          <w:szCs w:val="24"/>
          <w:highlight w:val="none"/>
        </w:rPr>
      </w:pPr>
    </w:p>
    <w:p>
      <w:pPr>
        <w:numPr>
          <w:ilvl w:val="0"/>
          <w:numId w:val="11"/>
        </w:numPr>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合同期限</w:t>
      </w:r>
    </w:p>
    <w:p>
      <w:pPr>
        <w:numPr>
          <w:ilvl w:val="0"/>
          <w:numId w:val="11"/>
        </w:numPr>
        <w:spacing w:line="360" w:lineRule="auto"/>
        <w:rPr>
          <w:rFonts w:ascii="仿宋" w:hAnsi="仿宋" w:eastAsia="仿宋" w:cs="仿宋"/>
          <w:b/>
          <w:sz w:val="24"/>
          <w:szCs w:val="24"/>
          <w:highlight w:val="none"/>
        </w:rPr>
      </w:pPr>
      <w:bookmarkStart w:id="208" w:name="_Toc239233914"/>
      <w:bookmarkStart w:id="209" w:name="_Toc282696226"/>
      <w:bookmarkStart w:id="210" w:name="_Toc211854449"/>
      <w:bookmarkStart w:id="211" w:name="_Toc225654644"/>
      <w:bookmarkStart w:id="212" w:name="_Toc225670751"/>
      <w:bookmarkStart w:id="213" w:name="_Toc211911348"/>
      <w:bookmarkStart w:id="214" w:name="_Toc225244852"/>
      <w:bookmarkStart w:id="215" w:name="_Toc232492928"/>
      <w:bookmarkStart w:id="216" w:name="_Toc286993786"/>
      <w:bookmarkStart w:id="217" w:name="_Toc239568418"/>
      <w:bookmarkStart w:id="218" w:name="_Toc237145406"/>
      <w:bookmarkStart w:id="219" w:name="_Toc212019594"/>
      <w:bookmarkStart w:id="220" w:name="_Toc247334841"/>
      <w:bookmarkStart w:id="221" w:name="_Toc238984975"/>
      <w:bookmarkStart w:id="222" w:name="_Toc185395249"/>
      <w:bookmarkStart w:id="223" w:name="_Toc283019214"/>
      <w:bookmarkStart w:id="224" w:name="_Toc251768862"/>
      <w:bookmarkStart w:id="225" w:name="_Toc241833903"/>
      <w:r>
        <w:rPr>
          <w:rFonts w:hint="eastAsia" w:ascii="仿宋" w:hAnsi="仿宋" w:eastAsia="仿宋" w:cs="仿宋"/>
          <w:b/>
          <w:sz w:val="24"/>
          <w:szCs w:val="24"/>
          <w:highlight w:val="none"/>
        </w:rPr>
        <w:t>服务内容与质量标准</w:t>
      </w:r>
    </w:p>
    <w:p>
      <w:pPr>
        <w:spacing w:line="360" w:lineRule="auto"/>
        <w:ind w:firstLine="630"/>
        <w:rPr>
          <w:rFonts w:ascii="仿宋" w:hAnsi="仿宋" w:eastAsia="仿宋" w:cs="仿宋"/>
          <w:sz w:val="24"/>
          <w:szCs w:val="24"/>
          <w:highlight w:val="none"/>
        </w:rPr>
      </w:pPr>
      <w:r>
        <w:rPr>
          <w:rFonts w:hint="eastAsia" w:ascii="仿宋" w:hAnsi="仿宋" w:eastAsia="仿宋" w:cs="仿宋"/>
          <w:sz w:val="24"/>
          <w:szCs w:val="24"/>
          <w:highlight w:val="none"/>
        </w:rPr>
        <w:t>……</w:t>
      </w:r>
    </w:p>
    <w:p>
      <w:pPr>
        <w:numPr>
          <w:ilvl w:val="0"/>
          <w:numId w:val="11"/>
        </w:numPr>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服务费用及付款方式</w:t>
      </w:r>
    </w:p>
    <w:p>
      <w:pPr>
        <w:numPr>
          <w:ilvl w:val="0"/>
          <w:numId w:val="12"/>
        </w:numPr>
        <w:spacing w:line="360" w:lineRule="auto"/>
        <w:ind w:left="0" w:firstLine="567"/>
        <w:rPr>
          <w:rFonts w:ascii="仿宋" w:hAnsi="仿宋" w:eastAsia="仿宋" w:cs="仿宋"/>
          <w:b/>
          <w:sz w:val="24"/>
          <w:szCs w:val="24"/>
          <w:highlight w:val="none"/>
        </w:rPr>
      </w:pPr>
      <w:r>
        <w:rPr>
          <w:rFonts w:hint="eastAsia" w:ascii="仿宋" w:hAnsi="仿宋" w:eastAsia="仿宋" w:cs="仿宋"/>
          <w:b/>
          <w:sz w:val="24"/>
          <w:szCs w:val="24"/>
          <w:highlight w:val="none"/>
        </w:rPr>
        <w:t>本项目服务费用由以下组成：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1、XX万元；</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2、XX万元；</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3、XX万元。</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w:t>
      </w:r>
    </w:p>
    <w:p>
      <w:pPr>
        <w:numPr>
          <w:ilvl w:val="0"/>
          <w:numId w:val="12"/>
        </w:numPr>
        <w:tabs>
          <w:tab w:val="left" w:pos="780"/>
        </w:tabs>
        <w:spacing w:line="360" w:lineRule="auto"/>
        <w:ind w:left="0" w:firstLine="567"/>
        <w:rPr>
          <w:rFonts w:ascii="仿宋" w:hAnsi="仿宋" w:eastAsia="仿宋" w:cs="仿宋"/>
          <w:b/>
          <w:sz w:val="24"/>
          <w:szCs w:val="24"/>
          <w:highlight w:val="none"/>
        </w:rPr>
      </w:pPr>
      <w:r>
        <w:rPr>
          <w:rFonts w:hint="eastAsia" w:ascii="仿宋" w:hAnsi="仿宋" w:eastAsia="仿宋" w:cs="仿宋"/>
          <w:b/>
          <w:sz w:val="24"/>
          <w:szCs w:val="24"/>
          <w:highlight w:val="none"/>
        </w:rPr>
        <w:t xml:space="preserve">服务费付款方式： </w:t>
      </w:r>
    </w:p>
    <w:p>
      <w:pPr>
        <w:numPr>
          <w:ilvl w:val="0"/>
          <w:numId w:val="11"/>
        </w:numPr>
        <w:spacing w:line="360" w:lineRule="auto"/>
        <w:rPr>
          <w:rFonts w:ascii="仿宋" w:hAnsi="仿宋" w:eastAsia="仿宋" w:cs="仿宋"/>
          <w:b/>
          <w:sz w:val="24"/>
          <w:szCs w:val="24"/>
          <w:highlight w:val="none"/>
        </w:rPr>
      </w:pPr>
      <w:r>
        <w:rPr>
          <w:rFonts w:hint="eastAsia" w:ascii="仿宋" w:hAnsi="仿宋" w:eastAsia="仿宋" w:cs="仿宋"/>
          <w:b/>
          <w:sz w:val="24"/>
          <w:szCs w:val="24"/>
          <w:highlight w:val="none"/>
        </w:rPr>
        <w:t>知识产权</w:t>
      </w:r>
    </w:p>
    <w:p>
      <w:pPr>
        <w:tabs>
          <w:tab w:val="left" w:pos="1440"/>
        </w:tabs>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乙方应保证所提供的服务或其任何一部分均不会侵犯任何第三方的专利权、商标权或著作权，未经甲方书面许可，乙方不得擅自使用或许可他人使用。</w:t>
      </w:r>
    </w:p>
    <w:p>
      <w:pPr>
        <w:numPr>
          <w:ilvl w:val="0"/>
          <w:numId w:val="11"/>
        </w:numPr>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无产权瑕疵条款</w:t>
      </w:r>
    </w:p>
    <w:p>
      <w:pPr>
        <w:tabs>
          <w:tab w:val="left" w:pos="1440"/>
        </w:tabs>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乙方保证所提供的服务的所有权完全属于乙方且无任何抵押、查封等产权瑕疵。如有产权瑕疵的，视为乙方违约。乙方应负担由此而产生的一切损失。</w:t>
      </w:r>
    </w:p>
    <w:p>
      <w:pPr>
        <w:numPr>
          <w:ilvl w:val="0"/>
          <w:numId w:val="11"/>
        </w:numPr>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甲方的权利和义务</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2、甲方有权依据双方签订的考评办法对乙方提供的服务进行定期考评。</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3、负责检查监督乙方管理工作的实施及制度的执行情况。</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4、根据本合同规定，按时向乙方支付应付服务费用。</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5、国家法律、法规所规定由甲方承担的其它责任。</w:t>
      </w:r>
    </w:p>
    <w:p>
      <w:pPr>
        <w:numPr>
          <w:ilvl w:val="0"/>
          <w:numId w:val="11"/>
        </w:numPr>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乙方的权利和义务</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1、对本合同规定的委托服务范围内的项目享有管理权及服务义务。</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2、根据本合同的规定向甲方收取相关服务费用，并有权在本项目管理范围内管理及合理使用。</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3、及时向甲方通告本项目服务范围内有关服务的重大事项，及时配合处理投诉。</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sz w:val="24"/>
          <w:szCs w:val="24"/>
          <w:highlight w:val="none"/>
        </w:rPr>
        <w:t>4、</w:t>
      </w:r>
      <w:r>
        <w:rPr>
          <w:rFonts w:hint="eastAsia" w:ascii="仿宋" w:hAnsi="仿宋" w:eastAsia="仿宋" w:cs="仿宋"/>
          <w:bCs/>
          <w:sz w:val="24"/>
          <w:szCs w:val="24"/>
          <w:highlight w:val="none"/>
        </w:rPr>
        <w:t>接受项目行业管理部门及政府有关部门的指导，接受甲方的监督。</w:t>
      </w:r>
    </w:p>
    <w:p>
      <w:pPr>
        <w:pStyle w:val="2"/>
        <w:spacing w:after="0" w:line="440" w:lineRule="exact"/>
        <w:ind w:firstLine="480" w:firstLineChars="200"/>
        <w:rPr>
          <w:rFonts w:ascii="仿宋" w:hAnsi="仿宋" w:eastAsia="仿宋" w:cs="仿宋"/>
          <w:bCs/>
          <w:highlight w:val="none"/>
        </w:rPr>
      </w:pPr>
      <w:r>
        <w:rPr>
          <w:rFonts w:hint="eastAsia" w:ascii="仿宋" w:hAnsi="仿宋" w:eastAsia="仿宋" w:cs="仿宋"/>
          <w:bCs/>
          <w:highlight w:val="none"/>
        </w:rPr>
        <w:t>5、乙方应保证参培人员在培训期间的财产、人身安全，对参培人员在培训期间遭受的财产、人身损害承担全部赔偿责任，该责任与甲方无关。</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6、国家法律、法规所规定由乙方承担的其它责任。</w:t>
      </w:r>
    </w:p>
    <w:p>
      <w:pPr>
        <w:numPr>
          <w:ilvl w:val="0"/>
          <w:numId w:val="11"/>
        </w:numPr>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违约责任</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1、甲乙双方必须遵守本合同并执行合同中的各项规定，保证本合同的正常履行。</w:t>
      </w:r>
    </w:p>
    <w:p>
      <w:pPr>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11"/>
        </w:numPr>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不可抗力事件处理</w:t>
      </w:r>
    </w:p>
    <w:p>
      <w:pPr>
        <w:tabs>
          <w:tab w:val="left" w:pos="0"/>
        </w:tabs>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1、在合同有效期内，任何一方因不可抗力事件导致不能履行合同，则合同履行期可延长，其延长期与不可抗力影响期相同。</w:t>
      </w:r>
    </w:p>
    <w:p>
      <w:pPr>
        <w:tabs>
          <w:tab w:val="left" w:pos="0"/>
        </w:tabs>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2、不可抗力事件发生后，应立即通知对方，并寄送有关权威机构出具的证明。</w:t>
      </w:r>
    </w:p>
    <w:p>
      <w:pPr>
        <w:tabs>
          <w:tab w:val="left" w:pos="0"/>
        </w:tabs>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3、不可抗力事件延续XX天以上，双方应通过友好协商，确定是否继续履行合同。</w:t>
      </w:r>
    </w:p>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Pr>
        <w:numPr>
          <w:ilvl w:val="0"/>
          <w:numId w:val="11"/>
        </w:numPr>
        <w:spacing w:line="440" w:lineRule="exact"/>
        <w:rPr>
          <w:rFonts w:ascii="仿宋" w:hAnsi="仿宋" w:eastAsia="仿宋" w:cs="仿宋"/>
          <w:b/>
          <w:sz w:val="24"/>
          <w:szCs w:val="24"/>
          <w:highlight w:val="none"/>
        </w:rPr>
      </w:pPr>
      <w:bookmarkStart w:id="226" w:name="_Toc247334846"/>
      <w:bookmarkStart w:id="227" w:name="_Toc237145411"/>
      <w:bookmarkStart w:id="228" w:name="_Toc286993792"/>
      <w:bookmarkStart w:id="229" w:name="_Toc251768867"/>
      <w:bookmarkStart w:id="230" w:name="_Toc239568423"/>
      <w:bookmarkStart w:id="231" w:name="_Toc241833908"/>
      <w:bookmarkStart w:id="232" w:name="_Toc212019599"/>
      <w:bookmarkStart w:id="233" w:name="_Toc211854454"/>
      <w:bookmarkStart w:id="234" w:name="_Toc225654649"/>
      <w:bookmarkStart w:id="235" w:name="_Toc232492933"/>
      <w:bookmarkStart w:id="236" w:name="_Toc211911353"/>
      <w:bookmarkStart w:id="237" w:name="_Toc225670756"/>
      <w:bookmarkStart w:id="238" w:name="_Toc225244857"/>
      <w:bookmarkStart w:id="239" w:name="_Toc239233919"/>
      <w:bookmarkStart w:id="240" w:name="_Toc185395254"/>
      <w:bookmarkStart w:id="241" w:name="_Toc238984980"/>
      <w:r>
        <w:rPr>
          <w:rFonts w:hint="eastAsia" w:ascii="仿宋" w:hAnsi="仿宋" w:eastAsia="仿宋" w:cs="仿宋"/>
          <w:b/>
          <w:sz w:val="24"/>
          <w:szCs w:val="24"/>
          <w:highlight w:val="none"/>
        </w:rPr>
        <w:t>解决合同纠纷的方式</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tabs>
          <w:tab w:val="left" w:pos="0"/>
        </w:tabs>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1、在执行本合同中发生的或与本合同有关的争端，双方应通过友好协商解决，经协商在XX天内不能达成协议时，双方同意在甲方所在地法院诉讼解决。</w:t>
      </w:r>
    </w:p>
    <w:p>
      <w:pPr>
        <w:tabs>
          <w:tab w:val="left" w:pos="0"/>
        </w:tabs>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2、在诉讼期间，除正在进行诉讼部分外，合同其他部分继续执行。  </w:t>
      </w:r>
    </w:p>
    <w:p>
      <w:pPr>
        <w:numPr>
          <w:ilvl w:val="0"/>
          <w:numId w:val="11"/>
        </w:numPr>
        <w:spacing w:line="440" w:lineRule="exact"/>
        <w:rPr>
          <w:rFonts w:ascii="仿宋" w:hAnsi="仿宋" w:eastAsia="仿宋" w:cs="仿宋"/>
          <w:b/>
          <w:sz w:val="24"/>
          <w:szCs w:val="24"/>
          <w:highlight w:val="none"/>
        </w:rPr>
      </w:pPr>
      <w:bookmarkStart w:id="242" w:name="_Toc232492934"/>
      <w:bookmarkStart w:id="243" w:name="_Toc251768868"/>
      <w:bookmarkStart w:id="244" w:name="_Toc225654650"/>
      <w:bookmarkStart w:id="245" w:name="_Toc212019600"/>
      <w:bookmarkStart w:id="246" w:name="_Toc239568424"/>
      <w:bookmarkStart w:id="247" w:name="_Toc225244858"/>
      <w:bookmarkStart w:id="248" w:name="_Toc238984981"/>
      <w:bookmarkStart w:id="249" w:name="_Toc211911354"/>
      <w:bookmarkStart w:id="250" w:name="_Toc237145412"/>
      <w:bookmarkStart w:id="251" w:name="_Toc239233920"/>
      <w:bookmarkStart w:id="252" w:name="_Toc286993793"/>
      <w:bookmarkStart w:id="253" w:name="_Toc211854455"/>
      <w:bookmarkStart w:id="254" w:name="_Toc247334847"/>
      <w:bookmarkStart w:id="255" w:name="_Toc283019219"/>
      <w:bookmarkStart w:id="256" w:name="_Toc282696231"/>
      <w:bookmarkStart w:id="257" w:name="_Toc225670757"/>
      <w:bookmarkStart w:id="258" w:name="_Toc241833909"/>
      <w:bookmarkStart w:id="259" w:name="_Toc185395255"/>
      <w:r>
        <w:rPr>
          <w:rFonts w:hint="eastAsia" w:ascii="仿宋" w:hAnsi="仿宋" w:eastAsia="仿宋" w:cs="仿宋"/>
          <w:b/>
          <w:sz w:val="24"/>
          <w:szCs w:val="24"/>
          <w:highlight w:val="none"/>
        </w:rPr>
        <w:t>合同</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rFonts w:hint="eastAsia" w:ascii="仿宋" w:hAnsi="仿宋" w:eastAsia="仿宋" w:cs="仿宋"/>
          <w:b/>
          <w:sz w:val="24"/>
          <w:szCs w:val="24"/>
          <w:highlight w:val="none"/>
        </w:rPr>
        <w:t>生效及其他</w:t>
      </w:r>
    </w:p>
    <w:p>
      <w:pPr>
        <w:pStyle w:val="81"/>
        <w:spacing w:line="440" w:lineRule="exact"/>
        <w:ind w:firstLine="480"/>
        <w:rPr>
          <w:rFonts w:ascii="仿宋" w:hAnsi="仿宋" w:eastAsia="仿宋" w:cs="仿宋"/>
          <w:sz w:val="24"/>
          <w:szCs w:val="24"/>
          <w:highlight w:val="none"/>
        </w:rPr>
      </w:pPr>
      <w:r>
        <w:rPr>
          <w:rFonts w:hint="eastAsia" w:ascii="仿宋" w:hAnsi="仿宋" w:eastAsia="仿宋" w:cs="仿宋"/>
          <w:sz w:val="24"/>
          <w:szCs w:val="24"/>
          <w:highlight w:val="none"/>
        </w:rPr>
        <w:t>1、合同经双方法定代表人或授权委托代理人签字并加盖单位公章后生效。</w:t>
      </w:r>
    </w:p>
    <w:p>
      <w:pPr>
        <w:pStyle w:val="81"/>
        <w:spacing w:line="440" w:lineRule="exact"/>
        <w:ind w:firstLine="480"/>
        <w:rPr>
          <w:rFonts w:ascii="仿宋" w:hAnsi="仿宋" w:eastAsia="仿宋" w:cs="仿宋"/>
          <w:sz w:val="24"/>
          <w:szCs w:val="24"/>
          <w:highlight w:val="none"/>
        </w:rPr>
      </w:pPr>
      <w:r>
        <w:rPr>
          <w:rFonts w:hint="eastAsia" w:ascii="仿宋" w:hAnsi="仿宋" w:eastAsia="仿宋" w:cs="仿宋"/>
          <w:sz w:val="24"/>
          <w:szCs w:val="24"/>
          <w:highlight w:val="none"/>
        </w:rPr>
        <w:t>2、合同执行中涉及采购资金和采购内容修改或补充的，须签书面补充协议报政府采购监督管理部门备案，方可作为主合同不可分割的一部分。</w:t>
      </w:r>
    </w:p>
    <w:p>
      <w:pPr>
        <w:pStyle w:val="81"/>
        <w:spacing w:line="440" w:lineRule="exact"/>
        <w:ind w:firstLine="480"/>
        <w:rPr>
          <w:rFonts w:ascii="仿宋" w:hAnsi="仿宋" w:eastAsia="仿宋" w:cs="仿宋"/>
          <w:sz w:val="24"/>
          <w:szCs w:val="24"/>
          <w:highlight w:val="none"/>
        </w:rPr>
      </w:pPr>
      <w:r>
        <w:rPr>
          <w:rFonts w:hint="eastAsia" w:ascii="仿宋" w:hAnsi="仿宋" w:eastAsia="仿宋" w:cs="仿宋"/>
          <w:sz w:val="24"/>
          <w:szCs w:val="24"/>
          <w:highlight w:val="none"/>
        </w:rPr>
        <w:t>3、本合同一式XX份，自双方签章之日起生效。甲方XX份，乙方XX份，财政部门备案XX份，具有同等法律效力。</w:t>
      </w:r>
    </w:p>
    <w:p>
      <w:pPr>
        <w:numPr>
          <w:ilvl w:val="0"/>
          <w:numId w:val="11"/>
        </w:numPr>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附件</w:t>
      </w:r>
    </w:p>
    <w:p>
      <w:pPr>
        <w:pStyle w:val="81"/>
        <w:spacing w:line="440" w:lineRule="exact"/>
        <w:ind w:firstLine="480"/>
        <w:rPr>
          <w:rFonts w:ascii="仿宋" w:hAnsi="仿宋" w:eastAsia="仿宋" w:cs="仿宋"/>
          <w:sz w:val="24"/>
          <w:szCs w:val="24"/>
          <w:highlight w:val="none"/>
        </w:rPr>
      </w:pPr>
      <w:r>
        <w:rPr>
          <w:rFonts w:hint="eastAsia" w:ascii="仿宋" w:hAnsi="仿宋" w:eastAsia="仿宋" w:cs="仿宋"/>
          <w:sz w:val="24"/>
          <w:szCs w:val="24"/>
          <w:highlight w:val="none"/>
        </w:rPr>
        <w:t>1、《竞争性磋商文件》</w:t>
      </w:r>
    </w:p>
    <w:p>
      <w:pPr>
        <w:pStyle w:val="81"/>
        <w:spacing w:line="440" w:lineRule="exact"/>
        <w:ind w:firstLine="480"/>
        <w:rPr>
          <w:rFonts w:ascii="仿宋" w:hAnsi="仿宋" w:eastAsia="仿宋" w:cs="仿宋"/>
          <w:sz w:val="24"/>
          <w:szCs w:val="24"/>
          <w:highlight w:val="none"/>
        </w:rPr>
      </w:pPr>
      <w:r>
        <w:rPr>
          <w:rFonts w:hint="eastAsia" w:ascii="仿宋" w:hAnsi="仿宋" w:eastAsia="仿宋" w:cs="仿宋"/>
          <w:sz w:val="24"/>
          <w:szCs w:val="24"/>
          <w:highlight w:val="none"/>
        </w:rPr>
        <w:t>2、《响应文件》</w:t>
      </w:r>
    </w:p>
    <w:p>
      <w:pPr>
        <w:pStyle w:val="81"/>
        <w:spacing w:line="440" w:lineRule="exact"/>
        <w:ind w:firstLine="0" w:firstLineChars="0"/>
        <w:rPr>
          <w:rFonts w:ascii="仿宋" w:hAnsi="仿宋" w:eastAsia="仿宋" w:cs="仿宋"/>
          <w:sz w:val="24"/>
          <w:szCs w:val="24"/>
          <w:highlight w:val="none"/>
        </w:rPr>
      </w:pPr>
      <w:r>
        <w:rPr>
          <w:rFonts w:hint="eastAsia" w:ascii="仿宋" w:hAnsi="仿宋" w:eastAsia="仿宋" w:cs="仿宋"/>
          <w:sz w:val="24"/>
          <w:szCs w:val="24"/>
          <w:highlight w:val="none"/>
        </w:rPr>
        <w:t xml:space="preserve">    3、《成交通知书》</w:t>
      </w:r>
    </w:p>
    <w:p>
      <w:pPr>
        <w:pStyle w:val="81"/>
        <w:spacing w:line="440" w:lineRule="exact"/>
        <w:ind w:firstLine="480"/>
        <w:rPr>
          <w:rFonts w:ascii="仿宋" w:hAnsi="仿宋" w:eastAsia="仿宋" w:cs="仿宋"/>
          <w:sz w:val="24"/>
          <w:szCs w:val="24"/>
          <w:highlight w:val="none"/>
        </w:rPr>
      </w:pPr>
      <w:r>
        <w:rPr>
          <w:rFonts w:hint="eastAsia" w:ascii="仿宋" w:hAnsi="仿宋" w:eastAsia="仿宋" w:cs="仿宋"/>
          <w:sz w:val="24"/>
          <w:szCs w:val="24"/>
          <w:highlight w:val="none"/>
        </w:rPr>
        <w:t>4、……</w:t>
      </w:r>
    </w:p>
    <w:p>
      <w:pPr>
        <w:spacing w:line="400" w:lineRule="exact"/>
        <w:rPr>
          <w:rFonts w:ascii="仿宋" w:hAnsi="仿宋" w:eastAsia="仿宋" w:cs="仿宋"/>
          <w:sz w:val="24"/>
          <w:szCs w:val="24"/>
          <w:highlight w:val="none"/>
        </w:rPr>
      </w:pP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甲方：   （盖章）   </w:t>
      </w:r>
      <w:r>
        <w:rPr>
          <w:rFonts w:hint="eastAsia" w:ascii="仿宋" w:hAnsi="仿宋" w:eastAsia="仿宋" w:cs="仿宋"/>
          <w:sz w:val="24"/>
          <w:szCs w:val="24"/>
          <w:highlight w:val="none"/>
        </w:rPr>
        <w:tab/>
      </w:r>
      <w:r>
        <w:rPr>
          <w:rFonts w:hint="eastAsia" w:ascii="仿宋" w:hAnsi="仿宋" w:eastAsia="仿宋" w:cs="仿宋"/>
          <w:sz w:val="24"/>
          <w:szCs w:val="24"/>
          <w:highlight w:val="none"/>
        </w:rPr>
        <w:tab/>
      </w:r>
      <w:r>
        <w:rPr>
          <w:rFonts w:hint="eastAsia" w:ascii="仿宋" w:hAnsi="仿宋" w:eastAsia="仿宋" w:cs="仿宋"/>
          <w:sz w:val="24"/>
          <w:szCs w:val="24"/>
          <w:highlight w:val="none"/>
        </w:rPr>
        <w:tab/>
      </w:r>
      <w:r>
        <w:rPr>
          <w:rFonts w:hint="eastAsia" w:ascii="仿宋" w:hAnsi="仿宋" w:eastAsia="仿宋" w:cs="仿宋"/>
          <w:sz w:val="24"/>
          <w:szCs w:val="24"/>
          <w:highlight w:val="none"/>
        </w:rPr>
        <w:t xml:space="preserve">       乙方：   （盖章）</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法定代表人（授权代表）：            法定代表人（授权代表）：</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地    址：                         地    址：</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开户银行：                         开户银行：</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账号：                             账号：</w:t>
      </w:r>
    </w:p>
    <w:p>
      <w:pPr>
        <w:spacing w:line="4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电    话：                         电    话：</w:t>
      </w:r>
    </w:p>
    <w:p>
      <w:pPr>
        <w:spacing w:line="400" w:lineRule="exact"/>
        <w:ind w:firstLine="480" w:firstLineChars="200"/>
        <w:rPr>
          <w:rFonts w:ascii="仿宋" w:hAnsi="仿宋" w:eastAsia="仿宋" w:cs="仿宋"/>
          <w:b/>
          <w:sz w:val="24"/>
          <w:szCs w:val="24"/>
          <w:highlight w:val="none"/>
        </w:rPr>
      </w:pPr>
      <w:r>
        <w:rPr>
          <w:rFonts w:hint="eastAsia" w:ascii="仿宋" w:hAnsi="仿宋" w:eastAsia="仿宋" w:cs="仿宋"/>
          <w:sz w:val="24"/>
          <w:szCs w:val="24"/>
          <w:highlight w:val="none"/>
        </w:rPr>
        <w:t xml:space="preserve">传    真：                         传    真：签约日期：XX年XX月XX日 </w:t>
      </w:r>
      <w:r>
        <w:rPr>
          <w:rFonts w:hint="eastAsia" w:ascii="仿宋" w:hAnsi="仿宋" w:eastAsia="仿宋" w:cs="仿宋"/>
          <w:sz w:val="24"/>
          <w:szCs w:val="24"/>
          <w:highlight w:val="none"/>
        </w:rPr>
        <w:tab/>
      </w:r>
      <w:r>
        <w:rPr>
          <w:rFonts w:hint="eastAsia" w:ascii="仿宋" w:hAnsi="仿宋" w:eastAsia="仿宋" w:cs="仿宋"/>
          <w:sz w:val="24"/>
          <w:szCs w:val="24"/>
          <w:highlight w:val="none"/>
        </w:rPr>
        <w:tab/>
      </w:r>
      <w:r>
        <w:rPr>
          <w:rFonts w:hint="eastAsia" w:ascii="仿宋" w:hAnsi="仿宋" w:eastAsia="仿宋" w:cs="仿宋"/>
          <w:sz w:val="24"/>
          <w:szCs w:val="24"/>
          <w:highlight w:val="none"/>
        </w:rPr>
        <w:tab/>
      </w:r>
      <w:r>
        <w:rPr>
          <w:rFonts w:hint="eastAsia" w:ascii="仿宋" w:hAnsi="仿宋" w:eastAsia="仿宋" w:cs="仿宋"/>
          <w:sz w:val="24"/>
          <w:szCs w:val="24"/>
          <w:highlight w:val="none"/>
        </w:rPr>
        <w:t>签约日期：XX年XX月XX日</w:t>
      </w:r>
    </w:p>
    <w:p>
      <w:pPr>
        <w:widowControl/>
        <w:spacing w:line="560" w:lineRule="exact"/>
        <w:outlineLvl w:val="1"/>
        <w:rPr>
          <w:rFonts w:ascii="仿宋" w:hAnsi="仿宋" w:eastAsia="仿宋" w:cs="仿宋"/>
          <w:sz w:val="24"/>
          <w:highlight w:val="none"/>
        </w:rPr>
        <w:sectPr>
          <w:pgSz w:w="11905" w:h="16838"/>
          <w:pgMar w:top="2098" w:right="1531" w:bottom="1984" w:left="1531" w:header="709" w:footer="1417" w:gutter="0"/>
          <w:cols w:space="720" w:num="1"/>
          <w:docGrid w:linePitch="579" w:charSpace="0"/>
        </w:sectPr>
      </w:pPr>
      <w:r>
        <w:rPr>
          <w:rFonts w:hint="eastAsia" w:ascii="仿宋" w:hAnsi="仿宋" w:eastAsia="仿宋" w:cs="仿宋"/>
          <w:b/>
          <w:sz w:val="24"/>
          <w:highlight w:val="none"/>
        </w:rPr>
        <w:t>注：其他合同专用条款在合同签订时另商签订。</w:t>
      </w:r>
    </w:p>
    <w:p>
      <w:pPr>
        <w:pStyle w:val="22"/>
        <w:spacing w:before="0" w:beforeAutospacing="0" w:after="0" w:afterAutospacing="0" w:line="580" w:lineRule="atLeast"/>
        <w:rPr>
          <w:rFonts w:ascii="仿宋_GB2312" w:eastAsia="仿宋_GB2312" w:cs="仿宋_GB2312"/>
          <w:sz w:val="32"/>
          <w:szCs w:val="32"/>
          <w:highlight w:val="none"/>
        </w:rPr>
      </w:pPr>
      <w:r>
        <w:rPr>
          <w:rFonts w:hAnsi="宋体" w:cs="宋体"/>
          <w:sz w:val="24"/>
          <w:szCs w:val="24"/>
          <w:highlight w:val="none"/>
        </w:rPr>
        <w:drawing>
          <wp:inline distT="0" distB="0" distL="114300" distR="114300">
            <wp:extent cx="5848350" cy="2162175"/>
            <wp:effectExtent l="0" t="0" r="0" b="9525"/>
            <wp:docPr id="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6"/>
                    <pic:cNvPicPr>
                      <a:picLocks noChangeAspect="1"/>
                    </pic:cNvPicPr>
                  </pic:nvPicPr>
                  <pic:blipFill>
                    <a:blip r:embed="rId11"/>
                    <a:stretch>
                      <a:fillRect/>
                    </a:stretch>
                  </pic:blipFill>
                  <pic:spPr>
                    <a:xfrm>
                      <a:off x="0" y="0"/>
                      <a:ext cx="5848350" cy="2162175"/>
                    </a:xfrm>
                    <a:prstGeom prst="rect">
                      <a:avLst/>
                    </a:prstGeom>
                    <a:noFill/>
                    <a:ln>
                      <a:noFill/>
                    </a:ln>
                  </pic:spPr>
                </pic:pic>
              </a:graphicData>
            </a:graphic>
          </wp:inline>
        </w:drawing>
      </w:r>
    </w:p>
    <w:p>
      <w:pPr>
        <w:pStyle w:val="22"/>
        <w:spacing w:before="0" w:beforeAutospacing="0" w:after="0" w:afterAutospacing="0" w:line="580" w:lineRule="atLeast"/>
        <w:rPr>
          <w:rFonts w:ascii="Times New Roman"/>
          <w:sz w:val="32"/>
          <w:szCs w:val="32"/>
          <w:highlight w:val="none"/>
        </w:rPr>
      </w:pPr>
      <w:r>
        <w:rPr>
          <w:rFonts w:ascii="仿宋_GB2312" w:eastAsia="仿宋_GB2312" w:cs="仿宋_GB2312"/>
          <w:sz w:val="32"/>
          <w:szCs w:val="32"/>
          <w:highlight w:val="none"/>
        </w:rPr>
        <w:t>各市（州）、扩权县（市）财政局，各省直机关、事业单位、团体组织，各金融机构，各采购代理机构，各政府采购供应商：</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2"/>
        <w:spacing w:before="0" w:beforeAutospacing="0" w:after="0" w:afterAutospacing="0" w:line="580" w:lineRule="atLeast"/>
        <w:ind w:firstLine="628"/>
        <w:rPr>
          <w:rFonts w:ascii="Times New Roman"/>
          <w:sz w:val="32"/>
          <w:szCs w:val="32"/>
          <w:highlight w:val="none"/>
        </w:rPr>
      </w:pPr>
      <w:r>
        <w:rPr>
          <w:rFonts w:ascii="黑体" w:hAnsi="宋体" w:eastAsia="黑体" w:cs="黑体"/>
          <w:sz w:val="32"/>
          <w:szCs w:val="32"/>
          <w:highlight w:val="none"/>
        </w:rPr>
        <w:t>一、融资概念</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2"/>
        <w:spacing w:before="0" w:beforeAutospacing="0" w:after="0" w:afterAutospacing="0" w:line="580" w:lineRule="atLeast"/>
        <w:ind w:left="634"/>
        <w:rPr>
          <w:rFonts w:ascii="Times New Roman"/>
          <w:sz w:val="32"/>
          <w:szCs w:val="32"/>
          <w:highlight w:val="none"/>
        </w:rPr>
      </w:pPr>
      <w:r>
        <w:rPr>
          <w:rFonts w:hint="eastAsia" w:ascii="黑体" w:hAnsi="宋体" w:eastAsia="黑体" w:cs="黑体"/>
          <w:sz w:val="32"/>
          <w:szCs w:val="32"/>
          <w:highlight w:val="none"/>
        </w:rPr>
        <w:t>二、基本原则</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（一）财政引导，市场运行</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财政部门推进“政采贷”，银行和供应商按照自愿原则参与。供应商自愿选择是否申请“政采贷”，银行依据其内部审查制度和决策程序决定是否为供应商提供融资，自担风险。</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（二）建立机制，服务银企</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（三）优质优惠，加强扶持</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2"/>
        <w:spacing w:before="0" w:beforeAutospacing="0" w:after="0" w:afterAutospacing="0" w:line="580" w:lineRule="atLeast"/>
        <w:ind w:firstLine="628"/>
        <w:rPr>
          <w:rFonts w:ascii="Times New Roman"/>
          <w:sz w:val="32"/>
          <w:szCs w:val="32"/>
          <w:highlight w:val="none"/>
        </w:rPr>
      </w:pPr>
      <w:r>
        <w:rPr>
          <w:rFonts w:hint="eastAsia" w:ascii="黑体" w:hAnsi="宋体" w:eastAsia="黑体" w:cs="黑体"/>
          <w:sz w:val="32"/>
          <w:szCs w:val="32"/>
          <w:highlight w:val="none"/>
        </w:rPr>
        <w:t>三、基本条件</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（一）银行暨“政采贷”金融产品</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1、征集。</w:t>
      </w:r>
      <w:r>
        <w:rPr>
          <w:rFonts w:ascii="仿宋_GB2312" w:eastAsia="仿宋_GB2312" w:cs="仿宋_GB2312"/>
          <w:sz w:val="32"/>
          <w:szCs w:val="32"/>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申请材料应当包括银行基本情况、“政采贷”产品名称、申请贷款条件、申请贷款方式、申请贷款程序、贷款审查流程、贷款额度、发放贷款时间、收款方式及其他优质服务和优惠承诺等。</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银行提供的“政采贷”产品应当满足“无抵押担保、程序简便、利率优惠、放款及时”的基本条件以及本通知其他相关规定。</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银行申请材料中应当载明其自愿提供“政采贷”产品，自担风险，不得要求或者变相要求财政部门和采购人为其提供风险担保、承诺。</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2、公示。</w:t>
      </w:r>
      <w:r>
        <w:rPr>
          <w:rFonts w:ascii="仿宋_GB2312" w:eastAsia="仿宋_GB2312" w:cs="仿宋_GB2312"/>
          <w:sz w:val="32"/>
          <w:szCs w:val="32"/>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（二）供应商</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政府采购供应商向银行申请“政采贷”，应当满足下列基本条件：</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1、</w:t>
      </w:r>
      <w:r>
        <w:rPr>
          <w:rFonts w:ascii="仿宋_GB2312" w:eastAsia="仿宋_GB2312" w:cs="仿宋_GB2312"/>
          <w:sz w:val="32"/>
          <w:szCs w:val="32"/>
          <w:highlight w:val="none"/>
        </w:rPr>
        <w:t>具有依法承担民事责任的能力；</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2、</w:t>
      </w:r>
      <w:r>
        <w:rPr>
          <w:rFonts w:ascii="仿宋_GB2312" w:eastAsia="仿宋_GB2312" w:cs="仿宋_GB2312"/>
          <w:sz w:val="32"/>
          <w:szCs w:val="32"/>
          <w:highlight w:val="none"/>
        </w:rPr>
        <w:t>具有依法履行政府采购合同的能力；</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3、</w:t>
      </w:r>
      <w:r>
        <w:rPr>
          <w:rFonts w:ascii="仿宋_GB2312" w:eastAsia="仿宋_GB2312" w:cs="仿宋_GB2312"/>
          <w:sz w:val="32"/>
          <w:szCs w:val="32"/>
          <w:highlight w:val="none"/>
        </w:rPr>
        <w:t>参加的政府采购活动未被财政部门依法暂停、责令重新开展或者认定中标、成交无效；</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4、</w:t>
      </w:r>
      <w:r>
        <w:rPr>
          <w:rFonts w:ascii="仿宋_GB2312" w:eastAsia="仿宋_GB2312" w:cs="仿宋_GB2312"/>
          <w:sz w:val="32"/>
          <w:szCs w:val="32"/>
          <w:highlight w:val="none"/>
        </w:rPr>
        <w:t>无《</w:t>
      </w:r>
      <w:r>
        <w:rPr>
          <w:rFonts w:hint="eastAsia" w:ascii="仿宋_GB2312" w:eastAsia="仿宋_GB2312" w:cs="仿宋_GB2312"/>
          <w:sz w:val="32"/>
          <w:szCs w:val="32"/>
          <w:highlight w:val="none"/>
        </w:rPr>
        <w:t>中华人民共和国政府采购法</w:t>
      </w:r>
      <w:r>
        <w:rPr>
          <w:rFonts w:ascii="仿宋_GB2312" w:eastAsia="仿宋_GB2312" w:cs="仿宋_GB2312"/>
          <w:sz w:val="32"/>
          <w:szCs w:val="32"/>
          <w:highlight w:val="none"/>
        </w:rPr>
        <w:t>》第二十二条第一款第（五）项所称的重大违法记录；</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5、</w:t>
      </w:r>
      <w:r>
        <w:rPr>
          <w:rFonts w:ascii="仿宋_GB2312" w:eastAsia="仿宋_GB2312" w:cs="仿宋_GB2312"/>
          <w:sz w:val="32"/>
          <w:szCs w:val="32"/>
          <w:highlight w:val="none"/>
        </w:rPr>
        <w:t>未被法院、市场监管、税务、银行等部门单位纳入失信名单且在有效期内；</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6、</w:t>
      </w:r>
      <w:r>
        <w:rPr>
          <w:rFonts w:ascii="仿宋_GB2312" w:eastAsia="仿宋_GB2312" w:cs="仿宋_GB2312"/>
          <w:sz w:val="32"/>
          <w:szCs w:val="32"/>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b/>
          <w:sz w:val="32"/>
          <w:szCs w:val="32"/>
          <w:highlight w:val="none"/>
        </w:rPr>
        <w:t>7、</w:t>
      </w:r>
      <w:r>
        <w:rPr>
          <w:rFonts w:ascii="仿宋_GB2312" w:eastAsia="仿宋_GB2312" w:cs="仿宋_GB2312"/>
          <w:sz w:val="32"/>
          <w:szCs w:val="32"/>
          <w:highlight w:val="none"/>
        </w:rPr>
        <w:t>其他银行要求的不属于提供财产抵押或第三方担保的条件。</w:t>
      </w:r>
    </w:p>
    <w:p>
      <w:pPr>
        <w:pStyle w:val="22"/>
        <w:spacing w:before="0" w:beforeAutospacing="0" w:after="0" w:afterAutospacing="0" w:line="580" w:lineRule="atLeast"/>
        <w:ind w:firstLine="628"/>
        <w:rPr>
          <w:rFonts w:ascii="Times New Roman"/>
          <w:sz w:val="32"/>
          <w:szCs w:val="32"/>
          <w:highlight w:val="none"/>
        </w:rPr>
      </w:pPr>
      <w:r>
        <w:rPr>
          <w:rFonts w:hint="eastAsia" w:ascii="黑体" w:hAnsi="宋体" w:eastAsia="黑体" w:cs="黑体"/>
          <w:sz w:val="32"/>
          <w:szCs w:val="32"/>
          <w:highlight w:val="none"/>
        </w:rPr>
        <w:t>四、构建平台</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四川省财政厅将在四川政府采购网统一构建四川省“政采贷”信息化服务平台，推进四川省“政采贷”工作信息化建设。</w:t>
      </w:r>
    </w:p>
    <w:p>
      <w:pPr>
        <w:pStyle w:val="22"/>
        <w:spacing w:before="0" w:beforeAutospacing="0" w:after="0" w:afterAutospacing="0" w:line="580" w:lineRule="atLeast"/>
        <w:ind w:firstLine="628"/>
        <w:rPr>
          <w:rFonts w:ascii="Times New Roman"/>
          <w:sz w:val="32"/>
          <w:szCs w:val="32"/>
          <w:highlight w:val="none"/>
        </w:rPr>
      </w:pPr>
      <w:r>
        <w:rPr>
          <w:rFonts w:hint="eastAsia" w:ascii="黑体" w:hAnsi="宋体" w:eastAsia="黑体" w:cs="黑体"/>
          <w:sz w:val="32"/>
          <w:szCs w:val="32"/>
          <w:highlight w:val="none"/>
        </w:rPr>
        <w:t>五、财金互动</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2"/>
        <w:spacing w:before="0" w:beforeAutospacing="0" w:after="0" w:afterAutospacing="0" w:line="580" w:lineRule="atLeast"/>
        <w:ind w:firstLine="628"/>
        <w:rPr>
          <w:rFonts w:ascii="Times New Roman"/>
          <w:sz w:val="32"/>
          <w:szCs w:val="32"/>
          <w:highlight w:val="none"/>
        </w:rPr>
      </w:pPr>
      <w:r>
        <w:rPr>
          <w:rFonts w:hint="eastAsia" w:ascii="黑体" w:hAnsi="宋体" w:eastAsia="黑体" w:cs="黑体"/>
          <w:sz w:val="32"/>
          <w:szCs w:val="32"/>
          <w:highlight w:val="none"/>
        </w:rPr>
        <w:t>六、基本流程</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（一）意向申请</w:t>
      </w:r>
    </w:p>
    <w:p>
      <w:pPr>
        <w:pStyle w:val="22"/>
        <w:spacing w:before="0" w:beforeAutospacing="0" w:after="0" w:afterAutospacing="0" w:line="580" w:lineRule="atLeast"/>
        <w:ind w:firstLine="628"/>
        <w:rPr>
          <w:rFonts w:ascii="仿宋_GB2312" w:eastAsia="仿宋_GB2312" w:cs="仿宋_GB2312"/>
          <w:sz w:val="32"/>
          <w:szCs w:val="32"/>
          <w:highlight w:val="none"/>
        </w:rPr>
      </w:pPr>
      <w:r>
        <w:rPr>
          <w:rFonts w:ascii="仿宋_GB2312" w:eastAsia="仿宋_GB2312" w:cs="仿宋_GB2312"/>
          <w:sz w:val="32"/>
          <w:szCs w:val="32"/>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w:t>
      </w:r>
      <w:r>
        <w:rPr>
          <w:rFonts w:hint="eastAsia" w:ascii="仿宋_GB2312" w:eastAsia="仿宋_GB2312" w:cs="仿宋_GB2312"/>
          <w:sz w:val="32"/>
          <w:szCs w:val="32"/>
          <w:highlight w:val="none"/>
        </w:rPr>
        <w:t>作。</w:t>
      </w:r>
    </w:p>
    <w:p>
      <w:pPr>
        <w:pStyle w:val="22"/>
        <w:spacing w:before="0" w:beforeAutospacing="0" w:after="0" w:afterAutospacing="0" w:line="580" w:lineRule="atLeast"/>
        <w:rPr>
          <w:rFonts w:ascii="Times New Roman"/>
          <w:sz w:val="32"/>
          <w:szCs w:val="32"/>
          <w:highlight w:val="none"/>
        </w:rPr>
      </w:pPr>
      <w:r>
        <w:rPr>
          <w:rFonts w:ascii="仿宋_GB2312" w:eastAsia="仿宋_GB2312" w:cs="仿宋_GB2312"/>
          <w:b/>
          <w:sz w:val="32"/>
          <w:szCs w:val="32"/>
          <w:highlight w:val="none"/>
        </w:rPr>
        <w:t>         </w:t>
      </w:r>
      <w:r>
        <w:rPr>
          <w:rFonts w:ascii="楷体_GB2312" w:eastAsia="楷体_GB2312" w:cs="楷体_GB2312"/>
          <w:b/>
          <w:sz w:val="32"/>
          <w:szCs w:val="32"/>
          <w:highlight w:val="none"/>
        </w:rPr>
        <w:t>（二）正式申请</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2"/>
        <w:spacing w:before="0" w:beforeAutospacing="0" w:after="0" w:afterAutospacing="0" w:line="580" w:lineRule="atLeast"/>
        <w:ind w:firstLine="622"/>
        <w:rPr>
          <w:rFonts w:ascii="Times New Roman"/>
          <w:sz w:val="32"/>
          <w:szCs w:val="32"/>
          <w:highlight w:val="none"/>
        </w:rPr>
      </w:pPr>
      <w:r>
        <w:rPr>
          <w:rFonts w:ascii="楷体_GB2312" w:eastAsia="楷体_GB2312" w:cs="楷体_GB2312"/>
          <w:b/>
          <w:sz w:val="32"/>
          <w:szCs w:val="32"/>
          <w:highlight w:val="none"/>
        </w:rPr>
        <w:t>（三）贷款审查</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（四）信息报送</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（五）资金支付</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政府采购资金支付过程中，银行需要查询采购资金支付进程有关信息的，财政部门和采购人应当支持。</w:t>
      </w:r>
    </w:p>
    <w:p>
      <w:pPr>
        <w:pStyle w:val="22"/>
        <w:spacing w:before="0" w:beforeAutospacing="0" w:after="0" w:afterAutospacing="0" w:line="580" w:lineRule="atLeast"/>
        <w:ind w:firstLine="628"/>
        <w:rPr>
          <w:rFonts w:ascii="Times New Roman"/>
          <w:sz w:val="32"/>
          <w:szCs w:val="32"/>
          <w:highlight w:val="none"/>
        </w:rPr>
      </w:pPr>
      <w:r>
        <w:rPr>
          <w:rFonts w:hint="eastAsia" w:ascii="黑体" w:hAnsi="宋体" w:eastAsia="黑体" w:cs="黑体"/>
          <w:sz w:val="32"/>
          <w:szCs w:val="32"/>
          <w:highlight w:val="none"/>
        </w:rPr>
        <w:t>七、职责要求</w:t>
      </w:r>
    </w:p>
    <w:p>
      <w:pPr>
        <w:pStyle w:val="22"/>
        <w:spacing w:before="0" w:beforeAutospacing="0" w:after="0" w:afterAutospacing="0" w:line="580" w:lineRule="atLeast"/>
        <w:ind w:firstLine="622"/>
        <w:rPr>
          <w:rFonts w:ascii="Times New Roman"/>
          <w:sz w:val="32"/>
          <w:szCs w:val="32"/>
          <w:highlight w:val="none"/>
        </w:rPr>
      </w:pPr>
      <w:r>
        <w:rPr>
          <w:rFonts w:ascii="楷体_GB2312" w:eastAsia="楷体_GB2312" w:cs="楷体_GB2312"/>
          <w:b/>
          <w:sz w:val="32"/>
          <w:szCs w:val="32"/>
          <w:highlight w:val="none"/>
        </w:rPr>
        <w:t>（一）</w:t>
      </w:r>
      <w:r>
        <w:rPr>
          <w:rFonts w:ascii="仿宋_GB2312" w:eastAsia="仿宋_GB2312" w:cs="仿宋_GB2312"/>
          <w:sz w:val="32"/>
          <w:szCs w:val="32"/>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2"/>
        <w:spacing w:before="0" w:beforeAutospacing="0" w:after="0" w:afterAutospacing="0" w:line="580" w:lineRule="atLeast"/>
        <w:ind w:firstLine="622"/>
        <w:rPr>
          <w:rFonts w:ascii="Times New Roman"/>
          <w:sz w:val="32"/>
          <w:szCs w:val="32"/>
          <w:highlight w:val="none"/>
        </w:rPr>
      </w:pPr>
      <w:r>
        <w:rPr>
          <w:rFonts w:ascii="楷体_GB2312" w:eastAsia="楷体_GB2312" w:cs="楷体_GB2312"/>
          <w:b/>
          <w:sz w:val="32"/>
          <w:szCs w:val="32"/>
          <w:highlight w:val="none"/>
        </w:rPr>
        <w:t>（二）</w:t>
      </w:r>
      <w:r>
        <w:rPr>
          <w:rFonts w:ascii="仿宋_GB2312" w:eastAsia="仿宋_GB2312" w:cs="仿宋_GB2312"/>
          <w:sz w:val="32"/>
          <w:szCs w:val="32"/>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（三）</w:t>
      </w:r>
      <w:r>
        <w:rPr>
          <w:rFonts w:ascii="仿宋_GB2312" w:eastAsia="仿宋_GB2312" w:cs="仿宋_GB2312"/>
          <w:sz w:val="32"/>
          <w:szCs w:val="32"/>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2"/>
        <w:spacing w:before="0" w:beforeAutospacing="0" w:after="0" w:afterAutospacing="0" w:line="580" w:lineRule="atLeast"/>
        <w:ind w:firstLine="622"/>
        <w:rPr>
          <w:rFonts w:ascii="Times New Roman"/>
          <w:sz w:val="32"/>
          <w:szCs w:val="32"/>
          <w:highlight w:val="none"/>
        </w:rPr>
      </w:pPr>
      <w:r>
        <w:rPr>
          <w:rFonts w:ascii="楷体_GB2312" w:eastAsia="楷体_GB2312" w:cs="楷体_GB2312"/>
          <w:b/>
          <w:sz w:val="32"/>
          <w:szCs w:val="32"/>
          <w:highlight w:val="none"/>
        </w:rPr>
        <w:t>（四）</w:t>
      </w:r>
      <w:r>
        <w:rPr>
          <w:rFonts w:ascii="仿宋_GB2312" w:eastAsia="仿宋_GB2312" w:cs="仿宋_GB2312"/>
          <w:sz w:val="32"/>
          <w:szCs w:val="32"/>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（五）</w:t>
      </w:r>
      <w:r>
        <w:rPr>
          <w:rFonts w:ascii="仿宋_GB2312" w:eastAsia="仿宋_GB2312" w:cs="仿宋_GB2312"/>
          <w:sz w:val="32"/>
          <w:szCs w:val="32"/>
          <w:highlight w:val="none"/>
        </w:rPr>
        <w:t>供应商应当依法参加政府采购活动，公平竞争，诚实守信，严格按照政府采购合同履约，严格按照借款合同偿还债务。</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（六）</w:t>
      </w:r>
      <w:r>
        <w:rPr>
          <w:rFonts w:ascii="仿宋_GB2312" w:eastAsia="仿宋_GB2312" w:cs="仿宋_GB2312"/>
          <w:sz w:val="32"/>
          <w:szCs w:val="32"/>
          <w:highlight w:val="none"/>
        </w:rPr>
        <w:t>财政部门、采购人、采购代理机构及其他有关单位和个人不得违规干预供应商选择“政采贷”银行及其产品，也不得违规干预银行向供应商进行贷款。</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（七）</w:t>
      </w:r>
      <w:r>
        <w:rPr>
          <w:rFonts w:ascii="仿宋_GB2312" w:eastAsia="仿宋_GB2312" w:cs="仿宋_GB2312"/>
          <w:sz w:val="32"/>
          <w:szCs w:val="32"/>
          <w:highlight w:val="none"/>
        </w:rPr>
        <w:t>相关单位和个人在开展“政采贷”工作过程中，发现新问题、新情况或者有意见建议的，请及时向四川省财政厅反馈。</w:t>
      </w:r>
    </w:p>
    <w:p>
      <w:pPr>
        <w:pStyle w:val="22"/>
        <w:spacing w:before="0" w:beforeAutospacing="0" w:after="0" w:afterAutospacing="0" w:line="580" w:lineRule="atLeast"/>
        <w:ind w:firstLine="628"/>
        <w:rPr>
          <w:rFonts w:ascii="Times New Roman"/>
          <w:sz w:val="32"/>
          <w:szCs w:val="32"/>
          <w:highlight w:val="none"/>
        </w:rPr>
      </w:pPr>
      <w:r>
        <w:rPr>
          <w:rFonts w:hint="eastAsia" w:ascii="黑体" w:hAnsi="宋体" w:eastAsia="黑体" w:cs="黑体"/>
          <w:sz w:val="32"/>
          <w:szCs w:val="32"/>
          <w:highlight w:val="none"/>
        </w:rPr>
        <w:t>八、违规处理</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（一）银行违规处理</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（二）供应商违规处理</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2"/>
        <w:spacing w:before="0" w:beforeAutospacing="0" w:after="0" w:afterAutospacing="0" w:line="580" w:lineRule="atLeast"/>
        <w:ind w:firstLine="628"/>
        <w:rPr>
          <w:rFonts w:ascii="Times New Roman"/>
          <w:sz w:val="32"/>
          <w:szCs w:val="32"/>
          <w:highlight w:val="none"/>
        </w:rPr>
      </w:pPr>
      <w:r>
        <w:rPr>
          <w:rFonts w:ascii="楷体_GB2312" w:eastAsia="楷体_GB2312" w:cs="楷体_GB2312"/>
          <w:b/>
          <w:sz w:val="32"/>
          <w:szCs w:val="32"/>
          <w:highlight w:val="none"/>
        </w:rPr>
        <w:t>（三）其他违规处理</w:t>
      </w:r>
    </w:p>
    <w:p>
      <w:pPr>
        <w:pStyle w:val="22"/>
        <w:spacing w:before="0" w:beforeAutospacing="0" w:after="0" w:afterAutospacing="0" w:line="580" w:lineRule="atLeast"/>
        <w:ind w:firstLine="628"/>
        <w:rPr>
          <w:rFonts w:ascii="Times New Roman"/>
          <w:sz w:val="32"/>
          <w:szCs w:val="32"/>
          <w:highlight w:val="none"/>
        </w:rPr>
      </w:pPr>
      <w:r>
        <w:rPr>
          <w:rFonts w:ascii="仿宋_GB2312" w:eastAsia="仿宋_GB2312" w:cs="仿宋_GB2312"/>
          <w:sz w:val="32"/>
          <w:szCs w:val="32"/>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
        <w:rPr>
          <w:rFonts w:ascii="宋体" w:hAnsi="宋体" w:cs="宋体"/>
          <w:sz w:val="28"/>
          <w:szCs w:val="28"/>
          <w:highlight w:val="none"/>
        </w:rPr>
      </w:pPr>
    </w:p>
    <w:p>
      <w:pPr>
        <w:pStyle w:val="2"/>
        <w:rPr>
          <w:rFonts w:ascii="宋体" w:hAnsi="宋体" w:cs="宋体"/>
          <w:sz w:val="28"/>
          <w:szCs w:val="28"/>
          <w:highlight w:val="none"/>
        </w:rPr>
      </w:pPr>
    </w:p>
    <w:p>
      <w:pPr>
        <w:pStyle w:val="2"/>
        <w:jc w:val="center"/>
        <w:rPr>
          <w:highlight w:val="none"/>
        </w:rPr>
      </w:pPr>
      <w:r>
        <w:rPr>
          <w:highlight w:val="none"/>
        </w:rPr>
        <w:drawing>
          <wp:inline distT="0" distB="0" distL="114300" distR="114300">
            <wp:extent cx="5895975" cy="7877175"/>
            <wp:effectExtent l="0" t="0" r="9525"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a:stretch>
                      <a:fillRect/>
                    </a:stretch>
                  </pic:blipFill>
                  <pic:spPr>
                    <a:xfrm>
                      <a:off x="0" y="0"/>
                      <a:ext cx="5895975" cy="7877175"/>
                    </a:xfrm>
                    <a:prstGeom prst="rect">
                      <a:avLst/>
                    </a:prstGeom>
                    <a:noFill/>
                    <a:ln>
                      <a:noFill/>
                    </a:ln>
                  </pic:spPr>
                </pic:pic>
              </a:graphicData>
            </a:graphic>
          </wp:inline>
        </w:drawing>
      </w:r>
    </w:p>
    <w:p>
      <w:pPr>
        <w:pStyle w:val="2"/>
        <w:jc w:val="center"/>
        <w:rPr>
          <w:highlight w:val="none"/>
        </w:rPr>
      </w:pPr>
    </w:p>
    <w:p>
      <w:pPr>
        <w:pStyle w:val="2"/>
        <w:jc w:val="center"/>
        <w:rPr>
          <w:highlight w:val="none"/>
        </w:rPr>
      </w:pPr>
    </w:p>
    <w:p>
      <w:pPr>
        <w:pStyle w:val="2"/>
        <w:jc w:val="center"/>
        <w:rPr>
          <w:highlight w:val="none"/>
        </w:rPr>
      </w:pPr>
    </w:p>
    <w:p>
      <w:pPr>
        <w:pStyle w:val="2"/>
        <w:jc w:val="center"/>
        <w:rPr>
          <w:highlight w:val="none"/>
        </w:rPr>
      </w:pPr>
      <w:r>
        <w:rPr>
          <w:highlight w:val="none"/>
        </w:rPr>
        <w:drawing>
          <wp:inline distT="0" distB="0" distL="114300" distR="114300">
            <wp:extent cx="5269865" cy="6443980"/>
            <wp:effectExtent l="0" t="0" r="6985" b="1397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5269865" cy="6443980"/>
                    </a:xfrm>
                    <a:prstGeom prst="rect">
                      <a:avLst/>
                    </a:prstGeom>
                    <a:noFill/>
                    <a:ln>
                      <a:noFill/>
                    </a:ln>
                  </pic:spPr>
                </pic:pic>
              </a:graphicData>
            </a:graphic>
          </wp:inline>
        </w:drawing>
      </w:r>
    </w:p>
    <w:p>
      <w:pPr>
        <w:pStyle w:val="2"/>
        <w:jc w:val="center"/>
        <w:rPr>
          <w:highlight w:val="none"/>
        </w:rPr>
      </w:pPr>
    </w:p>
    <w:p>
      <w:pPr>
        <w:pStyle w:val="2"/>
        <w:jc w:val="center"/>
        <w:rPr>
          <w:highlight w:val="none"/>
        </w:rPr>
      </w:pPr>
    </w:p>
    <w:p>
      <w:pPr>
        <w:pStyle w:val="2"/>
        <w:jc w:val="center"/>
        <w:rPr>
          <w:highlight w:val="none"/>
        </w:rPr>
      </w:pPr>
    </w:p>
    <w:p>
      <w:pPr>
        <w:pStyle w:val="2"/>
        <w:jc w:val="center"/>
        <w:rPr>
          <w:highlight w:val="none"/>
        </w:rPr>
      </w:pPr>
      <w:r>
        <w:rPr>
          <w:highlight w:val="none"/>
        </w:rPr>
        <w:drawing>
          <wp:inline distT="0" distB="0" distL="114300" distR="114300">
            <wp:extent cx="5273040" cy="6966585"/>
            <wp:effectExtent l="0" t="0" r="3810" b="571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4"/>
                    <a:stretch>
                      <a:fillRect/>
                    </a:stretch>
                  </pic:blipFill>
                  <pic:spPr>
                    <a:xfrm>
                      <a:off x="0" y="0"/>
                      <a:ext cx="5273040" cy="6966585"/>
                    </a:xfrm>
                    <a:prstGeom prst="rect">
                      <a:avLst/>
                    </a:prstGeom>
                    <a:noFill/>
                    <a:ln>
                      <a:noFill/>
                    </a:ln>
                  </pic:spPr>
                </pic:pic>
              </a:graphicData>
            </a:graphic>
          </wp:inline>
        </w:drawing>
      </w:r>
    </w:p>
    <w:p>
      <w:pPr>
        <w:pStyle w:val="2"/>
        <w:jc w:val="center"/>
        <w:rPr>
          <w:highlight w:val="none"/>
        </w:rPr>
      </w:pPr>
    </w:p>
    <w:p>
      <w:pPr>
        <w:pStyle w:val="2"/>
        <w:jc w:val="center"/>
        <w:rPr>
          <w:highlight w:val="none"/>
        </w:rPr>
      </w:pPr>
    </w:p>
    <w:p>
      <w:pPr>
        <w:pStyle w:val="2"/>
        <w:jc w:val="center"/>
        <w:rPr>
          <w:highlight w:val="none"/>
        </w:rPr>
      </w:pPr>
    </w:p>
    <w:p>
      <w:pPr>
        <w:pStyle w:val="2"/>
        <w:jc w:val="center"/>
        <w:rPr>
          <w:highlight w:val="none"/>
        </w:rPr>
      </w:pPr>
    </w:p>
    <w:p>
      <w:pPr>
        <w:pStyle w:val="2"/>
        <w:jc w:val="center"/>
        <w:rPr>
          <w:highlight w:val="none"/>
        </w:rPr>
      </w:pPr>
    </w:p>
    <w:p>
      <w:pPr>
        <w:pStyle w:val="2"/>
        <w:jc w:val="center"/>
        <w:rPr>
          <w:highlight w:val="none"/>
        </w:rPr>
      </w:pPr>
      <w:r>
        <w:rPr>
          <w:highlight w:val="none"/>
        </w:rPr>
        <w:drawing>
          <wp:inline distT="0" distB="0" distL="114300" distR="114300">
            <wp:extent cx="5210175" cy="7648575"/>
            <wp:effectExtent l="0" t="0" r="9525" b="952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5"/>
                    <a:stretch>
                      <a:fillRect/>
                    </a:stretch>
                  </pic:blipFill>
                  <pic:spPr>
                    <a:xfrm>
                      <a:off x="0" y="0"/>
                      <a:ext cx="5210175" cy="7648575"/>
                    </a:xfrm>
                    <a:prstGeom prst="rect">
                      <a:avLst/>
                    </a:prstGeom>
                    <a:noFill/>
                    <a:ln>
                      <a:noFill/>
                    </a:ln>
                  </pic:spPr>
                </pic:pic>
              </a:graphicData>
            </a:graphic>
          </wp:inline>
        </w:drawing>
      </w:r>
    </w:p>
    <w:p>
      <w:pPr>
        <w:pStyle w:val="2"/>
        <w:jc w:val="center"/>
        <w:rPr>
          <w:highlight w:val="none"/>
        </w:rPr>
      </w:pPr>
      <w:r>
        <w:rPr>
          <w:highlight w:val="none"/>
        </w:rPr>
        <w:drawing>
          <wp:inline distT="0" distB="0" distL="114300" distR="114300">
            <wp:extent cx="5272405" cy="7369810"/>
            <wp:effectExtent l="0" t="0" r="4445" b="254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6"/>
                    <a:stretch>
                      <a:fillRect/>
                    </a:stretch>
                  </pic:blipFill>
                  <pic:spPr>
                    <a:xfrm>
                      <a:off x="0" y="0"/>
                      <a:ext cx="5272405" cy="7369810"/>
                    </a:xfrm>
                    <a:prstGeom prst="rect">
                      <a:avLst/>
                    </a:prstGeom>
                    <a:noFill/>
                    <a:ln>
                      <a:noFill/>
                    </a:ln>
                  </pic:spPr>
                </pic:pic>
              </a:graphicData>
            </a:graphic>
          </wp:inline>
        </w:drawing>
      </w:r>
    </w:p>
    <w:p>
      <w:pPr>
        <w:pStyle w:val="2"/>
        <w:jc w:val="center"/>
        <w:rPr>
          <w:highlight w:val="none"/>
        </w:rPr>
      </w:pPr>
    </w:p>
    <w:p>
      <w:pPr>
        <w:pStyle w:val="2"/>
        <w:jc w:val="center"/>
        <w:rPr>
          <w:highlight w:val="none"/>
        </w:rPr>
      </w:pPr>
    </w:p>
    <w:p>
      <w:pPr>
        <w:pStyle w:val="2"/>
        <w:jc w:val="center"/>
        <w:rPr>
          <w:highlight w:val="none"/>
        </w:rPr>
      </w:pPr>
      <w:r>
        <w:rPr>
          <w:highlight w:val="none"/>
        </w:rPr>
        <w:drawing>
          <wp:inline distT="0" distB="0" distL="114300" distR="114300">
            <wp:extent cx="4991100" cy="7877175"/>
            <wp:effectExtent l="0" t="0" r="0" b="952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7"/>
                    <a:stretch>
                      <a:fillRect/>
                    </a:stretch>
                  </pic:blipFill>
                  <pic:spPr>
                    <a:xfrm>
                      <a:off x="0" y="0"/>
                      <a:ext cx="4991100" cy="7877175"/>
                    </a:xfrm>
                    <a:prstGeom prst="rect">
                      <a:avLst/>
                    </a:prstGeom>
                    <a:noFill/>
                    <a:ln>
                      <a:noFill/>
                    </a:ln>
                  </pic:spPr>
                </pic:pic>
              </a:graphicData>
            </a:graphic>
          </wp:inline>
        </w:drawing>
      </w:r>
    </w:p>
    <w:p>
      <w:pPr>
        <w:pStyle w:val="2"/>
        <w:jc w:val="center"/>
        <w:rPr>
          <w:highlight w:val="none"/>
        </w:rPr>
      </w:pPr>
    </w:p>
    <w:p>
      <w:pPr>
        <w:pStyle w:val="2"/>
        <w:jc w:val="center"/>
        <w:rPr>
          <w:highlight w:val="none"/>
        </w:rPr>
      </w:pPr>
    </w:p>
    <w:p>
      <w:pPr>
        <w:pStyle w:val="2"/>
        <w:jc w:val="center"/>
        <w:rPr>
          <w:highlight w:val="none"/>
        </w:rPr>
      </w:pPr>
      <w:r>
        <w:rPr>
          <w:highlight w:val="none"/>
        </w:rPr>
        <w:drawing>
          <wp:inline distT="0" distB="0" distL="114300" distR="114300">
            <wp:extent cx="5272405" cy="7423785"/>
            <wp:effectExtent l="0" t="0" r="4445" b="571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8"/>
                    <a:stretch>
                      <a:fillRect/>
                    </a:stretch>
                  </pic:blipFill>
                  <pic:spPr>
                    <a:xfrm>
                      <a:off x="0" y="0"/>
                      <a:ext cx="5272405" cy="7423785"/>
                    </a:xfrm>
                    <a:prstGeom prst="rect">
                      <a:avLst/>
                    </a:prstGeom>
                    <a:noFill/>
                    <a:ln>
                      <a:noFill/>
                    </a:ln>
                  </pic:spPr>
                </pic:pic>
              </a:graphicData>
            </a:graphic>
          </wp:inline>
        </w:drawing>
      </w:r>
    </w:p>
    <w:p>
      <w:pPr>
        <w:pStyle w:val="2"/>
        <w:jc w:val="center"/>
        <w:rPr>
          <w:highlight w:val="none"/>
        </w:rPr>
      </w:pPr>
      <w:r>
        <w:rPr>
          <w:highlight w:val="none"/>
        </w:rPr>
        <w:drawing>
          <wp:inline distT="0" distB="0" distL="114300" distR="114300">
            <wp:extent cx="5248275" cy="7829550"/>
            <wp:effectExtent l="0" t="0" r="9525"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9"/>
                    <a:stretch>
                      <a:fillRect/>
                    </a:stretch>
                  </pic:blipFill>
                  <pic:spPr>
                    <a:xfrm>
                      <a:off x="0" y="0"/>
                      <a:ext cx="5248275" cy="7829550"/>
                    </a:xfrm>
                    <a:prstGeom prst="rect">
                      <a:avLst/>
                    </a:prstGeom>
                    <a:noFill/>
                    <a:ln>
                      <a:noFill/>
                    </a:ln>
                  </pic:spPr>
                </pic:pic>
              </a:graphicData>
            </a:graphic>
          </wp:inline>
        </w:drawing>
      </w:r>
    </w:p>
    <w:p>
      <w:pPr>
        <w:pStyle w:val="2"/>
        <w:jc w:val="center"/>
        <w:rPr>
          <w:highlight w:val="none"/>
        </w:rPr>
      </w:pPr>
    </w:p>
    <w:p>
      <w:pPr>
        <w:pStyle w:val="2"/>
        <w:jc w:val="center"/>
        <w:rPr>
          <w:highlight w:val="none"/>
        </w:rPr>
      </w:pPr>
    </w:p>
    <w:p>
      <w:pPr>
        <w:pStyle w:val="2"/>
        <w:jc w:val="center"/>
        <w:rPr>
          <w:highlight w:val="none"/>
        </w:rPr>
      </w:pPr>
    </w:p>
    <w:p>
      <w:pPr>
        <w:pStyle w:val="2"/>
        <w:jc w:val="center"/>
        <w:rPr>
          <w:highlight w:val="none"/>
        </w:rPr>
      </w:pPr>
      <w:r>
        <w:rPr>
          <w:highlight w:val="none"/>
        </w:rPr>
        <w:drawing>
          <wp:inline distT="0" distB="0" distL="114300" distR="114300">
            <wp:extent cx="5269230" cy="7506335"/>
            <wp:effectExtent l="0" t="0" r="7620" b="1841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0"/>
                    <a:stretch>
                      <a:fillRect/>
                    </a:stretch>
                  </pic:blipFill>
                  <pic:spPr>
                    <a:xfrm>
                      <a:off x="0" y="0"/>
                      <a:ext cx="5269230" cy="7506335"/>
                    </a:xfrm>
                    <a:prstGeom prst="rect">
                      <a:avLst/>
                    </a:prstGeom>
                    <a:noFill/>
                    <a:ln>
                      <a:noFill/>
                    </a:ln>
                  </pic:spPr>
                </pic:pic>
              </a:graphicData>
            </a:graphic>
          </wp:inline>
        </w:drawing>
      </w:r>
    </w:p>
    <w:p>
      <w:pPr>
        <w:pStyle w:val="2"/>
        <w:jc w:val="center"/>
        <w:rPr>
          <w:highlight w:val="none"/>
        </w:rPr>
      </w:pPr>
      <w:r>
        <w:rPr>
          <w:highlight w:val="none"/>
        </w:rPr>
        <w:drawing>
          <wp:inline distT="0" distB="0" distL="114300" distR="114300">
            <wp:extent cx="5269865" cy="6545580"/>
            <wp:effectExtent l="0" t="0" r="6985" b="762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1"/>
                    <a:stretch>
                      <a:fillRect/>
                    </a:stretch>
                  </pic:blipFill>
                  <pic:spPr>
                    <a:xfrm>
                      <a:off x="0" y="0"/>
                      <a:ext cx="5269865" cy="6545580"/>
                    </a:xfrm>
                    <a:prstGeom prst="rect">
                      <a:avLst/>
                    </a:prstGeom>
                    <a:noFill/>
                    <a:ln>
                      <a:noFill/>
                    </a:ln>
                  </pic:spPr>
                </pic:pic>
              </a:graphicData>
            </a:graphic>
          </wp:inline>
        </w:drawing>
      </w:r>
    </w:p>
    <w:sectPr>
      <w:pgSz w:w="11905" w:h="16838"/>
      <w:pgMar w:top="2098" w:right="1531" w:bottom="1984" w:left="1531" w:header="709" w:footer="141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ヒラギノ角ゴ Pro W3">
    <w:altName w:val="MS Gothic"/>
    <w:panose1 w:val="00000000000000000000"/>
    <w:charset w:val="80"/>
    <w:family w:val="auto"/>
    <w:pitch w:val="default"/>
    <w:sig w:usb0="00000000" w:usb1="00000000" w:usb2="00000012" w:usb3="00000000" w:csb0="0002000D" w:csb1="00000000"/>
  </w:font>
  <w:font w:name="MS Gothic">
    <w:panose1 w:val="020B0609070205080204"/>
    <w:charset w:val="80"/>
    <w:family w:val="auto"/>
    <w:pitch w:val="default"/>
    <w:sig w:usb0="E00002FF" w:usb1="6AC7FDFB" w:usb2="00000012" w:usb3="00000000" w:csb0="4002009F" w:csb1="DFD7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960" w:firstLineChars="2200"/>
    </w:pPr>
    <w:r>
      <w:rPr>
        <w:rFonts w:hint="eastAsia"/>
      </w:rPr>
      <w:t>58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eastAsia="宋体"/>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MuWcQBAACRAwAADgAAAGRycy9lMm9Eb2MueG1srVPNjtMwEL4j8Q6W&#10;79TZg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3iJrykxHGLEz///HH+9ef8+ztZ&#10;Vq/eZIn6ADVm3gbMTcM7P2D67Ad0ZuaDijZ/kRPBOAp8uggsh0REfrRarlYVhgTG5gvis7vnIUJ6&#10;L70l2WhoxAkWYfnxI6QxdU7J1Zy/0caUKRr3nwMxs4fl3sces5WG3TAR2vn2hHx6HH5DHe46JeaD&#10;Q23znsxGnI3dZOQaEN4eEhYu/WTUEWoqhpMqjKatyqvw771k3f1J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nKMuWcQBAACRAwAADgAAAAAAAAABACAAAAAeAQAAZHJzL2Uyb0RvYy54bWxQ&#10;SwUGAAAAAAYABgBZAQAAVAUAAAAA&#10;">
              <v:fill on="f" focussize="0,0"/>
              <v:stroke on="f"/>
              <v:imagedata o:title=""/>
              <o:lock v:ext="edit" aspectratio="f"/>
              <v:textbox inset="0mm,0mm,0mm,0mm" style="mso-fit-shape-to-text:t;">
                <w:txbxContent>
                  <w:p>
                    <w:pPr>
                      <w:pStyle w:val="18"/>
                      <w:rPr>
                        <w:rFonts w:eastAsia="宋体"/>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sz w:val="18"/>
                            </w:rPr>
                          </w:pPr>
                          <w:r>
                            <w:rPr>
                              <w:sz w:val="24"/>
                              <w:szCs w:val="15"/>
                            </w:rPr>
                            <w:fldChar w:fldCharType="begin"/>
                          </w:r>
                          <w:r>
                            <w:rPr>
                              <w:sz w:val="24"/>
                              <w:szCs w:val="15"/>
                            </w:rPr>
                            <w:instrText xml:space="preserve"> PAGE  \* MERGEFORMAT </w:instrText>
                          </w:r>
                          <w:r>
                            <w:rPr>
                              <w:sz w:val="24"/>
                              <w:szCs w:val="15"/>
                            </w:rPr>
                            <w:fldChar w:fldCharType="separate"/>
                          </w:r>
                          <w:r>
                            <w:rPr>
                              <w:sz w:val="13"/>
                              <w:szCs w:val="15"/>
                            </w:rPr>
                            <w:t>86</w:t>
                          </w:r>
                          <w:r>
                            <w:rPr>
                              <w:sz w:val="24"/>
                              <w:szCs w:val="15"/>
                            </w:rPr>
                            <w:fldChar w:fldCharType="end"/>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HR7z/SAQAApA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nETXlNimcGJn3//Ov/5&#10;d/77k7xL+vQeaky79ZgYhw9uwNz5HvAy0R5kMOmLhAjGUd3TRV0xRMLTo2pVVSWGOMZmB/GL++c+&#10;QPwonCHJaGjA8WVV2fEzxDF1TknVrLtRWucRakt6RL2q3l7lF5cQomuLRRKLsdtkxWE3TNR2rj0h&#10;sx53oKEWV54S/cmixGldZiPMxm42Dj6ofYdNLnM98O8PEdvJXaYKI+xUGIeXeU6Llrbjfz9n3f9c&#10;m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UdHvP9IBAACkAwAADgAAAAAAAAABACAAAAAi&#10;AQAAZHJzL2Uyb0RvYy54bWxQSwUGAAAAAAYABgBZAQAAZgUAAAAA&#10;">
              <v:fill on="f" focussize="0,0"/>
              <v:stroke on="f" weight="1.25pt"/>
              <v:imagedata o:title=""/>
              <o:lock v:ext="edit" aspectratio="f"/>
              <v:textbox inset="0mm,0mm,0mm,0mm" style="mso-fit-shape-to-text:t;">
                <w:txbxContent>
                  <w:p>
                    <w:pPr>
                      <w:snapToGrid w:val="0"/>
                      <w:rPr>
                        <w:sz w:val="18"/>
                      </w:rPr>
                    </w:pPr>
                    <w:r>
                      <w:rPr>
                        <w:sz w:val="24"/>
                        <w:szCs w:val="15"/>
                      </w:rPr>
                      <w:fldChar w:fldCharType="begin"/>
                    </w:r>
                    <w:r>
                      <w:rPr>
                        <w:sz w:val="24"/>
                        <w:szCs w:val="15"/>
                      </w:rPr>
                      <w:instrText xml:space="preserve"> PAGE  \* MERGEFORMAT </w:instrText>
                    </w:r>
                    <w:r>
                      <w:rPr>
                        <w:sz w:val="24"/>
                        <w:szCs w:val="15"/>
                      </w:rPr>
                      <w:fldChar w:fldCharType="separate"/>
                    </w:r>
                    <w:r>
                      <w:rPr>
                        <w:sz w:val="13"/>
                        <w:szCs w:val="15"/>
                      </w:rPr>
                      <w:t>86</w:t>
                    </w:r>
                    <w:r>
                      <w:rPr>
                        <w:sz w:val="24"/>
                        <w:szCs w:val="15"/>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1635"/>
      </w:tabs>
      <w:jc w:val="left"/>
    </w:pPr>
    <w:r>
      <w:drawing>
        <wp:inline distT="0" distB="0" distL="114300" distR="114300">
          <wp:extent cx="1828800" cy="399415"/>
          <wp:effectExtent l="0" t="0" r="0" b="635"/>
          <wp:docPr id="15"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logo"/>
                  <pic:cNvPicPr>
                    <a:picLocks noChangeAspect="1"/>
                  </pic:cNvPicPr>
                </pic:nvPicPr>
                <pic:blipFill>
                  <a:blip r:embed="rId1"/>
                  <a:stretch>
                    <a:fillRect/>
                  </a:stretch>
                </pic:blipFill>
                <pic:spPr>
                  <a:xfrm>
                    <a:off x="0" y="0"/>
                    <a:ext cx="1828800" cy="3994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1635"/>
      </w:tabs>
      <w:jc w:val="left"/>
    </w:pPr>
    <w:r>
      <w:drawing>
        <wp:inline distT="0" distB="0" distL="114300" distR="114300">
          <wp:extent cx="1828800" cy="399415"/>
          <wp:effectExtent l="0" t="0" r="0" b="635"/>
          <wp:docPr id="16"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logo"/>
                  <pic:cNvPicPr>
                    <a:picLocks noChangeAspect="1"/>
                  </pic:cNvPicPr>
                </pic:nvPicPr>
                <pic:blipFill>
                  <a:blip r:embed="rId1"/>
                  <a:stretch>
                    <a:fillRect/>
                  </a:stretch>
                </pic:blipFill>
                <pic:spPr>
                  <a:xfrm>
                    <a:off x="0" y="0"/>
                    <a:ext cx="1828800" cy="3994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A80C4D"/>
    <w:multiLevelType w:val="singleLevel"/>
    <w:tmpl w:val="A7A80C4D"/>
    <w:lvl w:ilvl="0" w:tentative="0">
      <w:start w:val="2"/>
      <w:numFmt w:val="chineseCounting"/>
      <w:suff w:val="nothing"/>
      <w:lvlText w:val="%1、"/>
      <w:lvlJc w:val="left"/>
      <w:rPr>
        <w:rFonts w:hint="eastAsia"/>
      </w:rPr>
    </w:lvl>
  </w:abstractNum>
  <w:abstractNum w:abstractNumId="1">
    <w:nsid w:val="B04D8E0A"/>
    <w:multiLevelType w:val="multilevel"/>
    <w:tmpl w:val="B04D8E0A"/>
    <w:lvl w:ilvl="0" w:tentative="0">
      <w:start w:val="1"/>
      <w:numFmt w:val="chineseCounting"/>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68"/>
      <w:suff w:val="nothing"/>
      <w:lvlText w:val="%2、"/>
      <w:lvlJc w:val="left"/>
      <w:pPr>
        <w:ind w:left="680" w:firstLine="0"/>
      </w:pPr>
      <w:rPr>
        <w:rFonts w:hint="eastAsia" w:ascii="宋体" w:hAnsi="宋体" w:eastAsia="宋体" w:cs="宋体"/>
      </w:rPr>
    </w:lvl>
    <w:lvl w:ilvl="2" w:tentative="0">
      <w:start w:val="1"/>
      <w:numFmt w:val="chineseCounting"/>
      <w:pStyle w:val="79"/>
      <w:suff w:val="nothing"/>
      <w:lvlText w:val="(%3)"/>
      <w:lvlJc w:val="left"/>
      <w:pPr>
        <w:tabs>
          <w:tab w:val="left" w:pos="0"/>
        </w:tabs>
        <w:ind w:left="0" w:firstLine="0"/>
      </w:pPr>
      <w:rPr>
        <w:rFonts w:hint="eastAsia" w:ascii="宋体" w:hAnsi="宋体" w:eastAsia="宋体" w:cs="宋体"/>
      </w:rPr>
    </w:lvl>
    <w:lvl w:ilvl="3" w:tentative="0">
      <w:start w:val="1"/>
      <w:numFmt w:val="decimal"/>
      <w:pStyle w:val="82"/>
      <w:suff w:val="nothing"/>
      <w:lvlText w:val="%4."/>
      <w:lvlJc w:val="left"/>
      <w:pPr>
        <w:tabs>
          <w:tab w:val="left" w:pos="0"/>
        </w:tabs>
        <w:ind w:left="0" w:firstLine="0"/>
      </w:pPr>
      <w:rPr>
        <w:rFonts w:hint="eastAsia" w:ascii="宋体" w:hAnsi="宋体" w:eastAsia="宋体" w:cs="宋体"/>
      </w:rPr>
    </w:lvl>
    <w:lvl w:ilvl="4" w:tentative="0">
      <w:start w:val="1"/>
      <w:numFmt w:val="decimal"/>
      <w:suff w:val="nothing"/>
      <w:lvlText w:val="%4.%5"/>
      <w:lvlJc w:val="left"/>
      <w:pPr>
        <w:ind w:left="0" w:firstLine="0"/>
      </w:pPr>
      <w:rPr>
        <w:rFonts w:hint="eastAsia" w:ascii="宋体" w:hAnsi="宋体" w:eastAsia="宋体" w:cs="宋体"/>
      </w:rPr>
    </w:lvl>
    <w:lvl w:ilvl="5" w:tentative="0">
      <w:start w:val="1"/>
      <w:numFmt w:val="decimal"/>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pStyle w:val="80"/>
      <w:suff w:val="nothing"/>
      <w:lvlText w:val="%3."/>
      <w:lvlJc w:val="left"/>
      <w:pPr>
        <w:ind w:left="0" w:firstLine="0"/>
      </w:pPr>
      <w:rPr>
        <w:rFonts w:hint="eastAsia" w:ascii="宋体" w:hAnsi="宋体" w:eastAsia="宋体" w:cs="宋体"/>
      </w:rPr>
    </w:lvl>
    <w:lvl w:ilvl="3" w:tentative="0">
      <w:start w:val="1"/>
      <w:numFmt w:val="decimal"/>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00000027"/>
    <w:multiLevelType w:val="multilevel"/>
    <w:tmpl w:val="00000027"/>
    <w:lvl w:ilvl="0" w:tentative="0">
      <w:start w:val="1"/>
      <w:numFmt w:val="decimal"/>
      <w:lvlText w:val="第%1章"/>
      <w:lvlJc w:val="left"/>
      <w:pPr>
        <w:ind w:left="431" w:hanging="431"/>
      </w:pPr>
      <w:rPr>
        <w:rFonts w:hint="default" w:ascii="Cambria Math" w:hAnsi="Cambria Math" w:eastAsia="Cambria Math"/>
        <w:b/>
        <w:i w:val="0"/>
        <w:sz w:val="32"/>
      </w:rPr>
    </w:lvl>
    <w:lvl w:ilvl="1" w:tentative="0">
      <w:start w:val="1"/>
      <w:numFmt w:val="decimal"/>
      <w:lvlText w:val="%1.%2"/>
      <w:lvlJc w:val="left"/>
      <w:pPr>
        <w:ind w:left="431" w:hanging="431"/>
      </w:pPr>
    </w:lvl>
    <w:lvl w:ilvl="2" w:tentative="0">
      <w:start w:val="1"/>
      <w:numFmt w:val="decimal"/>
      <w:lvlText w:val="%1.%2.%3"/>
      <w:lvlJc w:val="left"/>
      <w:pPr>
        <w:ind w:left="573" w:hanging="431"/>
      </w:pPr>
      <w:rPr>
        <w:rFonts w:hint="default" w:ascii="Times New Roman" w:hAnsi="Times New Roman" w:eastAsia="宋体" w:cs="Times New Roman"/>
        <w:b/>
        <w:i w:val="0"/>
        <w:sz w:val="28"/>
      </w:rPr>
    </w:lvl>
    <w:lvl w:ilvl="3" w:tentative="0">
      <w:start w:val="1"/>
      <w:numFmt w:val="decimal"/>
      <w:pStyle w:val="7"/>
      <w:isLgl/>
      <w:lvlText w:val="%1.%2.%3.%4"/>
      <w:lvlJc w:val="left"/>
      <w:pPr>
        <w:ind w:left="431" w:hanging="431"/>
      </w:pPr>
      <w:rPr>
        <w:rFonts w:hint="default" w:ascii="Times New Roman" w:hAnsi="Times New Roman" w:eastAsia="宋体" w:cs="Times New Roman"/>
        <w:b/>
        <w:i w:val="0"/>
        <w:sz w:val="28"/>
      </w:rPr>
    </w:lvl>
    <w:lvl w:ilvl="4" w:tentative="0">
      <w:start w:val="1"/>
      <w:numFmt w:val="decimal"/>
      <w:lvlText w:val="%1.%2.%3.%4.%5"/>
      <w:lvlJc w:val="left"/>
      <w:pPr>
        <w:ind w:left="431" w:hanging="431"/>
      </w:pPr>
      <w:rPr>
        <w:rFonts w:hint="eastAsia"/>
      </w:rPr>
    </w:lvl>
    <w:lvl w:ilvl="5" w:tentative="0">
      <w:start w:val="1"/>
      <w:numFmt w:val="decimal"/>
      <w:lvlText w:val="%1.%2.%3.%4.%5.%6"/>
      <w:lvlJc w:val="left"/>
      <w:pPr>
        <w:ind w:left="431" w:hanging="431"/>
      </w:pPr>
      <w:rPr>
        <w:rFonts w:hint="eastAsia"/>
      </w:rPr>
    </w:lvl>
    <w:lvl w:ilvl="6" w:tentative="0">
      <w:start w:val="1"/>
      <w:numFmt w:val="decimal"/>
      <w:lvlText w:val="%1.%2.%3.%4.%5.%6.%7"/>
      <w:lvlJc w:val="left"/>
      <w:pPr>
        <w:ind w:left="431" w:hanging="431"/>
      </w:pPr>
      <w:rPr>
        <w:rFonts w:hint="eastAsia"/>
      </w:rPr>
    </w:lvl>
    <w:lvl w:ilvl="7" w:tentative="0">
      <w:start w:val="1"/>
      <w:numFmt w:val="decimal"/>
      <w:lvlText w:val="%1.%2.%3.%4.%5.%6.%7.%8"/>
      <w:lvlJc w:val="left"/>
      <w:pPr>
        <w:ind w:left="431" w:hanging="431"/>
      </w:pPr>
      <w:rPr>
        <w:rFonts w:hint="eastAsia"/>
      </w:rPr>
    </w:lvl>
    <w:lvl w:ilvl="8" w:tentative="0">
      <w:start w:val="1"/>
      <w:numFmt w:val="decimal"/>
      <w:lvlText w:val="%1.%2.%3.%4.%5.%6.%7.%8.%9"/>
      <w:lvlJc w:val="left"/>
      <w:pPr>
        <w:ind w:left="431" w:hanging="431"/>
      </w:pPr>
      <w:rPr>
        <w:rFonts w:hint="eastAsia"/>
      </w:rPr>
    </w:lvl>
  </w:abstractNum>
  <w:abstractNum w:abstractNumId="4">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2C4B8D"/>
    <w:multiLevelType w:val="singleLevel"/>
    <w:tmpl w:val="2C2C4B8D"/>
    <w:lvl w:ilvl="0" w:tentative="0">
      <w:start w:val="1"/>
      <w:numFmt w:val="japaneseCounting"/>
      <w:lvlText w:val="第%1条"/>
      <w:lvlJc w:val="left"/>
      <w:pPr>
        <w:tabs>
          <w:tab w:val="left" w:pos="1521"/>
        </w:tabs>
        <w:ind w:left="1521" w:hanging="1095"/>
      </w:pPr>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7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48DD0D00"/>
    <w:multiLevelType w:val="multilevel"/>
    <w:tmpl w:val="48DD0D0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87D89C6"/>
    <w:multiLevelType w:val="multilevel"/>
    <w:tmpl w:val="587D89C6"/>
    <w:lvl w:ilvl="0" w:tentative="0">
      <w:start w:val="1"/>
      <w:numFmt w:val="decimal"/>
      <w:suff w:val="nothing"/>
      <w:lvlText w:val="%1、"/>
      <w:lvlJc w:val="left"/>
    </w:lvl>
    <w:lvl w:ilvl="1" w:tentative="0">
      <w:start w:val="1"/>
      <w:numFmt w:val="decimal"/>
      <w:lvlText w:val="%2、"/>
      <w:lvlJc w:val="left"/>
      <w:pPr>
        <w:ind w:left="1693" w:hanging="1125"/>
      </w:pPr>
      <w:rPr>
        <w:rFonts w:hint="default"/>
      </w:r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9">
    <w:nsid w:val="58807131"/>
    <w:multiLevelType w:val="singleLevel"/>
    <w:tmpl w:val="58807131"/>
    <w:lvl w:ilvl="0" w:tentative="0">
      <w:start w:val="1"/>
      <w:numFmt w:val="decimal"/>
      <w:suff w:val="nothing"/>
      <w:lvlText w:val="%1、"/>
      <w:lvlJc w:val="left"/>
    </w:lvl>
  </w:abstractNum>
  <w:abstractNum w:abstractNumId="10">
    <w:nsid w:val="59BBB06B"/>
    <w:multiLevelType w:val="singleLevel"/>
    <w:tmpl w:val="59BBB06B"/>
    <w:lvl w:ilvl="0" w:tentative="0">
      <w:start w:val="1"/>
      <w:numFmt w:val="chineseCounting"/>
      <w:suff w:val="nothing"/>
      <w:lvlText w:val="%1、"/>
      <w:lvlJc w:val="left"/>
    </w:lvl>
  </w:abstractNum>
  <w:abstractNum w:abstractNumId="11">
    <w:nsid w:val="75A03DF5"/>
    <w:multiLevelType w:val="multilevel"/>
    <w:tmpl w:val="75A03DF5"/>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3"/>
  </w:num>
  <w:num w:numId="2">
    <w:abstractNumId w:val="1"/>
  </w:num>
  <w:num w:numId="3">
    <w:abstractNumId w:val="6"/>
  </w:num>
  <w:num w:numId="4">
    <w:abstractNumId w:val="2"/>
  </w:num>
  <w:num w:numId="5">
    <w:abstractNumId w:val="7"/>
  </w:num>
  <w:num w:numId="6">
    <w:abstractNumId w:val="11"/>
  </w:num>
  <w:num w:numId="7">
    <w:abstractNumId w:val="0"/>
  </w:num>
  <w:num w:numId="8">
    <w:abstractNumId w:val="10"/>
  </w:num>
  <w:num w:numId="9">
    <w:abstractNumId w:val="9"/>
  </w:num>
  <w:num w:numId="10">
    <w:abstractNumId w:val="8"/>
  </w:num>
  <w:num w:numId="11">
    <w:abstractNumId w:val="5"/>
    <w:lvlOverride w:ilvl="0">
      <w:startOverride w:val="1"/>
    </w:lvlOverride>
  </w:num>
  <w:num w:numId="12">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340"/>
  <w:drawingGridVerticalSpacing w:val="-794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09A"/>
    <w:rsid w:val="00003D6A"/>
    <w:rsid w:val="00007AA3"/>
    <w:rsid w:val="0001506A"/>
    <w:rsid w:val="000165B2"/>
    <w:rsid w:val="00023D9E"/>
    <w:rsid w:val="0002401B"/>
    <w:rsid w:val="000262A8"/>
    <w:rsid w:val="00035F2F"/>
    <w:rsid w:val="00037514"/>
    <w:rsid w:val="00041BF0"/>
    <w:rsid w:val="00050A8D"/>
    <w:rsid w:val="00055FF6"/>
    <w:rsid w:val="00060574"/>
    <w:rsid w:val="000630BF"/>
    <w:rsid w:val="00070C6E"/>
    <w:rsid w:val="00076430"/>
    <w:rsid w:val="0007682A"/>
    <w:rsid w:val="00097F6F"/>
    <w:rsid w:val="000A2F8E"/>
    <w:rsid w:val="000A6286"/>
    <w:rsid w:val="000B0C06"/>
    <w:rsid w:val="000B3E2A"/>
    <w:rsid w:val="000B6A1A"/>
    <w:rsid w:val="000B75DE"/>
    <w:rsid w:val="000B767D"/>
    <w:rsid w:val="000C1744"/>
    <w:rsid w:val="000C3E4C"/>
    <w:rsid w:val="000D3F17"/>
    <w:rsid w:val="000F490B"/>
    <w:rsid w:val="000F6861"/>
    <w:rsid w:val="00103D5B"/>
    <w:rsid w:val="00106B1C"/>
    <w:rsid w:val="00115238"/>
    <w:rsid w:val="0012232E"/>
    <w:rsid w:val="00122B62"/>
    <w:rsid w:val="001231D8"/>
    <w:rsid w:val="00124A5D"/>
    <w:rsid w:val="001317B2"/>
    <w:rsid w:val="0013368F"/>
    <w:rsid w:val="001349E6"/>
    <w:rsid w:val="00134EBB"/>
    <w:rsid w:val="001358FD"/>
    <w:rsid w:val="001415A6"/>
    <w:rsid w:val="00141DA8"/>
    <w:rsid w:val="00151FB4"/>
    <w:rsid w:val="00156819"/>
    <w:rsid w:val="00162CEB"/>
    <w:rsid w:val="00166A39"/>
    <w:rsid w:val="00172A27"/>
    <w:rsid w:val="00181D2E"/>
    <w:rsid w:val="00190C4F"/>
    <w:rsid w:val="00191498"/>
    <w:rsid w:val="0019504F"/>
    <w:rsid w:val="001A0448"/>
    <w:rsid w:val="001A22FE"/>
    <w:rsid w:val="001A5683"/>
    <w:rsid w:val="001B0CB3"/>
    <w:rsid w:val="001B28AC"/>
    <w:rsid w:val="001B3C8D"/>
    <w:rsid w:val="001B4381"/>
    <w:rsid w:val="001B632F"/>
    <w:rsid w:val="001C1634"/>
    <w:rsid w:val="001C2956"/>
    <w:rsid w:val="001C7A9E"/>
    <w:rsid w:val="001D345C"/>
    <w:rsid w:val="001D4BEB"/>
    <w:rsid w:val="001D5363"/>
    <w:rsid w:val="001D7037"/>
    <w:rsid w:val="001E00BE"/>
    <w:rsid w:val="001E13BB"/>
    <w:rsid w:val="001E5311"/>
    <w:rsid w:val="001F1489"/>
    <w:rsid w:val="00200CB3"/>
    <w:rsid w:val="0020472B"/>
    <w:rsid w:val="00205170"/>
    <w:rsid w:val="00211AE1"/>
    <w:rsid w:val="00212CA3"/>
    <w:rsid w:val="002216BA"/>
    <w:rsid w:val="002222FB"/>
    <w:rsid w:val="00224D1C"/>
    <w:rsid w:val="002343D9"/>
    <w:rsid w:val="0024397D"/>
    <w:rsid w:val="0026659D"/>
    <w:rsid w:val="0026741C"/>
    <w:rsid w:val="00267CED"/>
    <w:rsid w:val="0028225A"/>
    <w:rsid w:val="00286BC8"/>
    <w:rsid w:val="0029708F"/>
    <w:rsid w:val="002A2BE1"/>
    <w:rsid w:val="002A2ED4"/>
    <w:rsid w:val="002C4D15"/>
    <w:rsid w:val="002E5D67"/>
    <w:rsid w:val="002F264C"/>
    <w:rsid w:val="002F5BE0"/>
    <w:rsid w:val="002F796A"/>
    <w:rsid w:val="00306202"/>
    <w:rsid w:val="003122A5"/>
    <w:rsid w:val="00315BCF"/>
    <w:rsid w:val="003219E8"/>
    <w:rsid w:val="00322D78"/>
    <w:rsid w:val="003313AE"/>
    <w:rsid w:val="003346F0"/>
    <w:rsid w:val="00335724"/>
    <w:rsid w:val="00337BF1"/>
    <w:rsid w:val="00347A2F"/>
    <w:rsid w:val="00351EFA"/>
    <w:rsid w:val="00360600"/>
    <w:rsid w:val="00367D47"/>
    <w:rsid w:val="00370504"/>
    <w:rsid w:val="003769FA"/>
    <w:rsid w:val="00383148"/>
    <w:rsid w:val="00390523"/>
    <w:rsid w:val="00393246"/>
    <w:rsid w:val="00395465"/>
    <w:rsid w:val="0039632B"/>
    <w:rsid w:val="00396340"/>
    <w:rsid w:val="003A64E9"/>
    <w:rsid w:val="003B136E"/>
    <w:rsid w:val="003B25C9"/>
    <w:rsid w:val="003C338D"/>
    <w:rsid w:val="003D1616"/>
    <w:rsid w:val="003D4033"/>
    <w:rsid w:val="003D5396"/>
    <w:rsid w:val="003F72C0"/>
    <w:rsid w:val="0040121F"/>
    <w:rsid w:val="00401A08"/>
    <w:rsid w:val="00406EEA"/>
    <w:rsid w:val="00410C8D"/>
    <w:rsid w:val="00424589"/>
    <w:rsid w:val="00424DC1"/>
    <w:rsid w:val="0043449E"/>
    <w:rsid w:val="00447EA9"/>
    <w:rsid w:val="00450A27"/>
    <w:rsid w:val="00452A85"/>
    <w:rsid w:val="00461CD6"/>
    <w:rsid w:val="004621D9"/>
    <w:rsid w:val="00466278"/>
    <w:rsid w:val="004708D3"/>
    <w:rsid w:val="00481700"/>
    <w:rsid w:val="00483BEB"/>
    <w:rsid w:val="00490B78"/>
    <w:rsid w:val="00491D97"/>
    <w:rsid w:val="00497F0D"/>
    <w:rsid w:val="004B5DF8"/>
    <w:rsid w:val="004B628D"/>
    <w:rsid w:val="004C52F7"/>
    <w:rsid w:val="004D0572"/>
    <w:rsid w:val="004D1280"/>
    <w:rsid w:val="004D1BA0"/>
    <w:rsid w:val="004E4D2D"/>
    <w:rsid w:val="004F321C"/>
    <w:rsid w:val="004F55C9"/>
    <w:rsid w:val="00500917"/>
    <w:rsid w:val="00507231"/>
    <w:rsid w:val="00511E82"/>
    <w:rsid w:val="00512309"/>
    <w:rsid w:val="00515EB9"/>
    <w:rsid w:val="00516FE6"/>
    <w:rsid w:val="00520731"/>
    <w:rsid w:val="00524673"/>
    <w:rsid w:val="00525380"/>
    <w:rsid w:val="00525F21"/>
    <w:rsid w:val="00530A72"/>
    <w:rsid w:val="00533464"/>
    <w:rsid w:val="0053790D"/>
    <w:rsid w:val="005420C3"/>
    <w:rsid w:val="0054234F"/>
    <w:rsid w:val="00547EF5"/>
    <w:rsid w:val="005503A4"/>
    <w:rsid w:val="005646C1"/>
    <w:rsid w:val="00582FAF"/>
    <w:rsid w:val="005933A0"/>
    <w:rsid w:val="005A3848"/>
    <w:rsid w:val="005B0236"/>
    <w:rsid w:val="005B19D8"/>
    <w:rsid w:val="005B1AA3"/>
    <w:rsid w:val="005B20CE"/>
    <w:rsid w:val="005B7931"/>
    <w:rsid w:val="005C727C"/>
    <w:rsid w:val="005D7BFB"/>
    <w:rsid w:val="005E281C"/>
    <w:rsid w:val="005F7E6E"/>
    <w:rsid w:val="006113D7"/>
    <w:rsid w:val="00617A87"/>
    <w:rsid w:val="00630ED0"/>
    <w:rsid w:val="00636CD7"/>
    <w:rsid w:val="006515D6"/>
    <w:rsid w:val="00652479"/>
    <w:rsid w:val="00653B24"/>
    <w:rsid w:val="00656125"/>
    <w:rsid w:val="00656C62"/>
    <w:rsid w:val="006613B8"/>
    <w:rsid w:val="006642B7"/>
    <w:rsid w:val="006666EC"/>
    <w:rsid w:val="00666EA4"/>
    <w:rsid w:val="0067026F"/>
    <w:rsid w:val="00672ADC"/>
    <w:rsid w:val="00686A37"/>
    <w:rsid w:val="00696F00"/>
    <w:rsid w:val="006A0F93"/>
    <w:rsid w:val="006C5494"/>
    <w:rsid w:val="006D678B"/>
    <w:rsid w:val="006D694D"/>
    <w:rsid w:val="006E0862"/>
    <w:rsid w:val="006E2E13"/>
    <w:rsid w:val="006F6383"/>
    <w:rsid w:val="00700D4B"/>
    <w:rsid w:val="0072569B"/>
    <w:rsid w:val="00727A3E"/>
    <w:rsid w:val="007341A5"/>
    <w:rsid w:val="00746CBA"/>
    <w:rsid w:val="0075432B"/>
    <w:rsid w:val="00757BC0"/>
    <w:rsid w:val="0076285B"/>
    <w:rsid w:val="00767045"/>
    <w:rsid w:val="00772202"/>
    <w:rsid w:val="00773427"/>
    <w:rsid w:val="00780AA6"/>
    <w:rsid w:val="00780BAF"/>
    <w:rsid w:val="007821ED"/>
    <w:rsid w:val="007842F6"/>
    <w:rsid w:val="00786662"/>
    <w:rsid w:val="00786D43"/>
    <w:rsid w:val="00787896"/>
    <w:rsid w:val="007A20B9"/>
    <w:rsid w:val="007B1EC5"/>
    <w:rsid w:val="007C2399"/>
    <w:rsid w:val="007C27F9"/>
    <w:rsid w:val="007C2D4D"/>
    <w:rsid w:val="007C568D"/>
    <w:rsid w:val="007C5DDA"/>
    <w:rsid w:val="007D28EF"/>
    <w:rsid w:val="007E4D41"/>
    <w:rsid w:val="007E5D85"/>
    <w:rsid w:val="007F3ED7"/>
    <w:rsid w:val="007F76D3"/>
    <w:rsid w:val="0080363E"/>
    <w:rsid w:val="00823B31"/>
    <w:rsid w:val="00826819"/>
    <w:rsid w:val="008279F7"/>
    <w:rsid w:val="008313FC"/>
    <w:rsid w:val="00832CAC"/>
    <w:rsid w:val="00847810"/>
    <w:rsid w:val="00851A95"/>
    <w:rsid w:val="00851BFA"/>
    <w:rsid w:val="00856F5D"/>
    <w:rsid w:val="00860DA4"/>
    <w:rsid w:val="0086129B"/>
    <w:rsid w:val="008705C1"/>
    <w:rsid w:val="00875320"/>
    <w:rsid w:val="008760FA"/>
    <w:rsid w:val="00894BD5"/>
    <w:rsid w:val="00896B39"/>
    <w:rsid w:val="008C2EA6"/>
    <w:rsid w:val="008E2B9D"/>
    <w:rsid w:val="008E4EED"/>
    <w:rsid w:val="008F3ADC"/>
    <w:rsid w:val="00901C34"/>
    <w:rsid w:val="00904AC7"/>
    <w:rsid w:val="00910B4C"/>
    <w:rsid w:val="009113B2"/>
    <w:rsid w:val="00913DC7"/>
    <w:rsid w:val="00914EFE"/>
    <w:rsid w:val="00925337"/>
    <w:rsid w:val="009269AE"/>
    <w:rsid w:val="009340B8"/>
    <w:rsid w:val="00936985"/>
    <w:rsid w:val="00951B34"/>
    <w:rsid w:val="00967C36"/>
    <w:rsid w:val="00976867"/>
    <w:rsid w:val="00976952"/>
    <w:rsid w:val="0098651F"/>
    <w:rsid w:val="00986F42"/>
    <w:rsid w:val="00987BC9"/>
    <w:rsid w:val="00987BE3"/>
    <w:rsid w:val="00991C3D"/>
    <w:rsid w:val="0099411E"/>
    <w:rsid w:val="009A0F93"/>
    <w:rsid w:val="009A1E0B"/>
    <w:rsid w:val="009A3935"/>
    <w:rsid w:val="009B1C45"/>
    <w:rsid w:val="009B3904"/>
    <w:rsid w:val="009B6227"/>
    <w:rsid w:val="009C2484"/>
    <w:rsid w:val="009E1ADC"/>
    <w:rsid w:val="009E2644"/>
    <w:rsid w:val="009E334B"/>
    <w:rsid w:val="009E3873"/>
    <w:rsid w:val="009E50EE"/>
    <w:rsid w:val="009E55B5"/>
    <w:rsid w:val="009F520F"/>
    <w:rsid w:val="00A02A57"/>
    <w:rsid w:val="00A0354F"/>
    <w:rsid w:val="00A04725"/>
    <w:rsid w:val="00A13DC5"/>
    <w:rsid w:val="00A2179B"/>
    <w:rsid w:val="00A27C73"/>
    <w:rsid w:val="00A35093"/>
    <w:rsid w:val="00A46B43"/>
    <w:rsid w:val="00A57792"/>
    <w:rsid w:val="00A623ED"/>
    <w:rsid w:val="00A724C1"/>
    <w:rsid w:val="00A74C0A"/>
    <w:rsid w:val="00A87F67"/>
    <w:rsid w:val="00A90162"/>
    <w:rsid w:val="00A9021D"/>
    <w:rsid w:val="00A90E54"/>
    <w:rsid w:val="00A91435"/>
    <w:rsid w:val="00AA3903"/>
    <w:rsid w:val="00AB1539"/>
    <w:rsid w:val="00AB65CE"/>
    <w:rsid w:val="00AB6708"/>
    <w:rsid w:val="00AC1262"/>
    <w:rsid w:val="00AC1487"/>
    <w:rsid w:val="00AC4367"/>
    <w:rsid w:val="00AC4866"/>
    <w:rsid w:val="00AC5437"/>
    <w:rsid w:val="00AD09F2"/>
    <w:rsid w:val="00AD3986"/>
    <w:rsid w:val="00AD5552"/>
    <w:rsid w:val="00AF5D78"/>
    <w:rsid w:val="00B21CD6"/>
    <w:rsid w:val="00B24852"/>
    <w:rsid w:val="00B2589C"/>
    <w:rsid w:val="00B31FA2"/>
    <w:rsid w:val="00B34FF5"/>
    <w:rsid w:val="00B354AE"/>
    <w:rsid w:val="00B45B36"/>
    <w:rsid w:val="00B5260E"/>
    <w:rsid w:val="00B54D7D"/>
    <w:rsid w:val="00B566FB"/>
    <w:rsid w:val="00B66994"/>
    <w:rsid w:val="00B75A83"/>
    <w:rsid w:val="00B81968"/>
    <w:rsid w:val="00B83161"/>
    <w:rsid w:val="00B970CD"/>
    <w:rsid w:val="00BA0D56"/>
    <w:rsid w:val="00BA2ED1"/>
    <w:rsid w:val="00BA74B0"/>
    <w:rsid w:val="00BB3029"/>
    <w:rsid w:val="00BC1BAE"/>
    <w:rsid w:val="00BC4AC1"/>
    <w:rsid w:val="00BC5487"/>
    <w:rsid w:val="00BC6BAC"/>
    <w:rsid w:val="00BD1A4C"/>
    <w:rsid w:val="00BD5A1C"/>
    <w:rsid w:val="00BE537C"/>
    <w:rsid w:val="00BF7864"/>
    <w:rsid w:val="00C1575E"/>
    <w:rsid w:val="00C20D37"/>
    <w:rsid w:val="00C24428"/>
    <w:rsid w:val="00C24A7C"/>
    <w:rsid w:val="00C351A4"/>
    <w:rsid w:val="00C413BA"/>
    <w:rsid w:val="00C629F9"/>
    <w:rsid w:val="00C63CB7"/>
    <w:rsid w:val="00C64984"/>
    <w:rsid w:val="00C8074B"/>
    <w:rsid w:val="00C8653E"/>
    <w:rsid w:val="00CA44C2"/>
    <w:rsid w:val="00CA657A"/>
    <w:rsid w:val="00CB43FE"/>
    <w:rsid w:val="00CB60A9"/>
    <w:rsid w:val="00CC02C9"/>
    <w:rsid w:val="00CC2EAA"/>
    <w:rsid w:val="00D00366"/>
    <w:rsid w:val="00D03B7F"/>
    <w:rsid w:val="00D07C56"/>
    <w:rsid w:val="00D07D3D"/>
    <w:rsid w:val="00D13834"/>
    <w:rsid w:val="00D16221"/>
    <w:rsid w:val="00D35A9D"/>
    <w:rsid w:val="00D42952"/>
    <w:rsid w:val="00D47197"/>
    <w:rsid w:val="00D47D74"/>
    <w:rsid w:val="00D5246C"/>
    <w:rsid w:val="00D637E3"/>
    <w:rsid w:val="00D65C9D"/>
    <w:rsid w:val="00D70F5D"/>
    <w:rsid w:val="00D735A9"/>
    <w:rsid w:val="00D760B7"/>
    <w:rsid w:val="00D92907"/>
    <w:rsid w:val="00DA03C0"/>
    <w:rsid w:val="00DA14A2"/>
    <w:rsid w:val="00DA2EB4"/>
    <w:rsid w:val="00DA7D32"/>
    <w:rsid w:val="00DB705C"/>
    <w:rsid w:val="00DC1D7B"/>
    <w:rsid w:val="00DE3F57"/>
    <w:rsid w:val="00DE64FB"/>
    <w:rsid w:val="00DF6F1A"/>
    <w:rsid w:val="00DF7D6E"/>
    <w:rsid w:val="00E0106C"/>
    <w:rsid w:val="00E02D1F"/>
    <w:rsid w:val="00E0776E"/>
    <w:rsid w:val="00E24917"/>
    <w:rsid w:val="00E303FF"/>
    <w:rsid w:val="00E30DAF"/>
    <w:rsid w:val="00E30FB7"/>
    <w:rsid w:val="00E36801"/>
    <w:rsid w:val="00E371AF"/>
    <w:rsid w:val="00E419D6"/>
    <w:rsid w:val="00E44593"/>
    <w:rsid w:val="00E54084"/>
    <w:rsid w:val="00E60D1F"/>
    <w:rsid w:val="00E657AA"/>
    <w:rsid w:val="00E66069"/>
    <w:rsid w:val="00E67337"/>
    <w:rsid w:val="00E76815"/>
    <w:rsid w:val="00E8471E"/>
    <w:rsid w:val="00E87660"/>
    <w:rsid w:val="00E93BA8"/>
    <w:rsid w:val="00E96641"/>
    <w:rsid w:val="00EB35BE"/>
    <w:rsid w:val="00EB3A72"/>
    <w:rsid w:val="00EB55A1"/>
    <w:rsid w:val="00EB5A3F"/>
    <w:rsid w:val="00EC0B0A"/>
    <w:rsid w:val="00EC32EB"/>
    <w:rsid w:val="00EC6547"/>
    <w:rsid w:val="00ED16F5"/>
    <w:rsid w:val="00ED2CF4"/>
    <w:rsid w:val="00EE34E0"/>
    <w:rsid w:val="00EE52F3"/>
    <w:rsid w:val="00EE563C"/>
    <w:rsid w:val="00EF665E"/>
    <w:rsid w:val="00F03F33"/>
    <w:rsid w:val="00F15737"/>
    <w:rsid w:val="00F215FB"/>
    <w:rsid w:val="00F274D4"/>
    <w:rsid w:val="00F32B8E"/>
    <w:rsid w:val="00F32D0C"/>
    <w:rsid w:val="00F530FC"/>
    <w:rsid w:val="00F53FCB"/>
    <w:rsid w:val="00F54C80"/>
    <w:rsid w:val="00F65DDA"/>
    <w:rsid w:val="00F73871"/>
    <w:rsid w:val="00F8444B"/>
    <w:rsid w:val="00F85CE6"/>
    <w:rsid w:val="00F951CD"/>
    <w:rsid w:val="00FB1E42"/>
    <w:rsid w:val="00FC338C"/>
    <w:rsid w:val="00FC629F"/>
    <w:rsid w:val="00FC679C"/>
    <w:rsid w:val="00FC7480"/>
    <w:rsid w:val="00FD44E9"/>
    <w:rsid w:val="00FE3B5D"/>
    <w:rsid w:val="00FE6C64"/>
    <w:rsid w:val="00FF1B49"/>
    <w:rsid w:val="00FF1E6B"/>
    <w:rsid w:val="00FF363A"/>
    <w:rsid w:val="00FF6B28"/>
    <w:rsid w:val="013E5E1F"/>
    <w:rsid w:val="018046F3"/>
    <w:rsid w:val="02C27923"/>
    <w:rsid w:val="0328676C"/>
    <w:rsid w:val="0571279E"/>
    <w:rsid w:val="05E1750C"/>
    <w:rsid w:val="06DA69F8"/>
    <w:rsid w:val="06FD2563"/>
    <w:rsid w:val="072243ED"/>
    <w:rsid w:val="07252BCC"/>
    <w:rsid w:val="07B35F59"/>
    <w:rsid w:val="082817F8"/>
    <w:rsid w:val="0880125D"/>
    <w:rsid w:val="08A458F6"/>
    <w:rsid w:val="08DB0241"/>
    <w:rsid w:val="090D0858"/>
    <w:rsid w:val="094E38A7"/>
    <w:rsid w:val="0A895532"/>
    <w:rsid w:val="0B1F0851"/>
    <w:rsid w:val="0BC84ABE"/>
    <w:rsid w:val="0C3120FD"/>
    <w:rsid w:val="0C7C0646"/>
    <w:rsid w:val="0C8C4355"/>
    <w:rsid w:val="0D256EDA"/>
    <w:rsid w:val="0D810315"/>
    <w:rsid w:val="0DB47FA3"/>
    <w:rsid w:val="0DD57BBC"/>
    <w:rsid w:val="0DE357E1"/>
    <w:rsid w:val="0E162209"/>
    <w:rsid w:val="0E346392"/>
    <w:rsid w:val="0E9147AA"/>
    <w:rsid w:val="0ECE3FF9"/>
    <w:rsid w:val="0EF51C37"/>
    <w:rsid w:val="0F2C0009"/>
    <w:rsid w:val="0F825F7D"/>
    <w:rsid w:val="0FAC31AE"/>
    <w:rsid w:val="0FD53CDE"/>
    <w:rsid w:val="103E393D"/>
    <w:rsid w:val="10A26E6F"/>
    <w:rsid w:val="10BA2F0A"/>
    <w:rsid w:val="10D12E4F"/>
    <w:rsid w:val="10EE3573"/>
    <w:rsid w:val="110E1BD1"/>
    <w:rsid w:val="11217A08"/>
    <w:rsid w:val="11377F51"/>
    <w:rsid w:val="114E6E7E"/>
    <w:rsid w:val="11752270"/>
    <w:rsid w:val="11C76194"/>
    <w:rsid w:val="11DD1FA6"/>
    <w:rsid w:val="125A7A9E"/>
    <w:rsid w:val="12E84714"/>
    <w:rsid w:val="12F4568B"/>
    <w:rsid w:val="130C7E5A"/>
    <w:rsid w:val="130D3A1D"/>
    <w:rsid w:val="135F0E80"/>
    <w:rsid w:val="138D5C0A"/>
    <w:rsid w:val="13CE23DE"/>
    <w:rsid w:val="141D3A49"/>
    <w:rsid w:val="143C41AD"/>
    <w:rsid w:val="1450704D"/>
    <w:rsid w:val="149255E9"/>
    <w:rsid w:val="149D6EF9"/>
    <w:rsid w:val="14D14395"/>
    <w:rsid w:val="14D95393"/>
    <w:rsid w:val="15433C5A"/>
    <w:rsid w:val="15554248"/>
    <w:rsid w:val="15925F35"/>
    <w:rsid w:val="15D63BE8"/>
    <w:rsid w:val="16A52F6B"/>
    <w:rsid w:val="16B163BF"/>
    <w:rsid w:val="16D161D3"/>
    <w:rsid w:val="16DE1D04"/>
    <w:rsid w:val="16FA28ED"/>
    <w:rsid w:val="176B2677"/>
    <w:rsid w:val="17974199"/>
    <w:rsid w:val="17D24999"/>
    <w:rsid w:val="18093156"/>
    <w:rsid w:val="18097DA0"/>
    <w:rsid w:val="1820115A"/>
    <w:rsid w:val="183D40AD"/>
    <w:rsid w:val="184C3B69"/>
    <w:rsid w:val="185925D4"/>
    <w:rsid w:val="18C36A86"/>
    <w:rsid w:val="18CE58B4"/>
    <w:rsid w:val="19370AC2"/>
    <w:rsid w:val="195F231E"/>
    <w:rsid w:val="19A93ABE"/>
    <w:rsid w:val="19C77965"/>
    <w:rsid w:val="1A2D7BF5"/>
    <w:rsid w:val="1A4B6671"/>
    <w:rsid w:val="1AA931B2"/>
    <w:rsid w:val="1AB83D0D"/>
    <w:rsid w:val="1B375E33"/>
    <w:rsid w:val="1B4A7FAC"/>
    <w:rsid w:val="1B8A7E14"/>
    <w:rsid w:val="1B8B2897"/>
    <w:rsid w:val="1B8E6A47"/>
    <w:rsid w:val="1C277505"/>
    <w:rsid w:val="1C411F71"/>
    <w:rsid w:val="1C757802"/>
    <w:rsid w:val="1C7D4F60"/>
    <w:rsid w:val="1CB47A99"/>
    <w:rsid w:val="1CC208A9"/>
    <w:rsid w:val="1D3D554C"/>
    <w:rsid w:val="1D774349"/>
    <w:rsid w:val="1DB90914"/>
    <w:rsid w:val="1DDB7050"/>
    <w:rsid w:val="1E313217"/>
    <w:rsid w:val="1E6274A1"/>
    <w:rsid w:val="1EAE16CA"/>
    <w:rsid w:val="1ECD4606"/>
    <w:rsid w:val="1EDA5560"/>
    <w:rsid w:val="1F035A26"/>
    <w:rsid w:val="1F1973C4"/>
    <w:rsid w:val="1F1E3972"/>
    <w:rsid w:val="1F484D04"/>
    <w:rsid w:val="1F732857"/>
    <w:rsid w:val="1F851C3F"/>
    <w:rsid w:val="1FC859D2"/>
    <w:rsid w:val="2002511D"/>
    <w:rsid w:val="20434031"/>
    <w:rsid w:val="215C491D"/>
    <w:rsid w:val="2195023A"/>
    <w:rsid w:val="224C5094"/>
    <w:rsid w:val="224D5F43"/>
    <w:rsid w:val="22AC3803"/>
    <w:rsid w:val="22D8337A"/>
    <w:rsid w:val="22DA64EC"/>
    <w:rsid w:val="23B172B9"/>
    <w:rsid w:val="23C829DF"/>
    <w:rsid w:val="243211BE"/>
    <w:rsid w:val="24DF2810"/>
    <w:rsid w:val="24E66359"/>
    <w:rsid w:val="24FB40C3"/>
    <w:rsid w:val="253906EE"/>
    <w:rsid w:val="254B5754"/>
    <w:rsid w:val="257A34E5"/>
    <w:rsid w:val="25987606"/>
    <w:rsid w:val="26023FFA"/>
    <w:rsid w:val="260C68E8"/>
    <w:rsid w:val="26683F7B"/>
    <w:rsid w:val="273D0BCD"/>
    <w:rsid w:val="273E19FC"/>
    <w:rsid w:val="28077995"/>
    <w:rsid w:val="2817068F"/>
    <w:rsid w:val="2844446F"/>
    <w:rsid w:val="286805CB"/>
    <w:rsid w:val="28C1005F"/>
    <w:rsid w:val="28C7532B"/>
    <w:rsid w:val="299208D2"/>
    <w:rsid w:val="29C64BE9"/>
    <w:rsid w:val="2A474F8E"/>
    <w:rsid w:val="2AAF56DD"/>
    <w:rsid w:val="2B4209FC"/>
    <w:rsid w:val="2B4871BD"/>
    <w:rsid w:val="2BF16D09"/>
    <w:rsid w:val="2C2F74C0"/>
    <w:rsid w:val="2C636A5E"/>
    <w:rsid w:val="2CD444C1"/>
    <w:rsid w:val="2D5C7F99"/>
    <w:rsid w:val="2DED4BD1"/>
    <w:rsid w:val="2E316619"/>
    <w:rsid w:val="2E5928B5"/>
    <w:rsid w:val="2E7901AC"/>
    <w:rsid w:val="2EA63E15"/>
    <w:rsid w:val="2EFE0F5B"/>
    <w:rsid w:val="2F582CC7"/>
    <w:rsid w:val="2F5F1FF6"/>
    <w:rsid w:val="2FB07116"/>
    <w:rsid w:val="2FBF2C6D"/>
    <w:rsid w:val="3060750B"/>
    <w:rsid w:val="314B29C9"/>
    <w:rsid w:val="324A2858"/>
    <w:rsid w:val="329639E0"/>
    <w:rsid w:val="32AC6CCB"/>
    <w:rsid w:val="331A1E68"/>
    <w:rsid w:val="33900728"/>
    <w:rsid w:val="340A10BF"/>
    <w:rsid w:val="343C67BF"/>
    <w:rsid w:val="34980741"/>
    <w:rsid w:val="352978E9"/>
    <w:rsid w:val="36282AF3"/>
    <w:rsid w:val="36471298"/>
    <w:rsid w:val="36963583"/>
    <w:rsid w:val="3702750B"/>
    <w:rsid w:val="372C6EE9"/>
    <w:rsid w:val="37CA24C7"/>
    <w:rsid w:val="37FD6251"/>
    <w:rsid w:val="383839FE"/>
    <w:rsid w:val="386523CF"/>
    <w:rsid w:val="389506B3"/>
    <w:rsid w:val="38C12B02"/>
    <w:rsid w:val="38F862FC"/>
    <w:rsid w:val="38FC62EB"/>
    <w:rsid w:val="39932961"/>
    <w:rsid w:val="39D36708"/>
    <w:rsid w:val="3A0C768D"/>
    <w:rsid w:val="3A3742F8"/>
    <w:rsid w:val="3A4F10B1"/>
    <w:rsid w:val="3A63407E"/>
    <w:rsid w:val="3A9C5E87"/>
    <w:rsid w:val="3B030682"/>
    <w:rsid w:val="3B08769A"/>
    <w:rsid w:val="3B425D0A"/>
    <w:rsid w:val="3BDE2C30"/>
    <w:rsid w:val="3BE5292B"/>
    <w:rsid w:val="3C76509D"/>
    <w:rsid w:val="3C7921A7"/>
    <w:rsid w:val="3CC50997"/>
    <w:rsid w:val="3D64766E"/>
    <w:rsid w:val="3D8B0AB0"/>
    <w:rsid w:val="3E190B73"/>
    <w:rsid w:val="3E431EAB"/>
    <w:rsid w:val="3E722A5B"/>
    <w:rsid w:val="3EE33CDD"/>
    <w:rsid w:val="3F882CCE"/>
    <w:rsid w:val="3F9A6D2D"/>
    <w:rsid w:val="40544BA6"/>
    <w:rsid w:val="40CA319D"/>
    <w:rsid w:val="40D3442A"/>
    <w:rsid w:val="40E0441C"/>
    <w:rsid w:val="410F4948"/>
    <w:rsid w:val="41950344"/>
    <w:rsid w:val="41BF141D"/>
    <w:rsid w:val="42111D75"/>
    <w:rsid w:val="42495AEC"/>
    <w:rsid w:val="424A2D4D"/>
    <w:rsid w:val="42504E64"/>
    <w:rsid w:val="42ED3D6C"/>
    <w:rsid w:val="432006E8"/>
    <w:rsid w:val="433564FA"/>
    <w:rsid w:val="435240FA"/>
    <w:rsid w:val="43746266"/>
    <w:rsid w:val="43AF4096"/>
    <w:rsid w:val="43EA007F"/>
    <w:rsid w:val="43FF09D1"/>
    <w:rsid w:val="44471CC7"/>
    <w:rsid w:val="4460201C"/>
    <w:rsid w:val="446567DC"/>
    <w:rsid w:val="446F3245"/>
    <w:rsid w:val="44915FFD"/>
    <w:rsid w:val="44E04A99"/>
    <w:rsid w:val="44E07A41"/>
    <w:rsid w:val="450C7908"/>
    <w:rsid w:val="452940F5"/>
    <w:rsid w:val="453451CE"/>
    <w:rsid w:val="45EC6C92"/>
    <w:rsid w:val="46065001"/>
    <w:rsid w:val="4638615B"/>
    <w:rsid w:val="46731132"/>
    <w:rsid w:val="46C15BCF"/>
    <w:rsid w:val="48C52C33"/>
    <w:rsid w:val="48EE3F7D"/>
    <w:rsid w:val="49284A17"/>
    <w:rsid w:val="497920AF"/>
    <w:rsid w:val="49A02E81"/>
    <w:rsid w:val="49A827EF"/>
    <w:rsid w:val="49AD6B77"/>
    <w:rsid w:val="4A0A3521"/>
    <w:rsid w:val="4A556EE3"/>
    <w:rsid w:val="4AA260B7"/>
    <w:rsid w:val="4AD3154D"/>
    <w:rsid w:val="4B033434"/>
    <w:rsid w:val="4B1A3BF3"/>
    <w:rsid w:val="4B8A06DD"/>
    <w:rsid w:val="4B97212C"/>
    <w:rsid w:val="4BAE0FDF"/>
    <w:rsid w:val="4BCB7028"/>
    <w:rsid w:val="4BE67E50"/>
    <w:rsid w:val="4C170E82"/>
    <w:rsid w:val="4C205FF4"/>
    <w:rsid w:val="4C321E83"/>
    <w:rsid w:val="4C6935BB"/>
    <w:rsid w:val="4C781D69"/>
    <w:rsid w:val="4D730482"/>
    <w:rsid w:val="4D823553"/>
    <w:rsid w:val="4D8239B9"/>
    <w:rsid w:val="4E0C7D11"/>
    <w:rsid w:val="4E412EB3"/>
    <w:rsid w:val="4E7A7F5F"/>
    <w:rsid w:val="4ED9063D"/>
    <w:rsid w:val="4F5B4815"/>
    <w:rsid w:val="4F5C445A"/>
    <w:rsid w:val="4F684F38"/>
    <w:rsid w:val="4F9A5269"/>
    <w:rsid w:val="4FAA2AEC"/>
    <w:rsid w:val="50135F29"/>
    <w:rsid w:val="506C1119"/>
    <w:rsid w:val="50DC4C87"/>
    <w:rsid w:val="5119066E"/>
    <w:rsid w:val="5138145A"/>
    <w:rsid w:val="51653785"/>
    <w:rsid w:val="51D15F26"/>
    <w:rsid w:val="51D73335"/>
    <w:rsid w:val="51DD213F"/>
    <w:rsid w:val="52102E81"/>
    <w:rsid w:val="52303FF1"/>
    <w:rsid w:val="52433580"/>
    <w:rsid w:val="526342EF"/>
    <w:rsid w:val="528B5CA2"/>
    <w:rsid w:val="528D6C26"/>
    <w:rsid w:val="529B4809"/>
    <w:rsid w:val="53355954"/>
    <w:rsid w:val="53392062"/>
    <w:rsid w:val="53E80A99"/>
    <w:rsid w:val="542D4E11"/>
    <w:rsid w:val="560F1127"/>
    <w:rsid w:val="56FA5A3C"/>
    <w:rsid w:val="57DB0981"/>
    <w:rsid w:val="57E03B33"/>
    <w:rsid w:val="57E16300"/>
    <w:rsid w:val="5A124E10"/>
    <w:rsid w:val="5A1413E3"/>
    <w:rsid w:val="5A4C5C6E"/>
    <w:rsid w:val="5A9631E3"/>
    <w:rsid w:val="5AE9665E"/>
    <w:rsid w:val="5AFB1939"/>
    <w:rsid w:val="5B1A70AE"/>
    <w:rsid w:val="5B893DAF"/>
    <w:rsid w:val="5BB47D62"/>
    <w:rsid w:val="5C380E4F"/>
    <w:rsid w:val="5C672BDC"/>
    <w:rsid w:val="5C6B50A8"/>
    <w:rsid w:val="5C6D6FEA"/>
    <w:rsid w:val="5C9878E2"/>
    <w:rsid w:val="5D9F6E5E"/>
    <w:rsid w:val="5DF972D0"/>
    <w:rsid w:val="5E3458EB"/>
    <w:rsid w:val="5E50770E"/>
    <w:rsid w:val="5E9D32CE"/>
    <w:rsid w:val="5EA920E1"/>
    <w:rsid w:val="5EAA768B"/>
    <w:rsid w:val="5ED156FE"/>
    <w:rsid w:val="5EDD373E"/>
    <w:rsid w:val="5F497F6B"/>
    <w:rsid w:val="5FF5203B"/>
    <w:rsid w:val="606A48D7"/>
    <w:rsid w:val="60AA7862"/>
    <w:rsid w:val="60B41E97"/>
    <w:rsid w:val="610F4DC7"/>
    <w:rsid w:val="612839FC"/>
    <w:rsid w:val="612A5710"/>
    <w:rsid w:val="61D7709E"/>
    <w:rsid w:val="621C35E8"/>
    <w:rsid w:val="6279180B"/>
    <w:rsid w:val="627A1FF3"/>
    <w:rsid w:val="62A91226"/>
    <w:rsid w:val="6424067A"/>
    <w:rsid w:val="644F6A19"/>
    <w:rsid w:val="64561AA5"/>
    <w:rsid w:val="64770183"/>
    <w:rsid w:val="647B7B9F"/>
    <w:rsid w:val="647F2B8C"/>
    <w:rsid w:val="651B3FF6"/>
    <w:rsid w:val="6520014B"/>
    <w:rsid w:val="66C8469E"/>
    <w:rsid w:val="66D16DA6"/>
    <w:rsid w:val="671F6125"/>
    <w:rsid w:val="676F0102"/>
    <w:rsid w:val="67C43164"/>
    <w:rsid w:val="6803579D"/>
    <w:rsid w:val="68131211"/>
    <w:rsid w:val="6826448F"/>
    <w:rsid w:val="683A0EB1"/>
    <w:rsid w:val="683B49CD"/>
    <w:rsid w:val="69073350"/>
    <w:rsid w:val="6961042B"/>
    <w:rsid w:val="69667695"/>
    <w:rsid w:val="6A471478"/>
    <w:rsid w:val="6A766580"/>
    <w:rsid w:val="6AFE05EB"/>
    <w:rsid w:val="6B1B1619"/>
    <w:rsid w:val="6BA610F2"/>
    <w:rsid w:val="6BB22B8B"/>
    <w:rsid w:val="6BBD5244"/>
    <w:rsid w:val="6BDD579E"/>
    <w:rsid w:val="6C0A6229"/>
    <w:rsid w:val="6C300C47"/>
    <w:rsid w:val="6C7C0ED0"/>
    <w:rsid w:val="6CD81ECE"/>
    <w:rsid w:val="6CE51507"/>
    <w:rsid w:val="6DD03ED2"/>
    <w:rsid w:val="6DF7581E"/>
    <w:rsid w:val="6E54365B"/>
    <w:rsid w:val="6E6802AB"/>
    <w:rsid w:val="6EA36EB7"/>
    <w:rsid w:val="6EBA6F99"/>
    <w:rsid w:val="6F044D44"/>
    <w:rsid w:val="6F07108D"/>
    <w:rsid w:val="6F1F41F1"/>
    <w:rsid w:val="6F5E5E2C"/>
    <w:rsid w:val="6F661CA4"/>
    <w:rsid w:val="70383E8C"/>
    <w:rsid w:val="70477D0C"/>
    <w:rsid w:val="70697A8C"/>
    <w:rsid w:val="70C35F1C"/>
    <w:rsid w:val="718E0BA6"/>
    <w:rsid w:val="71AB44BF"/>
    <w:rsid w:val="720937FB"/>
    <w:rsid w:val="7211281F"/>
    <w:rsid w:val="727763D7"/>
    <w:rsid w:val="72FE2031"/>
    <w:rsid w:val="73447694"/>
    <w:rsid w:val="735B7AF2"/>
    <w:rsid w:val="73AB7B06"/>
    <w:rsid w:val="73B8370E"/>
    <w:rsid w:val="73B932EB"/>
    <w:rsid w:val="73C52A17"/>
    <w:rsid w:val="73D63EE6"/>
    <w:rsid w:val="74192793"/>
    <w:rsid w:val="7429272D"/>
    <w:rsid w:val="74A57580"/>
    <w:rsid w:val="74DE50A0"/>
    <w:rsid w:val="74E56B90"/>
    <w:rsid w:val="7555668E"/>
    <w:rsid w:val="76213C6B"/>
    <w:rsid w:val="767617C0"/>
    <w:rsid w:val="768C26FB"/>
    <w:rsid w:val="76D65754"/>
    <w:rsid w:val="77023A6E"/>
    <w:rsid w:val="775633EF"/>
    <w:rsid w:val="77F4411B"/>
    <w:rsid w:val="783D10EB"/>
    <w:rsid w:val="78B56B1B"/>
    <w:rsid w:val="79384788"/>
    <w:rsid w:val="797B6BDB"/>
    <w:rsid w:val="7A76105F"/>
    <w:rsid w:val="7A7A2F17"/>
    <w:rsid w:val="7B054A6E"/>
    <w:rsid w:val="7B204C87"/>
    <w:rsid w:val="7B297F3F"/>
    <w:rsid w:val="7B632AD5"/>
    <w:rsid w:val="7BAE5592"/>
    <w:rsid w:val="7D051160"/>
    <w:rsid w:val="7D2B0835"/>
    <w:rsid w:val="7D5A306A"/>
    <w:rsid w:val="7D6F4DE3"/>
    <w:rsid w:val="7D8C6DED"/>
    <w:rsid w:val="7DB31488"/>
    <w:rsid w:val="7E297722"/>
    <w:rsid w:val="7E792A7E"/>
    <w:rsid w:val="7E874401"/>
    <w:rsid w:val="7E9B7807"/>
    <w:rsid w:val="7EC8151E"/>
    <w:rsid w:val="7F3E7B97"/>
    <w:rsid w:val="7F787DA0"/>
    <w:rsid w:val="7F991CCE"/>
    <w:rsid w:val="7FC801AE"/>
    <w:rsid w:val="7FCA4D97"/>
    <w:rsid w:val="7FF51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szCs w:val="22"/>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33"/>
    <w:qFormat/>
    <w:uiPriority w:val="0"/>
    <w:pPr>
      <w:keepNext/>
      <w:keepLines/>
      <w:spacing w:before="260" w:after="260" w:line="415" w:lineRule="auto"/>
      <w:outlineLvl w:val="2"/>
    </w:pPr>
    <w:rPr>
      <w:rFonts w:ascii="Times New Roman" w:eastAsia="方正仿宋"/>
      <w:b/>
      <w:bCs/>
      <w:kern w:val="2"/>
      <w:sz w:val="32"/>
      <w:szCs w:val="32"/>
    </w:rPr>
  </w:style>
  <w:style w:type="paragraph" w:styleId="7">
    <w:name w:val="heading 4"/>
    <w:basedOn w:val="1"/>
    <w:next w:val="1"/>
    <w:qFormat/>
    <w:uiPriority w:val="0"/>
    <w:pPr>
      <w:keepNext/>
      <w:keepLines/>
      <w:numPr>
        <w:ilvl w:val="3"/>
        <w:numId w:val="1"/>
      </w:numPr>
      <w:spacing w:before="120" w:after="120" w:line="360" w:lineRule="auto"/>
      <w:outlineLvl w:val="3"/>
    </w:pPr>
    <w:rPr>
      <w:rFonts w:hAnsi="宋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1"/>
    <w:qFormat/>
    <w:uiPriority w:val="99"/>
    <w:pPr>
      <w:widowControl/>
      <w:spacing w:after="120"/>
      <w:jc w:val="left"/>
    </w:pPr>
    <w:rPr>
      <w:rFonts w:ascii="Times New Roman"/>
      <w:sz w:val="24"/>
      <w:szCs w:val="24"/>
    </w:rPr>
  </w:style>
  <w:style w:type="paragraph" w:styleId="3">
    <w:name w:val="Body Text First Indent"/>
    <w:basedOn w:val="2"/>
    <w:link w:val="32"/>
    <w:qFormat/>
    <w:uiPriority w:val="0"/>
    <w:pPr>
      <w:widowControl w:val="0"/>
      <w:ind w:firstLine="420" w:firstLineChars="100"/>
      <w:jc w:val="both"/>
    </w:pPr>
    <w:rPr>
      <w:rFonts w:ascii="宋体"/>
      <w:sz w:val="34"/>
      <w:szCs w:val="22"/>
    </w:rPr>
  </w:style>
  <w:style w:type="paragraph" w:styleId="8">
    <w:name w:val="Normal Indent"/>
    <w:basedOn w:val="1"/>
    <w:qFormat/>
    <w:uiPriority w:val="0"/>
    <w:pPr>
      <w:ind w:firstLine="200" w:firstLineChars="200"/>
    </w:pPr>
  </w:style>
  <w:style w:type="paragraph" w:styleId="9">
    <w:name w:val="Document Map"/>
    <w:basedOn w:val="1"/>
    <w:link w:val="34"/>
    <w:qFormat/>
    <w:uiPriority w:val="0"/>
    <w:rPr>
      <w:sz w:val="18"/>
      <w:szCs w:val="18"/>
    </w:rPr>
  </w:style>
  <w:style w:type="paragraph" w:styleId="10">
    <w:name w:val="annotation text"/>
    <w:basedOn w:val="1"/>
    <w:link w:val="35"/>
    <w:qFormat/>
    <w:uiPriority w:val="0"/>
    <w:pPr>
      <w:jc w:val="left"/>
    </w:pPr>
    <w:rPr>
      <w:rFonts w:ascii="Times New Roman"/>
      <w:kern w:val="2"/>
      <w:sz w:val="18"/>
      <w:szCs w:val="20"/>
    </w:rPr>
  </w:style>
  <w:style w:type="paragraph" w:styleId="11">
    <w:name w:val="index 6"/>
    <w:basedOn w:val="1"/>
    <w:next w:val="1"/>
    <w:qFormat/>
    <w:uiPriority w:val="0"/>
    <w:pPr>
      <w:ind w:left="1000" w:leftChars="1000"/>
    </w:pPr>
  </w:style>
  <w:style w:type="paragraph" w:styleId="12">
    <w:name w:val="Body Text Indent"/>
    <w:basedOn w:val="1"/>
    <w:link w:val="36"/>
    <w:qFormat/>
    <w:uiPriority w:val="0"/>
    <w:pPr>
      <w:ind w:firstLine="630"/>
    </w:pPr>
    <w:rPr>
      <w:rFonts w:ascii="Times New Roman"/>
      <w:kern w:val="2"/>
      <w:sz w:val="32"/>
      <w:szCs w:val="20"/>
    </w:rPr>
  </w:style>
  <w:style w:type="paragraph" w:styleId="13">
    <w:name w:val="toc 3"/>
    <w:basedOn w:val="1"/>
    <w:next w:val="1"/>
    <w:qFormat/>
    <w:uiPriority w:val="0"/>
    <w:pPr>
      <w:ind w:left="840" w:leftChars="400"/>
    </w:pPr>
  </w:style>
  <w:style w:type="paragraph" w:styleId="14">
    <w:name w:val="Plain Text"/>
    <w:basedOn w:val="1"/>
    <w:link w:val="37"/>
    <w:qFormat/>
    <w:uiPriority w:val="0"/>
    <w:pPr>
      <w:autoSpaceDE w:val="0"/>
      <w:autoSpaceDN w:val="0"/>
      <w:adjustRightInd w:val="0"/>
    </w:pPr>
    <w:rPr>
      <w:rFonts w:hAnsi="Tms Rmn"/>
      <w:sz w:val="21"/>
      <w:szCs w:val="21"/>
    </w:rPr>
  </w:style>
  <w:style w:type="paragraph" w:styleId="15">
    <w:name w:val="Date"/>
    <w:basedOn w:val="1"/>
    <w:next w:val="1"/>
    <w:link w:val="38"/>
    <w:qFormat/>
    <w:uiPriority w:val="0"/>
    <w:pPr>
      <w:widowControl/>
      <w:ind w:left="100" w:leftChars="2500"/>
      <w:jc w:val="left"/>
    </w:pPr>
    <w:rPr>
      <w:rFonts w:ascii="Times New Roman"/>
      <w:sz w:val="24"/>
      <w:szCs w:val="24"/>
    </w:rPr>
  </w:style>
  <w:style w:type="paragraph" w:styleId="16">
    <w:name w:val="Body Text Indent 2"/>
    <w:basedOn w:val="1"/>
    <w:qFormat/>
    <w:uiPriority w:val="0"/>
    <w:pPr>
      <w:spacing w:after="120" w:line="480" w:lineRule="auto"/>
      <w:ind w:left="420" w:leftChars="200"/>
    </w:pPr>
    <w:rPr>
      <w:rFonts w:ascii="Calibri" w:hAnsi="Calibri"/>
      <w:sz w:val="20"/>
      <w:szCs w:val="20"/>
    </w:rPr>
  </w:style>
  <w:style w:type="paragraph" w:styleId="17">
    <w:name w:val="Balloon Text"/>
    <w:basedOn w:val="1"/>
    <w:link w:val="39"/>
    <w:qFormat/>
    <w:uiPriority w:val="0"/>
    <w:rPr>
      <w:rFonts w:ascii="Times New Roman"/>
      <w:kern w:val="2"/>
      <w:sz w:val="18"/>
      <w:szCs w:val="18"/>
    </w:rPr>
  </w:style>
  <w:style w:type="paragraph" w:styleId="18">
    <w:name w:val="footer"/>
    <w:basedOn w:val="1"/>
    <w:link w:val="40"/>
    <w:qFormat/>
    <w:uiPriority w:val="99"/>
    <w:pPr>
      <w:tabs>
        <w:tab w:val="center" w:pos="4153"/>
        <w:tab w:val="right" w:pos="8306"/>
      </w:tabs>
      <w:snapToGrid w:val="0"/>
      <w:jc w:val="left"/>
    </w:pPr>
    <w:rPr>
      <w:rFonts w:ascii="Times New Roman" w:eastAsia="方正仿宋"/>
      <w:kern w:val="2"/>
      <w:sz w:val="18"/>
      <w:szCs w:val="20"/>
    </w:rPr>
  </w:style>
  <w:style w:type="paragraph" w:styleId="19">
    <w:name w:val="header"/>
    <w:basedOn w:val="1"/>
    <w:link w:val="41"/>
    <w:qFormat/>
    <w:uiPriority w:val="99"/>
    <w:pPr>
      <w:pBdr>
        <w:bottom w:val="single" w:color="auto" w:sz="6" w:space="1"/>
      </w:pBdr>
      <w:tabs>
        <w:tab w:val="center" w:pos="4153"/>
        <w:tab w:val="right" w:pos="8306"/>
      </w:tabs>
      <w:snapToGrid w:val="0"/>
      <w:jc w:val="center"/>
    </w:pPr>
    <w:rPr>
      <w:rFonts w:ascii="Times New Roman"/>
      <w:kern w:val="2"/>
      <w:sz w:val="18"/>
      <w:szCs w:val="20"/>
    </w:rPr>
  </w:style>
  <w:style w:type="paragraph" w:styleId="20">
    <w:name w:val="toc 1"/>
    <w:basedOn w:val="1"/>
    <w:next w:val="1"/>
    <w:qFormat/>
    <w:uiPriority w:val="0"/>
  </w:style>
  <w:style w:type="paragraph" w:styleId="21">
    <w:name w:val="toc 2"/>
    <w:basedOn w:val="1"/>
    <w:next w:val="1"/>
    <w:qFormat/>
    <w:uiPriority w:val="0"/>
    <w:pPr>
      <w:ind w:left="420" w:leftChars="200"/>
    </w:pPr>
  </w:style>
  <w:style w:type="paragraph" w:styleId="22">
    <w:name w:val="Normal (Web)"/>
    <w:basedOn w:val="1"/>
    <w:qFormat/>
    <w:uiPriority w:val="0"/>
    <w:pPr>
      <w:widowControl/>
      <w:spacing w:before="100" w:beforeAutospacing="1" w:after="100" w:afterAutospacing="1"/>
      <w:jc w:val="left"/>
    </w:pPr>
    <w:rPr>
      <w:sz w:val="18"/>
      <w:szCs w:val="18"/>
    </w:rPr>
  </w:style>
  <w:style w:type="paragraph" w:styleId="23">
    <w:name w:val="Title"/>
    <w:basedOn w:val="1"/>
    <w:next w:val="1"/>
    <w:link w:val="42"/>
    <w:qFormat/>
    <w:uiPriority w:val="0"/>
    <w:pPr>
      <w:spacing w:before="240" w:after="60"/>
      <w:jc w:val="center"/>
      <w:outlineLvl w:val="0"/>
    </w:pPr>
    <w:rPr>
      <w:rFonts w:ascii="Cambria" w:hAnsi="Cambria"/>
      <w:b/>
      <w:bCs/>
      <w:kern w:val="2"/>
      <w:sz w:val="32"/>
      <w:szCs w:val="32"/>
    </w:rPr>
  </w:style>
  <w:style w:type="paragraph" w:styleId="24">
    <w:name w:val="annotation subject"/>
    <w:basedOn w:val="10"/>
    <w:next w:val="10"/>
    <w:link w:val="43"/>
    <w:qFormat/>
    <w:uiPriority w:val="0"/>
    <w:rPr>
      <w:b/>
      <w:bCs/>
      <w:sz w:val="21"/>
      <w:szCs w:val="24"/>
    </w:rPr>
  </w:style>
  <w:style w:type="table" w:styleId="26">
    <w:name w:val="Table Grid"/>
    <w:basedOn w:val="25"/>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Hyperlink"/>
    <w:qFormat/>
    <w:uiPriority w:val="99"/>
    <w:rPr>
      <w:color w:val="0563C1"/>
      <w:u w:val="single"/>
    </w:rPr>
  </w:style>
  <w:style w:type="character" w:styleId="30">
    <w:name w:val="annotation reference"/>
    <w:qFormat/>
    <w:uiPriority w:val="0"/>
    <w:rPr>
      <w:sz w:val="21"/>
    </w:rPr>
  </w:style>
  <w:style w:type="character" w:customStyle="1" w:styleId="31">
    <w:name w:val="正文文本 Char"/>
    <w:link w:val="2"/>
    <w:qFormat/>
    <w:uiPriority w:val="99"/>
    <w:rPr>
      <w:sz w:val="24"/>
      <w:szCs w:val="24"/>
    </w:rPr>
  </w:style>
  <w:style w:type="character" w:customStyle="1" w:styleId="32">
    <w:name w:val="正文首行缩进 Char"/>
    <w:link w:val="3"/>
    <w:qFormat/>
    <w:uiPriority w:val="0"/>
    <w:rPr>
      <w:rFonts w:ascii="宋体"/>
      <w:sz w:val="34"/>
      <w:szCs w:val="22"/>
    </w:rPr>
  </w:style>
  <w:style w:type="character" w:customStyle="1" w:styleId="33">
    <w:name w:val="标题 3 Char"/>
    <w:link w:val="6"/>
    <w:qFormat/>
    <w:uiPriority w:val="0"/>
    <w:rPr>
      <w:rFonts w:eastAsia="方正仿宋"/>
      <w:b/>
      <w:bCs/>
      <w:kern w:val="2"/>
      <w:sz w:val="32"/>
      <w:szCs w:val="32"/>
    </w:rPr>
  </w:style>
  <w:style w:type="character" w:customStyle="1" w:styleId="34">
    <w:name w:val="文档结构图 Char"/>
    <w:link w:val="9"/>
    <w:qFormat/>
    <w:uiPriority w:val="0"/>
    <w:rPr>
      <w:rFonts w:ascii="宋体"/>
      <w:sz w:val="18"/>
      <w:szCs w:val="18"/>
    </w:rPr>
  </w:style>
  <w:style w:type="character" w:customStyle="1" w:styleId="35">
    <w:name w:val="批注文字 Char"/>
    <w:link w:val="10"/>
    <w:qFormat/>
    <w:uiPriority w:val="0"/>
    <w:rPr>
      <w:kern w:val="2"/>
      <w:sz w:val="18"/>
    </w:rPr>
  </w:style>
  <w:style w:type="character" w:customStyle="1" w:styleId="36">
    <w:name w:val="正文文本缩进 Char"/>
    <w:link w:val="12"/>
    <w:qFormat/>
    <w:uiPriority w:val="0"/>
    <w:rPr>
      <w:kern w:val="2"/>
      <w:sz w:val="32"/>
    </w:rPr>
  </w:style>
  <w:style w:type="character" w:customStyle="1" w:styleId="37">
    <w:name w:val="纯文本 Char"/>
    <w:link w:val="14"/>
    <w:qFormat/>
    <w:uiPriority w:val="0"/>
    <w:rPr>
      <w:rFonts w:ascii="宋体" w:hAnsi="Tms Rmn" w:cs="宋体"/>
      <w:sz w:val="21"/>
      <w:szCs w:val="21"/>
    </w:rPr>
  </w:style>
  <w:style w:type="character" w:customStyle="1" w:styleId="38">
    <w:name w:val="日期 Char"/>
    <w:link w:val="15"/>
    <w:qFormat/>
    <w:uiPriority w:val="0"/>
    <w:rPr>
      <w:sz w:val="24"/>
      <w:szCs w:val="24"/>
    </w:rPr>
  </w:style>
  <w:style w:type="character" w:customStyle="1" w:styleId="39">
    <w:name w:val="批注框文本 Char"/>
    <w:link w:val="17"/>
    <w:qFormat/>
    <w:uiPriority w:val="0"/>
    <w:rPr>
      <w:kern w:val="2"/>
      <w:sz w:val="18"/>
      <w:szCs w:val="18"/>
    </w:rPr>
  </w:style>
  <w:style w:type="character" w:customStyle="1" w:styleId="40">
    <w:name w:val="页脚 Char"/>
    <w:link w:val="18"/>
    <w:qFormat/>
    <w:uiPriority w:val="99"/>
    <w:rPr>
      <w:rFonts w:eastAsia="方正仿宋"/>
      <w:kern w:val="2"/>
      <w:sz w:val="18"/>
    </w:rPr>
  </w:style>
  <w:style w:type="character" w:customStyle="1" w:styleId="41">
    <w:name w:val="页眉 Char"/>
    <w:link w:val="19"/>
    <w:qFormat/>
    <w:uiPriority w:val="99"/>
    <w:rPr>
      <w:kern w:val="2"/>
      <w:sz w:val="18"/>
    </w:rPr>
  </w:style>
  <w:style w:type="character" w:customStyle="1" w:styleId="42">
    <w:name w:val="标题 Char"/>
    <w:link w:val="23"/>
    <w:qFormat/>
    <w:uiPriority w:val="0"/>
    <w:rPr>
      <w:rFonts w:ascii="Cambria" w:hAnsi="Cambria" w:cs="Times New Roman"/>
      <w:b/>
      <w:bCs/>
      <w:kern w:val="2"/>
      <w:sz w:val="32"/>
      <w:szCs w:val="32"/>
    </w:rPr>
  </w:style>
  <w:style w:type="character" w:customStyle="1" w:styleId="43">
    <w:name w:val="批注主题 Char"/>
    <w:link w:val="24"/>
    <w:qFormat/>
    <w:uiPriority w:val="0"/>
    <w:rPr>
      <w:b/>
      <w:bCs/>
      <w:kern w:val="2"/>
      <w:sz w:val="21"/>
      <w:szCs w:val="24"/>
    </w:rPr>
  </w:style>
  <w:style w:type="character" w:customStyle="1" w:styleId="44">
    <w:name w:val="日期 Char1"/>
    <w:qFormat/>
    <w:uiPriority w:val="0"/>
    <w:rPr>
      <w:kern w:val="2"/>
      <w:sz w:val="21"/>
      <w:szCs w:val="24"/>
    </w:rPr>
  </w:style>
  <w:style w:type="character" w:customStyle="1" w:styleId="45">
    <w:name w:val="纯文本 Char1"/>
    <w:qFormat/>
    <w:uiPriority w:val="0"/>
    <w:rPr>
      <w:rFonts w:ascii="宋体" w:hAnsi="Courier New" w:cs="Courier New"/>
      <w:kern w:val="2"/>
      <w:sz w:val="21"/>
      <w:szCs w:val="21"/>
    </w:rPr>
  </w:style>
  <w:style w:type="character" w:customStyle="1" w:styleId="46">
    <w:name w:val="GW-正文 Char"/>
    <w:link w:val="47"/>
    <w:qFormat/>
    <w:uiPriority w:val="0"/>
    <w:rPr>
      <w:rFonts w:eastAsia="仿宋_GB2312"/>
      <w:kern w:val="2"/>
      <w:sz w:val="24"/>
      <w:szCs w:val="24"/>
    </w:rPr>
  </w:style>
  <w:style w:type="paragraph" w:customStyle="1" w:styleId="47">
    <w:name w:val="GW-正文"/>
    <w:basedOn w:val="1"/>
    <w:link w:val="46"/>
    <w:qFormat/>
    <w:uiPriority w:val="0"/>
    <w:pPr>
      <w:spacing w:line="360" w:lineRule="auto"/>
      <w:ind w:firstLine="200" w:firstLineChars="200"/>
    </w:pPr>
    <w:rPr>
      <w:rFonts w:ascii="Times New Roman" w:eastAsia="仿宋_GB2312"/>
      <w:kern w:val="2"/>
      <w:sz w:val="24"/>
      <w:szCs w:val="24"/>
    </w:rPr>
  </w:style>
  <w:style w:type="character" w:customStyle="1" w:styleId="48">
    <w:name w:val="正文文本 Char1"/>
    <w:qFormat/>
    <w:uiPriority w:val="0"/>
    <w:rPr>
      <w:kern w:val="2"/>
      <w:sz w:val="21"/>
      <w:szCs w:val="24"/>
    </w:rPr>
  </w:style>
  <w:style w:type="character" w:customStyle="1" w:styleId="49">
    <w:name w:val="批注文字 Char1"/>
    <w:qFormat/>
    <w:uiPriority w:val="0"/>
    <w:rPr>
      <w:kern w:val="2"/>
      <w:sz w:val="21"/>
      <w:szCs w:val="24"/>
    </w:rPr>
  </w:style>
  <w:style w:type="character" w:customStyle="1" w:styleId="50">
    <w:name w:val="font11"/>
    <w:qFormat/>
    <w:uiPriority w:val="0"/>
    <w:rPr>
      <w:rFonts w:hint="eastAsia" w:ascii="仿宋" w:hAnsi="仿宋" w:eastAsia="仿宋" w:cs="仿宋"/>
      <w:color w:val="000000"/>
      <w:sz w:val="24"/>
      <w:szCs w:val="24"/>
      <w:u w:val="none"/>
    </w:rPr>
  </w:style>
  <w:style w:type="character" w:customStyle="1" w:styleId="51">
    <w:name w:val="CD正文 Char Char"/>
    <w:link w:val="52"/>
    <w:qFormat/>
    <w:uiPriority w:val="0"/>
    <w:rPr>
      <w:kern w:val="2"/>
      <w:sz w:val="30"/>
      <w:szCs w:val="28"/>
    </w:rPr>
  </w:style>
  <w:style w:type="paragraph" w:customStyle="1" w:styleId="52">
    <w:name w:val="CD正文"/>
    <w:basedOn w:val="1"/>
    <w:link w:val="51"/>
    <w:qFormat/>
    <w:uiPriority w:val="0"/>
    <w:pPr>
      <w:spacing w:line="360" w:lineRule="auto"/>
      <w:ind w:firstLine="493"/>
    </w:pPr>
    <w:rPr>
      <w:rFonts w:ascii="Times New Roman"/>
      <w:kern w:val="2"/>
      <w:sz w:val="30"/>
      <w:szCs w:val="28"/>
    </w:rPr>
  </w:style>
  <w:style w:type="character" w:customStyle="1" w:styleId="53">
    <w:name w:val="列出段落 Char"/>
    <w:link w:val="54"/>
    <w:qFormat/>
    <w:uiPriority w:val="34"/>
    <w:rPr>
      <w:kern w:val="2"/>
      <w:sz w:val="21"/>
      <w:szCs w:val="24"/>
    </w:rPr>
  </w:style>
  <w:style w:type="paragraph" w:styleId="54">
    <w:name w:val="List Paragraph"/>
    <w:basedOn w:val="1"/>
    <w:link w:val="53"/>
    <w:qFormat/>
    <w:uiPriority w:val="34"/>
    <w:pPr>
      <w:ind w:firstLine="420" w:firstLineChars="200"/>
    </w:pPr>
    <w:rPr>
      <w:rFonts w:ascii="Times New Roman"/>
      <w:kern w:val="2"/>
      <w:sz w:val="21"/>
      <w:szCs w:val="24"/>
    </w:rPr>
  </w:style>
  <w:style w:type="character" w:customStyle="1" w:styleId="55">
    <w:name w:val="文章正文 Char Char"/>
    <w:qFormat/>
    <w:uiPriority w:val="0"/>
    <w:rPr>
      <w:rFonts w:hint="eastAsia" w:ascii="宋体" w:hAnsi="宋体" w:eastAsia="宋体"/>
      <w:kern w:val="2"/>
      <w:sz w:val="24"/>
      <w:szCs w:val="24"/>
      <w:lang w:val="en-US" w:eastAsia="zh-CN" w:bidi="ar-SA"/>
    </w:rPr>
  </w:style>
  <w:style w:type="character" w:customStyle="1" w:styleId="56">
    <w:name w:val="15"/>
    <w:qFormat/>
    <w:uiPriority w:val="0"/>
    <w:rPr>
      <w:rFonts w:hint="default" w:ascii="Times New Roman" w:hAnsi="Times New Roman" w:cs="Times New Roman"/>
      <w:sz w:val="21"/>
      <w:szCs w:val="21"/>
    </w:rPr>
  </w:style>
  <w:style w:type="paragraph" w:customStyle="1" w:styleId="57">
    <w:name w:val="款下正文"/>
    <w:basedOn w:val="1"/>
    <w:qFormat/>
    <w:uiPriority w:val="0"/>
    <w:pPr>
      <w:spacing w:before="240" w:beforeLines="50" w:after="240" w:afterLines="50" w:line="480" w:lineRule="exact"/>
      <w:ind w:firstLine="480" w:firstLineChars="200"/>
    </w:pPr>
    <w:rPr>
      <w:sz w:val="24"/>
    </w:rPr>
  </w:style>
  <w:style w:type="paragraph" w:customStyle="1" w:styleId="58">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59">
    <w:name w:val="Body Text 21"/>
    <w:basedOn w:val="1"/>
    <w:qFormat/>
    <w:uiPriority w:val="0"/>
    <w:pPr>
      <w:adjustRightInd w:val="0"/>
      <w:spacing w:line="300" w:lineRule="auto"/>
      <w:jc w:val="center"/>
      <w:textAlignment w:val="baseline"/>
    </w:pPr>
    <w:rPr>
      <w:rFonts w:hAnsi="宋体"/>
      <w:sz w:val="24"/>
      <w:szCs w:val="20"/>
    </w:rPr>
  </w:style>
  <w:style w:type="paragraph" w:customStyle="1" w:styleId="60">
    <w:name w:val="样式 首行缩进:  2 字符"/>
    <w:basedOn w:val="1"/>
    <w:qFormat/>
    <w:uiPriority w:val="0"/>
    <w:pPr>
      <w:spacing w:line="400" w:lineRule="exact"/>
      <w:ind w:firstLine="200" w:firstLineChars="200"/>
    </w:pPr>
    <w:rPr>
      <w:rFonts w:cs="宋体"/>
      <w:sz w:val="24"/>
    </w:rPr>
  </w:style>
  <w:style w:type="paragraph" w:customStyle="1" w:styleId="61">
    <w:name w:val="03、“注：”正文(加粗，首行缩进2字符)"/>
    <w:basedOn w:val="62"/>
    <w:qFormat/>
    <w:uiPriority w:val="0"/>
    <w:pPr>
      <w:tabs>
        <w:tab w:val="left" w:pos="0"/>
      </w:tabs>
      <w:ind w:firstLine="480" w:firstLineChars="200"/>
    </w:pPr>
    <w:rPr>
      <w:b/>
    </w:rPr>
  </w:style>
  <w:style w:type="paragraph" w:customStyle="1" w:styleId="62">
    <w:name w:val="01、普通正文"/>
    <w:basedOn w:val="1"/>
    <w:qFormat/>
    <w:uiPriority w:val="0"/>
    <w:pPr>
      <w:tabs>
        <w:tab w:val="left" w:pos="0"/>
      </w:tabs>
      <w:wordWrap w:val="0"/>
      <w:topLinePunct/>
    </w:pPr>
    <w:rPr>
      <w:rFonts w:hAnsi="宋体"/>
      <w:snapToGrid w:val="0"/>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正文首行缩进两字符"/>
    <w:basedOn w:val="1"/>
    <w:qFormat/>
    <w:uiPriority w:val="0"/>
    <w:pPr>
      <w:spacing w:line="360" w:lineRule="auto"/>
      <w:ind w:firstLine="200" w:firstLineChars="200"/>
    </w:pPr>
  </w:style>
  <w:style w:type="paragraph" w:customStyle="1" w:styleId="66">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6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8">
    <w:name w:val="15、“一、”二级标题"/>
    <w:basedOn w:val="1"/>
    <w:qFormat/>
    <w:uiPriority w:val="0"/>
    <w:pPr>
      <w:numPr>
        <w:ilvl w:val="1"/>
        <w:numId w:val="2"/>
      </w:numPr>
      <w:tabs>
        <w:tab w:val="left" w:pos="0"/>
      </w:tabs>
      <w:wordWrap w:val="0"/>
      <w:topLinePunct/>
      <w:ind w:firstLine="803" w:firstLineChars="200"/>
      <w:outlineLvl w:val="1"/>
    </w:pPr>
    <w:rPr>
      <w:rFonts w:hAnsi="宋体"/>
      <w:b/>
    </w:rPr>
  </w:style>
  <w:style w:type="paragraph" w:customStyle="1" w:styleId="69">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0">
    <w:name w:val="TOC 标题1"/>
    <w:basedOn w:val="4"/>
    <w:next w:val="1"/>
    <w:unhideWhenUsed/>
    <w:qFormat/>
    <w:uiPriority w:val="39"/>
    <w:pPr>
      <w:spacing w:before="240" w:after="0" w:line="259" w:lineRule="auto"/>
      <w:outlineLvl w:val="9"/>
    </w:pPr>
    <w:rPr>
      <w:rFonts w:ascii="Cambria" w:hAnsi="Cambria"/>
      <w:b w:val="0"/>
      <w:bCs w:val="0"/>
      <w:color w:val="366091"/>
      <w:kern w:val="0"/>
      <w:sz w:val="32"/>
      <w:szCs w:val="32"/>
    </w:rPr>
  </w:style>
  <w:style w:type="paragraph" w:customStyle="1" w:styleId="71">
    <w:name w:val="02、首行缩进2字符正文"/>
    <w:basedOn w:val="1"/>
    <w:qFormat/>
    <w:uiPriority w:val="0"/>
    <w:pPr>
      <w:tabs>
        <w:tab w:val="left" w:pos="0"/>
      </w:tabs>
      <w:wordWrap w:val="0"/>
      <w:topLinePunct/>
      <w:ind w:firstLine="480" w:firstLineChars="200"/>
    </w:pPr>
    <w:rPr>
      <w:rFonts w:hAnsi="宋体"/>
    </w:rPr>
  </w:style>
  <w:style w:type="paragraph" w:customStyle="1" w:styleId="72">
    <w:name w:val="BodyText"/>
    <w:basedOn w:val="1"/>
    <w:next w:val="73"/>
    <w:qFormat/>
    <w:uiPriority w:val="0"/>
    <w:pPr>
      <w:spacing w:after="120"/>
      <w:jc w:val="left"/>
    </w:pPr>
    <w:rPr>
      <w:rFonts w:ascii="Times New Roman"/>
      <w:sz w:val="24"/>
      <w:szCs w:val="24"/>
    </w:rPr>
  </w:style>
  <w:style w:type="paragraph" w:customStyle="1" w:styleId="73">
    <w:name w:val="BodyText1I"/>
    <w:basedOn w:val="72"/>
    <w:qFormat/>
    <w:uiPriority w:val="0"/>
    <w:pPr>
      <w:ind w:firstLine="420" w:firstLineChars="100"/>
      <w:jc w:val="both"/>
    </w:pPr>
    <w:rPr>
      <w:rFonts w:ascii="宋体"/>
      <w:sz w:val="34"/>
      <w:szCs w:val="22"/>
    </w:rPr>
  </w:style>
  <w:style w:type="paragraph" w:customStyle="1" w:styleId="74">
    <w:name w:val="04“一、”正文二级标题"/>
    <w:basedOn w:val="62"/>
    <w:qFormat/>
    <w:uiPriority w:val="0"/>
    <w:pPr>
      <w:ind w:firstLine="803" w:firstLineChars="200"/>
    </w:pPr>
  </w:style>
  <w:style w:type="paragraph" w:customStyle="1" w:styleId="75">
    <w:name w:val="正文格式"/>
    <w:basedOn w:val="1"/>
    <w:qFormat/>
    <w:uiPriority w:val="0"/>
    <w:pPr>
      <w:widowControl/>
      <w:adjustRightInd w:val="0"/>
      <w:snapToGrid w:val="0"/>
      <w:spacing w:beforeLines="25" w:line="360" w:lineRule="auto"/>
      <w:ind w:firstLine="480" w:firstLineChars="200"/>
    </w:pPr>
    <w:rPr>
      <w:rFonts w:hAnsi="宋体"/>
      <w:bCs/>
      <w:color w:val="000000"/>
      <w:sz w:val="24"/>
      <w:szCs w:val="24"/>
    </w:rPr>
  </w:style>
  <w:style w:type="paragraph" w:customStyle="1" w:styleId="76">
    <w:name w:val="页脚1"/>
    <w:qFormat/>
    <w:uiPriority w:val="0"/>
    <w:pPr>
      <w:tabs>
        <w:tab w:val="center" w:pos="4153"/>
        <w:tab w:val="right" w:pos="8306"/>
      </w:tabs>
      <w:spacing w:after="200"/>
    </w:pPr>
    <w:rPr>
      <w:rFonts w:ascii="Tahoma" w:hAnsi="Tahoma" w:eastAsia="ヒラギノ角ゴ Pro W3" w:cs="Times New Roman"/>
      <w:color w:val="000000"/>
      <w:sz w:val="18"/>
      <w:lang w:val="en-US" w:eastAsia="zh-CN" w:bidi="ar-SA"/>
    </w:rPr>
  </w:style>
  <w:style w:type="paragraph" w:customStyle="1" w:styleId="77">
    <w:name w:val="标题 5（有编号）（绿盟科技）"/>
    <w:basedOn w:val="1"/>
    <w:next w:val="78"/>
    <w:qFormat/>
    <w:uiPriority w:val="0"/>
    <w:pPr>
      <w:keepNext/>
      <w:keepLines/>
      <w:numPr>
        <w:ilvl w:val="4"/>
        <w:numId w:val="3"/>
      </w:numPr>
      <w:tabs>
        <w:tab w:val="left" w:pos="0"/>
      </w:tabs>
      <w:spacing w:before="280" w:after="156" w:line="377" w:lineRule="auto"/>
      <w:jc w:val="left"/>
      <w:outlineLvl w:val="4"/>
    </w:pPr>
    <w:rPr>
      <w:rFonts w:ascii="Arial" w:hAnsi="Arial" w:eastAsia="黑体"/>
      <w:b/>
      <w:sz w:val="24"/>
      <w:szCs w:val="28"/>
    </w:rPr>
  </w:style>
  <w:style w:type="paragraph" w:customStyle="1" w:styleId="78">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79">
    <w:name w:val="16、“(一)”三级标题"/>
    <w:basedOn w:val="62"/>
    <w:qFormat/>
    <w:uiPriority w:val="0"/>
    <w:pPr>
      <w:numPr>
        <w:ilvl w:val="2"/>
        <w:numId w:val="2"/>
      </w:numPr>
      <w:ind w:firstLine="803" w:firstLineChars="200"/>
      <w:outlineLvl w:val="2"/>
    </w:pPr>
    <w:rPr>
      <w:b/>
    </w:rPr>
  </w:style>
  <w:style w:type="paragraph" w:customStyle="1" w:styleId="80">
    <w:name w:val="06、“1.”正文四级标题"/>
    <w:basedOn w:val="1"/>
    <w:qFormat/>
    <w:uiPriority w:val="0"/>
    <w:pPr>
      <w:numPr>
        <w:ilvl w:val="2"/>
        <w:numId w:val="4"/>
      </w:numPr>
      <w:tabs>
        <w:tab w:val="left" w:pos="0"/>
      </w:tabs>
      <w:wordWrap w:val="0"/>
      <w:topLinePunct/>
      <w:ind w:firstLine="803" w:firstLineChars="200"/>
    </w:pPr>
    <w:rPr>
      <w:rFonts w:hAnsi="宋体"/>
      <w:snapToGrid w:val="0"/>
    </w:rPr>
  </w:style>
  <w:style w:type="paragraph" w:customStyle="1" w:styleId="81">
    <w:name w:val="_Style 1"/>
    <w:basedOn w:val="1"/>
    <w:qFormat/>
    <w:uiPriority w:val="34"/>
    <w:pPr>
      <w:ind w:firstLine="420" w:firstLineChars="200"/>
    </w:pPr>
    <w:rPr>
      <w:rFonts w:ascii="Times New Roman"/>
      <w:kern w:val="2"/>
      <w:sz w:val="18"/>
      <w:szCs w:val="18"/>
    </w:rPr>
  </w:style>
  <w:style w:type="paragraph" w:customStyle="1" w:styleId="82">
    <w:name w:val="17“1.”四级标题"/>
    <w:basedOn w:val="71"/>
    <w:qFormat/>
    <w:uiPriority w:val="0"/>
    <w:pPr>
      <w:numPr>
        <w:ilvl w:val="3"/>
        <w:numId w:val="2"/>
      </w:numPr>
      <w:ind w:firstLine="803"/>
    </w:pPr>
  </w:style>
  <w:style w:type="paragraph" w:customStyle="1" w:styleId="83">
    <w:name w:val="列出段落1"/>
    <w:basedOn w:val="1"/>
    <w:qFormat/>
    <w:uiPriority w:val="0"/>
    <w:pPr>
      <w:widowControl/>
      <w:ind w:firstLine="420" w:firstLineChars="200"/>
      <w:jc w:val="left"/>
    </w:pPr>
    <w:rPr>
      <w:rFonts w:ascii="Times New Roman"/>
      <w:sz w:val="24"/>
      <w:szCs w:val="24"/>
      <w:lang w:val="zh-CN"/>
    </w:rPr>
  </w:style>
  <w:style w:type="paragraph" w:customStyle="1" w:styleId="84">
    <w:name w:val="12、表格内左对齐正文"/>
    <w:basedOn w:val="1"/>
    <w:qFormat/>
    <w:uiPriority w:val="0"/>
    <w:pPr>
      <w:tabs>
        <w:tab w:val="left" w:pos="0"/>
      </w:tabs>
      <w:wordWrap w:val="0"/>
      <w:topLinePunct/>
      <w:spacing w:line="360" w:lineRule="exact"/>
      <w:ind w:left="48" w:leftChars="20"/>
    </w:pPr>
    <w:rPr>
      <w:rFonts w:hAnsi="宋体"/>
      <w:snapToGrid w:val="0"/>
      <w:sz w:val="21"/>
    </w:rPr>
  </w:style>
  <w:style w:type="paragraph" w:customStyle="1" w:styleId="85">
    <w:name w:val="_Style 74"/>
    <w:basedOn w:val="1"/>
    <w:next w:val="54"/>
    <w:qFormat/>
    <w:uiPriority w:val="34"/>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4A5A7C-80E4-42FD-8C16-AE61F3530E23}">
  <ds:schemaRefs/>
</ds:datastoreItem>
</file>

<file path=docProps/app.xml><?xml version="1.0" encoding="utf-8"?>
<Properties xmlns="http://schemas.openxmlformats.org/officeDocument/2006/extended-properties" xmlns:vt="http://schemas.openxmlformats.org/officeDocument/2006/docPropsVTypes">
  <Template>Normal.dotm</Template>
  <Pages>91</Pages>
  <Words>6256</Words>
  <Characters>35665</Characters>
  <Lines>297</Lines>
  <Paragraphs>83</Paragraphs>
  <TotalTime>6</TotalTime>
  <ScaleCrop>false</ScaleCrop>
  <LinksUpToDate>false</LinksUpToDate>
  <CharactersWithSpaces>41838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2020-07-06T08:31:00Z</dcterms:created>
  <dc:creator>Administrator</dc:creator>
  <cp:lastModifiedBy>Administrator</cp:lastModifiedBy>
  <cp:lastPrinted>2021-05-26T05:13:00Z</cp:lastPrinted>
  <dcterms:modified xsi:type="dcterms:W3CDTF">2021-05-28T01:52:25Z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9CD1A65F2E664930BBBAF770589C4FD1</vt:lpwstr>
  </property>
</Properties>
</file>