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600"/>
        <w:rPr>
          <w:rFonts w:ascii="宋体" w:hAnsi="宋体" w:cs="宋体"/>
          <w:b/>
          <w:sz w:val="30"/>
          <w:szCs w:val="30"/>
        </w:rPr>
      </w:pPr>
      <w:r>
        <w:rPr>
          <w:rFonts w:hint="eastAsia" w:ascii="宋体" w:hAnsi="宋体" w:cs="宋体"/>
          <w:b/>
          <w:sz w:val="30"/>
          <w:szCs w:val="30"/>
        </w:rPr>
        <w:t xml:space="preserve"> </w:t>
      </w:r>
    </w:p>
    <w:p>
      <w:pPr>
        <w:jc w:val="center"/>
        <w:rPr>
          <w:rFonts w:ascii="宋体" w:hAnsi="宋体" w:cs="宋体"/>
          <w:b/>
          <w:sz w:val="52"/>
          <w:szCs w:val="52"/>
        </w:rPr>
      </w:pPr>
      <w:r>
        <w:rPr>
          <w:rFonts w:hint="eastAsia" w:ascii="宋体" w:hAnsi="宋体" w:cs="宋体"/>
          <w:b/>
          <w:sz w:val="52"/>
          <w:szCs w:val="52"/>
        </w:rPr>
        <w:t>简阳市行政审批局中小微经济体财税数字综合服务平台项目采购</w:t>
      </w:r>
    </w:p>
    <w:p>
      <w:pPr>
        <w:rPr>
          <w:rFonts w:ascii="宋体" w:hAnsi="宋体" w:cs="宋体"/>
          <w:b/>
          <w:sz w:val="52"/>
          <w:szCs w:val="52"/>
        </w:rPr>
      </w:pPr>
    </w:p>
    <w:p>
      <w:pPr>
        <w:rPr>
          <w:rFonts w:ascii="宋体" w:hAnsi="宋体" w:cs="宋体"/>
          <w:b/>
          <w:sz w:val="52"/>
          <w:szCs w:val="52"/>
        </w:rPr>
      </w:pPr>
    </w:p>
    <w:p>
      <w:pPr>
        <w:tabs>
          <w:tab w:val="left" w:pos="2505"/>
          <w:tab w:val="center" w:pos="4204"/>
        </w:tabs>
        <w:spacing w:line="360" w:lineRule="auto"/>
        <w:jc w:val="center"/>
        <w:rPr>
          <w:rFonts w:ascii="宋体" w:hAnsi="宋体" w:cs="宋体"/>
          <w:b/>
          <w:sz w:val="72"/>
          <w:szCs w:val="72"/>
        </w:rPr>
      </w:pPr>
      <w:r>
        <w:rPr>
          <w:rFonts w:hint="eastAsia" w:ascii="宋体" w:hAnsi="宋体" w:cs="宋体"/>
          <w:b/>
          <w:sz w:val="72"/>
          <w:szCs w:val="72"/>
        </w:rPr>
        <w:t>招</w:t>
      </w:r>
    </w:p>
    <w:p>
      <w:pPr>
        <w:spacing w:line="360" w:lineRule="auto"/>
        <w:jc w:val="center"/>
        <w:rPr>
          <w:rFonts w:ascii="宋体" w:hAnsi="宋体" w:cs="宋体"/>
          <w:b/>
          <w:sz w:val="72"/>
          <w:szCs w:val="72"/>
        </w:rPr>
      </w:pPr>
      <w:r>
        <w:rPr>
          <w:rFonts w:hint="eastAsia" w:ascii="宋体" w:hAnsi="宋体" w:cs="宋体"/>
          <w:b/>
          <w:sz w:val="72"/>
          <w:szCs w:val="72"/>
        </w:rPr>
        <w:t>标</w:t>
      </w:r>
    </w:p>
    <w:p>
      <w:pPr>
        <w:spacing w:line="360" w:lineRule="auto"/>
        <w:jc w:val="center"/>
        <w:rPr>
          <w:rFonts w:ascii="宋体" w:hAnsi="宋体" w:cs="宋体"/>
          <w:b/>
          <w:sz w:val="72"/>
          <w:szCs w:val="72"/>
        </w:rPr>
      </w:pPr>
      <w:r>
        <w:rPr>
          <w:rFonts w:hint="eastAsia" w:ascii="宋体" w:hAnsi="宋体" w:cs="宋体"/>
          <w:b/>
          <w:sz w:val="72"/>
          <w:szCs w:val="72"/>
        </w:rPr>
        <w:t>文</w:t>
      </w:r>
    </w:p>
    <w:p>
      <w:pPr>
        <w:spacing w:line="360" w:lineRule="auto"/>
        <w:jc w:val="center"/>
        <w:rPr>
          <w:rFonts w:ascii="宋体" w:hAnsi="宋体" w:cs="宋体"/>
          <w:b/>
          <w:sz w:val="72"/>
          <w:szCs w:val="72"/>
        </w:rPr>
      </w:pPr>
      <w:r>
        <w:rPr>
          <w:rFonts w:hint="eastAsia" w:ascii="宋体" w:hAnsi="宋体" w:cs="宋体"/>
          <w:b/>
          <w:sz w:val="72"/>
          <w:szCs w:val="72"/>
        </w:rPr>
        <w:t>件</w:t>
      </w:r>
    </w:p>
    <w:p>
      <w:pPr>
        <w:rPr>
          <w:rFonts w:ascii="宋体" w:hAnsi="宋体" w:cs="宋体"/>
          <w:b/>
          <w:sz w:val="72"/>
          <w:szCs w:val="72"/>
        </w:rPr>
      </w:pPr>
    </w:p>
    <w:p>
      <w:pPr>
        <w:jc w:val="center"/>
        <w:rPr>
          <w:rFonts w:hint="eastAsia" w:ascii="宋体" w:hAnsi="宋体" w:eastAsia="宋体" w:cs="宋体"/>
          <w:b/>
          <w:sz w:val="52"/>
          <w:szCs w:val="52"/>
          <w:highlight w:val="none"/>
          <w:lang w:eastAsia="zh-CN"/>
        </w:rPr>
      </w:pPr>
      <w:r>
        <w:rPr>
          <w:rFonts w:hint="eastAsia" w:ascii="宋体" w:hAnsi="宋体" w:cs="宋体"/>
          <w:b/>
          <w:sz w:val="30"/>
          <w:szCs w:val="30"/>
          <w:highlight w:val="none"/>
        </w:rPr>
        <w:t>招标编号：</w:t>
      </w:r>
      <w:r>
        <w:rPr>
          <w:rFonts w:hint="eastAsia" w:ascii="宋体" w:hAnsi="宋体" w:cs="宋体"/>
          <w:b/>
          <w:sz w:val="30"/>
          <w:szCs w:val="30"/>
          <w:highlight w:val="none"/>
          <w:lang w:eastAsia="zh-CN"/>
        </w:rPr>
        <w:t>简阳市政采（2021）B0195号</w:t>
      </w:r>
    </w:p>
    <w:p>
      <w:pPr>
        <w:spacing w:line="360" w:lineRule="auto"/>
        <w:rPr>
          <w:rFonts w:ascii="宋体" w:hAnsi="宋体" w:cs="宋体"/>
          <w:b/>
          <w:sz w:val="32"/>
          <w:szCs w:val="32"/>
        </w:rPr>
      </w:pPr>
    </w:p>
    <w:p>
      <w:pPr>
        <w:spacing w:line="360" w:lineRule="auto"/>
        <w:jc w:val="center"/>
        <w:rPr>
          <w:rFonts w:ascii="宋体" w:hAnsi="宋体" w:cs="宋体"/>
          <w:sz w:val="32"/>
          <w:szCs w:val="32"/>
          <w:highlight w:val="yellow"/>
        </w:rPr>
      </w:pPr>
    </w:p>
    <w:p>
      <w:pPr>
        <w:pStyle w:val="2"/>
        <w:rPr>
          <w:rFonts w:ascii="宋体" w:hAnsi="宋体" w:cs="宋体"/>
          <w:highlight w:val="yellow"/>
        </w:rPr>
      </w:pPr>
    </w:p>
    <w:p>
      <w:pPr>
        <w:pStyle w:val="34"/>
        <w:rPr>
          <w:rFonts w:ascii="宋体" w:hAnsi="宋体" w:cs="宋体"/>
          <w:highlight w:val="yellow"/>
        </w:rPr>
      </w:pPr>
    </w:p>
    <w:tbl>
      <w:tblPr>
        <w:tblStyle w:val="2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21"/>
        <w:gridCol w:w="1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21" w:type="dxa"/>
          </w:tcPr>
          <w:p>
            <w:pPr>
              <w:spacing w:line="360" w:lineRule="auto"/>
              <w:jc w:val="center"/>
              <w:rPr>
                <w:rFonts w:ascii="宋体" w:hAnsi="宋体" w:cs="宋体"/>
                <w:sz w:val="32"/>
                <w:szCs w:val="32"/>
              </w:rPr>
            </w:pPr>
            <w:r>
              <w:rPr>
                <w:rFonts w:hint="eastAsia" w:ascii="宋体" w:hAnsi="宋体" w:cs="宋体"/>
                <w:sz w:val="32"/>
                <w:szCs w:val="32"/>
              </w:rPr>
              <w:t>采购人：简阳市行政审批局</w:t>
            </w:r>
          </w:p>
        </w:tc>
        <w:tc>
          <w:tcPr>
            <w:tcW w:w="1553" w:type="dxa"/>
            <w:vMerge w:val="restart"/>
            <w:vAlign w:val="center"/>
          </w:tcPr>
          <w:p>
            <w:pPr>
              <w:spacing w:line="360" w:lineRule="auto"/>
              <w:jc w:val="center"/>
              <w:rPr>
                <w:rFonts w:ascii="宋体" w:hAnsi="宋体" w:cs="宋体"/>
                <w:sz w:val="32"/>
                <w:szCs w:val="32"/>
              </w:rPr>
            </w:pPr>
            <w:r>
              <w:rPr>
                <w:rFonts w:hint="eastAsia" w:ascii="宋体" w:hAnsi="宋体" w:cs="宋体"/>
                <w:sz w:val="32"/>
                <w:szCs w:val="32"/>
              </w:rPr>
              <w:t>共同编制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21" w:type="dxa"/>
          </w:tcPr>
          <w:p>
            <w:pPr>
              <w:spacing w:line="360" w:lineRule="auto"/>
              <w:jc w:val="center"/>
              <w:rPr>
                <w:rFonts w:ascii="宋体" w:hAnsi="宋体" w:cs="宋体"/>
                <w:sz w:val="32"/>
                <w:szCs w:val="32"/>
              </w:rPr>
            </w:pPr>
            <w:r>
              <w:rPr>
                <w:rFonts w:hint="eastAsia" w:ascii="宋体" w:hAnsi="宋体" w:cs="宋体"/>
                <w:sz w:val="32"/>
                <w:szCs w:val="32"/>
              </w:rPr>
              <w:t>采购代理机构：成都优引力项目管理有限公司</w:t>
            </w:r>
          </w:p>
        </w:tc>
        <w:tc>
          <w:tcPr>
            <w:tcW w:w="1553" w:type="dxa"/>
            <w:vMerge w:val="continue"/>
          </w:tcPr>
          <w:p>
            <w:pPr>
              <w:spacing w:line="360" w:lineRule="auto"/>
              <w:jc w:val="center"/>
              <w:rPr>
                <w:rFonts w:ascii="宋体" w:hAnsi="宋体" w:cs="宋体"/>
                <w:sz w:val="32"/>
                <w:szCs w:val="32"/>
              </w:rPr>
            </w:pPr>
          </w:p>
        </w:tc>
      </w:tr>
    </w:tbl>
    <w:p>
      <w:pPr>
        <w:spacing w:line="360" w:lineRule="auto"/>
        <w:jc w:val="center"/>
        <w:rPr>
          <w:rFonts w:ascii="宋体" w:hAnsi="宋体" w:cs="宋体"/>
          <w:sz w:val="32"/>
          <w:szCs w:val="32"/>
        </w:rPr>
      </w:pPr>
      <w:r>
        <w:rPr>
          <w:rFonts w:hint="eastAsia" w:ascii="宋体" w:hAnsi="宋体" w:cs="宋体"/>
          <w:sz w:val="32"/>
          <w:szCs w:val="32"/>
        </w:rPr>
        <w:t>2021年1</w:t>
      </w:r>
      <w:r>
        <w:rPr>
          <w:rFonts w:hint="eastAsia" w:ascii="宋体" w:hAnsi="宋体" w:cs="宋体"/>
          <w:sz w:val="32"/>
          <w:szCs w:val="32"/>
          <w:lang w:val="en-US" w:eastAsia="zh-CN"/>
        </w:rPr>
        <w:t>1</w:t>
      </w:r>
      <w:r>
        <w:rPr>
          <w:rFonts w:hint="eastAsia" w:ascii="宋体" w:hAnsi="宋体" w:cs="宋体"/>
          <w:sz w:val="32"/>
          <w:szCs w:val="32"/>
        </w:rPr>
        <w:t>月</w:t>
      </w:r>
      <w:bookmarkStart w:id="0" w:name="_Hlt101843627"/>
      <w:bookmarkEnd w:id="0"/>
      <w:bookmarkStart w:id="1" w:name="_Hlt101233737"/>
      <w:bookmarkEnd w:id="1"/>
    </w:p>
    <w:p>
      <w:pPr>
        <w:widowControl/>
        <w:jc w:val="left"/>
        <w:rPr>
          <w:rFonts w:ascii="宋体" w:hAnsi="宋体" w:cs="宋体"/>
        </w:rPr>
      </w:pPr>
    </w:p>
    <w:p>
      <w:pPr>
        <w:pStyle w:val="4"/>
        <w:spacing w:line="360" w:lineRule="exact"/>
        <w:jc w:val="center"/>
        <w:rPr>
          <w:rFonts w:ascii="宋体" w:hAnsi="宋体" w:eastAsia="宋体" w:cs="宋体"/>
          <w:bCs w:val="0"/>
          <w:sz w:val="36"/>
        </w:rPr>
      </w:pPr>
      <w:r>
        <w:rPr>
          <w:rFonts w:hint="eastAsia" w:ascii="宋体" w:hAnsi="宋体" w:eastAsia="宋体" w:cs="宋体"/>
          <w:bCs w:val="0"/>
          <w:sz w:val="36"/>
        </w:rPr>
        <w:t>目    录</w:t>
      </w:r>
    </w:p>
    <w:p>
      <w:pPr>
        <w:rPr>
          <w:rFonts w:ascii="宋体" w:hAnsi="宋体" w:cs="宋体"/>
        </w:rPr>
      </w:pPr>
    </w:p>
    <w:p>
      <w:pPr>
        <w:pStyle w:val="20"/>
        <w:tabs>
          <w:tab w:val="right" w:leader="dot" w:pos="8959"/>
        </w:tabs>
        <w:rPr>
          <w:rFonts w:ascii="宋体" w:hAnsi="宋体" w:cs="宋体"/>
        </w:rPr>
      </w:pPr>
      <w:r>
        <w:rPr>
          <w:rFonts w:hint="eastAsia" w:ascii="宋体" w:hAnsi="宋体" w:cs="宋体"/>
          <w:sz w:val="24"/>
        </w:rPr>
        <w:fldChar w:fldCharType="begin"/>
      </w:r>
      <w:r>
        <w:rPr>
          <w:rFonts w:hint="eastAsia" w:ascii="宋体" w:hAnsi="宋体" w:cs="宋体"/>
          <w:sz w:val="24"/>
        </w:rPr>
        <w:instrText xml:space="preserve">TOC \o "1-1" \h \u </w:instrText>
      </w:r>
      <w:r>
        <w:rPr>
          <w:rFonts w:hint="eastAsia" w:ascii="宋体" w:hAnsi="宋体" w:cs="宋体"/>
          <w:sz w:val="24"/>
        </w:rPr>
        <w:fldChar w:fldCharType="separate"/>
      </w:r>
    </w:p>
    <w:p>
      <w:pPr>
        <w:pStyle w:val="20"/>
        <w:tabs>
          <w:tab w:val="right" w:leader="dot" w:pos="8959"/>
        </w:tabs>
        <w:spacing w:line="480" w:lineRule="auto"/>
        <w:rPr>
          <w:rFonts w:ascii="宋体" w:hAnsi="宋体" w:cs="宋体"/>
        </w:rPr>
      </w:pPr>
      <w:r>
        <w:fldChar w:fldCharType="begin"/>
      </w:r>
      <w:r>
        <w:instrText xml:space="preserve"> HYPERLINK \l "_Toc2917" </w:instrText>
      </w:r>
      <w:r>
        <w:fldChar w:fldCharType="separate"/>
      </w:r>
      <w:r>
        <w:rPr>
          <w:rFonts w:hint="eastAsia" w:ascii="宋体" w:hAnsi="宋体" w:cs="宋体"/>
          <w:szCs w:val="36"/>
        </w:rPr>
        <w:t>第一章  投标邀请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_Toc2917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pPr>
        <w:pStyle w:val="20"/>
        <w:tabs>
          <w:tab w:val="right" w:leader="dot" w:pos="8959"/>
        </w:tabs>
        <w:spacing w:line="480" w:lineRule="auto"/>
        <w:rPr>
          <w:rFonts w:ascii="宋体" w:hAnsi="宋体" w:cs="宋体"/>
        </w:rPr>
      </w:pPr>
      <w:r>
        <w:fldChar w:fldCharType="begin"/>
      </w:r>
      <w:r>
        <w:instrText xml:space="preserve"> HYPERLINK \l "_Toc9803" </w:instrText>
      </w:r>
      <w:r>
        <w:fldChar w:fldCharType="separate"/>
      </w:r>
      <w:r>
        <w:rPr>
          <w:rFonts w:hint="eastAsia" w:ascii="宋体" w:hAnsi="宋体" w:cs="宋体"/>
          <w:bCs/>
          <w:szCs w:val="36"/>
        </w:rPr>
        <w:t>第二章  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_Toc9803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pPr>
        <w:pStyle w:val="20"/>
        <w:tabs>
          <w:tab w:val="right" w:leader="dot" w:pos="8959"/>
        </w:tabs>
        <w:spacing w:line="480" w:lineRule="auto"/>
        <w:rPr>
          <w:rFonts w:ascii="宋体" w:hAnsi="宋体" w:cs="宋体"/>
        </w:rPr>
      </w:pPr>
      <w:r>
        <w:fldChar w:fldCharType="begin"/>
      </w:r>
      <w:r>
        <w:instrText xml:space="preserve"> HYPERLINK \l "_Toc6906" </w:instrText>
      </w:r>
      <w:r>
        <w:fldChar w:fldCharType="separate"/>
      </w:r>
      <w:r>
        <w:rPr>
          <w:rFonts w:hint="eastAsia" w:ascii="宋体" w:hAnsi="宋体" w:cs="宋体"/>
          <w:szCs w:val="36"/>
        </w:rPr>
        <w:t>第三章  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_Toc6906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cs="宋体"/>
        </w:rPr>
        <w:fldChar w:fldCharType="end"/>
      </w:r>
    </w:p>
    <w:p>
      <w:pPr>
        <w:pStyle w:val="20"/>
        <w:tabs>
          <w:tab w:val="right" w:leader="dot" w:pos="8959"/>
        </w:tabs>
        <w:spacing w:line="480" w:lineRule="auto"/>
        <w:rPr>
          <w:rFonts w:ascii="宋体" w:hAnsi="宋体" w:cs="宋体"/>
        </w:rPr>
      </w:pPr>
      <w:r>
        <w:fldChar w:fldCharType="begin"/>
      </w:r>
      <w:r>
        <w:instrText xml:space="preserve"> HYPERLINK \l "_Toc13820" </w:instrText>
      </w:r>
      <w:r>
        <w:fldChar w:fldCharType="separate"/>
      </w:r>
      <w:r>
        <w:rPr>
          <w:rFonts w:hint="eastAsia" w:ascii="宋体" w:hAnsi="宋体" w:cs="宋体"/>
          <w:szCs w:val="36"/>
        </w:rPr>
        <w:t>第四章  投标人和投标产品的资格、资质性及其他类似效力要求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_Toc13820 </w:instrText>
      </w:r>
      <w:r>
        <w:rPr>
          <w:rFonts w:hint="eastAsia" w:ascii="宋体" w:hAnsi="宋体" w:cs="宋体"/>
        </w:rPr>
        <w:fldChar w:fldCharType="separate"/>
      </w:r>
      <w:r>
        <w:rPr>
          <w:rFonts w:hint="eastAsia" w:ascii="宋体" w:hAnsi="宋体" w:cs="宋体"/>
        </w:rPr>
        <w:t>49</w:t>
      </w:r>
      <w:r>
        <w:rPr>
          <w:rFonts w:hint="eastAsia" w:ascii="宋体" w:hAnsi="宋体" w:cs="宋体"/>
        </w:rPr>
        <w:fldChar w:fldCharType="end"/>
      </w:r>
      <w:r>
        <w:rPr>
          <w:rFonts w:hint="eastAsia" w:ascii="宋体" w:hAnsi="宋体" w:cs="宋体"/>
        </w:rPr>
        <w:fldChar w:fldCharType="end"/>
      </w:r>
    </w:p>
    <w:p>
      <w:pPr>
        <w:pStyle w:val="20"/>
        <w:tabs>
          <w:tab w:val="right" w:leader="dot" w:pos="8959"/>
        </w:tabs>
        <w:spacing w:line="480" w:lineRule="auto"/>
        <w:rPr>
          <w:rFonts w:ascii="宋体" w:hAnsi="宋体" w:cs="宋体"/>
        </w:rPr>
      </w:pPr>
      <w:r>
        <w:fldChar w:fldCharType="begin"/>
      </w:r>
      <w:r>
        <w:instrText xml:space="preserve"> HYPERLINK \l "_Toc24123" </w:instrText>
      </w:r>
      <w:r>
        <w:fldChar w:fldCharType="separate"/>
      </w:r>
      <w:r>
        <w:rPr>
          <w:rFonts w:hint="eastAsia" w:ascii="宋体" w:hAnsi="宋体" w:cs="宋体"/>
          <w:szCs w:val="36"/>
        </w:rPr>
        <w:t>第五章  投标人应当提供的资格、资质性及其他类似效力要求的相关证明材料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_Toc24123 </w:instrText>
      </w:r>
      <w:r>
        <w:rPr>
          <w:rFonts w:hint="eastAsia" w:ascii="宋体" w:hAnsi="宋体" w:cs="宋体"/>
        </w:rPr>
        <w:fldChar w:fldCharType="separate"/>
      </w:r>
      <w:r>
        <w:rPr>
          <w:rFonts w:hint="eastAsia" w:ascii="宋体" w:hAnsi="宋体" w:cs="宋体"/>
        </w:rPr>
        <w:t>51</w:t>
      </w:r>
      <w:r>
        <w:rPr>
          <w:rFonts w:hint="eastAsia" w:ascii="宋体" w:hAnsi="宋体" w:cs="宋体"/>
        </w:rPr>
        <w:fldChar w:fldCharType="end"/>
      </w:r>
      <w:r>
        <w:rPr>
          <w:rFonts w:hint="eastAsia" w:ascii="宋体" w:hAnsi="宋体" w:cs="宋体"/>
        </w:rPr>
        <w:fldChar w:fldCharType="end"/>
      </w:r>
    </w:p>
    <w:p>
      <w:pPr>
        <w:pStyle w:val="20"/>
        <w:tabs>
          <w:tab w:val="right" w:leader="dot" w:pos="8959"/>
        </w:tabs>
        <w:spacing w:line="480" w:lineRule="auto"/>
        <w:rPr>
          <w:rFonts w:ascii="宋体" w:hAnsi="宋体" w:cs="宋体"/>
        </w:rPr>
      </w:pPr>
      <w:r>
        <w:fldChar w:fldCharType="begin"/>
      </w:r>
      <w:r>
        <w:instrText xml:space="preserve"> HYPERLINK \l "_Toc3166" </w:instrText>
      </w:r>
      <w:r>
        <w:fldChar w:fldCharType="separate"/>
      </w:r>
      <w:r>
        <w:rPr>
          <w:rFonts w:hint="eastAsia" w:ascii="宋体" w:hAnsi="宋体" w:cs="宋体"/>
          <w:szCs w:val="36"/>
        </w:rPr>
        <w:t>第六章  招标项目技术、服务、政府采购合同内容条款及其他商务要求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_Toc3166 </w:instrText>
      </w:r>
      <w:r>
        <w:rPr>
          <w:rFonts w:hint="eastAsia" w:ascii="宋体" w:hAnsi="宋体" w:cs="宋体"/>
        </w:rPr>
        <w:fldChar w:fldCharType="separate"/>
      </w:r>
      <w:r>
        <w:rPr>
          <w:rFonts w:hint="eastAsia" w:ascii="宋体" w:hAnsi="宋体" w:cs="宋体"/>
        </w:rPr>
        <w:t>54</w:t>
      </w:r>
      <w:r>
        <w:rPr>
          <w:rFonts w:hint="eastAsia" w:ascii="宋体" w:hAnsi="宋体" w:cs="宋体"/>
        </w:rPr>
        <w:fldChar w:fldCharType="end"/>
      </w:r>
      <w:r>
        <w:rPr>
          <w:rFonts w:hint="eastAsia" w:ascii="宋体" w:hAnsi="宋体" w:cs="宋体"/>
        </w:rPr>
        <w:fldChar w:fldCharType="end"/>
      </w:r>
    </w:p>
    <w:p>
      <w:pPr>
        <w:pStyle w:val="20"/>
        <w:tabs>
          <w:tab w:val="right" w:leader="dot" w:pos="8959"/>
        </w:tabs>
        <w:spacing w:line="480" w:lineRule="auto"/>
        <w:rPr>
          <w:rFonts w:ascii="宋体" w:hAnsi="宋体" w:cs="宋体"/>
        </w:rPr>
      </w:pPr>
      <w:r>
        <w:fldChar w:fldCharType="begin"/>
      </w:r>
      <w:r>
        <w:instrText xml:space="preserve"> HYPERLINK \l "_Toc5441" </w:instrText>
      </w:r>
      <w:r>
        <w:fldChar w:fldCharType="separate"/>
      </w:r>
      <w:r>
        <w:rPr>
          <w:rFonts w:hint="eastAsia" w:ascii="宋体" w:hAnsi="宋体" w:cs="宋体"/>
          <w:szCs w:val="36"/>
        </w:rPr>
        <w:t>第七章  评标办法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_Toc5441 </w:instrText>
      </w:r>
      <w:r>
        <w:rPr>
          <w:rFonts w:hint="eastAsia" w:ascii="宋体" w:hAnsi="宋体" w:cs="宋体"/>
        </w:rPr>
        <w:fldChar w:fldCharType="separate"/>
      </w:r>
      <w:r>
        <w:rPr>
          <w:rFonts w:hint="eastAsia" w:ascii="宋体" w:hAnsi="宋体" w:cs="宋体"/>
        </w:rPr>
        <w:t>59</w:t>
      </w:r>
      <w:r>
        <w:rPr>
          <w:rFonts w:hint="eastAsia" w:ascii="宋体" w:hAnsi="宋体" w:cs="宋体"/>
        </w:rPr>
        <w:fldChar w:fldCharType="end"/>
      </w:r>
      <w:r>
        <w:rPr>
          <w:rFonts w:hint="eastAsia" w:ascii="宋体" w:hAnsi="宋体" w:cs="宋体"/>
        </w:rPr>
        <w:fldChar w:fldCharType="end"/>
      </w:r>
    </w:p>
    <w:p>
      <w:pPr>
        <w:pStyle w:val="20"/>
        <w:tabs>
          <w:tab w:val="right" w:leader="dot" w:pos="8959"/>
        </w:tabs>
        <w:spacing w:line="480" w:lineRule="auto"/>
        <w:rPr>
          <w:rFonts w:ascii="宋体" w:hAnsi="宋体" w:cs="宋体"/>
        </w:rPr>
      </w:pPr>
      <w:r>
        <w:fldChar w:fldCharType="begin"/>
      </w:r>
      <w:r>
        <w:instrText xml:space="preserve"> HYPERLINK \l "_Toc26850" </w:instrText>
      </w:r>
      <w:r>
        <w:fldChar w:fldCharType="separate"/>
      </w:r>
      <w:r>
        <w:rPr>
          <w:rFonts w:hint="eastAsia" w:ascii="宋体" w:hAnsi="宋体" w:cs="宋体"/>
          <w:szCs w:val="36"/>
        </w:rPr>
        <w:t>第八章  政府采购合同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_Toc26850 </w:instrText>
      </w:r>
      <w:r>
        <w:rPr>
          <w:rFonts w:hint="eastAsia" w:ascii="宋体" w:hAnsi="宋体" w:cs="宋体"/>
        </w:rPr>
        <w:fldChar w:fldCharType="separate"/>
      </w:r>
      <w:r>
        <w:rPr>
          <w:rFonts w:hint="eastAsia" w:ascii="宋体" w:hAnsi="宋体" w:cs="宋体"/>
        </w:rPr>
        <w:t>69</w:t>
      </w:r>
      <w:r>
        <w:rPr>
          <w:rFonts w:hint="eastAsia" w:ascii="宋体" w:hAnsi="宋体" w:cs="宋体"/>
        </w:rPr>
        <w:fldChar w:fldCharType="end"/>
      </w:r>
      <w:r>
        <w:rPr>
          <w:rFonts w:hint="eastAsia" w:ascii="宋体" w:hAnsi="宋体" w:cs="宋体"/>
        </w:rPr>
        <w:fldChar w:fldCharType="end"/>
      </w:r>
    </w:p>
    <w:p>
      <w:pPr>
        <w:spacing w:line="360" w:lineRule="auto"/>
        <w:rPr>
          <w:rFonts w:ascii="宋体" w:hAnsi="宋体" w:cs="宋体"/>
        </w:rPr>
      </w:pPr>
      <w:r>
        <w:rPr>
          <w:rFonts w:hint="eastAsia" w:ascii="宋体" w:hAnsi="宋体" w:cs="宋体"/>
        </w:rPr>
        <w:fldChar w:fldCharType="end"/>
      </w:r>
    </w:p>
    <w:p>
      <w:pPr>
        <w:rPr>
          <w:rFonts w:ascii="宋体" w:hAnsi="宋体" w:cs="宋体"/>
          <w:sz w:val="36"/>
          <w:szCs w:val="36"/>
        </w:rPr>
      </w:pPr>
      <w:bookmarkStart w:id="2" w:name="_Toc2917"/>
      <w:bookmarkStart w:id="3" w:name="_Toc24584"/>
      <w:r>
        <w:rPr>
          <w:rFonts w:hint="eastAsia" w:ascii="宋体" w:hAnsi="宋体" w:cs="宋体"/>
          <w:sz w:val="36"/>
          <w:szCs w:val="36"/>
        </w:rPr>
        <w:br w:type="page"/>
      </w:r>
    </w:p>
    <w:p>
      <w:pPr>
        <w:pStyle w:val="3"/>
        <w:spacing w:before="120" w:after="120" w:line="360" w:lineRule="auto"/>
        <w:jc w:val="center"/>
        <w:rPr>
          <w:rFonts w:ascii="宋体" w:hAnsi="宋体" w:cs="宋体"/>
          <w:sz w:val="36"/>
          <w:szCs w:val="36"/>
        </w:rPr>
      </w:pPr>
      <w:r>
        <w:rPr>
          <w:rFonts w:hint="eastAsia" w:ascii="宋体" w:hAnsi="宋体" w:cs="宋体"/>
          <w:sz w:val="36"/>
          <w:szCs w:val="36"/>
        </w:rPr>
        <w:t>第一章  投标邀请</w:t>
      </w:r>
      <w:bookmarkEnd w:id="2"/>
      <w:bookmarkEnd w:id="3"/>
    </w:p>
    <w:p>
      <w:pPr>
        <w:spacing w:line="360" w:lineRule="auto"/>
        <w:ind w:firstLine="560" w:firstLineChars="200"/>
        <w:jc w:val="left"/>
        <w:rPr>
          <w:rFonts w:ascii="宋体" w:hAnsi="宋体" w:cs="宋体"/>
          <w:sz w:val="28"/>
          <w:szCs w:val="28"/>
        </w:rPr>
      </w:pPr>
      <w:r>
        <w:rPr>
          <w:rFonts w:hint="eastAsia" w:ascii="宋体" w:hAnsi="宋体" w:cs="宋体"/>
          <w:bCs/>
          <w:sz w:val="28"/>
          <w:szCs w:val="28"/>
          <w:u w:val="single"/>
        </w:rPr>
        <w:t xml:space="preserve">成都优引力项目管理有限公司 </w:t>
      </w:r>
      <w:r>
        <w:rPr>
          <w:rFonts w:hint="eastAsia" w:ascii="宋体" w:hAnsi="宋体" w:cs="宋体"/>
          <w:sz w:val="28"/>
          <w:szCs w:val="28"/>
        </w:rPr>
        <w:t>受</w:t>
      </w:r>
      <w:r>
        <w:rPr>
          <w:rFonts w:hint="eastAsia" w:ascii="宋体" w:hAnsi="宋体" w:cs="宋体"/>
          <w:sz w:val="28"/>
          <w:szCs w:val="28"/>
          <w:u w:val="single"/>
        </w:rPr>
        <w:t xml:space="preserve"> </w:t>
      </w:r>
      <w:r>
        <w:rPr>
          <w:rFonts w:hint="eastAsia" w:ascii="宋体" w:hAnsi="宋体" w:cs="宋体"/>
          <w:bCs/>
          <w:sz w:val="28"/>
          <w:szCs w:val="28"/>
          <w:u w:val="single"/>
        </w:rPr>
        <w:t xml:space="preserve">简阳市行政审批局 </w:t>
      </w:r>
      <w:r>
        <w:rPr>
          <w:rFonts w:hint="eastAsia" w:ascii="宋体" w:hAnsi="宋体" w:cs="宋体"/>
          <w:sz w:val="28"/>
          <w:szCs w:val="28"/>
        </w:rPr>
        <w:t>委托，拟对</w:t>
      </w:r>
      <w:r>
        <w:rPr>
          <w:rFonts w:hint="eastAsia" w:ascii="宋体" w:hAnsi="宋体" w:cs="宋体"/>
          <w:bCs/>
          <w:sz w:val="28"/>
          <w:szCs w:val="28"/>
          <w:u w:val="single"/>
        </w:rPr>
        <w:t xml:space="preserve"> 简阳市行政审批局中小微经济体财税数字综合服务平台项目采购 </w:t>
      </w:r>
      <w:r>
        <w:rPr>
          <w:rFonts w:hint="eastAsia" w:ascii="宋体" w:hAnsi="宋体" w:cs="宋体"/>
          <w:sz w:val="28"/>
          <w:szCs w:val="28"/>
        </w:rPr>
        <w:t>进行国内</w:t>
      </w:r>
      <w:r>
        <w:rPr>
          <w:rFonts w:hint="eastAsia" w:ascii="宋体" w:hAnsi="宋体" w:cs="宋体"/>
          <w:b/>
          <w:sz w:val="28"/>
          <w:szCs w:val="28"/>
        </w:rPr>
        <w:t>公开招标</w:t>
      </w:r>
      <w:r>
        <w:rPr>
          <w:rFonts w:hint="eastAsia" w:ascii="宋体" w:hAnsi="宋体" w:cs="宋体"/>
          <w:sz w:val="28"/>
          <w:szCs w:val="28"/>
        </w:rPr>
        <w:t>，兹邀请符合本次招标要求的供应商参加投标。</w:t>
      </w:r>
    </w:p>
    <w:p>
      <w:pPr>
        <w:spacing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一、招标编号：</w:t>
      </w:r>
      <w:r>
        <w:rPr>
          <w:rFonts w:hint="eastAsia" w:ascii="宋体" w:hAnsi="宋体" w:cs="宋体"/>
          <w:b/>
          <w:sz w:val="28"/>
          <w:szCs w:val="28"/>
          <w:highlight w:val="none"/>
          <w:lang w:eastAsia="zh-CN"/>
        </w:rPr>
        <w:t>简阳市政采（2021）B0195号</w:t>
      </w:r>
      <w:r>
        <w:rPr>
          <w:rFonts w:hint="eastAsia" w:ascii="宋体" w:hAnsi="宋体" w:cs="宋体"/>
          <w:b/>
          <w:sz w:val="28"/>
          <w:szCs w:val="28"/>
          <w:highlight w:val="none"/>
        </w:rPr>
        <w:t>。</w:t>
      </w:r>
    </w:p>
    <w:p>
      <w:pPr>
        <w:spacing w:line="360" w:lineRule="auto"/>
        <w:ind w:firstLine="562" w:firstLineChars="200"/>
        <w:rPr>
          <w:rFonts w:hint="eastAsia" w:ascii="宋体" w:hAnsi="宋体" w:eastAsia="宋体" w:cs="宋体"/>
          <w:b/>
          <w:sz w:val="28"/>
          <w:szCs w:val="28"/>
          <w:lang w:val="en-US" w:eastAsia="zh-CN"/>
        </w:rPr>
      </w:pPr>
      <w:r>
        <w:rPr>
          <w:rFonts w:hint="eastAsia" w:ascii="宋体" w:hAnsi="宋体" w:cs="宋体"/>
          <w:b/>
          <w:bCs/>
          <w:sz w:val="28"/>
          <w:szCs w:val="28"/>
        </w:rPr>
        <w:t>二、</w:t>
      </w:r>
      <w:r>
        <w:rPr>
          <w:rFonts w:hint="eastAsia" w:ascii="宋体" w:hAnsi="宋体" w:cs="宋体"/>
          <w:b/>
          <w:sz w:val="28"/>
          <w:szCs w:val="28"/>
        </w:rPr>
        <w:t>招标项目：简阳市行政审批局中小微经济体财税数字综合服务平台项目采购</w:t>
      </w:r>
      <w:r>
        <w:rPr>
          <w:rFonts w:hint="eastAsia" w:ascii="宋体" w:hAnsi="宋体" w:cs="宋体"/>
          <w:b/>
          <w:sz w:val="28"/>
          <w:szCs w:val="28"/>
          <w:lang w:eastAsia="zh-CN"/>
        </w:rPr>
        <w:t>。</w:t>
      </w:r>
    </w:p>
    <w:p>
      <w:pPr>
        <w:spacing w:line="360" w:lineRule="auto"/>
        <w:ind w:firstLine="562" w:firstLineChars="200"/>
        <w:rPr>
          <w:rFonts w:ascii="宋体" w:hAnsi="宋体" w:cs="宋体"/>
          <w:b/>
          <w:bCs/>
          <w:sz w:val="28"/>
          <w:szCs w:val="28"/>
        </w:rPr>
      </w:pPr>
      <w:r>
        <w:rPr>
          <w:rFonts w:hint="eastAsia" w:ascii="宋体" w:hAnsi="宋体" w:cs="宋体"/>
          <w:b/>
          <w:sz w:val="28"/>
          <w:szCs w:val="28"/>
        </w:rPr>
        <w:t>三、资金来源：</w:t>
      </w:r>
      <w:r>
        <w:rPr>
          <w:rFonts w:hint="eastAsia" w:ascii="宋体" w:hAnsi="宋体" w:cs="宋体"/>
          <w:b/>
          <w:bCs/>
          <w:sz w:val="28"/>
          <w:szCs w:val="28"/>
        </w:rPr>
        <w:t>财政资金，</w:t>
      </w:r>
      <w:r>
        <w:rPr>
          <w:rFonts w:hint="eastAsia" w:ascii="宋体" w:hAnsi="宋体" w:cs="宋体"/>
          <w:b/>
          <w:bCs/>
          <w:sz w:val="28"/>
          <w:szCs w:val="28"/>
          <w:u w:val="single"/>
        </w:rPr>
        <w:t xml:space="preserve"> 1050 </w:t>
      </w:r>
      <w:r>
        <w:rPr>
          <w:rFonts w:hint="eastAsia" w:ascii="宋体" w:hAnsi="宋体" w:cs="宋体"/>
          <w:b/>
          <w:bCs/>
          <w:sz w:val="28"/>
          <w:szCs w:val="28"/>
        </w:rPr>
        <w:t>万元，已落实。</w:t>
      </w:r>
    </w:p>
    <w:p>
      <w:pPr>
        <w:spacing w:line="360" w:lineRule="auto"/>
        <w:ind w:firstLine="562" w:firstLineChars="200"/>
        <w:rPr>
          <w:rFonts w:ascii="宋体" w:hAnsi="宋体" w:cs="宋体"/>
          <w:sz w:val="28"/>
          <w:szCs w:val="28"/>
        </w:rPr>
      </w:pPr>
      <w:r>
        <w:rPr>
          <w:rFonts w:hint="eastAsia" w:ascii="宋体" w:hAnsi="宋体" w:cs="宋体"/>
          <w:b/>
          <w:sz w:val="28"/>
          <w:szCs w:val="28"/>
        </w:rPr>
        <w:t>四</w:t>
      </w:r>
      <w:r>
        <w:rPr>
          <w:rFonts w:hint="eastAsia" w:ascii="宋体" w:hAnsi="宋体" w:cs="宋体"/>
          <w:b/>
          <w:bCs/>
          <w:sz w:val="28"/>
          <w:szCs w:val="28"/>
        </w:rPr>
        <w:t>、</w:t>
      </w:r>
      <w:r>
        <w:rPr>
          <w:rFonts w:hint="eastAsia" w:ascii="宋体" w:hAnsi="宋体" w:cs="宋体"/>
          <w:b/>
          <w:sz w:val="28"/>
          <w:szCs w:val="28"/>
        </w:rPr>
        <w:t>招标项目简介：</w:t>
      </w:r>
    </w:p>
    <w:p>
      <w:pPr>
        <w:spacing w:line="360" w:lineRule="auto"/>
        <w:ind w:firstLine="560" w:firstLineChars="200"/>
        <w:rPr>
          <w:rFonts w:ascii="宋体" w:hAnsi="宋体" w:cs="宋体"/>
          <w:sz w:val="28"/>
          <w:szCs w:val="28"/>
        </w:rPr>
      </w:pPr>
      <w:r>
        <w:rPr>
          <w:rFonts w:hint="eastAsia" w:ascii="宋体" w:hAnsi="宋体" w:cs="宋体"/>
          <w:sz w:val="28"/>
          <w:szCs w:val="28"/>
        </w:rPr>
        <w:t>本项目</w:t>
      </w:r>
      <w:r>
        <w:rPr>
          <w:rFonts w:hint="eastAsia" w:ascii="宋体" w:hAnsi="宋体" w:cs="宋体"/>
          <w:sz w:val="28"/>
          <w:szCs w:val="28"/>
          <w:lang w:eastAsia="zh-CN"/>
        </w:rPr>
        <w:t>要</w:t>
      </w:r>
      <w:r>
        <w:rPr>
          <w:rFonts w:hint="eastAsia" w:ascii="宋体" w:hAnsi="宋体" w:cs="宋体"/>
          <w:sz w:val="28"/>
          <w:szCs w:val="28"/>
        </w:rPr>
        <w:t>求专业服务商建立中小微经济体财税数字综合服务平台，以实现政务部门与中小微企业的即时有效互动沟通。详</w:t>
      </w:r>
      <w:r>
        <w:rPr>
          <w:rFonts w:hint="eastAsia" w:ascii="宋体" w:hAnsi="宋体" w:cs="宋体"/>
          <w:spacing w:val="-4"/>
          <w:sz w:val="28"/>
          <w:szCs w:val="28"/>
        </w:rPr>
        <w:t>见第六章</w:t>
      </w:r>
      <w:r>
        <w:rPr>
          <w:rFonts w:hint="eastAsia" w:ascii="宋体" w:hAnsi="宋体" w:cs="宋体"/>
          <w:sz w:val="28"/>
          <w:szCs w:val="28"/>
        </w:rPr>
        <w:t>。</w:t>
      </w:r>
    </w:p>
    <w:p>
      <w:pPr>
        <w:spacing w:line="360" w:lineRule="auto"/>
        <w:ind w:firstLine="544" w:firstLineChars="200"/>
        <w:rPr>
          <w:rFonts w:ascii="宋体" w:hAnsi="宋体" w:cs="宋体"/>
          <w:spacing w:val="-4"/>
          <w:sz w:val="28"/>
          <w:szCs w:val="28"/>
        </w:rPr>
      </w:pPr>
      <w:r>
        <w:rPr>
          <w:rFonts w:hint="eastAsia" w:ascii="宋体" w:hAnsi="宋体" w:cs="宋体"/>
          <w:spacing w:val="-4"/>
          <w:sz w:val="28"/>
          <w:szCs w:val="28"/>
        </w:rPr>
        <w:t xml:space="preserve">标段划分：本项目共1个包。 </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五、供应商参加本次政府采购活动，应当在提交投标文件前具备下列条件：</w:t>
      </w:r>
    </w:p>
    <w:p>
      <w:pPr>
        <w:tabs>
          <w:tab w:val="left" w:pos="7665"/>
        </w:tabs>
        <w:spacing w:line="360" w:lineRule="auto"/>
        <w:rPr>
          <w:rFonts w:ascii="宋体" w:hAnsi="宋体" w:cs="宋体"/>
          <w:sz w:val="28"/>
          <w:szCs w:val="28"/>
        </w:rPr>
      </w:pPr>
      <w:r>
        <w:rPr>
          <w:rFonts w:hint="eastAsia" w:ascii="宋体" w:hAnsi="宋体" w:cs="宋体"/>
          <w:sz w:val="28"/>
          <w:szCs w:val="28"/>
        </w:rPr>
        <w:t>（一）符合《中华人民共和国政府采购法》第二十二条规定：</w:t>
      </w:r>
    </w:p>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1、具有独立承担民事责任的能力。</w:t>
      </w:r>
    </w:p>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2、具有良好的商业信誉和健全的财务会计制度。</w:t>
      </w:r>
    </w:p>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3、具有履行合同所必须的设备和专业技术能力。</w:t>
      </w:r>
    </w:p>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4、具有依法缴纳税收和社会保障资金的良好记录。</w:t>
      </w:r>
    </w:p>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5、参加本次政府采购活动前三年内，在经营活动中没有重大违法记录。</w:t>
      </w:r>
    </w:p>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6、法律、行政法规规定的其他条件。</w:t>
      </w:r>
    </w:p>
    <w:p>
      <w:pPr>
        <w:tabs>
          <w:tab w:val="left" w:pos="7665"/>
        </w:tabs>
        <w:spacing w:line="360" w:lineRule="auto"/>
        <w:rPr>
          <w:rFonts w:ascii="宋体" w:hAnsi="宋体" w:cs="宋体"/>
          <w:sz w:val="28"/>
          <w:szCs w:val="28"/>
        </w:rPr>
      </w:pPr>
      <w:r>
        <w:rPr>
          <w:rFonts w:hint="eastAsia" w:ascii="宋体" w:hAnsi="宋体" w:cs="宋体"/>
          <w:sz w:val="28"/>
          <w:szCs w:val="28"/>
        </w:rPr>
        <w:t>（二）、根据项目特殊要求设置的特定条件：无。</w:t>
      </w:r>
    </w:p>
    <w:p>
      <w:pPr>
        <w:tabs>
          <w:tab w:val="left" w:pos="7665"/>
        </w:tabs>
        <w:spacing w:line="360" w:lineRule="auto"/>
        <w:rPr>
          <w:rFonts w:ascii="宋体" w:hAnsi="宋体" w:cs="宋体"/>
          <w:sz w:val="28"/>
          <w:szCs w:val="28"/>
        </w:rPr>
      </w:pPr>
      <w:r>
        <w:rPr>
          <w:rFonts w:hint="eastAsia" w:ascii="宋体" w:hAnsi="宋体" w:cs="宋体"/>
          <w:sz w:val="28"/>
          <w:szCs w:val="28"/>
        </w:rPr>
        <w:t>（三）其他类似效力要求：</w:t>
      </w:r>
    </w:p>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1、供应商承诺参加本项目政府采购活动，单位及其现任法定代表人、主要负责人不得具有行贿犯罪记录。</w:t>
      </w:r>
    </w:p>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2、</w:t>
      </w:r>
      <w:bookmarkStart w:id="4" w:name="PO_默认文件内容_4"/>
      <w:r>
        <w:rPr>
          <w:rFonts w:hint="eastAsia" w:ascii="宋体" w:hAnsi="宋体" w:cs="宋体"/>
          <w:sz w:val="28"/>
          <w:szCs w:val="28"/>
        </w:rPr>
        <w:t>根据《关于在政府采购活动中查询及使用信用记录有关问题的通知》（财库〔2016〕125号）的要求，采购人/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bookmarkEnd w:id="4"/>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3、向采购代理机构购买了招标文件。</w:t>
      </w:r>
    </w:p>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4、单位负责人为同一人或者存在直接控股、管理关系的不同供应商，不得参加同一合同项下的政府采购活动。</w:t>
      </w:r>
    </w:p>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为采购项目提供整体设计、规范编制或者项目管理、监理、检测等服务的供应商，不得再参加该采购项目的其他采购活动。</w:t>
      </w:r>
    </w:p>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5、本项目不接受属于《四川省公共资源交易领域严重失信联合惩戒实施办法》（川发改信用规〔2019〕405号）、《关于对政府采购领域严重违法失信主体开展联合惩戒的合作备忘录》（发改财金〔2018〕1614号）等相关规定禁止参加政府采购活动的所有情形。</w:t>
      </w:r>
    </w:p>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6、本项目不接受联合体投标。</w:t>
      </w:r>
    </w:p>
    <w:p>
      <w:pPr>
        <w:tabs>
          <w:tab w:val="left" w:pos="7665"/>
        </w:tabs>
        <w:spacing w:line="360" w:lineRule="auto"/>
        <w:ind w:firstLine="560" w:firstLineChars="200"/>
        <w:rPr>
          <w:rFonts w:ascii="宋体" w:hAnsi="宋体" w:cs="宋体"/>
          <w:sz w:val="28"/>
          <w:szCs w:val="28"/>
        </w:rPr>
      </w:pPr>
      <w:r>
        <w:rPr>
          <w:rFonts w:hint="eastAsia" w:ascii="宋体" w:hAnsi="宋体" w:cs="宋体"/>
          <w:sz w:val="28"/>
          <w:szCs w:val="28"/>
        </w:rPr>
        <w:t>7、本项目专门面向中小企业采购(监狱企业、残疾人福利性单位均视同小微企业)，非中小企业参与的将视为无效投标。</w:t>
      </w:r>
    </w:p>
    <w:p>
      <w:pPr>
        <w:spacing w:line="360" w:lineRule="auto"/>
        <w:ind w:firstLine="562" w:firstLineChars="200"/>
        <w:rPr>
          <w:rFonts w:ascii="宋体" w:hAnsi="宋体" w:cs="宋体"/>
          <w:b/>
          <w:sz w:val="28"/>
          <w:szCs w:val="28"/>
        </w:rPr>
      </w:pPr>
      <w:r>
        <w:rPr>
          <w:rFonts w:hint="eastAsia" w:ascii="宋体" w:hAnsi="宋体" w:cs="宋体"/>
          <w:b/>
          <w:sz w:val="28"/>
          <w:szCs w:val="28"/>
        </w:rPr>
        <w:t>六、招标文件获取方式、时间、地点：</w:t>
      </w:r>
    </w:p>
    <w:p>
      <w:pPr>
        <w:spacing w:line="360" w:lineRule="auto"/>
        <w:ind w:firstLine="560" w:firstLineChars="200"/>
        <w:rPr>
          <w:rFonts w:ascii="宋体" w:hAnsi="宋体" w:cs="宋体"/>
          <w:bCs/>
          <w:sz w:val="28"/>
          <w:szCs w:val="32"/>
          <w:highlight w:val="none"/>
        </w:rPr>
      </w:pPr>
      <w:r>
        <w:rPr>
          <w:rFonts w:hint="eastAsia" w:ascii="宋体" w:hAnsi="宋体" w:cs="宋体"/>
          <w:bCs/>
          <w:sz w:val="28"/>
          <w:szCs w:val="32"/>
          <w:highlight w:val="none"/>
        </w:rPr>
        <w:t>招标文件获取时间：2021年1</w:t>
      </w:r>
      <w:r>
        <w:rPr>
          <w:rFonts w:hint="eastAsia" w:ascii="宋体" w:hAnsi="宋体" w:cs="宋体"/>
          <w:bCs/>
          <w:sz w:val="28"/>
          <w:szCs w:val="32"/>
          <w:highlight w:val="none"/>
          <w:lang w:val="en-US" w:eastAsia="zh-CN"/>
        </w:rPr>
        <w:t>1</w:t>
      </w:r>
      <w:r>
        <w:rPr>
          <w:rFonts w:hint="eastAsia" w:ascii="宋体" w:hAnsi="宋体" w:cs="宋体"/>
          <w:bCs/>
          <w:sz w:val="28"/>
          <w:szCs w:val="32"/>
          <w:highlight w:val="none"/>
        </w:rPr>
        <w:t>月</w:t>
      </w:r>
      <w:r>
        <w:rPr>
          <w:rFonts w:hint="eastAsia" w:ascii="宋体" w:hAnsi="宋体" w:cs="宋体"/>
          <w:bCs/>
          <w:sz w:val="28"/>
          <w:szCs w:val="32"/>
          <w:highlight w:val="none"/>
          <w:lang w:val="en-US" w:eastAsia="zh-CN"/>
        </w:rPr>
        <w:t>5</w:t>
      </w:r>
      <w:r>
        <w:rPr>
          <w:rFonts w:hint="eastAsia" w:ascii="宋体" w:hAnsi="宋体" w:cs="宋体"/>
          <w:bCs/>
          <w:sz w:val="28"/>
          <w:szCs w:val="32"/>
          <w:highlight w:val="none"/>
        </w:rPr>
        <w:t>日9:00至2021年1</w:t>
      </w:r>
      <w:r>
        <w:rPr>
          <w:rFonts w:hint="eastAsia" w:ascii="宋体" w:hAnsi="宋体" w:cs="宋体"/>
          <w:bCs/>
          <w:sz w:val="28"/>
          <w:szCs w:val="32"/>
          <w:highlight w:val="none"/>
          <w:lang w:val="en-US" w:eastAsia="zh-CN"/>
        </w:rPr>
        <w:t>1</w:t>
      </w:r>
      <w:r>
        <w:rPr>
          <w:rFonts w:hint="eastAsia" w:ascii="宋体" w:hAnsi="宋体" w:cs="宋体"/>
          <w:bCs/>
          <w:sz w:val="28"/>
          <w:szCs w:val="32"/>
          <w:highlight w:val="none"/>
        </w:rPr>
        <w:t>月</w:t>
      </w:r>
      <w:r>
        <w:rPr>
          <w:rFonts w:hint="eastAsia" w:ascii="宋体" w:hAnsi="宋体" w:cs="宋体"/>
          <w:bCs/>
          <w:sz w:val="28"/>
          <w:szCs w:val="32"/>
          <w:highlight w:val="none"/>
          <w:lang w:val="en-US" w:eastAsia="zh-CN"/>
        </w:rPr>
        <w:t>11</w:t>
      </w:r>
      <w:r>
        <w:rPr>
          <w:rFonts w:hint="eastAsia" w:ascii="宋体" w:hAnsi="宋体" w:cs="宋体"/>
          <w:bCs/>
          <w:sz w:val="28"/>
          <w:szCs w:val="32"/>
          <w:highlight w:val="none"/>
        </w:rPr>
        <w:t>日17：00（北京时间）</w:t>
      </w:r>
    </w:p>
    <w:p>
      <w:pPr>
        <w:spacing w:line="360" w:lineRule="auto"/>
        <w:ind w:firstLine="560" w:firstLineChars="200"/>
        <w:rPr>
          <w:rFonts w:ascii="宋体" w:hAnsi="宋体" w:cs="宋体"/>
          <w:bCs/>
          <w:sz w:val="28"/>
          <w:szCs w:val="32"/>
        </w:rPr>
      </w:pPr>
      <w:r>
        <w:rPr>
          <w:rFonts w:hint="eastAsia" w:ascii="宋体" w:hAnsi="宋体" w:cs="宋体"/>
          <w:bCs/>
          <w:sz w:val="28"/>
          <w:szCs w:val="32"/>
        </w:rPr>
        <w:t>招标文件获取方式：投标人从“政府采购云平台”获取采购文件（网址：</w:t>
      </w:r>
      <w:r>
        <w:fldChar w:fldCharType="begin"/>
      </w:r>
      <w:r>
        <w:instrText xml:space="preserve"> HYPERLINK "http://www.zcygov.cn/" \h </w:instrText>
      </w:r>
      <w:r>
        <w:fldChar w:fldCharType="separate"/>
      </w:r>
      <w:r>
        <w:rPr>
          <w:rFonts w:hint="eastAsia" w:ascii="宋体" w:hAnsi="宋体" w:cs="宋体"/>
          <w:bCs/>
          <w:sz w:val="28"/>
          <w:szCs w:val="32"/>
        </w:rPr>
        <w:t>https://www.zcygov.cn</w:t>
      </w:r>
      <w:r>
        <w:rPr>
          <w:rFonts w:hint="eastAsia" w:ascii="宋体" w:hAnsi="宋体" w:cs="宋体"/>
          <w:bCs/>
          <w:sz w:val="28"/>
          <w:szCs w:val="32"/>
        </w:rPr>
        <w:fldChar w:fldCharType="end"/>
      </w:r>
      <w:r>
        <w:rPr>
          <w:rFonts w:hint="eastAsia" w:ascii="宋体" w:hAnsi="宋体" w:cs="宋体"/>
          <w:bCs/>
          <w:sz w:val="28"/>
          <w:szCs w:val="32"/>
        </w:rPr>
        <w:t>）。登录政府采购云平台—项目采购—获取采购文件—申请获取采购文件。</w:t>
      </w:r>
    </w:p>
    <w:p>
      <w:pPr>
        <w:spacing w:line="360" w:lineRule="auto"/>
        <w:ind w:firstLine="560" w:firstLineChars="200"/>
        <w:rPr>
          <w:rFonts w:ascii="宋体" w:hAnsi="宋体" w:cs="宋体"/>
          <w:bCs/>
          <w:sz w:val="28"/>
          <w:szCs w:val="32"/>
        </w:rPr>
      </w:pPr>
      <w:r>
        <w:rPr>
          <w:rFonts w:hint="eastAsia" w:ascii="宋体" w:hAnsi="宋体" w:cs="宋体"/>
          <w:bCs/>
          <w:sz w:val="28"/>
          <w:szCs w:val="32"/>
        </w:rPr>
        <w:t>注：</w:t>
      </w:r>
    </w:p>
    <w:p>
      <w:pPr>
        <w:spacing w:line="360" w:lineRule="auto"/>
        <w:ind w:firstLine="560" w:firstLineChars="200"/>
        <w:rPr>
          <w:rFonts w:ascii="宋体" w:hAnsi="宋体" w:cs="宋体"/>
          <w:bCs/>
          <w:sz w:val="28"/>
          <w:szCs w:val="32"/>
        </w:rPr>
      </w:pPr>
      <w:r>
        <w:rPr>
          <w:rFonts w:hint="eastAsia" w:ascii="宋体" w:hAnsi="宋体" w:cs="宋体"/>
          <w:bCs/>
          <w:sz w:val="28"/>
          <w:szCs w:val="32"/>
        </w:rPr>
        <w:t>（1）本项目招标文件免费获取。</w:t>
      </w:r>
    </w:p>
    <w:p>
      <w:pPr>
        <w:spacing w:line="360" w:lineRule="auto"/>
        <w:ind w:firstLine="560" w:firstLineChars="200"/>
        <w:rPr>
          <w:rFonts w:ascii="宋体" w:hAnsi="宋体" w:cs="宋体"/>
          <w:bCs/>
          <w:sz w:val="28"/>
          <w:szCs w:val="32"/>
        </w:rPr>
      </w:pPr>
      <w:r>
        <w:rPr>
          <w:rFonts w:hint="eastAsia" w:ascii="宋体" w:hAnsi="宋体" w:cs="宋体"/>
          <w:bCs/>
          <w:sz w:val="28"/>
          <w:szCs w:val="32"/>
        </w:rPr>
        <w:t>（2）投标人只有在“政府采购云平台”完成获取招标文件申请并下载招标文件后才视作依法参与本项目。如未在“政府采购云平台”内完成相关流程，引起的投标无效责任自负。</w:t>
      </w:r>
    </w:p>
    <w:p>
      <w:pPr>
        <w:spacing w:line="360" w:lineRule="auto"/>
        <w:ind w:firstLine="560" w:firstLineChars="200"/>
        <w:rPr>
          <w:rFonts w:ascii="宋体" w:hAnsi="宋体" w:cs="宋体"/>
          <w:bCs/>
          <w:sz w:val="28"/>
          <w:szCs w:val="32"/>
        </w:rPr>
      </w:pPr>
      <w:r>
        <w:rPr>
          <w:rFonts w:hint="eastAsia" w:ascii="宋体" w:hAnsi="宋体" w:cs="宋体"/>
          <w:bCs/>
          <w:sz w:val="28"/>
          <w:szCs w:val="32"/>
        </w:rPr>
        <w:t>（3）本项目为电子招标投标项目，投标人参与本项目全过程中凡涉及系统操作请详见《政府采购项目电子交易管理操作指南》。（操作指南以政府采购云平台网站发布）</w:t>
      </w:r>
    </w:p>
    <w:p>
      <w:pPr>
        <w:spacing w:line="360" w:lineRule="auto"/>
        <w:ind w:firstLine="562" w:firstLineChars="200"/>
        <w:rPr>
          <w:rFonts w:ascii="宋体" w:hAnsi="宋体" w:cs="宋体"/>
          <w:b/>
          <w:sz w:val="28"/>
          <w:szCs w:val="28"/>
          <w:highlight w:val="none"/>
        </w:rPr>
      </w:pPr>
      <w:r>
        <w:rPr>
          <w:rFonts w:hint="eastAsia" w:ascii="宋体" w:hAnsi="宋体" w:cs="宋体"/>
          <w:b/>
          <w:sz w:val="28"/>
          <w:szCs w:val="32"/>
          <w:highlight w:val="none"/>
        </w:rPr>
        <w:t>七、</w:t>
      </w:r>
      <w:r>
        <w:rPr>
          <w:rFonts w:hint="eastAsia" w:ascii="宋体" w:hAnsi="宋体" w:cs="宋体"/>
          <w:b/>
          <w:sz w:val="28"/>
          <w:szCs w:val="28"/>
          <w:highlight w:val="none"/>
        </w:rPr>
        <w:t>投标截止时间和开标时间：</w:t>
      </w:r>
      <w:r>
        <w:rPr>
          <w:rFonts w:hint="eastAsia" w:ascii="宋体" w:hAnsi="宋体" w:cs="宋体"/>
          <w:b/>
          <w:bCs/>
          <w:sz w:val="28"/>
          <w:szCs w:val="28"/>
          <w:highlight w:val="none"/>
          <w:u w:val="single"/>
        </w:rPr>
        <w:t>2021年11月</w:t>
      </w:r>
      <w:r>
        <w:rPr>
          <w:rFonts w:hint="eastAsia" w:ascii="宋体" w:hAnsi="宋体" w:cs="宋体"/>
          <w:b/>
          <w:bCs/>
          <w:sz w:val="28"/>
          <w:szCs w:val="28"/>
          <w:highlight w:val="none"/>
          <w:u w:val="single"/>
          <w:lang w:val="en-US" w:eastAsia="zh-CN"/>
        </w:rPr>
        <w:t>25</w:t>
      </w:r>
      <w:r>
        <w:rPr>
          <w:rFonts w:hint="eastAsia" w:ascii="宋体" w:hAnsi="宋体" w:cs="宋体"/>
          <w:b/>
          <w:bCs/>
          <w:sz w:val="28"/>
          <w:szCs w:val="28"/>
          <w:highlight w:val="none"/>
          <w:u w:val="single"/>
        </w:rPr>
        <w:t>日10:30</w:t>
      </w:r>
      <w:r>
        <w:rPr>
          <w:rFonts w:hint="eastAsia" w:ascii="宋体" w:hAnsi="宋体" w:cs="宋体"/>
          <w:sz w:val="28"/>
          <w:szCs w:val="32"/>
          <w:highlight w:val="none"/>
          <w:u w:val="single"/>
        </w:rPr>
        <w:t>（北京时间）</w:t>
      </w:r>
      <w:r>
        <w:rPr>
          <w:rFonts w:hint="eastAsia" w:ascii="宋体" w:hAnsi="宋体" w:cs="宋体"/>
          <w:sz w:val="28"/>
          <w:szCs w:val="32"/>
          <w:highlight w:val="none"/>
        </w:rPr>
        <w:t>。</w:t>
      </w:r>
    </w:p>
    <w:p>
      <w:pPr>
        <w:spacing w:line="360" w:lineRule="auto"/>
        <w:ind w:firstLine="560" w:firstLineChars="200"/>
        <w:rPr>
          <w:rFonts w:ascii="宋体" w:hAnsi="宋体" w:cs="宋体"/>
          <w:color w:val="000000"/>
          <w:sz w:val="28"/>
          <w:szCs w:val="32"/>
        </w:rPr>
      </w:pPr>
      <w:r>
        <w:rPr>
          <w:rFonts w:hint="eastAsia" w:ascii="宋体" w:hAnsi="宋体" w:cs="宋体"/>
          <w:color w:val="000000"/>
          <w:sz w:val="28"/>
          <w:szCs w:val="32"/>
        </w:rPr>
        <w:t>投标截止时间前，投标人应将加密的电子投标文件递交至“政府采购云平台”对应项目。</w:t>
      </w:r>
    </w:p>
    <w:p>
      <w:pPr>
        <w:numPr>
          <w:ilvl w:val="0"/>
          <w:numId w:val="1"/>
        </w:numPr>
        <w:spacing w:line="360" w:lineRule="auto"/>
        <w:ind w:firstLine="571" w:firstLineChars="203"/>
        <w:rPr>
          <w:rFonts w:ascii="宋体" w:hAnsi="宋体" w:cs="宋体"/>
          <w:b/>
          <w:bCs/>
          <w:sz w:val="28"/>
          <w:szCs w:val="32"/>
        </w:rPr>
      </w:pPr>
      <w:r>
        <w:rPr>
          <w:rFonts w:hint="eastAsia" w:ascii="宋体" w:hAnsi="宋体" w:cs="宋体"/>
          <w:b/>
          <w:bCs/>
          <w:color w:val="000000"/>
          <w:sz w:val="28"/>
          <w:szCs w:val="32"/>
        </w:rPr>
        <w:t>开标地点：</w:t>
      </w:r>
    </w:p>
    <w:p>
      <w:pPr>
        <w:spacing w:line="360" w:lineRule="auto"/>
        <w:ind w:firstLine="560" w:firstLineChars="200"/>
        <w:rPr>
          <w:rFonts w:ascii="宋体" w:hAnsi="宋体" w:cs="宋体"/>
          <w:color w:val="000000"/>
          <w:sz w:val="28"/>
          <w:szCs w:val="32"/>
        </w:rPr>
      </w:pPr>
      <w:r>
        <w:rPr>
          <w:rFonts w:hint="eastAsia" w:ascii="宋体" w:hAnsi="宋体" w:cs="宋体"/>
          <w:color w:val="000000"/>
          <w:sz w:val="28"/>
          <w:szCs w:val="32"/>
        </w:rPr>
        <w:t>1、本项目为不见面开标项目。</w:t>
      </w:r>
    </w:p>
    <w:p>
      <w:pPr>
        <w:spacing w:line="360" w:lineRule="auto"/>
        <w:ind w:firstLine="560" w:firstLineChars="200"/>
        <w:rPr>
          <w:rFonts w:ascii="宋体" w:hAnsi="宋体" w:cs="宋体"/>
          <w:color w:val="000000"/>
          <w:sz w:val="28"/>
          <w:szCs w:val="32"/>
        </w:rPr>
      </w:pPr>
      <w:r>
        <w:rPr>
          <w:rFonts w:hint="eastAsia" w:ascii="宋体" w:hAnsi="宋体" w:cs="宋体"/>
          <w:color w:val="000000"/>
          <w:sz w:val="28"/>
          <w:szCs w:val="32"/>
        </w:rPr>
        <w:t>2、开标地点：政府采购云平台(https://www.zcygov.cn)。</w:t>
      </w:r>
    </w:p>
    <w:p>
      <w:pPr>
        <w:spacing w:line="360" w:lineRule="auto"/>
        <w:ind w:firstLine="560" w:firstLineChars="200"/>
      </w:pPr>
      <w:r>
        <w:rPr>
          <w:rFonts w:hint="eastAsia" w:ascii="宋体" w:hAnsi="宋体" w:cs="宋体"/>
          <w:color w:val="000000"/>
          <w:sz w:val="28"/>
          <w:szCs w:val="32"/>
        </w:rPr>
        <w:t>3、本项目只接受投标人加密并递交至“政府采购云平台”的投标文件。</w:t>
      </w:r>
    </w:p>
    <w:p>
      <w:pPr>
        <w:pStyle w:val="48"/>
        <w:ind w:firstLine="562"/>
        <w:rPr>
          <w:rFonts w:ascii="宋体" w:hAnsi="宋体" w:cs="宋体"/>
          <w:bCs/>
          <w:sz w:val="28"/>
          <w:szCs w:val="28"/>
        </w:rPr>
      </w:pPr>
      <w:r>
        <w:rPr>
          <w:rFonts w:hint="eastAsia" w:ascii="宋体" w:hAnsi="宋体" w:cs="宋体"/>
          <w:b/>
          <w:sz w:val="28"/>
          <w:szCs w:val="28"/>
        </w:rPr>
        <w:t>九、</w:t>
      </w:r>
      <w:r>
        <w:rPr>
          <w:rFonts w:hint="eastAsia" w:ascii="宋体" w:hAnsi="宋体" w:cs="宋体"/>
          <w:bCs/>
          <w:sz w:val="28"/>
          <w:szCs w:val="28"/>
        </w:rPr>
        <w:t>本投标邀请在四川政府采购网上以公告形式发布。</w:t>
      </w:r>
    </w:p>
    <w:p>
      <w:pPr>
        <w:pStyle w:val="48"/>
        <w:ind w:firstLine="562"/>
        <w:rPr>
          <w:rFonts w:ascii="宋体" w:hAnsi="宋体" w:cs="宋体"/>
          <w:b/>
          <w:sz w:val="28"/>
          <w:szCs w:val="28"/>
        </w:rPr>
      </w:pPr>
      <w:r>
        <w:rPr>
          <w:rFonts w:hint="eastAsia" w:ascii="宋体" w:hAnsi="宋体" w:cs="宋体"/>
          <w:b/>
          <w:sz w:val="28"/>
          <w:szCs w:val="28"/>
        </w:rPr>
        <w:t>十、联系方式</w:t>
      </w:r>
    </w:p>
    <w:p>
      <w:pPr>
        <w:pStyle w:val="48"/>
        <w:ind w:firstLine="1124" w:firstLineChars="400"/>
        <w:rPr>
          <w:rFonts w:ascii="宋体" w:hAnsi="宋体" w:cs="宋体"/>
          <w:bCs/>
          <w:sz w:val="28"/>
          <w:szCs w:val="28"/>
        </w:rPr>
      </w:pPr>
      <w:r>
        <w:rPr>
          <w:rFonts w:hint="eastAsia" w:ascii="宋体" w:hAnsi="宋体" w:cs="宋体"/>
          <w:b/>
          <w:sz w:val="28"/>
          <w:szCs w:val="28"/>
        </w:rPr>
        <w:t>采购人：</w:t>
      </w:r>
      <w:r>
        <w:rPr>
          <w:rFonts w:hint="eastAsia" w:ascii="宋体" w:hAnsi="宋体" w:cs="宋体"/>
          <w:b/>
          <w:bCs/>
          <w:sz w:val="28"/>
          <w:szCs w:val="28"/>
        </w:rPr>
        <w:t>简阳市行政审批局</w:t>
      </w:r>
    </w:p>
    <w:p>
      <w:pPr>
        <w:pStyle w:val="48"/>
        <w:ind w:firstLine="1120" w:firstLineChars="400"/>
        <w:rPr>
          <w:rFonts w:ascii="宋体" w:hAnsi="宋体" w:cs="宋体"/>
          <w:sz w:val="28"/>
          <w:szCs w:val="28"/>
        </w:rPr>
      </w:pPr>
      <w:r>
        <w:rPr>
          <w:rFonts w:hint="eastAsia" w:ascii="宋体" w:hAnsi="宋体" w:cs="宋体"/>
          <w:sz w:val="28"/>
          <w:szCs w:val="28"/>
        </w:rPr>
        <w:t>地  址：简阳市射洪坝街道人民路10号</w:t>
      </w:r>
    </w:p>
    <w:p>
      <w:pPr>
        <w:pStyle w:val="48"/>
        <w:ind w:firstLine="1120" w:firstLineChars="400"/>
        <w:rPr>
          <w:rFonts w:ascii="宋体" w:hAnsi="宋体" w:cs="宋体"/>
          <w:kern w:val="0"/>
          <w:sz w:val="28"/>
          <w:szCs w:val="28"/>
        </w:rPr>
      </w:pPr>
      <w:r>
        <w:rPr>
          <w:rFonts w:hint="eastAsia" w:ascii="宋体" w:hAnsi="宋体" w:cs="宋体"/>
          <w:sz w:val="28"/>
          <w:szCs w:val="28"/>
        </w:rPr>
        <w:t>联系人：陈老师            联系电话：028-27029181</w:t>
      </w:r>
    </w:p>
    <w:p>
      <w:pPr>
        <w:pStyle w:val="48"/>
        <w:ind w:firstLine="1120" w:firstLineChars="400"/>
        <w:rPr>
          <w:rFonts w:ascii="宋体" w:hAnsi="宋体" w:cs="宋体"/>
          <w:kern w:val="0"/>
          <w:sz w:val="28"/>
          <w:szCs w:val="28"/>
        </w:rPr>
      </w:pPr>
    </w:p>
    <w:p>
      <w:pPr>
        <w:pStyle w:val="48"/>
        <w:ind w:firstLine="1124" w:firstLineChars="400"/>
        <w:rPr>
          <w:rFonts w:ascii="宋体" w:hAnsi="宋体" w:cs="宋体"/>
          <w:b/>
          <w:sz w:val="28"/>
          <w:szCs w:val="28"/>
        </w:rPr>
      </w:pPr>
      <w:r>
        <w:rPr>
          <w:rFonts w:hint="eastAsia" w:ascii="宋体" w:hAnsi="宋体" w:cs="宋体"/>
          <w:b/>
          <w:sz w:val="28"/>
          <w:szCs w:val="28"/>
        </w:rPr>
        <w:t>采购代理机构：</w:t>
      </w:r>
      <w:r>
        <w:rPr>
          <w:rFonts w:hint="eastAsia" w:ascii="宋体" w:hAnsi="宋体" w:cs="宋体"/>
          <w:b/>
          <w:bCs/>
          <w:sz w:val="28"/>
          <w:szCs w:val="28"/>
        </w:rPr>
        <w:t>成都优引力项目管理有限公司</w:t>
      </w:r>
    </w:p>
    <w:p>
      <w:pPr>
        <w:pStyle w:val="48"/>
        <w:ind w:firstLine="1120" w:firstLineChars="400"/>
        <w:rPr>
          <w:rFonts w:ascii="宋体" w:hAnsi="宋体" w:cs="宋体"/>
          <w:sz w:val="28"/>
          <w:szCs w:val="28"/>
        </w:rPr>
      </w:pPr>
      <w:r>
        <w:rPr>
          <w:rFonts w:hint="eastAsia" w:ascii="宋体" w:hAnsi="宋体" w:cs="宋体"/>
          <w:sz w:val="28"/>
          <w:szCs w:val="28"/>
        </w:rPr>
        <w:t>地  址：成都市武侯区武科西一路65号优博中心D栋403号</w:t>
      </w:r>
    </w:p>
    <w:p>
      <w:pPr>
        <w:pStyle w:val="48"/>
        <w:ind w:firstLine="1120" w:firstLineChars="400"/>
        <w:rPr>
          <w:rFonts w:ascii="宋体" w:hAnsi="宋体" w:cs="宋体"/>
          <w:sz w:val="28"/>
          <w:szCs w:val="28"/>
        </w:rPr>
      </w:pPr>
      <w:r>
        <w:rPr>
          <w:rFonts w:hint="eastAsia" w:ascii="宋体" w:hAnsi="宋体" w:cs="宋体"/>
          <w:sz w:val="28"/>
          <w:szCs w:val="28"/>
        </w:rPr>
        <w:t>邮  编：610000</w:t>
      </w:r>
    </w:p>
    <w:p>
      <w:pPr>
        <w:pStyle w:val="48"/>
        <w:ind w:firstLine="1120" w:firstLineChars="400"/>
        <w:rPr>
          <w:rFonts w:ascii="宋体" w:hAnsi="宋体" w:cs="宋体"/>
          <w:sz w:val="28"/>
          <w:szCs w:val="28"/>
        </w:rPr>
      </w:pPr>
      <w:r>
        <w:rPr>
          <w:rFonts w:hint="eastAsia" w:ascii="宋体" w:hAnsi="宋体" w:cs="宋体"/>
          <w:sz w:val="28"/>
          <w:szCs w:val="28"/>
        </w:rPr>
        <w:t>联系人：姚老师</w:t>
      </w:r>
    </w:p>
    <w:p>
      <w:pPr>
        <w:pStyle w:val="48"/>
        <w:ind w:firstLine="1120" w:firstLineChars="400"/>
        <w:rPr>
          <w:rFonts w:ascii="宋体" w:hAnsi="宋体" w:cs="宋体"/>
          <w:sz w:val="28"/>
          <w:szCs w:val="28"/>
        </w:rPr>
      </w:pPr>
      <w:r>
        <w:rPr>
          <w:rFonts w:hint="eastAsia" w:ascii="宋体" w:hAnsi="宋体" w:cs="宋体"/>
          <w:sz w:val="28"/>
          <w:szCs w:val="28"/>
        </w:rPr>
        <w:t>联系电话：028-61152662    邮箱：2281933071@qq.com</w:t>
      </w:r>
    </w:p>
    <w:p>
      <w:pPr>
        <w:pStyle w:val="48"/>
        <w:ind w:firstLine="1120" w:firstLineChars="400"/>
        <w:rPr>
          <w:rFonts w:ascii="宋体" w:hAnsi="宋体" w:cs="宋体"/>
          <w:sz w:val="28"/>
          <w:szCs w:val="28"/>
        </w:rPr>
      </w:pPr>
      <w:r>
        <w:rPr>
          <w:rFonts w:hint="eastAsia" w:ascii="宋体" w:hAnsi="宋体" w:cs="宋体"/>
          <w:sz w:val="28"/>
          <w:szCs w:val="28"/>
        </w:rPr>
        <w:t>传  真：028-61152662</w:t>
      </w:r>
    </w:p>
    <w:p>
      <w:pPr>
        <w:pStyle w:val="48"/>
        <w:spacing w:line="420" w:lineRule="exact"/>
        <w:ind w:firstLine="1260" w:firstLineChars="525"/>
        <w:rPr>
          <w:rFonts w:ascii="宋体" w:hAnsi="宋体" w:cs="宋体"/>
          <w:sz w:val="24"/>
        </w:rPr>
      </w:pPr>
      <w:bookmarkStart w:id="5" w:name="_Toc12497"/>
      <w:bookmarkStart w:id="6" w:name="_Toc213496267"/>
      <w:bookmarkStart w:id="7" w:name="_Toc213396759"/>
      <w:bookmarkStart w:id="8" w:name="_Toc213396945"/>
      <w:bookmarkStart w:id="9" w:name="_Toc213397009"/>
      <w:bookmarkStart w:id="10" w:name="_Toc217446031"/>
    </w:p>
    <w:p>
      <w:pPr>
        <w:numPr>
          <w:ilvl w:val="0"/>
          <w:numId w:val="2"/>
        </w:numPr>
        <w:tabs>
          <w:tab w:val="left" w:pos="2310"/>
        </w:tabs>
        <w:spacing w:line="420" w:lineRule="exact"/>
        <w:ind w:right="420" w:rightChars="200"/>
        <w:jc w:val="center"/>
        <w:outlineLvl w:val="0"/>
        <w:rPr>
          <w:rFonts w:ascii="宋体" w:hAnsi="宋体" w:cs="宋体"/>
          <w:b/>
          <w:bCs/>
          <w:sz w:val="36"/>
          <w:szCs w:val="36"/>
        </w:rPr>
      </w:pPr>
      <w:r>
        <w:rPr>
          <w:rFonts w:hint="eastAsia" w:ascii="宋体" w:hAnsi="宋体" w:cs="宋体"/>
        </w:rPr>
        <w:br w:type="page"/>
      </w:r>
      <w:bookmarkStart w:id="11" w:name="_Toc9803"/>
      <w:r>
        <w:rPr>
          <w:rFonts w:hint="eastAsia" w:ascii="宋体" w:hAnsi="宋体" w:cs="宋体"/>
          <w:b/>
          <w:bCs/>
          <w:sz w:val="36"/>
          <w:szCs w:val="36"/>
        </w:rPr>
        <w:t xml:space="preserve"> 投标人须知</w:t>
      </w:r>
      <w:bookmarkEnd w:id="5"/>
      <w:bookmarkEnd w:id="11"/>
    </w:p>
    <w:p>
      <w:pPr>
        <w:tabs>
          <w:tab w:val="left" w:pos="2310"/>
        </w:tabs>
        <w:spacing w:line="420" w:lineRule="exact"/>
        <w:ind w:right="420" w:rightChars="200"/>
        <w:jc w:val="center"/>
        <w:outlineLvl w:val="0"/>
        <w:rPr>
          <w:rFonts w:ascii="宋体" w:hAnsi="宋体" w:cs="宋体"/>
          <w:b/>
          <w:bCs/>
          <w:sz w:val="30"/>
          <w:szCs w:val="30"/>
        </w:rPr>
      </w:pPr>
      <w:r>
        <w:rPr>
          <w:rFonts w:hint="eastAsia" w:ascii="宋体" w:hAnsi="宋体" w:cs="宋体"/>
          <w:b/>
          <w:bCs/>
          <w:sz w:val="30"/>
          <w:szCs w:val="30"/>
        </w:rPr>
        <w:t>一、投标人须知前附表</w:t>
      </w:r>
    </w:p>
    <w:bookmarkEnd w:id="6"/>
    <w:bookmarkEnd w:id="7"/>
    <w:bookmarkEnd w:id="8"/>
    <w:bookmarkEnd w:id="9"/>
    <w:bookmarkEnd w:id="10"/>
    <w:tbl>
      <w:tblPr>
        <w:tblStyle w:val="28"/>
        <w:tblW w:w="912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05"/>
        <w:gridCol w:w="2451"/>
        <w:gridCol w:w="586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blHeader/>
          <w:jc w:val="center"/>
        </w:trPr>
        <w:tc>
          <w:tcPr>
            <w:tcW w:w="805" w:type="dxa"/>
            <w:vAlign w:val="bottom"/>
          </w:tcPr>
          <w:p>
            <w:pPr>
              <w:pStyle w:val="50"/>
              <w:spacing w:line="360" w:lineRule="auto"/>
              <w:ind w:left="9"/>
              <w:jc w:val="center"/>
              <w:rPr>
                <w:kern w:val="2"/>
                <w:sz w:val="21"/>
                <w:szCs w:val="21"/>
              </w:rPr>
            </w:pPr>
            <w:r>
              <w:rPr>
                <w:rFonts w:hint="eastAsia"/>
                <w:kern w:val="2"/>
                <w:sz w:val="21"/>
                <w:szCs w:val="21"/>
              </w:rPr>
              <w:t>序号</w:t>
            </w:r>
          </w:p>
        </w:tc>
        <w:tc>
          <w:tcPr>
            <w:tcW w:w="2451" w:type="dxa"/>
            <w:vAlign w:val="bottom"/>
          </w:tcPr>
          <w:p>
            <w:pPr>
              <w:pStyle w:val="50"/>
              <w:spacing w:line="360" w:lineRule="auto"/>
              <w:ind w:left="38"/>
              <w:jc w:val="center"/>
              <w:rPr>
                <w:kern w:val="2"/>
                <w:sz w:val="21"/>
                <w:szCs w:val="21"/>
              </w:rPr>
            </w:pPr>
            <w:r>
              <w:rPr>
                <w:rFonts w:hint="eastAsia"/>
                <w:kern w:val="2"/>
                <w:sz w:val="21"/>
                <w:szCs w:val="21"/>
              </w:rPr>
              <w:t>条款名称</w:t>
            </w:r>
          </w:p>
        </w:tc>
        <w:tc>
          <w:tcPr>
            <w:tcW w:w="5869" w:type="dxa"/>
            <w:vAlign w:val="bottom"/>
          </w:tcPr>
          <w:p>
            <w:pPr>
              <w:pStyle w:val="50"/>
              <w:spacing w:line="360" w:lineRule="auto"/>
              <w:jc w:val="center"/>
              <w:rPr>
                <w:kern w:val="2"/>
                <w:sz w:val="21"/>
                <w:szCs w:val="21"/>
              </w:rPr>
            </w:pPr>
            <w:r>
              <w:rPr>
                <w:rFonts w:hint="eastAsia"/>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vAlign w:val="center"/>
          </w:tcPr>
          <w:p>
            <w:pPr>
              <w:pStyle w:val="50"/>
              <w:spacing w:line="360" w:lineRule="auto"/>
              <w:jc w:val="center"/>
              <w:rPr>
                <w:kern w:val="2"/>
                <w:sz w:val="21"/>
                <w:szCs w:val="21"/>
              </w:rPr>
            </w:pPr>
            <w:r>
              <w:rPr>
                <w:rFonts w:hint="eastAsia"/>
                <w:kern w:val="2"/>
                <w:sz w:val="21"/>
                <w:szCs w:val="21"/>
              </w:rPr>
              <w:t>1</w:t>
            </w:r>
          </w:p>
        </w:tc>
        <w:tc>
          <w:tcPr>
            <w:tcW w:w="2451" w:type="dxa"/>
            <w:tcBorders>
              <w:bottom w:val="single" w:color="auto" w:sz="4" w:space="0"/>
            </w:tcBorders>
            <w:vAlign w:val="center"/>
          </w:tcPr>
          <w:p>
            <w:pPr>
              <w:pStyle w:val="50"/>
              <w:spacing w:line="360" w:lineRule="auto"/>
              <w:ind w:left="38"/>
              <w:jc w:val="center"/>
              <w:rPr>
                <w:kern w:val="2"/>
                <w:sz w:val="21"/>
                <w:szCs w:val="21"/>
              </w:rPr>
            </w:pPr>
            <w:r>
              <w:rPr>
                <w:rFonts w:hint="eastAsia"/>
                <w:kern w:val="2"/>
                <w:sz w:val="21"/>
                <w:szCs w:val="21"/>
              </w:rPr>
              <w:t>采购预算和最高限价</w:t>
            </w:r>
          </w:p>
          <w:p>
            <w:pPr>
              <w:pStyle w:val="50"/>
              <w:spacing w:line="360" w:lineRule="auto"/>
              <w:ind w:left="38"/>
              <w:jc w:val="center"/>
              <w:rPr>
                <w:kern w:val="2"/>
                <w:sz w:val="21"/>
                <w:szCs w:val="21"/>
              </w:rPr>
            </w:pPr>
            <w:r>
              <w:rPr>
                <w:rFonts w:hint="eastAsia"/>
                <w:sz w:val="21"/>
                <w:szCs w:val="21"/>
              </w:rPr>
              <w:t>（实质性要求）</w:t>
            </w:r>
          </w:p>
        </w:tc>
        <w:tc>
          <w:tcPr>
            <w:tcW w:w="5869" w:type="dxa"/>
            <w:tcBorders>
              <w:bottom w:val="single" w:color="auto" w:sz="4" w:space="0"/>
            </w:tcBorders>
          </w:tcPr>
          <w:p>
            <w:pPr>
              <w:spacing w:line="360" w:lineRule="auto"/>
              <w:ind w:right="31" w:rightChars="15"/>
              <w:rPr>
                <w:rFonts w:ascii="宋体" w:hAnsi="宋体" w:cs="宋体"/>
                <w:szCs w:val="21"/>
              </w:rPr>
            </w:pPr>
            <w:r>
              <w:rPr>
                <w:rFonts w:hint="eastAsia" w:ascii="宋体" w:hAnsi="宋体" w:cs="宋体"/>
                <w:szCs w:val="21"/>
              </w:rPr>
              <w:t>财政预算</w:t>
            </w:r>
            <w:r>
              <w:rPr>
                <w:rFonts w:hint="eastAsia" w:ascii="宋体" w:hAnsi="宋体" w:cs="宋体"/>
                <w:bCs/>
                <w:szCs w:val="21"/>
              </w:rPr>
              <w:t>：1050</w:t>
            </w:r>
            <w:r>
              <w:rPr>
                <w:rFonts w:hint="eastAsia" w:ascii="宋体" w:hAnsi="宋体" w:cs="宋体"/>
                <w:szCs w:val="21"/>
                <w:lang w:val="zh-CN"/>
              </w:rPr>
              <w:t>万</w:t>
            </w:r>
            <w:r>
              <w:rPr>
                <w:rFonts w:hint="eastAsia" w:ascii="宋体" w:hAnsi="宋体" w:cs="宋体"/>
                <w:szCs w:val="21"/>
              </w:rPr>
              <w:t>元。</w:t>
            </w:r>
          </w:p>
          <w:p>
            <w:pPr>
              <w:spacing w:line="360" w:lineRule="auto"/>
              <w:ind w:right="31" w:rightChars="15"/>
              <w:rPr>
                <w:rFonts w:ascii="宋体" w:hAnsi="宋体" w:cs="宋体"/>
                <w:szCs w:val="21"/>
              </w:rPr>
            </w:pPr>
            <w:r>
              <w:rPr>
                <w:rFonts w:hint="eastAsia" w:ascii="宋体" w:hAnsi="宋体" w:cs="宋体"/>
                <w:szCs w:val="21"/>
              </w:rPr>
              <w:t>本项目最高限价：997.5万元。</w:t>
            </w:r>
          </w:p>
          <w:p>
            <w:pPr>
              <w:pStyle w:val="50"/>
              <w:spacing w:line="360" w:lineRule="auto"/>
              <w:jc w:val="both"/>
              <w:rPr>
                <w:kern w:val="2"/>
                <w:sz w:val="21"/>
                <w:szCs w:val="21"/>
              </w:rPr>
            </w:pPr>
            <w:r>
              <w:rPr>
                <w:rFonts w:hint="eastAsia"/>
                <w:sz w:val="21"/>
                <w:szCs w:val="21"/>
              </w:rPr>
              <w:t>超过本项目最高限价的投标为无效投标。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vAlign w:val="center"/>
          </w:tcPr>
          <w:p>
            <w:pPr>
              <w:pStyle w:val="50"/>
              <w:spacing w:line="360" w:lineRule="auto"/>
              <w:jc w:val="center"/>
              <w:rPr>
                <w:kern w:val="2"/>
                <w:sz w:val="21"/>
                <w:szCs w:val="21"/>
              </w:rPr>
            </w:pPr>
            <w:r>
              <w:rPr>
                <w:rFonts w:hint="eastAsia"/>
                <w:kern w:val="2"/>
                <w:sz w:val="21"/>
                <w:szCs w:val="21"/>
              </w:rPr>
              <w:t>2</w:t>
            </w:r>
          </w:p>
        </w:tc>
        <w:tc>
          <w:tcPr>
            <w:tcW w:w="2451" w:type="dxa"/>
            <w:tcBorders>
              <w:bottom w:val="single" w:color="auto" w:sz="4" w:space="0"/>
            </w:tcBorders>
            <w:vAlign w:val="center"/>
          </w:tcPr>
          <w:p>
            <w:pPr>
              <w:pStyle w:val="50"/>
              <w:spacing w:line="360" w:lineRule="auto"/>
              <w:jc w:val="center"/>
              <w:rPr>
                <w:sz w:val="21"/>
                <w:szCs w:val="21"/>
                <w:lang w:val="zh-CN"/>
              </w:rPr>
            </w:pPr>
            <w:r>
              <w:rPr>
                <w:rFonts w:hint="eastAsia"/>
                <w:sz w:val="21"/>
                <w:szCs w:val="21"/>
                <w:lang w:val="zh-CN"/>
              </w:rPr>
              <w:t>采购标的对应的中小企业划分标准所属行业</w:t>
            </w:r>
          </w:p>
        </w:tc>
        <w:tc>
          <w:tcPr>
            <w:tcW w:w="5869" w:type="dxa"/>
            <w:tcBorders>
              <w:bottom w:val="single" w:color="auto" w:sz="4" w:space="0"/>
            </w:tcBorders>
            <w:vAlign w:val="center"/>
          </w:tcPr>
          <w:p>
            <w:pPr>
              <w:pStyle w:val="50"/>
              <w:spacing w:line="360" w:lineRule="auto"/>
              <w:jc w:val="both"/>
              <w:rPr>
                <w:sz w:val="21"/>
                <w:szCs w:val="21"/>
              </w:rPr>
            </w:pPr>
            <w:r>
              <w:rPr>
                <w:rFonts w:hint="eastAsia"/>
                <w:sz w:val="21"/>
                <w:szCs w:val="21"/>
              </w:rPr>
              <w:t xml:space="preserve">软件和信息技术服务业。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vAlign w:val="center"/>
          </w:tcPr>
          <w:p>
            <w:pPr>
              <w:pStyle w:val="50"/>
              <w:spacing w:line="360" w:lineRule="auto"/>
              <w:jc w:val="center"/>
              <w:rPr>
                <w:kern w:val="2"/>
                <w:sz w:val="21"/>
                <w:szCs w:val="21"/>
              </w:rPr>
            </w:pPr>
            <w:r>
              <w:rPr>
                <w:rFonts w:hint="eastAsia"/>
                <w:kern w:val="2"/>
                <w:sz w:val="21"/>
                <w:szCs w:val="21"/>
              </w:rPr>
              <w:t>3</w:t>
            </w:r>
          </w:p>
        </w:tc>
        <w:tc>
          <w:tcPr>
            <w:tcW w:w="2451" w:type="dxa"/>
            <w:vAlign w:val="center"/>
          </w:tcPr>
          <w:p>
            <w:pPr>
              <w:pStyle w:val="50"/>
              <w:spacing w:line="360" w:lineRule="auto"/>
              <w:ind w:left="38"/>
              <w:jc w:val="center"/>
              <w:rPr>
                <w:kern w:val="2"/>
                <w:sz w:val="21"/>
                <w:szCs w:val="21"/>
              </w:rPr>
            </w:pPr>
            <w:r>
              <w:rPr>
                <w:rFonts w:hint="eastAsia"/>
                <w:kern w:val="2"/>
                <w:sz w:val="21"/>
                <w:szCs w:val="21"/>
              </w:rPr>
              <w:t>低于成本价不正当</w:t>
            </w:r>
          </w:p>
          <w:p>
            <w:pPr>
              <w:pStyle w:val="50"/>
              <w:spacing w:line="360" w:lineRule="auto"/>
              <w:ind w:left="38"/>
              <w:jc w:val="center"/>
              <w:rPr>
                <w:kern w:val="2"/>
                <w:sz w:val="21"/>
                <w:szCs w:val="21"/>
              </w:rPr>
            </w:pPr>
            <w:r>
              <w:rPr>
                <w:rFonts w:hint="eastAsia"/>
                <w:kern w:val="2"/>
                <w:sz w:val="21"/>
                <w:szCs w:val="21"/>
              </w:rPr>
              <w:t>竞争预防措施</w:t>
            </w:r>
          </w:p>
          <w:p>
            <w:pPr>
              <w:pStyle w:val="50"/>
              <w:spacing w:line="360" w:lineRule="auto"/>
              <w:ind w:left="38"/>
              <w:jc w:val="center"/>
              <w:rPr>
                <w:kern w:val="2"/>
                <w:sz w:val="21"/>
                <w:szCs w:val="21"/>
              </w:rPr>
            </w:pPr>
            <w:r>
              <w:rPr>
                <w:rFonts w:hint="eastAsia"/>
                <w:sz w:val="21"/>
                <w:szCs w:val="21"/>
              </w:rPr>
              <w:t>（实质性要求）</w:t>
            </w:r>
          </w:p>
        </w:tc>
        <w:tc>
          <w:tcPr>
            <w:tcW w:w="5869" w:type="dxa"/>
            <w:vAlign w:val="center"/>
          </w:tcPr>
          <w:p>
            <w:pPr>
              <w:pStyle w:val="50"/>
              <w:spacing w:line="360" w:lineRule="auto"/>
              <w:jc w:val="both"/>
              <w:rPr>
                <w:sz w:val="21"/>
                <w:szCs w:val="21"/>
              </w:rPr>
            </w:pPr>
            <w:r>
              <w:rPr>
                <w:rFonts w:hint="eastAsia"/>
                <w:sz w:val="21"/>
                <w:szCs w:val="21"/>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0"/>
              <w:spacing w:line="360" w:lineRule="auto"/>
              <w:jc w:val="both"/>
              <w:rPr>
                <w:sz w:val="21"/>
                <w:szCs w:val="21"/>
              </w:rPr>
            </w:pPr>
            <w:r>
              <w:rPr>
                <w:rFonts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pPr>
              <w:spacing w:line="360" w:lineRule="auto"/>
              <w:ind w:right="105" w:rightChars="50"/>
              <w:rPr>
                <w:rFonts w:ascii="宋体" w:hAnsi="宋体" w:cs="宋体"/>
                <w:szCs w:val="21"/>
              </w:rPr>
            </w:pPr>
            <w:r>
              <w:rPr>
                <w:rFonts w:hint="eastAsia" w:ascii="宋体" w:hAnsi="宋体" w:cs="宋体"/>
                <w:szCs w:val="21"/>
              </w:rPr>
              <w:t xml:space="preserve">2.供应商书面说明应当签字确认或者加盖公章，否则无效。书面说明的签字确认，由其法定代表人/主要负责人/本人或者其授权代表签字确认。 </w:t>
            </w:r>
          </w:p>
          <w:p>
            <w:pPr>
              <w:pStyle w:val="50"/>
              <w:spacing w:line="360" w:lineRule="auto"/>
              <w:jc w:val="both"/>
              <w:rPr>
                <w:kern w:val="2"/>
                <w:sz w:val="21"/>
                <w:szCs w:val="21"/>
              </w:rPr>
            </w:pPr>
            <w:r>
              <w:rPr>
                <w:rFonts w:hint="eastAsia"/>
                <w:sz w:val="21"/>
                <w:szCs w:val="21"/>
              </w:rPr>
              <w:t>3.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vAlign w:val="center"/>
          </w:tcPr>
          <w:p>
            <w:pPr>
              <w:pStyle w:val="50"/>
              <w:spacing w:line="360" w:lineRule="auto"/>
              <w:jc w:val="center"/>
              <w:rPr>
                <w:sz w:val="21"/>
                <w:szCs w:val="21"/>
              </w:rPr>
            </w:pPr>
            <w:r>
              <w:rPr>
                <w:rFonts w:hint="eastAsia"/>
                <w:sz w:val="21"/>
                <w:szCs w:val="21"/>
              </w:rPr>
              <w:t>4</w:t>
            </w:r>
          </w:p>
        </w:tc>
        <w:tc>
          <w:tcPr>
            <w:tcW w:w="2451" w:type="dxa"/>
            <w:vAlign w:val="center"/>
          </w:tcPr>
          <w:p>
            <w:pPr>
              <w:pStyle w:val="50"/>
              <w:spacing w:line="360" w:lineRule="auto"/>
              <w:jc w:val="center"/>
              <w:rPr>
                <w:color w:val="FF0000"/>
                <w:kern w:val="2"/>
                <w:sz w:val="21"/>
                <w:szCs w:val="21"/>
              </w:rPr>
            </w:pPr>
            <w:r>
              <w:rPr>
                <w:rFonts w:hint="eastAsia"/>
                <w:kern w:val="2"/>
                <w:sz w:val="21"/>
                <w:szCs w:val="21"/>
              </w:rPr>
              <w:t>小微企业、（监狱企业、残疾人福利单位视同小微企业）政策扶持</w:t>
            </w:r>
          </w:p>
        </w:tc>
        <w:tc>
          <w:tcPr>
            <w:tcW w:w="58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一、小微企业（监狱企业、</w:t>
            </w:r>
            <w:r>
              <w:rPr>
                <w:rFonts w:hint="eastAsia" w:ascii="宋体" w:hAnsi="宋体" w:cs="宋体"/>
                <w:szCs w:val="21"/>
              </w:rPr>
              <w:t>残疾人福利单位</w:t>
            </w:r>
            <w:r>
              <w:rPr>
                <w:rFonts w:hint="eastAsia" w:ascii="宋体" w:hAnsi="宋体" w:cs="宋体"/>
                <w:kern w:val="0"/>
                <w:szCs w:val="21"/>
              </w:rPr>
              <w:t>视同小微企业）政策扶持</w:t>
            </w:r>
          </w:p>
          <w:p>
            <w:pPr>
              <w:widowControl/>
              <w:spacing w:line="360" w:lineRule="auto"/>
              <w:jc w:val="left"/>
              <w:rPr>
                <w:rFonts w:ascii="宋体" w:hAnsi="宋体" w:cs="宋体"/>
                <w:szCs w:val="21"/>
              </w:rPr>
            </w:pPr>
            <w:r>
              <w:rPr>
                <w:rFonts w:hint="eastAsia" w:ascii="宋体" w:hAnsi="宋体" w:cs="宋体"/>
                <w:kern w:val="0"/>
                <w:szCs w:val="21"/>
              </w:rPr>
              <w:t>1.根据《政府采购促进中小企业发展管理办法》（财库[2020]46号）进行</w:t>
            </w:r>
            <w:r>
              <w:rPr>
                <w:rFonts w:hint="eastAsia" w:ascii="宋体" w:hAnsi="宋体" w:cs="宋体"/>
                <w:szCs w:val="21"/>
              </w:rPr>
              <w:t>政策扶持。监狱企业、残疾人福利单位根据</w:t>
            </w:r>
            <w:r>
              <w:rPr>
                <w:rFonts w:hint="eastAsia" w:ascii="宋体" w:hAnsi="宋体" w:cs="宋体"/>
                <w:kern w:val="0"/>
                <w:szCs w:val="21"/>
              </w:rPr>
              <w:t>《关于政府采购支持监狱企业发展有关问题的通知》（财库[2014]68号）、《三部门联合发布关于促进残疾人就业政府采购政策的通知》（财库〔2018〕141号）的规定</w:t>
            </w:r>
            <w:r>
              <w:rPr>
                <w:rFonts w:hint="eastAsia" w:ascii="宋体" w:hAnsi="宋体" w:cs="宋体"/>
                <w:szCs w:val="21"/>
              </w:rPr>
              <w:t xml:space="preserve">视同小微企业。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vAlign w:val="center"/>
          </w:tcPr>
          <w:p>
            <w:pPr>
              <w:pStyle w:val="50"/>
              <w:spacing w:line="360" w:lineRule="auto"/>
              <w:jc w:val="center"/>
              <w:rPr>
                <w:kern w:val="2"/>
                <w:sz w:val="21"/>
                <w:szCs w:val="21"/>
              </w:rPr>
            </w:pPr>
            <w:r>
              <w:rPr>
                <w:rFonts w:hint="eastAsia"/>
                <w:kern w:val="2"/>
                <w:sz w:val="21"/>
                <w:szCs w:val="21"/>
              </w:rPr>
              <w:t>5</w:t>
            </w:r>
          </w:p>
        </w:tc>
        <w:tc>
          <w:tcPr>
            <w:tcW w:w="2451" w:type="dxa"/>
            <w:vAlign w:val="center"/>
          </w:tcPr>
          <w:p>
            <w:pPr>
              <w:spacing w:line="360" w:lineRule="auto"/>
              <w:ind w:left="105" w:leftChars="50" w:right="105" w:rightChars="50"/>
              <w:jc w:val="center"/>
              <w:rPr>
                <w:rFonts w:ascii="宋体" w:hAnsi="宋体" w:cs="宋体"/>
                <w:szCs w:val="21"/>
              </w:rPr>
            </w:pPr>
            <w:r>
              <w:rPr>
                <w:rFonts w:hint="eastAsia" w:ascii="宋体" w:hAnsi="宋体" w:cs="宋体"/>
                <w:kern w:val="0"/>
                <w:szCs w:val="21"/>
              </w:rPr>
              <w:t>评标情况公告</w:t>
            </w:r>
          </w:p>
        </w:tc>
        <w:tc>
          <w:tcPr>
            <w:tcW w:w="5869" w:type="dxa"/>
            <w:vAlign w:val="center"/>
          </w:tcPr>
          <w:p>
            <w:pPr>
              <w:widowControl/>
              <w:spacing w:line="360" w:lineRule="auto"/>
              <w:jc w:val="left"/>
              <w:rPr>
                <w:rFonts w:ascii="宋体" w:hAnsi="宋体" w:cs="宋体"/>
                <w:szCs w:val="21"/>
              </w:rPr>
            </w:pPr>
            <w:r>
              <w:rPr>
                <w:rFonts w:hint="eastAsia" w:ascii="宋体" w:hAnsi="宋体" w:cs="宋体"/>
                <w:kern w:val="0"/>
                <w:szCs w:val="21"/>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vAlign w:val="center"/>
          </w:tcPr>
          <w:p>
            <w:pPr>
              <w:pStyle w:val="50"/>
              <w:spacing w:line="360" w:lineRule="auto"/>
              <w:jc w:val="center"/>
              <w:rPr>
                <w:kern w:val="2"/>
                <w:sz w:val="21"/>
                <w:szCs w:val="21"/>
              </w:rPr>
            </w:pPr>
            <w:r>
              <w:rPr>
                <w:rFonts w:hint="eastAsia"/>
                <w:kern w:val="2"/>
                <w:sz w:val="21"/>
                <w:szCs w:val="21"/>
              </w:rPr>
              <w:t>6</w:t>
            </w:r>
          </w:p>
        </w:tc>
        <w:tc>
          <w:tcPr>
            <w:tcW w:w="2451" w:type="dxa"/>
            <w:vAlign w:val="center"/>
          </w:tcPr>
          <w:p>
            <w:pPr>
              <w:pStyle w:val="50"/>
              <w:spacing w:line="360" w:lineRule="auto"/>
              <w:ind w:left="96"/>
              <w:jc w:val="center"/>
              <w:rPr>
                <w:sz w:val="21"/>
                <w:szCs w:val="21"/>
                <w:lang w:val="zh-CN"/>
              </w:rPr>
            </w:pPr>
            <w:r>
              <w:rPr>
                <w:rFonts w:hint="eastAsia"/>
                <w:sz w:val="21"/>
                <w:szCs w:val="21"/>
                <w:lang w:val="zh-CN"/>
              </w:rPr>
              <w:t>投标保证金</w:t>
            </w:r>
          </w:p>
        </w:tc>
        <w:tc>
          <w:tcPr>
            <w:tcW w:w="5869" w:type="dxa"/>
            <w:vAlign w:val="center"/>
          </w:tcPr>
          <w:p>
            <w:pPr>
              <w:pStyle w:val="50"/>
              <w:spacing w:line="360" w:lineRule="auto"/>
              <w:jc w:val="both"/>
              <w:rPr>
                <w:sz w:val="21"/>
                <w:szCs w:val="21"/>
                <w:lang w:val="zh-CN"/>
              </w:rPr>
            </w:pPr>
            <w:r>
              <w:rPr>
                <w:rFonts w:hint="eastAsia"/>
                <w:sz w:val="21"/>
                <w:szCs w:val="21"/>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vAlign w:val="center"/>
          </w:tcPr>
          <w:p>
            <w:pPr>
              <w:pStyle w:val="50"/>
              <w:spacing w:line="360" w:lineRule="auto"/>
              <w:jc w:val="center"/>
              <w:rPr>
                <w:kern w:val="2"/>
                <w:sz w:val="21"/>
                <w:szCs w:val="21"/>
              </w:rPr>
            </w:pPr>
            <w:r>
              <w:rPr>
                <w:rFonts w:hint="eastAsia"/>
                <w:kern w:val="2"/>
                <w:sz w:val="21"/>
                <w:szCs w:val="21"/>
              </w:rPr>
              <w:t>7</w:t>
            </w:r>
          </w:p>
        </w:tc>
        <w:tc>
          <w:tcPr>
            <w:tcW w:w="2451" w:type="dxa"/>
            <w:vAlign w:val="center"/>
          </w:tcPr>
          <w:p>
            <w:pPr>
              <w:pStyle w:val="50"/>
              <w:spacing w:line="360" w:lineRule="auto"/>
              <w:ind w:left="96"/>
              <w:jc w:val="center"/>
              <w:rPr>
                <w:sz w:val="21"/>
                <w:szCs w:val="21"/>
                <w:lang w:val="zh-CN"/>
              </w:rPr>
            </w:pPr>
            <w:r>
              <w:rPr>
                <w:rFonts w:hint="eastAsia"/>
                <w:sz w:val="21"/>
                <w:szCs w:val="21"/>
                <w:lang w:val="zh-CN"/>
              </w:rPr>
              <w:t>履约保证金</w:t>
            </w:r>
          </w:p>
        </w:tc>
        <w:tc>
          <w:tcPr>
            <w:tcW w:w="5869" w:type="dxa"/>
            <w:vAlign w:val="center"/>
          </w:tcPr>
          <w:p>
            <w:pPr>
              <w:pStyle w:val="50"/>
              <w:spacing w:line="360" w:lineRule="auto"/>
              <w:jc w:val="both"/>
              <w:rPr>
                <w:sz w:val="21"/>
                <w:szCs w:val="21"/>
                <w:lang w:val="zh-CN"/>
              </w:rPr>
            </w:pPr>
            <w:r>
              <w:rPr>
                <w:rFonts w:hint="eastAsia"/>
                <w:sz w:val="21"/>
                <w:szCs w:val="21"/>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tcBorders>
              <w:top w:val="single" w:color="auto" w:sz="4" w:space="0"/>
              <w:bottom w:val="single" w:color="auto" w:sz="4" w:space="0"/>
            </w:tcBorders>
            <w:vAlign w:val="center"/>
          </w:tcPr>
          <w:p>
            <w:pPr>
              <w:pStyle w:val="50"/>
              <w:spacing w:line="360" w:lineRule="auto"/>
              <w:jc w:val="center"/>
              <w:rPr>
                <w:kern w:val="2"/>
                <w:sz w:val="21"/>
                <w:szCs w:val="21"/>
              </w:rPr>
            </w:pPr>
            <w:r>
              <w:rPr>
                <w:rFonts w:hint="eastAsia"/>
                <w:kern w:val="2"/>
                <w:sz w:val="21"/>
                <w:szCs w:val="21"/>
              </w:rPr>
              <w:t>8</w:t>
            </w:r>
          </w:p>
        </w:tc>
        <w:tc>
          <w:tcPr>
            <w:tcW w:w="2451" w:type="dxa"/>
            <w:tcBorders>
              <w:top w:val="single" w:color="auto" w:sz="4" w:space="0"/>
              <w:bottom w:val="single" w:color="auto" w:sz="4" w:space="0"/>
            </w:tcBorders>
            <w:vAlign w:val="center"/>
          </w:tcPr>
          <w:p>
            <w:pPr>
              <w:pStyle w:val="50"/>
              <w:spacing w:line="360" w:lineRule="auto"/>
              <w:jc w:val="center"/>
              <w:rPr>
                <w:kern w:val="2"/>
                <w:sz w:val="21"/>
                <w:szCs w:val="21"/>
              </w:rPr>
            </w:pPr>
            <w:r>
              <w:rPr>
                <w:rFonts w:hint="eastAsia"/>
                <w:kern w:val="2"/>
                <w:sz w:val="21"/>
                <w:szCs w:val="21"/>
              </w:rPr>
              <w:t>采购文件咨询</w:t>
            </w:r>
          </w:p>
        </w:tc>
        <w:tc>
          <w:tcPr>
            <w:tcW w:w="5869" w:type="dxa"/>
            <w:tcBorders>
              <w:top w:val="single" w:color="auto" w:sz="4" w:space="0"/>
              <w:bottom w:val="single" w:color="auto" w:sz="4" w:space="0"/>
            </w:tcBorders>
          </w:tcPr>
          <w:p>
            <w:pPr>
              <w:spacing w:line="360" w:lineRule="auto"/>
              <w:ind w:right="105" w:rightChars="50"/>
              <w:rPr>
                <w:rFonts w:ascii="宋体" w:hAnsi="宋体" w:cs="宋体"/>
                <w:szCs w:val="21"/>
              </w:rPr>
            </w:pPr>
            <w:r>
              <w:rPr>
                <w:rFonts w:hint="eastAsia" w:ascii="宋体" w:hAnsi="宋体" w:cs="宋体"/>
                <w:szCs w:val="21"/>
              </w:rPr>
              <w:t>联系人：</w:t>
            </w:r>
            <w:r>
              <w:rPr>
                <w:rFonts w:hint="eastAsia" w:ascii="宋体" w:hAnsi="宋体" w:cs="宋体"/>
                <w:szCs w:val="21"/>
                <w:lang w:val="zh-CN"/>
              </w:rPr>
              <w:t>姚老师。</w:t>
            </w:r>
            <w:r>
              <w:rPr>
                <w:rFonts w:hint="eastAsia" w:ascii="宋体" w:hAnsi="宋体" w:cs="宋体"/>
                <w:szCs w:val="21"/>
              </w:rPr>
              <w:t xml:space="preserve">       联系电话：</w:t>
            </w:r>
            <w:r>
              <w:rPr>
                <w:rFonts w:hint="eastAsia" w:ascii="宋体" w:hAnsi="宋体" w:cs="宋体"/>
                <w:szCs w:val="21"/>
                <w:lang w:val="zh-CN"/>
              </w:rPr>
              <w:t>028-61152662。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tcBorders>
              <w:top w:val="single" w:color="auto" w:sz="4" w:space="0"/>
              <w:bottom w:val="single" w:color="auto" w:sz="4" w:space="0"/>
            </w:tcBorders>
            <w:vAlign w:val="center"/>
          </w:tcPr>
          <w:p>
            <w:pPr>
              <w:pStyle w:val="50"/>
              <w:spacing w:line="360" w:lineRule="auto"/>
              <w:jc w:val="center"/>
              <w:rPr>
                <w:kern w:val="2"/>
                <w:sz w:val="21"/>
                <w:szCs w:val="21"/>
              </w:rPr>
            </w:pPr>
            <w:r>
              <w:rPr>
                <w:rFonts w:hint="eastAsia"/>
                <w:kern w:val="2"/>
                <w:sz w:val="21"/>
                <w:szCs w:val="21"/>
              </w:rPr>
              <w:t>9</w:t>
            </w:r>
          </w:p>
        </w:tc>
        <w:tc>
          <w:tcPr>
            <w:tcW w:w="2451" w:type="dxa"/>
            <w:tcBorders>
              <w:top w:val="single" w:color="auto" w:sz="4" w:space="0"/>
              <w:bottom w:val="single" w:color="auto" w:sz="4" w:space="0"/>
            </w:tcBorders>
          </w:tcPr>
          <w:p>
            <w:pPr>
              <w:pStyle w:val="50"/>
              <w:spacing w:line="360" w:lineRule="auto"/>
              <w:jc w:val="center"/>
              <w:rPr>
                <w:kern w:val="2"/>
                <w:sz w:val="21"/>
                <w:szCs w:val="21"/>
              </w:rPr>
            </w:pPr>
            <w:r>
              <w:rPr>
                <w:rFonts w:hint="eastAsia"/>
                <w:kern w:val="2"/>
                <w:sz w:val="21"/>
                <w:szCs w:val="21"/>
              </w:rPr>
              <w:t>开标、评标工作咨询</w:t>
            </w:r>
          </w:p>
        </w:tc>
        <w:tc>
          <w:tcPr>
            <w:tcW w:w="5869" w:type="dxa"/>
            <w:tcBorders>
              <w:top w:val="single" w:color="auto" w:sz="4" w:space="0"/>
              <w:bottom w:val="single" w:color="auto" w:sz="4" w:space="0"/>
            </w:tcBorders>
          </w:tcPr>
          <w:p>
            <w:pPr>
              <w:spacing w:line="360" w:lineRule="auto"/>
              <w:ind w:right="105" w:rightChars="50"/>
              <w:rPr>
                <w:rFonts w:ascii="宋体" w:hAnsi="宋体" w:cs="宋体"/>
                <w:szCs w:val="21"/>
              </w:rPr>
            </w:pPr>
            <w:r>
              <w:rPr>
                <w:rFonts w:hint="eastAsia" w:ascii="宋体" w:hAnsi="宋体" w:cs="宋体"/>
                <w:szCs w:val="21"/>
              </w:rPr>
              <w:t>联系人：姚老师。       联系电话：028-61152662。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tcBorders>
              <w:top w:val="single" w:color="auto" w:sz="4" w:space="0"/>
            </w:tcBorders>
            <w:vAlign w:val="center"/>
          </w:tcPr>
          <w:p>
            <w:pPr>
              <w:pStyle w:val="50"/>
              <w:spacing w:line="360" w:lineRule="auto"/>
              <w:jc w:val="center"/>
              <w:rPr>
                <w:kern w:val="2"/>
                <w:sz w:val="21"/>
                <w:szCs w:val="21"/>
              </w:rPr>
            </w:pPr>
            <w:r>
              <w:rPr>
                <w:rFonts w:hint="eastAsia"/>
                <w:kern w:val="2"/>
                <w:sz w:val="21"/>
                <w:szCs w:val="21"/>
              </w:rPr>
              <w:t>10</w:t>
            </w:r>
          </w:p>
        </w:tc>
        <w:tc>
          <w:tcPr>
            <w:tcW w:w="2451" w:type="dxa"/>
            <w:tcBorders>
              <w:top w:val="single" w:color="auto" w:sz="4" w:space="0"/>
            </w:tcBorders>
            <w:vAlign w:val="center"/>
          </w:tcPr>
          <w:p>
            <w:pPr>
              <w:spacing w:line="360" w:lineRule="auto"/>
              <w:ind w:left="105" w:leftChars="50" w:right="105" w:rightChars="50"/>
              <w:jc w:val="center"/>
              <w:rPr>
                <w:rFonts w:ascii="宋体" w:hAnsi="宋体" w:cs="宋体"/>
                <w:szCs w:val="21"/>
              </w:rPr>
            </w:pPr>
            <w:r>
              <w:rPr>
                <w:rFonts w:hint="eastAsia" w:ascii="宋体" w:hAnsi="宋体" w:cs="宋体"/>
                <w:szCs w:val="21"/>
              </w:rPr>
              <w:t>中标通知书领取</w:t>
            </w:r>
          </w:p>
        </w:tc>
        <w:tc>
          <w:tcPr>
            <w:tcW w:w="5869" w:type="dxa"/>
            <w:tcBorders>
              <w:top w:val="single" w:color="auto" w:sz="4" w:space="0"/>
            </w:tcBorders>
            <w:vAlign w:val="center"/>
          </w:tcPr>
          <w:p>
            <w:pPr>
              <w:spacing w:line="360" w:lineRule="auto"/>
              <w:rPr>
                <w:rFonts w:ascii="宋体" w:hAnsi="宋体" w:cs="宋体"/>
                <w:szCs w:val="21"/>
                <w:lang w:val="zh-CN"/>
              </w:rPr>
            </w:pPr>
            <w:r>
              <w:rPr>
                <w:rFonts w:hint="eastAsia" w:ascii="宋体" w:hAnsi="宋体" w:cs="宋体"/>
                <w:szCs w:val="21"/>
                <w:lang w:val="zh-CN"/>
              </w:rPr>
              <w:t>在四川政府采购网公告中标结果同时发出中标通知书，中标供应商自行登录政府采购云平台下载中标通知书。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tcBorders>
              <w:top w:val="single" w:color="auto" w:sz="4" w:space="0"/>
            </w:tcBorders>
            <w:vAlign w:val="center"/>
          </w:tcPr>
          <w:p>
            <w:pPr>
              <w:pStyle w:val="50"/>
              <w:spacing w:line="360" w:lineRule="auto"/>
              <w:jc w:val="center"/>
              <w:rPr>
                <w:kern w:val="2"/>
                <w:sz w:val="21"/>
                <w:szCs w:val="21"/>
              </w:rPr>
            </w:pPr>
            <w:r>
              <w:rPr>
                <w:rFonts w:hint="eastAsia"/>
                <w:kern w:val="2"/>
                <w:sz w:val="21"/>
                <w:szCs w:val="21"/>
              </w:rPr>
              <w:t>11</w:t>
            </w:r>
          </w:p>
        </w:tc>
        <w:tc>
          <w:tcPr>
            <w:tcW w:w="2451" w:type="dxa"/>
            <w:tcBorders>
              <w:top w:val="single" w:color="auto" w:sz="4" w:space="0"/>
            </w:tcBorders>
            <w:vAlign w:val="center"/>
          </w:tcPr>
          <w:p>
            <w:pPr>
              <w:pStyle w:val="50"/>
              <w:spacing w:line="360" w:lineRule="auto"/>
              <w:jc w:val="center"/>
              <w:rPr>
                <w:kern w:val="2"/>
                <w:sz w:val="21"/>
                <w:szCs w:val="21"/>
              </w:rPr>
            </w:pPr>
            <w:r>
              <w:rPr>
                <w:rFonts w:hint="eastAsia"/>
                <w:kern w:val="2"/>
                <w:sz w:val="21"/>
                <w:szCs w:val="21"/>
              </w:rPr>
              <w:t>供应商询问</w:t>
            </w:r>
          </w:p>
        </w:tc>
        <w:tc>
          <w:tcPr>
            <w:tcW w:w="5869" w:type="dxa"/>
            <w:tcBorders>
              <w:top w:val="single" w:color="auto" w:sz="4" w:space="0"/>
            </w:tcBorders>
          </w:tcPr>
          <w:p>
            <w:pPr>
              <w:spacing w:line="360" w:lineRule="auto"/>
              <w:rPr>
                <w:rFonts w:ascii="宋体" w:hAnsi="宋体" w:cs="宋体"/>
                <w:szCs w:val="21"/>
                <w:lang w:val="zh-CN"/>
              </w:rPr>
            </w:pPr>
            <w:r>
              <w:rPr>
                <w:rFonts w:hint="eastAsia" w:ascii="宋体" w:hAnsi="宋体" w:cs="宋体"/>
                <w:szCs w:val="21"/>
              </w:rPr>
              <w:t>根据委托代理协议约定，供应商询问由</w:t>
            </w:r>
            <w:r>
              <w:rPr>
                <w:rFonts w:hint="eastAsia" w:ascii="宋体" w:hAnsi="宋体" w:cs="宋体"/>
                <w:szCs w:val="21"/>
                <w:lang w:val="zh-CN"/>
              </w:rPr>
              <w:t>采购代理机构负责答复。</w:t>
            </w:r>
          </w:p>
          <w:p>
            <w:pPr>
              <w:spacing w:line="360" w:lineRule="auto"/>
              <w:rPr>
                <w:rFonts w:ascii="宋体" w:hAnsi="宋体" w:cs="宋体"/>
                <w:szCs w:val="21"/>
                <w:lang w:val="zh-CN"/>
              </w:rPr>
            </w:pPr>
            <w:r>
              <w:rPr>
                <w:rFonts w:hint="eastAsia" w:ascii="宋体" w:hAnsi="宋体" w:cs="宋体"/>
                <w:szCs w:val="21"/>
                <w:lang w:val="zh-CN"/>
              </w:rPr>
              <w:t>联系人：姚老师。</w:t>
            </w:r>
          </w:p>
          <w:p>
            <w:pPr>
              <w:spacing w:line="360" w:lineRule="auto"/>
              <w:rPr>
                <w:rFonts w:ascii="宋体" w:hAnsi="宋体" w:cs="宋体"/>
                <w:szCs w:val="21"/>
                <w:lang w:val="zh-CN"/>
              </w:rPr>
            </w:pPr>
            <w:r>
              <w:rPr>
                <w:rFonts w:hint="eastAsia" w:ascii="宋体" w:hAnsi="宋体" w:cs="宋体"/>
                <w:szCs w:val="21"/>
                <w:lang w:val="zh-CN"/>
              </w:rPr>
              <w:t>联系电话：028-61152662。</w:t>
            </w:r>
          </w:p>
          <w:p>
            <w:pPr>
              <w:spacing w:line="360" w:lineRule="auto"/>
              <w:rPr>
                <w:rFonts w:ascii="宋体" w:hAnsi="宋体" w:cs="宋体"/>
                <w:szCs w:val="21"/>
              </w:rPr>
            </w:pPr>
            <w:r>
              <w:rPr>
                <w:rFonts w:hint="eastAsia" w:ascii="宋体" w:hAnsi="宋体" w:cs="宋体"/>
                <w:szCs w:val="21"/>
                <w:lang w:val="zh-CN"/>
              </w:rPr>
              <w:t>递交地址：</w:t>
            </w:r>
            <w:r>
              <w:fldChar w:fldCharType="begin"/>
            </w:r>
            <w:r>
              <w:instrText xml:space="preserve"> HYPERLINK "http://www.zcygov.cn/" \h </w:instrText>
            </w:r>
            <w:r>
              <w:fldChar w:fldCharType="separate"/>
            </w:r>
            <w:r>
              <w:rPr>
                <w:rFonts w:hint="eastAsia" w:ascii="宋体" w:hAnsi="宋体" w:cs="宋体"/>
                <w:szCs w:val="21"/>
                <w:lang w:val="zh-CN"/>
              </w:rPr>
              <w:t>https://www.zcygov.cn</w:t>
            </w:r>
            <w:r>
              <w:rPr>
                <w:rFonts w:hint="eastAsia" w:ascii="宋体" w:hAnsi="宋体" w:cs="宋体"/>
                <w:szCs w:val="21"/>
                <w:lang w:val="zh-CN"/>
              </w:rPr>
              <w:fldChar w:fldCharType="end"/>
            </w:r>
            <w:r>
              <w:rPr>
                <w:rFonts w:hint="eastAsia" w:ascii="宋体" w:hAnsi="宋体" w:cs="宋体"/>
                <w:szCs w:val="21"/>
                <w:lang w:val="zh-CN"/>
              </w:rPr>
              <w:t>。（须通过政采云平台递交请勿线下提交。）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vAlign w:val="center"/>
          </w:tcPr>
          <w:p>
            <w:pPr>
              <w:pStyle w:val="50"/>
              <w:spacing w:line="360" w:lineRule="auto"/>
              <w:jc w:val="center"/>
              <w:rPr>
                <w:kern w:val="2"/>
                <w:sz w:val="21"/>
                <w:szCs w:val="21"/>
              </w:rPr>
            </w:pPr>
            <w:r>
              <w:rPr>
                <w:rFonts w:hint="eastAsia"/>
                <w:kern w:val="2"/>
                <w:sz w:val="21"/>
                <w:szCs w:val="21"/>
              </w:rPr>
              <w:t>12</w:t>
            </w:r>
          </w:p>
        </w:tc>
        <w:tc>
          <w:tcPr>
            <w:tcW w:w="2451" w:type="dxa"/>
            <w:vAlign w:val="center"/>
          </w:tcPr>
          <w:p>
            <w:pPr>
              <w:pStyle w:val="50"/>
              <w:spacing w:line="360" w:lineRule="auto"/>
              <w:jc w:val="center"/>
              <w:rPr>
                <w:kern w:val="2"/>
                <w:sz w:val="21"/>
                <w:szCs w:val="21"/>
              </w:rPr>
            </w:pPr>
            <w:r>
              <w:rPr>
                <w:rFonts w:hint="eastAsia"/>
                <w:kern w:val="2"/>
                <w:sz w:val="21"/>
                <w:szCs w:val="21"/>
              </w:rPr>
              <w:t>供应商质疑</w:t>
            </w:r>
          </w:p>
        </w:tc>
        <w:tc>
          <w:tcPr>
            <w:tcW w:w="5869" w:type="dxa"/>
            <w:vAlign w:val="center"/>
          </w:tcPr>
          <w:p>
            <w:pPr>
              <w:spacing w:line="360" w:lineRule="auto"/>
              <w:ind w:right="105" w:rightChars="50"/>
              <w:jc w:val="left"/>
              <w:rPr>
                <w:rFonts w:ascii="宋体" w:hAnsi="宋体" w:cs="宋体"/>
                <w:szCs w:val="21"/>
              </w:rPr>
            </w:pPr>
            <w:r>
              <w:rPr>
                <w:rFonts w:hint="eastAsia" w:ascii="宋体" w:hAnsi="宋体" w:cs="宋体"/>
                <w:szCs w:val="21"/>
              </w:rPr>
              <w:t>根据委托代理协议约定，供应商质疑由</w:t>
            </w:r>
            <w:r>
              <w:rPr>
                <w:rFonts w:hint="eastAsia" w:ascii="宋体" w:hAnsi="宋体" w:cs="宋体"/>
                <w:szCs w:val="21"/>
                <w:lang w:val="zh-CN"/>
              </w:rPr>
              <w:t>采购代理机构负责答复。</w:t>
            </w:r>
          </w:p>
          <w:p>
            <w:pPr>
              <w:spacing w:line="360" w:lineRule="auto"/>
              <w:rPr>
                <w:rFonts w:ascii="宋体" w:hAnsi="宋体" w:cs="宋体"/>
                <w:szCs w:val="21"/>
                <w:lang w:val="zh-CN"/>
              </w:rPr>
            </w:pPr>
            <w:r>
              <w:rPr>
                <w:rFonts w:hint="eastAsia" w:ascii="宋体" w:hAnsi="宋体" w:cs="宋体"/>
                <w:szCs w:val="21"/>
                <w:lang w:val="zh-CN"/>
              </w:rPr>
              <w:t>联系人：姚老师。</w:t>
            </w:r>
          </w:p>
          <w:p>
            <w:pPr>
              <w:spacing w:line="360" w:lineRule="auto"/>
              <w:rPr>
                <w:rFonts w:ascii="宋体" w:hAnsi="宋体" w:cs="宋体"/>
                <w:szCs w:val="21"/>
                <w:lang w:val="zh-CN"/>
              </w:rPr>
            </w:pPr>
            <w:r>
              <w:rPr>
                <w:rFonts w:hint="eastAsia" w:ascii="宋体" w:hAnsi="宋体" w:cs="宋体"/>
                <w:szCs w:val="21"/>
                <w:lang w:val="zh-CN"/>
              </w:rPr>
              <w:t>联系电话：028-61152662。</w:t>
            </w:r>
          </w:p>
          <w:p>
            <w:pPr>
              <w:spacing w:line="360" w:lineRule="auto"/>
              <w:ind w:right="105" w:rightChars="50"/>
              <w:jc w:val="left"/>
              <w:rPr>
                <w:rFonts w:ascii="宋体" w:hAnsi="宋体" w:cs="宋体"/>
                <w:szCs w:val="21"/>
                <w:lang w:val="zh-CN"/>
              </w:rPr>
            </w:pPr>
            <w:r>
              <w:rPr>
                <w:rFonts w:hint="eastAsia" w:ascii="宋体" w:hAnsi="宋体" w:cs="宋体"/>
                <w:szCs w:val="21"/>
                <w:lang w:val="zh-CN"/>
              </w:rPr>
              <w:t>递交地址：</w:t>
            </w:r>
            <w:r>
              <w:fldChar w:fldCharType="begin"/>
            </w:r>
            <w:r>
              <w:instrText xml:space="preserve"> HYPERLINK "http://www.zcygov.cn/" \h </w:instrText>
            </w:r>
            <w:r>
              <w:fldChar w:fldCharType="separate"/>
            </w:r>
            <w:r>
              <w:rPr>
                <w:rFonts w:hint="eastAsia" w:ascii="宋体" w:hAnsi="宋体" w:cs="宋体"/>
                <w:szCs w:val="21"/>
                <w:lang w:val="zh-CN"/>
              </w:rPr>
              <w:t>https://www.zcygov.cn</w:t>
            </w:r>
            <w:r>
              <w:rPr>
                <w:rFonts w:hint="eastAsia" w:ascii="宋体" w:hAnsi="宋体" w:cs="宋体"/>
                <w:szCs w:val="21"/>
                <w:lang w:val="zh-CN"/>
              </w:rPr>
              <w:fldChar w:fldCharType="end"/>
            </w:r>
            <w:r>
              <w:rPr>
                <w:rFonts w:hint="eastAsia" w:ascii="宋体" w:hAnsi="宋体" w:cs="宋体"/>
                <w:szCs w:val="21"/>
                <w:lang w:val="zh-CN"/>
              </w:rPr>
              <w:t>。（须通过政采云平台递交，请勿线下提交。）</w:t>
            </w:r>
          </w:p>
          <w:p>
            <w:pPr>
              <w:spacing w:line="360" w:lineRule="auto"/>
              <w:ind w:right="105" w:rightChars="50"/>
              <w:jc w:val="left"/>
              <w:rPr>
                <w:rFonts w:ascii="宋体" w:hAnsi="宋体" w:cs="宋体"/>
                <w:szCs w:val="21"/>
              </w:rPr>
            </w:pPr>
            <w:r>
              <w:rPr>
                <w:rFonts w:hint="eastAsia" w:ascii="宋体" w:hAnsi="宋体" w:cs="宋体"/>
                <w:szCs w:val="21"/>
                <w:lang w:val="zh-CN"/>
              </w:rPr>
              <w:t>注：供应商在法定质疑期内须一次性提出针对同一采购程序环节的质疑，根据《中华人民共和国财政部令第94号--政府采购质疑和投诉办法》的规定，供应商质疑不得超出采购文件、采购过程、采购结果的范围。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vAlign w:val="center"/>
          </w:tcPr>
          <w:p>
            <w:pPr>
              <w:pStyle w:val="50"/>
              <w:spacing w:line="360" w:lineRule="auto"/>
              <w:jc w:val="center"/>
              <w:rPr>
                <w:kern w:val="2"/>
                <w:sz w:val="21"/>
                <w:szCs w:val="21"/>
              </w:rPr>
            </w:pPr>
            <w:r>
              <w:rPr>
                <w:rFonts w:hint="eastAsia"/>
                <w:kern w:val="2"/>
                <w:sz w:val="21"/>
                <w:szCs w:val="21"/>
              </w:rPr>
              <w:t>13</w:t>
            </w:r>
          </w:p>
        </w:tc>
        <w:tc>
          <w:tcPr>
            <w:tcW w:w="2451" w:type="dxa"/>
            <w:vAlign w:val="center"/>
          </w:tcPr>
          <w:p>
            <w:pPr>
              <w:pStyle w:val="50"/>
              <w:spacing w:line="360" w:lineRule="auto"/>
              <w:jc w:val="center"/>
              <w:rPr>
                <w:kern w:val="2"/>
                <w:sz w:val="21"/>
                <w:szCs w:val="21"/>
              </w:rPr>
            </w:pPr>
            <w:r>
              <w:rPr>
                <w:rFonts w:hint="eastAsia"/>
                <w:kern w:val="2"/>
                <w:sz w:val="21"/>
                <w:szCs w:val="21"/>
              </w:rPr>
              <w:t>供应商投诉</w:t>
            </w:r>
          </w:p>
        </w:tc>
        <w:tc>
          <w:tcPr>
            <w:tcW w:w="5869" w:type="dxa"/>
          </w:tcPr>
          <w:p>
            <w:pPr>
              <w:spacing w:line="360" w:lineRule="auto"/>
              <w:ind w:right="105" w:rightChars="50"/>
              <w:jc w:val="left"/>
              <w:rPr>
                <w:rFonts w:ascii="宋体" w:hAnsi="宋体" w:cs="宋体"/>
                <w:szCs w:val="21"/>
                <w:lang w:val="zh-CN"/>
              </w:rPr>
            </w:pPr>
            <w:r>
              <w:rPr>
                <w:rFonts w:hint="eastAsia" w:ascii="宋体" w:hAnsi="宋体" w:cs="宋体"/>
                <w:szCs w:val="21"/>
                <w:lang w:val="zh-CN"/>
              </w:rPr>
              <w:t xml:space="preserve">投诉受理单位：本采购项目同级财政部门，即简阳市财政局。 </w:t>
            </w:r>
          </w:p>
          <w:p>
            <w:pPr>
              <w:pStyle w:val="2"/>
            </w:pPr>
            <w:r>
              <w:rPr>
                <w:rFonts w:hint="eastAsia"/>
              </w:rPr>
              <w:t>联系电话</w:t>
            </w:r>
            <w:r>
              <w:rPr>
                <w:rFonts w:hint="eastAsia" w:ascii="宋体" w:hAnsi="宋体" w:cs="宋体"/>
              </w:rPr>
              <w:t>：028-27224330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2451" w:type="dxa"/>
            <w:tcBorders>
              <w:right w:val="single" w:color="auto" w:sz="4" w:space="0"/>
            </w:tcBorders>
            <w:vAlign w:val="center"/>
          </w:tcPr>
          <w:p>
            <w:pPr>
              <w:spacing w:line="360" w:lineRule="auto"/>
              <w:ind w:firstLine="105" w:firstLineChars="50"/>
              <w:jc w:val="center"/>
              <w:rPr>
                <w:rFonts w:ascii="宋体" w:hAnsi="宋体" w:cs="宋体"/>
                <w:szCs w:val="21"/>
              </w:rPr>
            </w:pPr>
            <w:r>
              <w:rPr>
                <w:rFonts w:hint="eastAsia" w:ascii="宋体" w:hAnsi="宋体" w:cs="宋体"/>
                <w:szCs w:val="21"/>
              </w:rPr>
              <w:t>政府采购合同</w:t>
            </w:r>
          </w:p>
          <w:p>
            <w:pPr>
              <w:spacing w:line="360" w:lineRule="auto"/>
              <w:ind w:firstLine="105" w:firstLineChars="50"/>
              <w:jc w:val="center"/>
              <w:rPr>
                <w:rFonts w:ascii="宋体" w:hAnsi="宋体" w:cs="宋体"/>
                <w:szCs w:val="21"/>
              </w:rPr>
            </w:pPr>
            <w:r>
              <w:rPr>
                <w:rFonts w:hint="eastAsia" w:ascii="宋体" w:hAnsi="宋体" w:cs="宋体"/>
                <w:szCs w:val="21"/>
              </w:rPr>
              <w:t>公告备案</w:t>
            </w:r>
          </w:p>
        </w:tc>
        <w:tc>
          <w:tcPr>
            <w:tcW w:w="5869" w:type="dxa"/>
            <w:tcBorders>
              <w:left w:val="single" w:color="auto" w:sz="4" w:space="0"/>
            </w:tcBorders>
          </w:tcPr>
          <w:p>
            <w:pPr>
              <w:spacing w:line="360" w:lineRule="auto"/>
              <w:rPr>
                <w:rFonts w:ascii="宋体" w:hAnsi="宋体" w:cs="宋体"/>
                <w:szCs w:val="21"/>
              </w:rPr>
            </w:pPr>
            <w:r>
              <w:rPr>
                <w:rFonts w:hint="eastAsia" w:ascii="宋体" w:hAnsi="宋体" w:cs="宋体"/>
                <w:szCs w:val="21"/>
              </w:rPr>
              <w:t>政府采购合同签订之日起2个工作日内，政府采购合同在四川政府采购网公告；政府采购合同签订之日起七个工作日内，政府采购合同将向本采购项目同级财政部门备案，即在简阳市财政局备案。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2451" w:type="dxa"/>
            <w:tcBorders>
              <w:right w:val="single" w:color="auto" w:sz="4" w:space="0"/>
            </w:tcBorders>
            <w:vAlign w:val="center"/>
          </w:tcPr>
          <w:p>
            <w:pPr>
              <w:pStyle w:val="50"/>
              <w:spacing w:line="360" w:lineRule="auto"/>
              <w:ind w:left="96"/>
              <w:jc w:val="center"/>
              <w:rPr>
                <w:sz w:val="21"/>
                <w:szCs w:val="21"/>
              </w:rPr>
            </w:pPr>
            <w:r>
              <w:rPr>
                <w:rFonts w:hint="eastAsia"/>
                <w:sz w:val="21"/>
                <w:szCs w:val="21"/>
                <w:lang w:val="zh-CN"/>
              </w:rPr>
              <w:t>招标代理服务费</w:t>
            </w:r>
          </w:p>
        </w:tc>
        <w:tc>
          <w:tcPr>
            <w:tcW w:w="5869" w:type="dxa"/>
            <w:tcBorders>
              <w:left w:val="single" w:color="auto" w:sz="4" w:space="0"/>
            </w:tcBorders>
            <w:vAlign w:val="center"/>
          </w:tcPr>
          <w:p>
            <w:pPr>
              <w:spacing w:line="360" w:lineRule="auto"/>
              <w:rPr>
                <w:rFonts w:ascii="宋体" w:hAnsi="宋体" w:cs="宋体"/>
                <w:szCs w:val="21"/>
              </w:rPr>
            </w:pPr>
            <w:r>
              <w:rPr>
                <w:rFonts w:hint="eastAsia" w:ascii="宋体" w:hAnsi="宋体" w:cs="宋体"/>
                <w:szCs w:val="21"/>
              </w:rPr>
              <w:t>本项目采购代理服务费由中标供应商支付，收费标准为：以中标金额作为计算基数,参照计价格[2002]1980号</w:t>
            </w:r>
            <w:r>
              <w:rPr>
                <w:rFonts w:hint="eastAsia" w:ascii="宋体" w:hAnsi="宋体" w:cs="宋体"/>
                <w:szCs w:val="21"/>
                <w:lang w:val="zh-CN"/>
              </w:rPr>
              <w:t>和发改办价格［2003］857号</w:t>
            </w:r>
            <w:r>
              <w:rPr>
                <w:rFonts w:hint="eastAsia" w:ascii="宋体" w:hAnsi="宋体" w:cs="宋体"/>
                <w:szCs w:val="21"/>
              </w:rPr>
              <w:t>文件规定收费标准计取。</w:t>
            </w:r>
            <w:bookmarkStart w:id="210" w:name="_GoBack"/>
            <w:bookmarkEnd w:id="210"/>
          </w:p>
          <w:tbl>
            <w:tblPr>
              <w:tblStyle w:val="29"/>
              <w:tblW w:w="5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361"/>
              <w:gridCol w:w="1461"/>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559" w:type="dxa"/>
                </w:tcPr>
                <w:p>
                  <w:pPr>
                    <w:pStyle w:val="25"/>
                    <w:spacing w:after="0"/>
                    <w:rPr>
                      <w:rFonts w:hAnsi="宋体" w:cs="宋体"/>
                      <w:sz w:val="15"/>
                      <w:szCs w:val="15"/>
                    </w:rPr>
                  </w:pPr>
                  <w:r>
                    <w:rPr>
                      <w:rFonts w:hint="eastAsia" w:hAnsi="宋体" w:cs="宋体"/>
                      <w:sz w:val="15"/>
                      <w:szCs w:val="15"/>
                    </w:rPr>
                    <w:t>中标金额（万元）</w:t>
                  </w:r>
                </w:p>
                <w:p>
                  <w:pPr>
                    <w:pStyle w:val="25"/>
                    <w:spacing w:after="0"/>
                    <w:rPr>
                      <w:rFonts w:hAnsi="宋体" w:cs="宋体"/>
                      <w:sz w:val="15"/>
                      <w:szCs w:val="15"/>
                    </w:rPr>
                  </w:pPr>
                  <w:r>
                    <w:rPr>
                      <w:rFonts w:hint="eastAsia" w:hAnsi="宋体" w:cs="宋体"/>
                      <w:sz w:val="15"/>
                      <w:szCs w:val="15"/>
                    </w:rPr>
                    <w:t>费</w:t>
                  </w:r>
                </w:p>
                <w:p>
                  <w:pPr>
                    <w:pStyle w:val="25"/>
                    <w:spacing w:after="0"/>
                    <w:rPr>
                      <w:rFonts w:hAnsi="宋体" w:cs="宋体"/>
                      <w:sz w:val="15"/>
                      <w:szCs w:val="15"/>
                    </w:rPr>
                  </w:pPr>
                  <w:r>
                    <w:rPr>
                      <w:rFonts w:hint="eastAsia" w:hAnsi="宋体" w:cs="宋体"/>
                      <w:sz w:val="15"/>
                      <w:szCs w:val="15"/>
                    </w:rPr>
                    <w:t>率</w:t>
                  </w:r>
                </w:p>
                <w:p>
                  <w:pPr>
                    <w:pStyle w:val="25"/>
                    <w:spacing w:after="0"/>
                    <w:rPr>
                      <w:rFonts w:hAnsi="宋体" w:cs="宋体"/>
                      <w:sz w:val="15"/>
                      <w:szCs w:val="15"/>
                    </w:rPr>
                  </w:pPr>
                  <w:r>
                    <w:rPr>
                      <w:rFonts w:hint="eastAsia" w:hAnsi="宋体" w:cs="宋体"/>
                      <w:sz w:val="15"/>
                      <w:szCs w:val="15"/>
                    </w:rPr>
                    <w:t>服务类型</w:t>
                  </w:r>
                </w:p>
                <w:p>
                  <w:pPr>
                    <w:pStyle w:val="25"/>
                    <w:rPr>
                      <w:rFonts w:hAnsi="宋体" w:cs="宋体"/>
                      <w:sz w:val="15"/>
                      <w:szCs w:val="15"/>
                    </w:rPr>
                  </w:pPr>
                </w:p>
              </w:tc>
              <w:tc>
                <w:tcPr>
                  <w:tcW w:w="1361" w:type="dxa"/>
                  <w:vAlign w:val="center"/>
                </w:tcPr>
                <w:p>
                  <w:pPr>
                    <w:pStyle w:val="25"/>
                    <w:spacing w:after="0"/>
                    <w:jc w:val="center"/>
                    <w:rPr>
                      <w:rFonts w:hAnsi="宋体" w:cs="宋体"/>
                      <w:sz w:val="21"/>
                      <w:szCs w:val="21"/>
                    </w:rPr>
                  </w:pPr>
                  <w:r>
                    <w:rPr>
                      <w:rFonts w:hint="eastAsia" w:hAnsi="宋体" w:cs="宋体"/>
                      <w:sz w:val="21"/>
                      <w:szCs w:val="21"/>
                    </w:rPr>
                    <w:t>货物招标</w:t>
                  </w:r>
                </w:p>
              </w:tc>
              <w:tc>
                <w:tcPr>
                  <w:tcW w:w="1461" w:type="dxa"/>
                  <w:vAlign w:val="center"/>
                </w:tcPr>
                <w:p>
                  <w:pPr>
                    <w:pStyle w:val="25"/>
                    <w:spacing w:after="0"/>
                    <w:jc w:val="center"/>
                    <w:rPr>
                      <w:rFonts w:hAnsi="宋体" w:cs="宋体"/>
                      <w:sz w:val="21"/>
                      <w:szCs w:val="21"/>
                    </w:rPr>
                  </w:pPr>
                  <w:r>
                    <w:rPr>
                      <w:rFonts w:hint="eastAsia" w:hAnsi="宋体" w:cs="宋体"/>
                      <w:sz w:val="21"/>
                      <w:szCs w:val="21"/>
                    </w:rPr>
                    <w:t>服务招标</w:t>
                  </w:r>
                </w:p>
              </w:tc>
              <w:tc>
                <w:tcPr>
                  <w:tcW w:w="1461" w:type="dxa"/>
                  <w:vAlign w:val="center"/>
                </w:tcPr>
                <w:p>
                  <w:pPr>
                    <w:pStyle w:val="25"/>
                    <w:spacing w:after="0"/>
                    <w:jc w:val="center"/>
                    <w:rPr>
                      <w:rFonts w:hAnsi="宋体" w:cs="宋体"/>
                      <w:sz w:val="21"/>
                      <w:szCs w:val="21"/>
                    </w:rPr>
                  </w:pPr>
                  <w:r>
                    <w:rPr>
                      <w:rFonts w:hint="eastAsia" w:hAnsi="宋体" w:cs="宋体"/>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59" w:type="dxa"/>
                </w:tcPr>
                <w:p>
                  <w:pPr>
                    <w:pStyle w:val="25"/>
                    <w:spacing w:after="0"/>
                    <w:rPr>
                      <w:rFonts w:hAnsi="宋体" w:cs="宋体"/>
                      <w:sz w:val="21"/>
                      <w:szCs w:val="21"/>
                    </w:rPr>
                  </w:pPr>
                  <w:r>
                    <w:rPr>
                      <w:rFonts w:hint="eastAsia" w:hAnsi="宋体" w:cs="宋体"/>
                      <w:sz w:val="21"/>
                      <w:szCs w:val="21"/>
                    </w:rPr>
                    <w:t xml:space="preserve">100以下 </w:t>
                  </w:r>
                </w:p>
              </w:tc>
              <w:tc>
                <w:tcPr>
                  <w:tcW w:w="1361" w:type="dxa"/>
                </w:tcPr>
                <w:p>
                  <w:pPr>
                    <w:pStyle w:val="25"/>
                    <w:spacing w:after="0"/>
                    <w:rPr>
                      <w:rFonts w:hAnsi="宋体" w:cs="宋体"/>
                      <w:sz w:val="21"/>
                      <w:szCs w:val="21"/>
                    </w:rPr>
                  </w:pPr>
                  <w:r>
                    <w:rPr>
                      <w:rFonts w:hint="eastAsia" w:hAnsi="宋体" w:cs="宋体"/>
                      <w:sz w:val="21"/>
                      <w:szCs w:val="21"/>
                    </w:rPr>
                    <w:t xml:space="preserve">1.5% </w:t>
                  </w:r>
                </w:p>
              </w:tc>
              <w:tc>
                <w:tcPr>
                  <w:tcW w:w="1461" w:type="dxa"/>
                </w:tcPr>
                <w:p>
                  <w:pPr>
                    <w:pStyle w:val="25"/>
                    <w:spacing w:after="0"/>
                    <w:rPr>
                      <w:rFonts w:hAnsi="宋体" w:cs="宋体"/>
                      <w:sz w:val="21"/>
                      <w:szCs w:val="21"/>
                    </w:rPr>
                  </w:pPr>
                  <w:r>
                    <w:rPr>
                      <w:rFonts w:hint="eastAsia" w:hAnsi="宋体" w:cs="宋体"/>
                      <w:sz w:val="21"/>
                      <w:szCs w:val="21"/>
                    </w:rPr>
                    <w:t xml:space="preserve">1.5% </w:t>
                  </w:r>
                </w:p>
              </w:tc>
              <w:tc>
                <w:tcPr>
                  <w:tcW w:w="1461" w:type="dxa"/>
                </w:tcPr>
                <w:p>
                  <w:pPr>
                    <w:pStyle w:val="25"/>
                    <w:spacing w:after="0"/>
                    <w:rPr>
                      <w:rFonts w:hAnsi="宋体" w:cs="宋体"/>
                      <w:sz w:val="21"/>
                      <w:szCs w:val="21"/>
                    </w:rPr>
                  </w:pPr>
                  <w:r>
                    <w:rPr>
                      <w:rFonts w:hint="eastAsia" w:hAnsi="宋体" w:cs="宋体"/>
                      <w:sz w:val="21"/>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1559" w:type="dxa"/>
                </w:tcPr>
                <w:p>
                  <w:pPr>
                    <w:pStyle w:val="25"/>
                    <w:spacing w:after="0"/>
                    <w:rPr>
                      <w:rFonts w:hAnsi="宋体" w:cs="宋体"/>
                      <w:sz w:val="21"/>
                      <w:szCs w:val="21"/>
                    </w:rPr>
                  </w:pPr>
                  <w:r>
                    <w:rPr>
                      <w:rFonts w:hint="eastAsia" w:hAnsi="宋体" w:cs="宋体"/>
                      <w:sz w:val="21"/>
                      <w:szCs w:val="21"/>
                    </w:rPr>
                    <w:t>100-500</w:t>
                  </w:r>
                </w:p>
              </w:tc>
              <w:tc>
                <w:tcPr>
                  <w:tcW w:w="1361" w:type="dxa"/>
                </w:tcPr>
                <w:p>
                  <w:pPr>
                    <w:pStyle w:val="2"/>
                    <w:rPr>
                      <w:rFonts w:ascii="宋体" w:hAnsi="宋体" w:cs="宋体"/>
                      <w:szCs w:val="21"/>
                    </w:rPr>
                  </w:pPr>
                  <w:r>
                    <w:rPr>
                      <w:rFonts w:hint="eastAsia" w:ascii="宋体" w:hAnsi="宋体" w:cs="宋体"/>
                      <w:szCs w:val="21"/>
                    </w:rPr>
                    <w:t xml:space="preserve">1.1% </w:t>
                  </w:r>
                </w:p>
              </w:tc>
              <w:tc>
                <w:tcPr>
                  <w:tcW w:w="1461" w:type="dxa"/>
                </w:tcPr>
                <w:p>
                  <w:pPr>
                    <w:pStyle w:val="2"/>
                    <w:rPr>
                      <w:rFonts w:ascii="宋体" w:hAnsi="宋体" w:cs="宋体"/>
                      <w:szCs w:val="21"/>
                    </w:rPr>
                  </w:pPr>
                  <w:r>
                    <w:rPr>
                      <w:rFonts w:hint="eastAsia" w:ascii="宋体" w:hAnsi="宋体" w:cs="宋体"/>
                      <w:szCs w:val="21"/>
                    </w:rPr>
                    <w:t xml:space="preserve">0.8% </w:t>
                  </w:r>
                </w:p>
              </w:tc>
              <w:tc>
                <w:tcPr>
                  <w:tcW w:w="1461" w:type="dxa"/>
                </w:tcPr>
                <w:p>
                  <w:pPr>
                    <w:pStyle w:val="2"/>
                    <w:rPr>
                      <w:rFonts w:ascii="宋体" w:hAnsi="宋体" w:cs="宋体"/>
                      <w:szCs w:val="21"/>
                    </w:rPr>
                  </w:pPr>
                  <w:r>
                    <w:rPr>
                      <w:rFonts w:hint="eastAsia" w:ascii="宋体" w:hAnsi="宋体" w:cs="宋体"/>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pStyle w:val="25"/>
                    <w:spacing w:after="0"/>
                    <w:rPr>
                      <w:rFonts w:hAnsi="宋体" w:cs="宋体"/>
                      <w:sz w:val="21"/>
                      <w:szCs w:val="21"/>
                    </w:rPr>
                  </w:pPr>
                  <w:r>
                    <w:rPr>
                      <w:rFonts w:hint="eastAsia" w:hAnsi="宋体" w:cs="宋体"/>
                      <w:sz w:val="21"/>
                      <w:szCs w:val="21"/>
                    </w:rPr>
                    <w:t xml:space="preserve">500-1000 </w:t>
                  </w:r>
                </w:p>
              </w:tc>
              <w:tc>
                <w:tcPr>
                  <w:tcW w:w="1361" w:type="dxa"/>
                </w:tcPr>
                <w:p>
                  <w:pPr>
                    <w:pStyle w:val="2"/>
                    <w:rPr>
                      <w:rFonts w:ascii="宋体" w:hAnsi="宋体" w:cs="宋体"/>
                      <w:szCs w:val="21"/>
                    </w:rPr>
                  </w:pPr>
                  <w:r>
                    <w:rPr>
                      <w:rFonts w:hint="eastAsia" w:ascii="宋体" w:hAnsi="宋体" w:cs="宋体"/>
                      <w:szCs w:val="21"/>
                    </w:rPr>
                    <w:t>0.8%</w:t>
                  </w:r>
                </w:p>
              </w:tc>
              <w:tc>
                <w:tcPr>
                  <w:tcW w:w="1461" w:type="dxa"/>
                </w:tcPr>
                <w:p>
                  <w:pPr>
                    <w:pStyle w:val="2"/>
                    <w:rPr>
                      <w:rFonts w:ascii="宋体" w:hAnsi="宋体" w:cs="宋体"/>
                      <w:szCs w:val="21"/>
                    </w:rPr>
                  </w:pPr>
                  <w:r>
                    <w:rPr>
                      <w:rFonts w:hint="eastAsia" w:ascii="宋体" w:hAnsi="宋体" w:cs="宋体"/>
                      <w:szCs w:val="21"/>
                    </w:rPr>
                    <w:t>0.45%</w:t>
                  </w:r>
                </w:p>
              </w:tc>
              <w:tc>
                <w:tcPr>
                  <w:tcW w:w="1461" w:type="dxa"/>
                </w:tcPr>
                <w:p>
                  <w:pPr>
                    <w:pStyle w:val="2"/>
                    <w:rPr>
                      <w:rFonts w:ascii="宋体" w:hAnsi="宋体" w:cs="宋体"/>
                      <w:szCs w:val="21"/>
                    </w:rPr>
                  </w:pPr>
                  <w:r>
                    <w:rPr>
                      <w:rFonts w:hint="eastAsia" w:ascii="宋体" w:hAnsi="宋体" w:cs="宋体"/>
                      <w:szCs w:val="21"/>
                    </w:rPr>
                    <w:t xml:space="preserve">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pStyle w:val="25"/>
                    <w:spacing w:after="0"/>
                    <w:rPr>
                      <w:rFonts w:hAnsi="宋体" w:cs="宋体"/>
                      <w:sz w:val="21"/>
                      <w:szCs w:val="21"/>
                    </w:rPr>
                  </w:pPr>
                  <w:r>
                    <w:rPr>
                      <w:rFonts w:hint="eastAsia" w:hAnsi="宋体" w:cs="宋体"/>
                      <w:sz w:val="21"/>
                      <w:szCs w:val="21"/>
                    </w:rPr>
                    <w:t>1000-5000</w:t>
                  </w:r>
                </w:p>
              </w:tc>
              <w:tc>
                <w:tcPr>
                  <w:tcW w:w="1361" w:type="dxa"/>
                </w:tcPr>
                <w:p>
                  <w:pPr>
                    <w:pStyle w:val="2"/>
                    <w:rPr>
                      <w:rFonts w:ascii="宋体" w:hAnsi="宋体" w:cs="宋体"/>
                      <w:szCs w:val="21"/>
                    </w:rPr>
                  </w:pPr>
                  <w:r>
                    <w:rPr>
                      <w:rFonts w:hint="eastAsia" w:ascii="宋体" w:hAnsi="宋体" w:cs="宋体"/>
                      <w:szCs w:val="21"/>
                    </w:rPr>
                    <w:t xml:space="preserve">0.5% </w:t>
                  </w:r>
                </w:p>
              </w:tc>
              <w:tc>
                <w:tcPr>
                  <w:tcW w:w="1461" w:type="dxa"/>
                </w:tcPr>
                <w:p>
                  <w:pPr>
                    <w:pStyle w:val="2"/>
                    <w:rPr>
                      <w:rFonts w:ascii="宋体" w:hAnsi="宋体" w:cs="宋体"/>
                      <w:szCs w:val="21"/>
                    </w:rPr>
                  </w:pPr>
                  <w:r>
                    <w:rPr>
                      <w:rFonts w:hint="eastAsia" w:ascii="宋体" w:hAnsi="宋体" w:cs="宋体"/>
                      <w:szCs w:val="21"/>
                    </w:rPr>
                    <w:t>0.25%</w:t>
                  </w:r>
                </w:p>
              </w:tc>
              <w:tc>
                <w:tcPr>
                  <w:tcW w:w="1461" w:type="dxa"/>
                </w:tcPr>
                <w:p>
                  <w:pPr>
                    <w:pStyle w:val="2"/>
                    <w:rPr>
                      <w:rFonts w:ascii="宋体" w:hAnsi="宋体" w:cs="宋体"/>
                      <w:szCs w:val="21"/>
                    </w:rPr>
                  </w:pPr>
                  <w:r>
                    <w:rPr>
                      <w:rFonts w:hint="eastAsia" w:ascii="宋体" w:hAnsi="宋体" w:cs="宋体"/>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pStyle w:val="25"/>
                    <w:spacing w:after="0"/>
                    <w:rPr>
                      <w:rFonts w:hAnsi="宋体" w:cs="宋体"/>
                      <w:sz w:val="21"/>
                      <w:szCs w:val="21"/>
                    </w:rPr>
                  </w:pPr>
                  <w:r>
                    <w:rPr>
                      <w:rFonts w:hint="eastAsia" w:hAnsi="宋体" w:cs="宋体"/>
                      <w:sz w:val="21"/>
                      <w:szCs w:val="21"/>
                    </w:rPr>
                    <w:t>5000-10000</w:t>
                  </w:r>
                </w:p>
              </w:tc>
              <w:tc>
                <w:tcPr>
                  <w:tcW w:w="1361" w:type="dxa"/>
                </w:tcPr>
                <w:p>
                  <w:pPr>
                    <w:pStyle w:val="2"/>
                    <w:rPr>
                      <w:rFonts w:ascii="宋体" w:hAnsi="宋体" w:cs="宋体"/>
                      <w:szCs w:val="21"/>
                    </w:rPr>
                  </w:pPr>
                  <w:r>
                    <w:rPr>
                      <w:rFonts w:hint="eastAsia" w:ascii="宋体" w:hAnsi="宋体" w:cs="宋体"/>
                      <w:szCs w:val="21"/>
                    </w:rPr>
                    <w:t xml:space="preserve">0.25% </w:t>
                  </w:r>
                </w:p>
              </w:tc>
              <w:tc>
                <w:tcPr>
                  <w:tcW w:w="1461" w:type="dxa"/>
                </w:tcPr>
                <w:p>
                  <w:pPr>
                    <w:pStyle w:val="2"/>
                    <w:rPr>
                      <w:rFonts w:ascii="宋体" w:hAnsi="宋体" w:cs="宋体"/>
                      <w:szCs w:val="21"/>
                    </w:rPr>
                  </w:pPr>
                  <w:r>
                    <w:rPr>
                      <w:rFonts w:hint="eastAsia" w:ascii="宋体" w:hAnsi="宋体" w:cs="宋体"/>
                      <w:szCs w:val="21"/>
                    </w:rPr>
                    <w:t xml:space="preserve">0.1% </w:t>
                  </w:r>
                </w:p>
              </w:tc>
              <w:tc>
                <w:tcPr>
                  <w:tcW w:w="1461" w:type="dxa"/>
                </w:tcPr>
                <w:p>
                  <w:pPr>
                    <w:pStyle w:val="2"/>
                    <w:rPr>
                      <w:rFonts w:ascii="宋体" w:hAnsi="宋体" w:cs="宋体"/>
                      <w:szCs w:val="21"/>
                    </w:rPr>
                  </w:pPr>
                  <w:r>
                    <w:rPr>
                      <w:rFonts w:hint="eastAsia" w:ascii="宋体" w:hAnsi="宋体" w:cs="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Pr>
                <w:p>
                  <w:pPr>
                    <w:pStyle w:val="25"/>
                    <w:spacing w:after="0"/>
                    <w:rPr>
                      <w:rFonts w:hAnsi="宋体" w:cs="宋体"/>
                      <w:sz w:val="21"/>
                      <w:szCs w:val="21"/>
                    </w:rPr>
                  </w:pPr>
                  <w:r>
                    <w:rPr>
                      <w:rFonts w:hint="eastAsia" w:hAnsi="宋体" w:cs="宋体"/>
                      <w:sz w:val="21"/>
                      <w:szCs w:val="21"/>
                    </w:rPr>
                    <w:t xml:space="preserve">10000-100000 </w:t>
                  </w:r>
                </w:p>
              </w:tc>
              <w:tc>
                <w:tcPr>
                  <w:tcW w:w="1361" w:type="dxa"/>
                </w:tcPr>
                <w:p>
                  <w:pPr>
                    <w:pStyle w:val="2"/>
                    <w:rPr>
                      <w:rFonts w:ascii="宋体" w:hAnsi="宋体" w:cs="宋体"/>
                      <w:szCs w:val="21"/>
                    </w:rPr>
                  </w:pPr>
                  <w:r>
                    <w:rPr>
                      <w:rFonts w:hint="eastAsia" w:ascii="宋体" w:hAnsi="宋体" w:cs="宋体"/>
                      <w:szCs w:val="21"/>
                    </w:rPr>
                    <w:t xml:space="preserve">0.05% </w:t>
                  </w:r>
                </w:p>
              </w:tc>
              <w:tc>
                <w:tcPr>
                  <w:tcW w:w="1461" w:type="dxa"/>
                </w:tcPr>
                <w:p>
                  <w:pPr>
                    <w:pStyle w:val="2"/>
                    <w:rPr>
                      <w:rFonts w:ascii="宋体" w:hAnsi="宋体" w:cs="宋体"/>
                      <w:szCs w:val="21"/>
                    </w:rPr>
                  </w:pPr>
                  <w:r>
                    <w:rPr>
                      <w:rFonts w:hint="eastAsia" w:ascii="宋体" w:hAnsi="宋体" w:cs="宋体"/>
                      <w:szCs w:val="21"/>
                    </w:rPr>
                    <w:t xml:space="preserve">0.05% </w:t>
                  </w:r>
                </w:p>
              </w:tc>
              <w:tc>
                <w:tcPr>
                  <w:tcW w:w="1461" w:type="dxa"/>
                </w:tcPr>
                <w:p>
                  <w:pPr>
                    <w:pStyle w:val="2"/>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pStyle w:val="25"/>
                    <w:spacing w:after="0"/>
                    <w:rPr>
                      <w:rFonts w:hAnsi="宋体" w:cs="宋体"/>
                      <w:sz w:val="21"/>
                      <w:szCs w:val="21"/>
                    </w:rPr>
                  </w:pPr>
                  <w:r>
                    <w:rPr>
                      <w:rFonts w:hint="eastAsia" w:hAnsi="宋体" w:cs="宋体"/>
                      <w:sz w:val="21"/>
                      <w:szCs w:val="21"/>
                    </w:rPr>
                    <w:t>1000000以上</w:t>
                  </w:r>
                </w:p>
              </w:tc>
              <w:tc>
                <w:tcPr>
                  <w:tcW w:w="1361" w:type="dxa"/>
                </w:tcPr>
                <w:p>
                  <w:pPr>
                    <w:pStyle w:val="2"/>
                    <w:rPr>
                      <w:rFonts w:ascii="宋体" w:hAnsi="宋体" w:cs="宋体"/>
                      <w:szCs w:val="21"/>
                    </w:rPr>
                  </w:pPr>
                  <w:r>
                    <w:rPr>
                      <w:rFonts w:hint="eastAsia" w:ascii="宋体" w:hAnsi="宋体" w:cs="宋体"/>
                      <w:szCs w:val="21"/>
                    </w:rPr>
                    <w:t>0.01%</w:t>
                  </w:r>
                </w:p>
              </w:tc>
              <w:tc>
                <w:tcPr>
                  <w:tcW w:w="1461" w:type="dxa"/>
                </w:tcPr>
                <w:p>
                  <w:pPr>
                    <w:pStyle w:val="2"/>
                    <w:rPr>
                      <w:rFonts w:ascii="宋体" w:hAnsi="宋体" w:cs="宋体"/>
                      <w:szCs w:val="21"/>
                    </w:rPr>
                  </w:pPr>
                  <w:r>
                    <w:rPr>
                      <w:rFonts w:hint="eastAsia" w:ascii="宋体" w:hAnsi="宋体" w:cs="宋体"/>
                      <w:szCs w:val="21"/>
                    </w:rPr>
                    <w:t>0.01%</w:t>
                  </w:r>
                </w:p>
              </w:tc>
              <w:tc>
                <w:tcPr>
                  <w:tcW w:w="1461" w:type="dxa"/>
                </w:tcPr>
                <w:p>
                  <w:pPr>
                    <w:pStyle w:val="25"/>
                    <w:spacing w:after="0"/>
                    <w:rPr>
                      <w:rFonts w:hAnsi="宋体" w:cs="宋体"/>
                      <w:sz w:val="21"/>
                      <w:szCs w:val="21"/>
                    </w:rPr>
                  </w:pPr>
                  <w:r>
                    <w:rPr>
                      <w:rFonts w:hint="eastAsia" w:hAnsi="宋体" w:cs="宋体"/>
                      <w:sz w:val="21"/>
                      <w:szCs w:val="21"/>
                    </w:rPr>
                    <w:t>0.01%</w:t>
                  </w:r>
                </w:p>
              </w:tc>
            </w:tr>
          </w:tbl>
          <w:p>
            <w:pPr>
              <w:pStyle w:val="2"/>
            </w:pPr>
            <w:r>
              <w:rPr>
                <w:rFonts w:hint="eastAsia"/>
              </w:rPr>
              <w:t>注：1、按本表费率计算的收费为招标代理服务全过程的收费基准价格。</w:t>
            </w:r>
          </w:p>
          <w:p>
            <w:pPr>
              <w:pStyle w:val="2"/>
              <w:ind w:firstLine="420" w:firstLineChars="200"/>
              <w:rPr>
                <w:rFonts w:ascii="宋体" w:hAnsi="宋体" w:cs="宋体"/>
                <w:szCs w:val="21"/>
              </w:rPr>
            </w:pPr>
            <w:r>
              <w:rPr>
                <w:rFonts w:hint="eastAsia"/>
              </w:rPr>
              <w:t>2、招标代理服务收费按差额定率累进法计算。</w:t>
            </w:r>
          </w:p>
          <w:p>
            <w:pPr>
              <w:spacing w:line="360" w:lineRule="auto"/>
              <w:rPr>
                <w:rFonts w:ascii="宋体" w:hAnsi="宋体" w:cs="宋体"/>
                <w:szCs w:val="21"/>
              </w:rPr>
            </w:pPr>
            <w:r>
              <w:rPr>
                <w:rFonts w:hint="eastAsia" w:ascii="宋体" w:hAnsi="宋体" w:cs="宋体"/>
                <w:szCs w:val="21"/>
              </w:rPr>
              <w:t>供应商需在响应文件中承诺是否交纳采购代理服务费。</w:t>
            </w:r>
          </w:p>
          <w:p>
            <w:pPr>
              <w:spacing w:line="360" w:lineRule="auto"/>
              <w:rPr>
                <w:rFonts w:ascii="宋体" w:hAnsi="宋体" w:cs="宋体"/>
                <w:b/>
                <w:szCs w:val="21"/>
              </w:rPr>
            </w:pPr>
            <w:r>
              <w:rPr>
                <w:rFonts w:hint="eastAsia" w:ascii="宋体" w:hAnsi="宋体" w:cs="宋体"/>
                <w:b/>
                <w:szCs w:val="21"/>
              </w:rPr>
              <w:t>附：招标代理机构单位账户：</w:t>
            </w:r>
          </w:p>
          <w:p>
            <w:pPr>
              <w:spacing w:line="360" w:lineRule="auto"/>
              <w:rPr>
                <w:rFonts w:ascii="宋体" w:hAnsi="宋体" w:cs="宋体"/>
                <w:szCs w:val="21"/>
              </w:rPr>
            </w:pPr>
            <w:r>
              <w:rPr>
                <w:rFonts w:hint="eastAsia" w:ascii="宋体" w:hAnsi="宋体" w:cs="宋体"/>
                <w:szCs w:val="21"/>
              </w:rPr>
              <w:t>户    名：成都优引力项目管理有限公司</w:t>
            </w:r>
          </w:p>
          <w:p>
            <w:pPr>
              <w:spacing w:line="360" w:lineRule="auto"/>
              <w:rPr>
                <w:rFonts w:ascii="宋体" w:hAnsi="宋体" w:cs="宋体"/>
                <w:szCs w:val="21"/>
              </w:rPr>
            </w:pPr>
            <w:r>
              <w:rPr>
                <w:rFonts w:hint="eastAsia" w:ascii="宋体" w:hAnsi="宋体" w:cs="宋体"/>
                <w:szCs w:val="21"/>
              </w:rPr>
              <w:t>账    号：581891621600015</w:t>
            </w:r>
          </w:p>
          <w:p>
            <w:pPr>
              <w:spacing w:line="360" w:lineRule="auto"/>
              <w:rPr>
                <w:rFonts w:ascii="宋体" w:hAnsi="宋体" w:cs="宋体"/>
                <w:szCs w:val="21"/>
              </w:rPr>
            </w:pPr>
            <w:r>
              <w:rPr>
                <w:rFonts w:hint="eastAsia" w:ascii="宋体" w:hAnsi="宋体" w:cs="宋体"/>
                <w:szCs w:val="21"/>
              </w:rPr>
              <w:t>开 户 行：浙江民泰商业银行股份有限公司成都分行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2" w:hRule="atLeast"/>
          <w:jc w:val="center"/>
        </w:trPr>
        <w:tc>
          <w:tcPr>
            <w:tcW w:w="805" w:type="dxa"/>
            <w:vAlign w:val="center"/>
          </w:tcPr>
          <w:p>
            <w:pPr>
              <w:spacing w:line="360" w:lineRule="auto"/>
              <w:jc w:val="center"/>
              <w:rPr>
                <w:rFonts w:ascii="宋体" w:hAnsi="宋体" w:cs="宋体"/>
                <w:szCs w:val="21"/>
              </w:rPr>
            </w:pPr>
            <w:r>
              <w:rPr>
                <w:rFonts w:hint="eastAsia" w:ascii="宋体" w:hAnsi="宋体" w:cs="宋体"/>
                <w:szCs w:val="21"/>
              </w:rPr>
              <w:t>16</w:t>
            </w:r>
          </w:p>
        </w:tc>
        <w:tc>
          <w:tcPr>
            <w:tcW w:w="2451" w:type="dxa"/>
            <w:tcBorders>
              <w:right w:val="single" w:color="auto" w:sz="4" w:space="0"/>
            </w:tcBorders>
            <w:vAlign w:val="center"/>
          </w:tcPr>
          <w:p>
            <w:pPr>
              <w:pStyle w:val="50"/>
              <w:spacing w:line="360" w:lineRule="auto"/>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政府采购供应商信用融资</w:t>
            </w:r>
          </w:p>
        </w:tc>
        <w:tc>
          <w:tcPr>
            <w:tcW w:w="5869" w:type="dxa"/>
            <w:tcBorders>
              <w:left w:val="single" w:color="auto" w:sz="4" w:space="0"/>
            </w:tcBorders>
            <w:vAlign w:val="center"/>
          </w:tcPr>
          <w:p>
            <w:pPr>
              <w:pStyle w:val="50"/>
              <w:spacing w:line="360" w:lineRule="auto"/>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50"/>
              <w:spacing w:line="360" w:lineRule="auto"/>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根据川财采【2018】123号文《四川省财政厅关于推进四川省政府采购供应商信用融资工作的通知》，财政部门推进“政采贷”，银行和供应商按照自愿原则参与。供应商自愿选择是否申请“政采贷”，银行依据其内部审查制度和决策程序决定是否为供应商提供融资，自担风险。</w:t>
            </w:r>
          </w:p>
          <w:p>
            <w:pPr>
              <w:pStyle w:val="50"/>
              <w:spacing w:line="360" w:lineRule="auto"/>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jc w:val="center"/>
        </w:trPr>
        <w:tc>
          <w:tcPr>
            <w:tcW w:w="805" w:type="dxa"/>
            <w:vAlign w:val="center"/>
          </w:tcPr>
          <w:p>
            <w:pPr>
              <w:spacing w:line="360" w:lineRule="auto"/>
              <w:jc w:val="center"/>
              <w:rPr>
                <w:rFonts w:ascii="宋体" w:hAnsi="宋体" w:cs="宋体"/>
                <w:szCs w:val="21"/>
              </w:rPr>
            </w:pPr>
            <w:r>
              <w:rPr>
                <w:rFonts w:hint="eastAsia" w:ascii="宋体" w:hAnsi="宋体" w:cs="宋体"/>
                <w:szCs w:val="21"/>
              </w:rPr>
              <w:t>17</w:t>
            </w:r>
          </w:p>
        </w:tc>
        <w:tc>
          <w:tcPr>
            <w:tcW w:w="2451" w:type="dxa"/>
            <w:tcBorders>
              <w:right w:val="single" w:color="auto" w:sz="4" w:space="0"/>
            </w:tcBorders>
            <w:vAlign w:val="center"/>
          </w:tcPr>
          <w:p>
            <w:pPr>
              <w:pStyle w:val="50"/>
              <w:spacing w:line="360" w:lineRule="auto"/>
              <w:ind w:left="96"/>
              <w:jc w:val="center"/>
              <w:rPr>
                <w:color w:val="000000" w:themeColor="text1"/>
                <w:sz w:val="21"/>
                <w:szCs w:val="21"/>
                <w:highlight w:val="yellow"/>
                <w:lang w:val="zh-CN"/>
                <w14:textFill>
                  <w14:solidFill>
                    <w14:schemeClr w14:val="tx1"/>
                  </w14:solidFill>
                </w14:textFill>
              </w:rPr>
            </w:pPr>
            <w:r>
              <w:rPr>
                <w:rFonts w:hint="eastAsia"/>
                <w:color w:val="000000"/>
                <w:sz w:val="21"/>
                <w:szCs w:val="21"/>
                <w:lang w:val="zh-CN"/>
              </w:rPr>
              <w:t>本项目是否专门面向中小企业采购的项目</w:t>
            </w:r>
          </w:p>
        </w:tc>
        <w:tc>
          <w:tcPr>
            <w:tcW w:w="5869" w:type="dxa"/>
            <w:tcBorders>
              <w:left w:val="single" w:color="auto" w:sz="4" w:space="0"/>
            </w:tcBorders>
            <w:vAlign w:val="center"/>
          </w:tcPr>
          <w:p>
            <w:pPr>
              <w:spacing w:line="360" w:lineRule="auto"/>
              <w:ind w:right="105" w:rightChars="5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szCs w:val="21"/>
                <w:lang w:val="zh-CN"/>
              </w:rPr>
              <w:t>本项目</w:t>
            </w:r>
            <w:r>
              <w:rPr>
                <w:rFonts w:hint="eastAsia" w:ascii="宋体" w:hAnsi="宋体" w:cs="宋体"/>
                <w:b/>
                <w:color w:val="000000"/>
                <w:szCs w:val="21"/>
                <w:lang w:val="zh-CN"/>
              </w:rPr>
              <w:t>专门面向</w:t>
            </w:r>
            <w:r>
              <w:rPr>
                <w:rFonts w:hint="eastAsia" w:ascii="宋体" w:hAnsi="宋体" w:cs="宋体"/>
                <w:color w:val="000000"/>
                <w:szCs w:val="21"/>
                <w:lang w:val="zh-CN"/>
              </w:rPr>
              <w:t>中小企业，非中小企业参与的将视为无效投标</w:t>
            </w:r>
            <w:r>
              <w:rPr>
                <w:rFonts w:hint="eastAsia" w:ascii="宋体" w:hAnsi="宋体" w:cs="宋体"/>
                <w:color w:val="000000"/>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 w:hRule="atLeast"/>
          <w:jc w:val="center"/>
        </w:trPr>
        <w:tc>
          <w:tcPr>
            <w:tcW w:w="805" w:type="dxa"/>
            <w:vAlign w:val="center"/>
          </w:tcPr>
          <w:p>
            <w:pPr>
              <w:pStyle w:val="50"/>
              <w:spacing w:line="360" w:lineRule="auto"/>
              <w:jc w:val="center"/>
              <w:rPr>
                <w:sz w:val="21"/>
                <w:szCs w:val="21"/>
              </w:rPr>
            </w:pPr>
            <w:r>
              <w:rPr>
                <w:rFonts w:hint="eastAsia"/>
                <w:sz w:val="21"/>
                <w:szCs w:val="21"/>
              </w:rPr>
              <w:t>18</w:t>
            </w:r>
          </w:p>
        </w:tc>
        <w:tc>
          <w:tcPr>
            <w:tcW w:w="2451" w:type="dxa"/>
            <w:tcBorders>
              <w:right w:val="single" w:color="auto" w:sz="4" w:space="0"/>
            </w:tcBorders>
            <w:vAlign w:val="center"/>
          </w:tcPr>
          <w:p>
            <w:pPr>
              <w:pStyle w:val="50"/>
              <w:spacing w:line="360" w:lineRule="auto"/>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政府采购扶持政策</w:t>
            </w:r>
          </w:p>
        </w:tc>
        <w:tc>
          <w:tcPr>
            <w:tcW w:w="5869" w:type="dxa"/>
            <w:tcBorders>
              <w:left w:val="single" w:color="auto" w:sz="4" w:space="0"/>
            </w:tcBorders>
            <w:vAlign w:val="center"/>
          </w:tcPr>
          <w:p>
            <w:pPr>
              <w:pStyle w:val="50"/>
              <w:spacing w:line="360" w:lineRule="auto"/>
              <w:rPr>
                <w:b/>
                <w:bCs/>
                <w:color w:val="000000" w:themeColor="text1"/>
                <w:sz w:val="21"/>
                <w:szCs w:val="21"/>
                <w:lang w:val="zh-CN"/>
                <w14:textFill>
                  <w14:solidFill>
                    <w14:schemeClr w14:val="tx1"/>
                  </w14:solidFill>
                </w14:textFill>
              </w:rPr>
            </w:pPr>
            <w:r>
              <w:rPr>
                <w:rFonts w:hint="eastAsia"/>
                <w:b/>
                <w:bCs/>
                <w:color w:val="000000" w:themeColor="text1"/>
                <w:sz w:val="21"/>
                <w:szCs w:val="21"/>
                <w:lang w:val="zh-CN"/>
                <w14:textFill>
                  <w14:solidFill>
                    <w14:schemeClr w14:val="tx1"/>
                  </w14:solidFill>
                </w14:textFill>
              </w:rPr>
              <w:t>一、节能、环保产品政府采购政策：</w:t>
            </w:r>
          </w:p>
          <w:p>
            <w:pPr>
              <w:pStyle w:val="50"/>
              <w:spacing w:line="360" w:lineRule="auto"/>
              <w:rPr>
                <w:sz w:val="21"/>
                <w:szCs w:val="21"/>
                <w:lang w:val="zh-CN"/>
              </w:rPr>
            </w:pPr>
            <w:r>
              <w:rPr>
                <w:rFonts w:hint="eastAsia"/>
                <w:color w:val="000000" w:themeColor="text1"/>
                <w:sz w:val="21"/>
                <w:szCs w:val="21"/>
                <w:lang w:val="zh-CN"/>
                <w14:textFill>
                  <w14:solidFill>
                    <w14:schemeClr w14:val="tx1"/>
                  </w14:solidFill>
                </w14:textFill>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w:t>
            </w:r>
            <w:r>
              <w:rPr>
                <w:rFonts w:hint="eastAsia"/>
                <w:sz w:val="21"/>
                <w:szCs w:val="21"/>
                <w:lang w:val="zh-CN"/>
              </w:rPr>
              <w:t>的产品实施政府优先采购或强制采购。</w:t>
            </w:r>
          </w:p>
          <w:p>
            <w:pPr>
              <w:pStyle w:val="50"/>
              <w:spacing w:line="360" w:lineRule="auto"/>
              <w:rPr>
                <w:bCs/>
                <w:sz w:val="21"/>
                <w:szCs w:val="21"/>
                <w:lang w:val="zh-CN"/>
              </w:rPr>
            </w:pPr>
            <w:r>
              <w:rPr>
                <w:rFonts w:hint="eastAsia"/>
                <w:bCs/>
                <w:sz w:val="21"/>
                <w:szCs w:val="21"/>
                <w:lang w:val="zh-CN"/>
              </w:rPr>
              <w:t>本项目采购的产品属于品目清单强制采购范围的，供应商应当按招标文件要求提供证明材料。</w:t>
            </w:r>
          </w:p>
          <w:p>
            <w:pPr>
              <w:pStyle w:val="50"/>
              <w:spacing w:line="360" w:lineRule="auto"/>
              <w:rPr>
                <w:sz w:val="21"/>
                <w:szCs w:val="21"/>
                <w:lang w:val="zh-CN"/>
              </w:rPr>
            </w:pPr>
            <w:r>
              <w:rPr>
                <w:rFonts w:hint="eastAsia"/>
                <w:sz w:val="21"/>
                <w:szCs w:val="21"/>
                <w:lang w:val="zh-CN"/>
              </w:rPr>
              <w:t>本项目采购的产品属于品目清单优先采购范围的，按照第</w:t>
            </w:r>
            <w:r>
              <w:rPr>
                <w:rFonts w:hint="eastAsia"/>
                <w:sz w:val="21"/>
                <w:szCs w:val="21"/>
              </w:rPr>
              <w:t>七</w:t>
            </w:r>
            <w:r>
              <w:rPr>
                <w:rFonts w:hint="eastAsia"/>
                <w:sz w:val="21"/>
                <w:szCs w:val="21"/>
                <w:lang w:val="zh-CN"/>
              </w:rPr>
              <w:t>章《综合评分明细表》的规则进行加分。</w:t>
            </w:r>
          </w:p>
          <w:p>
            <w:pPr>
              <w:pStyle w:val="50"/>
              <w:spacing w:line="360" w:lineRule="auto"/>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注：对政府采购节能产品、环境标志产品实施品目清单管理。财政部、发展改革委、生态环境部等部门确定实施政府优先采购和强制采购的产品类别，以品目清单的形式发布并适时调整。</w:t>
            </w:r>
          </w:p>
          <w:p>
            <w:pPr>
              <w:pStyle w:val="50"/>
              <w:spacing w:line="360" w:lineRule="auto"/>
              <w:rPr>
                <w:b/>
                <w:bCs/>
                <w:color w:val="000000" w:themeColor="text1"/>
                <w:sz w:val="21"/>
                <w:szCs w:val="21"/>
                <w:lang w:val="zh-CN"/>
                <w14:textFill>
                  <w14:solidFill>
                    <w14:schemeClr w14:val="tx1"/>
                  </w14:solidFill>
                </w14:textFill>
              </w:rPr>
            </w:pPr>
            <w:r>
              <w:rPr>
                <w:rFonts w:hint="eastAsia"/>
                <w:b/>
                <w:bCs/>
                <w:color w:val="000000" w:themeColor="text1"/>
                <w:sz w:val="21"/>
                <w:szCs w:val="21"/>
                <w:lang w:val="zh-CN"/>
                <w14:textFill>
                  <w14:solidFill>
                    <w14:schemeClr w14:val="tx1"/>
                  </w14:solidFill>
                </w14:textFill>
              </w:rPr>
              <w:t>二、无线局域网产品政府采购政策：</w:t>
            </w:r>
          </w:p>
          <w:p>
            <w:pPr>
              <w:pStyle w:val="50"/>
              <w:spacing w:line="360" w:lineRule="auto"/>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本项目采购的产品属于中国政府采购网公布的《无线局域网认证产品政府采购清单》且在有效期内的，按照第七章《综合评分明细表》的规则进行加分。</w:t>
            </w:r>
          </w:p>
          <w:p>
            <w:pPr>
              <w:pStyle w:val="50"/>
              <w:spacing w:line="360" w:lineRule="auto"/>
              <w:rPr>
                <w:b/>
                <w:bCs/>
                <w:color w:val="000000" w:themeColor="text1"/>
                <w:sz w:val="21"/>
                <w:szCs w:val="21"/>
                <w:lang w:val="zh-CN"/>
                <w14:textFill>
                  <w14:solidFill>
                    <w14:schemeClr w14:val="tx1"/>
                  </w14:solidFill>
                </w14:textFill>
              </w:rPr>
            </w:pPr>
            <w:r>
              <w:rPr>
                <w:rFonts w:hint="eastAsia"/>
                <w:b/>
                <w:bCs/>
                <w:color w:val="000000" w:themeColor="text1"/>
                <w:sz w:val="21"/>
                <w:szCs w:val="21"/>
                <w:lang w:val="zh-CN"/>
                <w14:textFill>
                  <w14:solidFill>
                    <w14:schemeClr w14:val="tx1"/>
                  </w14:solidFill>
                </w14:textFill>
              </w:rPr>
              <w:t>三、扶持不发达地区和少数民族地区企业政策：</w:t>
            </w:r>
          </w:p>
          <w:p>
            <w:pPr>
              <w:spacing w:line="360" w:lineRule="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按照招标文件第七章3.6进行</w:t>
            </w:r>
            <w:r>
              <w:rPr>
                <w:rFonts w:hint="eastAsia" w:ascii="宋体" w:hAnsi="宋体" w:cs="宋体"/>
                <w:color w:val="000000" w:themeColor="text1"/>
                <w:szCs w:val="21"/>
                <w14:textFill>
                  <w14:solidFill>
                    <w14:schemeClr w14:val="tx1"/>
                  </w14:solidFill>
                </w14:textFill>
              </w:rPr>
              <w:t>扶持。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2" w:hRule="atLeast"/>
          <w:jc w:val="center"/>
        </w:trPr>
        <w:tc>
          <w:tcPr>
            <w:tcW w:w="805" w:type="dxa"/>
            <w:vAlign w:val="center"/>
          </w:tcPr>
          <w:p>
            <w:pPr>
              <w:pStyle w:val="50"/>
              <w:spacing w:line="360" w:lineRule="auto"/>
              <w:jc w:val="center"/>
              <w:rPr>
                <w:sz w:val="21"/>
                <w:szCs w:val="21"/>
              </w:rPr>
            </w:pPr>
            <w:r>
              <w:rPr>
                <w:rFonts w:hint="eastAsia"/>
                <w:sz w:val="21"/>
                <w:szCs w:val="21"/>
              </w:rPr>
              <w:t>19</w:t>
            </w:r>
          </w:p>
        </w:tc>
        <w:tc>
          <w:tcPr>
            <w:tcW w:w="8320" w:type="dxa"/>
            <w:gridSpan w:val="2"/>
            <w:vAlign w:val="center"/>
          </w:tcPr>
          <w:p>
            <w:pPr>
              <w:spacing w:line="360" w:lineRule="auto"/>
              <w:rPr>
                <w:rFonts w:ascii="宋体" w:hAnsi="宋体" w:cs="宋体"/>
                <w:color w:val="000000" w:themeColor="text1"/>
                <w:szCs w:val="21"/>
                <w:lang w:val="zh-CN"/>
                <w14:textFill>
                  <w14:solidFill>
                    <w14:schemeClr w14:val="tx1"/>
                  </w14:solidFill>
                </w14:textFill>
              </w:rPr>
            </w:pPr>
            <w:r>
              <w:rPr>
                <w:rFonts w:hint="eastAsia" w:ascii="宋体" w:hAnsi="宋体" w:cs="宋体"/>
                <w:b/>
                <w:bCs/>
                <w:szCs w:val="21"/>
              </w:rPr>
              <w:t>注：本前附表内容如与招标文件其他内容有不一致的，以本前附表为准。</w:t>
            </w:r>
          </w:p>
        </w:tc>
      </w:tr>
    </w:tbl>
    <w:p>
      <w:pPr>
        <w:rPr>
          <w:rFonts w:ascii="宋体" w:hAnsi="宋体" w:cs="宋体"/>
        </w:rPr>
      </w:pPr>
    </w:p>
    <w:p>
      <w:pPr>
        <w:rPr>
          <w:rFonts w:ascii="宋体" w:hAnsi="宋体" w:cs="宋体"/>
        </w:rPr>
      </w:pPr>
      <w:r>
        <w:rPr>
          <w:rFonts w:hint="eastAsia" w:ascii="宋体" w:hAnsi="宋体" w:cs="宋体"/>
        </w:rPr>
        <w:br w:type="page"/>
      </w:r>
    </w:p>
    <w:p>
      <w:pPr>
        <w:pStyle w:val="4"/>
        <w:spacing w:line="400" w:lineRule="exact"/>
        <w:jc w:val="center"/>
        <w:rPr>
          <w:rFonts w:ascii="宋体" w:hAnsi="宋体" w:eastAsia="宋体" w:cs="宋体"/>
          <w:bCs w:val="0"/>
        </w:rPr>
      </w:pPr>
      <w:r>
        <w:rPr>
          <w:rFonts w:hint="eastAsia" w:ascii="宋体" w:hAnsi="宋体" w:eastAsia="宋体" w:cs="宋体"/>
          <w:bCs w:val="0"/>
        </w:rPr>
        <w:t>二、总  则</w:t>
      </w:r>
    </w:p>
    <w:p>
      <w:pPr>
        <w:pStyle w:val="5"/>
        <w:spacing w:before="0" w:after="0" w:line="360" w:lineRule="auto"/>
        <w:ind w:firstLine="482" w:firstLineChars="200"/>
        <w:rPr>
          <w:rFonts w:ascii="宋体" w:hAnsi="宋体" w:cs="宋体"/>
          <w:sz w:val="24"/>
        </w:rPr>
      </w:pPr>
      <w:bookmarkStart w:id="12" w:name="_Toc183682342"/>
      <w:bookmarkStart w:id="13" w:name="_Toc183582205"/>
      <w:bookmarkStart w:id="14" w:name="_Toc217446034"/>
      <w:r>
        <w:rPr>
          <w:rFonts w:hint="eastAsia" w:ascii="宋体" w:hAnsi="宋体" w:cs="宋体"/>
          <w:sz w:val="24"/>
        </w:rPr>
        <w:t>1.</w:t>
      </w:r>
      <w:bookmarkEnd w:id="12"/>
      <w:bookmarkEnd w:id="13"/>
      <w:r>
        <w:rPr>
          <w:rFonts w:hint="eastAsia" w:ascii="宋体" w:hAnsi="宋体" w:cs="宋体"/>
          <w:sz w:val="24"/>
          <w:szCs w:val="24"/>
        </w:rPr>
        <w:t>适用范围</w:t>
      </w:r>
      <w:bookmarkEnd w:id="14"/>
    </w:p>
    <w:p>
      <w:pPr>
        <w:tabs>
          <w:tab w:val="left" w:pos="7665"/>
        </w:tabs>
        <w:spacing w:line="360" w:lineRule="auto"/>
        <w:ind w:firstLine="480" w:firstLineChars="200"/>
        <w:rPr>
          <w:rFonts w:ascii="宋体" w:hAnsi="宋体" w:cs="宋体"/>
          <w:sz w:val="24"/>
        </w:rPr>
      </w:pPr>
      <w:r>
        <w:rPr>
          <w:rFonts w:hint="eastAsia" w:ascii="宋体" w:hAnsi="宋体" w:cs="宋体"/>
          <w:sz w:val="24"/>
        </w:rPr>
        <w:t>1.1本招标文件仅适用于本次招标采购项目。</w:t>
      </w:r>
      <w:bookmarkStart w:id="15" w:name="_Toc183682343"/>
      <w:bookmarkStart w:id="16" w:name="_Toc183582206"/>
      <w:bookmarkStart w:id="17" w:name="_Toc217446035"/>
    </w:p>
    <w:p>
      <w:pPr>
        <w:pStyle w:val="2"/>
        <w:spacing w:line="360" w:lineRule="auto"/>
        <w:ind w:firstLine="420" w:firstLineChars="200"/>
        <w:rPr>
          <w:rFonts w:ascii="宋体" w:hAnsi="宋体" w:cs="宋体"/>
        </w:rPr>
      </w:pPr>
    </w:p>
    <w:p>
      <w:pPr>
        <w:pStyle w:val="5"/>
        <w:spacing w:before="0" w:after="0" w:line="360" w:lineRule="auto"/>
        <w:ind w:firstLine="482" w:firstLineChars="200"/>
        <w:rPr>
          <w:rFonts w:ascii="宋体" w:hAnsi="宋体" w:cs="宋体"/>
          <w:sz w:val="24"/>
        </w:rPr>
      </w:pPr>
      <w:r>
        <w:rPr>
          <w:rFonts w:hint="eastAsia" w:ascii="宋体" w:hAnsi="宋体" w:cs="宋体"/>
          <w:sz w:val="24"/>
        </w:rPr>
        <w:t>2.</w:t>
      </w:r>
      <w:bookmarkEnd w:id="15"/>
      <w:bookmarkEnd w:id="16"/>
      <w:r>
        <w:rPr>
          <w:rFonts w:hint="eastAsia" w:ascii="宋体" w:hAnsi="宋体" w:cs="宋体"/>
          <w:sz w:val="24"/>
        </w:rPr>
        <w:t>有关</w:t>
      </w:r>
      <w:r>
        <w:rPr>
          <w:rFonts w:hint="eastAsia" w:ascii="宋体" w:hAnsi="宋体" w:cs="宋体"/>
          <w:sz w:val="24"/>
          <w:szCs w:val="24"/>
        </w:rPr>
        <w:t>定义</w:t>
      </w:r>
      <w:bookmarkEnd w:id="17"/>
    </w:p>
    <w:p>
      <w:pPr>
        <w:tabs>
          <w:tab w:val="left" w:pos="7665"/>
        </w:tabs>
        <w:spacing w:line="360" w:lineRule="auto"/>
        <w:ind w:firstLine="480" w:firstLineChars="200"/>
        <w:rPr>
          <w:rFonts w:ascii="宋体" w:hAnsi="宋体" w:cs="宋体"/>
          <w:sz w:val="24"/>
        </w:rPr>
      </w:pPr>
      <w:r>
        <w:rPr>
          <w:rFonts w:hint="eastAsia" w:ascii="宋体" w:hAnsi="宋体" w:cs="宋体"/>
          <w:sz w:val="24"/>
        </w:rPr>
        <w:t>2.1“采购人”系指依法进行政府采购的国家机关、事业单位、团体组织。本次招标的采购人是</w:t>
      </w:r>
      <w:r>
        <w:rPr>
          <w:rFonts w:hint="eastAsia" w:ascii="宋体" w:hAnsi="宋体" w:cs="宋体"/>
          <w:sz w:val="24"/>
          <w:u w:val="single"/>
        </w:rPr>
        <w:t xml:space="preserve"> 简阳市行政审批局 </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r>
        <w:rPr>
          <w:rFonts w:hint="eastAsia" w:ascii="宋体" w:hAnsi="宋体" w:cs="宋体"/>
          <w:sz w:val="24"/>
        </w:rPr>
        <w:t>2.2“采购代理机构” 系指根据采购人的委托依法办理招标事宜的采购机构。本次招标的采购代理机构是</w:t>
      </w:r>
      <w:r>
        <w:rPr>
          <w:rFonts w:hint="eastAsia" w:ascii="宋体" w:hAnsi="宋体" w:cs="宋体"/>
          <w:sz w:val="24"/>
          <w:u w:val="single"/>
        </w:rPr>
        <w:t xml:space="preserve"> 成都优引力项目管理有限公司  </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r>
        <w:rPr>
          <w:rFonts w:hint="eastAsia" w:ascii="宋体" w:hAnsi="宋体" w:cs="宋体"/>
          <w:sz w:val="24"/>
        </w:rPr>
        <w:t>2.3“招标采购单位”系指“采购人”和“采购代理机构”的统称。</w:t>
      </w:r>
    </w:p>
    <w:p>
      <w:pPr>
        <w:tabs>
          <w:tab w:val="left" w:pos="7665"/>
        </w:tabs>
        <w:spacing w:line="360" w:lineRule="auto"/>
        <w:ind w:firstLine="480" w:firstLineChars="200"/>
        <w:rPr>
          <w:rFonts w:ascii="宋体" w:hAnsi="宋体" w:cs="宋体"/>
          <w:sz w:val="24"/>
        </w:rPr>
      </w:pPr>
      <w:r>
        <w:rPr>
          <w:rFonts w:hint="eastAsia" w:ascii="宋体" w:hAnsi="宋体" w:cs="宋体"/>
          <w:sz w:val="24"/>
        </w:rPr>
        <w:t>2.4“投标人”系指购买了招标文件拟参加投标和向采购人提供货物及相应服务的供应商。</w:t>
      </w:r>
      <w:bookmarkStart w:id="18" w:name="_Toc217390843"/>
      <w:bookmarkStart w:id="19" w:name="_Toc217446036"/>
      <w:bookmarkStart w:id="20" w:name="_Toc183582207"/>
      <w:bookmarkStart w:id="21" w:name="_Toc183682344"/>
    </w:p>
    <w:p>
      <w:pPr>
        <w:pStyle w:val="2"/>
        <w:spacing w:line="360" w:lineRule="auto"/>
        <w:ind w:firstLine="420" w:firstLineChars="200"/>
        <w:rPr>
          <w:rFonts w:ascii="宋体" w:hAnsi="宋体" w:cs="宋体"/>
        </w:rPr>
      </w:pPr>
    </w:p>
    <w:p>
      <w:pPr>
        <w:pStyle w:val="5"/>
        <w:spacing w:before="0" w:after="0" w:line="360" w:lineRule="auto"/>
        <w:ind w:firstLine="482" w:firstLineChars="200"/>
        <w:rPr>
          <w:rFonts w:ascii="宋体" w:hAnsi="宋体" w:cs="宋体"/>
          <w:sz w:val="24"/>
        </w:rPr>
      </w:pPr>
      <w:r>
        <w:rPr>
          <w:rFonts w:hint="eastAsia" w:ascii="宋体" w:hAnsi="宋体" w:cs="宋体"/>
          <w:sz w:val="24"/>
        </w:rPr>
        <w:t>3.合格的投标人</w:t>
      </w:r>
      <w:bookmarkEnd w:id="18"/>
      <w:bookmarkEnd w:id="19"/>
      <w:bookmarkEnd w:id="20"/>
      <w:bookmarkEnd w:id="21"/>
      <w:r>
        <w:rPr>
          <w:rFonts w:hint="eastAsia" w:ascii="宋体" w:hAnsi="宋体" w:cs="宋体"/>
          <w:sz w:val="24"/>
          <w:szCs w:val="24"/>
        </w:rPr>
        <w:t>（实质性要求）</w:t>
      </w:r>
    </w:p>
    <w:p>
      <w:pPr>
        <w:tabs>
          <w:tab w:val="left" w:pos="7665"/>
        </w:tabs>
        <w:spacing w:line="360" w:lineRule="auto"/>
        <w:ind w:firstLine="482" w:firstLineChars="200"/>
        <w:rPr>
          <w:rFonts w:ascii="宋体" w:hAnsi="宋体" w:cs="宋体"/>
          <w:sz w:val="24"/>
        </w:rPr>
      </w:pPr>
      <w:r>
        <w:rPr>
          <w:rFonts w:hint="eastAsia" w:ascii="宋体" w:hAnsi="宋体" w:cs="宋体"/>
          <w:b/>
          <w:sz w:val="24"/>
        </w:rPr>
        <w:t xml:space="preserve">  </w:t>
      </w:r>
      <w:r>
        <w:rPr>
          <w:rFonts w:hint="eastAsia" w:ascii="宋体" w:hAnsi="宋体" w:cs="宋体"/>
          <w:sz w:val="24"/>
        </w:rPr>
        <w:t>合格的投标人应具备以下条件：</w:t>
      </w:r>
    </w:p>
    <w:p>
      <w:pPr>
        <w:tabs>
          <w:tab w:val="left" w:pos="7665"/>
        </w:tabs>
        <w:spacing w:line="360" w:lineRule="auto"/>
        <w:ind w:firstLine="480" w:firstLineChars="200"/>
        <w:rPr>
          <w:rFonts w:ascii="宋体" w:hAnsi="宋体" w:cs="宋体"/>
          <w:spacing w:val="-4"/>
          <w:sz w:val="24"/>
        </w:rPr>
      </w:pPr>
      <w:r>
        <w:rPr>
          <w:rFonts w:hint="eastAsia" w:ascii="宋体" w:hAnsi="宋体" w:cs="宋体"/>
          <w:sz w:val="24"/>
        </w:rPr>
        <w:t>（1）本招标文件规定的供应商资格条件</w:t>
      </w:r>
      <w:r>
        <w:rPr>
          <w:rFonts w:hint="eastAsia" w:ascii="宋体" w:hAnsi="宋体" w:cs="宋体"/>
          <w:spacing w:val="-4"/>
          <w:sz w:val="24"/>
        </w:rPr>
        <w:t>；</w:t>
      </w:r>
    </w:p>
    <w:p>
      <w:pPr>
        <w:tabs>
          <w:tab w:val="left" w:pos="7665"/>
        </w:tabs>
        <w:spacing w:line="360" w:lineRule="auto"/>
        <w:ind w:firstLine="480" w:firstLineChars="200"/>
        <w:rPr>
          <w:rFonts w:ascii="宋体" w:hAnsi="宋体" w:cs="宋体"/>
          <w:sz w:val="24"/>
        </w:rPr>
      </w:pPr>
      <w:r>
        <w:rPr>
          <w:rFonts w:hint="eastAsia" w:ascii="宋体" w:hAnsi="宋体" w:cs="宋体"/>
          <w:sz w:val="24"/>
        </w:rPr>
        <w:t>（2）遵守国家有关的法律、法规、规章和其他政策制度；</w:t>
      </w:r>
    </w:p>
    <w:p>
      <w:pPr>
        <w:tabs>
          <w:tab w:val="left" w:pos="7665"/>
        </w:tabs>
        <w:spacing w:line="360" w:lineRule="auto"/>
        <w:ind w:firstLine="480" w:firstLineChars="200"/>
        <w:rPr>
          <w:rFonts w:ascii="宋体" w:hAnsi="宋体" w:cs="宋体"/>
          <w:sz w:val="24"/>
        </w:rPr>
      </w:pPr>
      <w:r>
        <w:rPr>
          <w:rFonts w:hint="eastAsia" w:ascii="宋体" w:hAnsi="宋体" w:cs="宋体"/>
          <w:sz w:val="24"/>
        </w:rPr>
        <w:t>（3）向采购代理机构购买了招标文件。</w:t>
      </w:r>
      <w:bookmarkStart w:id="22" w:name="_Toc183682345"/>
      <w:bookmarkStart w:id="23" w:name="_Toc217446037"/>
      <w:bookmarkStart w:id="24" w:name="_Toc183582208"/>
    </w:p>
    <w:p>
      <w:pPr>
        <w:pStyle w:val="2"/>
        <w:spacing w:line="360" w:lineRule="auto"/>
        <w:ind w:firstLine="420" w:firstLineChars="200"/>
        <w:rPr>
          <w:rFonts w:ascii="宋体" w:hAnsi="宋体" w:cs="宋体"/>
        </w:rPr>
      </w:pPr>
    </w:p>
    <w:p>
      <w:pPr>
        <w:pStyle w:val="5"/>
        <w:spacing w:before="0" w:after="0" w:line="360" w:lineRule="auto"/>
        <w:ind w:firstLine="482" w:firstLineChars="200"/>
        <w:rPr>
          <w:rFonts w:ascii="宋体" w:hAnsi="宋体" w:cs="宋体"/>
          <w:sz w:val="24"/>
        </w:rPr>
      </w:pPr>
      <w:r>
        <w:rPr>
          <w:rFonts w:hint="eastAsia" w:ascii="宋体" w:hAnsi="宋体" w:cs="宋体"/>
          <w:sz w:val="24"/>
        </w:rPr>
        <w:t>4.投标费用</w:t>
      </w:r>
      <w:bookmarkEnd w:id="22"/>
      <w:bookmarkEnd w:id="23"/>
      <w:bookmarkEnd w:id="24"/>
    </w:p>
    <w:p>
      <w:pPr>
        <w:tabs>
          <w:tab w:val="left" w:pos="7665"/>
        </w:tabs>
        <w:spacing w:line="360" w:lineRule="auto"/>
        <w:ind w:firstLine="480" w:firstLineChars="200"/>
        <w:rPr>
          <w:rFonts w:ascii="宋体" w:hAnsi="宋体" w:cs="宋体"/>
          <w:sz w:val="24"/>
        </w:rPr>
      </w:pPr>
      <w:r>
        <w:rPr>
          <w:rFonts w:hint="eastAsia" w:ascii="宋体" w:hAnsi="宋体" w:cs="宋体"/>
          <w:sz w:val="24"/>
        </w:rPr>
        <w:t>投标人参加投标的有关费用由投标人自行承担。</w:t>
      </w:r>
    </w:p>
    <w:p>
      <w:pPr>
        <w:pStyle w:val="2"/>
        <w:spacing w:line="360" w:lineRule="auto"/>
        <w:ind w:firstLine="420" w:firstLineChars="200"/>
        <w:rPr>
          <w:rFonts w:ascii="宋体" w:hAnsi="宋体" w:cs="宋体"/>
        </w:rPr>
      </w:pPr>
    </w:p>
    <w:p>
      <w:pPr>
        <w:pStyle w:val="5"/>
        <w:spacing w:before="0" w:after="0" w:line="360" w:lineRule="auto"/>
        <w:ind w:firstLine="482" w:firstLineChars="200"/>
        <w:rPr>
          <w:rFonts w:ascii="宋体" w:hAnsi="宋体" w:cs="宋体"/>
          <w:sz w:val="24"/>
        </w:rPr>
      </w:pPr>
      <w:r>
        <w:rPr>
          <w:rFonts w:hint="eastAsia" w:ascii="宋体" w:hAnsi="宋体" w:cs="宋体"/>
          <w:sz w:val="24"/>
        </w:rPr>
        <w:t>5.充分、公平竞争保障措施</w:t>
      </w:r>
      <w:r>
        <w:rPr>
          <w:rFonts w:hint="eastAsia" w:ascii="宋体" w:hAnsi="宋体" w:cs="宋体"/>
          <w:sz w:val="24"/>
          <w:szCs w:val="24"/>
        </w:rPr>
        <w:t>（实质性要求）</w:t>
      </w:r>
    </w:p>
    <w:p>
      <w:pPr>
        <w:pStyle w:val="55"/>
        <w:spacing w:line="360" w:lineRule="auto"/>
        <w:ind w:firstLine="482" w:firstLineChars="200"/>
        <w:rPr>
          <w:rFonts w:hAnsi="宋体" w:cs="宋体"/>
          <w:sz w:val="24"/>
        </w:rPr>
      </w:pPr>
      <w:bookmarkStart w:id="25" w:name="_Toc217446038"/>
      <w:bookmarkStart w:id="26" w:name="_Toc89075875"/>
      <w:bookmarkStart w:id="27" w:name="_Toc183682346"/>
      <w:bookmarkStart w:id="28" w:name="_Toc77400779"/>
      <w:bookmarkStart w:id="29" w:name="_Toc183582209"/>
      <w:r>
        <w:rPr>
          <w:rFonts w:hint="eastAsia" w:hAnsi="宋体" w:cs="宋体"/>
          <w:b/>
          <w:sz w:val="24"/>
        </w:rPr>
        <w:t>5.1利害关系供应商处理。</w:t>
      </w:r>
      <w:r>
        <w:rPr>
          <w:rFonts w:hint="eastAsia" w:hAnsi="宋体" w:cs="宋体"/>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55"/>
        <w:spacing w:line="360" w:lineRule="auto"/>
        <w:ind w:firstLine="482" w:firstLineChars="200"/>
        <w:rPr>
          <w:rFonts w:hAnsi="宋体" w:cs="宋体"/>
          <w:sz w:val="24"/>
        </w:rPr>
      </w:pPr>
      <w:r>
        <w:rPr>
          <w:rFonts w:hint="eastAsia" w:hAnsi="宋体" w:cs="宋体"/>
          <w:b/>
          <w:sz w:val="24"/>
        </w:rPr>
        <w:t>5.2前期参与供应商处理。</w:t>
      </w:r>
      <w:r>
        <w:rPr>
          <w:rFonts w:hint="eastAsia" w:hAnsi="宋体" w:cs="宋体"/>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5"/>
        <w:spacing w:line="360" w:lineRule="auto"/>
        <w:ind w:firstLine="482" w:firstLineChars="200"/>
        <w:rPr>
          <w:rFonts w:hAnsi="宋体" w:cs="宋体"/>
          <w:sz w:val="24"/>
        </w:rPr>
      </w:pPr>
      <w:r>
        <w:rPr>
          <w:rFonts w:hint="eastAsia" w:hAnsi="宋体" w:cs="宋体"/>
          <w:b/>
          <w:sz w:val="24"/>
        </w:rPr>
        <w:t>5.3利害关系代理人处理。</w:t>
      </w:r>
      <w:r>
        <w:rPr>
          <w:rFonts w:hint="eastAsia" w:hAnsi="宋体" w:cs="宋体"/>
          <w:sz w:val="24"/>
        </w:rPr>
        <w:t>2家以上的供应商不得在同一合同项下的采购项目中，同时委托同一个自然人、同一家庭的人员、同一单位的人员作为其代理人，否则，其投标文件作为无效处理。</w:t>
      </w:r>
    </w:p>
    <w:p>
      <w:pPr>
        <w:pStyle w:val="55"/>
        <w:spacing w:line="360" w:lineRule="auto"/>
        <w:ind w:firstLine="480" w:firstLineChars="200"/>
        <w:rPr>
          <w:rFonts w:hAnsi="宋体" w:cs="宋体"/>
          <w:sz w:val="24"/>
        </w:rPr>
      </w:pPr>
    </w:p>
    <w:p>
      <w:pPr>
        <w:pStyle w:val="4"/>
        <w:spacing w:before="0" w:after="0" w:line="360" w:lineRule="auto"/>
        <w:jc w:val="center"/>
        <w:rPr>
          <w:rFonts w:ascii="宋体" w:hAnsi="宋体" w:eastAsia="宋体" w:cs="宋体"/>
          <w:bCs w:val="0"/>
        </w:rPr>
      </w:pPr>
      <w:r>
        <w:rPr>
          <w:rFonts w:hint="eastAsia" w:ascii="宋体" w:hAnsi="宋体" w:eastAsia="宋体" w:cs="宋体"/>
          <w:bCs w:val="0"/>
        </w:rPr>
        <w:t>三、招标文件</w:t>
      </w:r>
      <w:bookmarkEnd w:id="25"/>
      <w:bookmarkEnd w:id="26"/>
      <w:bookmarkEnd w:id="27"/>
      <w:bookmarkEnd w:id="28"/>
      <w:bookmarkEnd w:id="29"/>
    </w:p>
    <w:p>
      <w:pPr>
        <w:pStyle w:val="5"/>
        <w:spacing w:before="0" w:after="0" w:line="360" w:lineRule="auto"/>
        <w:ind w:firstLine="482" w:firstLineChars="200"/>
        <w:rPr>
          <w:rFonts w:ascii="宋体" w:hAnsi="宋体" w:cs="宋体"/>
          <w:sz w:val="24"/>
        </w:rPr>
      </w:pPr>
      <w:bookmarkStart w:id="30" w:name="_Toc183682347"/>
      <w:bookmarkStart w:id="31" w:name="_Toc183582210"/>
      <w:bookmarkStart w:id="32" w:name="_Toc217446039"/>
      <w:r>
        <w:rPr>
          <w:rFonts w:hint="eastAsia" w:ascii="宋体" w:hAnsi="宋体" w:cs="宋体"/>
          <w:sz w:val="24"/>
        </w:rPr>
        <w:t>6．招标文件的构成</w:t>
      </w:r>
      <w:bookmarkEnd w:id="30"/>
      <w:bookmarkEnd w:id="31"/>
      <w:bookmarkEnd w:id="32"/>
    </w:p>
    <w:p>
      <w:pPr>
        <w:tabs>
          <w:tab w:val="left" w:pos="7665"/>
        </w:tabs>
        <w:spacing w:line="360" w:lineRule="auto"/>
        <w:ind w:firstLine="480" w:firstLineChars="200"/>
        <w:rPr>
          <w:rFonts w:ascii="宋体" w:hAnsi="宋体" w:cs="宋体"/>
          <w:sz w:val="24"/>
        </w:rPr>
      </w:pPr>
      <w:r>
        <w:rPr>
          <w:rFonts w:hint="eastAsia" w:ascii="宋体" w:hAnsi="宋体" w:cs="宋体"/>
          <w:sz w:val="24"/>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360" w:lineRule="auto"/>
        <w:ind w:firstLine="480" w:firstLineChars="200"/>
        <w:rPr>
          <w:rFonts w:ascii="宋体" w:hAnsi="宋体" w:cs="宋体"/>
          <w:sz w:val="24"/>
        </w:rPr>
      </w:pPr>
      <w:r>
        <w:rPr>
          <w:rFonts w:hint="eastAsia" w:ascii="宋体" w:hAnsi="宋体" w:cs="宋体"/>
          <w:sz w:val="24"/>
        </w:rPr>
        <w:t>（一）投标邀请；</w:t>
      </w:r>
    </w:p>
    <w:p>
      <w:pPr>
        <w:tabs>
          <w:tab w:val="left" w:pos="720"/>
        </w:tabs>
        <w:spacing w:line="360" w:lineRule="auto"/>
        <w:ind w:firstLine="480" w:firstLineChars="200"/>
        <w:rPr>
          <w:rFonts w:ascii="宋体" w:hAnsi="宋体" w:cs="宋体"/>
          <w:sz w:val="24"/>
        </w:rPr>
      </w:pPr>
      <w:r>
        <w:rPr>
          <w:rFonts w:hint="eastAsia" w:ascii="宋体" w:hAnsi="宋体" w:cs="宋体"/>
          <w:sz w:val="24"/>
        </w:rPr>
        <w:t>（二）投标人须知；</w:t>
      </w:r>
    </w:p>
    <w:p>
      <w:pPr>
        <w:tabs>
          <w:tab w:val="left" w:pos="720"/>
        </w:tabs>
        <w:spacing w:line="360" w:lineRule="auto"/>
        <w:ind w:firstLine="480" w:firstLineChars="200"/>
        <w:rPr>
          <w:rFonts w:ascii="宋体" w:hAnsi="宋体" w:cs="宋体"/>
          <w:sz w:val="24"/>
        </w:rPr>
      </w:pPr>
      <w:r>
        <w:rPr>
          <w:rFonts w:hint="eastAsia" w:ascii="宋体" w:hAnsi="宋体" w:cs="宋体"/>
          <w:sz w:val="24"/>
        </w:rPr>
        <w:t>（三）投标文件格式；</w:t>
      </w:r>
    </w:p>
    <w:p>
      <w:pPr>
        <w:tabs>
          <w:tab w:val="left" w:pos="720"/>
        </w:tabs>
        <w:spacing w:line="360" w:lineRule="auto"/>
        <w:ind w:firstLine="480" w:firstLineChars="200"/>
        <w:rPr>
          <w:rFonts w:ascii="宋体" w:hAnsi="宋体" w:cs="宋体"/>
          <w:sz w:val="24"/>
        </w:rPr>
      </w:pPr>
      <w:r>
        <w:rPr>
          <w:rFonts w:hint="eastAsia" w:ascii="宋体" w:hAnsi="宋体" w:cs="宋体"/>
          <w:sz w:val="24"/>
        </w:rPr>
        <w:t>（四）投标人和投标产品的资格、资质性及其他类似效力要求；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（五）投标人应当提供的资格、资质性及其他类似效力要求的相关证明材料；</w:t>
      </w:r>
    </w:p>
    <w:p>
      <w:pPr>
        <w:tabs>
          <w:tab w:val="left" w:pos="720"/>
        </w:tabs>
        <w:spacing w:line="360" w:lineRule="auto"/>
        <w:ind w:firstLine="480" w:firstLineChars="200"/>
        <w:rPr>
          <w:rFonts w:ascii="宋体" w:hAnsi="宋体" w:cs="宋体"/>
          <w:sz w:val="24"/>
        </w:rPr>
      </w:pPr>
      <w:r>
        <w:rPr>
          <w:rFonts w:hint="eastAsia" w:ascii="宋体" w:hAnsi="宋体" w:cs="宋体"/>
          <w:sz w:val="24"/>
        </w:rPr>
        <w:t>（六）招标项目服务、商务及其他要求；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（七）评标办法；</w:t>
      </w:r>
    </w:p>
    <w:p>
      <w:pPr>
        <w:tabs>
          <w:tab w:val="left" w:pos="720"/>
        </w:tabs>
        <w:spacing w:line="360" w:lineRule="auto"/>
        <w:ind w:firstLine="480" w:firstLineChars="200"/>
        <w:rPr>
          <w:rFonts w:ascii="宋体" w:hAnsi="宋体" w:cs="宋体"/>
          <w:sz w:val="24"/>
        </w:rPr>
      </w:pPr>
      <w:r>
        <w:rPr>
          <w:rFonts w:hint="eastAsia" w:ascii="宋体" w:hAnsi="宋体" w:cs="宋体"/>
          <w:sz w:val="24"/>
        </w:rPr>
        <w:t>（八）合同主要条款。</w:t>
      </w:r>
      <w:bookmarkStart w:id="33" w:name="_Toc183582211"/>
      <w:bookmarkStart w:id="34" w:name="_Toc183682348"/>
      <w:bookmarkStart w:id="35" w:name="_Toc217446040"/>
    </w:p>
    <w:p>
      <w:pPr>
        <w:pStyle w:val="2"/>
        <w:spacing w:line="360" w:lineRule="auto"/>
        <w:ind w:firstLine="420" w:firstLineChars="200"/>
        <w:rPr>
          <w:rFonts w:ascii="宋体" w:hAnsi="宋体" w:cs="宋体"/>
        </w:rPr>
      </w:pPr>
    </w:p>
    <w:p>
      <w:pPr>
        <w:pStyle w:val="5"/>
        <w:spacing w:before="0" w:after="0" w:line="360" w:lineRule="auto"/>
        <w:ind w:firstLine="482" w:firstLineChars="200"/>
        <w:rPr>
          <w:rFonts w:ascii="宋体" w:hAnsi="宋体" w:cs="宋体"/>
          <w:sz w:val="24"/>
        </w:rPr>
      </w:pPr>
      <w:r>
        <w:rPr>
          <w:rFonts w:hint="eastAsia" w:ascii="宋体" w:hAnsi="宋体" w:cs="宋体"/>
          <w:sz w:val="24"/>
        </w:rPr>
        <w:t>7.招标文件的澄清</w:t>
      </w:r>
      <w:bookmarkEnd w:id="33"/>
      <w:bookmarkEnd w:id="34"/>
      <w:r>
        <w:rPr>
          <w:rFonts w:hint="eastAsia" w:ascii="宋体" w:hAnsi="宋体" w:cs="宋体"/>
          <w:sz w:val="24"/>
        </w:rPr>
        <w:t>和修改</w:t>
      </w:r>
      <w:bookmarkEnd w:id="35"/>
    </w:p>
    <w:p>
      <w:pPr>
        <w:tabs>
          <w:tab w:val="left" w:pos="7665"/>
        </w:tabs>
        <w:spacing w:line="360" w:lineRule="auto"/>
        <w:ind w:firstLine="480" w:firstLineChars="200"/>
        <w:rPr>
          <w:rFonts w:ascii="宋体" w:hAnsi="宋体" w:cs="宋体"/>
          <w:sz w:val="24"/>
        </w:rPr>
      </w:pPr>
      <w:r>
        <w:rPr>
          <w:rFonts w:hint="eastAsia" w:ascii="宋体" w:hAnsi="宋体" w:cs="宋体"/>
          <w:sz w:val="24"/>
        </w:rPr>
        <w:t>7.1招标采购单位可以依法对招标文件进行澄清或者修改。</w:t>
      </w:r>
    </w:p>
    <w:p>
      <w:pPr>
        <w:tabs>
          <w:tab w:val="left" w:pos="7665"/>
        </w:tabs>
        <w:spacing w:line="360" w:lineRule="auto"/>
        <w:ind w:firstLine="480" w:firstLineChars="200"/>
        <w:rPr>
          <w:rFonts w:ascii="宋体" w:hAnsi="宋体" w:cs="宋体"/>
          <w:sz w:val="24"/>
        </w:rPr>
      </w:pPr>
      <w:r>
        <w:rPr>
          <w:rFonts w:hint="eastAsia" w:ascii="宋体" w:hAnsi="宋体" w:cs="宋体"/>
          <w:sz w:val="24"/>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采购人或者采购代理机构发布公告并书面通知供应商的时间，应当在投标截止时间至少15日前，不足上述时间的，应当顺延提交投标文件的截止时间。</w:t>
      </w:r>
    </w:p>
    <w:p>
      <w:pPr>
        <w:tabs>
          <w:tab w:val="left" w:pos="7665"/>
        </w:tabs>
        <w:spacing w:line="360" w:lineRule="auto"/>
        <w:ind w:firstLine="480" w:firstLineChars="200"/>
        <w:rPr>
          <w:rFonts w:ascii="宋体" w:hAnsi="宋体" w:cs="宋体"/>
          <w:sz w:val="24"/>
        </w:rPr>
      </w:pPr>
      <w:r>
        <w:rPr>
          <w:rFonts w:hint="eastAsia" w:ascii="宋体" w:hAnsi="宋体" w:cs="宋体"/>
          <w:sz w:val="24"/>
        </w:rPr>
        <w:t>7.3投标人认为需要对招标文件进行澄清或者修改的，可以以书面形式向招标采购单位构提出申请，但招标采购单位可以决定是否采纳投标人的申请事项。</w:t>
      </w:r>
      <w:bookmarkStart w:id="36" w:name="_Toc208848971"/>
      <w:bookmarkStart w:id="37" w:name="_Toc217446041"/>
    </w:p>
    <w:p>
      <w:pPr>
        <w:pStyle w:val="2"/>
        <w:spacing w:line="360" w:lineRule="auto"/>
        <w:ind w:firstLine="480" w:firstLineChars="200"/>
      </w:pPr>
      <w:r>
        <w:rPr>
          <w:rFonts w:hint="eastAsia" w:ascii="宋体" w:hAnsi="宋体" w:cs="宋体"/>
          <w:sz w:val="24"/>
        </w:rPr>
        <w:t>7.4更正通知通过政府采购云平台通知所有获取招标文件的潜在供应商。</w:t>
      </w:r>
    </w:p>
    <w:p>
      <w:pPr>
        <w:pStyle w:val="2"/>
        <w:spacing w:line="360" w:lineRule="auto"/>
        <w:ind w:firstLine="420" w:firstLineChars="200"/>
        <w:rPr>
          <w:rFonts w:ascii="宋体" w:hAnsi="宋体" w:cs="宋体"/>
        </w:rPr>
      </w:pPr>
    </w:p>
    <w:p>
      <w:pPr>
        <w:pStyle w:val="5"/>
        <w:spacing w:before="0" w:after="0" w:line="360" w:lineRule="auto"/>
        <w:ind w:firstLine="482" w:firstLineChars="200"/>
        <w:rPr>
          <w:rFonts w:ascii="宋体" w:hAnsi="宋体" w:cs="宋体"/>
          <w:sz w:val="24"/>
        </w:rPr>
      </w:pPr>
      <w:r>
        <w:rPr>
          <w:rFonts w:hint="eastAsia" w:ascii="宋体" w:hAnsi="宋体" w:cs="宋体"/>
          <w:sz w:val="24"/>
        </w:rPr>
        <w:t>8.答疑会和现场考察</w:t>
      </w:r>
      <w:bookmarkEnd w:id="36"/>
      <w:bookmarkEnd w:id="37"/>
    </w:p>
    <w:p>
      <w:pPr>
        <w:tabs>
          <w:tab w:val="left" w:pos="7665"/>
        </w:tabs>
        <w:spacing w:line="360" w:lineRule="auto"/>
        <w:ind w:firstLine="480" w:firstLineChars="200"/>
        <w:rPr>
          <w:rFonts w:ascii="宋体" w:hAnsi="宋体" w:cs="宋体"/>
          <w:sz w:val="24"/>
        </w:rPr>
      </w:pPr>
      <w:r>
        <w:rPr>
          <w:rFonts w:hint="eastAsia" w:ascii="宋体" w:hAnsi="宋体" w:cs="宋体"/>
          <w:sz w:val="24"/>
        </w:rPr>
        <w:t>8.1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360" w:lineRule="auto"/>
        <w:ind w:firstLine="480" w:firstLineChars="200"/>
        <w:rPr>
          <w:rFonts w:ascii="宋体" w:hAnsi="宋体" w:cs="宋体"/>
          <w:sz w:val="24"/>
        </w:rPr>
      </w:pPr>
      <w:r>
        <w:rPr>
          <w:rFonts w:hint="eastAsia" w:ascii="宋体" w:hAnsi="宋体" w:cs="宋体"/>
          <w:sz w:val="24"/>
        </w:rPr>
        <w:t>8.2供应商考察现场所发生的一切费用由供应商自己承担。</w:t>
      </w:r>
      <w:bookmarkStart w:id="38" w:name="_Toc89075876"/>
      <w:bookmarkStart w:id="39" w:name="_Toc77400780"/>
      <w:bookmarkStart w:id="40" w:name="_Toc217446042"/>
      <w:bookmarkStart w:id="41" w:name="_Toc183582214"/>
      <w:bookmarkStart w:id="42" w:name="_Toc183682351"/>
    </w:p>
    <w:p>
      <w:pPr>
        <w:pStyle w:val="2"/>
        <w:rPr>
          <w:rFonts w:ascii="宋体" w:hAnsi="宋体" w:cs="宋体"/>
        </w:rPr>
      </w:pPr>
    </w:p>
    <w:p>
      <w:pPr>
        <w:pStyle w:val="4"/>
        <w:spacing w:before="0" w:after="0" w:line="360" w:lineRule="auto"/>
        <w:jc w:val="center"/>
        <w:rPr>
          <w:rFonts w:ascii="宋体" w:hAnsi="宋体" w:eastAsia="宋体" w:cs="宋体"/>
          <w:bCs w:val="0"/>
        </w:rPr>
      </w:pPr>
      <w:r>
        <w:rPr>
          <w:rFonts w:hint="eastAsia" w:ascii="宋体" w:hAnsi="宋体" w:eastAsia="宋体" w:cs="宋体"/>
          <w:bCs w:val="0"/>
        </w:rPr>
        <w:t>四、投标文件</w:t>
      </w:r>
      <w:bookmarkEnd w:id="38"/>
      <w:bookmarkEnd w:id="39"/>
      <w:bookmarkEnd w:id="40"/>
      <w:bookmarkEnd w:id="41"/>
      <w:bookmarkEnd w:id="42"/>
    </w:p>
    <w:p>
      <w:pPr>
        <w:pStyle w:val="5"/>
        <w:spacing w:before="0" w:after="0" w:line="360" w:lineRule="auto"/>
        <w:ind w:firstLine="482" w:firstLineChars="200"/>
        <w:rPr>
          <w:rFonts w:ascii="宋体" w:hAnsi="宋体" w:cs="宋体"/>
          <w:bCs w:val="0"/>
          <w:sz w:val="24"/>
        </w:rPr>
      </w:pPr>
      <w:bookmarkStart w:id="43" w:name="_Toc183682352"/>
      <w:bookmarkStart w:id="44" w:name="_Toc217446043"/>
      <w:bookmarkStart w:id="45" w:name="_Toc183582215"/>
      <w:r>
        <w:rPr>
          <w:rFonts w:hint="eastAsia" w:ascii="宋体" w:hAnsi="宋体" w:cs="宋体"/>
          <w:bCs w:val="0"/>
          <w:sz w:val="24"/>
        </w:rPr>
        <w:t>9.投标文件的语言</w:t>
      </w:r>
      <w:bookmarkEnd w:id="43"/>
      <w:bookmarkEnd w:id="44"/>
      <w:bookmarkEnd w:id="45"/>
      <w:r>
        <w:rPr>
          <w:rFonts w:hint="eastAsia" w:ascii="宋体" w:hAnsi="宋体" w:cs="宋体"/>
          <w:sz w:val="24"/>
          <w:szCs w:val="24"/>
        </w:rPr>
        <w:t>（实质性要求）</w:t>
      </w:r>
    </w:p>
    <w:p>
      <w:pPr>
        <w:tabs>
          <w:tab w:val="left" w:pos="1134"/>
        </w:tabs>
        <w:spacing w:line="360" w:lineRule="auto"/>
        <w:ind w:firstLine="480" w:firstLineChars="200"/>
        <w:jc w:val="left"/>
        <w:rPr>
          <w:rFonts w:ascii="宋体" w:hAnsi="宋体" w:cs="宋体"/>
          <w:sz w:val="24"/>
        </w:rPr>
      </w:pPr>
      <w:bookmarkStart w:id="46" w:name="_Toc183582216"/>
      <w:bookmarkStart w:id="47" w:name="_Toc217446044"/>
      <w:bookmarkStart w:id="48" w:name="_Toc183682353"/>
      <w:r>
        <w:rPr>
          <w:rFonts w:hint="eastAsia" w:ascii="宋体" w:hAnsi="宋体" w:cs="宋体"/>
          <w:sz w:val="24"/>
        </w:rPr>
        <w:t>9.1投标人提交的投标文件以及投标人与招标采购单位就有关投标的所有来往书面文件均须使用中文。投标文件中如附有外文资料，主要部分对应翻译成中文并加盖投标人公章后附在相关外文资料后面。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9.2翻译的中文资料与外文资料如果出现差异和矛盾时，以中文为准。涉嫌虚假响应的按照相关法律法规处理。</w:t>
      </w:r>
    </w:p>
    <w:p>
      <w:pPr>
        <w:spacing w:line="360" w:lineRule="auto"/>
        <w:ind w:firstLine="480" w:firstLineChars="200"/>
        <w:rPr>
          <w:rFonts w:ascii="宋体" w:hAnsi="宋体" w:cs="宋体"/>
          <w:sz w:val="24"/>
        </w:rPr>
      </w:pPr>
      <w:r>
        <w:rPr>
          <w:rFonts w:hint="eastAsia" w:ascii="宋体" w:hAnsi="宋体" w:cs="宋体"/>
          <w:sz w:val="24"/>
        </w:rPr>
        <w:t>9.3如因未翻译而造成的废标，由投标人承担。</w:t>
      </w:r>
    </w:p>
    <w:p>
      <w:pPr>
        <w:pStyle w:val="2"/>
        <w:spacing w:line="360" w:lineRule="auto"/>
        <w:ind w:firstLine="420" w:firstLineChars="200"/>
        <w:rPr>
          <w:rFonts w:ascii="宋体" w:hAnsi="宋体" w:cs="宋体"/>
        </w:rPr>
      </w:pPr>
    </w:p>
    <w:p>
      <w:pPr>
        <w:pStyle w:val="5"/>
        <w:spacing w:before="0" w:after="0" w:line="360" w:lineRule="auto"/>
        <w:ind w:firstLine="482" w:firstLineChars="200"/>
        <w:rPr>
          <w:rFonts w:ascii="宋体" w:hAnsi="宋体" w:cs="宋体"/>
          <w:sz w:val="24"/>
        </w:rPr>
      </w:pPr>
      <w:r>
        <w:rPr>
          <w:rFonts w:hint="eastAsia" w:ascii="宋体" w:hAnsi="宋体" w:cs="宋体"/>
          <w:sz w:val="24"/>
        </w:rPr>
        <w:t>10．计量单位</w:t>
      </w:r>
      <w:bookmarkEnd w:id="46"/>
      <w:bookmarkEnd w:id="47"/>
      <w:bookmarkEnd w:id="48"/>
      <w:r>
        <w:rPr>
          <w:rFonts w:hint="eastAsia" w:ascii="宋体" w:hAnsi="宋体" w:cs="宋体"/>
          <w:sz w:val="24"/>
          <w:szCs w:val="24"/>
        </w:rPr>
        <w:t>（实质性要求）</w:t>
      </w:r>
    </w:p>
    <w:p>
      <w:pPr>
        <w:spacing w:line="360" w:lineRule="auto"/>
        <w:ind w:firstLine="480" w:firstLineChars="200"/>
        <w:rPr>
          <w:rFonts w:ascii="宋体" w:hAnsi="宋体" w:cs="宋体"/>
          <w:sz w:val="24"/>
        </w:rPr>
      </w:pPr>
      <w:r>
        <w:rPr>
          <w:rFonts w:hint="eastAsia" w:ascii="宋体" w:hAnsi="宋体" w:cs="宋体"/>
          <w:sz w:val="24"/>
        </w:rPr>
        <w:t>除招标文件中另有规定外，本次采购项目所有合同项下的投标均采用国家法定的计量单位。</w:t>
      </w:r>
      <w:bookmarkStart w:id="49" w:name="_Toc217446045"/>
    </w:p>
    <w:p>
      <w:pPr>
        <w:pStyle w:val="2"/>
        <w:spacing w:line="360" w:lineRule="auto"/>
        <w:ind w:firstLine="420" w:firstLineChars="200"/>
        <w:rPr>
          <w:rFonts w:ascii="宋体" w:hAnsi="宋体" w:cs="宋体"/>
        </w:rPr>
      </w:pPr>
    </w:p>
    <w:p>
      <w:pPr>
        <w:pStyle w:val="5"/>
        <w:spacing w:before="0" w:after="0" w:line="360" w:lineRule="auto"/>
        <w:ind w:firstLine="482" w:firstLineChars="200"/>
        <w:rPr>
          <w:rFonts w:ascii="宋体" w:hAnsi="宋体" w:cs="宋体"/>
          <w:sz w:val="24"/>
        </w:rPr>
      </w:pPr>
      <w:r>
        <w:rPr>
          <w:rFonts w:hint="eastAsia" w:ascii="宋体" w:hAnsi="宋体" w:cs="宋体"/>
          <w:sz w:val="24"/>
        </w:rPr>
        <w:t>11.投标货币</w:t>
      </w:r>
      <w:bookmarkEnd w:id="49"/>
      <w:r>
        <w:rPr>
          <w:rFonts w:hint="eastAsia" w:ascii="宋体" w:hAnsi="宋体" w:cs="宋体"/>
          <w:sz w:val="24"/>
        </w:rPr>
        <w:t>（实质性要求）</w:t>
      </w:r>
    </w:p>
    <w:p>
      <w:pPr>
        <w:tabs>
          <w:tab w:val="left" w:pos="7665"/>
        </w:tabs>
        <w:spacing w:line="360" w:lineRule="auto"/>
        <w:ind w:firstLine="480" w:firstLineChars="200"/>
        <w:rPr>
          <w:rFonts w:ascii="宋体" w:hAnsi="宋体" w:cs="宋体"/>
          <w:sz w:val="24"/>
        </w:rPr>
      </w:pPr>
      <w:r>
        <w:rPr>
          <w:rFonts w:hint="eastAsia" w:ascii="宋体" w:hAnsi="宋体" w:cs="宋体"/>
          <w:sz w:val="24"/>
        </w:rPr>
        <w:t>本次招标项目的投标均以人民币报价。</w:t>
      </w:r>
      <w:bookmarkStart w:id="50" w:name="_Toc217446046"/>
    </w:p>
    <w:p>
      <w:pPr>
        <w:pStyle w:val="2"/>
        <w:spacing w:line="360" w:lineRule="auto"/>
        <w:ind w:firstLine="420" w:firstLineChars="200"/>
        <w:rPr>
          <w:rFonts w:ascii="宋体" w:hAnsi="宋体" w:cs="宋体"/>
        </w:rPr>
      </w:pPr>
    </w:p>
    <w:p>
      <w:pPr>
        <w:pStyle w:val="5"/>
        <w:spacing w:before="0" w:after="0" w:line="360" w:lineRule="auto"/>
        <w:ind w:firstLine="482" w:firstLineChars="200"/>
        <w:rPr>
          <w:rFonts w:ascii="宋体" w:hAnsi="宋体" w:cs="宋体"/>
          <w:sz w:val="24"/>
        </w:rPr>
      </w:pPr>
      <w:r>
        <w:rPr>
          <w:rFonts w:hint="eastAsia" w:ascii="宋体" w:hAnsi="宋体" w:cs="宋体"/>
          <w:sz w:val="24"/>
        </w:rPr>
        <w:t>12.联合体投标</w:t>
      </w:r>
      <w:bookmarkEnd w:id="50"/>
    </w:p>
    <w:p>
      <w:pPr>
        <w:spacing w:line="360" w:lineRule="auto"/>
        <w:ind w:firstLine="480" w:firstLineChars="200"/>
        <w:rPr>
          <w:rFonts w:ascii="宋体" w:hAnsi="宋体" w:cs="宋体"/>
        </w:rPr>
      </w:pPr>
      <w:bookmarkStart w:id="51" w:name="_Toc217446047"/>
      <w:r>
        <w:rPr>
          <w:rFonts w:hint="eastAsia" w:ascii="宋体" w:hAnsi="宋体" w:cs="宋体"/>
          <w:sz w:val="24"/>
        </w:rPr>
        <w:t>本项目不接受联合体投标。</w:t>
      </w:r>
      <w:bookmarkStart w:id="52" w:name="_Toc308164797"/>
    </w:p>
    <w:p>
      <w:pPr>
        <w:pStyle w:val="5"/>
        <w:spacing w:before="0" w:after="0" w:line="360" w:lineRule="auto"/>
        <w:ind w:firstLine="482" w:firstLineChars="200"/>
        <w:rPr>
          <w:rFonts w:ascii="宋体" w:hAnsi="宋体" w:cs="宋体"/>
          <w:sz w:val="24"/>
        </w:rPr>
      </w:pPr>
      <w:r>
        <w:rPr>
          <w:rFonts w:hint="eastAsia" w:ascii="宋体" w:hAnsi="宋体" w:cs="宋体"/>
          <w:sz w:val="24"/>
        </w:rPr>
        <w:t>13.知识产权</w:t>
      </w:r>
      <w:bookmarkEnd w:id="51"/>
      <w:bookmarkEnd w:id="52"/>
      <w:r>
        <w:rPr>
          <w:rFonts w:hint="eastAsia" w:ascii="宋体" w:hAnsi="宋体" w:cs="宋体"/>
          <w:sz w:val="24"/>
        </w:rPr>
        <w:t>（实质性要求）</w:t>
      </w:r>
    </w:p>
    <w:p>
      <w:pPr>
        <w:pStyle w:val="11"/>
        <w:spacing w:line="360" w:lineRule="auto"/>
        <w:ind w:firstLine="480" w:firstLineChars="200"/>
        <w:rPr>
          <w:rFonts w:ascii="宋体" w:hAnsi="宋体" w:cs="宋体"/>
          <w:sz w:val="24"/>
          <w:szCs w:val="24"/>
        </w:rPr>
      </w:pPr>
      <w:r>
        <w:rPr>
          <w:rFonts w:hint="eastAsia" w:ascii="宋体" w:hAnsi="宋体" w:cs="宋体"/>
          <w:sz w:val="24"/>
          <w:szCs w:val="24"/>
        </w:rPr>
        <w:t>13.1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1"/>
        <w:spacing w:line="360" w:lineRule="auto"/>
        <w:ind w:firstLine="480" w:firstLineChars="200"/>
        <w:rPr>
          <w:rFonts w:ascii="宋体" w:hAnsi="宋体" w:cs="宋体"/>
          <w:sz w:val="24"/>
          <w:szCs w:val="24"/>
        </w:rPr>
      </w:pPr>
      <w:r>
        <w:rPr>
          <w:rFonts w:hint="eastAsia" w:ascii="宋体" w:hAnsi="宋体" w:cs="宋体"/>
          <w:sz w:val="24"/>
          <w:szCs w:val="24"/>
        </w:rPr>
        <w:t>13.2采购人享有本项目实施过程中产生的知识成果及知识产权。</w:t>
      </w:r>
    </w:p>
    <w:p>
      <w:pPr>
        <w:spacing w:line="360" w:lineRule="auto"/>
        <w:ind w:firstLine="480" w:firstLineChars="200"/>
        <w:rPr>
          <w:rFonts w:ascii="宋体" w:hAnsi="宋体" w:cs="宋体"/>
          <w:sz w:val="24"/>
        </w:rPr>
      </w:pPr>
      <w:r>
        <w:rPr>
          <w:rFonts w:hint="eastAsia" w:ascii="宋体" w:hAnsi="宋体" w:cs="宋体"/>
          <w:sz w:val="24"/>
        </w:rPr>
        <w:t>13.3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360" w:lineRule="auto"/>
        <w:ind w:firstLine="480" w:firstLineChars="200"/>
        <w:rPr>
          <w:rFonts w:ascii="宋体" w:hAnsi="宋体" w:cs="宋体"/>
          <w:sz w:val="24"/>
        </w:rPr>
      </w:pPr>
      <w:r>
        <w:rPr>
          <w:rFonts w:hint="eastAsia" w:ascii="宋体" w:hAnsi="宋体" w:cs="宋体"/>
          <w:sz w:val="24"/>
        </w:rPr>
        <w:t xml:space="preserve">13.4如采用投标人所不拥有的知识产权，则在投标报价中必须包括合法获取该知识产权的相关费用。 </w:t>
      </w:r>
      <w:bookmarkStart w:id="53" w:name="_Toc183682354"/>
      <w:bookmarkStart w:id="54" w:name="_Toc217446048"/>
      <w:bookmarkStart w:id="55" w:name="_Toc183582217"/>
      <w:bookmarkStart w:id="56" w:name="_Toc308164798"/>
    </w:p>
    <w:p>
      <w:pPr>
        <w:pStyle w:val="2"/>
        <w:spacing w:line="360" w:lineRule="auto"/>
        <w:ind w:firstLine="420" w:firstLineChars="200"/>
        <w:rPr>
          <w:rFonts w:ascii="宋体" w:hAnsi="宋体" w:cs="宋体"/>
        </w:rPr>
      </w:pPr>
    </w:p>
    <w:p>
      <w:pPr>
        <w:pStyle w:val="5"/>
        <w:spacing w:before="0" w:after="0" w:line="360" w:lineRule="auto"/>
        <w:ind w:firstLine="482" w:firstLineChars="200"/>
        <w:rPr>
          <w:rFonts w:ascii="宋体" w:hAnsi="宋体" w:cs="宋体"/>
          <w:sz w:val="24"/>
        </w:rPr>
      </w:pPr>
      <w:r>
        <w:rPr>
          <w:rFonts w:hint="eastAsia" w:ascii="宋体" w:hAnsi="宋体" w:cs="宋体"/>
          <w:sz w:val="24"/>
        </w:rPr>
        <w:t>14．投标文件的组成</w:t>
      </w:r>
      <w:bookmarkEnd w:id="53"/>
      <w:bookmarkEnd w:id="54"/>
      <w:bookmarkEnd w:id="55"/>
      <w:bookmarkEnd w:id="56"/>
    </w:p>
    <w:p>
      <w:pPr>
        <w:spacing w:line="360" w:lineRule="auto"/>
        <w:ind w:firstLine="420" w:firstLineChars="200"/>
        <w:rPr>
          <w:rFonts w:ascii="宋体" w:hAnsi="宋体" w:cs="宋体"/>
          <w:sz w:val="24"/>
        </w:rPr>
      </w:pPr>
      <w:r>
        <w:rPr>
          <w:rFonts w:hint="eastAsia" w:ascii="宋体" w:hAnsi="宋体" w:cs="宋体"/>
        </w:rPr>
        <w:t xml:space="preserve"> </w:t>
      </w:r>
      <w:r>
        <w:rPr>
          <w:rFonts w:hint="eastAsia" w:ascii="宋体" w:hAnsi="宋体" w:cs="宋体"/>
          <w:sz w:val="24"/>
        </w:rPr>
        <w:t>投标人应按照招标文件的规定和要求编制投标文件。投标人拟在中标后将中标项目的非主体、非关键性工作交由他人分包完成的，应当在投标文件中载明。投标人编写的投标文件应分为资格性投标文件、其他响应性投标文件：</w:t>
      </w:r>
    </w:p>
    <w:p>
      <w:pPr>
        <w:spacing w:line="360" w:lineRule="auto"/>
        <w:ind w:firstLine="482" w:firstLineChars="200"/>
        <w:rPr>
          <w:rFonts w:ascii="宋体" w:hAnsi="宋体" w:cs="宋体"/>
          <w:b/>
          <w:bCs/>
          <w:sz w:val="24"/>
        </w:rPr>
      </w:pPr>
      <w:r>
        <w:rPr>
          <w:rFonts w:hint="eastAsia" w:ascii="宋体" w:hAnsi="宋体" w:cs="宋体"/>
          <w:b/>
          <w:bCs/>
          <w:sz w:val="24"/>
        </w:rPr>
        <w:t>文件一：资格性投标文件（用于资格审查）</w:t>
      </w:r>
    </w:p>
    <w:p>
      <w:pPr>
        <w:spacing w:line="360" w:lineRule="auto"/>
        <w:ind w:firstLine="480" w:firstLineChars="200"/>
        <w:rPr>
          <w:rFonts w:ascii="宋体" w:hAnsi="宋体" w:cs="宋体"/>
          <w:sz w:val="24"/>
        </w:rPr>
      </w:pPr>
      <w:r>
        <w:rPr>
          <w:rFonts w:hint="eastAsia" w:ascii="宋体" w:hAnsi="宋体" w:cs="宋体"/>
          <w:sz w:val="24"/>
        </w:rPr>
        <w:t>按照第四、五章要求提供相关资格、资质性及其他类似效力要求的相关证明材料。</w:t>
      </w:r>
    </w:p>
    <w:p>
      <w:pPr>
        <w:spacing w:line="360" w:lineRule="auto"/>
        <w:ind w:firstLine="482" w:firstLineChars="200"/>
        <w:rPr>
          <w:rFonts w:ascii="宋体" w:hAnsi="宋体" w:cs="宋体"/>
          <w:b/>
          <w:bCs/>
          <w:sz w:val="24"/>
        </w:rPr>
      </w:pPr>
      <w:r>
        <w:rPr>
          <w:rFonts w:hint="eastAsia" w:ascii="宋体" w:hAnsi="宋体" w:cs="宋体"/>
          <w:b/>
          <w:bCs/>
          <w:sz w:val="24"/>
        </w:rPr>
        <w:t>文件二：其它响应性投标文件（用于资格审查以外的评标）</w:t>
      </w:r>
    </w:p>
    <w:p>
      <w:pPr>
        <w:spacing w:line="360" w:lineRule="auto"/>
        <w:ind w:firstLine="480" w:firstLineChars="200"/>
        <w:rPr>
          <w:rFonts w:ascii="宋体" w:hAnsi="宋体" w:cs="宋体"/>
          <w:sz w:val="24"/>
        </w:rPr>
      </w:pPr>
      <w:r>
        <w:rPr>
          <w:rFonts w:hint="eastAsia" w:ascii="宋体" w:hAnsi="宋体" w:cs="宋体"/>
          <w:sz w:val="24"/>
        </w:rPr>
        <w:t>其他响应性投标文件包括但不限于以下内容：</w:t>
      </w:r>
    </w:p>
    <w:p>
      <w:pPr>
        <w:spacing w:line="360" w:lineRule="auto"/>
        <w:ind w:firstLine="482" w:firstLineChars="200"/>
        <w:rPr>
          <w:rFonts w:ascii="宋体" w:hAnsi="宋体" w:cs="宋体"/>
          <w:sz w:val="24"/>
        </w:rPr>
      </w:pPr>
      <w:r>
        <w:rPr>
          <w:rFonts w:hint="eastAsia" w:ascii="宋体" w:hAnsi="宋体" w:cs="宋体"/>
          <w:b/>
          <w:bCs/>
          <w:sz w:val="24"/>
        </w:rPr>
        <w:t>14.1报价部分。</w:t>
      </w:r>
      <w:r>
        <w:rPr>
          <w:rFonts w:hint="eastAsia" w:ascii="宋体" w:hAnsi="宋体" w:cs="宋体"/>
          <w:sz w:val="24"/>
        </w:rPr>
        <w:t>投标人按照招标文件要求填写的“开标一览表”及“报价明细表”。 本次招标报价要求：</w:t>
      </w:r>
    </w:p>
    <w:p>
      <w:pPr>
        <w:spacing w:line="360" w:lineRule="auto"/>
        <w:ind w:firstLine="480" w:firstLineChars="200"/>
        <w:rPr>
          <w:rFonts w:ascii="宋体" w:hAnsi="宋体" w:cs="宋体"/>
          <w:sz w:val="24"/>
        </w:rPr>
      </w:pPr>
      <w:r>
        <w:rPr>
          <w:rFonts w:hint="eastAsia" w:ascii="宋体" w:hAnsi="宋体" w:cs="宋体"/>
          <w:sz w:val="24"/>
        </w:rPr>
        <w:t>（1）投标人的报价是投标人响应招标项目要求的全部工作内容的价格体现，包括投标人完成本项目所需的一切费用。</w:t>
      </w:r>
    </w:p>
    <w:p>
      <w:pPr>
        <w:spacing w:line="360" w:lineRule="auto"/>
        <w:ind w:firstLine="480" w:firstLineChars="200"/>
        <w:rPr>
          <w:rFonts w:ascii="宋体" w:hAnsi="宋体" w:cs="宋体"/>
          <w:sz w:val="24"/>
        </w:rPr>
      </w:pPr>
      <w:r>
        <w:rPr>
          <w:rFonts w:hint="eastAsia" w:ascii="宋体" w:hAnsi="宋体" w:cs="宋体"/>
          <w:sz w:val="24"/>
        </w:rPr>
        <w:t>（2）投标人每种服务只允许有一个报价，并且在合同履行过程中是固定不变的，任何有选择或可调整的报价将不予接受，并按无效投标处理。</w:t>
      </w:r>
    </w:p>
    <w:p>
      <w:pPr>
        <w:spacing w:line="360" w:lineRule="auto"/>
        <w:ind w:firstLine="482" w:firstLineChars="200"/>
        <w:rPr>
          <w:rFonts w:ascii="宋体" w:hAnsi="宋体" w:cs="宋体"/>
          <w:sz w:val="24"/>
          <w:highlight w:val="yellow"/>
        </w:rPr>
      </w:pPr>
      <w:r>
        <w:rPr>
          <w:rFonts w:hint="eastAsia" w:ascii="宋体" w:hAnsi="宋体" w:cs="宋体"/>
          <w:b/>
          <w:bCs/>
          <w:sz w:val="24"/>
        </w:rPr>
        <w:t>14.2服务部分。</w:t>
      </w:r>
      <w:r>
        <w:rPr>
          <w:rFonts w:hint="eastAsia" w:ascii="宋体" w:hAnsi="宋体" w:cs="宋体"/>
          <w:sz w:val="24"/>
        </w:rPr>
        <w:t>投标人按照招标文件要求做出的服务应答，主要是针对招标项目的服务内容、服务要求做出的实质性响应和满足。</w:t>
      </w:r>
    </w:p>
    <w:p>
      <w:pPr>
        <w:spacing w:line="360" w:lineRule="auto"/>
        <w:ind w:firstLine="482" w:firstLineChars="200"/>
        <w:rPr>
          <w:rFonts w:ascii="宋体" w:hAnsi="宋体" w:cs="宋体"/>
          <w:b/>
          <w:bCs/>
          <w:sz w:val="24"/>
        </w:rPr>
      </w:pPr>
      <w:r>
        <w:rPr>
          <w:rFonts w:hint="eastAsia" w:ascii="宋体" w:hAnsi="宋体" w:cs="宋体"/>
          <w:b/>
          <w:bCs/>
          <w:sz w:val="24"/>
        </w:rPr>
        <w:t>14.3商务部分。投标人按照招标文件要求提供的有关文件及优惠承诺。包括以下内容：</w:t>
      </w:r>
    </w:p>
    <w:p>
      <w:pPr>
        <w:spacing w:line="360" w:lineRule="auto"/>
        <w:ind w:firstLine="480" w:firstLineChars="200"/>
        <w:rPr>
          <w:rFonts w:ascii="宋体" w:hAnsi="宋体" w:cs="宋体"/>
          <w:sz w:val="24"/>
        </w:rPr>
      </w:pPr>
      <w:r>
        <w:rPr>
          <w:rFonts w:hint="eastAsia" w:ascii="宋体" w:hAnsi="宋体" w:cs="宋体"/>
          <w:sz w:val="24"/>
        </w:rPr>
        <w:t>（1）投标函；</w:t>
      </w:r>
    </w:p>
    <w:p>
      <w:pPr>
        <w:spacing w:line="360" w:lineRule="auto"/>
        <w:ind w:firstLine="480" w:firstLineChars="200"/>
        <w:rPr>
          <w:rFonts w:ascii="宋体" w:hAnsi="宋体" w:cs="宋体"/>
          <w:sz w:val="24"/>
        </w:rPr>
      </w:pPr>
      <w:r>
        <w:rPr>
          <w:rFonts w:hint="eastAsia" w:ascii="宋体" w:hAnsi="宋体" w:cs="宋体"/>
          <w:sz w:val="24"/>
        </w:rPr>
        <w:t>（2）证明投标人业绩和荣誉的有关材料复印件；</w:t>
      </w:r>
    </w:p>
    <w:p>
      <w:pPr>
        <w:spacing w:line="360" w:lineRule="auto"/>
        <w:ind w:firstLine="480" w:firstLineChars="200"/>
        <w:rPr>
          <w:rFonts w:ascii="宋体" w:hAnsi="宋体" w:cs="宋体"/>
          <w:sz w:val="24"/>
        </w:rPr>
      </w:pPr>
      <w:r>
        <w:rPr>
          <w:rFonts w:hint="eastAsia" w:ascii="宋体" w:hAnsi="宋体" w:cs="宋体"/>
          <w:sz w:val="24"/>
        </w:rPr>
        <w:t>（3）商务应答表；</w:t>
      </w:r>
    </w:p>
    <w:p>
      <w:pPr>
        <w:spacing w:line="360" w:lineRule="auto"/>
        <w:ind w:firstLine="480" w:firstLineChars="200"/>
        <w:rPr>
          <w:rFonts w:ascii="宋体" w:hAnsi="宋体" w:cs="宋体"/>
          <w:sz w:val="24"/>
        </w:rPr>
      </w:pPr>
      <w:r>
        <w:rPr>
          <w:rFonts w:hint="eastAsia" w:ascii="宋体" w:hAnsi="宋体" w:cs="宋体"/>
          <w:sz w:val="24"/>
        </w:rPr>
        <w:t>（4）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pPr>
        <w:spacing w:line="360" w:lineRule="auto"/>
        <w:ind w:firstLine="480" w:firstLineChars="200"/>
        <w:rPr>
          <w:rFonts w:ascii="宋体" w:hAnsi="宋体" w:cs="宋体"/>
          <w:sz w:val="24"/>
        </w:rPr>
      </w:pPr>
      <w:r>
        <w:rPr>
          <w:rFonts w:hint="eastAsia" w:ascii="宋体" w:hAnsi="宋体" w:cs="宋体"/>
          <w:sz w:val="24"/>
        </w:rPr>
        <w:t>（5）其他投标人认为需要提供的文件和资料。</w:t>
      </w:r>
    </w:p>
    <w:p>
      <w:pPr>
        <w:spacing w:line="360" w:lineRule="auto"/>
        <w:ind w:firstLine="480" w:firstLineChars="200"/>
        <w:rPr>
          <w:rFonts w:ascii="宋体" w:hAnsi="宋体" w:cs="宋体"/>
          <w:sz w:val="24"/>
          <w:highlight w:val="yellow"/>
        </w:rPr>
      </w:pPr>
      <w:r>
        <w:rPr>
          <w:rFonts w:hint="eastAsia" w:ascii="宋体" w:hAnsi="宋体" w:cs="宋体"/>
          <w:sz w:val="24"/>
        </w:rPr>
        <w:t>14.4售后服务</w:t>
      </w:r>
      <w:r>
        <w:rPr>
          <w:rFonts w:hint="eastAsia" w:ascii="宋体" w:hAnsi="宋体" w:cs="宋体"/>
          <w:bCs/>
          <w:sz w:val="24"/>
        </w:rPr>
        <w:t>（如有）</w:t>
      </w:r>
      <w:r>
        <w:rPr>
          <w:rFonts w:hint="eastAsia" w:ascii="宋体" w:hAnsi="宋体" w:cs="宋体"/>
          <w:sz w:val="24"/>
        </w:rPr>
        <w:t>。</w:t>
      </w:r>
      <w:r>
        <w:rPr>
          <w:rFonts w:hint="eastAsia" w:ascii="宋体" w:hAnsi="宋体" w:cs="宋体"/>
          <w:b/>
          <w:bCs/>
          <w:sz w:val="24"/>
        </w:rPr>
        <w:t>投标人按照招标文件中售后服务要求作出的积极响应和承诺。</w:t>
      </w:r>
    </w:p>
    <w:p>
      <w:pPr>
        <w:adjustRightInd w:val="0"/>
        <w:snapToGrid w:val="0"/>
        <w:spacing w:line="360" w:lineRule="auto"/>
        <w:ind w:firstLine="482" w:firstLineChars="200"/>
        <w:rPr>
          <w:rFonts w:ascii="宋体" w:hAnsi="宋体" w:cs="宋体"/>
          <w:bCs/>
          <w:sz w:val="24"/>
        </w:rPr>
      </w:pPr>
      <w:r>
        <w:rPr>
          <w:rFonts w:hint="eastAsia" w:ascii="宋体" w:hAnsi="宋体" w:cs="宋体"/>
          <w:b/>
          <w:bCs/>
          <w:sz w:val="24"/>
        </w:rPr>
        <w:t>14.5其他部分。</w:t>
      </w:r>
      <w:r>
        <w:rPr>
          <w:rFonts w:hint="eastAsia" w:ascii="宋体" w:hAnsi="宋体" w:cs="宋体"/>
          <w:bCs/>
          <w:sz w:val="24"/>
        </w:rPr>
        <w:t>投标人按照招标文件要求作出的其他应答和承诺。</w:t>
      </w:r>
      <w:bookmarkStart w:id="57" w:name="_Toc183582218"/>
      <w:bookmarkStart w:id="58" w:name="_Toc183682355"/>
      <w:bookmarkStart w:id="59" w:name="_Toc217446049"/>
      <w:bookmarkStart w:id="60" w:name="_Toc308164799"/>
    </w:p>
    <w:p>
      <w:pPr>
        <w:pStyle w:val="2"/>
        <w:spacing w:line="360" w:lineRule="auto"/>
        <w:ind w:firstLine="420" w:firstLineChars="200"/>
        <w:rPr>
          <w:rFonts w:ascii="宋体" w:hAnsi="宋体" w:cs="宋体"/>
        </w:rPr>
      </w:pPr>
    </w:p>
    <w:p>
      <w:pPr>
        <w:pStyle w:val="5"/>
        <w:tabs>
          <w:tab w:val="left" w:pos="3480"/>
        </w:tabs>
        <w:spacing w:before="0" w:after="0" w:line="360" w:lineRule="auto"/>
        <w:ind w:firstLine="482" w:firstLineChars="200"/>
        <w:rPr>
          <w:rFonts w:ascii="宋体" w:hAnsi="宋体" w:cs="宋体"/>
          <w:sz w:val="24"/>
        </w:rPr>
      </w:pPr>
      <w:r>
        <w:rPr>
          <w:rFonts w:hint="eastAsia" w:ascii="宋体" w:hAnsi="宋体" w:cs="宋体"/>
          <w:sz w:val="24"/>
        </w:rPr>
        <w:t>15．投标文件格式</w:t>
      </w:r>
      <w:bookmarkEnd w:id="57"/>
      <w:bookmarkEnd w:id="58"/>
      <w:bookmarkEnd w:id="59"/>
      <w:bookmarkEnd w:id="60"/>
    </w:p>
    <w:p>
      <w:pPr>
        <w:tabs>
          <w:tab w:val="left" w:pos="7665"/>
        </w:tabs>
        <w:spacing w:line="360" w:lineRule="auto"/>
        <w:ind w:firstLine="480" w:firstLineChars="200"/>
        <w:rPr>
          <w:rFonts w:ascii="宋体" w:hAnsi="宋体" w:cs="宋体"/>
          <w:b/>
          <w:bCs/>
          <w:sz w:val="24"/>
        </w:rPr>
      </w:pPr>
      <w:r>
        <w:rPr>
          <w:rFonts w:hint="eastAsia" w:ascii="宋体" w:hAnsi="宋体" w:cs="宋体"/>
          <w:sz w:val="24"/>
        </w:rPr>
        <w:t>15.1投标人应执行招标文件第三章的规定要求。</w:t>
      </w:r>
      <w:r>
        <w:rPr>
          <w:rFonts w:hint="eastAsia" w:ascii="宋体" w:hAnsi="宋体" w:cs="宋体"/>
          <w:b/>
          <w:bCs/>
          <w:sz w:val="24"/>
        </w:rPr>
        <w:t>第三章格式中“注”的内容，投标人可自行决定是否保留在投标文件中，未保留的视为投标人默认接受“注”的内容。</w:t>
      </w:r>
    </w:p>
    <w:p>
      <w:pPr>
        <w:tabs>
          <w:tab w:val="left" w:pos="7665"/>
        </w:tabs>
        <w:spacing w:line="360" w:lineRule="auto"/>
        <w:ind w:firstLine="480" w:firstLineChars="200"/>
        <w:rPr>
          <w:rFonts w:ascii="宋体" w:hAnsi="宋体" w:cs="宋体"/>
          <w:sz w:val="24"/>
        </w:rPr>
      </w:pPr>
      <w:r>
        <w:rPr>
          <w:rFonts w:hint="eastAsia" w:ascii="宋体" w:hAnsi="宋体" w:cs="宋体"/>
          <w:sz w:val="24"/>
        </w:rPr>
        <w:t>15.2对于没有格式要求的投标文件由投标人自行编写。</w:t>
      </w:r>
      <w:bookmarkStart w:id="61" w:name="_Toc217446050"/>
      <w:bookmarkStart w:id="62" w:name="_Toc183682360"/>
      <w:bookmarkStart w:id="63" w:name="_Toc183582223"/>
      <w:bookmarkStart w:id="64" w:name="_Toc308164800"/>
    </w:p>
    <w:p>
      <w:pPr>
        <w:pStyle w:val="2"/>
        <w:spacing w:line="360" w:lineRule="auto"/>
        <w:ind w:firstLine="420" w:firstLineChars="200"/>
        <w:rPr>
          <w:rFonts w:ascii="宋体" w:hAnsi="宋体" w:cs="宋体"/>
        </w:rPr>
      </w:pPr>
    </w:p>
    <w:p>
      <w:pPr>
        <w:pStyle w:val="5"/>
        <w:spacing w:before="0" w:after="0" w:line="360" w:lineRule="auto"/>
        <w:ind w:firstLine="482" w:firstLineChars="200"/>
        <w:rPr>
          <w:rFonts w:ascii="宋体" w:hAnsi="宋体" w:cs="宋体"/>
          <w:sz w:val="24"/>
        </w:rPr>
      </w:pPr>
      <w:r>
        <w:rPr>
          <w:rFonts w:hint="eastAsia" w:ascii="宋体" w:hAnsi="宋体" w:cs="宋体"/>
          <w:bCs w:val="0"/>
          <w:sz w:val="24"/>
        </w:rPr>
        <w:t>16．投标保证金</w:t>
      </w:r>
      <w:bookmarkEnd w:id="61"/>
      <w:bookmarkEnd w:id="62"/>
      <w:bookmarkEnd w:id="63"/>
      <w:bookmarkEnd w:id="64"/>
    </w:p>
    <w:p>
      <w:pPr>
        <w:spacing w:line="360" w:lineRule="auto"/>
        <w:ind w:firstLine="480" w:firstLineChars="200"/>
        <w:rPr>
          <w:rFonts w:ascii="宋体" w:hAnsi="宋体" w:cs="宋体"/>
          <w:sz w:val="24"/>
        </w:rPr>
      </w:pPr>
      <w:bookmarkStart w:id="65" w:name="_Toc183582224"/>
      <w:bookmarkStart w:id="66" w:name="_Toc183682361"/>
      <w:bookmarkStart w:id="67" w:name="_Toc308164801"/>
      <w:bookmarkStart w:id="68" w:name="_Toc217446051"/>
      <w:r>
        <w:rPr>
          <w:rFonts w:hint="eastAsia" w:ascii="宋体" w:hAnsi="宋体" w:cs="宋体"/>
          <w:sz w:val="24"/>
        </w:rPr>
        <w:t>本项目不收取投标保证金。</w:t>
      </w:r>
    </w:p>
    <w:p>
      <w:pPr>
        <w:pStyle w:val="2"/>
        <w:spacing w:line="360" w:lineRule="auto"/>
        <w:ind w:firstLine="420" w:firstLineChars="200"/>
        <w:rPr>
          <w:rFonts w:ascii="宋体" w:hAnsi="宋体" w:cs="宋体"/>
        </w:rPr>
      </w:pPr>
    </w:p>
    <w:p>
      <w:pPr>
        <w:pStyle w:val="5"/>
        <w:keepNext w:val="0"/>
        <w:keepLines w:val="0"/>
        <w:spacing w:before="0" w:after="0" w:line="360" w:lineRule="auto"/>
        <w:ind w:firstLine="482" w:firstLineChars="200"/>
        <w:rPr>
          <w:rFonts w:ascii="宋体" w:hAnsi="宋体" w:cs="宋体"/>
          <w:bCs w:val="0"/>
          <w:sz w:val="24"/>
        </w:rPr>
      </w:pPr>
      <w:r>
        <w:rPr>
          <w:rFonts w:hint="eastAsia" w:ascii="宋体" w:hAnsi="宋体" w:cs="宋体"/>
          <w:bCs w:val="0"/>
          <w:sz w:val="24"/>
        </w:rPr>
        <w:t>17．投标有效期</w:t>
      </w:r>
      <w:bookmarkEnd w:id="65"/>
      <w:bookmarkEnd w:id="66"/>
      <w:bookmarkEnd w:id="67"/>
      <w:bookmarkEnd w:id="68"/>
      <w:r>
        <w:rPr>
          <w:rFonts w:hint="eastAsia" w:ascii="宋体" w:hAnsi="宋体" w:cs="宋体"/>
          <w:sz w:val="24"/>
          <w:szCs w:val="24"/>
        </w:rPr>
        <w:t>（实质性要求）</w:t>
      </w:r>
    </w:p>
    <w:p>
      <w:pPr>
        <w:tabs>
          <w:tab w:val="left" w:pos="7665"/>
        </w:tabs>
        <w:spacing w:line="360" w:lineRule="auto"/>
        <w:ind w:firstLine="480" w:firstLineChars="200"/>
        <w:rPr>
          <w:rFonts w:ascii="宋体" w:hAnsi="宋体" w:cs="宋体"/>
          <w:sz w:val="24"/>
        </w:rPr>
      </w:pPr>
      <w:r>
        <w:rPr>
          <w:rFonts w:hint="eastAsia" w:ascii="宋体" w:hAnsi="宋体" w:cs="宋体"/>
          <w:sz w:val="24"/>
        </w:rPr>
        <w:t>17.1本项目投标有效期为</w:t>
      </w:r>
      <w:r>
        <w:rPr>
          <w:rFonts w:hint="eastAsia" w:ascii="宋体" w:hAnsi="宋体" w:cs="宋体"/>
          <w:b/>
          <w:bCs/>
          <w:sz w:val="24"/>
        </w:rPr>
        <w:t>递交投标文件截止之日起90日历天</w:t>
      </w:r>
      <w:r>
        <w:rPr>
          <w:rFonts w:hint="eastAsia" w:ascii="宋体" w:hAnsi="宋体" w:cs="宋体"/>
          <w:sz w:val="24"/>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firstLine="480" w:firstLineChars="200"/>
        <w:rPr>
          <w:rFonts w:ascii="宋体" w:hAnsi="宋体" w:cs="宋体"/>
          <w:sz w:val="24"/>
        </w:rPr>
      </w:pPr>
      <w:r>
        <w:rPr>
          <w:rFonts w:hint="eastAsia" w:ascii="宋体" w:hAnsi="宋体" w:cs="宋体"/>
          <w:sz w:val="24"/>
        </w:rPr>
        <w:t xml:space="preserve">17.2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360" w:lineRule="auto"/>
        <w:ind w:firstLine="480" w:firstLineChars="200"/>
        <w:rPr>
          <w:rFonts w:ascii="宋体" w:hAnsi="宋体" w:cs="宋体"/>
          <w:sz w:val="24"/>
        </w:rPr>
      </w:pPr>
      <w:r>
        <w:rPr>
          <w:rFonts w:hint="eastAsia" w:ascii="宋体" w:hAnsi="宋体" w:cs="宋体"/>
          <w:sz w:val="24"/>
        </w:rPr>
        <w:t>17.3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69" w:name="_Toc217446052"/>
      <w:bookmarkStart w:id="70" w:name="_Toc308164802"/>
      <w:bookmarkStart w:id="71" w:name="_Toc183682362"/>
      <w:bookmarkStart w:id="72" w:name="_Toc183582225"/>
    </w:p>
    <w:p>
      <w:pPr>
        <w:pStyle w:val="2"/>
        <w:spacing w:line="360" w:lineRule="auto"/>
        <w:ind w:firstLine="420" w:firstLineChars="200"/>
        <w:rPr>
          <w:rFonts w:ascii="宋体" w:hAnsi="宋体" w:cs="宋体"/>
        </w:rPr>
      </w:pPr>
    </w:p>
    <w:p>
      <w:pPr>
        <w:pStyle w:val="5"/>
        <w:spacing w:before="0" w:after="0" w:line="360" w:lineRule="auto"/>
        <w:ind w:firstLine="482" w:firstLineChars="200"/>
        <w:rPr>
          <w:rFonts w:ascii="宋体" w:hAnsi="宋体" w:cs="宋体"/>
          <w:bCs w:val="0"/>
          <w:sz w:val="24"/>
        </w:rPr>
      </w:pPr>
      <w:r>
        <w:rPr>
          <w:rFonts w:hint="eastAsia" w:ascii="宋体" w:hAnsi="宋体" w:cs="宋体"/>
          <w:bCs w:val="0"/>
          <w:sz w:val="24"/>
        </w:rPr>
        <w:t>18．</w:t>
      </w:r>
      <w:bookmarkEnd w:id="69"/>
      <w:bookmarkEnd w:id="70"/>
      <w:bookmarkEnd w:id="71"/>
      <w:bookmarkEnd w:id="72"/>
      <w:r>
        <w:rPr>
          <w:rFonts w:hint="eastAsia" w:ascii="宋体" w:hAnsi="宋体" w:cs="宋体"/>
          <w:bCs w:val="0"/>
          <w:sz w:val="24"/>
        </w:rPr>
        <w:t>投标文件的制作和签章、加密</w:t>
      </w:r>
    </w:p>
    <w:p>
      <w:pPr>
        <w:tabs>
          <w:tab w:val="left" w:pos="1080"/>
        </w:tabs>
        <w:spacing w:line="360" w:lineRule="auto"/>
        <w:ind w:firstLine="480" w:firstLineChars="200"/>
        <w:rPr>
          <w:rFonts w:ascii="宋体" w:hAnsi="宋体" w:cs="宋体"/>
          <w:sz w:val="24"/>
        </w:rPr>
      </w:pPr>
      <w:r>
        <w:rPr>
          <w:rFonts w:hint="eastAsia" w:ascii="宋体" w:hAnsi="宋体" w:cs="宋体"/>
          <w:sz w:val="24"/>
        </w:rPr>
        <w:t>18.1本项目实行电子投标。投标人应先安装“政采云投标客户端”。（政府采购云平台—CA 管理—绑定 CA—下载驱动—“政采云投标客户端”立即下载）。投标人应按招标文件要求，通过“政采云投标客户端”制作、确认、加密并提交投标文件。</w:t>
      </w:r>
    </w:p>
    <w:p>
      <w:pPr>
        <w:tabs>
          <w:tab w:val="left" w:pos="1080"/>
        </w:tabs>
        <w:spacing w:line="360" w:lineRule="auto"/>
        <w:ind w:firstLine="480" w:firstLineChars="200"/>
        <w:rPr>
          <w:rFonts w:ascii="宋体" w:hAnsi="宋体" w:cs="宋体"/>
          <w:sz w:val="24"/>
        </w:rPr>
      </w:pPr>
      <w:r>
        <w:rPr>
          <w:rFonts w:hint="eastAsia" w:ascii="宋体" w:hAnsi="宋体" w:cs="宋体"/>
          <w:sz w:val="24"/>
        </w:rPr>
        <w:t>18.2资格性投标文件、其他响应性投标文件封面均应加盖投标人（法定名称）电子印章，不得使用投标人专用章（如经济合同章、投标专用章等）或下属单位印章代替。（实质性要求）</w:t>
      </w:r>
    </w:p>
    <w:p>
      <w:pPr>
        <w:tabs>
          <w:tab w:val="left" w:pos="1080"/>
        </w:tabs>
        <w:spacing w:line="360" w:lineRule="auto"/>
        <w:ind w:firstLine="480" w:firstLineChars="200"/>
        <w:rPr>
          <w:rFonts w:ascii="宋体" w:hAnsi="宋体" w:cs="宋体"/>
          <w:sz w:val="24"/>
        </w:rPr>
      </w:pPr>
      <w:r>
        <w:rPr>
          <w:rFonts w:hint="eastAsia" w:ascii="宋体" w:hAnsi="宋体" w:cs="宋体"/>
          <w:sz w:val="24"/>
        </w:rPr>
        <w:t>18.3投标人应使用 CA 数字证书对投标文件进行加密。</w:t>
      </w:r>
    </w:p>
    <w:p>
      <w:pPr>
        <w:tabs>
          <w:tab w:val="left" w:pos="1080"/>
        </w:tabs>
        <w:spacing w:line="360" w:lineRule="auto"/>
        <w:ind w:firstLine="480" w:firstLineChars="200"/>
        <w:rPr>
          <w:rFonts w:ascii="宋体" w:hAnsi="宋体" w:cs="宋体"/>
          <w:sz w:val="24"/>
        </w:rPr>
      </w:pPr>
      <w:r>
        <w:rPr>
          <w:rFonts w:hint="eastAsia" w:ascii="宋体" w:hAnsi="宋体" w:cs="宋体"/>
          <w:sz w:val="24"/>
        </w:rPr>
        <w:t>18.4</w:t>
      </w:r>
      <w:r>
        <w:rPr>
          <w:spacing w:val="-1"/>
          <w:sz w:val="24"/>
        </w:rPr>
        <w:t>招标文件若有修改，投标人根据修改后的招标文件制作或修改并递交投标文</w:t>
      </w:r>
      <w:r>
        <w:rPr>
          <w:sz w:val="24"/>
        </w:rPr>
        <w:t>件。</w:t>
      </w:r>
    </w:p>
    <w:p>
      <w:pPr>
        <w:tabs>
          <w:tab w:val="left" w:pos="1080"/>
        </w:tabs>
        <w:spacing w:line="360" w:lineRule="auto"/>
        <w:ind w:firstLine="480" w:firstLineChars="200"/>
        <w:rPr>
          <w:rFonts w:ascii="宋体" w:hAnsi="宋体" w:cs="宋体"/>
          <w:sz w:val="24"/>
        </w:rPr>
      </w:pPr>
      <w:r>
        <w:rPr>
          <w:rFonts w:hint="eastAsia" w:ascii="宋体" w:hAnsi="宋体" w:cs="宋体"/>
          <w:sz w:val="24"/>
        </w:rPr>
        <w:t>18.5使用“政府采购云平台”需要提前申领 CA 数字证书及电子印章，请自行前往四川 CA、CFCA、天威 CA、北京 CA、重庆 CA、山西 CA、浙江汇信 CA、天谷 CA、国信CA、山东 CA、新疆 CA、乌海 CA 等统一认证服务点办理，只需办理其中一家 CA 数字证书及签章（提示：办理时请说明参与成都市政府采购项目）。投标人应及时完成在“政府采购云平台”的注册及 CA 账号绑定，确保顺利参与电子投标。</w:t>
      </w:r>
    </w:p>
    <w:p>
      <w:pPr>
        <w:tabs>
          <w:tab w:val="left" w:pos="1080"/>
        </w:tabs>
        <w:spacing w:line="360" w:lineRule="auto"/>
        <w:ind w:firstLine="480" w:firstLineChars="200"/>
        <w:rPr>
          <w:rFonts w:ascii="宋体" w:hAnsi="宋体" w:cs="宋体"/>
          <w:sz w:val="24"/>
        </w:rPr>
      </w:pPr>
      <w:r>
        <w:rPr>
          <w:rFonts w:hint="eastAsia" w:ascii="宋体" w:hAnsi="宋体" w:cs="宋体"/>
          <w:sz w:val="24"/>
        </w:rPr>
        <w:t>18.6本次招标要求的复印件是指对图文进行复制后的文件，包括扫描、复印、影印等方式复制的材料。</w:t>
      </w:r>
    </w:p>
    <w:p>
      <w:pPr>
        <w:pStyle w:val="2"/>
        <w:spacing w:line="360" w:lineRule="auto"/>
        <w:rPr>
          <w:rFonts w:ascii="宋体" w:hAnsi="宋体" w:cs="宋体"/>
        </w:rPr>
      </w:pPr>
      <w:bookmarkStart w:id="73" w:name="_Toc183582227"/>
      <w:bookmarkStart w:id="74" w:name="_Toc183682364"/>
      <w:bookmarkStart w:id="75" w:name="_Toc217446054"/>
      <w:bookmarkStart w:id="76" w:name="_Toc308164804"/>
      <w:bookmarkStart w:id="77" w:name="_Toc183582228"/>
      <w:bookmarkStart w:id="78" w:name="_Toc183682365"/>
      <w:bookmarkStart w:id="79" w:name="_Toc217446055"/>
    </w:p>
    <w:p>
      <w:pPr>
        <w:pStyle w:val="5"/>
        <w:spacing w:before="0" w:after="0" w:line="360" w:lineRule="auto"/>
        <w:ind w:firstLine="482" w:firstLineChars="200"/>
        <w:jc w:val="left"/>
        <w:rPr>
          <w:rFonts w:ascii="宋体" w:hAnsi="宋体" w:cs="宋体"/>
          <w:bCs w:val="0"/>
          <w:sz w:val="24"/>
          <w:szCs w:val="24"/>
        </w:rPr>
      </w:pPr>
      <w:r>
        <w:rPr>
          <w:rFonts w:hint="eastAsia" w:ascii="宋体" w:hAnsi="宋体" w:cs="宋体"/>
          <w:bCs w:val="0"/>
          <w:sz w:val="24"/>
          <w:szCs w:val="24"/>
        </w:rPr>
        <w:t>19．投标文件的</w:t>
      </w:r>
      <w:bookmarkEnd w:id="73"/>
      <w:bookmarkEnd w:id="74"/>
      <w:r>
        <w:rPr>
          <w:rFonts w:hint="eastAsia" w:ascii="宋体" w:hAnsi="宋体" w:cs="宋体"/>
          <w:bCs w:val="0"/>
          <w:sz w:val="24"/>
          <w:szCs w:val="24"/>
        </w:rPr>
        <w:t>递交</w:t>
      </w:r>
      <w:bookmarkEnd w:id="75"/>
      <w:bookmarkEnd w:id="76"/>
    </w:p>
    <w:p>
      <w:pPr>
        <w:tabs>
          <w:tab w:val="left" w:pos="1095"/>
        </w:tabs>
        <w:spacing w:line="360" w:lineRule="auto"/>
        <w:ind w:firstLine="480" w:firstLineChars="200"/>
        <w:jc w:val="left"/>
        <w:rPr>
          <w:rFonts w:ascii="宋体" w:hAnsi="宋体" w:cs="宋体"/>
          <w:sz w:val="24"/>
        </w:rPr>
      </w:pPr>
      <w:r>
        <w:rPr>
          <w:rFonts w:hint="eastAsia" w:ascii="宋体" w:hAnsi="宋体" w:cs="宋体"/>
          <w:sz w:val="24"/>
        </w:rPr>
        <w:t>19.1投标人应当在投标文件递交截止时间前，将编制完成并且已加密的电子投标文件成功递交至“政府采购云平台”。</w:t>
      </w:r>
    </w:p>
    <w:p>
      <w:pPr>
        <w:tabs>
          <w:tab w:val="left" w:pos="1095"/>
        </w:tabs>
        <w:spacing w:line="360" w:lineRule="auto"/>
        <w:ind w:firstLine="480" w:firstLineChars="200"/>
        <w:jc w:val="left"/>
        <w:rPr>
          <w:rFonts w:ascii="宋体" w:hAnsi="宋体" w:cs="宋体"/>
          <w:sz w:val="24"/>
        </w:rPr>
      </w:pPr>
      <w:r>
        <w:rPr>
          <w:rFonts w:hint="eastAsia" w:ascii="宋体" w:hAnsi="宋体" w:cs="宋体"/>
          <w:sz w:val="24"/>
        </w:rPr>
        <w:t>19.2投标人应充分考虑递交文件的不可预见因素，在投标截止时间后将无法递交。</w:t>
      </w:r>
    </w:p>
    <w:p>
      <w:pPr>
        <w:pStyle w:val="2"/>
        <w:spacing w:line="360" w:lineRule="auto"/>
        <w:ind w:firstLine="420" w:firstLineChars="200"/>
      </w:pPr>
    </w:p>
    <w:p>
      <w:pPr>
        <w:pStyle w:val="5"/>
        <w:spacing w:before="0" w:after="0" w:line="360" w:lineRule="auto"/>
        <w:ind w:firstLine="482" w:firstLineChars="200"/>
        <w:rPr>
          <w:rFonts w:ascii="宋体" w:hAnsi="宋体" w:cs="宋体"/>
          <w:bCs w:val="0"/>
          <w:sz w:val="24"/>
          <w:szCs w:val="24"/>
        </w:rPr>
      </w:pPr>
      <w:r>
        <w:rPr>
          <w:rFonts w:hint="eastAsia" w:ascii="宋体" w:hAnsi="宋体" w:cs="宋体"/>
          <w:bCs w:val="0"/>
          <w:sz w:val="24"/>
          <w:szCs w:val="24"/>
        </w:rPr>
        <w:t>20．投标文件的修改和撤</w:t>
      </w:r>
      <w:bookmarkEnd w:id="77"/>
      <w:bookmarkEnd w:id="78"/>
      <w:r>
        <w:rPr>
          <w:rFonts w:hint="eastAsia" w:ascii="宋体" w:hAnsi="宋体" w:cs="宋体"/>
          <w:bCs w:val="0"/>
          <w:sz w:val="24"/>
          <w:szCs w:val="24"/>
        </w:rPr>
        <w:t>回</w:t>
      </w:r>
      <w:bookmarkEnd w:id="79"/>
    </w:p>
    <w:p>
      <w:pPr>
        <w:spacing w:line="360" w:lineRule="auto"/>
        <w:ind w:firstLine="480" w:firstLineChars="200"/>
        <w:rPr>
          <w:rFonts w:ascii="宋体" w:hAnsi="宋体" w:cs="宋体"/>
          <w:sz w:val="24"/>
        </w:rPr>
      </w:pPr>
      <w:r>
        <w:rPr>
          <w:rFonts w:hint="eastAsia" w:ascii="宋体" w:hAnsi="宋体" w:cs="宋体"/>
          <w:sz w:val="24"/>
        </w:rPr>
        <w:t>20.1投标截止时间前，投标人可对已递交的投标文件进行补充、修改或撤回。补充或者修改投标文件的，应当先行撤回已递交的投标文件，在“政采云投标客户端”补充、修改投标文件并加密后重新递交。撤回投标文件进行补充、修改，在投标截止时间前未重新递交的，视为撤回投标文件。</w:t>
      </w:r>
    </w:p>
    <w:p>
      <w:pPr>
        <w:spacing w:line="360" w:lineRule="auto"/>
        <w:ind w:firstLine="480" w:firstLineChars="200"/>
        <w:rPr>
          <w:rFonts w:ascii="宋体" w:hAnsi="宋体" w:cs="宋体"/>
          <w:sz w:val="24"/>
        </w:rPr>
      </w:pPr>
      <w:r>
        <w:rPr>
          <w:rFonts w:hint="eastAsia" w:ascii="宋体" w:hAnsi="宋体" w:cs="宋体"/>
          <w:sz w:val="24"/>
        </w:rPr>
        <w:t>20.2</w:t>
      </w:r>
      <w:bookmarkStart w:id="80" w:name="_Toc77400782"/>
      <w:bookmarkStart w:id="81" w:name="_Toc308164805"/>
      <w:bookmarkStart w:id="82" w:name="_Toc217446056"/>
      <w:bookmarkStart w:id="83" w:name="_Toc183682368"/>
      <w:bookmarkStart w:id="84" w:name="_Toc183582231"/>
      <w:bookmarkStart w:id="85" w:name="_Toc89075878"/>
      <w:r>
        <w:rPr>
          <w:rFonts w:hint="eastAsia" w:ascii="宋体" w:hAnsi="宋体" w:cs="宋体"/>
          <w:sz w:val="24"/>
        </w:rPr>
        <w:t>投标截止时间后，投标人不得对其递交的投标文件做任何补充、修改。</w:t>
      </w:r>
    </w:p>
    <w:p>
      <w:pPr>
        <w:pStyle w:val="2"/>
        <w:rPr>
          <w:rFonts w:ascii="宋体" w:hAnsi="宋体" w:cs="宋体"/>
          <w:sz w:val="24"/>
        </w:rPr>
      </w:pPr>
    </w:p>
    <w:p>
      <w:pPr>
        <w:pStyle w:val="5"/>
        <w:spacing w:before="0" w:after="0" w:line="360" w:lineRule="auto"/>
        <w:ind w:firstLine="482" w:firstLineChars="200"/>
        <w:rPr>
          <w:rFonts w:ascii="宋体" w:hAnsi="宋体" w:cs="宋体"/>
          <w:bCs w:val="0"/>
          <w:sz w:val="24"/>
          <w:szCs w:val="24"/>
        </w:rPr>
      </w:pPr>
      <w:r>
        <w:rPr>
          <w:rFonts w:hint="eastAsia" w:ascii="宋体" w:hAnsi="宋体" w:cs="宋体"/>
          <w:bCs w:val="0"/>
          <w:sz w:val="24"/>
          <w:szCs w:val="24"/>
        </w:rPr>
        <w:t>21．投标文件的解密</w:t>
      </w:r>
    </w:p>
    <w:p>
      <w:pPr>
        <w:spacing w:line="360" w:lineRule="auto"/>
        <w:ind w:firstLine="480"/>
        <w:rPr>
          <w:rFonts w:ascii="宋体" w:hAnsi="宋体" w:cs="宋体"/>
          <w:sz w:val="24"/>
        </w:rPr>
      </w:pPr>
      <w:r>
        <w:rPr>
          <w:rFonts w:hint="eastAsia" w:ascii="宋体" w:hAnsi="宋体" w:cs="宋体"/>
          <w:sz w:val="24"/>
        </w:rPr>
        <w:t>投标人登录政府采购云平台，点击“项目采购—开标评标”模块，进入本项目“开标大厅”，等待代理机构开启解密后，进行线上解密。除因系统发生故障（包括组织场所停电、断网等）导致投标文件无法按时解密外，投标文件未按时解密的作为无效投标处理。</w:t>
      </w:r>
    </w:p>
    <w:p>
      <w:pPr>
        <w:pStyle w:val="2"/>
      </w:pPr>
    </w:p>
    <w:p>
      <w:pPr>
        <w:pStyle w:val="4"/>
        <w:spacing w:before="0" w:after="0" w:line="360" w:lineRule="auto"/>
        <w:jc w:val="center"/>
        <w:rPr>
          <w:rFonts w:ascii="宋体" w:hAnsi="宋体" w:eastAsia="宋体" w:cs="宋体"/>
        </w:rPr>
      </w:pPr>
      <w:r>
        <w:rPr>
          <w:rFonts w:hint="eastAsia" w:ascii="宋体" w:hAnsi="宋体" w:eastAsia="宋体" w:cs="宋体"/>
        </w:rPr>
        <w:t>五、开标和中标</w:t>
      </w:r>
      <w:bookmarkEnd w:id="80"/>
      <w:bookmarkEnd w:id="81"/>
      <w:bookmarkEnd w:id="82"/>
      <w:bookmarkEnd w:id="83"/>
      <w:bookmarkEnd w:id="84"/>
      <w:bookmarkEnd w:id="85"/>
    </w:p>
    <w:p>
      <w:pPr>
        <w:pStyle w:val="5"/>
        <w:spacing w:before="0" w:after="0" w:line="360" w:lineRule="auto"/>
        <w:ind w:firstLine="482" w:firstLineChars="200"/>
        <w:rPr>
          <w:rFonts w:ascii="宋体" w:hAnsi="宋体" w:cs="宋体"/>
          <w:bCs w:val="0"/>
          <w:sz w:val="24"/>
        </w:rPr>
      </w:pPr>
      <w:bookmarkStart w:id="86" w:name="_Toc183682369"/>
      <w:bookmarkStart w:id="87" w:name="_Toc217446057"/>
      <w:bookmarkStart w:id="88" w:name="_Toc308164806"/>
      <w:bookmarkStart w:id="89" w:name="_Toc183582232"/>
      <w:r>
        <w:rPr>
          <w:rFonts w:hint="eastAsia" w:ascii="宋体" w:hAnsi="宋体" w:cs="宋体"/>
          <w:bCs w:val="0"/>
          <w:sz w:val="24"/>
        </w:rPr>
        <w:t>22．开标</w:t>
      </w:r>
      <w:bookmarkEnd w:id="86"/>
      <w:bookmarkEnd w:id="87"/>
      <w:bookmarkEnd w:id="88"/>
      <w:bookmarkEnd w:id="89"/>
    </w:p>
    <w:p>
      <w:pPr>
        <w:spacing w:line="360" w:lineRule="auto"/>
        <w:ind w:firstLine="480" w:firstLineChars="200"/>
        <w:rPr>
          <w:rFonts w:ascii="宋体" w:hAnsi="宋体" w:cs="宋体"/>
          <w:sz w:val="24"/>
        </w:rPr>
      </w:pPr>
      <w:r>
        <w:rPr>
          <w:rFonts w:hint="eastAsia" w:ascii="宋体" w:hAnsi="宋体" w:cs="宋体"/>
          <w:sz w:val="24"/>
        </w:rPr>
        <w:t>22.1本项目为不见面开标项目。（递交电子投标文件的投标人不足3家的，不予开标。）</w:t>
      </w:r>
    </w:p>
    <w:p>
      <w:pPr>
        <w:spacing w:line="360" w:lineRule="auto"/>
        <w:ind w:firstLine="480" w:firstLineChars="200"/>
        <w:rPr>
          <w:rFonts w:ascii="宋体" w:hAnsi="宋体" w:cs="宋体"/>
          <w:sz w:val="24"/>
        </w:rPr>
      </w:pPr>
      <w:r>
        <w:rPr>
          <w:rFonts w:hint="eastAsia" w:ascii="宋体" w:hAnsi="宋体" w:cs="宋体"/>
          <w:sz w:val="24"/>
        </w:rPr>
        <w:t>22.2开标准备工作。投标人需在开标当日、投标截止时间前登录“政府采购云平台”，通过本项目“开标大厅”参与不见面开标。登录政府采购云平台—项目采购—开标评标—开标大厅（确保进入本项目开标大厅）。</w:t>
      </w:r>
    </w:p>
    <w:p>
      <w:pPr>
        <w:spacing w:line="360" w:lineRule="auto"/>
        <w:ind w:firstLine="482" w:firstLineChars="200"/>
        <w:rPr>
          <w:rFonts w:ascii="宋体" w:hAnsi="宋体" w:cs="宋体"/>
          <w:b/>
          <w:bCs/>
          <w:sz w:val="24"/>
        </w:rPr>
      </w:pPr>
      <w:r>
        <w:rPr>
          <w:rFonts w:hint="eastAsia" w:ascii="宋体" w:hAnsi="宋体" w:cs="宋体"/>
          <w:b/>
          <w:bCs/>
          <w:sz w:val="24"/>
        </w:rPr>
        <w:t>提示：投标人未按时登录不见面开标系统，错过开标解密时间的，由投标人自行承担不利后果。</w:t>
      </w:r>
    </w:p>
    <w:p>
      <w:pPr>
        <w:spacing w:line="360" w:lineRule="auto"/>
        <w:ind w:firstLine="480" w:firstLineChars="200"/>
        <w:rPr>
          <w:rFonts w:ascii="宋体" w:hAnsi="宋体" w:cs="宋体"/>
          <w:sz w:val="24"/>
        </w:rPr>
      </w:pPr>
      <w:r>
        <w:rPr>
          <w:rFonts w:hint="eastAsia" w:ascii="宋体" w:hAnsi="宋体" w:cs="宋体"/>
          <w:sz w:val="24"/>
        </w:rPr>
        <w:t>22.3解密投标文件。等待代理机构开启解密后，投标人进行线上解密。开启解密后，投标人应在60分钟内，使用加密该投标文件的CA数字证书在线完成投标文件的解密。除因系统故障（包括组织场所停电、断网等）导致系统无法使用外，投标人在规定的解密时间内，未成功解密的投标文件将视为无效投标文件。</w:t>
      </w:r>
    </w:p>
    <w:p>
      <w:pPr>
        <w:spacing w:line="360" w:lineRule="auto"/>
        <w:ind w:firstLine="480" w:firstLineChars="200"/>
        <w:rPr>
          <w:rFonts w:ascii="宋体" w:hAnsi="宋体" w:cs="宋体"/>
          <w:sz w:val="24"/>
        </w:rPr>
      </w:pPr>
      <w:r>
        <w:rPr>
          <w:rFonts w:hint="eastAsia" w:ascii="宋体" w:hAnsi="宋体" w:cs="宋体"/>
          <w:sz w:val="24"/>
        </w:rPr>
        <w:t>22.4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 在规定时间内确认，如未确认，视为认可开标记录。</w:t>
      </w:r>
    </w:p>
    <w:p>
      <w:pPr>
        <w:spacing w:line="360" w:lineRule="auto"/>
        <w:ind w:firstLine="480" w:firstLineChars="200"/>
        <w:rPr>
          <w:rFonts w:ascii="宋体" w:hAnsi="宋体" w:cs="宋体"/>
          <w:sz w:val="24"/>
        </w:rPr>
      </w:pPr>
      <w:r>
        <w:rPr>
          <w:rFonts w:hint="eastAsia" w:ascii="宋体" w:hAnsi="宋体" w:cs="宋体"/>
          <w:sz w:val="24"/>
        </w:rPr>
        <w:t>22.5投标人电脑终端等硬件设备和软件系统配置：投标人电脑终端等硬件设备和软件系统配置应符合电子投标（含不见面开标大厅）投标人电脑终端配置要求并运行正常，投标人承担因未尽职责产生的不利后果。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line="360" w:lineRule="auto"/>
        <w:ind w:firstLine="480" w:firstLineChars="200"/>
        <w:rPr>
          <w:rFonts w:ascii="宋体" w:hAnsi="宋体" w:cs="宋体"/>
          <w:sz w:val="24"/>
        </w:rPr>
      </w:pPr>
      <w:r>
        <w:rPr>
          <w:rFonts w:hint="eastAsia" w:ascii="宋体" w:hAnsi="宋体" w:cs="宋体"/>
          <w:sz w:val="24"/>
        </w:rPr>
        <w:t>22.6因组织场所断电、断网、系统故障或其他不可抗力等因素导致不见面开标系统无法正常运行的，开标活动中止或延迟，待系统恢复正常后继续进行开标活动。</w:t>
      </w:r>
    </w:p>
    <w:p>
      <w:pPr>
        <w:pStyle w:val="2"/>
        <w:spacing w:line="360" w:lineRule="auto"/>
        <w:ind w:firstLine="480" w:firstLineChars="200"/>
        <w:rPr>
          <w:rFonts w:ascii="宋体" w:hAnsi="宋体" w:cs="宋体"/>
          <w:sz w:val="24"/>
        </w:rPr>
      </w:pPr>
      <w:r>
        <w:rPr>
          <w:rFonts w:hint="eastAsia" w:ascii="宋体" w:hAnsi="宋体" w:cs="宋体"/>
          <w:sz w:val="24"/>
        </w:rPr>
        <w:t>22.7不见面开标过程中，各方主体均应遵守互联网有关规定，不得发表与交易活动无关的言论。</w:t>
      </w:r>
    </w:p>
    <w:p>
      <w:pPr>
        <w:pStyle w:val="2"/>
        <w:spacing w:line="360" w:lineRule="auto"/>
        <w:ind w:firstLine="420" w:firstLineChars="200"/>
        <w:rPr>
          <w:rFonts w:ascii="宋体" w:hAnsi="宋体" w:cs="宋体"/>
        </w:rPr>
      </w:pPr>
    </w:p>
    <w:p>
      <w:pPr>
        <w:spacing w:line="360" w:lineRule="auto"/>
        <w:ind w:firstLine="482" w:firstLineChars="200"/>
        <w:outlineLvl w:val="2"/>
        <w:rPr>
          <w:rFonts w:ascii="宋体" w:hAnsi="宋体" w:cs="宋体"/>
          <w:b/>
          <w:sz w:val="24"/>
        </w:rPr>
      </w:pPr>
      <w:bookmarkStart w:id="90" w:name="_Toc183582238"/>
      <w:bookmarkStart w:id="91" w:name="_Toc183682375"/>
      <w:bookmarkStart w:id="92" w:name="_Toc308164809"/>
      <w:bookmarkStart w:id="93" w:name="_Toc217446063"/>
      <w:r>
        <w:rPr>
          <w:rFonts w:hint="eastAsia" w:ascii="宋体" w:hAnsi="宋体" w:cs="宋体"/>
          <w:b/>
          <w:sz w:val="24"/>
        </w:rPr>
        <w:t>23．开评标过程存档</w:t>
      </w:r>
    </w:p>
    <w:p>
      <w:pPr>
        <w:spacing w:line="360" w:lineRule="auto"/>
        <w:ind w:firstLine="480" w:firstLineChars="200"/>
        <w:rPr>
          <w:rFonts w:ascii="宋体" w:hAnsi="宋体" w:cs="宋体"/>
          <w:sz w:val="24"/>
        </w:rPr>
      </w:pPr>
      <w:r>
        <w:rPr>
          <w:rFonts w:hint="eastAsia" w:ascii="宋体" w:hAnsi="宋体" w:cs="宋体"/>
          <w:sz w:val="24"/>
        </w:rPr>
        <w:t>开标和评标过程进行全过程电子监控，并将电子监控资料存储介质留存归档。</w:t>
      </w:r>
    </w:p>
    <w:p>
      <w:pPr>
        <w:spacing w:line="360" w:lineRule="auto"/>
        <w:ind w:firstLine="480" w:firstLineChars="200"/>
        <w:rPr>
          <w:rFonts w:ascii="宋体" w:hAnsi="宋体" w:cs="宋体"/>
          <w:sz w:val="24"/>
        </w:rPr>
      </w:pPr>
    </w:p>
    <w:p>
      <w:pPr>
        <w:spacing w:line="360" w:lineRule="auto"/>
        <w:ind w:firstLine="482" w:firstLineChars="200"/>
        <w:outlineLvl w:val="2"/>
        <w:rPr>
          <w:rFonts w:ascii="宋体" w:hAnsi="宋体" w:cs="宋体"/>
          <w:b/>
          <w:sz w:val="24"/>
        </w:rPr>
      </w:pPr>
      <w:r>
        <w:rPr>
          <w:rFonts w:hint="eastAsia" w:ascii="宋体" w:hAnsi="宋体" w:cs="宋体"/>
          <w:b/>
          <w:sz w:val="24"/>
        </w:rPr>
        <w:t>24.评标情况公告</w:t>
      </w:r>
    </w:p>
    <w:p>
      <w:pPr>
        <w:spacing w:line="360" w:lineRule="auto"/>
        <w:ind w:firstLine="480" w:firstLineChars="200"/>
        <w:rPr>
          <w:rFonts w:ascii="宋体" w:hAnsi="宋体" w:cs="宋体"/>
          <w:sz w:val="24"/>
        </w:rPr>
      </w:pPr>
      <w:r>
        <w:rPr>
          <w:rFonts w:hint="eastAsia" w:ascii="宋体" w:hAnsi="宋体" w:cs="宋体"/>
          <w:sz w:val="24"/>
        </w:rPr>
        <w:t>所有供应商投标文件资格性、符合性检查情况、采用综合评分法时的总得分和分项汇总得分情况、评标结果等将在四川政府采购网上采购结果公告栏中予以公告。</w:t>
      </w:r>
    </w:p>
    <w:p>
      <w:pPr>
        <w:pStyle w:val="2"/>
        <w:spacing w:after="0" w:line="360" w:lineRule="auto"/>
        <w:ind w:firstLine="420" w:firstLineChars="200"/>
        <w:rPr>
          <w:rFonts w:ascii="宋体" w:hAnsi="宋体" w:cs="宋体"/>
        </w:rPr>
      </w:pPr>
    </w:p>
    <w:p>
      <w:pPr>
        <w:pStyle w:val="5"/>
        <w:spacing w:before="0" w:after="0" w:line="360" w:lineRule="auto"/>
        <w:ind w:firstLine="482" w:firstLineChars="200"/>
        <w:rPr>
          <w:rFonts w:ascii="宋体" w:hAnsi="宋体" w:cs="宋体"/>
          <w:bCs w:val="0"/>
          <w:sz w:val="24"/>
          <w:szCs w:val="24"/>
        </w:rPr>
      </w:pPr>
      <w:r>
        <w:rPr>
          <w:rFonts w:hint="eastAsia" w:ascii="宋体" w:hAnsi="宋体" w:cs="宋体"/>
          <w:bCs w:val="0"/>
          <w:sz w:val="24"/>
          <w:szCs w:val="24"/>
        </w:rPr>
        <w:t>25.中标通知</w:t>
      </w:r>
      <w:bookmarkEnd w:id="90"/>
      <w:bookmarkEnd w:id="91"/>
      <w:r>
        <w:rPr>
          <w:rFonts w:hint="eastAsia" w:ascii="宋体" w:hAnsi="宋体" w:cs="宋体"/>
          <w:bCs w:val="0"/>
          <w:sz w:val="24"/>
          <w:szCs w:val="24"/>
        </w:rPr>
        <w:t>书</w:t>
      </w:r>
      <w:bookmarkEnd w:id="92"/>
      <w:bookmarkEnd w:id="93"/>
    </w:p>
    <w:p>
      <w:pPr>
        <w:tabs>
          <w:tab w:val="left" w:pos="7665"/>
        </w:tabs>
        <w:spacing w:line="360" w:lineRule="auto"/>
        <w:ind w:firstLine="480" w:firstLineChars="200"/>
        <w:rPr>
          <w:rFonts w:ascii="宋体" w:hAnsi="宋体" w:cs="宋体"/>
          <w:sz w:val="24"/>
        </w:rPr>
      </w:pPr>
      <w:bookmarkStart w:id="94" w:name="_Toc308164810"/>
      <w:bookmarkStart w:id="95" w:name="_Toc217446064"/>
      <w:bookmarkStart w:id="96" w:name="_Toc183582240"/>
      <w:bookmarkStart w:id="97" w:name="_Toc183682377"/>
      <w:r>
        <w:rPr>
          <w:rFonts w:hint="eastAsia" w:ascii="宋体" w:hAnsi="宋体" w:cs="宋体"/>
          <w:sz w:val="24"/>
        </w:rPr>
        <w:t>25</w:t>
      </w:r>
      <w:r>
        <w:rPr>
          <w:rFonts w:hint="eastAsia" w:ascii="宋体" w:hAnsi="宋体" w:cs="宋体"/>
          <w:bCs/>
          <w:sz w:val="24"/>
        </w:rPr>
        <w:t>.</w:t>
      </w:r>
      <w:r>
        <w:rPr>
          <w:rFonts w:hint="eastAsia" w:ascii="宋体" w:hAnsi="宋体" w:cs="宋体"/>
          <w:sz w:val="24"/>
        </w:rPr>
        <w:t>1中标通知书为签订政府采购合同的依据之一，是合同的有效组成部分。</w:t>
      </w:r>
    </w:p>
    <w:p>
      <w:pPr>
        <w:tabs>
          <w:tab w:val="left" w:pos="7665"/>
        </w:tabs>
        <w:spacing w:line="360" w:lineRule="auto"/>
        <w:ind w:firstLine="480" w:firstLineChars="200"/>
        <w:rPr>
          <w:rFonts w:ascii="宋体" w:hAnsi="宋体" w:cs="宋体"/>
          <w:sz w:val="24"/>
        </w:rPr>
      </w:pPr>
      <w:r>
        <w:rPr>
          <w:rFonts w:hint="eastAsia" w:ascii="宋体" w:hAnsi="宋体" w:cs="宋体"/>
          <w:sz w:val="24"/>
        </w:rPr>
        <w:t>25.2中标通知书对采购人和中标人均具有法律效力。中标通知书发出后，采购人改变中标结果，或者中标人无正当理由放弃中标的，应当承担相应的法律责任。</w:t>
      </w:r>
    </w:p>
    <w:p>
      <w:pPr>
        <w:tabs>
          <w:tab w:val="left" w:pos="7665"/>
        </w:tabs>
        <w:spacing w:line="360" w:lineRule="auto"/>
        <w:ind w:firstLine="480" w:firstLineChars="200"/>
        <w:rPr>
          <w:rFonts w:ascii="宋体" w:hAnsi="宋体" w:cs="宋体"/>
          <w:sz w:val="24"/>
        </w:rPr>
      </w:pPr>
      <w:r>
        <w:rPr>
          <w:rFonts w:hint="eastAsia" w:ascii="宋体" w:hAnsi="宋体" w:cs="宋体"/>
          <w:sz w:val="24"/>
        </w:rPr>
        <w:t>25．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360" w:lineRule="auto"/>
        <w:ind w:firstLine="482" w:firstLineChars="200"/>
        <w:rPr>
          <w:rFonts w:hint="eastAsia" w:ascii="宋体" w:hAnsi="宋体" w:cs="宋体"/>
          <w:b/>
          <w:bCs/>
          <w:sz w:val="24"/>
        </w:rPr>
      </w:pPr>
      <w:r>
        <w:rPr>
          <w:rFonts w:hint="eastAsia" w:ascii="宋体" w:hAnsi="宋体" w:cs="宋体"/>
          <w:b/>
          <w:bCs/>
          <w:sz w:val="24"/>
        </w:rPr>
        <w:t>25.4在四川政府采购网公告中标结果同时发出中标通知书，中标供应商自行登录政府采购云平台下载中标通知书。</w:t>
      </w:r>
    </w:p>
    <w:p>
      <w:pPr>
        <w:rPr>
          <w:rFonts w:hint="eastAsia"/>
        </w:rPr>
      </w:pPr>
      <w:r>
        <w:rPr>
          <w:rFonts w:hint="eastAsia" w:ascii="宋体" w:hAnsi="宋体" w:cs="宋体"/>
          <w:b/>
          <w:bCs/>
          <w:sz w:val="24"/>
        </w:rPr>
        <w:br w:type="page"/>
      </w:r>
    </w:p>
    <w:p>
      <w:pPr>
        <w:pStyle w:val="4"/>
        <w:spacing w:before="0" w:after="0" w:line="360" w:lineRule="auto"/>
        <w:jc w:val="center"/>
        <w:rPr>
          <w:rFonts w:ascii="宋体" w:hAnsi="宋体" w:eastAsia="宋体" w:cs="宋体"/>
          <w:szCs w:val="28"/>
        </w:rPr>
      </w:pPr>
      <w:r>
        <w:rPr>
          <w:rFonts w:hint="eastAsia" w:ascii="宋体" w:hAnsi="宋体" w:eastAsia="宋体" w:cs="宋体"/>
          <w:szCs w:val="28"/>
        </w:rPr>
        <w:t>六、签订及履行合同和验收</w:t>
      </w:r>
      <w:bookmarkEnd w:id="94"/>
      <w:bookmarkEnd w:id="95"/>
    </w:p>
    <w:p>
      <w:pPr>
        <w:pStyle w:val="5"/>
        <w:spacing w:before="0" w:after="0" w:line="360" w:lineRule="auto"/>
        <w:ind w:firstLine="482" w:firstLineChars="200"/>
        <w:rPr>
          <w:rFonts w:ascii="宋体" w:hAnsi="宋体" w:cs="宋体"/>
          <w:b w:val="0"/>
          <w:sz w:val="24"/>
          <w:szCs w:val="24"/>
        </w:rPr>
      </w:pPr>
      <w:bookmarkStart w:id="98" w:name="_Toc217446065"/>
      <w:bookmarkStart w:id="99" w:name="_Toc308164811"/>
      <w:r>
        <w:rPr>
          <w:rFonts w:hint="eastAsia" w:ascii="宋体" w:hAnsi="宋体" w:cs="宋体"/>
          <w:sz w:val="24"/>
        </w:rPr>
        <w:t>26.</w:t>
      </w:r>
      <w:r>
        <w:rPr>
          <w:rFonts w:hint="eastAsia" w:ascii="宋体" w:hAnsi="宋体" w:cs="宋体"/>
          <w:sz w:val="24"/>
          <w:szCs w:val="24"/>
        </w:rPr>
        <w:t>签订合同</w:t>
      </w:r>
      <w:bookmarkEnd w:id="98"/>
      <w:bookmarkEnd w:id="99"/>
    </w:p>
    <w:p>
      <w:pPr>
        <w:spacing w:line="360" w:lineRule="auto"/>
        <w:ind w:firstLine="480" w:firstLineChars="200"/>
        <w:rPr>
          <w:rFonts w:ascii="宋体" w:hAnsi="宋体" w:cs="宋体"/>
          <w:sz w:val="24"/>
        </w:rPr>
      </w:pPr>
      <w:r>
        <w:rPr>
          <w:rFonts w:hint="eastAsia" w:ascii="宋体" w:hAnsi="宋体" w:cs="宋体"/>
          <w:sz w:val="24"/>
        </w:rPr>
        <w:t>26.1中标人应在中标通知书发出之日起三十日内与采购人签订采购合同。由于中标人的原因逾期未与采购人签订采购合同的，将视为放弃中标，取消其中标资格并将按相关规定进行处理。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20" w:firstLineChars="175"/>
        <w:rPr>
          <w:rFonts w:ascii="宋体" w:hAnsi="宋体" w:cs="宋体"/>
          <w:sz w:val="24"/>
        </w:rPr>
      </w:pPr>
      <w:r>
        <w:rPr>
          <w:rFonts w:hint="eastAsia" w:ascii="宋体" w:hAnsi="宋体" w:cs="宋体"/>
          <w:sz w:val="24"/>
        </w:rPr>
        <w:t>26.2采购人不得向中标人提出任何不合理的要求，作为签订合同的条件，不得与中标人私下订立背离合同实质性内容的任何协议，所签订的合同不得对招标文件和中标人投标文件确定的事项进行修改。</w:t>
      </w:r>
    </w:p>
    <w:p>
      <w:pPr>
        <w:spacing w:line="360" w:lineRule="auto"/>
        <w:ind w:firstLine="420" w:firstLineChars="175"/>
        <w:rPr>
          <w:rFonts w:ascii="宋体" w:hAnsi="宋体" w:cs="宋体"/>
          <w:sz w:val="24"/>
        </w:rPr>
      </w:pPr>
      <w:r>
        <w:rPr>
          <w:rFonts w:hint="eastAsia" w:ascii="宋体" w:hAnsi="宋体" w:cs="宋体"/>
          <w:sz w:val="24"/>
        </w:rPr>
        <w:t>26.3中标人因不可抗力原因不能履行采购合同或放弃中标的，采购人可以与排在中标人之后第一位的中标候选人签订采购合同，以此类推。</w:t>
      </w:r>
    </w:p>
    <w:p>
      <w:pPr>
        <w:spacing w:line="360" w:lineRule="auto"/>
        <w:ind w:firstLine="420" w:firstLineChars="175"/>
        <w:rPr>
          <w:rFonts w:ascii="宋体" w:hAnsi="宋体" w:cs="宋体"/>
          <w:b/>
          <w:bCs/>
          <w:sz w:val="24"/>
          <w:highlight w:val="yellow"/>
        </w:rPr>
      </w:pPr>
      <w:r>
        <w:rPr>
          <w:rFonts w:hint="eastAsia" w:ascii="宋体" w:hAnsi="宋体" w:cs="宋体"/>
          <w:sz w:val="24"/>
        </w:rPr>
        <w:t>26.4</w:t>
      </w:r>
      <w:r>
        <w:rPr>
          <w:rFonts w:hint="eastAsia" w:ascii="宋体" w:hAnsi="宋体" w:cs="宋体"/>
          <w:b/>
          <w:bCs/>
          <w:sz w:val="24"/>
        </w:rPr>
        <w:t>中标人在合同签订之后三个工作日内，将签订的合同原件（壹份）送采购代理机构。</w:t>
      </w:r>
    </w:p>
    <w:p>
      <w:pPr>
        <w:pStyle w:val="2"/>
        <w:rPr>
          <w:rFonts w:ascii="宋体" w:hAnsi="宋体" w:cs="宋体"/>
        </w:rPr>
      </w:pPr>
    </w:p>
    <w:p>
      <w:pPr>
        <w:pStyle w:val="5"/>
        <w:spacing w:before="0" w:after="0" w:line="360" w:lineRule="auto"/>
        <w:ind w:firstLine="482" w:firstLineChars="200"/>
        <w:rPr>
          <w:rFonts w:ascii="宋体" w:hAnsi="宋体" w:cs="宋体"/>
          <w:sz w:val="24"/>
          <w:szCs w:val="24"/>
        </w:rPr>
      </w:pPr>
      <w:r>
        <w:rPr>
          <w:rFonts w:hint="eastAsia" w:ascii="宋体" w:hAnsi="宋体" w:cs="宋体"/>
          <w:sz w:val="24"/>
          <w:szCs w:val="24"/>
        </w:rPr>
        <w:t>27.合同分包（实质性要求）</w:t>
      </w:r>
    </w:p>
    <w:p>
      <w:pPr>
        <w:spacing w:line="360" w:lineRule="auto"/>
        <w:ind w:firstLine="480" w:firstLineChars="200"/>
        <w:rPr>
          <w:rFonts w:ascii="宋体" w:hAnsi="宋体" w:cs="宋体"/>
          <w:sz w:val="24"/>
        </w:rPr>
      </w:pPr>
      <w:r>
        <w:rPr>
          <w:rFonts w:hint="eastAsia" w:ascii="宋体" w:hAnsi="宋体" w:cs="宋体"/>
          <w:sz w:val="24"/>
        </w:rPr>
        <w:t>27.1经采购人同意，中标人可以依法采取分包方式履行合同。这种要求应当在合同签订之前征得采购人同意，并且分包供应商履行的分包项目的品牌、规格型号及技术要求等，必须与中标的一致。</w:t>
      </w:r>
    </w:p>
    <w:p>
      <w:pPr>
        <w:spacing w:line="360" w:lineRule="auto"/>
        <w:ind w:firstLine="480" w:firstLineChars="200"/>
        <w:rPr>
          <w:rFonts w:ascii="宋体" w:hAnsi="宋体" w:cs="宋体"/>
          <w:sz w:val="24"/>
        </w:rPr>
      </w:pPr>
      <w:r>
        <w:rPr>
          <w:rFonts w:hint="eastAsia" w:ascii="宋体" w:hAnsi="宋体" w:cs="宋体"/>
          <w:sz w:val="24"/>
        </w:rPr>
        <w:t>分包履行合同的部分应当为采购项目的非主体、非关键性工作，不属于中标人的主要合同义务。</w:t>
      </w:r>
    </w:p>
    <w:p>
      <w:pPr>
        <w:spacing w:line="360" w:lineRule="auto"/>
        <w:ind w:firstLine="480" w:firstLineChars="200"/>
        <w:rPr>
          <w:rFonts w:ascii="宋体" w:hAnsi="宋体" w:cs="宋体"/>
          <w:sz w:val="24"/>
        </w:rPr>
      </w:pPr>
      <w:r>
        <w:rPr>
          <w:rFonts w:hint="eastAsia" w:ascii="宋体" w:hAnsi="宋体" w:cs="宋体"/>
          <w:sz w:val="24"/>
        </w:rPr>
        <w:t>27.2采购合同实行分包履行的，中标人就采购项目和分包项目向采购人负责，分包供应商就分包项目承担责任。</w:t>
      </w:r>
    </w:p>
    <w:p>
      <w:pPr>
        <w:spacing w:line="360" w:lineRule="auto"/>
        <w:ind w:firstLine="480" w:firstLineChars="200"/>
        <w:rPr>
          <w:rFonts w:ascii="宋体" w:hAnsi="宋体" w:cs="宋体"/>
          <w:sz w:val="24"/>
        </w:rPr>
      </w:pPr>
      <w:r>
        <w:rPr>
          <w:rFonts w:hint="eastAsia" w:ascii="宋体" w:hAnsi="宋体" w:cs="宋体"/>
          <w:sz w:val="24"/>
        </w:rPr>
        <w:t>27.3依据《政府采购促进中小企业发展管理办法》（财库[2020]46号）规定享受扶持政策获得政府采购合同的，小微企业不得将合同分包给大中型企业，中型企业不得将合同分包给大型企业。</w:t>
      </w:r>
    </w:p>
    <w:p>
      <w:pPr>
        <w:pStyle w:val="2"/>
      </w:pPr>
    </w:p>
    <w:p>
      <w:pPr>
        <w:pStyle w:val="5"/>
        <w:spacing w:before="0" w:after="0" w:line="360" w:lineRule="auto"/>
        <w:ind w:firstLine="482" w:firstLineChars="200"/>
        <w:rPr>
          <w:rFonts w:ascii="宋体" w:hAnsi="宋体" w:cs="宋体"/>
          <w:sz w:val="24"/>
          <w:szCs w:val="24"/>
        </w:rPr>
      </w:pPr>
      <w:r>
        <w:rPr>
          <w:rFonts w:hint="eastAsia" w:ascii="宋体" w:hAnsi="宋体" w:cs="宋体"/>
          <w:sz w:val="24"/>
          <w:szCs w:val="24"/>
        </w:rPr>
        <w:t>28.合同转包（实质性要求）</w:t>
      </w:r>
    </w:p>
    <w:p>
      <w:pPr>
        <w:spacing w:line="360" w:lineRule="auto"/>
        <w:ind w:firstLine="480" w:firstLineChars="200"/>
        <w:rPr>
          <w:rFonts w:ascii="宋体" w:hAnsi="宋体" w:cs="宋体"/>
          <w:sz w:val="24"/>
        </w:rPr>
      </w:pPr>
      <w:r>
        <w:rPr>
          <w:rFonts w:hint="eastAsia" w:ascii="宋体" w:hAnsi="宋体" w:cs="宋体"/>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360" w:lineRule="auto"/>
        <w:ind w:firstLine="480" w:firstLineChars="200"/>
      </w:pPr>
      <w:r>
        <w:rPr>
          <w:rFonts w:hint="eastAsia" w:ascii="宋体" w:hAnsi="宋体" w:cs="宋体"/>
          <w:sz w:val="24"/>
        </w:rPr>
        <w:t>中标人转包的，视同拒绝履行政府采购合同义务，将依法追究法律责任。</w:t>
      </w:r>
    </w:p>
    <w:p>
      <w:pPr>
        <w:pStyle w:val="5"/>
        <w:spacing w:before="0" w:after="0" w:line="360" w:lineRule="auto"/>
        <w:ind w:firstLine="482" w:firstLineChars="200"/>
        <w:rPr>
          <w:rFonts w:ascii="宋体" w:hAnsi="宋体" w:cs="宋体"/>
          <w:sz w:val="24"/>
          <w:szCs w:val="24"/>
        </w:rPr>
      </w:pPr>
      <w:bookmarkStart w:id="100" w:name="_Toc217446066"/>
      <w:r>
        <w:rPr>
          <w:rFonts w:hint="eastAsia" w:ascii="宋体" w:hAnsi="宋体" w:cs="宋体"/>
          <w:sz w:val="24"/>
          <w:szCs w:val="24"/>
        </w:rPr>
        <w:t>29.</w:t>
      </w:r>
      <w:bookmarkEnd w:id="100"/>
      <w:r>
        <w:rPr>
          <w:rFonts w:hint="eastAsia" w:ascii="宋体" w:hAnsi="宋体" w:cs="宋体"/>
          <w:sz w:val="24"/>
          <w:szCs w:val="24"/>
        </w:rPr>
        <w:t>补充合同</w:t>
      </w:r>
    </w:p>
    <w:p>
      <w:pPr>
        <w:spacing w:line="360" w:lineRule="auto"/>
        <w:ind w:firstLine="480" w:firstLineChars="200"/>
        <w:rPr>
          <w:rFonts w:ascii="宋体" w:hAnsi="宋体" w:cs="宋体"/>
          <w:sz w:val="24"/>
        </w:rPr>
      </w:pPr>
      <w:r>
        <w:rPr>
          <w:rFonts w:hint="eastAsia" w:ascii="宋体" w:hAnsi="宋体" w:cs="宋体"/>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2"/>
        <w:rPr>
          <w:rFonts w:ascii="宋体" w:hAnsi="宋体" w:cs="宋体"/>
        </w:rPr>
      </w:pPr>
    </w:p>
    <w:p>
      <w:pPr>
        <w:pStyle w:val="5"/>
        <w:spacing w:before="0" w:after="0" w:line="360" w:lineRule="auto"/>
        <w:ind w:firstLine="482" w:firstLineChars="200"/>
        <w:rPr>
          <w:rFonts w:ascii="宋体" w:hAnsi="宋体" w:cs="宋体"/>
          <w:b w:val="0"/>
          <w:sz w:val="24"/>
          <w:szCs w:val="24"/>
        </w:rPr>
      </w:pPr>
      <w:bookmarkStart w:id="101" w:name="_Toc308164812"/>
      <w:bookmarkStart w:id="102" w:name="_Toc217446068"/>
      <w:r>
        <w:rPr>
          <w:rFonts w:hint="eastAsia" w:ascii="宋体" w:hAnsi="宋体" w:cs="宋体"/>
          <w:sz w:val="24"/>
          <w:szCs w:val="24"/>
        </w:rPr>
        <w:t>30</w:t>
      </w:r>
      <w:r>
        <w:rPr>
          <w:rFonts w:hint="eastAsia" w:ascii="宋体" w:hAnsi="宋体" w:cs="宋体"/>
          <w:b w:val="0"/>
          <w:sz w:val="24"/>
          <w:szCs w:val="24"/>
        </w:rPr>
        <w:t>.</w:t>
      </w:r>
      <w:r>
        <w:rPr>
          <w:rFonts w:hint="eastAsia" w:ascii="宋体" w:hAnsi="宋体" w:cs="宋体"/>
          <w:sz w:val="24"/>
          <w:szCs w:val="24"/>
        </w:rPr>
        <w:t>履约保证金</w:t>
      </w:r>
      <w:bookmarkEnd w:id="101"/>
      <w:bookmarkEnd w:id="102"/>
    </w:p>
    <w:p>
      <w:pPr>
        <w:spacing w:line="360" w:lineRule="auto"/>
        <w:ind w:firstLine="480" w:firstLineChars="200"/>
        <w:rPr>
          <w:rFonts w:ascii="宋体" w:hAnsi="宋体" w:cs="宋体"/>
          <w:sz w:val="24"/>
        </w:rPr>
      </w:pPr>
      <w:r>
        <w:rPr>
          <w:rFonts w:hint="eastAsia" w:ascii="宋体" w:hAnsi="宋体" w:cs="宋体"/>
          <w:sz w:val="24"/>
        </w:rPr>
        <w:t>本项目不收取履约保证金。</w:t>
      </w:r>
    </w:p>
    <w:p>
      <w:pPr>
        <w:pStyle w:val="2"/>
        <w:rPr>
          <w:rFonts w:ascii="宋体" w:hAnsi="宋体" w:cs="宋体"/>
        </w:rPr>
      </w:pPr>
    </w:p>
    <w:p>
      <w:pPr>
        <w:pStyle w:val="5"/>
        <w:spacing w:before="0" w:after="0" w:line="360" w:lineRule="auto"/>
        <w:ind w:firstLine="482" w:firstLineChars="200"/>
        <w:rPr>
          <w:rFonts w:ascii="宋体" w:hAnsi="宋体" w:cs="宋体"/>
          <w:sz w:val="24"/>
          <w:szCs w:val="24"/>
        </w:rPr>
      </w:pPr>
      <w:bookmarkStart w:id="103" w:name="_Toc308164813"/>
      <w:bookmarkStart w:id="104" w:name="_Toc217446069"/>
      <w:r>
        <w:rPr>
          <w:rFonts w:hint="eastAsia" w:ascii="宋体" w:hAnsi="宋体" w:cs="宋体"/>
          <w:sz w:val="24"/>
          <w:szCs w:val="24"/>
        </w:rPr>
        <w:t>31.合同公告</w:t>
      </w:r>
    </w:p>
    <w:p>
      <w:pPr>
        <w:spacing w:line="360" w:lineRule="auto"/>
        <w:ind w:firstLine="480" w:firstLineChars="200"/>
        <w:rPr>
          <w:rFonts w:ascii="宋体" w:hAnsi="宋体" w:cs="宋体"/>
          <w:sz w:val="24"/>
        </w:rPr>
      </w:pPr>
      <w:r>
        <w:rPr>
          <w:rFonts w:hint="eastAsia" w:ascii="宋体" w:hAnsi="宋体" w:cs="宋体"/>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2"/>
        <w:rPr>
          <w:rFonts w:ascii="宋体" w:hAnsi="宋体" w:cs="宋体"/>
        </w:rPr>
      </w:pPr>
    </w:p>
    <w:p>
      <w:pPr>
        <w:pStyle w:val="5"/>
        <w:spacing w:before="0" w:after="0" w:line="360" w:lineRule="auto"/>
        <w:ind w:firstLine="482" w:firstLineChars="200"/>
        <w:rPr>
          <w:rFonts w:ascii="宋体" w:hAnsi="宋体" w:cs="宋体"/>
          <w:sz w:val="24"/>
          <w:szCs w:val="24"/>
        </w:rPr>
      </w:pPr>
      <w:r>
        <w:rPr>
          <w:rFonts w:hint="eastAsia" w:ascii="宋体" w:hAnsi="宋体" w:cs="宋体"/>
          <w:sz w:val="24"/>
          <w:szCs w:val="24"/>
        </w:rPr>
        <w:t>32.合同备案</w:t>
      </w:r>
    </w:p>
    <w:p>
      <w:pPr>
        <w:spacing w:line="360" w:lineRule="auto"/>
        <w:ind w:firstLine="480" w:firstLineChars="200"/>
        <w:rPr>
          <w:rFonts w:ascii="宋体" w:hAnsi="宋体" w:cs="宋体"/>
          <w:sz w:val="24"/>
        </w:rPr>
      </w:pPr>
      <w:r>
        <w:rPr>
          <w:rFonts w:hint="eastAsia" w:ascii="宋体" w:hAnsi="宋体" w:cs="宋体"/>
          <w:sz w:val="24"/>
        </w:rPr>
        <w:t>采购人应当将政府采购合同副本自签订（双方当事人均已签字盖章）之日起七个工作日内通过四川政府采购网报同级财政部门备案。</w:t>
      </w:r>
    </w:p>
    <w:p>
      <w:pPr>
        <w:pStyle w:val="2"/>
      </w:pPr>
    </w:p>
    <w:p>
      <w:pPr>
        <w:pStyle w:val="5"/>
        <w:spacing w:before="0" w:after="0" w:line="360" w:lineRule="auto"/>
        <w:ind w:firstLine="482" w:firstLineChars="200"/>
        <w:jc w:val="left"/>
        <w:rPr>
          <w:rFonts w:ascii="宋体" w:hAnsi="宋体" w:cs="宋体"/>
          <w:sz w:val="24"/>
          <w:szCs w:val="24"/>
        </w:rPr>
      </w:pPr>
      <w:r>
        <w:rPr>
          <w:rFonts w:hint="eastAsia" w:ascii="宋体" w:hAnsi="宋体" w:cs="宋体"/>
          <w:sz w:val="24"/>
          <w:szCs w:val="24"/>
        </w:rPr>
        <w:t>33. 履行合同</w:t>
      </w:r>
      <w:bookmarkEnd w:id="103"/>
      <w:bookmarkEnd w:id="104"/>
    </w:p>
    <w:p>
      <w:pPr>
        <w:spacing w:line="360" w:lineRule="auto"/>
        <w:ind w:firstLine="480" w:firstLineChars="200"/>
        <w:rPr>
          <w:rFonts w:ascii="宋体" w:hAnsi="宋体" w:cs="宋体"/>
          <w:sz w:val="24"/>
        </w:rPr>
      </w:pPr>
      <w:r>
        <w:rPr>
          <w:rFonts w:hint="eastAsia" w:ascii="宋体" w:hAnsi="宋体" w:cs="宋体"/>
          <w:sz w:val="24"/>
        </w:rPr>
        <w:t>33.1 中标人与采购人签订合同后，合同双方应严格执行合同条款，履行合同规定的义务，保证合同的顺利完成。</w:t>
      </w:r>
    </w:p>
    <w:p>
      <w:pPr>
        <w:spacing w:line="360" w:lineRule="auto"/>
        <w:ind w:firstLine="480" w:firstLineChars="200"/>
        <w:rPr>
          <w:rFonts w:ascii="宋体" w:hAnsi="宋体" w:cs="宋体"/>
          <w:sz w:val="24"/>
        </w:rPr>
      </w:pPr>
      <w:r>
        <w:rPr>
          <w:rFonts w:hint="eastAsia" w:ascii="宋体" w:hAnsi="宋体" w:cs="宋体"/>
          <w:sz w:val="24"/>
        </w:rPr>
        <w:t>33.2 在合同履行过程中，如发生合同纠纷，合同双方应按照《合同法》的有关规定进行处理。</w:t>
      </w:r>
    </w:p>
    <w:p>
      <w:pPr>
        <w:pStyle w:val="2"/>
        <w:rPr>
          <w:rFonts w:ascii="宋体" w:hAnsi="宋体" w:cs="宋体"/>
        </w:rPr>
      </w:pPr>
    </w:p>
    <w:p>
      <w:pPr>
        <w:pStyle w:val="5"/>
        <w:spacing w:before="0" w:after="0" w:line="360" w:lineRule="auto"/>
        <w:ind w:firstLine="482" w:firstLineChars="200"/>
        <w:rPr>
          <w:rFonts w:ascii="宋体" w:hAnsi="宋体" w:cs="宋体"/>
          <w:b w:val="0"/>
          <w:sz w:val="24"/>
          <w:szCs w:val="24"/>
        </w:rPr>
      </w:pPr>
      <w:bookmarkStart w:id="105" w:name="_Toc217446070"/>
      <w:bookmarkStart w:id="106" w:name="_Toc308164814"/>
      <w:r>
        <w:rPr>
          <w:rFonts w:hint="eastAsia" w:ascii="宋体" w:hAnsi="宋体" w:cs="宋体"/>
          <w:sz w:val="24"/>
          <w:szCs w:val="24"/>
        </w:rPr>
        <w:t>34.验收</w:t>
      </w:r>
      <w:bookmarkEnd w:id="105"/>
      <w:bookmarkEnd w:id="106"/>
    </w:p>
    <w:p>
      <w:pPr>
        <w:spacing w:line="360" w:lineRule="auto"/>
        <w:ind w:firstLine="480" w:firstLineChars="200"/>
        <w:rPr>
          <w:rFonts w:ascii="宋体" w:hAnsi="宋体" w:cs="宋体"/>
          <w:sz w:val="24"/>
        </w:rPr>
      </w:pPr>
      <w:r>
        <w:rPr>
          <w:rFonts w:hint="eastAsia" w:ascii="宋体" w:hAnsi="宋体" w:cs="宋体"/>
          <w:sz w:val="24"/>
        </w:rPr>
        <w:t>34.1本项目采购人及其委托的采购代理机构将严格按照政府采购相关法律法规以及《财政部关于进一步加强政府采购需求和履约验收管理的指导意见》（财库〔2016〕205号）的要求进行验收。</w:t>
      </w:r>
    </w:p>
    <w:p>
      <w:pPr>
        <w:spacing w:line="360" w:lineRule="auto"/>
        <w:ind w:firstLine="480" w:firstLineChars="200"/>
        <w:rPr>
          <w:rFonts w:ascii="宋体" w:hAnsi="宋体" w:cs="宋体"/>
          <w:sz w:val="24"/>
        </w:rPr>
      </w:pPr>
      <w:r>
        <w:rPr>
          <w:rFonts w:hint="eastAsia" w:ascii="宋体" w:hAnsi="宋体" w:cs="宋体"/>
          <w:sz w:val="24"/>
        </w:rPr>
        <w:t>34.2 验收结果合格的，中标人凭验收报告办理相关手续；验收结果不合格的，履约保证金将不予退还，也将不予支付采购资金，还可能会报告本项目同级财政部门按照政府采购法律法规及有关规定给予行政处罚。</w:t>
      </w:r>
      <w:bookmarkStart w:id="107" w:name="_Toc217446071"/>
    </w:p>
    <w:p>
      <w:pPr>
        <w:pStyle w:val="2"/>
        <w:rPr>
          <w:rFonts w:ascii="宋体" w:hAnsi="宋体" w:cs="宋体"/>
        </w:rPr>
      </w:pPr>
    </w:p>
    <w:p>
      <w:pPr>
        <w:pStyle w:val="5"/>
        <w:spacing w:before="0" w:after="0" w:line="360" w:lineRule="auto"/>
        <w:ind w:firstLine="482" w:firstLineChars="200"/>
        <w:rPr>
          <w:rFonts w:ascii="宋体" w:hAnsi="宋体" w:cs="宋体"/>
          <w:sz w:val="24"/>
          <w:szCs w:val="24"/>
        </w:rPr>
      </w:pPr>
      <w:bookmarkStart w:id="108" w:name="_Toc217446077"/>
      <w:bookmarkStart w:id="109" w:name="_Toc308164818"/>
      <w:r>
        <w:rPr>
          <w:rFonts w:hint="eastAsia" w:ascii="宋体" w:hAnsi="宋体" w:cs="宋体"/>
          <w:sz w:val="24"/>
          <w:szCs w:val="24"/>
        </w:rPr>
        <w:t>35.资金支付</w:t>
      </w:r>
      <w:bookmarkEnd w:id="108"/>
      <w:bookmarkEnd w:id="109"/>
    </w:p>
    <w:p>
      <w:pPr>
        <w:spacing w:line="360" w:lineRule="auto"/>
        <w:ind w:firstLine="480" w:firstLineChars="200"/>
        <w:rPr>
          <w:rFonts w:ascii="宋体" w:hAnsi="宋体" w:cs="宋体"/>
          <w:sz w:val="24"/>
        </w:rPr>
      </w:pPr>
      <w:r>
        <w:rPr>
          <w:rFonts w:hint="eastAsia" w:ascii="宋体" w:hAnsi="宋体" w:cs="宋体"/>
          <w:sz w:val="24"/>
        </w:rPr>
        <w:t>采购人将按照政府采购合同规定，及时向中标供应商支付采购资金。</w:t>
      </w:r>
    </w:p>
    <w:p>
      <w:pPr>
        <w:pStyle w:val="2"/>
        <w:rPr>
          <w:rFonts w:ascii="宋体" w:hAnsi="宋体" w:cs="宋体"/>
        </w:rPr>
      </w:pPr>
    </w:p>
    <w:bookmarkEnd w:id="96"/>
    <w:bookmarkEnd w:id="97"/>
    <w:bookmarkEnd w:id="107"/>
    <w:p>
      <w:pPr>
        <w:pStyle w:val="4"/>
        <w:spacing w:before="0" w:after="0" w:line="360" w:lineRule="auto"/>
        <w:jc w:val="center"/>
        <w:rPr>
          <w:rFonts w:ascii="宋体" w:hAnsi="宋体" w:eastAsia="宋体" w:cs="宋体"/>
          <w:szCs w:val="28"/>
        </w:rPr>
      </w:pPr>
      <w:bookmarkStart w:id="110" w:name="_Toc217446074"/>
      <w:bookmarkStart w:id="111" w:name="_Toc308164815"/>
      <w:bookmarkStart w:id="112" w:name="_Toc183682380"/>
      <w:bookmarkStart w:id="113" w:name="_Toc183582243"/>
      <w:r>
        <w:rPr>
          <w:rFonts w:hint="eastAsia" w:ascii="宋体" w:hAnsi="宋体" w:eastAsia="宋体" w:cs="宋体"/>
          <w:szCs w:val="28"/>
        </w:rPr>
        <w:t>七、投标纪律要求</w:t>
      </w:r>
      <w:bookmarkEnd w:id="110"/>
      <w:bookmarkEnd w:id="111"/>
    </w:p>
    <w:p>
      <w:pPr>
        <w:pStyle w:val="5"/>
        <w:spacing w:before="0" w:after="0" w:line="360" w:lineRule="auto"/>
        <w:ind w:firstLine="482" w:firstLineChars="200"/>
        <w:rPr>
          <w:rFonts w:ascii="宋体" w:hAnsi="宋体" w:cs="宋体"/>
          <w:bCs w:val="0"/>
          <w:sz w:val="24"/>
          <w:szCs w:val="24"/>
        </w:rPr>
      </w:pPr>
      <w:bookmarkStart w:id="114" w:name="_Toc308164816"/>
      <w:bookmarkStart w:id="115" w:name="_Toc217446075"/>
      <w:r>
        <w:rPr>
          <w:rFonts w:hint="eastAsia" w:ascii="宋体" w:hAnsi="宋体" w:cs="宋体"/>
          <w:sz w:val="24"/>
        </w:rPr>
        <w:t>36.</w:t>
      </w:r>
      <w:r>
        <w:rPr>
          <w:rFonts w:hint="eastAsia" w:ascii="宋体" w:hAnsi="宋体" w:cs="宋体"/>
          <w:bCs w:val="0"/>
          <w:sz w:val="24"/>
          <w:szCs w:val="24"/>
        </w:rPr>
        <w:t>投标人不得具有的情形</w:t>
      </w:r>
      <w:bookmarkEnd w:id="114"/>
      <w:bookmarkEnd w:id="115"/>
    </w:p>
    <w:p>
      <w:pPr>
        <w:pStyle w:val="8"/>
        <w:spacing w:line="360" w:lineRule="auto"/>
        <w:ind w:firstLine="480"/>
        <w:rPr>
          <w:rFonts w:ascii="宋体" w:hAnsi="宋体" w:cs="宋体"/>
          <w:sz w:val="24"/>
        </w:rPr>
      </w:pPr>
      <w:r>
        <w:rPr>
          <w:rFonts w:hint="eastAsia" w:ascii="宋体" w:hAnsi="宋体" w:cs="宋体"/>
          <w:sz w:val="24"/>
        </w:rPr>
        <w:t>投标人参加本项目投标不得有下列情形：</w:t>
      </w:r>
    </w:p>
    <w:p>
      <w:pPr>
        <w:spacing w:line="360" w:lineRule="auto"/>
        <w:ind w:firstLine="460" w:firstLineChars="192"/>
        <w:rPr>
          <w:rFonts w:ascii="宋体" w:hAnsi="宋体" w:cs="宋体"/>
          <w:sz w:val="24"/>
        </w:rPr>
      </w:pPr>
      <w:r>
        <w:rPr>
          <w:rFonts w:hint="eastAsia" w:ascii="宋体" w:hAnsi="宋体" w:cs="宋体"/>
          <w:sz w:val="24"/>
        </w:rPr>
        <w:t>（1）提供虚假材料谋取中标；</w:t>
      </w:r>
    </w:p>
    <w:p>
      <w:pPr>
        <w:spacing w:line="360" w:lineRule="auto"/>
        <w:ind w:firstLine="460" w:firstLineChars="192"/>
        <w:rPr>
          <w:rFonts w:ascii="宋体" w:hAnsi="宋体" w:cs="宋体"/>
          <w:sz w:val="24"/>
        </w:rPr>
      </w:pPr>
      <w:r>
        <w:rPr>
          <w:rFonts w:hint="eastAsia" w:ascii="宋体" w:hAnsi="宋体" w:cs="宋体"/>
          <w:sz w:val="24"/>
        </w:rPr>
        <w:t>（2）采取不正当手段诋毁、排挤其他投标人；</w:t>
      </w:r>
    </w:p>
    <w:p>
      <w:pPr>
        <w:spacing w:line="360" w:lineRule="auto"/>
        <w:ind w:firstLine="480" w:firstLineChars="200"/>
        <w:rPr>
          <w:rFonts w:ascii="宋体" w:hAnsi="宋体" w:cs="宋体"/>
          <w:sz w:val="24"/>
        </w:rPr>
      </w:pPr>
      <w:r>
        <w:rPr>
          <w:rFonts w:hint="eastAsia" w:ascii="宋体" w:hAnsi="宋体" w:cs="宋体"/>
          <w:sz w:val="24"/>
        </w:rPr>
        <w:t>（3）与招标采购单位、其他投标人恶意串通；</w:t>
      </w:r>
    </w:p>
    <w:p>
      <w:pPr>
        <w:spacing w:line="360" w:lineRule="auto"/>
        <w:ind w:firstLine="480" w:firstLineChars="200"/>
        <w:rPr>
          <w:rFonts w:ascii="宋体" w:hAnsi="宋体" w:cs="宋体"/>
          <w:sz w:val="24"/>
        </w:rPr>
      </w:pPr>
      <w:r>
        <w:rPr>
          <w:rFonts w:hint="eastAsia" w:ascii="宋体" w:hAnsi="宋体" w:cs="宋体"/>
          <w:sz w:val="24"/>
        </w:rPr>
        <w:t>（4）向招标采购单位、评标委员会成员行贿或者提供其他不正当利益；</w:t>
      </w:r>
    </w:p>
    <w:p>
      <w:pPr>
        <w:spacing w:line="360" w:lineRule="auto"/>
        <w:ind w:firstLine="460" w:firstLineChars="192"/>
        <w:rPr>
          <w:rFonts w:ascii="宋体" w:hAnsi="宋体" w:cs="宋体"/>
          <w:sz w:val="24"/>
        </w:rPr>
      </w:pPr>
      <w:r>
        <w:rPr>
          <w:rFonts w:hint="eastAsia" w:ascii="宋体" w:hAnsi="宋体" w:cs="宋体"/>
          <w:sz w:val="24"/>
        </w:rPr>
        <w:t>（5）在招标过程中与招标采购单位进行协商谈判；</w:t>
      </w:r>
    </w:p>
    <w:p>
      <w:pPr>
        <w:spacing w:line="360" w:lineRule="auto"/>
        <w:ind w:firstLine="460" w:firstLineChars="192"/>
        <w:rPr>
          <w:rFonts w:ascii="宋体" w:hAnsi="宋体" w:cs="宋体"/>
          <w:sz w:val="24"/>
        </w:rPr>
      </w:pPr>
      <w:r>
        <w:rPr>
          <w:rFonts w:hint="eastAsia" w:ascii="宋体" w:hAnsi="宋体" w:cs="宋体"/>
          <w:sz w:val="24"/>
        </w:rPr>
        <w:t>（6）中标或者成交后无正当理由拒不与采购人签订政府采购合同；</w:t>
      </w:r>
    </w:p>
    <w:p>
      <w:pPr>
        <w:spacing w:line="360" w:lineRule="auto"/>
        <w:ind w:firstLine="480" w:firstLineChars="200"/>
        <w:rPr>
          <w:rFonts w:ascii="宋体" w:hAnsi="宋体" w:cs="宋体"/>
          <w:sz w:val="24"/>
        </w:rPr>
      </w:pPr>
      <w:r>
        <w:rPr>
          <w:rFonts w:hint="eastAsia" w:ascii="宋体" w:hAnsi="宋体" w:cs="宋体"/>
          <w:sz w:val="24"/>
        </w:rPr>
        <w:t>（7）未按照采购文件确定的事项签订政府采购合同；</w:t>
      </w:r>
    </w:p>
    <w:p>
      <w:pPr>
        <w:spacing w:line="360" w:lineRule="auto"/>
        <w:ind w:firstLine="480" w:firstLineChars="200"/>
        <w:rPr>
          <w:rFonts w:ascii="宋体" w:hAnsi="宋体" w:cs="宋体"/>
          <w:sz w:val="24"/>
        </w:rPr>
      </w:pPr>
      <w:r>
        <w:rPr>
          <w:rFonts w:hint="eastAsia" w:ascii="宋体" w:hAnsi="宋体" w:cs="宋体"/>
          <w:sz w:val="24"/>
        </w:rPr>
        <w:t>（8）将政府采购合同转包或者违规分包；</w:t>
      </w:r>
    </w:p>
    <w:p>
      <w:pPr>
        <w:spacing w:line="360" w:lineRule="auto"/>
        <w:ind w:firstLine="480" w:firstLineChars="200"/>
        <w:rPr>
          <w:rFonts w:ascii="宋体" w:hAnsi="宋体" w:cs="宋体"/>
          <w:sz w:val="24"/>
        </w:rPr>
      </w:pPr>
      <w:r>
        <w:rPr>
          <w:rFonts w:hint="eastAsia" w:ascii="宋体" w:hAnsi="宋体" w:cs="宋体"/>
          <w:sz w:val="24"/>
        </w:rPr>
        <w:t>（9）提供假冒伪劣产品；</w:t>
      </w:r>
    </w:p>
    <w:p>
      <w:pPr>
        <w:spacing w:line="360" w:lineRule="auto"/>
        <w:ind w:firstLine="480" w:firstLineChars="200"/>
        <w:rPr>
          <w:rFonts w:ascii="宋体" w:hAnsi="宋体" w:cs="宋体"/>
          <w:sz w:val="24"/>
        </w:rPr>
      </w:pPr>
      <w:r>
        <w:rPr>
          <w:rFonts w:hint="eastAsia" w:ascii="宋体" w:hAnsi="宋体" w:cs="宋体"/>
          <w:sz w:val="24"/>
        </w:rPr>
        <w:t>（10）擅自变更、中止或者终止政府采购合同；</w:t>
      </w:r>
    </w:p>
    <w:p>
      <w:pPr>
        <w:spacing w:line="360" w:lineRule="auto"/>
        <w:ind w:firstLine="460" w:firstLineChars="192"/>
        <w:rPr>
          <w:rFonts w:ascii="宋体" w:hAnsi="宋体" w:cs="宋体"/>
          <w:sz w:val="24"/>
        </w:rPr>
      </w:pPr>
      <w:r>
        <w:rPr>
          <w:rFonts w:hint="eastAsia" w:ascii="宋体" w:hAnsi="宋体" w:cs="宋体"/>
          <w:sz w:val="24"/>
        </w:rPr>
        <w:t>（11）拒绝有关部门的监督检查或者向监督检查部门提供虚假情况；</w:t>
      </w:r>
    </w:p>
    <w:p>
      <w:pPr>
        <w:spacing w:line="360" w:lineRule="auto"/>
        <w:ind w:firstLine="480" w:firstLineChars="200"/>
        <w:rPr>
          <w:rFonts w:ascii="宋体" w:hAnsi="宋体" w:cs="宋体"/>
          <w:sz w:val="24"/>
        </w:rPr>
      </w:pPr>
      <w:r>
        <w:rPr>
          <w:rFonts w:hint="eastAsia" w:ascii="宋体" w:hAnsi="宋体" w:cs="宋体"/>
          <w:sz w:val="24"/>
        </w:rPr>
        <w:t>（12）法律法规规定的其他情形。</w:t>
      </w:r>
    </w:p>
    <w:p>
      <w:pPr>
        <w:spacing w:line="360" w:lineRule="auto"/>
        <w:ind w:firstLine="480" w:firstLineChars="200"/>
        <w:rPr>
          <w:rFonts w:ascii="宋体" w:hAnsi="宋体" w:cs="宋体"/>
          <w:sz w:val="24"/>
        </w:rPr>
      </w:pPr>
      <w:r>
        <w:rPr>
          <w:rFonts w:hint="eastAsia" w:ascii="宋体" w:hAnsi="宋体" w:cs="宋体"/>
          <w:sz w:val="24"/>
        </w:rPr>
        <w:t>投标人有上述情形的，按照规定追究法律责任，具备（1）-（10）条情形之一的，同时将取消中标资格或者认定中标无效。</w:t>
      </w:r>
    </w:p>
    <w:p>
      <w:pPr>
        <w:pStyle w:val="2"/>
        <w:rPr>
          <w:rFonts w:ascii="宋体" w:hAnsi="宋体" w:cs="宋体"/>
        </w:rPr>
      </w:pPr>
    </w:p>
    <w:p>
      <w:pPr>
        <w:pStyle w:val="4"/>
        <w:spacing w:before="0" w:after="0" w:line="360" w:lineRule="auto"/>
        <w:jc w:val="center"/>
        <w:rPr>
          <w:rFonts w:ascii="宋体" w:hAnsi="宋体" w:eastAsia="宋体" w:cs="宋体"/>
          <w:bCs w:val="0"/>
          <w:szCs w:val="28"/>
        </w:rPr>
      </w:pPr>
      <w:bookmarkStart w:id="116" w:name="_Toc217446078"/>
      <w:bookmarkStart w:id="117" w:name="_Toc308164819"/>
      <w:r>
        <w:rPr>
          <w:rFonts w:hint="eastAsia" w:ascii="宋体" w:hAnsi="宋体" w:eastAsia="宋体" w:cs="宋体"/>
          <w:bCs w:val="0"/>
          <w:szCs w:val="28"/>
        </w:rPr>
        <w:t>八、询问、质疑和投诉</w:t>
      </w:r>
      <w:bookmarkEnd w:id="116"/>
      <w:bookmarkEnd w:id="117"/>
      <w:bookmarkStart w:id="118" w:name="_Toc217446079"/>
    </w:p>
    <w:bookmarkEnd w:id="118"/>
    <w:p>
      <w:pPr>
        <w:widowControl/>
        <w:spacing w:line="360" w:lineRule="auto"/>
        <w:ind w:firstLine="472" w:firstLineChars="196"/>
        <w:jc w:val="left"/>
        <w:outlineLvl w:val="2"/>
        <w:rPr>
          <w:rFonts w:ascii="宋体" w:hAnsi="宋体" w:cs="宋体"/>
          <w:sz w:val="24"/>
        </w:rPr>
      </w:pPr>
      <w:r>
        <w:rPr>
          <w:rFonts w:hint="eastAsia" w:ascii="宋体" w:hAnsi="宋体" w:cs="宋体"/>
          <w:b/>
          <w:sz w:val="24"/>
        </w:rPr>
        <w:t>3</w:t>
      </w:r>
      <w:bookmarkEnd w:id="112"/>
      <w:bookmarkEnd w:id="113"/>
      <w:r>
        <w:rPr>
          <w:rFonts w:hint="eastAsia" w:ascii="宋体" w:hAnsi="宋体" w:cs="宋体"/>
          <w:b/>
          <w:sz w:val="24"/>
        </w:rPr>
        <w:t>7．</w:t>
      </w:r>
      <w:r>
        <w:rPr>
          <w:rFonts w:hint="eastAsia" w:ascii="宋体" w:hAnsi="宋体" w:cs="宋体"/>
          <w:sz w:val="24"/>
        </w:rPr>
        <w:t>询问、质疑、投诉的接收和处理严格按照《中华人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2"/>
        <w:rPr>
          <w:rFonts w:ascii="宋体" w:hAnsi="宋体" w:cs="宋体"/>
        </w:rPr>
      </w:pPr>
    </w:p>
    <w:p>
      <w:pPr>
        <w:pStyle w:val="4"/>
        <w:spacing w:before="0" w:after="0" w:line="360" w:lineRule="auto"/>
        <w:jc w:val="center"/>
        <w:rPr>
          <w:rFonts w:ascii="宋体" w:hAnsi="宋体" w:eastAsia="宋体" w:cs="宋体"/>
          <w:bCs w:val="0"/>
          <w:szCs w:val="28"/>
        </w:rPr>
      </w:pPr>
      <w:r>
        <w:rPr>
          <w:rFonts w:hint="eastAsia" w:ascii="宋体" w:hAnsi="宋体" w:eastAsia="宋体" w:cs="宋体"/>
          <w:bCs w:val="0"/>
          <w:szCs w:val="28"/>
        </w:rPr>
        <w:t>九、其他</w:t>
      </w:r>
    </w:p>
    <w:p>
      <w:pPr>
        <w:widowControl/>
        <w:spacing w:line="360" w:lineRule="auto"/>
        <w:ind w:firstLine="482" w:firstLineChars="200"/>
        <w:jc w:val="left"/>
        <w:outlineLvl w:val="2"/>
        <w:rPr>
          <w:rFonts w:ascii="宋体" w:hAnsi="宋体" w:cs="宋体"/>
          <w:sz w:val="24"/>
        </w:rPr>
      </w:pPr>
      <w:r>
        <w:rPr>
          <w:rFonts w:hint="eastAsia" w:ascii="宋体" w:hAnsi="宋体" w:cs="宋体"/>
          <w:b/>
          <w:sz w:val="24"/>
        </w:rPr>
        <w:t>38.</w:t>
      </w:r>
      <w:r>
        <w:rPr>
          <w:rFonts w:hint="eastAsia" w:ascii="宋体" w:hAnsi="宋体" w:cs="宋体"/>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before="120" w:line="360" w:lineRule="auto"/>
        <w:ind w:firstLine="482" w:firstLineChars="200"/>
        <w:rPr>
          <w:rFonts w:ascii="宋体" w:hAnsi="宋体" w:cs="宋体"/>
          <w:sz w:val="24"/>
        </w:rPr>
      </w:pPr>
      <w:bookmarkStart w:id="119" w:name="_Toc217446083"/>
      <w:r>
        <w:rPr>
          <w:rFonts w:hint="eastAsia" w:ascii="宋体" w:hAnsi="宋体" w:cs="宋体"/>
          <w:b/>
          <w:sz w:val="24"/>
        </w:rPr>
        <w:br w:type="page"/>
      </w:r>
    </w:p>
    <w:p>
      <w:pPr>
        <w:jc w:val="center"/>
        <w:outlineLvl w:val="0"/>
        <w:rPr>
          <w:rFonts w:ascii="宋体" w:hAnsi="宋体" w:cs="宋体"/>
          <w:sz w:val="36"/>
          <w:szCs w:val="36"/>
        </w:rPr>
      </w:pPr>
      <w:bookmarkStart w:id="120" w:name="_Toc6906"/>
      <w:bookmarkStart w:id="121" w:name="_Toc1368"/>
      <w:r>
        <w:rPr>
          <w:rFonts w:hint="eastAsia" w:ascii="宋体" w:hAnsi="宋体" w:cs="宋体"/>
          <w:sz w:val="36"/>
          <w:szCs w:val="36"/>
        </w:rPr>
        <w:t>第三章  投标文件格式</w:t>
      </w:r>
      <w:bookmarkEnd w:id="120"/>
      <w:bookmarkEnd w:id="121"/>
      <w:bookmarkStart w:id="122" w:name="_Toc217446082"/>
      <w:bookmarkStart w:id="123" w:name="_Toc308164821"/>
    </w:p>
    <w:p>
      <w:pPr>
        <w:spacing w:before="120" w:line="400" w:lineRule="exact"/>
        <w:ind w:firstLine="480" w:firstLineChars="200"/>
        <w:rPr>
          <w:rFonts w:ascii="宋体" w:hAnsi="宋体" w:cs="宋体"/>
          <w:sz w:val="24"/>
        </w:rPr>
      </w:pP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一、本章所制投标文件格式，除格式中明确将该格式作为实质性要求的，一律不具有强制性。供应商根据自身情况调整格式的，不影响投标文件的有效性。</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二、本章所制投标文件格式有关表格中的备注栏，由供应商根据自身响应情况作解释性说明，不作为必填项。</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三、本章所制投标文件格式中需要填写的相关内容事项，可能会与本采购项目无关，在不改变响应文件原义、不影响本项目采购需求的情况下，供应商可以不予填写。</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四、投标文件的装订、纸张、文件排序等非实质性的格式、形式等不得作为符合性评审的实质性要求。</w:t>
      </w:r>
    </w:p>
    <w:p>
      <w:pPr>
        <w:spacing w:before="120" w:line="400" w:lineRule="exact"/>
        <w:ind w:firstLine="480" w:firstLineChars="200"/>
        <w:rPr>
          <w:rFonts w:ascii="宋体" w:hAnsi="宋体" w:cs="宋体"/>
          <w:sz w:val="24"/>
        </w:rPr>
      </w:pPr>
    </w:p>
    <w:p>
      <w:pPr>
        <w:tabs>
          <w:tab w:val="left" w:pos="900"/>
        </w:tabs>
        <w:spacing w:line="360" w:lineRule="auto"/>
        <w:jc w:val="center"/>
        <w:rPr>
          <w:rFonts w:ascii="宋体" w:hAnsi="宋体" w:cs="宋体"/>
          <w:b/>
          <w:sz w:val="32"/>
        </w:rPr>
      </w:pPr>
      <w:r>
        <w:rPr>
          <w:rFonts w:hint="eastAsia" w:ascii="宋体" w:hAnsi="宋体" w:cs="宋体"/>
          <w:b/>
          <w:sz w:val="32"/>
          <w:szCs w:val="32"/>
        </w:rPr>
        <w:br w:type="page"/>
      </w:r>
      <w:bookmarkEnd w:id="119"/>
      <w:bookmarkEnd w:id="122"/>
      <w:bookmarkEnd w:id="123"/>
      <w:r>
        <w:rPr>
          <w:rFonts w:hint="eastAsia" w:ascii="宋体" w:hAnsi="宋体" w:cs="宋体"/>
          <w:b/>
          <w:sz w:val="32"/>
        </w:rPr>
        <w:t>第一部分     “资格性投标文件”格式</w:t>
      </w:r>
    </w:p>
    <w:p>
      <w:pPr>
        <w:spacing w:line="360" w:lineRule="auto"/>
        <w:rPr>
          <w:rFonts w:ascii="宋体" w:hAnsi="宋体" w:cs="宋体"/>
          <w:b/>
          <w:sz w:val="32"/>
          <w:szCs w:val="32"/>
        </w:rPr>
      </w:pPr>
      <w:r>
        <w:rPr>
          <w:rFonts w:hint="eastAsia" w:ascii="宋体" w:hAnsi="宋体" w:cs="宋体"/>
          <w:b/>
          <w:sz w:val="32"/>
          <w:szCs w:val="32"/>
        </w:rPr>
        <w:t>封面：</w:t>
      </w:r>
    </w:p>
    <w:p>
      <w:pPr>
        <w:spacing w:line="360" w:lineRule="auto"/>
        <w:jc w:val="right"/>
        <w:rPr>
          <w:rFonts w:ascii="宋体" w:hAnsi="宋体" w:cs="宋体"/>
          <w:b/>
          <w:sz w:val="36"/>
        </w:rPr>
      </w:pPr>
      <w:r>
        <w:rPr>
          <w:rFonts w:hint="eastAsia" w:ascii="宋体" w:hAnsi="宋体" w:cs="宋体"/>
          <w:b/>
          <w:sz w:val="36"/>
        </w:rPr>
        <w:t>（正本/副本）</w:t>
      </w:r>
    </w:p>
    <w:p>
      <w:pPr>
        <w:jc w:val="center"/>
        <w:rPr>
          <w:rFonts w:ascii="宋体" w:hAnsi="宋体" w:cs="宋体"/>
          <w:b/>
          <w:sz w:val="44"/>
          <w:szCs w:val="44"/>
        </w:rPr>
      </w:pPr>
      <w:r>
        <w:rPr>
          <w:rFonts w:hint="eastAsia" w:ascii="宋体" w:hAnsi="宋体" w:cs="宋体"/>
          <w:b/>
          <w:sz w:val="44"/>
          <w:szCs w:val="44"/>
        </w:rPr>
        <w:t>简阳市行政审批局中小微经济体财税数字综合服务平台项目采购</w:t>
      </w:r>
    </w:p>
    <w:p>
      <w:pPr>
        <w:spacing w:line="360" w:lineRule="auto"/>
        <w:rPr>
          <w:rFonts w:ascii="宋体" w:hAnsi="宋体" w:cs="宋体"/>
          <w:b/>
          <w:sz w:val="32"/>
          <w:szCs w:val="32"/>
        </w:rPr>
      </w:pPr>
    </w:p>
    <w:p>
      <w:pPr>
        <w:spacing w:line="360" w:lineRule="auto"/>
        <w:rPr>
          <w:rFonts w:ascii="宋体" w:hAnsi="宋体" w:cs="宋体"/>
          <w:b/>
          <w:sz w:val="52"/>
          <w:szCs w:val="52"/>
        </w:rPr>
      </w:pPr>
    </w:p>
    <w:p>
      <w:pPr>
        <w:pStyle w:val="2"/>
        <w:rPr>
          <w:rFonts w:ascii="宋体" w:hAnsi="宋体" w:cs="宋体"/>
        </w:rPr>
      </w:pPr>
    </w:p>
    <w:p>
      <w:pPr>
        <w:pStyle w:val="2"/>
        <w:rPr>
          <w:rFonts w:ascii="宋体" w:hAnsi="宋体" w:cs="宋体"/>
        </w:rPr>
      </w:pPr>
    </w:p>
    <w:p>
      <w:pPr>
        <w:spacing w:line="360" w:lineRule="auto"/>
        <w:jc w:val="center"/>
        <w:outlineLvl w:val="1"/>
        <w:rPr>
          <w:rFonts w:ascii="宋体" w:hAnsi="宋体" w:cs="宋体"/>
          <w:b/>
          <w:sz w:val="32"/>
          <w:szCs w:val="32"/>
        </w:rPr>
      </w:pPr>
      <w:r>
        <w:rPr>
          <w:rFonts w:hint="eastAsia" w:ascii="宋体" w:hAnsi="宋体" w:cs="宋体"/>
          <w:b/>
          <w:sz w:val="52"/>
          <w:szCs w:val="52"/>
        </w:rPr>
        <w:t>资格性投标文件</w:t>
      </w:r>
    </w:p>
    <w:p>
      <w:pPr>
        <w:spacing w:line="360" w:lineRule="auto"/>
        <w:rPr>
          <w:rFonts w:ascii="宋体" w:hAnsi="宋体" w:cs="宋体"/>
          <w:b/>
          <w:sz w:val="36"/>
        </w:rPr>
      </w:pPr>
    </w:p>
    <w:p>
      <w:pPr>
        <w:spacing w:line="360" w:lineRule="auto"/>
        <w:rPr>
          <w:rFonts w:ascii="宋体" w:hAnsi="宋体" w:cs="宋体"/>
          <w:b/>
          <w:sz w:val="36"/>
        </w:rPr>
      </w:pPr>
    </w:p>
    <w:p>
      <w:pPr>
        <w:pStyle w:val="2"/>
        <w:rPr>
          <w:rFonts w:ascii="宋体" w:hAnsi="宋体" w:cs="宋体"/>
        </w:rPr>
      </w:pPr>
    </w:p>
    <w:p>
      <w:pPr>
        <w:pStyle w:val="2"/>
        <w:rPr>
          <w:rFonts w:ascii="宋体" w:hAnsi="宋体" w:cs="宋体"/>
        </w:rPr>
      </w:pPr>
    </w:p>
    <w:p>
      <w:pPr>
        <w:pStyle w:val="54"/>
        <w:rPr>
          <w:rFonts w:hAnsi="宋体"/>
          <w:b/>
          <w:color w:val="auto"/>
          <w:sz w:val="36"/>
        </w:rPr>
      </w:pPr>
    </w:p>
    <w:p>
      <w:pPr>
        <w:pStyle w:val="54"/>
        <w:rPr>
          <w:rFonts w:hAnsi="宋体"/>
          <w:b/>
          <w:color w:val="auto"/>
          <w:sz w:val="36"/>
        </w:rPr>
      </w:pPr>
    </w:p>
    <w:p>
      <w:pPr>
        <w:pStyle w:val="54"/>
        <w:rPr>
          <w:rFonts w:hAnsi="宋体"/>
          <w:b/>
          <w:color w:val="auto"/>
          <w:sz w:val="36"/>
        </w:rPr>
      </w:pPr>
    </w:p>
    <w:p>
      <w:pPr>
        <w:pStyle w:val="54"/>
        <w:rPr>
          <w:rFonts w:hAnsi="宋体"/>
          <w:b/>
          <w:color w:val="auto"/>
          <w:sz w:val="36"/>
        </w:rPr>
      </w:pPr>
    </w:p>
    <w:p>
      <w:pPr>
        <w:spacing w:line="360" w:lineRule="auto"/>
        <w:jc w:val="left"/>
        <w:rPr>
          <w:rFonts w:ascii="宋体" w:hAnsi="宋体" w:cs="宋体"/>
          <w:b/>
          <w:sz w:val="32"/>
          <w:u w:val="single"/>
        </w:rPr>
      </w:pPr>
      <w:r>
        <w:rPr>
          <w:rFonts w:hint="eastAsia" w:ascii="宋体" w:hAnsi="宋体" w:cs="宋体"/>
          <w:b/>
          <w:sz w:val="32"/>
        </w:rPr>
        <w:t>投 标 人名称：</w:t>
      </w:r>
      <w:r>
        <w:rPr>
          <w:rFonts w:hint="eastAsia" w:ascii="宋体" w:hAnsi="宋体" w:cs="宋体"/>
          <w:b/>
          <w:sz w:val="32"/>
          <w:u w:val="single"/>
        </w:rPr>
        <w:t xml:space="preserve">                                 </w:t>
      </w:r>
    </w:p>
    <w:p>
      <w:pPr>
        <w:spacing w:line="360" w:lineRule="auto"/>
        <w:jc w:val="left"/>
        <w:rPr>
          <w:rFonts w:ascii="宋体" w:hAnsi="宋体" w:cs="宋体"/>
          <w:b/>
          <w:sz w:val="32"/>
          <w:u w:val="single"/>
        </w:rPr>
      </w:pPr>
      <w:r>
        <w:rPr>
          <w:rFonts w:hint="eastAsia" w:ascii="宋体" w:hAnsi="宋体" w:cs="宋体"/>
          <w:b/>
          <w:sz w:val="32"/>
        </w:rPr>
        <w:t>采购项目编号：</w:t>
      </w:r>
      <w:r>
        <w:rPr>
          <w:rFonts w:hint="eastAsia" w:ascii="宋体" w:hAnsi="宋体" w:cs="宋体"/>
          <w:b/>
          <w:sz w:val="32"/>
          <w:u w:val="single"/>
        </w:rPr>
        <w:t xml:space="preserve">                                 </w:t>
      </w:r>
    </w:p>
    <w:p>
      <w:pPr>
        <w:spacing w:line="360" w:lineRule="auto"/>
        <w:ind w:firstLine="790" w:firstLineChars="246"/>
        <w:jc w:val="center"/>
        <w:rPr>
          <w:rFonts w:ascii="宋体" w:hAnsi="宋体" w:cs="宋体"/>
          <w:b/>
          <w:sz w:val="32"/>
        </w:rPr>
      </w:pPr>
    </w:p>
    <w:p>
      <w:pPr>
        <w:pStyle w:val="2"/>
      </w:pPr>
    </w:p>
    <w:p>
      <w:pPr>
        <w:spacing w:line="360" w:lineRule="auto"/>
        <w:ind w:firstLine="790" w:firstLineChars="246"/>
        <w:jc w:val="center"/>
        <w:rPr>
          <w:rFonts w:ascii="宋体" w:hAnsi="宋体" w:cs="宋体"/>
          <w:b/>
          <w:sz w:val="32"/>
          <w:szCs w:val="32"/>
        </w:rPr>
      </w:pPr>
      <w:r>
        <w:rPr>
          <w:rFonts w:hint="eastAsia" w:ascii="宋体" w:hAnsi="宋体" w:cs="宋体"/>
          <w:b/>
          <w:sz w:val="32"/>
        </w:rPr>
        <w:t>投标时间：</w:t>
      </w:r>
      <w:r>
        <w:rPr>
          <w:rFonts w:hint="eastAsia" w:ascii="宋体" w:hAnsi="宋体" w:cs="宋体"/>
          <w:b/>
          <w:sz w:val="32"/>
          <w:u w:val="single"/>
        </w:rPr>
        <w:t xml:space="preserve">     </w:t>
      </w:r>
      <w:r>
        <w:rPr>
          <w:rFonts w:hint="eastAsia" w:ascii="宋体" w:hAnsi="宋体" w:cs="宋体"/>
          <w:b/>
          <w:sz w:val="32"/>
        </w:rPr>
        <w:t>年</w:t>
      </w:r>
      <w:r>
        <w:rPr>
          <w:rFonts w:hint="eastAsia" w:ascii="宋体" w:hAnsi="宋体" w:cs="宋体"/>
          <w:b/>
          <w:sz w:val="32"/>
          <w:u w:val="single"/>
        </w:rPr>
        <w:t xml:space="preserve">     </w:t>
      </w:r>
      <w:r>
        <w:rPr>
          <w:rFonts w:hint="eastAsia" w:ascii="宋体" w:hAnsi="宋体" w:cs="宋体"/>
          <w:b/>
          <w:sz w:val="32"/>
        </w:rPr>
        <w:t>月</w:t>
      </w:r>
      <w:r>
        <w:rPr>
          <w:rFonts w:hint="eastAsia" w:ascii="宋体" w:hAnsi="宋体" w:cs="宋体"/>
          <w:b/>
          <w:sz w:val="32"/>
          <w:u w:val="single"/>
        </w:rPr>
        <w:t xml:space="preserve">   </w:t>
      </w:r>
      <w:r>
        <w:rPr>
          <w:rFonts w:hint="eastAsia" w:ascii="宋体" w:hAnsi="宋体" w:cs="宋体"/>
          <w:b/>
          <w:sz w:val="32"/>
        </w:rPr>
        <w:t>日</w:t>
      </w:r>
    </w:p>
    <w:p>
      <w:pPr>
        <w:widowControl/>
        <w:spacing w:line="360" w:lineRule="atLeast"/>
        <w:jc w:val="center"/>
        <w:outlineLvl w:val="1"/>
        <w:rPr>
          <w:rFonts w:ascii="宋体" w:hAnsi="宋体" w:cs="宋体"/>
          <w:b/>
          <w:sz w:val="24"/>
        </w:rPr>
      </w:pPr>
      <w:bookmarkStart w:id="124" w:name="_Toc308164824"/>
      <w:r>
        <w:rPr>
          <w:rFonts w:hint="eastAsia" w:ascii="宋体" w:hAnsi="宋体" w:cs="宋体"/>
          <w:b/>
          <w:sz w:val="32"/>
          <w:szCs w:val="32"/>
        </w:rPr>
        <w:br w:type="page"/>
      </w:r>
      <w:r>
        <w:rPr>
          <w:rFonts w:hint="eastAsia" w:ascii="宋体" w:hAnsi="宋体" w:cs="宋体"/>
          <w:b/>
          <w:sz w:val="32"/>
          <w:szCs w:val="32"/>
        </w:rPr>
        <w:t>一、法定代表人授权书</w:t>
      </w:r>
    </w:p>
    <w:p>
      <w:pPr>
        <w:widowControl/>
        <w:spacing w:line="360" w:lineRule="atLeast"/>
        <w:jc w:val="left"/>
        <w:rPr>
          <w:rFonts w:ascii="宋体" w:hAnsi="宋体" w:cs="宋体"/>
          <w:b/>
          <w:sz w:val="24"/>
        </w:rPr>
      </w:pPr>
    </w:p>
    <w:p>
      <w:pPr>
        <w:widowControl/>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：（采购代理机构名称）</w:t>
      </w:r>
    </w:p>
    <w:p>
      <w:pPr>
        <w:widowControl/>
        <w:spacing w:line="360" w:lineRule="auto"/>
        <w:ind w:firstLine="710" w:firstLineChars="296"/>
        <w:jc w:val="left"/>
        <w:rPr>
          <w:rFonts w:ascii="宋体" w:hAnsi="宋体" w:cs="宋体"/>
          <w:sz w:val="24"/>
        </w:rPr>
      </w:pPr>
      <w:r>
        <w:rPr>
          <w:rFonts w:hint="eastAsia" w:ascii="宋体" w:hAnsi="宋体" w:cs="宋体"/>
          <w:sz w:val="24"/>
        </w:rPr>
        <w:t xml:space="preserve">本授权声明： </w:t>
      </w:r>
      <w:r>
        <w:rPr>
          <w:rFonts w:hint="eastAsia" w:ascii="宋体" w:hAnsi="宋体" w:cs="宋体"/>
          <w:sz w:val="24"/>
          <w:u w:val="single"/>
        </w:rPr>
        <w:t xml:space="preserve">                       </w:t>
      </w:r>
      <w:r>
        <w:rPr>
          <w:rFonts w:hint="eastAsia" w:ascii="宋体" w:hAnsi="宋体" w:cs="宋体"/>
          <w:sz w:val="24"/>
        </w:rPr>
        <w:t xml:space="preserve">（投标人名称） </w:t>
      </w:r>
      <w:r>
        <w:rPr>
          <w:rFonts w:hint="eastAsia" w:ascii="宋体" w:hAnsi="宋体" w:cs="宋体"/>
          <w:sz w:val="24"/>
          <w:u w:val="single"/>
        </w:rPr>
        <w:t xml:space="preserve">                       </w:t>
      </w:r>
      <w:r>
        <w:rPr>
          <w:rFonts w:hint="eastAsia" w:ascii="宋体" w:hAnsi="宋体" w:cs="宋体"/>
          <w:sz w:val="24"/>
        </w:rPr>
        <w:t xml:space="preserve">（法定代表人姓名、职务）授权 </w:t>
      </w:r>
      <w:r>
        <w:rPr>
          <w:rFonts w:hint="eastAsia" w:ascii="宋体" w:hAnsi="宋体" w:cs="宋体"/>
          <w:sz w:val="24"/>
          <w:u w:val="single"/>
        </w:rPr>
        <w:t xml:space="preserve">                       </w:t>
      </w:r>
      <w:r>
        <w:rPr>
          <w:rFonts w:hint="eastAsia" w:ascii="宋体" w:hAnsi="宋体" w:cs="宋体"/>
          <w:sz w:val="24"/>
        </w:rPr>
        <w:t>（被授权人姓名、职务）为我方 “</w:t>
      </w:r>
      <w:r>
        <w:rPr>
          <w:rFonts w:hint="eastAsia" w:ascii="宋体" w:hAnsi="宋体" w:cs="宋体"/>
          <w:sz w:val="24"/>
          <w:u w:val="single"/>
        </w:rPr>
        <w:t xml:space="preserve">                    （项目名称）</w:t>
      </w: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）投标活动的合法代表，以我方名义全权处理该项目有关投标、签订合同以及执行合同等一切事宜。</w:t>
      </w:r>
    </w:p>
    <w:p>
      <w:pPr>
        <w:widowControl/>
        <w:spacing w:line="360" w:lineRule="auto"/>
        <w:ind w:firstLine="470" w:firstLineChars="196"/>
        <w:jc w:val="left"/>
        <w:rPr>
          <w:rFonts w:ascii="宋体" w:hAnsi="宋体" w:cs="宋体"/>
          <w:sz w:val="24"/>
        </w:rPr>
      </w:pPr>
      <w:r>
        <w:rPr>
          <w:rFonts w:hint="eastAsia" w:ascii="宋体" w:hAnsi="宋体" w:cs="宋体"/>
          <w:sz w:val="24"/>
        </w:rPr>
        <w:t>特此声明。</w:t>
      </w: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法定代表人（签字或加盖法人章）</w:t>
      </w:r>
      <w:r>
        <w:rPr>
          <w:rFonts w:hint="eastAsia" w:ascii="宋体" w:hAnsi="宋体" w:cs="宋体"/>
          <w:sz w:val="24"/>
          <w:u w:val="single"/>
        </w:rPr>
        <w:t xml:space="preserve">                       </w:t>
      </w:r>
    </w:p>
    <w:p>
      <w:pPr>
        <w:pStyle w:val="54"/>
        <w:spacing w:line="360" w:lineRule="auto"/>
        <w:ind w:firstLine="480" w:firstLineChars="200"/>
        <w:rPr>
          <w:rFonts w:hAnsi="宋体"/>
          <w:color w:val="auto"/>
        </w:rPr>
      </w:pPr>
      <w:r>
        <w:rPr>
          <w:rFonts w:hint="eastAsia" w:hAnsi="宋体"/>
          <w:color w:val="auto"/>
        </w:rPr>
        <w:t>授权代表签字：</w:t>
      </w:r>
      <w:r>
        <w:rPr>
          <w:rFonts w:hint="eastAsia" w:hAnsi="宋体"/>
          <w:color w:val="auto"/>
          <w:u w:val="single"/>
        </w:rPr>
        <w:t xml:space="preserve">                       </w:t>
      </w:r>
    </w:p>
    <w:p>
      <w:pPr>
        <w:widowControl/>
        <w:spacing w:line="360" w:lineRule="auto"/>
        <w:ind w:firstLine="470" w:firstLineChars="196"/>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（单位盖章）</w:t>
      </w:r>
    </w:p>
    <w:p>
      <w:pPr>
        <w:widowControl/>
        <w:spacing w:line="360" w:lineRule="auto"/>
        <w:ind w:firstLine="480" w:firstLineChars="200"/>
        <w:jc w:val="left"/>
        <w:rPr>
          <w:rFonts w:ascii="宋体" w:hAnsi="宋体" w:cs="宋体"/>
          <w:b/>
          <w:sz w:val="24"/>
        </w:rPr>
      </w:pPr>
      <w:r>
        <w:rPr>
          <w:rFonts w:hint="eastAsia" w:ascii="宋体" w:hAnsi="宋体" w:cs="宋体"/>
          <w:sz w:val="24"/>
        </w:rPr>
        <w:t>日      期：</w:t>
      </w:r>
      <w:r>
        <w:rPr>
          <w:rFonts w:hint="eastAsia" w:ascii="宋体" w:hAnsi="宋体" w:cs="宋体"/>
          <w:sz w:val="24"/>
          <w:u w:val="single"/>
        </w:rPr>
        <w:t xml:space="preserve">                         </w:t>
      </w:r>
    </w:p>
    <w:p>
      <w:pPr>
        <w:widowControl/>
        <w:spacing w:line="360" w:lineRule="auto"/>
        <w:jc w:val="left"/>
        <w:rPr>
          <w:rFonts w:ascii="宋体" w:hAnsi="宋体" w:cs="宋体"/>
          <w:b/>
          <w:sz w:val="24"/>
        </w:rPr>
      </w:pPr>
    </w:p>
    <w:p>
      <w:pPr>
        <w:widowControl/>
        <w:spacing w:line="360" w:lineRule="auto"/>
        <w:jc w:val="left"/>
        <w:rPr>
          <w:rFonts w:ascii="宋体" w:hAnsi="宋体" w:cs="宋体"/>
          <w:b/>
          <w:sz w:val="24"/>
        </w:rPr>
      </w:pPr>
    </w:p>
    <w:p>
      <w:pPr>
        <w:widowControl/>
        <w:spacing w:line="360" w:lineRule="auto"/>
        <w:jc w:val="left"/>
        <w:rPr>
          <w:rFonts w:ascii="宋体" w:hAnsi="宋体" w:cs="宋体"/>
          <w:b/>
          <w:sz w:val="24"/>
        </w:rPr>
      </w:pPr>
    </w:p>
    <w:p>
      <w:pPr>
        <w:widowControl/>
        <w:spacing w:line="360" w:lineRule="auto"/>
        <w:jc w:val="left"/>
        <w:rPr>
          <w:rFonts w:ascii="宋体" w:hAnsi="宋体" w:cs="宋体"/>
          <w:b/>
          <w:sz w:val="24"/>
        </w:rPr>
      </w:pPr>
    </w:p>
    <w:p>
      <w:pPr>
        <w:widowControl/>
        <w:spacing w:line="360" w:lineRule="auto"/>
        <w:jc w:val="left"/>
        <w:rPr>
          <w:rFonts w:ascii="宋体" w:hAnsi="宋体" w:cs="宋体"/>
          <w:bCs/>
          <w:sz w:val="24"/>
        </w:rPr>
      </w:pPr>
      <w:r>
        <w:rPr>
          <w:rFonts w:hint="eastAsia" w:ascii="宋体" w:hAnsi="宋体" w:cs="宋体"/>
          <w:bCs/>
          <w:sz w:val="24"/>
        </w:rPr>
        <w:t>注：</w:t>
      </w:r>
    </w:p>
    <w:p>
      <w:pPr>
        <w:widowControl/>
        <w:spacing w:line="360" w:lineRule="auto"/>
        <w:jc w:val="left"/>
        <w:rPr>
          <w:rFonts w:ascii="宋体" w:hAnsi="宋体" w:cs="宋体"/>
          <w:bCs/>
          <w:sz w:val="24"/>
        </w:rPr>
      </w:pPr>
      <w:r>
        <w:rPr>
          <w:rFonts w:hint="eastAsia" w:ascii="宋体" w:hAnsi="宋体" w:cs="宋体"/>
          <w:bCs/>
          <w:sz w:val="24"/>
        </w:rPr>
        <w:t>1、法定代表人参加投标时，不提供本授权书。</w:t>
      </w:r>
    </w:p>
    <w:p>
      <w:pPr>
        <w:widowControl/>
        <w:spacing w:line="360" w:lineRule="auto"/>
        <w:jc w:val="left"/>
        <w:rPr>
          <w:rFonts w:ascii="宋体" w:hAnsi="宋体" w:cs="宋体"/>
          <w:bCs/>
          <w:sz w:val="24"/>
        </w:rPr>
      </w:pPr>
      <w:r>
        <w:rPr>
          <w:rFonts w:hint="eastAsia" w:ascii="宋体" w:hAnsi="宋体" w:cs="宋体"/>
          <w:bCs/>
          <w:sz w:val="24"/>
        </w:rPr>
        <w:t>2、应附加盖公章的法定代表人</w:t>
      </w:r>
      <w:r>
        <w:rPr>
          <w:rFonts w:hint="eastAsia" w:ascii="宋体" w:hAnsi="宋体" w:cs="宋体"/>
          <w:b/>
          <w:bCs/>
          <w:sz w:val="24"/>
        </w:rPr>
        <w:t>身份证明文件</w:t>
      </w:r>
      <w:r>
        <w:rPr>
          <w:rFonts w:hint="eastAsia" w:ascii="宋体" w:hAnsi="宋体" w:cs="宋体"/>
          <w:bCs/>
          <w:sz w:val="24"/>
        </w:rPr>
        <w:t>复印件和授权代表</w:t>
      </w:r>
      <w:r>
        <w:rPr>
          <w:rFonts w:hint="eastAsia" w:ascii="宋体" w:hAnsi="宋体" w:cs="宋体"/>
          <w:b/>
          <w:bCs/>
          <w:sz w:val="24"/>
        </w:rPr>
        <w:t>身份证明文件</w:t>
      </w:r>
      <w:r>
        <w:rPr>
          <w:rFonts w:hint="eastAsia" w:ascii="宋体" w:hAnsi="宋体" w:cs="宋体"/>
          <w:bCs/>
          <w:sz w:val="24"/>
        </w:rPr>
        <w:t>复印件。</w:t>
      </w:r>
    </w:p>
    <w:p>
      <w:pPr>
        <w:widowControl/>
        <w:spacing w:line="360" w:lineRule="auto"/>
        <w:jc w:val="left"/>
        <w:rPr>
          <w:rFonts w:ascii="宋体" w:hAnsi="宋体" w:cs="宋体"/>
          <w:bCs/>
          <w:sz w:val="24"/>
        </w:rPr>
      </w:pPr>
      <w:r>
        <w:rPr>
          <w:rFonts w:hint="eastAsia" w:ascii="宋体" w:hAnsi="宋体" w:cs="宋体"/>
          <w:bCs/>
          <w:sz w:val="24"/>
        </w:rPr>
        <w:t>3、</w:t>
      </w:r>
      <w:r>
        <w:rPr>
          <w:rFonts w:hint="eastAsia" w:ascii="宋体" w:hAnsi="宋体" w:cs="宋体"/>
          <w:b/>
          <w:bCs/>
          <w:sz w:val="24"/>
        </w:rPr>
        <w:t>身份证明文件</w:t>
      </w:r>
      <w:r>
        <w:rPr>
          <w:rFonts w:hint="eastAsia" w:ascii="宋体" w:hAnsi="宋体" w:cs="宋体"/>
          <w:bCs/>
          <w:sz w:val="24"/>
        </w:rPr>
        <w:t>包括居民身份证、户口本、军官证、外籍人员的护照等。</w:t>
      </w:r>
    </w:p>
    <w:p>
      <w:pPr>
        <w:pStyle w:val="2"/>
        <w:spacing w:after="0" w:line="360" w:lineRule="auto"/>
        <w:rPr>
          <w:rFonts w:ascii="宋体" w:hAnsi="宋体" w:cs="宋体"/>
        </w:rPr>
      </w:pPr>
      <w:r>
        <w:rPr>
          <w:rFonts w:hint="eastAsia" w:ascii="宋体" w:hAnsi="宋体" w:cs="宋体"/>
        </w:rPr>
        <w:t>4、</w:t>
      </w:r>
      <w:r>
        <w:rPr>
          <w:rFonts w:hint="eastAsia" w:ascii="宋体" w:hAnsi="宋体" w:cs="宋体"/>
          <w:b/>
          <w:bCs/>
          <w:sz w:val="24"/>
        </w:rPr>
        <w:t>身份证明文件</w:t>
      </w:r>
      <w:r>
        <w:rPr>
          <w:rFonts w:hint="eastAsia" w:ascii="宋体" w:hAnsi="宋体" w:cs="宋体"/>
          <w:bCs/>
          <w:sz w:val="24"/>
        </w:rPr>
        <w:t>应同时提供其在有效期的材料，如居民身份证正、反双面复印件。</w:t>
      </w:r>
    </w:p>
    <w:bookmarkEnd w:id="124"/>
    <w:p>
      <w:pPr>
        <w:adjustRightInd w:val="0"/>
        <w:spacing w:line="400" w:lineRule="exact"/>
        <w:jc w:val="center"/>
        <w:outlineLvl w:val="1"/>
        <w:rPr>
          <w:rFonts w:ascii="宋体" w:hAnsi="宋体" w:cs="宋体"/>
          <w:b/>
          <w:bCs/>
          <w:sz w:val="32"/>
          <w:szCs w:val="32"/>
        </w:rPr>
      </w:pPr>
      <w:bookmarkStart w:id="125" w:name="_Toc217446085"/>
      <w:r>
        <w:rPr>
          <w:rFonts w:hint="eastAsia" w:ascii="宋体" w:hAnsi="宋体" w:cs="宋体"/>
          <w:b/>
          <w:sz w:val="32"/>
          <w:szCs w:val="32"/>
        </w:rPr>
        <w:br w:type="page"/>
      </w:r>
      <w:r>
        <w:rPr>
          <w:rFonts w:hint="eastAsia" w:ascii="宋体" w:hAnsi="宋体" w:cs="宋体"/>
          <w:b/>
          <w:sz w:val="32"/>
          <w:szCs w:val="32"/>
        </w:rPr>
        <w:t>二、</w:t>
      </w:r>
      <w:r>
        <w:rPr>
          <w:rFonts w:hint="eastAsia" w:ascii="宋体" w:hAnsi="宋体" w:cs="宋体"/>
          <w:b/>
          <w:bCs/>
          <w:sz w:val="32"/>
          <w:szCs w:val="32"/>
        </w:rPr>
        <w:t>法定代表人身份证明书</w:t>
      </w:r>
    </w:p>
    <w:p>
      <w:pPr>
        <w:adjustRightInd w:val="0"/>
        <w:spacing w:line="400" w:lineRule="exact"/>
        <w:jc w:val="left"/>
        <w:rPr>
          <w:rFonts w:ascii="宋体" w:hAnsi="宋体" w:cs="宋体"/>
          <w:b/>
          <w:bCs/>
          <w:sz w:val="24"/>
        </w:rPr>
      </w:pPr>
    </w:p>
    <w:p>
      <w:pPr>
        <w:widowControl/>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pacing w:line="360" w:lineRule="auto"/>
        <w:ind w:firstLine="573"/>
        <w:rPr>
          <w:rFonts w:ascii="宋体" w:hAnsi="宋体" w:cs="宋体"/>
          <w:sz w:val="24"/>
          <w:lang w:val="zh-CN"/>
        </w:rPr>
      </w:pPr>
      <w:r>
        <w:rPr>
          <w:rFonts w:hint="eastAsia" w:ascii="宋体" w:hAnsi="宋体" w:cs="宋体"/>
          <w:sz w:val="24"/>
          <w:lang w:val="zh-CN"/>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lang w:val="zh-CN"/>
        </w:rPr>
        <w:t>（法定代表人姓名）在</w:t>
      </w:r>
      <w:r>
        <w:rPr>
          <w:rFonts w:hint="eastAsia" w:ascii="宋体" w:hAnsi="宋体" w:cs="宋体"/>
          <w:sz w:val="24"/>
          <w:u w:val="single"/>
        </w:rPr>
        <w:t xml:space="preserve">                   </w:t>
      </w:r>
      <w:r>
        <w:rPr>
          <w:rFonts w:hint="eastAsia" w:ascii="宋体" w:hAnsi="宋体" w:cs="宋体"/>
          <w:sz w:val="24"/>
          <w:lang w:val="zh-CN"/>
        </w:rPr>
        <w:t>（投标人名称）处任</w:t>
      </w:r>
      <w:r>
        <w:rPr>
          <w:rFonts w:hint="eastAsia" w:ascii="宋体" w:hAnsi="宋体" w:cs="宋体"/>
          <w:sz w:val="24"/>
          <w:u w:val="single"/>
        </w:rPr>
        <w:t xml:space="preserve">                   </w:t>
      </w:r>
      <w:r>
        <w:rPr>
          <w:rFonts w:hint="eastAsia" w:ascii="宋体" w:hAnsi="宋体" w:cs="宋体"/>
          <w:sz w:val="24"/>
          <w:lang w:val="zh-CN"/>
        </w:rPr>
        <w:t>（职务名称）职务，是</w:t>
      </w:r>
      <w:r>
        <w:rPr>
          <w:rFonts w:hint="eastAsia" w:ascii="宋体" w:hAnsi="宋体" w:cs="宋体"/>
          <w:sz w:val="24"/>
          <w:u w:val="single"/>
        </w:rPr>
        <w:t xml:space="preserve">                   </w:t>
      </w:r>
      <w:r>
        <w:rPr>
          <w:rFonts w:hint="eastAsia" w:ascii="宋体" w:hAnsi="宋体" w:cs="宋体"/>
          <w:sz w:val="24"/>
          <w:lang w:val="zh-CN"/>
        </w:rPr>
        <w:t>（投标人名称）的法定代表人。</w:t>
      </w:r>
    </w:p>
    <w:p>
      <w:pPr>
        <w:tabs>
          <w:tab w:val="left" w:pos="6300"/>
        </w:tabs>
        <w:spacing w:line="360" w:lineRule="auto"/>
        <w:ind w:firstLine="573"/>
        <w:rPr>
          <w:rFonts w:ascii="宋体" w:hAnsi="宋体" w:cs="宋体"/>
          <w:sz w:val="24"/>
          <w:lang w:val="zh-CN"/>
        </w:rPr>
      </w:pPr>
      <w:r>
        <w:rPr>
          <w:rFonts w:hint="eastAsia" w:ascii="宋体" w:hAnsi="宋体" w:cs="宋体"/>
          <w:sz w:val="24"/>
          <w:lang w:val="zh-CN"/>
        </w:rPr>
        <w:t>法定代表人联系方式：</w:t>
      </w:r>
      <w:r>
        <w:rPr>
          <w:rFonts w:hint="eastAsia" w:ascii="宋体" w:hAnsi="宋体" w:cs="宋体"/>
          <w:sz w:val="24"/>
          <w:u w:val="single"/>
        </w:rPr>
        <w:t xml:space="preserve">                   </w:t>
      </w:r>
      <w:r>
        <w:rPr>
          <w:rFonts w:hint="eastAsia" w:ascii="宋体" w:hAnsi="宋体" w:cs="宋体"/>
          <w:sz w:val="24"/>
          <w:lang w:val="zh-CN"/>
        </w:rPr>
        <w:t>。</w:t>
      </w:r>
    </w:p>
    <w:p>
      <w:pPr>
        <w:tabs>
          <w:tab w:val="left" w:pos="6300"/>
        </w:tabs>
        <w:spacing w:line="360" w:lineRule="auto"/>
        <w:ind w:firstLine="573"/>
        <w:rPr>
          <w:rFonts w:ascii="宋体" w:hAnsi="宋体" w:cs="宋体"/>
          <w:sz w:val="24"/>
          <w:lang w:val="zh-CN"/>
        </w:rPr>
      </w:pPr>
    </w:p>
    <w:p>
      <w:pPr>
        <w:tabs>
          <w:tab w:val="left" w:pos="6300"/>
        </w:tabs>
        <w:spacing w:line="360" w:lineRule="auto"/>
        <w:ind w:firstLine="573"/>
        <w:rPr>
          <w:rFonts w:ascii="宋体" w:hAnsi="宋体" w:cs="宋体"/>
          <w:sz w:val="24"/>
          <w:lang w:val="zh-CN"/>
        </w:rPr>
      </w:pPr>
      <w:r>
        <w:rPr>
          <w:rFonts w:hint="eastAsia" w:ascii="宋体" w:hAnsi="宋体" w:cs="宋体"/>
          <w:sz w:val="24"/>
          <w:lang w:val="zh-CN"/>
        </w:rPr>
        <w:t>特此证明。</w:t>
      </w:r>
    </w:p>
    <w:p>
      <w:pPr>
        <w:tabs>
          <w:tab w:val="left" w:pos="6300"/>
        </w:tabs>
        <w:spacing w:line="360" w:lineRule="auto"/>
        <w:rPr>
          <w:rFonts w:ascii="宋体" w:hAnsi="宋体" w:cs="宋体"/>
          <w:sz w:val="24"/>
          <w:lang w:val="zh-CN"/>
        </w:rPr>
      </w:pPr>
    </w:p>
    <w:p>
      <w:pPr>
        <w:tabs>
          <w:tab w:val="left" w:pos="6300"/>
        </w:tabs>
        <w:spacing w:line="360" w:lineRule="auto"/>
        <w:rPr>
          <w:rFonts w:ascii="宋体" w:hAnsi="宋体" w:cs="宋体"/>
          <w:sz w:val="24"/>
          <w:lang w:val="zh-CN"/>
        </w:rPr>
      </w:pP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p>
    <w:p>
      <w:pPr>
        <w:widowControl/>
        <w:spacing w:line="360" w:lineRule="auto"/>
        <w:ind w:firstLine="470" w:firstLineChars="196"/>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（单位盖章）。</w:t>
      </w:r>
    </w:p>
    <w:p>
      <w:pPr>
        <w:widowControl/>
        <w:spacing w:line="360" w:lineRule="auto"/>
        <w:ind w:firstLine="470" w:firstLineChars="196"/>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pStyle w:val="16"/>
        <w:spacing w:after="0" w:line="360" w:lineRule="auto"/>
        <w:ind w:left="0" w:leftChars="0" w:firstLine="247" w:firstLineChars="103"/>
        <w:rPr>
          <w:rFonts w:ascii="宋体" w:hAnsi="宋体" w:cs="宋体"/>
          <w:sz w:val="24"/>
        </w:rPr>
      </w:pPr>
    </w:p>
    <w:p>
      <w:pPr>
        <w:pStyle w:val="16"/>
        <w:spacing w:after="0" w:line="360" w:lineRule="auto"/>
        <w:ind w:left="0" w:leftChars="0" w:firstLine="247" w:firstLineChars="103"/>
        <w:rPr>
          <w:rFonts w:ascii="宋体" w:hAnsi="宋体" w:cs="宋体"/>
          <w:sz w:val="24"/>
        </w:rPr>
      </w:pPr>
    </w:p>
    <w:p>
      <w:pPr>
        <w:spacing w:line="360" w:lineRule="auto"/>
        <w:ind w:firstLine="240" w:firstLineChars="100"/>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 xml:space="preserve"> </w:t>
      </w:r>
    </w:p>
    <w:p>
      <w:pPr>
        <w:tabs>
          <w:tab w:val="left" w:pos="720"/>
          <w:tab w:val="left" w:pos="6300"/>
        </w:tabs>
        <w:spacing w:line="360" w:lineRule="auto"/>
        <w:rPr>
          <w:rFonts w:ascii="宋体" w:hAnsi="宋体" w:cs="宋体"/>
          <w:b/>
          <w:sz w:val="24"/>
          <w:lang w:val="zh-CN"/>
        </w:rPr>
      </w:pPr>
      <w:r>
        <w:rPr>
          <w:rFonts w:hint="eastAsia" w:ascii="宋体" w:hAnsi="宋体" w:cs="宋体"/>
          <w:b/>
          <w:sz w:val="24"/>
          <w:lang w:val="zh-CN"/>
        </w:rPr>
        <w:t>注：</w:t>
      </w:r>
    </w:p>
    <w:p>
      <w:pPr>
        <w:tabs>
          <w:tab w:val="left" w:pos="720"/>
          <w:tab w:val="left" w:pos="6300"/>
        </w:tabs>
        <w:spacing w:line="360" w:lineRule="auto"/>
        <w:rPr>
          <w:rFonts w:ascii="宋体" w:hAnsi="宋体" w:cs="宋体"/>
          <w:b/>
          <w:sz w:val="24"/>
          <w:lang w:val="zh-CN"/>
        </w:rPr>
      </w:pPr>
      <w:r>
        <w:rPr>
          <w:rFonts w:hint="eastAsia" w:ascii="宋体" w:hAnsi="宋体" w:cs="宋体"/>
          <w:b/>
          <w:sz w:val="24"/>
          <w:lang w:val="zh-CN"/>
        </w:rPr>
        <w:t>1、法定代表人亲自参加投标时，提供本证明书。</w:t>
      </w:r>
    </w:p>
    <w:p>
      <w:pPr>
        <w:tabs>
          <w:tab w:val="left" w:pos="720"/>
          <w:tab w:val="left" w:pos="6300"/>
        </w:tabs>
        <w:spacing w:line="360" w:lineRule="auto"/>
        <w:rPr>
          <w:rFonts w:ascii="宋体" w:hAnsi="宋体" w:cs="宋体"/>
          <w:b/>
          <w:sz w:val="24"/>
          <w:lang w:val="zh-CN"/>
        </w:rPr>
      </w:pPr>
      <w:r>
        <w:rPr>
          <w:rFonts w:hint="eastAsia" w:ascii="宋体" w:hAnsi="宋体" w:cs="宋体"/>
          <w:b/>
          <w:sz w:val="24"/>
          <w:lang w:val="zh-CN"/>
        </w:rPr>
        <w:t>2、上述证明文件在投标文件中附有法定代表人身份证双面复印件或护照复印件（投标人的法定代表人为外籍人士的，则提供护照复印件）时才能生效。</w:t>
      </w:r>
    </w:p>
    <w:p>
      <w:pPr>
        <w:widowControl/>
        <w:spacing w:line="360" w:lineRule="atLeast"/>
        <w:jc w:val="center"/>
        <w:outlineLvl w:val="1"/>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三、承诺函</w:t>
      </w:r>
    </w:p>
    <w:p>
      <w:pPr>
        <w:widowControl/>
        <w:spacing w:line="360" w:lineRule="atLeast"/>
        <w:rPr>
          <w:rFonts w:ascii="宋体" w:hAnsi="宋体" w:cs="宋体"/>
          <w:b/>
          <w:sz w:val="24"/>
        </w:rPr>
      </w:pPr>
    </w:p>
    <w:p>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（采购代理机构名称）：</w:t>
      </w:r>
    </w:p>
    <w:p>
      <w:pPr>
        <w:widowControl/>
        <w:spacing w:line="360" w:lineRule="auto"/>
        <w:ind w:firstLine="480" w:firstLineChars="200"/>
        <w:jc w:val="left"/>
        <w:rPr>
          <w:rFonts w:ascii="宋体" w:hAnsi="宋体" w:cs="宋体"/>
          <w:sz w:val="24"/>
        </w:rPr>
      </w:pPr>
      <w:r>
        <w:rPr>
          <w:rFonts w:hint="eastAsia" w:ascii="宋体" w:hAnsi="宋体" w:cs="宋体"/>
          <w:sz w:val="24"/>
        </w:rPr>
        <w:t>我公司作为本次采购项目的投标人，根据招标文件要求，现郑重承诺如下：</w:t>
      </w:r>
    </w:p>
    <w:p>
      <w:pPr>
        <w:widowControl/>
        <w:spacing w:line="360" w:lineRule="auto"/>
        <w:ind w:firstLine="480" w:firstLineChars="200"/>
        <w:jc w:val="left"/>
        <w:rPr>
          <w:rFonts w:ascii="宋体" w:hAnsi="宋体" w:cs="宋体"/>
          <w:sz w:val="24"/>
        </w:rPr>
      </w:pPr>
      <w:r>
        <w:rPr>
          <w:rFonts w:hint="eastAsia" w:ascii="宋体" w:hAnsi="宋体" w:cs="宋体"/>
          <w:sz w:val="24"/>
        </w:rPr>
        <w:t>一、具备《中华人民共和国政府采购法》第二十二条第一款和本项目规定的条件：</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（一）具有独立承担民事责任的能力； </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（二）具有良好的商业信誉和健全的财务会计制度； </w:t>
      </w:r>
    </w:p>
    <w:p>
      <w:pPr>
        <w:widowControl/>
        <w:spacing w:line="360" w:lineRule="auto"/>
        <w:ind w:firstLine="480" w:firstLineChars="200"/>
        <w:jc w:val="left"/>
        <w:rPr>
          <w:rFonts w:ascii="宋体" w:hAnsi="宋体" w:cs="宋体"/>
          <w:sz w:val="24"/>
        </w:rPr>
      </w:pPr>
      <w:r>
        <w:rPr>
          <w:rFonts w:hint="eastAsia" w:ascii="宋体" w:hAnsi="宋体" w:cs="宋体"/>
          <w:sz w:val="24"/>
        </w:rPr>
        <w:t>（三）具有履行合同所必需的设备和专业技术能力：</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（四）有依法缴纳税收和社会保障资金的良好记录； </w:t>
      </w:r>
    </w:p>
    <w:p>
      <w:pPr>
        <w:widowControl/>
        <w:spacing w:line="360" w:lineRule="auto"/>
        <w:ind w:firstLine="480" w:firstLineChars="200"/>
        <w:jc w:val="left"/>
        <w:rPr>
          <w:rFonts w:ascii="宋体" w:hAnsi="宋体" w:cs="宋体"/>
          <w:sz w:val="24"/>
        </w:rPr>
      </w:pPr>
      <w:r>
        <w:rPr>
          <w:rFonts w:hint="eastAsia" w:ascii="宋体" w:hAnsi="宋体" w:cs="宋体"/>
          <w:sz w:val="24"/>
        </w:rPr>
        <w:t>（五）参加政府采购活动前三年内，在经营活动中没有重大违法记录；</w:t>
      </w:r>
    </w:p>
    <w:p>
      <w:pPr>
        <w:widowControl/>
        <w:spacing w:line="360" w:lineRule="auto"/>
        <w:ind w:firstLine="480" w:firstLineChars="200"/>
        <w:jc w:val="left"/>
        <w:rPr>
          <w:rFonts w:ascii="宋体" w:hAnsi="宋体" w:cs="宋体"/>
          <w:sz w:val="24"/>
        </w:rPr>
      </w:pPr>
      <w:r>
        <w:rPr>
          <w:rFonts w:hint="eastAsia" w:ascii="宋体" w:hAnsi="宋体" w:cs="宋体"/>
          <w:sz w:val="24"/>
        </w:rPr>
        <w:t>（六）法律、行政法规规定的其他条件；</w:t>
      </w:r>
    </w:p>
    <w:p>
      <w:pPr>
        <w:widowControl/>
        <w:spacing w:line="360" w:lineRule="auto"/>
        <w:ind w:firstLine="480" w:firstLineChars="200"/>
        <w:jc w:val="left"/>
        <w:rPr>
          <w:rFonts w:ascii="宋体" w:hAnsi="宋体" w:cs="宋体"/>
          <w:sz w:val="24"/>
        </w:rPr>
      </w:pPr>
      <w:r>
        <w:rPr>
          <w:rFonts w:hint="eastAsia" w:ascii="宋体" w:hAnsi="宋体" w:cs="宋体"/>
          <w:sz w:val="24"/>
        </w:rPr>
        <w:t>（七）根据采购项目提出的特殊条件。</w:t>
      </w:r>
    </w:p>
    <w:p>
      <w:pPr>
        <w:widowControl/>
        <w:spacing w:line="360" w:lineRule="auto"/>
        <w:ind w:firstLine="480" w:firstLineChars="200"/>
        <w:jc w:val="left"/>
        <w:rPr>
          <w:rFonts w:ascii="宋体" w:hAnsi="宋体" w:cs="宋体"/>
          <w:sz w:val="24"/>
        </w:rPr>
      </w:pPr>
      <w:r>
        <w:rPr>
          <w:rFonts w:hint="eastAsia" w:ascii="宋体" w:hAnsi="宋体" w:cs="宋体"/>
          <w:sz w:val="24"/>
        </w:rPr>
        <w:t>二、完全接受和满足本项目招标文件中规定的所有实质性要求，如对招标文件有异议，已经在投标截止时间届满前依法进行维权救济，不存在对招标文件有异议的同时又参加投标以求侥幸中标或者为实现其他非法目的的行为。</w:t>
      </w:r>
    </w:p>
    <w:p>
      <w:pPr>
        <w:widowControl/>
        <w:spacing w:line="360" w:lineRule="auto"/>
        <w:ind w:firstLine="480" w:firstLineChars="200"/>
        <w:jc w:val="left"/>
        <w:rPr>
          <w:rFonts w:ascii="宋体" w:hAnsi="宋体" w:cs="宋体"/>
          <w:sz w:val="24"/>
        </w:rPr>
      </w:pPr>
      <w:r>
        <w:rPr>
          <w:rFonts w:hint="eastAsia" w:ascii="宋体" w:hAnsi="宋体" w:cs="宋体"/>
          <w:sz w:val="24"/>
        </w:rPr>
        <w:t>三、参加本次招标采购活动，不存在单位负责人为同一人或者存在直接控股、管理关系的其他供应商参与同一合同项下的政府采购活动的行为。未为本采购项目提供整体设计、规范编制或者项目管理、监理、检测等服务。</w:t>
      </w:r>
    </w:p>
    <w:p>
      <w:pPr>
        <w:widowControl/>
        <w:spacing w:line="360" w:lineRule="auto"/>
        <w:ind w:firstLine="480" w:firstLineChars="200"/>
        <w:jc w:val="left"/>
        <w:rPr>
          <w:rFonts w:ascii="宋体" w:hAnsi="宋体" w:cs="宋体"/>
          <w:sz w:val="24"/>
        </w:rPr>
      </w:pPr>
      <w:r>
        <w:rPr>
          <w:rFonts w:hint="eastAsia" w:ascii="宋体" w:hAnsi="宋体" w:cs="宋体"/>
          <w:sz w:val="24"/>
        </w:rPr>
        <w:t>四、参加本次招标采购活动，不存在和其他供应商在同一合同项下的采购项目中，同时委托同一个自然人、同一家庭的人员、同一单位的人员作为代理人的行为。</w:t>
      </w:r>
    </w:p>
    <w:p>
      <w:pPr>
        <w:widowControl/>
        <w:spacing w:line="360" w:lineRule="auto"/>
        <w:ind w:firstLine="480" w:firstLineChars="200"/>
        <w:jc w:val="left"/>
        <w:rPr>
          <w:rFonts w:ascii="宋体" w:hAnsi="宋体" w:cs="宋体"/>
          <w:sz w:val="24"/>
        </w:rPr>
      </w:pPr>
      <w:r>
        <w:rPr>
          <w:rFonts w:hint="eastAsia" w:ascii="宋体" w:hAnsi="宋体" w:cs="宋体"/>
          <w:sz w:val="24"/>
        </w:rPr>
        <w:t>五、投标文件中提供的能够给予我公司带来优惠、好处的任何材料资料和技术、服务、商务等响应承诺情况都是真实的、有效的、合法的。</w:t>
      </w:r>
    </w:p>
    <w:p>
      <w:pPr>
        <w:widowControl/>
        <w:spacing w:line="360" w:lineRule="auto"/>
        <w:ind w:firstLine="480" w:firstLineChars="200"/>
        <w:jc w:val="left"/>
        <w:rPr>
          <w:rFonts w:ascii="宋体" w:hAnsi="宋体" w:cs="宋体"/>
          <w:sz w:val="24"/>
        </w:rPr>
      </w:pPr>
      <w:r>
        <w:rPr>
          <w:rFonts w:hint="eastAsia" w:ascii="宋体" w:hAnsi="宋体" w:cs="宋体"/>
          <w:sz w:val="24"/>
        </w:rPr>
        <w:t>六、本公司对上述承诺的内容事项真实性负责。如经查实上述承诺的内容事项存在虚假，我公司愿意接受以提供虚假材料谋取中标追究法律责任。</w:t>
      </w:r>
    </w:p>
    <w:p>
      <w:pPr>
        <w:pStyle w:val="54"/>
        <w:spacing w:line="360" w:lineRule="auto"/>
        <w:ind w:firstLine="480"/>
        <w:rPr>
          <w:rFonts w:hAnsi="宋体"/>
          <w:color w:val="auto"/>
        </w:rPr>
      </w:pPr>
      <w:r>
        <w:rPr>
          <w:rFonts w:hint="eastAsia" w:hAnsi="宋体"/>
          <w:color w:val="auto"/>
        </w:rPr>
        <w:t>七、截至投标截止日未被列入失信被执行人、重大税收违法案件当事人名单、政府采购严重违法失信行为记录名单。</w:t>
      </w:r>
    </w:p>
    <w:p>
      <w:pPr>
        <w:pStyle w:val="48"/>
        <w:ind w:firstLine="480"/>
        <w:rPr>
          <w:rFonts w:ascii="宋体" w:hAnsi="宋体" w:cs="宋体"/>
        </w:rPr>
      </w:pPr>
      <w:r>
        <w:rPr>
          <w:rFonts w:hint="eastAsia" w:ascii="宋体" w:hAnsi="宋体" w:cs="宋体"/>
          <w:sz w:val="24"/>
        </w:rPr>
        <w:t>八、我单位参加本次政府采购活动，不属于《四川省公共资源交易领域严重失信联合惩戒实施办法》（川发改信用规〔2019〕405号）、《关于对政府采购领域严重违法失信主体开展联合惩戒的合作备忘录》（发改财金〔2018〕1614号）等相关规定禁止参加政府采购活动的所有情形。</w:t>
      </w:r>
    </w:p>
    <w:p>
      <w:pPr>
        <w:spacing w:line="360" w:lineRule="auto"/>
        <w:ind w:firstLine="484" w:firstLineChars="202"/>
        <w:rPr>
          <w:rFonts w:ascii="宋体" w:hAnsi="宋体" w:cs="宋体"/>
          <w:sz w:val="24"/>
        </w:rPr>
      </w:pPr>
      <w:r>
        <w:rPr>
          <w:rFonts w:hint="eastAsia" w:ascii="宋体" w:hAnsi="宋体" w:cs="宋体"/>
          <w:sz w:val="24"/>
        </w:rPr>
        <w:t>注：本承诺书内容必须全部做出明确应答，如无应答或应答含混，即视为存在未应答事项事实，评审组可按相关规定扣分或作无效投标处理。</w:t>
      </w:r>
    </w:p>
    <w:p>
      <w:pPr>
        <w:widowControl/>
        <w:spacing w:line="360" w:lineRule="auto"/>
        <w:ind w:firstLine="480" w:firstLineChars="200"/>
        <w:jc w:val="left"/>
        <w:rPr>
          <w:rFonts w:ascii="宋体" w:hAnsi="宋体" w:cs="宋体"/>
          <w:sz w:val="24"/>
        </w:rPr>
      </w:pPr>
      <w:r>
        <w:rPr>
          <w:rFonts w:hint="eastAsia" w:ascii="宋体" w:hAnsi="宋体" w:cs="宋体"/>
          <w:sz w:val="24"/>
        </w:rPr>
        <w:t>供应商（全称并盖章）：</w:t>
      </w:r>
      <w:r>
        <w:rPr>
          <w:rFonts w:hint="eastAsia" w:ascii="宋体" w:hAnsi="宋体" w:cs="宋体"/>
          <w:sz w:val="24"/>
          <w:u w:val="single"/>
        </w:rPr>
        <w:t xml:space="preserve">                </w:t>
      </w:r>
      <w:r>
        <w:rPr>
          <w:rFonts w:hint="eastAsia" w:ascii="宋体" w:hAnsi="宋体" w:cs="宋体"/>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法定代表人/单位负责人或授权代表（签字或加盖个人名章）：</w:t>
      </w:r>
      <w:r>
        <w:rPr>
          <w:rFonts w:hint="eastAsia" w:ascii="宋体" w:hAnsi="宋体" w:cs="宋体"/>
          <w:sz w:val="24"/>
          <w:u w:val="single"/>
        </w:rPr>
        <w:t xml:space="preserve">                </w:t>
      </w:r>
    </w:p>
    <w:p>
      <w:pPr>
        <w:widowControl/>
        <w:spacing w:line="360" w:lineRule="auto"/>
        <w:ind w:firstLine="480" w:firstLineChars="200"/>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w:t>
      </w:r>
    </w:p>
    <w:p>
      <w:pPr>
        <w:pStyle w:val="48"/>
        <w:ind w:firstLine="0" w:firstLineChars="0"/>
        <w:rPr>
          <w:rFonts w:ascii="宋体" w:hAnsi="宋体" w:cs="宋体"/>
          <w:b/>
          <w:sz w:val="24"/>
        </w:rPr>
      </w:pPr>
      <w:r>
        <w:rPr>
          <w:rFonts w:hint="eastAsia" w:ascii="宋体" w:hAnsi="宋体" w:cs="宋体"/>
          <w:b/>
          <w:sz w:val="24"/>
        </w:rPr>
        <w:t>注：</w:t>
      </w:r>
    </w:p>
    <w:p>
      <w:pPr>
        <w:pStyle w:val="48"/>
        <w:numPr>
          <w:ilvl w:val="0"/>
          <w:numId w:val="3"/>
        </w:numPr>
        <w:ind w:firstLine="0" w:firstLineChars="0"/>
        <w:rPr>
          <w:rFonts w:ascii="宋体" w:hAnsi="宋体" w:cs="宋体"/>
          <w:b/>
          <w:sz w:val="24"/>
        </w:rPr>
      </w:pPr>
      <w:r>
        <w:rPr>
          <w:rFonts w:hint="eastAsia" w:ascii="宋体" w:hAnsi="宋体" w:cs="宋体"/>
          <w:b/>
          <w:sz w:val="24"/>
        </w:rPr>
        <w:t>本项目确定投标人重大违法记录中较大数额罚款的金额标准：若采购项目所属行业</w:t>
      </w:r>
    </w:p>
    <w:p>
      <w:pPr>
        <w:pStyle w:val="48"/>
        <w:ind w:firstLine="0" w:firstLineChars="0"/>
        <w:rPr>
          <w:rFonts w:ascii="宋体" w:hAnsi="宋体" w:cs="宋体"/>
          <w:b/>
          <w:sz w:val="24"/>
        </w:rPr>
      </w:pPr>
      <w:r>
        <w:rPr>
          <w:rFonts w:hint="eastAsia" w:ascii="宋体" w:hAnsi="宋体" w:cs="宋体"/>
          <w:b/>
          <w:sz w:val="24"/>
        </w:rPr>
        <w:t>行政主管部门对较大数额罚款金额标准有明文规定的，以所属行业行政主管部门</w:t>
      </w:r>
    </w:p>
    <w:p>
      <w:pPr>
        <w:pStyle w:val="48"/>
        <w:ind w:firstLine="0" w:firstLineChars="0"/>
        <w:rPr>
          <w:rFonts w:ascii="宋体" w:hAnsi="宋体" w:cs="宋体"/>
          <w:b/>
          <w:sz w:val="24"/>
        </w:rPr>
      </w:pPr>
      <w:r>
        <w:rPr>
          <w:rFonts w:hint="eastAsia" w:ascii="宋体" w:hAnsi="宋体" w:cs="宋体"/>
          <w:b/>
          <w:sz w:val="24"/>
        </w:rPr>
        <w:t>规定的较大数额罚款金额标准；若采购项目所属行业行政主管部门对较大数额罚款金</w:t>
      </w:r>
    </w:p>
    <w:p>
      <w:pPr>
        <w:pStyle w:val="48"/>
        <w:ind w:firstLine="0" w:firstLineChars="0"/>
        <w:rPr>
          <w:rFonts w:ascii="宋体" w:hAnsi="宋体" w:cs="宋体"/>
          <w:b/>
          <w:sz w:val="24"/>
        </w:rPr>
      </w:pPr>
      <w:r>
        <w:rPr>
          <w:rFonts w:hint="eastAsia" w:ascii="宋体" w:hAnsi="宋体" w:cs="宋体"/>
          <w:b/>
          <w:sz w:val="24"/>
        </w:rPr>
        <w:t>额标准未明文规定的，以四川省人民政府规定的行政处罚罚款听证标准金额50000元。</w:t>
      </w:r>
    </w:p>
    <w:p>
      <w:pPr>
        <w:pStyle w:val="48"/>
        <w:numPr>
          <w:ilvl w:val="0"/>
          <w:numId w:val="4"/>
        </w:numPr>
        <w:ind w:firstLine="0" w:firstLineChars="0"/>
        <w:rPr>
          <w:rFonts w:ascii="宋体" w:hAnsi="宋体" w:cs="宋体"/>
          <w:b/>
          <w:sz w:val="24"/>
        </w:rPr>
      </w:pPr>
      <w:r>
        <w:rPr>
          <w:rFonts w:hint="eastAsia" w:ascii="宋体" w:hAnsi="宋体" w:cs="宋体"/>
          <w:b/>
          <w:sz w:val="24"/>
        </w:rPr>
        <w:t>投标人在参加政府采购活动前，被纳入法院、工商行政管理部门、税务部门、银行</w:t>
      </w:r>
    </w:p>
    <w:p>
      <w:pPr>
        <w:pStyle w:val="48"/>
        <w:ind w:firstLine="0" w:firstLineChars="0"/>
        <w:rPr>
          <w:rFonts w:ascii="宋体" w:hAnsi="宋体" w:cs="宋体"/>
          <w:b/>
          <w:sz w:val="24"/>
        </w:rPr>
      </w:pPr>
      <w:r>
        <w:rPr>
          <w:rFonts w:hint="eastAsia" w:ascii="宋体" w:hAnsi="宋体" w:cs="宋体"/>
          <w:b/>
          <w:sz w:val="24"/>
        </w:rPr>
        <w:t>认定的失信名单且在有效期内，或者在前三年政府采购合同履约过程中及其他经营活动履约过程中未依法履约被有关行政部门处罚（处理）的，本项目不认定其具有良好的商业信誉。</w:t>
      </w:r>
    </w:p>
    <w:p>
      <w:pPr>
        <w:pageBreakBefore/>
        <w:spacing w:line="360" w:lineRule="auto"/>
        <w:ind w:firstLine="790" w:firstLineChars="246"/>
        <w:jc w:val="center"/>
        <w:outlineLvl w:val="1"/>
        <w:rPr>
          <w:rFonts w:ascii="宋体" w:hAnsi="宋体" w:cs="宋体"/>
          <w:b/>
          <w:sz w:val="32"/>
          <w:szCs w:val="32"/>
        </w:rPr>
      </w:pPr>
      <w:r>
        <w:rPr>
          <w:rFonts w:hint="eastAsia" w:ascii="宋体" w:hAnsi="宋体" w:cs="宋体"/>
          <w:b/>
          <w:sz w:val="32"/>
          <w:szCs w:val="32"/>
        </w:rPr>
        <w:t>四、投标人和投标产品其他资格、资质性及其他类似效力要求的相关证明材料</w:t>
      </w:r>
    </w:p>
    <w:p>
      <w:pPr>
        <w:pStyle w:val="2"/>
        <w:rPr>
          <w:rFonts w:ascii="宋体" w:hAnsi="宋体" w:cs="宋体"/>
        </w:rPr>
      </w:pPr>
    </w:p>
    <w:p>
      <w:pPr>
        <w:spacing w:line="360" w:lineRule="auto"/>
        <w:rPr>
          <w:rFonts w:ascii="宋体" w:hAnsi="宋体" w:cs="宋体"/>
          <w:bCs/>
          <w:sz w:val="24"/>
        </w:rPr>
      </w:pPr>
      <w:r>
        <w:rPr>
          <w:rFonts w:hint="eastAsia" w:ascii="宋体" w:hAnsi="宋体" w:cs="宋体"/>
          <w:bCs/>
          <w:sz w:val="24"/>
        </w:rPr>
        <w:t>注：投标人应按招标文件第四章、第五章相关要求提供佐证材料，有格式要求的从其要求，无格式要求的格式自拟。</w:t>
      </w:r>
    </w:p>
    <w:p>
      <w:pPr>
        <w:pageBreakBefore/>
        <w:widowControl/>
        <w:spacing w:line="360" w:lineRule="atLeast"/>
        <w:jc w:val="center"/>
        <w:outlineLvl w:val="1"/>
        <w:rPr>
          <w:rFonts w:ascii="宋体" w:hAnsi="宋体" w:cs="宋体"/>
          <w:b/>
          <w:sz w:val="32"/>
          <w:szCs w:val="32"/>
        </w:rPr>
      </w:pPr>
      <w:r>
        <w:rPr>
          <w:rFonts w:hint="eastAsia" w:ascii="宋体" w:hAnsi="宋体" w:cs="宋体"/>
          <w:b/>
          <w:sz w:val="32"/>
          <w:szCs w:val="32"/>
        </w:rPr>
        <w:t>五、中小企业声明函</w:t>
      </w:r>
    </w:p>
    <w:p>
      <w:pPr>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本公司郑重声明，根据《政府采购促进中小企业发展管理办法》（财库[2020]46号）的规定，本公司参加</w:t>
      </w:r>
      <w:r>
        <w:rPr>
          <w:rFonts w:hint="eastAsia" w:ascii="宋体" w:hAnsi="宋体" w:cs="宋体"/>
          <w:color w:val="000000"/>
          <w:kern w:val="0"/>
          <w:sz w:val="24"/>
          <w:u w:val="single"/>
        </w:rPr>
        <w:t>(单位名称)</w:t>
      </w:r>
      <w:r>
        <w:rPr>
          <w:rFonts w:hint="eastAsia" w:ascii="宋体" w:hAnsi="宋体" w:cs="宋体"/>
          <w:color w:val="000000"/>
          <w:kern w:val="0"/>
          <w:sz w:val="24"/>
        </w:rPr>
        <w:t>的</w:t>
      </w:r>
      <w:r>
        <w:rPr>
          <w:rFonts w:hint="eastAsia" w:ascii="宋体" w:hAnsi="宋体" w:cs="宋体"/>
          <w:color w:val="000000"/>
          <w:kern w:val="0"/>
          <w:sz w:val="24"/>
          <w:u w:val="single"/>
        </w:rPr>
        <w:t>（项目名称）</w:t>
      </w:r>
      <w:r>
        <w:rPr>
          <w:rFonts w:hint="eastAsia" w:ascii="宋体" w:hAnsi="宋体" w:cs="宋体"/>
          <w:color w:val="000000"/>
          <w:kern w:val="0"/>
          <w:sz w:val="24"/>
        </w:rPr>
        <w:t>采购活动，服务全部由符合政策要求的中小企业承接。相关企业的具体情况如下：</w:t>
      </w:r>
    </w:p>
    <w:p>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u w:val="single"/>
        </w:rPr>
        <w:t>标的名称</w:t>
      </w:r>
      <w:r>
        <w:rPr>
          <w:rFonts w:hint="eastAsia" w:ascii="宋体" w:hAnsi="宋体" w:cs="宋体"/>
          <w:color w:val="000000"/>
          <w:kern w:val="0"/>
          <w:sz w:val="24"/>
        </w:rPr>
        <w:t>，属于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；承接的企业为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w:t>
      </w:r>
    </w:p>
    <w:p>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u w:val="single"/>
        </w:rPr>
        <w:t>标的名称</w:t>
      </w:r>
      <w:r>
        <w:rPr>
          <w:rFonts w:hint="eastAsia" w:ascii="宋体" w:hAnsi="宋体" w:cs="宋体"/>
          <w:color w:val="000000"/>
          <w:kern w:val="0"/>
          <w:sz w:val="24"/>
        </w:rPr>
        <w:t>，属于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；承接企业为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p>
      <w:pPr>
        <w:pStyle w:val="27"/>
        <w:ind w:firstLine="240"/>
        <w:rPr>
          <w:rFonts w:ascii="宋体" w:hAnsi="宋体" w:cs="宋体"/>
          <w:color w:val="000000"/>
          <w:kern w:val="0"/>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pPr>
        <w:pStyle w:val="27"/>
        <w:ind w:firstLine="240"/>
        <w:rPr>
          <w:rFonts w:ascii="宋体" w:hAnsi="宋体" w:cs="宋体"/>
          <w:color w:val="000000"/>
          <w:kern w:val="0"/>
          <w:sz w:val="24"/>
        </w:rPr>
      </w:pPr>
      <w:r>
        <w:rPr>
          <w:rFonts w:hint="eastAsia" w:ascii="宋体" w:hAnsi="宋体" w:cs="宋体"/>
          <w:color w:val="000000"/>
          <w:kern w:val="0"/>
          <w:sz w:val="24"/>
        </w:rPr>
        <w:t>本企业对上述声明内容的真实性负责。如有虚假，将依法承担相应责任。</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p>
      <w:pPr>
        <w:spacing w:line="480" w:lineRule="auto"/>
        <w:jc w:val="center"/>
        <w:rPr>
          <w:rFonts w:ascii="宋体" w:hAnsi="宋体" w:cs="宋体"/>
          <w:sz w:val="24"/>
        </w:rPr>
      </w:pPr>
      <w:r>
        <w:rPr>
          <w:rFonts w:hint="eastAsia" w:ascii="宋体" w:hAnsi="宋体" w:cs="宋体"/>
          <w:sz w:val="24"/>
        </w:rPr>
        <w:t xml:space="preserve">                          供应商名称：XXX（盖单位公章）</w:t>
      </w:r>
    </w:p>
    <w:p>
      <w:pPr>
        <w:spacing w:line="480" w:lineRule="auto"/>
        <w:jc w:val="center"/>
        <w:rPr>
          <w:rFonts w:ascii="宋体" w:hAnsi="宋体" w:cs="宋体"/>
          <w:sz w:val="24"/>
        </w:rPr>
      </w:pPr>
      <w:r>
        <w:rPr>
          <w:rFonts w:hint="eastAsia" w:ascii="宋体" w:hAnsi="宋体" w:cs="宋体"/>
          <w:sz w:val="24"/>
        </w:rPr>
        <w:t xml:space="preserve">                                    法定代表人或授权代表（签字或盖章）：XXX</w:t>
      </w:r>
    </w:p>
    <w:p>
      <w:pPr>
        <w:spacing w:line="480" w:lineRule="auto"/>
        <w:jc w:val="center"/>
        <w:rPr>
          <w:rFonts w:ascii="宋体" w:hAnsi="宋体" w:cs="宋体"/>
          <w:sz w:val="24"/>
        </w:rPr>
      </w:pPr>
      <w:r>
        <w:rPr>
          <w:rFonts w:hint="eastAsia" w:ascii="宋体" w:hAnsi="宋体" w:cs="宋体"/>
          <w:sz w:val="24"/>
        </w:rPr>
        <w:t xml:space="preserve">                           日      期：XXX年XXX月XXX日</w:t>
      </w:r>
    </w:p>
    <w:p>
      <w:pPr>
        <w:spacing w:line="480" w:lineRule="auto"/>
        <w:ind w:firstLine="5040" w:firstLineChars="2100"/>
        <w:rPr>
          <w:rFonts w:ascii="宋体" w:hAnsi="宋体" w:cs="宋体"/>
          <w:sz w:val="24"/>
        </w:rPr>
      </w:pP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注：1、从业人员、营业收入、资产总额填报上一年度数据，无上一年度数据的新成立企业可不填报。</w:t>
      </w:r>
    </w:p>
    <w:p>
      <w:pPr>
        <w:ind w:firstLine="480" w:firstLineChars="200"/>
        <w:jc w:val="left"/>
        <w:rPr>
          <w:rFonts w:ascii="宋体" w:hAnsi="宋体" w:cs="宋体"/>
          <w:color w:val="000000"/>
          <w:sz w:val="28"/>
          <w:szCs w:val="28"/>
        </w:rPr>
      </w:pPr>
      <w:r>
        <w:rPr>
          <w:rFonts w:hint="eastAsia" w:ascii="宋体" w:hAnsi="宋体" w:cs="宋体"/>
          <w:sz w:val="24"/>
        </w:rPr>
        <w:t>2、</w:t>
      </w:r>
      <w:r>
        <w:rPr>
          <w:rFonts w:hint="eastAsia" w:ascii="宋体" w:hAnsi="宋体" w:cs="宋体"/>
          <w:spacing w:val="6"/>
          <w:sz w:val="24"/>
        </w:rPr>
        <w:t>供应商属于中小微型企业则提供，不属于中小微型企业不需要提供。</w:t>
      </w:r>
    </w:p>
    <w:p>
      <w:pPr>
        <w:spacing w:line="480" w:lineRule="auto"/>
        <w:ind w:firstLine="4080" w:firstLineChars="1700"/>
        <w:rPr>
          <w:rFonts w:ascii="宋体" w:hAnsi="宋体" w:cs="宋体"/>
          <w:sz w:val="24"/>
        </w:rPr>
      </w:pPr>
    </w:p>
    <w:p>
      <w:pPr>
        <w:pStyle w:val="54"/>
        <w:rPr>
          <w:rFonts w:hAnsi="宋体"/>
          <w:b/>
          <w:bCs/>
          <w:color w:val="auto"/>
        </w:rPr>
      </w:pPr>
    </w:p>
    <w:p>
      <w:pPr>
        <w:pStyle w:val="54"/>
        <w:rPr>
          <w:rFonts w:hAnsi="宋体"/>
          <w:b/>
          <w:bCs/>
          <w:color w:val="auto"/>
        </w:rPr>
      </w:pPr>
    </w:p>
    <w:p>
      <w:pPr>
        <w:jc w:val="center"/>
        <w:rPr>
          <w:rFonts w:ascii="宋体" w:hAnsi="宋体" w:cs="宋体"/>
          <w:b/>
          <w:bCs/>
          <w:sz w:val="32"/>
          <w:szCs w:val="32"/>
        </w:rPr>
      </w:pPr>
    </w:p>
    <w:p>
      <w:pPr>
        <w:numPr>
          <w:ilvl w:val="0"/>
          <w:numId w:val="5"/>
        </w:numPr>
        <w:jc w:val="center"/>
        <w:outlineLvl w:val="1"/>
        <w:rPr>
          <w:rFonts w:ascii="宋体" w:hAnsi="宋体" w:cs="宋体"/>
          <w:b/>
          <w:bCs/>
          <w:spacing w:val="6"/>
          <w:sz w:val="32"/>
          <w:szCs w:val="32"/>
        </w:rPr>
      </w:pPr>
      <w:r>
        <w:rPr>
          <w:rFonts w:hint="eastAsia" w:ascii="宋体" w:hAnsi="宋体" w:cs="宋体"/>
          <w:b/>
          <w:bCs/>
          <w:sz w:val="32"/>
          <w:szCs w:val="32"/>
        </w:rPr>
        <w:br w:type="page"/>
      </w:r>
      <w:r>
        <w:rPr>
          <w:rFonts w:hint="eastAsia" w:ascii="宋体" w:hAnsi="宋体" w:cs="宋体"/>
          <w:b/>
          <w:bCs/>
          <w:sz w:val="32"/>
          <w:szCs w:val="32"/>
          <w:lang w:val="zh-CN"/>
        </w:rPr>
        <w:t>监狱企业证明材料</w:t>
      </w:r>
      <w:r>
        <w:rPr>
          <w:rFonts w:hint="eastAsia" w:ascii="宋体" w:hAnsi="宋体" w:cs="宋体"/>
          <w:b/>
          <w:bCs/>
          <w:spacing w:val="6"/>
          <w:sz w:val="32"/>
          <w:szCs w:val="32"/>
        </w:rPr>
        <w:t>（如涉及）</w:t>
      </w:r>
    </w:p>
    <w:p>
      <w:pPr>
        <w:pStyle w:val="2"/>
        <w:rPr>
          <w:rFonts w:ascii="宋体" w:hAnsi="宋体" w:cs="宋体"/>
          <w:lang w:val="zh-CN"/>
        </w:rPr>
      </w:pPr>
    </w:p>
    <w:p>
      <w:pPr>
        <w:spacing w:line="360" w:lineRule="auto"/>
        <w:ind w:firstLine="630" w:firstLineChars="250"/>
        <w:rPr>
          <w:rFonts w:ascii="宋体" w:hAnsi="宋体" w:cs="宋体"/>
          <w:spacing w:val="6"/>
          <w:sz w:val="24"/>
        </w:rPr>
      </w:pPr>
      <w:r>
        <w:rPr>
          <w:rFonts w:hint="eastAsia" w:ascii="宋体" w:hAnsi="宋体" w:cs="宋体"/>
          <w:spacing w:val="6"/>
          <w:sz w:val="24"/>
        </w:rPr>
        <w:t>由供应商提供由省级以上监狱管理局、</w:t>
      </w:r>
      <w:r>
        <w:rPr>
          <w:rFonts w:hint="eastAsia" w:ascii="宋体" w:hAnsi="宋体" w:cs="宋体"/>
          <w:spacing w:val="6"/>
          <w:sz w:val="24"/>
          <w:lang w:val="en-US" w:eastAsia="zh-CN"/>
        </w:rPr>
        <w:t>戒</w:t>
      </w:r>
      <w:r>
        <w:rPr>
          <w:rFonts w:hint="eastAsia" w:ascii="宋体" w:hAnsi="宋体" w:cs="宋体"/>
          <w:spacing w:val="6"/>
          <w:sz w:val="24"/>
        </w:rPr>
        <w:t>毒管理局（含新疆生产建设兵团）出具的属于监狱企业的证明文件。</w:t>
      </w:r>
    </w:p>
    <w:p>
      <w:pPr>
        <w:spacing w:line="360" w:lineRule="auto"/>
        <w:jc w:val="center"/>
        <w:rPr>
          <w:rFonts w:ascii="宋体" w:hAnsi="宋体" w:cs="宋体"/>
          <w:b/>
          <w:kern w:val="0"/>
          <w:sz w:val="32"/>
          <w:szCs w:val="28"/>
        </w:rPr>
      </w:pPr>
    </w:p>
    <w:p>
      <w:pPr>
        <w:spacing w:line="360" w:lineRule="auto"/>
        <w:jc w:val="center"/>
        <w:rPr>
          <w:rFonts w:ascii="宋体" w:hAnsi="宋体" w:cs="宋体"/>
          <w:b/>
          <w:kern w:val="0"/>
          <w:sz w:val="32"/>
          <w:szCs w:val="28"/>
        </w:rPr>
      </w:pPr>
    </w:p>
    <w:p>
      <w:pPr>
        <w:spacing w:line="360" w:lineRule="auto"/>
        <w:jc w:val="center"/>
        <w:rPr>
          <w:rFonts w:ascii="宋体" w:hAnsi="宋体" w:cs="宋体"/>
          <w:spacing w:val="6"/>
          <w:sz w:val="24"/>
        </w:rPr>
      </w:pPr>
      <w:r>
        <w:rPr>
          <w:rFonts w:hint="eastAsia" w:ascii="宋体" w:hAnsi="宋体" w:cs="宋体"/>
          <w:spacing w:val="6"/>
          <w:sz w:val="24"/>
        </w:rPr>
        <w:t>（注：供应商属于监狱企业则提供，不属于监狱企业不需要提供）</w:t>
      </w:r>
    </w:p>
    <w:p>
      <w:pPr>
        <w:pStyle w:val="54"/>
        <w:rPr>
          <w:rFonts w:hAnsi="宋体"/>
          <w:color w:val="auto"/>
          <w:spacing w:val="6"/>
        </w:rPr>
      </w:pPr>
    </w:p>
    <w:p>
      <w:pPr>
        <w:pStyle w:val="54"/>
        <w:rPr>
          <w:rFonts w:hAnsi="宋体"/>
          <w:color w:val="auto"/>
          <w:spacing w:val="6"/>
        </w:rPr>
      </w:pPr>
    </w:p>
    <w:p>
      <w:pPr>
        <w:numPr>
          <w:ilvl w:val="0"/>
          <w:numId w:val="6"/>
        </w:numPr>
        <w:spacing w:line="588" w:lineRule="exact"/>
        <w:jc w:val="center"/>
        <w:outlineLvl w:val="1"/>
        <w:rPr>
          <w:rFonts w:ascii="宋体" w:hAnsi="宋体" w:cs="宋体"/>
          <w:b/>
          <w:bCs/>
          <w:spacing w:val="6"/>
          <w:sz w:val="32"/>
          <w:szCs w:val="32"/>
        </w:rPr>
      </w:pPr>
      <w:r>
        <w:rPr>
          <w:rFonts w:hint="eastAsia" w:ascii="宋体" w:hAnsi="宋体" w:cs="宋体"/>
          <w:b/>
          <w:bCs/>
          <w:spacing w:val="6"/>
          <w:sz w:val="32"/>
          <w:szCs w:val="32"/>
        </w:rPr>
        <w:br w:type="page"/>
      </w:r>
      <w:r>
        <w:rPr>
          <w:rFonts w:hint="eastAsia" w:ascii="宋体" w:hAnsi="宋体" w:cs="宋体"/>
          <w:b/>
          <w:bCs/>
          <w:spacing w:val="6"/>
          <w:sz w:val="32"/>
          <w:szCs w:val="32"/>
        </w:rPr>
        <w:t>残疾人福利性单位声明函（如涉及）</w:t>
      </w:r>
    </w:p>
    <w:p>
      <w:pPr>
        <w:pStyle w:val="2"/>
        <w:rPr>
          <w:rFonts w:ascii="宋体" w:hAnsi="宋体" w:cs="宋体"/>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pStyle w:val="2"/>
        <w:spacing w:line="360" w:lineRule="auto"/>
        <w:rPr>
          <w:rFonts w:ascii="宋体" w:hAnsi="宋体" w:cs="宋体"/>
        </w:rPr>
      </w:pPr>
    </w:p>
    <w:p>
      <w:pPr>
        <w:spacing w:line="360" w:lineRule="auto"/>
        <w:jc w:val="center"/>
        <w:rPr>
          <w:rFonts w:ascii="宋体" w:hAnsi="宋体" w:cs="宋体"/>
          <w:sz w:val="24"/>
        </w:rPr>
      </w:pPr>
      <w:r>
        <w:rPr>
          <w:rFonts w:hint="eastAsia" w:ascii="宋体" w:hAnsi="宋体" w:cs="宋体"/>
          <w:sz w:val="24"/>
        </w:rPr>
        <w:t>（注：投标人为非残疾人福利性单位的，不需要提供此声明。）</w:t>
      </w:r>
    </w:p>
    <w:p>
      <w:pPr>
        <w:pStyle w:val="54"/>
        <w:spacing w:line="360" w:lineRule="auto"/>
        <w:rPr>
          <w:rFonts w:hAnsi="宋体"/>
          <w:color w:val="auto"/>
        </w:rPr>
      </w:pPr>
    </w:p>
    <w:p>
      <w:pPr>
        <w:spacing w:line="360" w:lineRule="auto"/>
        <w:ind w:firstLine="504" w:firstLineChars="200"/>
        <w:rPr>
          <w:rFonts w:ascii="宋体" w:hAnsi="宋体" w:cs="宋体"/>
          <w:spacing w:val="6"/>
          <w:sz w:val="24"/>
        </w:rPr>
      </w:pPr>
    </w:p>
    <w:p>
      <w:pPr>
        <w:spacing w:line="360" w:lineRule="auto"/>
        <w:ind w:firstLine="504" w:firstLineChars="200"/>
        <w:rPr>
          <w:rFonts w:ascii="宋体" w:hAnsi="宋体" w:cs="宋体"/>
          <w:spacing w:val="6"/>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法定代表人或授权代表（签字）：</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bCs/>
          <w:sz w:val="24"/>
        </w:rPr>
      </w:pPr>
      <w:r>
        <w:rPr>
          <w:rFonts w:hint="eastAsia" w:ascii="宋体" w:hAnsi="宋体" w:cs="宋体"/>
          <w:sz w:val="24"/>
        </w:rPr>
        <w:t>投标日期：</w:t>
      </w:r>
      <w:r>
        <w:rPr>
          <w:rFonts w:hint="eastAsia" w:ascii="宋体" w:hAnsi="宋体" w:cs="宋体"/>
          <w:sz w:val="24"/>
          <w:u w:val="single"/>
        </w:rPr>
        <w:t xml:space="preserve">                </w:t>
      </w:r>
      <w:r>
        <w:rPr>
          <w:rFonts w:hint="eastAsia" w:ascii="宋体" w:hAnsi="宋体" w:cs="宋体"/>
          <w:sz w:val="24"/>
        </w:rPr>
        <w:t>。</w:t>
      </w:r>
    </w:p>
    <w:p>
      <w:pPr>
        <w:pStyle w:val="54"/>
        <w:rPr>
          <w:rFonts w:hAnsi="宋体"/>
          <w:b/>
          <w:color w:val="auto"/>
        </w:rPr>
      </w:pPr>
    </w:p>
    <w:p>
      <w:pPr>
        <w:pageBreakBefore/>
        <w:tabs>
          <w:tab w:val="left" w:pos="900"/>
        </w:tabs>
        <w:spacing w:line="360" w:lineRule="auto"/>
        <w:jc w:val="center"/>
        <w:rPr>
          <w:rFonts w:ascii="宋体" w:hAnsi="宋体" w:cs="宋体"/>
          <w:b/>
          <w:sz w:val="32"/>
        </w:rPr>
      </w:pPr>
      <w:r>
        <w:rPr>
          <w:rFonts w:hint="eastAsia" w:ascii="宋体" w:hAnsi="宋体" w:cs="宋体"/>
          <w:b/>
          <w:sz w:val="32"/>
        </w:rPr>
        <w:t>第二部分     “其他响应性投标文件”格式</w:t>
      </w:r>
    </w:p>
    <w:p>
      <w:pPr>
        <w:spacing w:line="360" w:lineRule="auto"/>
        <w:rPr>
          <w:rFonts w:ascii="宋体" w:hAnsi="宋体" w:cs="宋体"/>
          <w:b/>
          <w:sz w:val="32"/>
          <w:szCs w:val="32"/>
        </w:rPr>
      </w:pPr>
      <w:r>
        <w:rPr>
          <w:rFonts w:hint="eastAsia" w:ascii="宋体" w:hAnsi="宋体" w:cs="宋体"/>
          <w:b/>
          <w:sz w:val="32"/>
          <w:szCs w:val="32"/>
        </w:rPr>
        <w:t>封面：</w:t>
      </w:r>
    </w:p>
    <w:p>
      <w:pPr>
        <w:spacing w:line="360" w:lineRule="auto"/>
        <w:jc w:val="right"/>
        <w:rPr>
          <w:rFonts w:ascii="宋体" w:hAnsi="宋体" w:cs="宋体"/>
          <w:b/>
          <w:sz w:val="36"/>
        </w:rPr>
      </w:pPr>
      <w:r>
        <w:rPr>
          <w:rFonts w:hint="eastAsia" w:ascii="宋体" w:hAnsi="宋体" w:cs="宋体"/>
          <w:b/>
          <w:sz w:val="36"/>
        </w:rPr>
        <w:t>（正本/副本）</w:t>
      </w:r>
    </w:p>
    <w:p>
      <w:pPr>
        <w:spacing w:line="360" w:lineRule="auto"/>
        <w:rPr>
          <w:rFonts w:ascii="宋体" w:hAnsi="宋体" w:cs="宋体"/>
          <w:b/>
          <w:sz w:val="32"/>
          <w:szCs w:val="32"/>
        </w:rPr>
      </w:pPr>
    </w:p>
    <w:p>
      <w:pPr>
        <w:spacing w:line="360" w:lineRule="auto"/>
        <w:rPr>
          <w:rFonts w:ascii="宋体" w:hAnsi="宋体" w:cs="宋体"/>
          <w:b/>
          <w:sz w:val="32"/>
          <w:szCs w:val="32"/>
        </w:rPr>
      </w:pPr>
    </w:p>
    <w:p>
      <w:pPr>
        <w:jc w:val="center"/>
        <w:rPr>
          <w:rFonts w:ascii="宋体" w:hAnsi="宋体" w:cs="宋体"/>
          <w:b/>
          <w:sz w:val="44"/>
          <w:szCs w:val="44"/>
        </w:rPr>
      </w:pPr>
      <w:r>
        <w:rPr>
          <w:rFonts w:hint="eastAsia" w:ascii="宋体" w:hAnsi="宋体" w:cs="宋体"/>
          <w:b/>
          <w:sz w:val="44"/>
          <w:szCs w:val="44"/>
        </w:rPr>
        <w:t>简阳市行政审批局中小微经济体财税数字综合服务平台项目采购</w:t>
      </w:r>
    </w:p>
    <w:p>
      <w:pPr>
        <w:spacing w:line="360" w:lineRule="auto"/>
        <w:jc w:val="center"/>
        <w:rPr>
          <w:rFonts w:ascii="宋体" w:hAnsi="宋体" w:cs="宋体"/>
          <w:b/>
          <w:sz w:val="72"/>
        </w:rPr>
      </w:pPr>
    </w:p>
    <w:p>
      <w:pPr>
        <w:spacing w:line="360" w:lineRule="auto"/>
        <w:rPr>
          <w:rFonts w:ascii="宋体" w:hAnsi="宋体" w:cs="宋体"/>
          <w:b/>
          <w:sz w:val="52"/>
          <w:szCs w:val="52"/>
        </w:rPr>
      </w:pPr>
    </w:p>
    <w:p>
      <w:pPr>
        <w:spacing w:line="360" w:lineRule="auto"/>
        <w:jc w:val="center"/>
        <w:outlineLvl w:val="1"/>
        <w:rPr>
          <w:rFonts w:ascii="宋体" w:hAnsi="宋体" w:cs="宋体"/>
          <w:b/>
          <w:sz w:val="32"/>
          <w:szCs w:val="32"/>
        </w:rPr>
      </w:pPr>
      <w:r>
        <w:rPr>
          <w:rFonts w:hint="eastAsia" w:ascii="宋体" w:hAnsi="宋体" w:cs="宋体"/>
          <w:b/>
          <w:sz w:val="52"/>
          <w:szCs w:val="52"/>
        </w:rPr>
        <w:t>其他响应性投标文件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jc w:val="left"/>
        <w:rPr>
          <w:rFonts w:ascii="宋体" w:hAnsi="宋体" w:cs="宋体"/>
          <w:b/>
          <w:sz w:val="32"/>
          <w:u w:val="single"/>
        </w:rPr>
      </w:pPr>
      <w:r>
        <w:rPr>
          <w:rFonts w:hint="eastAsia" w:ascii="宋体" w:hAnsi="宋体" w:cs="宋体"/>
          <w:b/>
          <w:sz w:val="32"/>
        </w:rPr>
        <w:t>投 标 人名称：</w:t>
      </w:r>
      <w:r>
        <w:rPr>
          <w:rFonts w:hint="eastAsia" w:ascii="宋体" w:hAnsi="宋体" w:cs="宋体"/>
          <w:b/>
          <w:sz w:val="32"/>
          <w:u w:val="single"/>
        </w:rPr>
        <w:t xml:space="preserve">                                 </w:t>
      </w:r>
    </w:p>
    <w:p>
      <w:pPr>
        <w:spacing w:line="360" w:lineRule="auto"/>
        <w:jc w:val="left"/>
        <w:rPr>
          <w:rFonts w:ascii="宋体" w:hAnsi="宋体" w:cs="宋体"/>
          <w:b/>
          <w:sz w:val="32"/>
          <w:u w:val="single"/>
        </w:rPr>
      </w:pPr>
      <w:r>
        <w:rPr>
          <w:rFonts w:hint="eastAsia" w:ascii="宋体" w:hAnsi="宋体" w:cs="宋体"/>
          <w:b/>
          <w:sz w:val="32"/>
        </w:rPr>
        <w:t>采购项目编号：</w:t>
      </w:r>
      <w:r>
        <w:rPr>
          <w:rFonts w:hint="eastAsia" w:ascii="宋体" w:hAnsi="宋体" w:cs="宋体"/>
          <w:b/>
          <w:sz w:val="32"/>
          <w:u w:val="single"/>
        </w:rPr>
        <w:t xml:space="preserve">                                 </w:t>
      </w:r>
    </w:p>
    <w:p>
      <w:pPr>
        <w:spacing w:line="360" w:lineRule="auto"/>
        <w:ind w:firstLine="790" w:firstLineChars="246"/>
        <w:jc w:val="center"/>
        <w:rPr>
          <w:rFonts w:ascii="宋体" w:hAnsi="宋体" w:cs="宋体"/>
          <w:b/>
          <w:sz w:val="32"/>
        </w:rPr>
      </w:pPr>
    </w:p>
    <w:p>
      <w:pPr>
        <w:pStyle w:val="2"/>
      </w:pPr>
    </w:p>
    <w:p>
      <w:pPr>
        <w:spacing w:line="360" w:lineRule="auto"/>
        <w:ind w:firstLine="790" w:firstLineChars="246"/>
        <w:jc w:val="center"/>
        <w:rPr>
          <w:rFonts w:ascii="宋体" w:hAnsi="宋体" w:cs="宋体"/>
          <w:b/>
          <w:sz w:val="32"/>
        </w:rPr>
      </w:pPr>
      <w:r>
        <w:rPr>
          <w:rFonts w:hint="eastAsia" w:ascii="宋体" w:hAnsi="宋体" w:cs="宋体"/>
          <w:b/>
          <w:sz w:val="32"/>
        </w:rPr>
        <w:t>投标时间：</w:t>
      </w:r>
      <w:r>
        <w:rPr>
          <w:rFonts w:hint="eastAsia" w:ascii="宋体" w:hAnsi="宋体" w:cs="宋体"/>
          <w:b/>
          <w:sz w:val="32"/>
          <w:u w:val="single"/>
        </w:rPr>
        <w:t xml:space="preserve">     </w:t>
      </w:r>
      <w:r>
        <w:rPr>
          <w:rFonts w:hint="eastAsia" w:ascii="宋体" w:hAnsi="宋体" w:cs="宋体"/>
          <w:b/>
          <w:sz w:val="32"/>
        </w:rPr>
        <w:t>年</w:t>
      </w:r>
      <w:r>
        <w:rPr>
          <w:rFonts w:hint="eastAsia" w:ascii="宋体" w:hAnsi="宋体" w:cs="宋体"/>
          <w:b/>
          <w:sz w:val="32"/>
          <w:u w:val="single"/>
        </w:rPr>
        <w:t xml:space="preserve">     </w:t>
      </w:r>
      <w:r>
        <w:rPr>
          <w:rFonts w:hint="eastAsia" w:ascii="宋体" w:hAnsi="宋体" w:cs="宋体"/>
          <w:b/>
          <w:sz w:val="32"/>
        </w:rPr>
        <w:t>月</w:t>
      </w:r>
      <w:r>
        <w:rPr>
          <w:rFonts w:hint="eastAsia" w:ascii="宋体" w:hAnsi="宋体" w:cs="宋体"/>
          <w:b/>
          <w:sz w:val="32"/>
          <w:u w:val="single"/>
        </w:rPr>
        <w:t xml:space="preserve">   </w:t>
      </w:r>
      <w:r>
        <w:rPr>
          <w:rFonts w:hint="eastAsia" w:ascii="宋体" w:hAnsi="宋体" w:cs="宋体"/>
          <w:b/>
          <w:sz w:val="32"/>
        </w:rPr>
        <w:t>日</w:t>
      </w:r>
    </w:p>
    <w:p>
      <w:pPr>
        <w:widowControl/>
        <w:numPr>
          <w:ilvl w:val="0"/>
          <w:numId w:val="7"/>
        </w:numPr>
        <w:spacing w:line="360" w:lineRule="atLeast"/>
        <w:jc w:val="center"/>
        <w:outlineLvl w:val="1"/>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投 标 函</w:t>
      </w:r>
    </w:p>
    <w:p>
      <w:pPr>
        <w:pStyle w:val="2"/>
        <w:rPr>
          <w:rFonts w:ascii="宋体" w:hAnsi="宋体" w:cs="宋体"/>
        </w:rPr>
      </w:pPr>
    </w:p>
    <w:p>
      <w:pPr>
        <w:widowControl/>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：（采购代理机构名称）</w:t>
      </w:r>
    </w:p>
    <w:p>
      <w:pPr>
        <w:widowControl/>
        <w:spacing w:line="360" w:lineRule="auto"/>
        <w:ind w:firstLine="470" w:firstLineChars="196"/>
        <w:jc w:val="left"/>
        <w:rPr>
          <w:rFonts w:ascii="宋体" w:hAnsi="宋体" w:cs="宋体"/>
          <w:sz w:val="24"/>
        </w:rPr>
      </w:pPr>
      <w:r>
        <w:rPr>
          <w:rFonts w:hint="eastAsia" w:ascii="宋体" w:hAnsi="宋体" w:cs="宋体"/>
          <w:sz w:val="24"/>
        </w:rPr>
        <w:t>我方全面研究了“</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）招标文件，决定参加贵单位组织的本项目投标。我方授权</w:t>
      </w:r>
      <w:r>
        <w:rPr>
          <w:rFonts w:hint="eastAsia" w:ascii="宋体" w:hAnsi="宋体" w:cs="宋体"/>
          <w:sz w:val="24"/>
          <w:u w:val="single"/>
        </w:rPr>
        <w:t xml:space="preserve">                </w:t>
      </w:r>
      <w:r>
        <w:rPr>
          <w:rFonts w:hint="eastAsia" w:ascii="宋体" w:hAnsi="宋体" w:cs="宋体"/>
          <w:sz w:val="24"/>
        </w:rPr>
        <w:t>（姓名、职务）代表我方</w:t>
      </w:r>
      <w:r>
        <w:rPr>
          <w:rFonts w:hint="eastAsia" w:ascii="宋体" w:hAnsi="宋体" w:cs="宋体"/>
          <w:sz w:val="24"/>
          <w:u w:val="single"/>
        </w:rPr>
        <w:t xml:space="preserve">                </w:t>
      </w:r>
      <w:r>
        <w:rPr>
          <w:rFonts w:hint="eastAsia" w:ascii="宋体" w:hAnsi="宋体" w:cs="宋体"/>
          <w:sz w:val="24"/>
        </w:rPr>
        <w:t>（投标单位的名称）全权处理本项目投标的有关事宜。</w:t>
      </w:r>
    </w:p>
    <w:p>
      <w:pPr>
        <w:widowControl/>
        <w:spacing w:line="360" w:lineRule="auto"/>
        <w:ind w:firstLine="470" w:firstLineChars="196"/>
        <w:jc w:val="left"/>
        <w:rPr>
          <w:rFonts w:ascii="宋体" w:hAnsi="宋体" w:cs="宋体"/>
          <w:sz w:val="24"/>
        </w:rPr>
      </w:pPr>
      <w:r>
        <w:rPr>
          <w:rFonts w:hint="eastAsia" w:ascii="宋体" w:hAnsi="宋体" w:cs="宋体"/>
          <w:sz w:val="24"/>
        </w:rPr>
        <w:t>一、我方自愿按照招标文件规定的各项要求向采购人提供所需全部内容，总投标价为人民币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sz w:val="24"/>
        </w:rPr>
      </w:pPr>
      <w:r>
        <w:rPr>
          <w:rFonts w:hint="eastAsia" w:ascii="宋体" w:hAnsi="宋体" w:cs="宋体"/>
          <w:sz w:val="24"/>
        </w:rPr>
        <w:t>二、一旦我方中标，我方将严格履行政府采购合同规定的责任和义务。</w:t>
      </w:r>
    </w:p>
    <w:p>
      <w:pPr>
        <w:widowControl/>
        <w:spacing w:line="360" w:lineRule="auto"/>
        <w:ind w:firstLine="470" w:firstLineChars="196"/>
        <w:jc w:val="left"/>
        <w:rPr>
          <w:rFonts w:ascii="宋体" w:hAnsi="宋体" w:cs="宋体"/>
          <w:sz w:val="24"/>
        </w:rPr>
      </w:pPr>
      <w:r>
        <w:rPr>
          <w:rFonts w:hint="eastAsia" w:ascii="宋体" w:hAnsi="宋体" w:cs="宋体"/>
          <w:sz w:val="24"/>
        </w:rPr>
        <w:t>三、我方同意依据《四川省公共资源交易领域严重失信联合惩戒实施办法》（川发改信用规〔2019〕405号）、《关于对政府采购领域严重违法失信主体开展联合惩戒的合作备忘录》（发改财金〔2018〕1614号）对我方可能存在的失信行为进行惩戒。</w:t>
      </w:r>
    </w:p>
    <w:p>
      <w:pPr>
        <w:widowControl/>
        <w:spacing w:line="360" w:lineRule="auto"/>
        <w:ind w:firstLine="470" w:firstLineChars="196"/>
        <w:jc w:val="left"/>
        <w:rPr>
          <w:rFonts w:ascii="宋体" w:hAnsi="宋体" w:cs="宋体"/>
          <w:sz w:val="24"/>
        </w:rPr>
      </w:pPr>
      <w:r>
        <w:rPr>
          <w:rFonts w:hint="eastAsia" w:ascii="宋体" w:hAnsi="宋体" w:cs="宋体"/>
          <w:sz w:val="24"/>
        </w:rPr>
        <w:t>四、我方为本项目提交的投标文件正本壹份，副本</w:t>
      </w:r>
      <w:r>
        <w:rPr>
          <w:rFonts w:hint="eastAsia" w:ascii="宋体" w:hAnsi="宋体" w:cs="宋体"/>
          <w:sz w:val="24"/>
          <w:u w:val="single"/>
        </w:rPr>
        <w:t>贰</w:t>
      </w:r>
      <w:r>
        <w:rPr>
          <w:rFonts w:hint="eastAsia" w:ascii="宋体" w:hAnsi="宋体" w:cs="宋体"/>
          <w:sz w:val="24"/>
        </w:rPr>
        <w:t>份，用于开标唱标的“开标一览表”壹份。</w:t>
      </w:r>
    </w:p>
    <w:p>
      <w:pPr>
        <w:widowControl/>
        <w:spacing w:line="360" w:lineRule="auto"/>
        <w:ind w:firstLine="470" w:firstLineChars="196"/>
        <w:jc w:val="left"/>
        <w:rPr>
          <w:rFonts w:ascii="宋体" w:hAnsi="宋体" w:cs="宋体"/>
          <w:sz w:val="24"/>
        </w:rPr>
      </w:pPr>
      <w:r>
        <w:rPr>
          <w:rFonts w:hint="eastAsia" w:ascii="宋体" w:hAnsi="宋体" w:cs="宋体"/>
          <w:sz w:val="24"/>
        </w:rPr>
        <w:t>五、我方同意本次招标的投标有效期为</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sz w:val="24"/>
        </w:rPr>
      </w:pPr>
      <w:r>
        <w:rPr>
          <w:rFonts w:hint="eastAsia" w:ascii="宋体" w:hAnsi="宋体" w:cs="宋体"/>
          <w:sz w:val="24"/>
        </w:rPr>
        <w:t>六、我方愿意提供贵单位可能另外要求的，与投标有关的文件资料，并保证我方已提供和将要提供的文件资料是真实、准确的。</w:t>
      </w:r>
    </w:p>
    <w:p>
      <w:pPr>
        <w:widowControl/>
        <w:spacing w:line="360" w:lineRule="auto"/>
        <w:ind w:firstLine="470" w:firstLineChars="196"/>
        <w:jc w:val="left"/>
        <w:rPr>
          <w:rFonts w:ascii="宋体" w:hAnsi="宋体" w:cs="宋体"/>
          <w:sz w:val="24"/>
        </w:rPr>
      </w:pPr>
      <w:r>
        <w:rPr>
          <w:rFonts w:hint="eastAsia" w:ascii="宋体" w:hAnsi="宋体" w:cs="宋体"/>
          <w:sz w:val="24"/>
        </w:rPr>
        <w:t>七、我方完全同意按照采购文件规定，支付代理费用。</w:t>
      </w:r>
    </w:p>
    <w:p>
      <w:pPr>
        <w:widowControl/>
        <w:spacing w:line="360" w:lineRule="auto"/>
        <w:ind w:firstLine="950" w:firstLineChars="396"/>
        <w:jc w:val="left"/>
        <w:rPr>
          <w:rFonts w:ascii="宋体" w:hAnsi="宋体" w:cs="宋体"/>
          <w:sz w:val="24"/>
        </w:rPr>
      </w:pPr>
      <w:r>
        <w:rPr>
          <w:rFonts w:hint="eastAsia" w:ascii="宋体" w:hAnsi="宋体" w:cs="宋体"/>
          <w:sz w:val="24"/>
        </w:rPr>
        <w:t>我方完全理解采购人不一定将合同授予最低报价的供应商行为。</w:t>
      </w:r>
    </w:p>
    <w:p>
      <w:pPr>
        <w:widowControl/>
        <w:spacing w:line="360" w:lineRule="auto"/>
        <w:ind w:firstLine="470" w:firstLineChars="196"/>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法定代表人或授权代表（签字）：</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sz w:val="24"/>
        </w:rPr>
      </w:pPr>
      <w:r>
        <w:rPr>
          <w:rFonts w:hint="eastAsia" w:ascii="宋体" w:hAnsi="宋体" w:cs="宋体"/>
          <w:sz w:val="24"/>
        </w:rPr>
        <w:t>通讯地址：</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4"/>
        <w:rPr>
          <w:rFonts w:hAnsi="宋体"/>
          <w:color w:val="auto"/>
        </w:rPr>
      </w:pPr>
    </w:p>
    <w:p>
      <w:pPr>
        <w:pStyle w:val="54"/>
        <w:rPr>
          <w:rFonts w:hAnsi="宋体"/>
          <w:color w:val="auto"/>
        </w:rPr>
      </w:pPr>
    </w:p>
    <w:p>
      <w:pPr>
        <w:pageBreakBefore/>
        <w:widowControl/>
        <w:spacing w:line="360" w:lineRule="atLeast"/>
        <w:jc w:val="center"/>
        <w:outlineLvl w:val="1"/>
        <w:rPr>
          <w:rFonts w:ascii="宋体" w:hAnsi="宋体" w:cs="宋体"/>
          <w:b/>
          <w:sz w:val="32"/>
          <w:szCs w:val="32"/>
        </w:rPr>
      </w:pPr>
      <w:r>
        <w:rPr>
          <w:rFonts w:hint="eastAsia" w:ascii="宋体" w:hAnsi="宋体" w:cs="宋体"/>
          <w:b/>
          <w:sz w:val="32"/>
          <w:szCs w:val="32"/>
        </w:rPr>
        <w:t>二、承诺函</w:t>
      </w:r>
    </w:p>
    <w:p>
      <w:pPr>
        <w:widowControl/>
        <w:spacing w:line="360" w:lineRule="atLeast"/>
        <w:rPr>
          <w:rFonts w:ascii="宋体" w:hAnsi="宋体" w:cs="宋体"/>
          <w:b/>
          <w:sz w:val="24"/>
        </w:rPr>
      </w:pPr>
    </w:p>
    <w:p>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（采购代理机构名称）：</w:t>
      </w:r>
    </w:p>
    <w:p>
      <w:pPr>
        <w:widowControl/>
        <w:spacing w:line="360" w:lineRule="auto"/>
        <w:ind w:firstLine="480" w:firstLineChars="200"/>
        <w:jc w:val="left"/>
        <w:rPr>
          <w:rFonts w:ascii="宋体" w:hAnsi="宋体" w:cs="宋体"/>
          <w:sz w:val="24"/>
        </w:rPr>
      </w:pPr>
      <w:r>
        <w:rPr>
          <w:rFonts w:hint="eastAsia" w:ascii="宋体" w:hAnsi="宋体" w:cs="宋体"/>
          <w:sz w:val="24"/>
        </w:rPr>
        <w:t>我公司作为本次采购项目的投标人，根据招标文件要求，现郑重承诺如下：</w:t>
      </w:r>
    </w:p>
    <w:p>
      <w:pPr>
        <w:widowControl/>
        <w:spacing w:line="360" w:lineRule="auto"/>
        <w:ind w:firstLine="480" w:firstLineChars="200"/>
        <w:jc w:val="left"/>
        <w:rPr>
          <w:rFonts w:ascii="宋体" w:hAnsi="宋体" w:cs="宋体"/>
          <w:sz w:val="24"/>
        </w:rPr>
      </w:pPr>
      <w:r>
        <w:rPr>
          <w:rFonts w:hint="eastAsia" w:ascii="宋体" w:hAnsi="宋体" w:cs="宋体"/>
          <w:sz w:val="24"/>
        </w:rPr>
        <w:t>一、具备《中华人民共和国政府采购法》第二十二条第一款和本项目规定的条件：</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（一）具有独立承担民事责任的能力； </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（二）具有良好的商业信誉和健全的财务会计制度； </w:t>
      </w:r>
    </w:p>
    <w:p>
      <w:pPr>
        <w:widowControl/>
        <w:spacing w:line="360" w:lineRule="auto"/>
        <w:ind w:firstLine="480" w:firstLineChars="200"/>
        <w:jc w:val="left"/>
        <w:rPr>
          <w:rFonts w:ascii="宋体" w:hAnsi="宋体" w:cs="宋体"/>
          <w:sz w:val="24"/>
        </w:rPr>
      </w:pPr>
      <w:r>
        <w:rPr>
          <w:rFonts w:hint="eastAsia" w:ascii="宋体" w:hAnsi="宋体" w:cs="宋体"/>
          <w:sz w:val="24"/>
        </w:rPr>
        <w:t>（三）具有履行合同所必需的设备和专业技术能力：</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（四）有依法缴纳税收和社会保障资金的良好记录； </w:t>
      </w:r>
    </w:p>
    <w:p>
      <w:pPr>
        <w:widowControl/>
        <w:spacing w:line="360" w:lineRule="auto"/>
        <w:ind w:firstLine="480" w:firstLineChars="200"/>
        <w:jc w:val="left"/>
        <w:rPr>
          <w:rFonts w:ascii="宋体" w:hAnsi="宋体" w:cs="宋体"/>
          <w:sz w:val="24"/>
        </w:rPr>
      </w:pPr>
      <w:r>
        <w:rPr>
          <w:rFonts w:hint="eastAsia" w:ascii="宋体" w:hAnsi="宋体" w:cs="宋体"/>
          <w:sz w:val="24"/>
        </w:rPr>
        <w:t>（五）参加政府采购活动前三年内，在经营活动中没有重大违法记录；</w:t>
      </w:r>
    </w:p>
    <w:p>
      <w:pPr>
        <w:widowControl/>
        <w:spacing w:line="360" w:lineRule="auto"/>
        <w:ind w:firstLine="480" w:firstLineChars="200"/>
        <w:jc w:val="left"/>
        <w:rPr>
          <w:rFonts w:ascii="宋体" w:hAnsi="宋体" w:cs="宋体"/>
          <w:sz w:val="24"/>
        </w:rPr>
      </w:pPr>
      <w:r>
        <w:rPr>
          <w:rFonts w:hint="eastAsia" w:ascii="宋体" w:hAnsi="宋体" w:cs="宋体"/>
          <w:sz w:val="24"/>
        </w:rPr>
        <w:t>（六）法律、行政法规规定的其他条件；</w:t>
      </w:r>
    </w:p>
    <w:p>
      <w:pPr>
        <w:widowControl/>
        <w:spacing w:line="360" w:lineRule="auto"/>
        <w:ind w:firstLine="480" w:firstLineChars="200"/>
        <w:jc w:val="left"/>
        <w:rPr>
          <w:rFonts w:ascii="宋体" w:hAnsi="宋体" w:cs="宋体"/>
          <w:sz w:val="24"/>
        </w:rPr>
      </w:pPr>
      <w:r>
        <w:rPr>
          <w:rFonts w:hint="eastAsia" w:ascii="宋体" w:hAnsi="宋体" w:cs="宋体"/>
          <w:sz w:val="24"/>
        </w:rPr>
        <w:t>（七）根据采购项目提出的特殊条件。</w:t>
      </w:r>
    </w:p>
    <w:p>
      <w:pPr>
        <w:widowControl/>
        <w:spacing w:line="360" w:lineRule="auto"/>
        <w:ind w:firstLine="480" w:firstLineChars="200"/>
        <w:jc w:val="left"/>
        <w:rPr>
          <w:rFonts w:ascii="宋体" w:hAnsi="宋体" w:cs="宋体"/>
          <w:sz w:val="24"/>
        </w:rPr>
      </w:pPr>
      <w:r>
        <w:rPr>
          <w:rFonts w:hint="eastAsia" w:ascii="宋体" w:hAnsi="宋体" w:cs="宋体"/>
          <w:sz w:val="24"/>
        </w:rPr>
        <w:t>二、完全接受和满足本项目招标文件中规定的所有实质性要求，如对招标文件有异议，已经在投标截止时间届满前依法进行维权救济，不存在对招标文件有异议的同时又参加投标以求侥幸中标或者为实现其他非法目的的行为。</w:t>
      </w:r>
    </w:p>
    <w:p>
      <w:pPr>
        <w:widowControl/>
        <w:spacing w:line="360" w:lineRule="auto"/>
        <w:ind w:firstLine="480" w:firstLineChars="200"/>
        <w:jc w:val="left"/>
        <w:rPr>
          <w:rFonts w:ascii="宋体" w:hAnsi="宋体" w:cs="宋体"/>
          <w:sz w:val="24"/>
        </w:rPr>
      </w:pPr>
      <w:r>
        <w:rPr>
          <w:rFonts w:hint="eastAsia" w:ascii="宋体" w:hAnsi="宋体" w:cs="宋体"/>
          <w:sz w:val="24"/>
        </w:rPr>
        <w:t>三、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widowControl/>
        <w:spacing w:line="360" w:lineRule="auto"/>
        <w:ind w:firstLine="480" w:firstLineChars="200"/>
        <w:jc w:val="left"/>
        <w:rPr>
          <w:rFonts w:ascii="宋体" w:hAnsi="宋体" w:cs="宋体"/>
          <w:sz w:val="24"/>
        </w:rPr>
      </w:pPr>
      <w:r>
        <w:rPr>
          <w:rFonts w:hint="eastAsia" w:ascii="宋体" w:hAnsi="宋体" w:cs="宋体"/>
          <w:sz w:val="24"/>
        </w:rPr>
        <w:t>四、参加本次招标采购活动，不存在和其他供应商在同一合同项下的采购项目中，同时委托同一个自然人、同一家庭的人员、同一单位的人员作为代理人的行为。</w:t>
      </w:r>
    </w:p>
    <w:p>
      <w:pPr>
        <w:widowControl/>
        <w:spacing w:line="360" w:lineRule="auto"/>
        <w:ind w:firstLine="480" w:firstLineChars="200"/>
        <w:jc w:val="left"/>
        <w:rPr>
          <w:rFonts w:ascii="宋体" w:hAnsi="宋体" w:cs="宋体"/>
          <w:sz w:val="24"/>
        </w:rPr>
      </w:pPr>
      <w:r>
        <w:rPr>
          <w:rFonts w:hint="eastAsia" w:ascii="宋体" w:hAnsi="宋体" w:cs="宋体"/>
          <w:sz w:val="24"/>
        </w:rPr>
        <w:t>五、投标文件中提供的能够给予我公司带来优惠、好处的任何材料资料和技术、服务、商务等响应承诺情况都是真实的、有效的、合法的。</w:t>
      </w:r>
    </w:p>
    <w:p>
      <w:pPr>
        <w:widowControl/>
        <w:spacing w:line="360" w:lineRule="auto"/>
        <w:ind w:firstLine="480" w:firstLineChars="200"/>
        <w:jc w:val="left"/>
        <w:rPr>
          <w:rFonts w:ascii="宋体" w:hAnsi="宋体" w:cs="宋体"/>
          <w:sz w:val="24"/>
        </w:rPr>
      </w:pPr>
      <w:r>
        <w:rPr>
          <w:rFonts w:hint="eastAsia" w:ascii="宋体" w:hAnsi="宋体" w:cs="宋体"/>
          <w:sz w:val="24"/>
        </w:rPr>
        <w:t>六、本公司对上述承诺的内容事项真实性负责。如经查实上述承诺的内容事项存在虚假，我公司愿意接受以提供虚假材料谋取中标追究法律责任。</w:t>
      </w:r>
    </w:p>
    <w:p>
      <w:pPr>
        <w:pStyle w:val="54"/>
        <w:spacing w:line="360" w:lineRule="auto"/>
        <w:rPr>
          <w:rFonts w:hAnsi="宋体"/>
          <w:color w:val="auto"/>
        </w:rPr>
      </w:pPr>
      <w:r>
        <w:rPr>
          <w:rFonts w:hint="eastAsia" w:hAnsi="宋体"/>
          <w:color w:val="auto"/>
        </w:rPr>
        <w:t xml:space="preserve">    七、截至投标截止日未被列入失信被执行人、重大税收违法案件当事人名单、政府采购严重违法失信行为记录名单。</w:t>
      </w:r>
    </w:p>
    <w:p>
      <w:pPr>
        <w:pStyle w:val="54"/>
        <w:spacing w:line="360" w:lineRule="auto"/>
        <w:rPr>
          <w:rFonts w:hAnsi="宋体"/>
          <w:color w:val="auto"/>
        </w:rPr>
      </w:pPr>
    </w:p>
    <w:p>
      <w:pPr>
        <w:spacing w:line="360" w:lineRule="auto"/>
        <w:ind w:firstLine="484" w:firstLineChars="202"/>
        <w:rPr>
          <w:rFonts w:ascii="宋体" w:hAnsi="宋体" w:cs="宋体"/>
          <w:sz w:val="24"/>
        </w:rPr>
      </w:pPr>
      <w:r>
        <w:rPr>
          <w:rFonts w:hint="eastAsia" w:ascii="宋体" w:hAnsi="宋体" w:cs="宋体"/>
          <w:sz w:val="24"/>
        </w:rPr>
        <w:t>注：本承诺书内容必须全部做出明确应答，如无应答或应答含混，即视为存在未应答事项事实，评审组可按相关规定扣分或作无效投标处理。</w:t>
      </w:r>
    </w:p>
    <w:p>
      <w:pPr>
        <w:widowControl/>
        <w:spacing w:line="360" w:lineRule="auto"/>
        <w:ind w:firstLine="480" w:firstLineChars="200"/>
        <w:jc w:val="left"/>
        <w:rPr>
          <w:rFonts w:ascii="宋体" w:hAnsi="宋体" w:cs="宋体"/>
          <w:sz w:val="24"/>
        </w:rPr>
      </w:pPr>
      <w:r>
        <w:rPr>
          <w:rFonts w:hint="eastAsia" w:ascii="宋体" w:hAnsi="宋体" w:cs="宋体"/>
          <w:sz w:val="24"/>
        </w:rPr>
        <w:t>供应商（全称并盖章）：</w:t>
      </w:r>
      <w:r>
        <w:rPr>
          <w:rFonts w:hint="eastAsia" w:ascii="宋体" w:hAnsi="宋体" w:cs="宋体"/>
          <w:sz w:val="24"/>
          <w:u w:val="single"/>
        </w:rPr>
        <w:t xml:space="preserve">                </w:t>
      </w:r>
      <w:r>
        <w:rPr>
          <w:rFonts w:hint="eastAsia" w:ascii="宋体" w:hAnsi="宋体" w:cs="宋体"/>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法定代表人/单位负责人或授权代表（签字或加盖个人名章）：</w:t>
      </w:r>
      <w:r>
        <w:rPr>
          <w:rFonts w:hint="eastAsia" w:ascii="宋体" w:hAnsi="宋体" w:cs="宋体"/>
          <w:sz w:val="24"/>
          <w:u w:val="single"/>
        </w:rPr>
        <w:t xml:space="preserve">                </w:t>
      </w:r>
    </w:p>
    <w:p>
      <w:pPr>
        <w:widowControl/>
        <w:spacing w:line="360" w:lineRule="auto"/>
        <w:ind w:firstLine="480" w:firstLineChars="200"/>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w:t>
      </w:r>
    </w:p>
    <w:p>
      <w:pPr>
        <w:pStyle w:val="48"/>
        <w:ind w:firstLine="0" w:firstLineChars="0"/>
        <w:rPr>
          <w:rFonts w:ascii="宋体" w:hAnsi="宋体" w:cs="宋体"/>
          <w:b/>
          <w:sz w:val="24"/>
        </w:rPr>
      </w:pPr>
      <w:r>
        <w:rPr>
          <w:rFonts w:hint="eastAsia" w:ascii="宋体" w:hAnsi="宋体" w:cs="宋体"/>
          <w:b/>
          <w:sz w:val="24"/>
        </w:rPr>
        <w:t>注：</w:t>
      </w:r>
    </w:p>
    <w:p>
      <w:pPr>
        <w:pStyle w:val="48"/>
        <w:ind w:firstLine="0" w:firstLineChars="0"/>
        <w:rPr>
          <w:rFonts w:ascii="宋体" w:hAnsi="宋体" w:cs="宋体"/>
          <w:b/>
          <w:sz w:val="24"/>
        </w:rPr>
      </w:pPr>
      <w:r>
        <w:rPr>
          <w:rFonts w:hint="eastAsia" w:ascii="宋体" w:hAnsi="宋体" w:cs="宋体"/>
          <w:b/>
          <w:sz w:val="24"/>
        </w:rPr>
        <w:t>1、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50000元。</w:t>
      </w:r>
    </w:p>
    <w:p>
      <w:pPr>
        <w:pStyle w:val="48"/>
        <w:ind w:firstLine="0" w:firstLineChars="0"/>
        <w:rPr>
          <w:rFonts w:ascii="宋体" w:hAnsi="宋体" w:cs="宋体"/>
          <w:b/>
          <w:sz w:val="24"/>
        </w:rPr>
      </w:pPr>
      <w:r>
        <w:rPr>
          <w:rFonts w:hint="eastAsia" w:ascii="宋体" w:hAnsi="宋体" w:cs="宋体"/>
          <w:b/>
          <w:sz w:val="24"/>
        </w:rPr>
        <w:t>2、投标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54"/>
        <w:rPr>
          <w:rFonts w:hAnsi="宋体"/>
          <w:color w:val="auto"/>
        </w:rPr>
      </w:pPr>
    </w:p>
    <w:p>
      <w:pPr>
        <w:pStyle w:val="54"/>
        <w:rPr>
          <w:rFonts w:hAnsi="宋体"/>
          <w:color w:val="auto"/>
        </w:rPr>
      </w:pPr>
    </w:p>
    <w:p>
      <w:pPr>
        <w:pStyle w:val="54"/>
        <w:rPr>
          <w:rFonts w:hAnsi="宋体"/>
          <w:color w:val="auto"/>
        </w:rPr>
      </w:pPr>
      <w:r>
        <w:rPr>
          <w:rFonts w:hint="eastAsia" w:hAnsi="宋体"/>
          <w:color w:val="auto"/>
        </w:rPr>
        <w:br w:type="page"/>
      </w:r>
    </w:p>
    <w:p>
      <w:pPr>
        <w:widowControl/>
        <w:spacing w:line="360" w:lineRule="atLeast"/>
        <w:jc w:val="center"/>
        <w:outlineLvl w:val="1"/>
        <w:rPr>
          <w:rFonts w:ascii="宋体" w:hAnsi="宋体" w:cs="宋体"/>
          <w:b/>
          <w:bCs/>
          <w:sz w:val="32"/>
          <w:szCs w:val="32"/>
        </w:rPr>
      </w:pPr>
      <w:r>
        <w:rPr>
          <w:rFonts w:hint="eastAsia" w:ascii="宋体" w:hAnsi="宋体" w:cs="宋体"/>
          <w:b/>
          <w:bCs/>
          <w:sz w:val="32"/>
          <w:szCs w:val="32"/>
        </w:rPr>
        <w:t>三、开标一览表</w:t>
      </w:r>
      <w:bookmarkEnd w:id="125"/>
    </w:p>
    <w:p>
      <w:pPr>
        <w:widowControl/>
        <w:spacing w:line="360" w:lineRule="auto"/>
        <w:jc w:val="left"/>
        <w:rPr>
          <w:rFonts w:ascii="宋体" w:hAnsi="宋体" w:cs="宋体"/>
          <w:sz w:val="24"/>
        </w:rPr>
      </w:pPr>
      <w:r>
        <w:rPr>
          <w:rFonts w:hint="eastAsia" w:ascii="宋体" w:hAnsi="宋体" w:cs="宋体"/>
          <w:sz w:val="24"/>
        </w:rPr>
        <w:t xml:space="preserve">                                                       </w:t>
      </w:r>
    </w:p>
    <w:tbl>
      <w:tblPr>
        <w:tblStyle w:val="2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298"/>
        <w:gridCol w:w="1302"/>
        <w:gridCol w:w="772"/>
        <w:gridCol w:w="772"/>
        <w:gridCol w:w="2079"/>
        <w:gridCol w:w="130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18" w:type="pct"/>
            <w:vAlign w:val="center"/>
          </w:tcPr>
          <w:p>
            <w:pPr>
              <w:widowControl/>
              <w:spacing w:line="360" w:lineRule="auto"/>
              <w:jc w:val="center"/>
              <w:outlineLvl w:val="1"/>
              <w:rPr>
                <w:rFonts w:ascii="宋体" w:hAnsi="宋体" w:cs="宋体"/>
                <w:sz w:val="24"/>
              </w:rPr>
            </w:pPr>
            <w:r>
              <w:rPr>
                <w:rFonts w:hint="eastAsia" w:ascii="宋体" w:hAnsi="宋体" w:cs="宋体"/>
                <w:sz w:val="24"/>
              </w:rPr>
              <w:t>序号</w:t>
            </w:r>
          </w:p>
        </w:tc>
        <w:tc>
          <w:tcPr>
            <w:tcW w:w="708" w:type="pct"/>
            <w:vAlign w:val="center"/>
          </w:tcPr>
          <w:p>
            <w:pPr>
              <w:widowControl/>
              <w:spacing w:line="360" w:lineRule="auto"/>
              <w:jc w:val="center"/>
              <w:outlineLvl w:val="1"/>
              <w:rPr>
                <w:rFonts w:ascii="宋体" w:hAnsi="宋体" w:cs="宋体"/>
                <w:sz w:val="24"/>
              </w:rPr>
            </w:pPr>
            <w:r>
              <w:rPr>
                <w:rFonts w:hint="eastAsia" w:ascii="宋体" w:hAnsi="宋体" w:cs="宋体"/>
                <w:sz w:val="24"/>
              </w:rPr>
              <w:t>服务名称</w:t>
            </w:r>
          </w:p>
        </w:tc>
        <w:tc>
          <w:tcPr>
            <w:tcW w:w="710" w:type="pct"/>
            <w:vAlign w:val="center"/>
          </w:tcPr>
          <w:p>
            <w:pPr>
              <w:widowControl/>
              <w:spacing w:line="360" w:lineRule="auto"/>
              <w:jc w:val="center"/>
              <w:outlineLvl w:val="1"/>
              <w:rPr>
                <w:rFonts w:ascii="宋体" w:hAnsi="宋体" w:cs="宋体"/>
                <w:sz w:val="24"/>
                <w:highlight w:val="yellow"/>
              </w:rPr>
            </w:pPr>
            <w:r>
              <w:rPr>
                <w:rFonts w:hint="eastAsia" w:ascii="宋体" w:hAnsi="宋体" w:cs="宋体"/>
                <w:sz w:val="24"/>
              </w:rPr>
              <w:t>服务内容</w:t>
            </w:r>
          </w:p>
        </w:tc>
        <w:tc>
          <w:tcPr>
            <w:tcW w:w="421" w:type="pct"/>
            <w:vAlign w:val="center"/>
          </w:tcPr>
          <w:p>
            <w:pPr>
              <w:widowControl/>
              <w:spacing w:line="360" w:lineRule="auto"/>
              <w:jc w:val="center"/>
              <w:outlineLvl w:val="1"/>
              <w:rPr>
                <w:rFonts w:ascii="宋体" w:hAnsi="宋体" w:cs="宋体"/>
                <w:sz w:val="24"/>
              </w:rPr>
            </w:pPr>
            <w:r>
              <w:rPr>
                <w:rFonts w:hint="eastAsia" w:ascii="宋体" w:hAnsi="宋体" w:cs="宋体"/>
                <w:sz w:val="24"/>
              </w:rPr>
              <w:t>单位</w:t>
            </w:r>
          </w:p>
        </w:tc>
        <w:tc>
          <w:tcPr>
            <w:tcW w:w="421" w:type="pct"/>
            <w:vAlign w:val="center"/>
          </w:tcPr>
          <w:p>
            <w:pPr>
              <w:widowControl/>
              <w:spacing w:line="360" w:lineRule="auto"/>
              <w:jc w:val="center"/>
              <w:outlineLvl w:val="1"/>
              <w:rPr>
                <w:rFonts w:ascii="宋体" w:hAnsi="宋体" w:cs="宋体"/>
                <w:sz w:val="24"/>
              </w:rPr>
            </w:pPr>
            <w:r>
              <w:rPr>
                <w:rFonts w:hint="eastAsia" w:ascii="宋体" w:hAnsi="宋体" w:cs="宋体"/>
                <w:sz w:val="24"/>
              </w:rPr>
              <w:t>数量</w:t>
            </w:r>
          </w:p>
        </w:tc>
        <w:tc>
          <w:tcPr>
            <w:tcW w:w="1134" w:type="pct"/>
            <w:vAlign w:val="center"/>
          </w:tcPr>
          <w:p>
            <w:pPr>
              <w:widowControl/>
              <w:spacing w:line="360" w:lineRule="auto"/>
              <w:jc w:val="center"/>
              <w:outlineLvl w:val="1"/>
              <w:rPr>
                <w:rFonts w:hAnsi="宋体"/>
                <w:color w:val="auto"/>
              </w:rPr>
            </w:pPr>
            <w:r>
              <w:rPr>
                <w:rFonts w:hint="eastAsia" w:ascii="宋体" w:hAnsi="宋体" w:cs="宋体"/>
                <w:sz w:val="24"/>
              </w:rPr>
              <w:t>投标总价（元）</w:t>
            </w:r>
          </w:p>
        </w:tc>
        <w:tc>
          <w:tcPr>
            <w:tcW w:w="711" w:type="pct"/>
            <w:vAlign w:val="center"/>
          </w:tcPr>
          <w:p>
            <w:pPr>
              <w:widowControl/>
              <w:spacing w:line="360" w:lineRule="auto"/>
              <w:jc w:val="center"/>
              <w:outlineLvl w:val="1"/>
              <w:rPr>
                <w:rFonts w:ascii="宋体" w:hAnsi="宋体" w:cs="宋体"/>
                <w:sz w:val="24"/>
              </w:rPr>
            </w:pPr>
            <w:r>
              <w:rPr>
                <w:rFonts w:hint="eastAsia" w:ascii="宋体" w:hAnsi="宋体" w:cs="宋体"/>
                <w:sz w:val="24"/>
              </w:rPr>
              <w:t>服务期限</w:t>
            </w:r>
          </w:p>
        </w:tc>
        <w:tc>
          <w:tcPr>
            <w:tcW w:w="475" w:type="pct"/>
            <w:vAlign w:val="center"/>
          </w:tcPr>
          <w:p>
            <w:pPr>
              <w:widowControl/>
              <w:spacing w:line="360" w:lineRule="auto"/>
              <w:ind w:left="-8" w:leftChars="-4" w:firstLine="84" w:firstLineChars="35"/>
              <w:jc w:val="center"/>
              <w:outlineLvl w:val="1"/>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18" w:type="pct"/>
          </w:tcPr>
          <w:p>
            <w:pPr>
              <w:widowControl/>
              <w:spacing w:line="360" w:lineRule="auto"/>
              <w:ind w:firstLine="470" w:firstLineChars="196"/>
              <w:jc w:val="left"/>
              <w:outlineLvl w:val="1"/>
              <w:rPr>
                <w:rFonts w:ascii="宋体" w:hAnsi="宋体" w:cs="宋体"/>
                <w:sz w:val="24"/>
              </w:rPr>
            </w:pPr>
          </w:p>
        </w:tc>
        <w:tc>
          <w:tcPr>
            <w:tcW w:w="708" w:type="pct"/>
            <w:vAlign w:val="center"/>
          </w:tcPr>
          <w:p>
            <w:pPr>
              <w:widowControl/>
              <w:spacing w:line="360" w:lineRule="auto"/>
              <w:ind w:firstLine="470" w:firstLineChars="196"/>
              <w:jc w:val="left"/>
              <w:outlineLvl w:val="1"/>
              <w:rPr>
                <w:rFonts w:ascii="宋体" w:hAnsi="宋体" w:cs="宋体"/>
                <w:sz w:val="24"/>
              </w:rPr>
            </w:pPr>
          </w:p>
        </w:tc>
        <w:tc>
          <w:tcPr>
            <w:tcW w:w="710" w:type="pct"/>
            <w:vAlign w:val="center"/>
          </w:tcPr>
          <w:p>
            <w:pPr>
              <w:widowControl/>
              <w:spacing w:line="360" w:lineRule="auto"/>
              <w:ind w:firstLine="470" w:firstLineChars="196"/>
              <w:jc w:val="left"/>
              <w:outlineLvl w:val="1"/>
              <w:rPr>
                <w:rFonts w:ascii="宋体" w:hAnsi="宋体" w:cs="宋体"/>
                <w:sz w:val="24"/>
              </w:rPr>
            </w:pPr>
          </w:p>
        </w:tc>
        <w:tc>
          <w:tcPr>
            <w:tcW w:w="421" w:type="pct"/>
            <w:vAlign w:val="center"/>
          </w:tcPr>
          <w:p>
            <w:pPr>
              <w:widowControl/>
              <w:spacing w:line="360" w:lineRule="auto"/>
              <w:ind w:firstLine="470" w:firstLineChars="196"/>
              <w:jc w:val="left"/>
              <w:outlineLvl w:val="1"/>
              <w:rPr>
                <w:rFonts w:ascii="宋体" w:hAnsi="宋体" w:cs="宋体"/>
                <w:sz w:val="24"/>
              </w:rPr>
            </w:pPr>
          </w:p>
        </w:tc>
        <w:tc>
          <w:tcPr>
            <w:tcW w:w="421" w:type="pct"/>
            <w:vAlign w:val="center"/>
          </w:tcPr>
          <w:p>
            <w:pPr>
              <w:widowControl/>
              <w:spacing w:line="360" w:lineRule="auto"/>
              <w:ind w:firstLine="470" w:firstLineChars="196"/>
              <w:jc w:val="left"/>
              <w:outlineLvl w:val="1"/>
              <w:rPr>
                <w:rFonts w:ascii="宋体" w:hAnsi="宋体" w:cs="宋体"/>
                <w:sz w:val="24"/>
              </w:rPr>
            </w:pPr>
          </w:p>
        </w:tc>
        <w:tc>
          <w:tcPr>
            <w:tcW w:w="1134" w:type="pct"/>
            <w:vAlign w:val="center"/>
          </w:tcPr>
          <w:p>
            <w:pPr>
              <w:widowControl/>
              <w:spacing w:line="360" w:lineRule="auto"/>
              <w:ind w:firstLine="470" w:firstLineChars="196"/>
              <w:jc w:val="left"/>
              <w:outlineLvl w:val="1"/>
              <w:rPr>
                <w:rFonts w:ascii="宋体" w:hAnsi="宋体" w:cs="宋体"/>
                <w:sz w:val="24"/>
              </w:rPr>
            </w:pPr>
          </w:p>
        </w:tc>
        <w:tc>
          <w:tcPr>
            <w:tcW w:w="711" w:type="pct"/>
            <w:vAlign w:val="center"/>
          </w:tcPr>
          <w:p>
            <w:pPr>
              <w:widowControl/>
              <w:spacing w:line="360" w:lineRule="auto"/>
              <w:ind w:firstLine="470" w:firstLineChars="196"/>
              <w:jc w:val="left"/>
              <w:outlineLvl w:val="1"/>
              <w:rPr>
                <w:rFonts w:ascii="宋体" w:hAnsi="宋体" w:cs="宋体"/>
                <w:sz w:val="24"/>
              </w:rPr>
            </w:pPr>
          </w:p>
        </w:tc>
        <w:tc>
          <w:tcPr>
            <w:tcW w:w="475" w:type="pct"/>
            <w:vAlign w:val="center"/>
          </w:tcPr>
          <w:p>
            <w:pPr>
              <w:widowControl/>
              <w:spacing w:line="360" w:lineRule="auto"/>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18" w:type="pct"/>
          </w:tcPr>
          <w:p>
            <w:pPr>
              <w:widowControl/>
              <w:spacing w:line="360" w:lineRule="auto"/>
              <w:ind w:firstLine="470" w:firstLineChars="196"/>
              <w:jc w:val="left"/>
              <w:outlineLvl w:val="1"/>
              <w:rPr>
                <w:rFonts w:ascii="宋体" w:hAnsi="宋体" w:cs="宋体"/>
                <w:sz w:val="24"/>
              </w:rPr>
            </w:pPr>
          </w:p>
        </w:tc>
        <w:tc>
          <w:tcPr>
            <w:tcW w:w="708" w:type="pct"/>
            <w:vAlign w:val="center"/>
          </w:tcPr>
          <w:p>
            <w:pPr>
              <w:widowControl/>
              <w:spacing w:line="360" w:lineRule="auto"/>
              <w:ind w:firstLine="470" w:firstLineChars="196"/>
              <w:jc w:val="left"/>
              <w:outlineLvl w:val="1"/>
              <w:rPr>
                <w:rFonts w:ascii="宋体" w:hAnsi="宋体" w:cs="宋体"/>
                <w:sz w:val="24"/>
              </w:rPr>
            </w:pPr>
          </w:p>
        </w:tc>
        <w:tc>
          <w:tcPr>
            <w:tcW w:w="710" w:type="pct"/>
            <w:vAlign w:val="center"/>
          </w:tcPr>
          <w:p>
            <w:pPr>
              <w:widowControl/>
              <w:spacing w:line="360" w:lineRule="auto"/>
              <w:ind w:firstLine="470" w:firstLineChars="196"/>
              <w:jc w:val="left"/>
              <w:outlineLvl w:val="1"/>
              <w:rPr>
                <w:rFonts w:ascii="宋体" w:hAnsi="宋体" w:cs="宋体"/>
                <w:sz w:val="24"/>
              </w:rPr>
            </w:pPr>
          </w:p>
        </w:tc>
        <w:tc>
          <w:tcPr>
            <w:tcW w:w="421" w:type="pct"/>
            <w:vAlign w:val="center"/>
          </w:tcPr>
          <w:p>
            <w:pPr>
              <w:widowControl/>
              <w:spacing w:line="360" w:lineRule="auto"/>
              <w:ind w:firstLine="470" w:firstLineChars="196"/>
              <w:jc w:val="left"/>
              <w:outlineLvl w:val="1"/>
              <w:rPr>
                <w:rFonts w:ascii="宋体" w:hAnsi="宋体" w:cs="宋体"/>
                <w:sz w:val="24"/>
              </w:rPr>
            </w:pPr>
          </w:p>
        </w:tc>
        <w:tc>
          <w:tcPr>
            <w:tcW w:w="421" w:type="pct"/>
            <w:vAlign w:val="center"/>
          </w:tcPr>
          <w:p>
            <w:pPr>
              <w:widowControl/>
              <w:spacing w:line="360" w:lineRule="auto"/>
              <w:ind w:firstLine="470" w:firstLineChars="196"/>
              <w:jc w:val="left"/>
              <w:outlineLvl w:val="1"/>
              <w:rPr>
                <w:rFonts w:ascii="宋体" w:hAnsi="宋体" w:cs="宋体"/>
                <w:sz w:val="24"/>
              </w:rPr>
            </w:pPr>
          </w:p>
        </w:tc>
        <w:tc>
          <w:tcPr>
            <w:tcW w:w="1134" w:type="pct"/>
            <w:vAlign w:val="center"/>
          </w:tcPr>
          <w:p>
            <w:pPr>
              <w:widowControl/>
              <w:spacing w:line="360" w:lineRule="auto"/>
              <w:ind w:firstLine="470" w:firstLineChars="196"/>
              <w:jc w:val="left"/>
              <w:outlineLvl w:val="1"/>
              <w:rPr>
                <w:rFonts w:ascii="宋体" w:hAnsi="宋体" w:cs="宋体"/>
                <w:sz w:val="24"/>
              </w:rPr>
            </w:pPr>
          </w:p>
        </w:tc>
        <w:tc>
          <w:tcPr>
            <w:tcW w:w="711" w:type="pct"/>
            <w:vAlign w:val="center"/>
          </w:tcPr>
          <w:p>
            <w:pPr>
              <w:widowControl/>
              <w:spacing w:line="360" w:lineRule="auto"/>
              <w:ind w:firstLine="470" w:firstLineChars="196"/>
              <w:jc w:val="left"/>
              <w:outlineLvl w:val="1"/>
              <w:rPr>
                <w:rFonts w:ascii="宋体" w:hAnsi="宋体" w:cs="宋体"/>
                <w:sz w:val="24"/>
              </w:rPr>
            </w:pPr>
          </w:p>
        </w:tc>
        <w:tc>
          <w:tcPr>
            <w:tcW w:w="475" w:type="pct"/>
            <w:vAlign w:val="center"/>
          </w:tcPr>
          <w:p>
            <w:pPr>
              <w:widowControl/>
              <w:spacing w:line="360" w:lineRule="auto"/>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18" w:type="pct"/>
            <w:tcBorders>
              <w:right w:val="single" w:color="auto" w:sz="4" w:space="0"/>
            </w:tcBorders>
          </w:tcPr>
          <w:p>
            <w:pPr>
              <w:widowControl/>
              <w:spacing w:line="360" w:lineRule="auto"/>
              <w:ind w:firstLine="470" w:firstLineChars="196"/>
              <w:jc w:val="left"/>
              <w:outlineLvl w:val="1"/>
              <w:rPr>
                <w:rFonts w:ascii="宋体" w:hAnsi="宋体" w:cs="宋体"/>
                <w:sz w:val="24"/>
              </w:rPr>
            </w:pPr>
          </w:p>
        </w:tc>
        <w:tc>
          <w:tcPr>
            <w:tcW w:w="708" w:type="pct"/>
            <w:tcBorders>
              <w:left w:val="single" w:color="auto" w:sz="4" w:space="0"/>
            </w:tcBorders>
            <w:vAlign w:val="center"/>
          </w:tcPr>
          <w:p>
            <w:pPr>
              <w:widowControl/>
              <w:spacing w:line="360" w:lineRule="auto"/>
              <w:ind w:firstLine="470" w:firstLineChars="196"/>
              <w:jc w:val="left"/>
              <w:outlineLvl w:val="1"/>
              <w:rPr>
                <w:rFonts w:ascii="宋体" w:hAnsi="宋体" w:cs="宋体"/>
                <w:sz w:val="24"/>
              </w:rPr>
            </w:pPr>
          </w:p>
        </w:tc>
        <w:tc>
          <w:tcPr>
            <w:tcW w:w="710" w:type="pct"/>
            <w:vAlign w:val="center"/>
          </w:tcPr>
          <w:p>
            <w:pPr>
              <w:widowControl/>
              <w:spacing w:line="360" w:lineRule="auto"/>
              <w:ind w:firstLine="470" w:firstLineChars="196"/>
              <w:jc w:val="left"/>
              <w:outlineLvl w:val="1"/>
              <w:rPr>
                <w:rFonts w:ascii="宋体" w:hAnsi="宋体" w:cs="宋体"/>
                <w:sz w:val="24"/>
              </w:rPr>
            </w:pPr>
          </w:p>
        </w:tc>
        <w:tc>
          <w:tcPr>
            <w:tcW w:w="421" w:type="pct"/>
            <w:vAlign w:val="center"/>
          </w:tcPr>
          <w:p>
            <w:pPr>
              <w:widowControl/>
              <w:spacing w:line="360" w:lineRule="auto"/>
              <w:ind w:firstLine="470" w:firstLineChars="196"/>
              <w:jc w:val="left"/>
              <w:outlineLvl w:val="1"/>
              <w:rPr>
                <w:rFonts w:ascii="宋体" w:hAnsi="宋体" w:cs="宋体"/>
                <w:sz w:val="24"/>
              </w:rPr>
            </w:pPr>
          </w:p>
        </w:tc>
        <w:tc>
          <w:tcPr>
            <w:tcW w:w="421" w:type="pct"/>
            <w:vAlign w:val="center"/>
          </w:tcPr>
          <w:p>
            <w:pPr>
              <w:widowControl/>
              <w:spacing w:line="360" w:lineRule="auto"/>
              <w:ind w:firstLine="470" w:firstLineChars="196"/>
              <w:jc w:val="left"/>
              <w:outlineLvl w:val="1"/>
              <w:rPr>
                <w:rFonts w:ascii="宋体" w:hAnsi="宋体" w:cs="宋体"/>
                <w:sz w:val="24"/>
              </w:rPr>
            </w:pPr>
          </w:p>
        </w:tc>
        <w:tc>
          <w:tcPr>
            <w:tcW w:w="1134" w:type="pct"/>
            <w:vAlign w:val="center"/>
          </w:tcPr>
          <w:p>
            <w:pPr>
              <w:widowControl/>
              <w:spacing w:line="360" w:lineRule="auto"/>
              <w:ind w:firstLine="470" w:firstLineChars="196"/>
              <w:jc w:val="left"/>
              <w:outlineLvl w:val="1"/>
              <w:rPr>
                <w:rFonts w:ascii="宋体" w:hAnsi="宋体" w:cs="宋体"/>
                <w:sz w:val="24"/>
              </w:rPr>
            </w:pPr>
          </w:p>
        </w:tc>
        <w:tc>
          <w:tcPr>
            <w:tcW w:w="711" w:type="pct"/>
            <w:vAlign w:val="center"/>
          </w:tcPr>
          <w:p>
            <w:pPr>
              <w:widowControl/>
              <w:spacing w:line="360" w:lineRule="auto"/>
              <w:ind w:firstLine="470" w:firstLineChars="196"/>
              <w:jc w:val="left"/>
              <w:outlineLvl w:val="1"/>
              <w:rPr>
                <w:rFonts w:ascii="宋体" w:hAnsi="宋体" w:cs="宋体"/>
                <w:sz w:val="24"/>
              </w:rPr>
            </w:pPr>
          </w:p>
        </w:tc>
        <w:tc>
          <w:tcPr>
            <w:tcW w:w="475" w:type="pct"/>
            <w:vAlign w:val="center"/>
          </w:tcPr>
          <w:p>
            <w:pPr>
              <w:widowControl/>
              <w:spacing w:line="360" w:lineRule="auto"/>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00" w:type="pct"/>
            <w:gridSpan w:val="8"/>
            <w:tcBorders>
              <w:bottom w:val="single" w:color="auto" w:sz="4" w:space="0"/>
            </w:tcBorders>
          </w:tcPr>
          <w:p>
            <w:pPr>
              <w:widowControl/>
              <w:spacing w:line="360" w:lineRule="auto"/>
              <w:jc w:val="left"/>
              <w:outlineLvl w:val="1"/>
              <w:rPr>
                <w:rFonts w:ascii="宋体" w:hAnsi="宋体" w:cs="宋体"/>
                <w:sz w:val="24"/>
              </w:rPr>
            </w:pPr>
            <w:r>
              <w:rPr>
                <w:rFonts w:hint="eastAsia" w:ascii="宋体" w:hAnsi="宋体" w:cs="宋体"/>
                <w:sz w:val="24"/>
              </w:rPr>
              <w:t>报价合计（元）：          大写：</w:t>
            </w:r>
          </w:p>
        </w:tc>
      </w:tr>
    </w:tbl>
    <w:p>
      <w:pPr>
        <w:widowControl/>
        <w:spacing w:line="360" w:lineRule="auto"/>
        <w:jc w:val="left"/>
        <w:rPr>
          <w:rFonts w:ascii="宋体" w:hAnsi="宋体" w:cs="宋体"/>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 xml:space="preserve">注：1. 报价应是最终用户验收合格后的总价，包括设备运输、保险、代理、安装调试、培训、税费、系统集成费用和招标文件规定的其它费用。 </w:t>
      </w:r>
    </w:p>
    <w:p>
      <w:pPr>
        <w:widowControl/>
        <w:spacing w:line="360" w:lineRule="auto"/>
        <w:ind w:firstLine="470" w:firstLineChars="196"/>
        <w:jc w:val="left"/>
        <w:rPr>
          <w:rFonts w:ascii="宋体" w:hAnsi="宋体" w:cs="宋体"/>
          <w:sz w:val="24"/>
        </w:rPr>
      </w:pPr>
      <w:r>
        <w:rPr>
          <w:rFonts w:hint="eastAsia" w:ascii="宋体" w:hAnsi="宋体" w:cs="宋体"/>
          <w:sz w:val="24"/>
        </w:rPr>
        <w:t>2.“开标一览表”为多页的，每页需由法定代表人或授权代表签字并盖投标人印章。</w:t>
      </w:r>
    </w:p>
    <w:p>
      <w:pPr>
        <w:spacing w:line="360" w:lineRule="auto"/>
        <w:ind w:firstLine="480" w:firstLineChars="200"/>
        <w:rPr>
          <w:rFonts w:ascii="宋体" w:hAnsi="宋体" w:cs="宋体"/>
          <w:sz w:val="24"/>
        </w:rPr>
      </w:pPr>
      <w:r>
        <w:rPr>
          <w:rFonts w:hint="eastAsia" w:ascii="宋体" w:hAnsi="宋体" w:cs="宋体"/>
          <w:sz w:val="24"/>
        </w:rPr>
        <w:t>3.“开标一览表”以包为单位填写，除了单独密封递交外，投标文件（正副本）也应当提供，如有遗漏，将视为无效投标。</w:t>
      </w: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法定代表人或授权代表（签字）：</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b/>
          <w:sz w:val="24"/>
        </w:rPr>
        <w:sectPr>
          <w:headerReference r:id="rId3" w:type="default"/>
          <w:footerReference r:id="rId4" w:type="default"/>
          <w:pgSz w:w="11906" w:h="16838"/>
          <w:pgMar w:top="1440" w:right="1474" w:bottom="1440" w:left="1474" w:header="851" w:footer="992" w:gutter="0"/>
          <w:cols w:space="720" w:num="1"/>
          <w:docGrid w:linePitch="312" w:charSpace="0"/>
        </w:sectPr>
      </w:pPr>
      <w:r>
        <w:rPr>
          <w:rFonts w:hint="eastAsia" w:ascii="宋体" w:hAnsi="宋体" w:cs="宋体"/>
          <w:sz w:val="24"/>
        </w:rPr>
        <w:t>投标日期：</w:t>
      </w:r>
      <w:r>
        <w:rPr>
          <w:rFonts w:hint="eastAsia" w:ascii="宋体" w:hAnsi="宋体" w:cs="宋体"/>
          <w:sz w:val="24"/>
          <w:u w:val="single"/>
        </w:rPr>
        <w:t xml:space="preserve">                </w:t>
      </w:r>
      <w:r>
        <w:rPr>
          <w:rFonts w:hint="eastAsia" w:ascii="宋体" w:hAnsi="宋体" w:cs="宋体"/>
          <w:sz w:val="24"/>
        </w:rPr>
        <w:t>。</w:t>
      </w:r>
    </w:p>
    <w:p>
      <w:pPr>
        <w:widowControl/>
        <w:spacing w:line="360" w:lineRule="atLeast"/>
        <w:jc w:val="center"/>
        <w:outlineLvl w:val="1"/>
        <w:rPr>
          <w:rFonts w:ascii="宋体" w:hAnsi="宋体" w:cs="宋体"/>
          <w:b/>
          <w:sz w:val="32"/>
          <w:szCs w:val="32"/>
        </w:rPr>
      </w:pPr>
      <w:bookmarkStart w:id="126" w:name="_Toc217446086"/>
      <w:r>
        <w:rPr>
          <w:rFonts w:hint="eastAsia" w:ascii="宋体" w:hAnsi="宋体" w:cs="宋体"/>
          <w:b/>
          <w:sz w:val="32"/>
          <w:szCs w:val="32"/>
        </w:rPr>
        <w:t>四、分项报价明细表</w:t>
      </w:r>
      <w:bookmarkEnd w:id="126"/>
    </w:p>
    <w:p>
      <w:pPr>
        <w:widowControl/>
        <w:spacing w:line="360" w:lineRule="atLeast"/>
        <w:ind w:firstLine="472" w:firstLineChars="196"/>
        <w:jc w:val="left"/>
        <w:rPr>
          <w:rFonts w:ascii="宋体" w:hAnsi="宋体" w:cs="宋体"/>
          <w:b/>
          <w:sz w:val="24"/>
        </w:rPr>
      </w:pP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482"/>
        <w:gridCol w:w="877"/>
        <w:gridCol w:w="877"/>
        <w:gridCol w:w="1784"/>
        <w:gridCol w:w="178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exact"/>
          <w:jc w:val="center"/>
        </w:trPr>
        <w:tc>
          <w:tcPr>
            <w:tcW w:w="808" w:type="pct"/>
            <w:vAlign w:val="center"/>
          </w:tcPr>
          <w:p>
            <w:pPr>
              <w:widowControl/>
              <w:spacing w:line="360" w:lineRule="auto"/>
              <w:jc w:val="center"/>
              <w:outlineLvl w:val="1"/>
              <w:rPr>
                <w:rFonts w:ascii="宋体" w:hAnsi="宋体" w:cs="宋体"/>
                <w:sz w:val="24"/>
              </w:rPr>
            </w:pPr>
            <w:r>
              <w:rPr>
                <w:rFonts w:hint="eastAsia" w:ascii="宋体" w:hAnsi="宋体" w:cs="宋体"/>
                <w:sz w:val="24"/>
              </w:rPr>
              <w:t>服务名称</w:t>
            </w:r>
          </w:p>
        </w:tc>
        <w:tc>
          <w:tcPr>
            <w:tcW w:w="808" w:type="pct"/>
            <w:vAlign w:val="center"/>
          </w:tcPr>
          <w:p>
            <w:pPr>
              <w:widowControl/>
              <w:spacing w:line="360" w:lineRule="auto"/>
              <w:jc w:val="center"/>
              <w:outlineLvl w:val="1"/>
              <w:rPr>
                <w:rFonts w:ascii="宋体" w:hAnsi="宋体" w:cs="宋体"/>
                <w:sz w:val="24"/>
              </w:rPr>
            </w:pPr>
            <w:r>
              <w:rPr>
                <w:rFonts w:hint="eastAsia" w:ascii="宋体" w:hAnsi="宋体" w:cs="宋体"/>
                <w:sz w:val="24"/>
              </w:rPr>
              <w:t>服务内容</w:t>
            </w:r>
          </w:p>
        </w:tc>
        <w:tc>
          <w:tcPr>
            <w:tcW w:w="478" w:type="pct"/>
            <w:vAlign w:val="center"/>
          </w:tcPr>
          <w:p>
            <w:pPr>
              <w:widowControl/>
              <w:spacing w:line="360" w:lineRule="auto"/>
              <w:jc w:val="center"/>
              <w:outlineLvl w:val="1"/>
              <w:rPr>
                <w:rFonts w:ascii="宋体" w:hAnsi="宋体" w:cs="宋体"/>
                <w:sz w:val="24"/>
              </w:rPr>
            </w:pPr>
            <w:r>
              <w:rPr>
                <w:rFonts w:hint="eastAsia" w:ascii="宋体" w:hAnsi="宋体" w:cs="宋体"/>
                <w:sz w:val="24"/>
              </w:rPr>
              <w:t>单位</w:t>
            </w:r>
          </w:p>
        </w:tc>
        <w:tc>
          <w:tcPr>
            <w:tcW w:w="478" w:type="pct"/>
            <w:vAlign w:val="center"/>
          </w:tcPr>
          <w:p>
            <w:pPr>
              <w:widowControl/>
              <w:spacing w:line="360" w:lineRule="auto"/>
              <w:jc w:val="center"/>
              <w:outlineLvl w:val="1"/>
              <w:rPr>
                <w:rFonts w:ascii="宋体" w:hAnsi="宋体" w:cs="宋体"/>
                <w:sz w:val="24"/>
              </w:rPr>
            </w:pPr>
            <w:r>
              <w:rPr>
                <w:rFonts w:hint="eastAsia" w:ascii="宋体" w:hAnsi="宋体" w:cs="宋体"/>
                <w:sz w:val="24"/>
              </w:rPr>
              <w:t>数量</w:t>
            </w:r>
          </w:p>
        </w:tc>
        <w:tc>
          <w:tcPr>
            <w:tcW w:w="973" w:type="pct"/>
            <w:vAlign w:val="center"/>
          </w:tcPr>
          <w:p>
            <w:pPr>
              <w:widowControl/>
              <w:spacing w:line="360" w:lineRule="auto"/>
              <w:jc w:val="center"/>
              <w:outlineLvl w:val="1"/>
              <w:rPr>
                <w:rFonts w:ascii="宋体" w:hAnsi="宋体" w:cs="宋体"/>
                <w:sz w:val="24"/>
              </w:rPr>
            </w:pPr>
            <w:r>
              <w:rPr>
                <w:rFonts w:hint="eastAsia" w:ascii="宋体" w:hAnsi="宋体" w:cs="宋体"/>
                <w:sz w:val="24"/>
              </w:rPr>
              <w:t>单价（元）</w:t>
            </w:r>
          </w:p>
        </w:tc>
        <w:tc>
          <w:tcPr>
            <w:tcW w:w="973" w:type="pct"/>
            <w:vAlign w:val="center"/>
          </w:tcPr>
          <w:p>
            <w:pPr>
              <w:widowControl/>
              <w:spacing w:line="360" w:lineRule="auto"/>
              <w:jc w:val="center"/>
              <w:outlineLvl w:val="1"/>
              <w:rPr>
                <w:rFonts w:ascii="宋体" w:hAnsi="宋体" w:cs="宋体"/>
                <w:sz w:val="24"/>
              </w:rPr>
            </w:pPr>
            <w:r>
              <w:rPr>
                <w:rFonts w:hint="eastAsia" w:ascii="宋体" w:hAnsi="宋体" w:cs="宋体"/>
                <w:sz w:val="24"/>
              </w:rPr>
              <w:t>总价（元）</w:t>
            </w:r>
          </w:p>
        </w:tc>
        <w:tc>
          <w:tcPr>
            <w:tcW w:w="478" w:type="pct"/>
            <w:vAlign w:val="center"/>
          </w:tcPr>
          <w:p>
            <w:pPr>
              <w:widowControl/>
              <w:spacing w:line="360" w:lineRule="auto"/>
              <w:jc w:val="center"/>
              <w:outlineLvl w:val="1"/>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8" w:type="pct"/>
            <w:vAlign w:val="center"/>
          </w:tcPr>
          <w:p>
            <w:pPr>
              <w:widowControl/>
              <w:spacing w:line="360" w:lineRule="auto"/>
              <w:ind w:firstLine="470" w:firstLineChars="196"/>
              <w:jc w:val="left"/>
              <w:outlineLvl w:val="1"/>
              <w:rPr>
                <w:rFonts w:ascii="宋体" w:hAnsi="宋体" w:cs="宋体"/>
                <w:sz w:val="24"/>
              </w:rPr>
            </w:pPr>
          </w:p>
        </w:tc>
        <w:tc>
          <w:tcPr>
            <w:tcW w:w="808"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c>
          <w:tcPr>
            <w:tcW w:w="973" w:type="pct"/>
            <w:vAlign w:val="center"/>
          </w:tcPr>
          <w:p>
            <w:pPr>
              <w:widowControl/>
              <w:spacing w:line="360" w:lineRule="auto"/>
              <w:ind w:firstLine="470" w:firstLineChars="196"/>
              <w:jc w:val="left"/>
              <w:outlineLvl w:val="1"/>
              <w:rPr>
                <w:rFonts w:ascii="宋体" w:hAnsi="宋体" w:cs="宋体"/>
                <w:sz w:val="24"/>
              </w:rPr>
            </w:pPr>
          </w:p>
        </w:tc>
        <w:tc>
          <w:tcPr>
            <w:tcW w:w="973"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8" w:type="pct"/>
            <w:vAlign w:val="center"/>
          </w:tcPr>
          <w:p>
            <w:pPr>
              <w:widowControl/>
              <w:spacing w:line="360" w:lineRule="auto"/>
              <w:ind w:firstLine="470" w:firstLineChars="196"/>
              <w:jc w:val="left"/>
              <w:outlineLvl w:val="1"/>
              <w:rPr>
                <w:rFonts w:ascii="宋体" w:hAnsi="宋体" w:cs="宋体"/>
                <w:sz w:val="24"/>
              </w:rPr>
            </w:pPr>
          </w:p>
        </w:tc>
        <w:tc>
          <w:tcPr>
            <w:tcW w:w="808"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c>
          <w:tcPr>
            <w:tcW w:w="973" w:type="pct"/>
            <w:vAlign w:val="center"/>
          </w:tcPr>
          <w:p>
            <w:pPr>
              <w:widowControl/>
              <w:spacing w:line="360" w:lineRule="auto"/>
              <w:ind w:firstLine="470" w:firstLineChars="196"/>
              <w:jc w:val="left"/>
              <w:outlineLvl w:val="1"/>
              <w:rPr>
                <w:rFonts w:ascii="宋体" w:hAnsi="宋体" w:cs="宋体"/>
                <w:sz w:val="24"/>
              </w:rPr>
            </w:pPr>
          </w:p>
        </w:tc>
        <w:tc>
          <w:tcPr>
            <w:tcW w:w="973"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8" w:type="pct"/>
            <w:vAlign w:val="center"/>
          </w:tcPr>
          <w:p>
            <w:pPr>
              <w:widowControl/>
              <w:spacing w:line="360" w:lineRule="auto"/>
              <w:ind w:firstLine="470" w:firstLineChars="196"/>
              <w:jc w:val="left"/>
              <w:outlineLvl w:val="1"/>
              <w:rPr>
                <w:rFonts w:ascii="宋体" w:hAnsi="宋体" w:cs="宋体"/>
                <w:sz w:val="24"/>
              </w:rPr>
            </w:pPr>
          </w:p>
        </w:tc>
        <w:tc>
          <w:tcPr>
            <w:tcW w:w="808"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c>
          <w:tcPr>
            <w:tcW w:w="973" w:type="pct"/>
            <w:vAlign w:val="center"/>
          </w:tcPr>
          <w:p>
            <w:pPr>
              <w:widowControl/>
              <w:spacing w:line="360" w:lineRule="auto"/>
              <w:ind w:firstLine="470" w:firstLineChars="196"/>
              <w:jc w:val="left"/>
              <w:outlineLvl w:val="1"/>
              <w:rPr>
                <w:rFonts w:ascii="宋体" w:hAnsi="宋体" w:cs="宋体"/>
                <w:sz w:val="24"/>
              </w:rPr>
            </w:pPr>
          </w:p>
        </w:tc>
        <w:tc>
          <w:tcPr>
            <w:tcW w:w="973"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8" w:type="pct"/>
            <w:vAlign w:val="center"/>
          </w:tcPr>
          <w:p>
            <w:pPr>
              <w:widowControl/>
              <w:spacing w:line="360" w:lineRule="auto"/>
              <w:ind w:firstLine="470" w:firstLineChars="196"/>
              <w:jc w:val="left"/>
              <w:outlineLvl w:val="1"/>
              <w:rPr>
                <w:rFonts w:ascii="宋体" w:hAnsi="宋体" w:cs="宋体"/>
                <w:sz w:val="24"/>
              </w:rPr>
            </w:pPr>
          </w:p>
        </w:tc>
        <w:tc>
          <w:tcPr>
            <w:tcW w:w="808"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c>
          <w:tcPr>
            <w:tcW w:w="973" w:type="pct"/>
            <w:vAlign w:val="center"/>
          </w:tcPr>
          <w:p>
            <w:pPr>
              <w:widowControl/>
              <w:spacing w:line="360" w:lineRule="auto"/>
              <w:ind w:firstLine="470" w:firstLineChars="196"/>
              <w:jc w:val="left"/>
              <w:outlineLvl w:val="1"/>
              <w:rPr>
                <w:rFonts w:ascii="宋体" w:hAnsi="宋体" w:cs="宋体"/>
                <w:sz w:val="24"/>
              </w:rPr>
            </w:pPr>
          </w:p>
        </w:tc>
        <w:tc>
          <w:tcPr>
            <w:tcW w:w="973"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8" w:type="pct"/>
            <w:vAlign w:val="center"/>
          </w:tcPr>
          <w:p>
            <w:pPr>
              <w:widowControl/>
              <w:spacing w:line="360" w:lineRule="auto"/>
              <w:ind w:firstLine="470" w:firstLineChars="196"/>
              <w:jc w:val="left"/>
              <w:outlineLvl w:val="1"/>
              <w:rPr>
                <w:rFonts w:ascii="宋体" w:hAnsi="宋体" w:cs="宋体"/>
                <w:sz w:val="24"/>
              </w:rPr>
            </w:pPr>
          </w:p>
        </w:tc>
        <w:tc>
          <w:tcPr>
            <w:tcW w:w="808"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c>
          <w:tcPr>
            <w:tcW w:w="973" w:type="pct"/>
            <w:vAlign w:val="center"/>
          </w:tcPr>
          <w:p>
            <w:pPr>
              <w:widowControl/>
              <w:spacing w:line="360" w:lineRule="auto"/>
              <w:ind w:firstLine="470" w:firstLineChars="196"/>
              <w:jc w:val="left"/>
              <w:outlineLvl w:val="1"/>
              <w:rPr>
                <w:rFonts w:ascii="宋体" w:hAnsi="宋体" w:cs="宋体"/>
                <w:sz w:val="24"/>
              </w:rPr>
            </w:pPr>
          </w:p>
        </w:tc>
        <w:tc>
          <w:tcPr>
            <w:tcW w:w="973"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8" w:type="pct"/>
            <w:vAlign w:val="center"/>
          </w:tcPr>
          <w:p>
            <w:pPr>
              <w:widowControl/>
              <w:spacing w:line="360" w:lineRule="auto"/>
              <w:ind w:firstLine="470" w:firstLineChars="196"/>
              <w:jc w:val="left"/>
              <w:outlineLvl w:val="1"/>
              <w:rPr>
                <w:rFonts w:ascii="宋体" w:hAnsi="宋体" w:cs="宋体"/>
                <w:sz w:val="24"/>
              </w:rPr>
            </w:pPr>
          </w:p>
        </w:tc>
        <w:tc>
          <w:tcPr>
            <w:tcW w:w="808"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c>
          <w:tcPr>
            <w:tcW w:w="973" w:type="pct"/>
            <w:vAlign w:val="center"/>
          </w:tcPr>
          <w:p>
            <w:pPr>
              <w:widowControl/>
              <w:spacing w:line="360" w:lineRule="auto"/>
              <w:ind w:firstLine="470" w:firstLineChars="196"/>
              <w:jc w:val="left"/>
              <w:outlineLvl w:val="1"/>
              <w:rPr>
                <w:rFonts w:ascii="宋体" w:hAnsi="宋体" w:cs="宋体"/>
                <w:sz w:val="24"/>
              </w:rPr>
            </w:pPr>
          </w:p>
        </w:tc>
        <w:tc>
          <w:tcPr>
            <w:tcW w:w="973" w:type="pct"/>
            <w:vAlign w:val="center"/>
          </w:tcPr>
          <w:p>
            <w:pPr>
              <w:widowControl/>
              <w:spacing w:line="360" w:lineRule="auto"/>
              <w:ind w:firstLine="470" w:firstLineChars="196"/>
              <w:jc w:val="left"/>
              <w:outlineLvl w:val="1"/>
              <w:rPr>
                <w:rFonts w:ascii="宋体" w:hAnsi="宋体" w:cs="宋体"/>
                <w:sz w:val="24"/>
              </w:rPr>
            </w:pPr>
          </w:p>
        </w:tc>
        <w:tc>
          <w:tcPr>
            <w:tcW w:w="478" w:type="pct"/>
            <w:vAlign w:val="center"/>
          </w:tcPr>
          <w:p>
            <w:pPr>
              <w:widowControl/>
              <w:spacing w:line="360" w:lineRule="auto"/>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000" w:type="pct"/>
            <w:gridSpan w:val="7"/>
            <w:tcBorders>
              <w:top w:val="single" w:color="auto" w:sz="4" w:space="0"/>
              <w:bottom w:val="single" w:color="auto" w:sz="4" w:space="0"/>
            </w:tcBorders>
            <w:vAlign w:val="center"/>
          </w:tcPr>
          <w:p>
            <w:pPr>
              <w:widowControl/>
              <w:spacing w:line="360" w:lineRule="auto"/>
              <w:ind w:firstLine="470" w:firstLineChars="196"/>
              <w:jc w:val="left"/>
              <w:outlineLvl w:val="1"/>
              <w:rPr>
                <w:rFonts w:ascii="宋体" w:hAnsi="宋体" w:cs="宋体"/>
                <w:sz w:val="24"/>
              </w:rPr>
            </w:pPr>
            <w:r>
              <w:rPr>
                <w:rFonts w:hint="eastAsia" w:ascii="宋体" w:hAnsi="宋体" w:cs="宋体"/>
                <w:sz w:val="24"/>
              </w:rPr>
              <w:t>分项报价合计（元）：         大写：</w:t>
            </w:r>
          </w:p>
        </w:tc>
      </w:tr>
    </w:tbl>
    <w:p>
      <w:pPr>
        <w:widowControl/>
        <w:spacing w:line="360" w:lineRule="auto"/>
        <w:jc w:val="left"/>
        <w:rPr>
          <w:rFonts w:ascii="宋体" w:hAnsi="宋体" w:cs="宋体"/>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注：1、投标人必须按“分项报价明细表”的格式详细报出投标总价的各个组成部分的报价。</w:t>
      </w:r>
    </w:p>
    <w:p>
      <w:pPr>
        <w:widowControl/>
        <w:spacing w:line="360" w:lineRule="auto"/>
        <w:ind w:firstLine="470" w:firstLineChars="196"/>
        <w:jc w:val="left"/>
        <w:rPr>
          <w:rFonts w:ascii="宋体" w:hAnsi="宋体" w:cs="宋体"/>
          <w:sz w:val="24"/>
        </w:rPr>
      </w:pPr>
      <w:r>
        <w:rPr>
          <w:rFonts w:hint="eastAsia" w:ascii="宋体" w:hAnsi="宋体" w:cs="宋体"/>
          <w:sz w:val="24"/>
        </w:rPr>
        <w:t xml:space="preserve">    2、“分项报价明细表”各分项报价合计应当与“开标一览表”报价合计相等。</w:t>
      </w: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bookmarkStart w:id="127" w:name="_Toc217446087"/>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法定代表人或授权代表（签字）：</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b/>
          <w:sz w:val="24"/>
        </w:rPr>
        <w:sectPr>
          <w:headerReference r:id="rId5" w:type="default"/>
          <w:footerReference r:id="rId6" w:type="default"/>
          <w:type w:val="nextColumn"/>
          <w:pgSz w:w="11906" w:h="16838"/>
          <w:pgMar w:top="1440" w:right="1474" w:bottom="1440" w:left="1474" w:header="851" w:footer="992" w:gutter="0"/>
          <w:cols w:space="720" w:num="1"/>
          <w:docGrid w:linePitch="312" w:charSpace="0"/>
        </w:sectPr>
      </w:pPr>
      <w:r>
        <w:rPr>
          <w:rFonts w:hint="eastAsia" w:ascii="宋体" w:hAnsi="宋体" w:cs="宋体"/>
          <w:sz w:val="24"/>
        </w:rPr>
        <w:t>投标日期：</w:t>
      </w:r>
      <w:r>
        <w:rPr>
          <w:rFonts w:hint="eastAsia" w:ascii="宋体" w:hAnsi="宋体" w:cs="宋体"/>
          <w:sz w:val="24"/>
          <w:u w:val="single"/>
        </w:rPr>
        <w:t xml:space="preserve">                </w:t>
      </w:r>
      <w:r>
        <w:rPr>
          <w:rFonts w:hint="eastAsia" w:ascii="宋体" w:hAnsi="宋体" w:cs="宋体"/>
          <w:sz w:val="24"/>
        </w:rPr>
        <w:t>。</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五、商务应答表</w:t>
      </w:r>
      <w:bookmarkEnd w:id="127"/>
    </w:p>
    <w:p>
      <w:pPr>
        <w:pStyle w:val="2"/>
      </w:pP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3988"/>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52" w:type="pct"/>
            <w:vAlign w:val="center"/>
          </w:tcPr>
          <w:p>
            <w:pPr>
              <w:widowControl/>
              <w:spacing w:line="360" w:lineRule="auto"/>
              <w:jc w:val="center"/>
              <w:outlineLvl w:val="1"/>
              <w:rPr>
                <w:rFonts w:ascii="宋体" w:hAnsi="宋体" w:cs="宋体"/>
                <w:sz w:val="24"/>
              </w:rPr>
            </w:pPr>
            <w:r>
              <w:rPr>
                <w:rFonts w:hint="eastAsia" w:ascii="宋体" w:hAnsi="宋体" w:cs="宋体"/>
                <w:sz w:val="24"/>
              </w:rPr>
              <w:t>序号</w:t>
            </w:r>
          </w:p>
        </w:tc>
        <w:tc>
          <w:tcPr>
            <w:tcW w:w="2173" w:type="pct"/>
            <w:vAlign w:val="center"/>
          </w:tcPr>
          <w:p>
            <w:pPr>
              <w:widowControl/>
              <w:spacing w:line="360" w:lineRule="auto"/>
              <w:jc w:val="center"/>
              <w:outlineLvl w:val="1"/>
              <w:rPr>
                <w:rFonts w:ascii="宋体" w:hAnsi="宋体" w:cs="宋体"/>
                <w:sz w:val="24"/>
              </w:rPr>
            </w:pPr>
            <w:r>
              <w:rPr>
                <w:rFonts w:hint="eastAsia" w:ascii="宋体" w:hAnsi="宋体" w:cs="宋体"/>
                <w:sz w:val="24"/>
              </w:rPr>
              <w:t>招标要求</w:t>
            </w:r>
          </w:p>
        </w:tc>
        <w:tc>
          <w:tcPr>
            <w:tcW w:w="2173" w:type="pct"/>
            <w:vAlign w:val="center"/>
          </w:tcPr>
          <w:p>
            <w:pPr>
              <w:widowControl/>
              <w:spacing w:line="360" w:lineRule="auto"/>
              <w:ind w:firstLine="470" w:firstLineChars="196"/>
              <w:jc w:val="center"/>
              <w:outlineLvl w:val="1"/>
              <w:rPr>
                <w:rFonts w:ascii="宋体" w:hAnsi="宋体" w:cs="宋体"/>
                <w:sz w:val="24"/>
              </w:rPr>
            </w:pPr>
            <w:r>
              <w:rPr>
                <w:rFonts w:hint="eastAsia" w:ascii="宋体" w:hAnsi="宋体" w:cs="宋体"/>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52" w:type="pct"/>
            <w:vAlign w:val="center"/>
          </w:tcPr>
          <w:p>
            <w:pPr>
              <w:widowControl/>
              <w:spacing w:line="360" w:lineRule="auto"/>
              <w:ind w:firstLine="470" w:firstLineChars="196"/>
              <w:jc w:val="center"/>
              <w:outlineLvl w:val="1"/>
              <w:rPr>
                <w:rFonts w:ascii="宋体" w:hAnsi="宋体" w:cs="宋体"/>
                <w:sz w:val="24"/>
              </w:rPr>
            </w:pPr>
          </w:p>
        </w:tc>
        <w:tc>
          <w:tcPr>
            <w:tcW w:w="2173" w:type="pct"/>
            <w:vAlign w:val="center"/>
          </w:tcPr>
          <w:p>
            <w:pPr>
              <w:widowControl/>
              <w:spacing w:line="360" w:lineRule="auto"/>
              <w:ind w:firstLine="470" w:firstLineChars="196"/>
              <w:jc w:val="center"/>
              <w:outlineLvl w:val="1"/>
              <w:rPr>
                <w:rFonts w:ascii="宋体" w:hAnsi="宋体" w:cs="宋体"/>
                <w:sz w:val="24"/>
              </w:rPr>
            </w:pPr>
          </w:p>
        </w:tc>
        <w:tc>
          <w:tcPr>
            <w:tcW w:w="2173" w:type="pct"/>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52" w:type="pct"/>
            <w:vAlign w:val="center"/>
          </w:tcPr>
          <w:p>
            <w:pPr>
              <w:widowControl/>
              <w:spacing w:line="360" w:lineRule="auto"/>
              <w:ind w:firstLine="470" w:firstLineChars="196"/>
              <w:jc w:val="center"/>
              <w:outlineLvl w:val="1"/>
              <w:rPr>
                <w:rFonts w:ascii="宋体" w:hAnsi="宋体" w:cs="宋体"/>
                <w:sz w:val="24"/>
              </w:rPr>
            </w:pPr>
          </w:p>
        </w:tc>
        <w:tc>
          <w:tcPr>
            <w:tcW w:w="2173" w:type="pct"/>
            <w:vAlign w:val="center"/>
          </w:tcPr>
          <w:p>
            <w:pPr>
              <w:widowControl/>
              <w:spacing w:line="360" w:lineRule="auto"/>
              <w:ind w:firstLine="470" w:firstLineChars="196"/>
              <w:jc w:val="center"/>
              <w:outlineLvl w:val="1"/>
              <w:rPr>
                <w:rFonts w:ascii="宋体" w:hAnsi="宋体" w:cs="宋体"/>
                <w:sz w:val="24"/>
              </w:rPr>
            </w:pPr>
          </w:p>
        </w:tc>
        <w:tc>
          <w:tcPr>
            <w:tcW w:w="2173" w:type="pct"/>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52" w:type="pct"/>
            <w:vAlign w:val="center"/>
          </w:tcPr>
          <w:p>
            <w:pPr>
              <w:widowControl/>
              <w:spacing w:line="360" w:lineRule="auto"/>
              <w:ind w:firstLine="470" w:firstLineChars="196"/>
              <w:jc w:val="center"/>
              <w:outlineLvl w:val="1"/>
              <w:rPr>
                <w:rFonts w:ascii="宋体" w:hAnsi="宋体" w:cs="宋体"/>
                <w:sz w:val="24"/>
              </w:rPr>
            </w:pPr>
          </w:p>
        </w:tc>
        <w:tc>
          <w:tcPr>
            <w:tcW w:w="2173" w:type="pct"/>
            <w:vAlign w:val="center"/>
          </w:tcPr>
          <w:p>
            <w:pPr>
              <w:widowControl/>
              <w:spacing w:line="360" w:lineRule="auto"/>
              <w:ind w:firstLine="470" w:firstLineChars="196"/>
              <w:jc w:val="center"/>
              <w:outlineLvl w:val="1"/>
              <w:rPr>
                <w:rFonts w:ascii="宋体" w:hAnsi="宋体" w:cs="宋体"/>
                <w:sz w:val="24"/>
              </w:rPr>
            </w:pPr>
          </w:p>
        </w:tc>
        <w:tc>
          <w:tcPr>
            <w:tcW w:w="2173" w:type="pct"/>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52" w:type="pct"/>
            <w:vAlign w:val="center"/>
          </w:tcPr>
          <w:p>
            <w:pPr>
              <w:widowControl/>
              <w:spacing w:line="360" w:lineRule="auto"/>
              <w:ind w:firstLine="470" w:firstLineChars="196"/>
              <w:jc w:val="center"/>
              <w:outlineLvl w:val="1"/>
              <w:rPr>
                <w:rFonts w:ascii="宋体" w:hAnsi="宋体" w:cs="宋体"/>
                <w:sz w:val="24"/>
              </w:rPr>
            </w:pPr>
          </w:p>
        </w:tc>
        <w:tc>
          <w:tcPr>
            <w:tcW w:w="2173" w:type="pct"/>
            <w:vAlign w:val="center"/>
          </w:tcPr>
          <w:p>
            <w:pPr>
              <w:widowControl/>
              <w:spacing w:line="360" w:lineRule="auto"/>
              <w:ind w:firstLine="470" w:firstLineChars="196"/>
              <w:jc w:val="center"/>
              <w:outlineLvl w:val="1"/>
              <w:rPr>
                <w:rFonts w:ascii="宋体" w:hAnsi="宋体" w:cs="宋体"/>
                <w:sz w:val="24"/>
              </w:rPr>
            </w:pPr>
          </w:p>
        </w:tc>
        <w:tc>
          <w:tcPr>
            <w:tcW w:w="2173" w:type="pct"/>
            <w:vAlign w:val="center"/>
          </w:tcPr>
          <w:p>
            <w:pPr>
              <w:widowControl/>
              <w:spacing w:line="360" w:lineRule="auto"/>
              <w:ind w:firstLine="470" w:firstLineChars="196"/>
              <w:jc w:val="center"/>
              <w:outlineLvl w:val="1"/>
              <w:rPr>
                <w:rFonts w:ascii="宋体" w:hAnsi="宋体" w:cs="宋体"/>
                <w:sz w:val="24"/>
              </w:rPr>
            </w:pPr>
          </w:p>
        </w:tc>
      </w:tr>
    </w:tbl>
    <w:p>
      <w:pPr>
        <w:widowControl/>
        <w:spacing w:line="360" w:lineRule="auto"/>
        <w:ind w:firstLine="470" w:firstLineChars="196"/>
        <w:jc w:val="left"/>
        <w:rPr>
          <w:rFonts w:ascii="宋体" w:hAnsi="宋体" w:cs="宋体"/>
          <w:sz w:val="24"/>
        </w:rPr>
      </w:pPr>
      <w:r>
        <w:rPr>
          <w:rFonts w:hint="eastAsia" w:ascii="宋体" w:hAnsi="宋体" w:cs="宋体"/>
          <w:sz w:val="24"/>
        </w:rPr>
        <w:t>注：投标人应据实填写，不得虚假应答，否则将取消其投标或中标资格。如与招标文件所列商务条款无偏离，则无须逐条应答。如有偏离条款，请将偏离条款（包括正偏离和负偏离）逐条应答。未明确偏离的条款，视为默认接受，投标人不得籍未作应答而拒不接受。</w:t>
      </w: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法定代表人或授权代表（签字）：</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b/>
          <w:sz w:val="24"/>
        </w:rPr>
        <w:sectPr>
          <w:headerReference r:id="rId7" w:type="default"/>
          <w:footerReference r:id="rId8" w:type="default"/>
          <w:pgSz w:w="11906" w:h="16838"/>
          <w:pgMar w:top="1440" w:right="1474" w:bottom="1440" w:left="1474" w:header="851" w:footer="992" w:gutter="0"/>
          <w:cols w:space="720" w:num="1"/>
          <w:docGrid w:linePitch="312" w:charSpace="0"/>
        </w:sectPr>
      </w:pPr>
      <w:r>
        <w:rPr>
          <w:rFonts w:hint="eastAsia" w:ascii="宋体" w:hAnsi="宋体" w:cs="宋体"/>
          <w:sz w:val="24"/>
        </w:rPr>
        <w:t>投标日期：</w:t>
      </w:r>
      <w:r>
        <w:rPr>
          <w:rFonts w:hint="eastAsia" w:ascii="宋体" w:hAnsi="宋体" w:cs="宋体"/>
          <w:sz w:val="24"/>
          <w:u w:val="single"/>
        </w:rPr>
        <w:t xml:space="preserve">                </w:t>
      </w:r>
      <w:r>
        <w:rPr>
          <w:rFonts w:hint="eastAsia" w:ascii="宋体" w:hAnsi="宋体" w:cs="宋体"/>
          <w:sz w:val="24"/>
        </w:rPr>
        <w:t>。</w:t>
      </w:r>
    </w:p>
    <w:p>
      <w:pPr>
        <w:widowControl/>
        <w:spacing w:line="360" w:lineRule="atLeast"/>
        <w:jc w:val="center"/>
        <w:outlineLvl w:val="1"/>
        <w:rPr>
          <w:rFonts w:ascii="宋体" w:hAnsi="宋体" w:cs="宋体"/>
          <w:b/>
          <w:sz w:val="32"/>
          <w:szCs w:val="32"/>
        </w:rPr>
      </w:pPr>
      <w:bookmarkStart w:id="128" w:name="_Toc217446088"/>
      <w:r>
        <w:rPr>
          <w:rFonts w:hint="eastAsia" w:ascii="宋体" w:hAnsi="宋体" w:cs="宋体"/>
          <w:b/>
          <w:sz w:val="32"/>
          <w:szCs w:val="32"/>
        </w:rPr>
        <w:t>六、投标人基本情况表</w:t>
      </w:r>
      <w:bookmarkEnd w:id="128"/>
    </w:p>
    <w:p>
      <w:pPr>
        <w:pStyle w:val="2"/>
      </w:pPr>
    </w:p>
    <w:tbl>
      <w:tblPr>
        <w:tblStyle w:val="28"/>
        <w:tblW w:w="880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828"/>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投标人名称</w:t>
            </w:r>
          </w:p>
        </w:tc>
        <w:tc>
          <w:tcPr>
            <w:tcW w:w="7282" w:type="dxa"/>
            <w:gridSpan w:val="7"/>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注册地址</w:t>
            </w:r>
          </w:p>
        </w:tc>
        <w:tc>
          <w:tcPr>
            <w:tcW w:w="4032" w:type="dxa"/>
            <w:gridSpan w:val="3"/>
            <w:vAlign w:val="center"/>
          </w:tcPr>
          <w:p>
            <w:pPr>
              <w:widowControl/>
              <w:spacing w:line="360" w:lineRule="atLeast"/>
              <w:ind w:firstLine="470" w:firstLineChars="196"/>
              <w:jc w:val="left"/>
              <w:outlineLvl w:val="1"/>
              <w:rPr>
                <w:rFonts w:ascii="宋体" w:hAnsi="宋体" w:cs="宋体"/>
                <w:sz w:val="24"/>
              </w:rPr>
            </w:pPr>
          </w:p>
        </w:tc>
        <w:tc>
          <w:tcPr>
            <w:tcW w:w="1320" w:type="dxa"/>
            <w:vAlign w:val="center"/>
          </w:tcPr>
          <w:p>
            <w:pPr>
              <w:widowControl/>
              <w:spacing w:line="360" w:lineRule="atLeast"/>
              <w:jc w:val="left"/>
              <w:outlineLvl w:val="1"/>
              <w:rPr>
                <w:rFonts w:ascii="宋体" w:hAnsi="宋体" w:cs="宋体"/>
                <w:sz w:val="24"/>
              </w:rPr>
            </w:pPr>
            <w:r>
              <w:rPr>
                <w:rFonts w:hint="eastAsia" w:ascii="宋体" w:hAnsi="宋体" w:cs="宋体"/>
                <w:sz w:val="24"/>
              </w:rPr>
              <w:t>邮政编码</w:t>
            </w:r>
          </w:p>
        </w:tc>
        <w:tc>
          <w:tcPr>
            <w:tcW w:w="1930" w:type="dxa"/>
            <w:gridSpan w:val="3"/>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22"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联系方式</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联系人</w:t>
            </w:r>
          </w:p>
        </w:tc>
        <w:tc>
          <w:tcPr>
            <w:tcW w:w="3075" w:type="dxa"/>
            <w:gridSpan w:val="2"/>
            <w:vAlign w:val="center"/>
          </w:tcPr>
          <w:p>
            <w:pPr>
              <w:widowControl/>
              <w:spacing w:line="360" w:lineRule="atLeast"/>
              <w:ind w:firstLine="470" w:firstLineChars="196"/>
              <w:jc w:val="left"/>
              <w:outlineLvl w:val="1"/>
              <w:rPr>
                <w:rFonts w:ascii="宋体" w:hAnsi="宋体" w:cs="宋体"/>
                <w:sz w:val="24"/>
              </w:rPr>
            </w:pPr>
          </w:p>
        </w:tc>
        <w:tc>
          <w:tcPr>
            <w:tcW w:w="1320"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电话</w:t>
            </w:r>
          </w:p>
        </w:tc>
        <w:tc>
          <w:tcPr>
            <w:tcW w:w="1930" w:type="dxa"/>
            <w:gridSpan w:val="3"/>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22" w:type="dxa"/>
            <w:vMerge w:val="continue"/>
            <w:vAlign w:val="center"/>
          </w:tcPr>
          <w:p>
            <w:pPr>
              <w:rPr>
                <w:rFonts w:ascii="宋体" w:hAnsi="宋体" w:cs="宋体"/>
              </w:rPr>
            </w:pP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传真</w:t>
            </w:r>
          </w:p>
        </w:tc>
        <w:tc>
          <w:tcPr>
            <w:tcW w:w="3075" w:type="dxa"/>
            <w:gridSpan w:val="2"/>
            <w:vAlign w:val="center"/>
          </w:tcPr>
          <w:p>
            <w:pPr>
              <w:widowControl/>
              <w:spacing w:line="360" w:lineRule="atLeast"/>
              <w:ind w:firstLine="470" w:firstLineChars="196"/>
              <w:jc w:val="left"/>
              <w:outlineLvl w:val="1"/>
              <w:rPr>
                <w:rFonts w:ascii="宋体" w:hAnsi="宋体" w:cs="宋体"/>
                <w:sz w:val="24"/>
              </w:rPr>
            </w:pPr>
          </w:p>
        </w:tc>
        <w:tc>
          <w:tcPr>
            <w:tcW w:w="1320"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网址</w:t>
            </w:r>
          </w:p>
        </w:tc>
        <w:tc>
          <w:tcPr>
            <w:tcW w:w="1930" w:type="dxa"/>
            <w:gridSpan w:val="3"/>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组织结构</w:t>
            </w:r>
          </w:p>
        </w:tc>
        <w:tc>
          <w:tcPr>
            <w:tcW w:w="7282" w:type="dxa"/>
            <w:gridSpan w:val="7"/>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法定代表人</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1828" w:type="dxa"/>
            <w:vAlign w:val="center"/>
          </w:tcPr>
          <w:p>
            <w:pPr>
              <w:widowControl/>
              <w:spacing w:line="360" w:lineRule="atLeast"/>
              <w:ind w:firstLine="470" w:firstLineChars="196"/>
              <w:jc w:val="left"/>
              <w:outlineLvl w:val="1"/>
              <w:rPr>
                <w:rFonts w:ascii="宋体" w:hAnsi="宋体" w:cs="宋体"/>
                <w:sz w:val="24"/>
              </w:rPr>
            </w:pPr>
          </w:p>
        </w:tc>
        <w:tc>
          <w:tcPr>
            <w:tcW w:w="1247"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tLeast"/>
              <w:ind w:firstLine="470" w:firstLineChars="196"/>
              <w:jc w:val="left"/>
              <w:outlineLvl w:val="1"/>
              <w:rPr>
                <w:rFonts w:ascii="宋体" w:hAnsi="宋体" w:cs="宋体"/>
                <w:sz w:val="24"/>
              </w:rPr>
            </w:pPr>
          </w:p>
        </w:tc>
        <w:tc>
          <w:tcPr>
            <w:tcW w:w="850"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技术负责人</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1828" w:type="dxa"/>
            <w:vAlign w:val="center"/>
          </w:tcPr>
          <w:p>
            <w:pPr>
              <w:widowControl/>
              <w:spacing w:line="360" w:lineRule="atLeast"/>
              <w:ind w:firstLine="470" w:firstLineChars="196"/>
              <w:jc w:val="left"/>
              <w:outlineLvl w:val="1"/>
              <w:rPr>
                <w:rFonts w:ascii="宋体" w:hAnsi="宋体" w:cs="宋体"/>
                <w:sz w:val="24"/>
              </w:rPr>
            </w:pPr>
          </w:p>
        </w:tc>
        <w:tc>
          <w:tcPr>
            <w:tcW w:w="1247"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tLeast"/>
              <w:ind w:firstLine="470" w:firstLineChars="196"/>
              <w:jc w:val="left"/>
              <w:outlineLvl w:val="1"/>
              <w:rPr>
                <w:rFonts w:ascii="宋体" w:hAnsi="宋体" w:cs="宋体"/>
                <w:sz w:val="24"/>
              </w:rPr>
            </w:pPr>
          </w:p>
        </w:tc>
        <w:tc>
          <w:tcPr>
            <w:tcW w:w="850"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成立时间</w:t>
            </w:r>
          </w:p>
        </w:tc>
        <w:tc>
          <w:tcPr>
            <w:tcW w:w="2785" w:type="dxa"/>
            <w:gridSpan w:val="2"/>
            <w:vAlign w:val="center"/>
          </w:tcPr>
          <w:p>
            <w:pPr>
              <w:widowControl/>
              <w:spacing w:line="360" w:lineRule="atLeast"/>
              <w:jc w:val="left"/>
              <w:outlineLvl w:val="1"/>
              <w:rPr>
                <w:rFonts w:ascii="宋体" w:hAnsi="宋体" w:cs="宋体"/>
                <w:sz w:val="24"/>
              </w:rPr>
            </w:pPr>
          </w:p>
        </w:tc>
        <w:tc>
          <w:tcPr>
            <w:tcW w:w="4497" w:type="dxa"/>
            <w:gridSpan w:val="5"/>
            <w:vAlign w:val="center"/>
          </w:tcPr>
          <w:p>
            <w:pPr>
              <w:widowControl/>
              <w:spacing w:line="360" w:lineRule="atLeast"/>
              <w:jc w:val="left"/>
              <w:outlineLvl w:val="1"/>
              <w:rPr>
                <w:rFonts w:ascii="宋体" w:hAnsi="宋体" w:cs="宋体"/>
                <w:sz w:val="24"/>
              </w:rPr>
            </w:pPr>
            <w:r>
              <w:rPr>
                <w:rFonts w:hint="eastAsia" w:ascii="宋体" w:hAnsi="宋体" w:cs="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企业资质等级</w:t>
            </w:r>
          </w:p>
        </w:tc>
        <w:tc>
          <w:tcPr>
            <w:tcW w:w="2785" w:type="dxa"/>
            <w:gridSpan w:val="2"/>
            <w:vAlign w:val="center"/>
          </w:tcPr>
          <w:p>
            <w:pPr>
              <w:widowControl/>
              <w:spacing w:line="360" w:lineRule="atLeast"/>
              <w:jc w:val="left"/>
              <w:outlineLvl w:val="1"/>
              <w:rPr>
                <w:rFonts w:ascii="宋体" w:hAnsi="宋体" w:cs="宋体"/>
                <w:sz w:val="24"/>
              </w:rPr>
            </w:pPr>
          </w:p>
        </w:tc>
        <w:tc>
          <w:tcPr>
            <w:tcW w:w="1247" w:type="dxa"/>
            <w:vMerge w:val="restart"/>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其中</w:t>
            </w: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项目经理</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营业执照号</w:t>
            </w:r>
          </w:p>
        </w:tc>
        <w:tc>
          <w:tcPr>
            <w:tcW w:w="2785" w:type="dxa"/>
            <w:gridSpan w:val="2"/>
            <w:vAlign w:val="center"/>
          </w:tcPr>
          <w:p>
            <w:pPr>
              <w:widowControl/>
              <w:spacing w:line="360" w:lineRule="atLeast"/>
              <w:jc w:val="left"/>
              <w:outlineLvl w:val="1"/>
              <w:rPr>
                <w:rFonts w:ascii="宋体" w:hAnsi="宋体" w:cs="宋体"/>
                <w:sz w:val="24"/>
              </w:rPr>
            </w:pPr>
          </w:p>
        </w:tc>
        <w:tc>
          <w:tcPr>
            <w:tcW w:w="1247" w:type="dxa"/>
            <w:vMerge w:val="continue"/>
            <w:vAlign w:val="center"/>
          </w:tcPr>
          <w:p>
            <w:pPr>
              <w:rPr>
                <w:rFonts w:ascii="宋体" w:hAnsi="宋体" w:cs="宋体"/>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高级职称人员</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注册资金</w:t>
            </w:r>
          </w:p>
        </w:tc>
        <w:tc>
          <w:tcPr>
            <w:tcW w:w="2785" w:type="dxa"/>
            <w:gridSpan w:val="2"/>
            <w:vAlign w:val="center"/>
          </w:tcPr>
          <w:p>
            <w:pPr>
              <w:widowControl/>
              <w:spacing w:line="360" w:lineRule="atLeast"/>
              <w:jc w:val="left"/>
              <w:outlineLvl w:val="1"/>
              <w:rPr>
                <w:rFonts w:ascii="宋体" w:hAnsi="宋体" w:cs="宋体"/>
                <w:sz w:val="24"/>
              </w:rPr>
            </w:pPr>
          </w:p>
        </w:tc>
        <w:tc>
          <w:tcPr>
            <w:tcW w:w="1247" w:type="dxa"/>
            <w:vMerge w:val="continue"/>
            <w:vAlign w:val="center"/>
          </w:tcPr>
          <w:p>
            <w:pPr>
              <w:rPr>
                <w:rFonts w:ascii="宋体" w:hAnsi="宋体" w:cs="宋体"/>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中级职称人员</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开户银行</w:t>
            </w:r>
          </w:p>
        </w:tc>
        <w:tc>
          <w:tcPr>
            <w:tcW w:w="2785" w:type="dxa"/>
            <w:gridSpan w:val="2"/>
            <w:vAlign w:val="center"/>
          </w:tcPr>
          <w:p>
            <w:pPr>
              <w:widowControl/>
              <w:spacing w:line="360" w:lineRule="atLeast"/>
              <w:jc w:val="left"/>
              <w:outlineLvl w:val="1"/>
              <w:rPr>
                <w:rFonts w:ascii="宋体" w:hAnsi="宋体" w:cs="宋体"/>
                <w:sz w:val="24"/>
              </w:rPr>
            </w:pPr>
          </w:p>
        </w:tc>
        <w:tc>
          <w:tcPr>
            <w:tcW w:w="1247" w:type="dxa"/>
            <w:vMerge w:val="continue"/>
            <w:vAlign w:val="center"/>
          </w:tcPr>
          <w:p>
            <w:pPr>
              <w:rPr>
                <w:rFonts w:ascii="宋体" w:hAnsi="宋体" w:cs="宋体"/>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初级职称人员</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22"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账号</w:t>
            </w:r>
          </w:p>
        </w:tc>
        <w:tc>
          <w:tcPr>
            <w:tcW w:w="2785" w:type="dxa"/>
            <w:gridSpan w:val="2"/>
            <w:vAlign w:val="center"/>
          </w:tcPr>
          <w:p>
            <w:pPr>
              <w:widowControl/>
              <w:spacing w:line="360" w:lineRule="atLeast"/>
              <w:jc w:val="left"/>
              <w:outlineLvl w:val="1"/>
              <w:rPr>
                <w:rFonts w:ascii="宋体" w:hAnsi="宋体" w:cs="宋体"/>
                <w:sz w:val="24"/>
              </w:rPr>
            </w:pPr>
          </w:p>
        </w:tc>
        <w:tc>
          <w:tcPr>
            <w:tcW w:w="1247" w:type="dxa"/>
            <w:vMerge w:val="continue"/>
            <w:vAlign w:val="center"/>
          </w:tcPr>
          <w:p>
            <w:pPr>
              <w:rPr>
                <w:rFonts w:ascii="宋体" w:hAnsi="宋体" w:cs="宋体"/>
              </w:rPr>
            </w:pPr>
          </w:p>
        </w:tc>
        <w:tc>
          <w:tcPr>
            <w:tcW w:w="1478" w:type="dxa"/>
            <w:gridSpan w:val="2"/>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技工</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经营范围</w:t>
            </w:r>
          </w:p>
        </w:tc>
        <w:tc>
          <w:tcPr>
            <w:tcW w:w="7282" w:type="dxa"/>
            <w:gridSpan w:val="7"/>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备注</w:t>
            </w:r>
          </w:p>
        </w:tc>
        <w:tc>
          <w:tcPr>
            <w:tcW w:w="7282" w:type="dxa"/>
            <w:gridSpan w:val="7"/>
          </w:tcPr>
          <w:p>
            <w:pPr>
              <w:widowControl/>
              <w:spacing w:line="360" w:lineRule="atLeast"/>
              <w:ind w:firstLine="470" w:firstLineChars="196"/>
              <w:jc w:val="left"/>
              <w:outlineLvl w:val="1"/>
              <w:rPr>
                <w:rFonts w:ascii="宋体" w:hAnsi="宋体" w:cs="宋体"/>
                <w:sz w:val="24"/>
              </w:rPr>
            </w:pPr>
          </w:p>
        </w:tc>
      </w:tr>
    </w:tbl>
    <w:p>
      <w:pPr>
        <w:widowControl/>
        <w:spacing w:line="360" w:lineRule="atLeast"/>
        <w:ind w:firstLine="472" w:firstLineChars="196"/>
        <w:jc w:val="left"/>
        <w:rPr>
          <w:rFonts w:ascii="宋体" w:hAnsi="宋体" w:cs="宋体"/>
          <w:b/>
          <w:sz w:val="24"/>
        </w:rPr>
      </w:pPr>
    </w:p>
    <w:p>
      <w:pPr>
        <w:widowControl/>
        <w:spacing w:line="360" w:lineRule="auto"/>
        <w:ind w:firstLine="470" w:firstLineChars="196"/>
        <w:jc w:val="left"/>
        <w:rPr>
          <w:rFonts w:ascii="宋体" w:hAnsi="宋体" w:cs="宋体"/>
          <w:sz w:val="24"/>
        </w:rPr>
      </w:pPr>
      <w:bookmarkStart w:id="129" w:name="_Toc217446089"/>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法定代表人或授权代表（签字）：</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b/>
          <w:sz w:val="24"/>
        </w:rPr>
        <w:sectPr>
          <w:headerReference r:id="rId9" w:type="default"/>
          <w:footerReference r:id="rId10" w:type="default"/>
          <w:pgSz w:w="11906" w:h="16838"/>
          <w:pgMar w:top="1440" w:right="1474" w:bottom="1440" w:left="1474" w:header="851" w:footer="992" w:gutter="0"/>
          <w:cols w:space="720" w:num="1"/>
          <w:docGrid w:linePitch="312" w:charSpace="0"/>
        </w:sectPr>
      </w:pPr>
      <w:r>
        <w:rPr>
          <w:rFonts w:hint="eastAsia" w:ascii="宋体" w:hAnsi="宋体" w:cs="宋体"/>
          <w:sz w:val="24"/>
        </w:rPr>
        <w:t>投标日期：</w:t>
      </w:r>
      <w:r>
        <w:rPr>
          <w:rFonts w:hint="eastAsia" w:ascii="宋体" w:hAnsi="宋体" w:cs="宋体"/>
          <w:sz w:val="24"/>
          <w:u w:val="single"/>
        </w:rPr>
        <w:t xml:space="preserve">                </w:t>
      </w:r>
      <w:r>
        <w:rPr>
          <w:rFonts w:hint="eastAsia" w:ascii="宋体" w:hAnsi="宋体" w:cs="宋体"/>
          <w:sz w:val="24"/>
        </w:rPr>
        <w:t>。</w:t>
      </w:r>
    </w:p>
    <w:p>
      <w:pPr>
        <w:widowControl/>
        <w:spacing w:line="360" w:lineRule="atLeast"/>
        <w:jc w:val="center"/>
        <w:outlineLvl w:val="1"/>
        <w:rPr>
          <w:rFonts w:ascii="宋体" w:hAnsi="宋体" w:cs="宋体"/>
          <w:b/>
          <w:sz w:val="32"/>
          <w:szCs w:val="32"/>
        </w:rPr>
      </w:pPr>
      <w:r>
        <w:rPr>
          <w:rFonts w:hint="eastAsia" w:ascii="宋体" w:hAnsi="宋体" w:cs="宋体"/>
          <w:b/>
          <w:sz w:val="32"/>
          <w:szCs w:val="32"/>
        </w:rPr>
        <w:t>七、投标人类似项目业绩一览表</w:t>
      </w:r>
      <w:bookmarkEnd w:id="129"/>
    </w:p>
    <w:p>
      <w:pPr>
        <w:widowControl/>
        <w:spacing w:line="360" w:lineRule="atLeast"/>
        <w:ind w:firstLine="472" w:firstLineChars="196"/>
        <w:jc w:val="left"/>
        <w:rPr>
          <w:rFonts w:ascii="宋体" w:hAnsi="宋体" w:cs="宋体"/>
          <w:b/>
          <w:sz w:val="24"/>
        </w:rPr>
      </w:pPr>
    </w:p>
    <w:tbl>
      <w:tblPr>
        <w:tblStyle w:val="28"/>
        <w:tblW w:w="860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727"/>
        <w:gridCol w:w="9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720" w:type="dxa"/>
            <w:tcBorders>
              <w:top w:val="single" w:color="auto" w:sz="4"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年份</w:t>
            </w:r>
          </w:p>
        </w:tc>
        <w:tc>
          <w:tcPr>
            <w:tcW w:w="1440" w:type="dxa"/>
            <w:vAlign w:val="center"/>
          </w:tcPr>
          <w:p>
            <w:pPr>
              <w:widowControl/>
              <w:spacing w:line="360" w:lineRule="auto"/>
              <w:jc w:val="center"/>
              <w:outlineLvl w:val="1"/>
              <w:rPr>
                <w:rFonts w:ascii="宋体" w:hAnsi="宋体" w:cs="宋体"/>
                <w:sz w:val="24"/>
              </w:rPr>
            </w:pPr>
            <w:r>
              <w:rPr>
                <w:rFonts w:hint="eastAsia" w:ascii="宋体" w:hAnsi="宋体" w:cs="宋体"/>
                <w:sz w:val="24"/>
              </w:rPr>
              <w:t>用户名称</w:t>
            </w:r>
          </w:p>
        </w:tc>
        <w:tc>
          <w:tcPr>
            <w:tcW w:w="1320" w:type="dxa"/>
            <w:vAlign w:val="center"/>
          </w:tcPr>
          <w:p>
            <w:pPr>
              <w:widowControl/>
              <w:spacing w:line="360" w:lineRule="auto"/>
              <w:jc w:val="center"/>
              <w:outlineLvl w:val="1"/>
              <w:rPr>
                <w:rFonts w:ascii="宋体" w:hAnsi="宋体" w:cs="宋体"/>
                <w:sz w:val="24"/>
              </w:rPr>
            </w:pPr>
            <w:r>
              <w:rPr>
                <w:rFonts w:hint="eastAsia" w:ascii="宋体" w:hAnsi="宋体" w:cs="宋体"/>
                <w:sz w:val="24"/>
              </w:rPr>
              <w:t>项目名称</w:t>
            </w:r>
          </w:p>
        </w:tc>
        <w:tc>
          <w:tcPr>
            <w:tcW w:w="1161" w:type="dxa"/>
            <w:vAlign w:val="center"/>
          </w:tcPr>
          <w:p>
            <w:pPr>
              <w:widowControl/>
              <w:spacing w:line="360" w:lineRule="auto"/>
              <w:jc w:val="center"/>
              <w:outlineLvl w:val="1"/>
              <w:rPr>
                <w:rFonts w:ascii="宋体" w:hAnsi="宋体" w:cs="宋体"/>
                <w:sz w:val="24"/>
              </w:rPr>
            </w:pPr>
            <w:r>
              <w:rPr>
                <w:rFonts w:hint="eastAsia" w:ascii="宋体" w:hAnsi="宋体" w:cs="宋体"/>
                <w:sz w:val="24"/>
              </w:rPr>
              <w:t>完成时间</w:t>
            </w:r>
          </w:p>
        </w:tc>
        <w:tc>
          <w:tcPr>
            <w:tcW w:w="1260" w:type="dxa"/>
            <w:vAlign w:val="center"/>
          </w:tcPr>
          <w:p>
            <w:pPr>
              <w:widowControl/>
              <w:spacing w:line="360" w:lineRule="auto"/>
              <w:jc w:val="center"/>
              <w:outlineLvl w:val="1"/>
              <w:rPr>
                <w:rFonts w:ascii="宋体" w:hAnsi="宋体" w:cs="宋体"/>
                <w:sz w:val="24"/>
              </w:rPr>
            </w:pPr>
            <w:r>
              <w:rPr>
                <w:rFonts w:hint="eastAsia" w:ascii="宋体" w:hAnsi="宋体" w:cs="宋体"/>
                <w:sz w:val="24"/>
              </w:rPr>
              <w:t>合同金额</w:t>
            </w:r>
          </w:p>
        </w:tc>
        <w:tc>
          <w:tcPr>
            <w:tcW w:w="1736" w:type="dxa"/>
            <w:gridSpan w:val="2"/>
            <w:tcBorders>
              <w:right w:val="single" w:color="auto" w:sz="4"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是否通过验收</w:t>
            </w:r>
          </w:p>
        </w:tc>
        <w:tc>
          <w:tcPr>
            <w:tcW w:w="970" w:type="dxa"/>
            <w:tcBorders>
              <w:left w:val="single" w:color="auto" w:sz="4"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uto"/>
              <w:ind w:firstLine="470" w:firstLineChars="196"/>
              <w:jc w:val="center"/>
              <w:outlineLvl w:val="1"/>
              <w:rPr>
                <w:rFonts w:ascii="宋体" w:hAnsi="宋体" w:cs="宋体"/>
                <w:sz w:val="24"/>
              </w:rPr>
            </w:pPr>
          </w:p>
        </w:tc>
        <w:tc>
          <w:tcPr>
            <w:tcW w:w="1440" w:type="dxa"/>
            <w:vAlign w:val="center"/>
          </w:tcPr>
          <w:p>
            <w:pPr>
              <w:widowControl/>
              <w:spacing w:line="360" w:lineRule="auto"/>
              <w:ind w:firstLine="470" w:firstLineChars="196"/>
              <w:jc w:val="center"/>
              <w:outlineLvl w:val="1"/>
              <w:rPr>
                <w:rFonts w:ascii="宋体" w:hAnsi="宋体" w:cs="宋体"/>
                <w:sz w:val="24"/>
              </w:rPr>
            </w:pPr>
          </w:p>
        </w:tc>
        <w:tc>
          <w:tcPr>
            <w:tcW w:w="1320" w:type="dxa"/>
            <w:vAlign w:val="center"/>
          </w:tcPr>
          <w:p>
            <w:pPr>
              <w:widowControl/>
              <w:spacing w:line="360" w:lineRule="auto"/>
              <w:ind w:firstLine="470" w:firstLineChars="196"/>
              <w:jc w:val="center"/>
              <w:outlineLvl w:val="1"/>
              <w:rPr>
                <w:rFonts w:ascii="宋体" w:hAnsi="宋体" w:cs="宋体"/>
                <w:sz w:val="24"/>
              </w:rPr>
            </w:pPr>
          </w:p>
        </w:tc>
        <w:tc>
          <w:tcPr>
            <w:tcW w:w="1161" w:type="dxa"/>
            <w:vAlign w:val="center"/>
          </w:tcPr>
          <w:p>
            <w:pPr>
              <w:widowControl/>
              <w:spacing w:line="360" w:lineRule="auto"/>
              <w:ind w:firstLine="470" w:firstLineChars="196"/>
              <w:jc w:val="center"/>
              <w:outlineLvl w:val="1"/>
              <w:rPr>
                <w:rFonts w:ascii="宋体" w:hAnsi="宋体" w:cs="宋体"/>
                <w:sz w:val="24"/>
              </w:rPr>
            </w:pPr>
          </w:p>
        </w:tc>
        <w:tc>
          <w:tcPr>
            <w:tcW w:w="1260" w:type="dxa"/>
            <w:vAlign w:val="center"/>
          </w:tcPr>
          <w:p>
            <w:pPr>
              <w:widowControl/>
              <w:spacing w:line="360" w:lineRule="auto"/>
              <w:ind w:firstLine="470" w:firstLineChars="196"/>
              <w:jc w:val="center"/>
              <w:outlineLvl w:val="1"/>
              <w:rPr>
                <w:rFonts w:ascii="宋体" w:hAnsi="宋体" w:cs="宋体"/>
                <w:sz w:val="24"/>
              </w:rPr>
            </w:pPr>
          </w:p>
        </w:tc>
        <w:tc>
          <w:tcPr>
            <w:tcW w:w="1736" w:type="dxa"/>
            <w:gridSpan w:val="2"/>
            <w:tcBorders>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970" w:type="dxa"/>
            <w:tcBorders>
              <w:left w:val="single" w:color="auto" w:sz="4" w:space="0"/>
            </w:tcBorders>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uto"/>
              <w:ind w:firstLine="470" w:firstLineChars="196"/>
              <w:jc w:val="center"/>
              <w:outlineLvl w:val="1"/>
              <w:rPr>
                <w:rFonts w:ascii="宋体" w:hAnsi="宋体" w:cs="宋体"/>
                <w:sz w:val="24"/>
              </w:rPr>
            </w:pPr>
          </w:p>
        </w:tc>
        <w:tc>
          <w:tcPr>
            <w:tcW w:w="1440" w:type="dxa"/>
            <w:vAlign w:val="center"/>
          </w:tcPr>
          <w:p>
            <w:pPr>
              <w:widowControl/>
              <w:spacing w:line="360" w:lineRule="auto"/>
              <w:ind w:firstLine="470" w:firstLineChars="196"/>
              <w:jc w:val="center"/>
              <w:outlineLvl w:val="1"/>
              <w:rPr>
                <w:rFonts w:ascii="宋体" w:hAnsi="宋体" w:cs="宋体"/>
                <w:sz w:val="24"/>
              </w:rPr>
            </w:pPr>
          </w:p>
        </w:tc>
        <w:tc>
          <w:tcPr>
            <w:tcW w:w="1320" w:type="dxa"/>
            <w:vAlign w:val="center"/>
          </w:tcPr>
          <w:p>
            <w:pPr>
              <w:widowControl/>
              <w:spacing w:line="360" w:lineRule="auto"/>
              <w:ind w:firstLine="470" w:firstLineChars="196"/>
              <w:jc w:val="center"/>
              <w:outlineLvl w:val="1"/>
              <w:rPr>
                <w:rFonts w:ascii="宋体" w:hAnsi="宋体" w:cs="宋体"/>
                <w:sz w:val="24"/>
              </w:rPr>
            </w:pPr>
          </w:p>
        </w:tc>
        <w:tc>
          <w:tcPr>
            <w:tcW w:w="1161" w:type="dxa"/>
            <w:vAlign w:val="center"/>
          </w:tcPr>
          <w:p>
            <w:pPr>
              <w:widowControl/>
              <w:spacing w:line="360" w:lineRule="auto"/>
              <w:ind w:firstLine="470" w:firstLineChars="196"/>
              <w:jc w:val="center"/>
              <w:outlineLvl w:val="1"/>
              <w:rPr>
                <w:rFonts w:ascii="宋体" w:hAnsi="宋体" w:cs="宋体"/>
                <w:sz w:val="24"/>
              </w:rPr>
            </w:pPr>
          </w:p>
        </w:tc>
        <w:tc>
          <w:tcPr>
            <w:tcW w:w="1260" w:type="dxa"/>
            <w:vAlign w:val="center"/>
          </w:tcPr>
          <w:p>
            <w:pPr>
              <w:widowControl/>
              <w:spacing w:line="360" w:lineRule="auto"/>
              <w:ind w:firstLine="470" w:firstLineChars="196"/>
              <w:jc w:val="center"/>
              <w:outlineLvl w:val="1"/>
              <w:rPr>
                <w:rFonts w:ascii="宋体" w:hAnsi="宋体" w:cs="宋体"/>
                <w:sz w:val="24"/>
              </w:rPr>
            </w:pPr>
          </w:p>
        </w:tc>
        <w:tc>
          <w:tcPr>
            <w:tcW w:w="1736" w:type="dxa"/>
            <w:gridSpan w:val="2"/>
            <w:tcBorders>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970" w:type="dxa"/>
            <w:tcBorders>
              <w:left w:val="single" w:color="auto" w:sz="4" w:space="0"/>
            </w:tcBorders>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uto"/>
              <w:ind w:firstLine="470" w:firstLineChars="196"/>
              <w:jc w:val="center"/>
              <w:outlineLvl w:val="1"/>
              <w:rPr>
                <w:rFonts w:ascii="宋体" w:hAnsi="宋体" w:cs="宋体"/>
                <w:sz w:val="24"/>
              </w:rPr>
            </w:pPr>
          </w:p>
        </w:tc>
        <w:tc>
          <w:tcPr>
            <w:tcW w:w="1440" w:type="dxa"/>
            <w:vAlign w:val="center"/>
          </w:tcPr>
          <w:p>
            <w:pPr>
              <w:widowControl/>
              <w:spacing w:line="360" w:lineRule="auto"/>
              <w:ind w:firstLine="470" w:firstLineChars="196"/>
              <w:jc w:val="center"/>
              <w:outlineLvl w:val="1"/>
              <w:rPr>
                <w:rFonts w:ascii="宋体" w:hAnsi="宋体" w:cs="宋体"/>
                <w:sz w:val="24"/>
              </w:rPr>
            </w:pPr>
          </w:p>
        </w:tc>
        <w:tc>
          <w:tcPr>
            <w:tcW w:w="1320" w:type="dxa"/>
            <w:vAlign w:val="center"/>
          </w:tcPr>
          <w:p>
            <w:pPr>
              <w:widowControl/>
              <w:spacing w:line="360" w:lineRule="auto"/>
              <w:ind w:firstLine="470" w:firstLineChars="196"/>
              <w:jc w:val="center"/>
              <w:outlineLvl w:val="1"/>
              <w:rPr>
                <w:rFonts w:ascii="宋体" w:hAnsi="宋体" w:cs="宋体"/>
                <w:sz w:val="24"/>
              </w:rPr>
            </w:pPr>
          </w:p>
        </w:tc>
        <w:tc>
          <w:tcPr>
            <w:tcW w:w="1161" w:type="dxa"/>
            <w:vAlign w:val="center"/>
          </w:tcPr>
          <w:p>
            <w:pPr>
              <w:widowControl/>
              <w:spacing w:line="360" w:lineRule="auto"/>
              <w:ind w:firstLine="470" w:firstLineChars="196"/>
              <w:jc w:val="center"/>
              <w:outlineLvl w:val="1"/>
              <w:rPr>
                <w:rFonts w:ascii="宋体" w:hAnsi="宋体" w:cs="宋体"/>
                <w:sz w:val="24"/>
              </w:rPr>
            </w:pPr>
          </w:p>
        </w:tc>
        <w:tc>
          <w:tcPr>
            <w:tcW w:w="1260" w:type="dxa"/>
            <w:vAlign w:val="center"/>
          </w:tcPr>
          <w:p>
            <w:pPr>
              <w:widowControl/>
              <w:spacing w:line="360" w:lineRule="auto"/>
              <w:ind w:firstLine="470" w:firstLineChars="196"/>
              <w:jc w:val="center"/>
              <w:outlineLvl w:val="1"/>
              <w:rPr>
                <w:rFonts w:ascii="宋体" w:hAnsi="宋体" w:cs="宋体"/>
                <w:sz w:val="24"/>
              </w:rPr>
            </w:pPr>
          </w:p>
        </w:tc>
        <w:tc>
          <w:tcPr>
            <w:tcW w:w="1736" w:type="dxa"/>
            <w:gridSpan w:val="2"/>
            <w:tcBorders>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970" w:type="dxa"/>
            <w:tcBorders>
              <w:left w:val="single" w:color="auto" w:sz="4" w:space="0"/>
            </w:tcBorders>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uto"/>
              <w:ind w:firstLine="470" w:firstLineChars="196"/>
              <w:jc w:val="center"/>
              <w:outlineLvl w:val="1"/>
              <w:rPr>
                <w:rFonts w:ascii="宋体" w:hAnsi="宋体" w:cs="宋体"/>
                <w:sz w:val="24"/>
              </w:rPr>
            </w:pPr>
          </w:p>
        </w:tc>
        <w:tc>
          <w:tcPr>
            <w:tcW w:w="1440" w:type="dxa"/>
            <w:tcBorders>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320" w:type="dxa"/>
            <w:tcBorders>
              <w:lef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161" w:type="dxa"/>
            <w:vAlign w:val="center"/>
          </w:tcPr>
          <w:p>
            <w:pPr>
              <w:widowControl/>
              <w:spacing w:line="360" w:lineRule="auto"/>
              <w:ind w:firstLine="470" w:firstLineChars="196"/>
              <w:jc w:val="center"/>
              <w:outlineLvl w:val="1"/>
              <w:rPr>
                <w:rFonts w:ascii="宋体" w:hAnsi="宋体" w:cs="宋体"/>
                <w:sz w:val="24"/>
              </w:rPr>
            </w:pPr>
          </w:p>
        </w:tc>
        <w:tc>
          <w:tcPr>
            <w:tcW w:w="1260" w:type="dxa"/>
            <w:vAlign w:val="center"/>
          </w:tcPr>
          <w:p>
            <w:pPr>
              <w:widowControl/>
              <w:spacing w:line="360" w:lineRule="auto"/>
              <w:ind w:firstLine="470" w:firstLineChars="196"/>
              <w:jc w:val="center"/>
              <w:outlineLvl w:val="1"/>
              <w:rPr>
                <w:rFonts w:ascii="宋体" w:hAnsi="宋体" w:cs="宋体"/>
                <w:sz w:val="24"/>
              </w:rPr>
            </w:pPr>
          </w:p>
        </w:tc>
        <w:tc>
          <w:tcPr>
            <w:tcW w:w="1736" w:type="dxa"/>
            <w:gridSpan w:val="2"/>
            <w:tcBorders>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970" w:type="dxa"/>
            <w:tcBorders>
              <w:left w:val="single" w:color="auto" w:sz="4" w:space="0"/>
            </w:tcBorders>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440" w:type="dxa"/>
            <w:tcBorders>
              <w:left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320" w:type="dxa"/>
            <w:tcBorders>
              <w:left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161" w:type="dxa"/>
            <w:tcBorders>
              <w:left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269" w:type="dxa"/>
            <w:gridSpan w:val="2"/>
            <w:tcBorders>
              <w:left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727" w:type="dxa"/>
            <w:tcBorders>
              <w:left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970" w:type="dxa"/>
            <w:tcBorders>
              <w:left w:val="single" w:color="auto" w:sz="4" w:space="0"/>
            </w:tcBorders>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uto"/>
              <w:ind w:firstLine="470" w:firstLineChars="196"/>
              <w:jc w:val="center"/>
              <w:outlineLvl w:val="1"/>
              <w:rPr>
                <w:rFonts w:ascii="宋体" w:hAnsi="宋体" w:cs="宋体"/>
                <w:sz w:val="24"/>
              </w:rPr>
            </w:pPr>
          </w:p>
        </w:tc>
        <w:tc>
          <w:tcPr>
            <w:tcW w:w="1440" w:type="dxa"/>
            <w:vAlign w:val="center"/>
          </w:tcPr>
          <w:p>
            <w:pPr>
              <w:widowControl/>
              <w:spacing w:line="360" w:lineRule="auto"/>
              <w:ind w:firstLine="470" w:firstLineChars="196"/>
              <w:jc w:val="center"/>
              <w:outlineLvl w:val="1"/>
              <w:rPr>
                <w:rFonts w:ascii="宋体" w:hAnsi="宋体" w:cs="宋体"/>
                <w:sz w:val="24"/>
              </w:rPr>
            </w:pPr>
          </w:p>
        </w:tc>
        <w:tc>
          <w:tcPr>
            <w:tcW w:w="1320" w:type="dxa"/>
            <w:vAlign w:val="center"/>
          </w:tcPr>
          <w:p>
            <w:pPr>
              <w:widowControl/>
              <w:spacing w:line="360" w:lineRule="auto"/>
              <w:ind w:firstLine="470" w:firstLineChars="196"/>
              <w:jc w:val="center"/>
              <w:outlineLvl w:val="1"/>
              <w:rPr>
                <w:rFonts w:ascii="宋体" w:hAnsi="宋体" w:cs="宋体"/>
                <w:sz w:val="24"/>
              </w:rPr>
            </w:pPr>
          </w:p>
        </w:tc>
        <w:tc>
          <w:tcPr>
            <w:tcW w:w="1161" w:type="dxa"/>
            <w:vAlign w:val="center"/>
          </w:tcPr>
          <w:p>
            <w:pPr>
              <w:widowControl/>
              <w:spacing w:line="360" w:lineRule="auto"/>
              <w:ind w:firstLine="470" w:firstLineChars="196"/>
              <w:jc w:val="center"/>
              <w:outlineLvl w:val="1"/>
              <w:rPr>
                <w:rFonts w:ascii="宋体" w:hAnsi="宋体" w:cs="宋体"/>
                <w:sz w:val="24"/>
              </w:rPr>
            </w:pPr>
          </w:p>
        </w:tc>
        <w:tc>
          <w:tcPr>
            <w:tcW w:w="1269" w:type="dxa"/>
            <w:gridSpan w:val="2"/>
            <w:tcBorders>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727" w:type="dxa"/>
            <w:tcBorders>
              <w:left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970" w:type="dxa"/>
            <w:tcBorders>
              <w:left w:val="single" w:color="auto" w:sz="4" w:space="0"/>
            </w:tcBorders>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uto"/>
              <w:ind w:firstLine="470" w:firstLineChars="196"/>
              <w:jc w:val="center"/>
              <w:outlineLvl w:val="1"/>
              <w:rPr>
                <w:rFonts w:ascii="宋体" w:hAnsi="宋体" w:cs="宋体"/>
                <w:sz w:val="24"/>
              </w:rPr>
            </w:pPr>
          </w:p>
        </w:tc>
        <w:tc>
          <w:tcPr>
            <w:tcW w:w="1440" w:type="dxa"/>
            <w:vAlign w:val="center"/>
          </w:tcPr>
          <w:p>
            <w:pPr>
              <w:widowControl/>
              <w:spacing w:line="360" w:lineRule="auto"/>
              <w:ind w:firstLine="470" w:firstLineChars="196"/>
              <w:jc w:val="center"/>
              <w:outlineLvl w:val="1"/>
              <w:rPr>
                <w:rFonts w:ascii="宋体" w:hAnsi="宋体" w:cs="宋体"/>
                <w:sz w:val="24"/>
              </w:rPr>
            </w:pPr>
          </w:p>
        </w:tc>
        <w:tc>
          <w:tcPr>
            <w:tcW w:w="1320" w:type="dxa"/>
            <w:vAlign w:val="center"/>
          </w:tcPr>
          <w:p>
            <w:pPr>
              <w:widowControl/>
              <w:spacing w:line="360" w:lineRule="auto"/>
              <w:ind w:firstLine="470" w:firstLineChars="196"/>
              <w:jc w:val="center"/>
              <w:outlineLvl w:val="1"/>
              <w:rPr>
                <w:rFonts w:ascii="宋体" w:hAnsi="宋体" w:cs="宋体"/>
                <w:sz w:val="24"/>
              </w:rPr>
            </w:pPr>
          </w:p>
        </w:tc>
        <w:tc>
          <w:tcPr>
            <w:tcW w:w="1161" w:type="dxa"/>
            <w:vAlign w:val="center"/>
          </w:tcPr>
          <w:p>
            <w:pPr>
              <w:widowControl/>
              <w:spacing w:line="360" w:lineRule="auto"/>
              <w:ind w:firstLine="470" w:firstLineChars="196"/>
              <w:jc w:val="center"/>
              <w:outlineLvl w:val="1"/>
              <w:rPr>
                <w:rFonts w:ascii="宋体" w:hAnsi="宋体" w:cs="宋体"/>
                <w:sz w:val="24"/>
              </w:rPr>
            </w:pPr>
          </w:p>
        </w:tc>
        <w:tc>
          <w:tcPr>
            <w:tcW w:w="1269" w:type="dxa"/>
            <w:gridSpan w:val="2"/>
            <w:tcBorders>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727" w:type="dxa"/>
            <w:tcBorders>
              <w:left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970" w:type="dxa"/>
            <w:tcBorders>
              <w:left w:val="single" w:color="auto" w:sz="4" w:space="0"/>
            </w:tcBorders>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uto"/>
              <w:ind w:firstLine="470" w:firstLineChars="196"/>
              <w:jc w:val="center"/>
              <w:outlineLvl w:val="1"/>
              <w:rPr>
                <w:rFonts w:ascii="宋体" w:hAnsi="宋体" w:cs="宋体"/>
                <w:sz w:val="24"/>
              </w:rPr>
            </w:pPr>
          </w:p>
        </w:tc>
        <w:tc>
          <w:tcPr>
            <w:tcW w:w="1440" w:type="dxa"/>
            <w:vAlign w:val="center"/>
          </w:tcPr>
          <w:p>
            <w:pPr>
              <w:widowControl/>
              <w:spacing w:line="360" w:lineRule="auto"/>
              <w:ind w:firstLine="470" w:firstLineChars="196"/>
              <w:jc w:val="center"/>
              <w:outlineLvl w:val="1"/>
              <w:rPr>
                <w:rFonts w:ascii="宋体" w:hAnsi="宋体" w:cs="宋体"/>
                <w:sz w:val="24"/>
              </w:rPr>
            </w:pPr>
          </w:p>
        </w:tc>
        <w:tc>
          <w:tcPr>
            <w:tcW w:w="1320" w:type="dxa"/>
            <w:vAlign w:val="center"/>
          </w:tcPr>
          <w:p>
            <w:pPr>
              <w:widowControl/>
              <w:spacing w:line="360" w:lineRule="auto"/>
              <w:ind w:firstLine="470" w:firstLineChars="196"/>
              <w:jc w:val="center"/>
              <w:outlineLvl w:val="1"/>
              <w:rPr>
                <w:rFonts w:ascii="宋体" w:hAnsi="宋体" w:cs="宋体"/>
                <w:sz w:val="24"/>
              </w:rPr>
            </w:pPr>
          </w:p>
        </w:tc>
        <w:tc>
          <w:tcPr>
            <w:tcW w:w="1161" w:type="dxa"/>
            <w:vAlign w:val="center"/>
          </w:tcPr>
          <w:p>
            <w:pPr>
              <w:widowControl/>
              <w:spacing w:line="360" w:lineRule="auto"/>
              <w:ind w:firstLine="470" w:firstLineChars="196"/>
              <w:jc w:val="center"/>
              <w:outlineLvl w:val="1"/>
              <w:rPr>
                <w:rFonts w:ascii="宋体" w:hAnsi="宋体" w:cs="宋体"/>
                <w:sz w:val="24"/>
              </w:rPr>
            </w:pPr>
          </w:p>
        </w:tc>
        <w:tc>
          <w:tcPr>
            <w:tcW w:w="1269" w:type="dxa"/>
            <w:gridSpan w:val="2"/>
            <w:tcBorders>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727" w:type="dxa"/>
            <w:tcBorders>
              <w:left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970" w:type="dxa"/>
            <w:tcBorders>
              <w:left w:val="single" w:color="auto" w:sz="4" w:space="0"/>
            </w:tcBorders>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440" w:type="dxa"/>
            <w:tcBorders>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320" w:type="dxa"/>
            <w:tcBorders>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161" w:type="dxa"/>
            <w:tcBorders>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269" w:type="dxa"/>
            <w:gridSpan w:val="2"/>
            <w:tcBorders>
              <w:bottom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727" w:type="dxa"/>
            <w:tcBorders>
              <w:left w:val="single" w:color="auto" w:sz="4" w:space="0"/>
              <w:bottom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970" w:type="dxa"/>
            <w:tcBorders>
              <w:left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440" w:type="dxa"/>
            <w:tcBorders>
              <w:top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320" w:type="dxa"/>
            <w:tcBorders>
              <w:top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161" w:type="dxa"/>
            <w:tcBorders>
              <w:top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970" w:type="dxa"/>
            <w:tcBorders>
              <w:top w:val="single" w:color="auto" w:sz="4" w:space="0"/>
              <w:left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440" w:type="dxa"/>
            <w:tcBorders>
              <w:top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320" w:type="dxa"/>
            <w:tcBorders>
              <w:top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161" w:type="dxa"/>
            <w:tcBorders>
              <w:top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970" w:type="dxa"/>
            <w:tcBorders>
              <w:top w:val="single" w:color="auto" w:sz="4" w:space="0"/>
              <w:left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440" w:type="dxa"/>
            <w:tcBorders>
              <w:top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320" w:type="dxa"/>
            <w:tcBorders>
              <w:top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161" w:type="dxa"/>
            <w:tcBorders>
              <w:top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970" w:type="dxa"/>
            <w:tcBorders>
              <w:top w:val="single" w:color="auto" w:sz="4" w:space="0"/>
              <w:left w:val="single" w:color="auto" w:sz="4" w:space="0"/>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440" w:type="dxa"/>
            <w:tcBorders>
              <w:top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320" w:type="dxa"/>
            <w:tcBorders>
              <w:top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161" w:type="dxa"/>
            <w:tcBorders>
              <w:top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269" w:type="dxa"/>
            <w:gridSpan w:val="2"/>
            <w:tcBorders>
              <w:top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727" w:type="dxa"/>
            <w:tcBorders>
              <w:top w:val="single" w:color="auto" w:sz="4" w:space="0"/>
              <w:left w:val="single" w:color="auto" w:sz="4" w:space="0"/>
              <w:right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970" w:type="dxa"/>
            <w:tcBorders>
              <w:top w:val="single" w:color="auto" w:sz="4" w:space="0"/>
              <w:left w:val="single" w:color="auto" w:sz="4" w:space="0"/>
            </w:tcBorders>
            <w:vAlign w:val="center"/>
          </w:tcPr>
          <w:p>
            <w:pPr>
              <w:widowControl/>
              <w:spacing w:line="360" w:lineRule="auto"/>
              <w:ind w:firstLine="470" w:firstLineChars="196"/>
              <w:jc w:val="center"/>
              <w:outlineLvl w:val="1"/>
              <w:rPr>
                <w:rFonts w:ascii="宋体" w:hAnsi="宋体" w:cs="宋体"/>
                <w:sz w:val="24"/>
              </w:rPr>
            </w:pPr>
          </w:p>
        </w:tc>
      </w:tr>
    </w:tbl>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注：以上业绩需提供招标文件要求的有关书面证明材料（按综合评分表中要求提供相关证明材料）。</w:t>
      </w: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bookmarkStart w:id="130" w:name="_Toc217446090"/>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法定代表人或授权代表（签字）：</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b/>
          <w:sz w:val="24"/>
        </w:rPr>
        <w:sectPr>
          <w:headerReference r:id="rId11" w:type="default"/>
          <w:footerReference r:id="rId12" w:type="default"/>
          <w:pgSz w:w="11906" w:h="16838"/>
          <w:pgMar w:top="1440" w:right="1474" w:bottom="1440" w:left="1474" w:header="851" w:footer="992" w:gutter="0"/>
          <w:cols w:space="720" w:num="1"/>
          <w:docGrid w:linePitch="312" w:charSpace="0"/>
        </w:sectPr>
      </w:pPr>
      <w:r>
        <w:rPr>
          <w:rFonts w:hint="eastAsia" w:ascii="宋体" w:hAnsi="宋体" w:cs="宋体"/>
          <w:sz w:val="24"/>
        </w:rPr>
        <w:t>投标日期：</w:t>
      </w:r>
      <w:r>
        <w:rPr>
          <w:rFonts w:hint="eastAsia" w:ascii="宋体" w:hAnsi="宋体" w:cs="宋体"/>
          <w:sz w:val="24"/>
          <w:u w:val="single"/>
        </w:rPr>
        <w:t xml:space="preserve">                </w:t>
      </w:r>
      <w:r>
        <w:rPr>
          <w:rFonts w:hint="eastAsia" w:ascii="宋体" w:hAnsi="宋体" w:cs="宋体"/>
          <w:sz w:val="24"/>
        </w:rPr>
        <w:t>。</w:t>
      </w:r>
    </w:p>
    <w:p>
      <w:pPr>
        <w:widowControl/>
        <w:spacing w:line="360" w:lineRule="atLeast"/>
        <w:jc w:val="center"/>
        <w:outlineLvl w:val="1"/>
        <w:rPr>
          <w:rFonts w:ascii="宋体" w:hAnsi="宋体" w:cs="宋体"/>
          <w:b/>
          <w:sz w:val="32"/>
          <w:szCs w:val="32"/>
        </w:rPr>
      </w:pPr>
      <w:r>
        <w:rPr>
          <w:rFonts w:hint="eastAsia" w:ascii="宋体" w:hAnsi="宋体" w:cs="宋体"/>
          <w:b/>
          <w:sz w:val="32"/>
          <w:szCs w:val="32"/>
        </w:rPr>
        <w:t>八、</w:t>
      </w:r>
      <w:bookmarkEnd w:id="130"/>
      <w:r>
        <w:rPr>
          <w:rFonts w:hint="eastAsia" w:ascii="宋体" w:hAnsi="宋体" w:cs="宋体"/>
          <w:b/>
          <w:sz w:val="32"/>
          <w:szCs w:val="32"/>
        </w:rPr>
        <w:t>技术、服务要求应答表</w:t>
      </w:r>
    </w:p>
    <w:p>
      <w:pPr>
        <w:widowControl/>
        <w:spacing w:line="360" w:lineRule="atLeast"/>
        <w:jc w:val="left"/>
        <w:rPr>
          <w:rFonts w:ascii="宋体" w:hAnsi="宋体" w:cs="宋体"/>
          <w:sz w:val="24"/>
        </w:rPr>
      </w:pPr>
      <w:r>
        <w:rPr>
          <w:rFonts w:hint="eastAsia" w:ascii="宋体" w:hAnsi="宋体" w:cs="宋体"/>
          <w:sz w:val="24"/>
        </w:rPr>
        <w:t xml:space="preserve">                          </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2433"/>
        <w:gridCol w:w="2430"/>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11" w:type="pct"/>
            <w:vAlign w:val="center"/>
          </w:tcPr>
          <w:p>
            <w:pPr>
              <w:widowControl/>
              <w:spacing w:line="360" w:lineRule="auto"/>
              <w:jc w:val="center"/>
              <w:outlineLvl w:val="1"/>
              <w:rPr>
                <w:rFonts w:ascii="宋体" w:hAnsi="宋体" w:cs="宋体"/>
                <w:sz w:val="24"/>
              </w:rPr>
            </w:pPr>
            <w:r>
              <w:rPr>
                <w:rFonts w:hint="eastAsia" w:ascii="宋体" w:hAnsi="宋体" w:cs="宋体"/>
                <w:sz w:val="24"/>
              </w:rPr>
              <w:t>序号</w:t>
            </w:r>
          </w:p>
        </w:tc>
        <w:tc>
          <w:tcPr>
            <w:tcW w:w="1326" w:type="pct"/>
            <w:vAlign w:val="center"/>
          </w:tcPr>
          <w:p>
            <w:pPr>
              <w:widowControl/>
              <w:spacing w:line="360" w:lineRule="auto"/>
              <w:jc w:val="center"/>
              <w:outlineLvl w:val="1"/>
              <w:rPr>
                <w:rFonts w:ascii="宋体" w:hAnsi="宋体" w:cs="宋体"/>
                <w:sz w:val="24"/>
              </w:rPr>
            </w:pPr>
            <w:r>
              <w:rPr>
                <w:rFonts w:hint="eastAsia" w:ascii="宋体" w:hAnsi="宋体" w:cs="宋体"/>
                <w:sz w:val="24"/>
              </w:rPr>
              <w:t>服务内容</w:t>
            </w:r>
          </w:p>
        </w:tc>
        <w:tc>
          <w:tcPr>
            <w:tcW w:w="1324" w:type="pct"/>
            <w:vAlign w:val="center"/>
          </w:tcPr>
          <w:p>
            <w:pPr>
              <w:widowControl/>
              <w:spacing w:line="360" w:lineRule="auto"/>
              <w:jc w:val="center"/>
              <w:outlineLvl w:val="1"/>
              <w:rPr>
                <w:rFonts w:ascii="宋体" w:hAnsi="宋体" w:cs="宋体"/>
                <w:sz w:val="24"/>
              </w:rPr>
            </w:pPr>
            <w:r>
              <w:rPr>
                <w:rFonts w:hint="eastAsia" w:ascii="宋体" w:hAnsi="宋体" w:cs="宋体"/>
                <w:sz w:val="24"/>
              </w:rPr>
              <w:t>招标文件要求</w:t>
            </w:r>
          </w:p>
        </w:tc>
        <w:tc>
          <w:tcPr>
            <w:tcW w:w="1736" w:type="pct"/>
            <w:vAlign w:val="center"/>
          </w:tcPr>
          <w:p>
            <w:pPr>
              <w:widowControl/>
              <w:spacing w:line="360" w:lineRule="auto"/>
              <w:jc w:val="center"/>
              <w:outlineLvl w:val="1"/>
              <w:rPr>
                <w:rFonts w:ascii="宋体" w:hAnsi="宋体" w:cs="宋体"/>
                <w:sz w:val="24"/>
              </w:rPr>
            </w:pPr>
            <w:r>
              <w:rPr>
                <w:rFonts w:hint="eastAsia" w:ascii="宋体" w:hAnsi="宋体" w:cs="宋体"/>
                <w:sz w:val="24"/>
              </w:rPr>
              <w:t>投标文件响应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11" w:type="pct"/>
            <w:vAlign w:val="center"/>
          </w:tcPr>
          <w:p>
            <w:pPr>
              <w:widowControl/>
              <w:spacing w:line="360" w:lineRule="auto"/>
              <w:jc w:val="center"/>
              <w:outlineLvl w:val="1"/>
              <w:rPr>
                <w:rFonts w:ascii="宋体" w:hAnsi="宋体" w:cs="宋体"/>
                <w:szCs w:val="21"/>
              </w:rPr>
            </w:pPr>
          </w:p>
        </w:tc>
        <w:tc>
          <w:tcPr>
            <w:tcW w:w="1326" w:type="pct"/>
            <w:vAlign w:val="center"/>
          </w:tcPr>
          <w:p>
            <w:pPr>
              <w:widowControl/>
              <w:spacing w:line="360" w:lineRule="auto"/>
              <w:jc w:val="center"/>
              <w:outlineLvl w:val="1"/>
              <w:rPr>
                <w:rFonts w:ascii="宋体" w:hAnsi="宋体" w:cs="宋体"/>
                <w:szCs w:val="21"/>
              </w:rPr>
            </w:pPr>
          </w:p>
        </w:tc>
        <w:tc>
          <w:tcPr>
            <w:tcW w:w="1324" w:type="pct"/>
            <w:vAlign w:val="center"/>
          </w:tcPr>
          <w:p>
            <w:pPr>
              <w:widowControl/>
              <w:spacing w:line="360" w:lineRule="auto"/>
              <w:jc w:val="center"/>
              <w:outlineLvl w:val="1"/>
              <w:rPr>
                <w:rFonts w:ascii="宋体" w:hAnsi="宋体" w:cs="宋体"/>
                <w:szCs w:val="21"/>
              </w:rPr>
            </w:pPr>
          </w:p>
        </w:tc>
        <w:tc>
          <w:tcPr>
            <w:tcW w:w="1736" w:type="pct"/>
            <w:vAlign w:val="center"/>
          </w:tcPr>
          <w:p>
            <w:pPr>
              <w:widowControl/>
              <w:spacing w:line="360" w:lineRule="auto"/>
              <w:jc w:val="center"/>
              <w:outlineLvl w:val="1"/>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11" w:type="pct"/>
            <w:vAlign w:val="center"/>
          </w:tcPr>
          <w:p>
            <w:pPr>
              <w:widowControl/>
              <w:spacing w:line="360" w:lineRule="auto"/>
              <w:jc w:val="center"/>
              <w:outlineLvl w:val="1"/>
              <w:rPr>
                <w:rFonts w:ascii="宋体" w:hAnsi="宋体" w:cs="宋体"/>
                <w:szCs w:val="21"/>
              </w:rPr>
            </w:pPr>
          </w:p>
        </w:tc>
        <w:tc>
          <w:tcPr>
            <w:tcW w:w="1326" w:type="pct"/>
            <w:vAlign w:val="center"/>
          </w:tcPr>
          <w:p>
            <w:pPr>
              <w:widowControl/>
              <w:spacing w:line="360" w:lineRule="auto"/>
              <w:jc w:val="center"/>
              <w:outlineLvl w:val="1"/>
              <w:rPr>
                <w:rFonts w:ascii="宋体" w:hAnsi="宋体" w:cs="宋体"/>
                <w:szCs w:val="21"/>
              </w:rPr>
            </w:pPr>
          </w:p>
        </w:tc>
        <w:tc>
          <w:tcPr>
            <w:tcW w:w="1324" w:type="pct"/>
            <w:vAlign w:val="center"/>
          </w:tcPr>
          <w:p>
            <w:pPr>
              <w:widowControl/>
              <w:spacing w:line="360" w:lineRule="auto"/>
              <w:jc w:val="center"/>
              <w:outlineLvl w:val="1"/>
              <w:rPr>
                <w:rFonts w:ascii="宋体" w:hAnsi="宋体" w:cs="宋体"/>
                <w:szCs w:val="21"/>
              </w:rPr>
            </w:pPr>
          </w:p>
        </w:tc>
        <w:tc>
          <w:tcPr>
            <w:tcW w:w="1736" w:type="pct"/>
            <w:vAlign w:val="center"/>
          </w:tcPr>
          <w:p>
            <w:pPr>
              <w:widowControl/>
              <w:spacing w:line="360" w:lineRule="auto"/>
              <w:jc w:val="center"/>
              <w:outlineLvl w:val="1"/>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11" w:type="pct"/>
            <w:vAlign w:val="center"/>
          </w:tcPr>
          <w:p>
            <w:pPr>
              <w:widowControl/>
              <w:spacing w:line="360" w:lineRule="auto"/>
              <w:jc w:val="center"/>
              <w:outlineLvl w:val="1"/>
              <w:rPr>
                <w:rFonts w:ascii="宋体" w:hAnsi="宋体" w:cs="宋体"/>
                <w:szCs w:val="21"/>
              </w:rPr>
            </w:pPr>
          </w:p>
        </w:tc>
        <w:tc>
          <w:tcPr>
            <w:tcW w:w="1326" w:type="pct"/>
            <w:vAlign w:val="center"/>
          </w:tcPr>
          <w:p>
            <w:pPr>
              <w:widowControl/>
              <w:spacing w:line="360" w:lineRule="auto"/>
              <w:jc w:val="center"/>
              <w:outlineLvl w:val="1"/>
              <w:rPr>
                <w:rFonts w:ascii="宋体" w:hAnsi="宋体" w:cs="宋体"/>
                <w:szCs w:val="21"/>
              </w:rPr>
            </w:pPr>
          </w:p>
        </w:tc>
        <w:tc>
          <w:tcPr>
            <w:tcW w:w="1324" w:type="pct"/>
            <w:vAlign w:val="center"/>
          </w:tcPr>
          <w:p>
            <w:pPr>
              <w:widowControl/>
              <w:spacing w:line="360" w:lineRule="auto"/>
              <w:jc w:val="center"/>
              <w:outlineLvl w:val="1"/>
              <w:rPr>
                <w:rFonts w:ascii="宋体" w:hAnsi="宋体" w:cs="宋体"/>
                <w:szCs w:val="21"/>
              </w:rPr>
            </w:pPr>
          </w:p>
        </w:tc>
        <w:tc>
          <w:tcPr>
            <w:tcW w:w="1736" w:type="pct"/>
            <w:vAlign w:val="center"/>
          </w:tcPr>
          <w:p>
            <w:pPr>
              <w:widowControl/>
              <w:spacing w:line="360" w:lineRule="auto"/>
              <w:jc w:val="center"/>
              <w:outlineLvl w:val="1"/>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11" w:type="pct"/>
            <w:vAlign w:val="center"/>
          </w:tcPr>
          <w:p>
            <w:pPr>
              <w:widowControl/>
              <w:spacing w:line="360" w:lineRule="auto"/>
              <w:jc w:val="center"/>
              <w:outlineLvl w:val="1"/>
              <w:rPr>
                <w:rFonts w:ascii="宋体" w:hAnsi="宋体" w:cs="宋体"/>
                <w:szCs w:val="21"/>
              </w:rPr>
            </w:pPr>
          </w:p>
        </w:tc>
        <w:tc>
          <w:tcPr>
            <w:tcW w:w="1326" w:type="pct"/>
            <w:vAlign w:val="center"/>
          </w:tcPr>
          <w:p>
            <w:pPr>
              <w:widowControl/>
              <w:spacing w:line="360" w:lineRule="auto"/>
              <w:jc w:val="center"/>
              <w:outlineLvl w:val="1"/>
              <w:rPr>
                <w:rFonts w:ascii="宋体" w:hAnsi="宋体" w:cs="宋体"/>
                <w:szCs w:val="21"/>
              </w:rPr>
            </w:pPr>
          </w:p>
        </w:tc>
        <w:tc>
          <w:tcPr>
            <w:tcW w:w="1324" w:type="pct"/>
            <w:vAlign w:val="center"/>
          </w:tcPr>
          <w:p>
            <w:pPr>
              <w:widowControl/>
              <w:spacing w:line="360" w:lineRule="auto"/>
              <w:jc w:val="center"/>
              <w:outlineLvl w:val="1"/>
              <w:rPr>
                <w:rFonts w:ascii="宋体" w:hAnsi="宋体" w:cs="宋体"/>
                <w:szCs w:val="21"/>
              </w:rPr>
            </w:pPr>
          </w:p>
        </w:tc>
        <w:tc>
          <w:tcPr>
            <w:tcW w:w="1736" w:type="pct"/>
            <w:vAlign w:val="center"/>
          </w:tcPr>
          <w:p>
            <w:pPr>
              <w:widowControl/>
              <w:spacing w:line="360" w:lineRule="auto"/>
              <w:jc w:val="center"/>
              <w:outlineLvl w:val="1"/>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11" w:type="pct"/>
            <w:vAlign w:val="center"/>
          </w:tcPr>
          <w:p>
            <w:pPr>
              <w:widowControl/>
              <w:spacing w:line="360" w:lineRule="auto"/>
              <w:jc w:val="center"/>
              <w:outlineLvl w:val="1"/>
              <w:rPr>
                <w:rFonts w:ascii="宋体" w:hAnsi="宋体" w:cs="宋体"/>
                <w:szCs w:val="21"/>
              </w:rPr>
            </w:pPr>
          </w:p>
        </w:tc>
        <w:tc>
          <w:tcPr>
            <w:tcW w:w="1326" w:type="pct"/>
            <w:vAlign w:val="center"/>
          </w:tcPr>
          <w:p>
            <w:pPr>
              <w:widowControl/>
              <w:spacing w:line="360" w:lineRule="auto"/>
              <w:jc w:val="center"/>
              <w:outlineLvl w:val="1"/>
              <w:rPr>
                <w:rFonts w:ascii="宋体" w:hAnsi="宋体" w:cs="宋体"/>
                <w:szCs w:val="21"/>
              </w:rPr>
            </w:pPr>
          </w:p>
        </w:tc>
        <w:tc>
          <w:tcPr>
            <w:tcW w:w="1324" w:type="pct"/>
            <w:vAlign w:val="center"/>
          </w:tcPr>
          <w:p>
            <w:pPr>
              <w:widowControl/>
              <w:spacing w:line="360" w:lineRule="auto"/>
              <w:jc w:val="center"/>
              <w:outlineLvl w:val="1"/>
              <w:rPr>
                <w:rFonts w:ascii="宋体" w:hAnsi="宋体" w:cs="宋体"/>
                <w:szCs w:val="21"/>
              </w:rPr>
            </w:pPr>
          </w:p>
        </w:tc>
        <w:tc>
          <w:tcPr>
            <w:tcW w:w="1736" w:type="pct"/>
            <w:vAlign w:val="center"/>
          </w:tcPr>
          <w:p>
            <w:pPr>
              <w:widowControl/>
              <w:spacing w:line="360" w:lineRule="auto"/>
              <w:jc w:val="center"/>
              <w:outlineLvl w:val="1"/>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11" w:type="pct"/>
            <w:vAlign w:val="center"/>
          </w:tcPr>
          <w:p>
            <w:pPr>
              <w:widowControl/>
              <w:spacing w:line="360" w:lineRule="auto"/>
              <w:jc w:val="center"/>
              <w:outlineLvl w:val="1"/>
              <w:rPr>
                <w:rFonts w:ascii="宋体" w:hAnsi="宋体" w:cs="宋体"/>
                <w:szCs w:val="21"/>
              </w:rPr>
            </w:pPr>
          </w:p>
        </w:tc>
        <w:tc>
          <w:tcPr>
            <w:tcW w:w="1326" w:type="pct"/>
            <w:vAlign w:val="center"/>
          </w:tcPr>
          <w:p>
            <w:pPr>
              <w:widowControl/>
              <w:spacing w:line="360" w:lineRule="auto"/>
              <w:jc w:val="center"/>
              <w:outlineLvl w:val="1"/>
              <w:rPr>
                <w:rFonts w:ascii="宋体" w:hAnsi="宋体" w:cs="宋体"/>
                <w:szCs w:val="21"/>
              </w:rPr>
            </w:pPr>
          </w:p>
        </w:tc>
        <w:tc>
          <w:tcPr>
            <w:tcW w:w="1324" w:type="pct"/>
            <w:vAlign w:val="center"/>
          </w:tcPr>
          <w:p>
            <w:pPr>
              <w:widowControl/>
              <w:spacing w:line="360" w:lineRule="auto"/>
              <w:jc w:val="center"/>
              <w:outlineLvl w:val="1"/>
              <w:rPr>
                <w:rFonts w:ascii="宋体" w:hAnsi="宋体" w:cs="宋体"/>
                <w:szCs w:val="21"/>
              </w:rPr>
            </w:pPr>
          </w:p>
        </w:tc>
        <w:tc>
          <w:tcPr>
            <w:tcW w:w="1736" w:type="pct"/>
            <w:vAlign w:val="center"/>
          </w:tcPr>
          <w:p>
            <w:pPr>
              <w:widowControl/>
              <w:spacing w:line="360" w:lineRule="auto"/>
              <w:jc w:val="center"/>
              <w:outlineLvl w:val="1"/>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11" w:type="pct"/>
            <w:vAlign w:val="center"/>
          </w:tcPr>
          <w:p>
            <w:pPr>
              <w:widowControl/>
              <w:spacing w:line="360" w:lineRule="auto"/>
              <w:jc w:val="center"/>
              <w:outlineLvl w:val="1"/>
              <w:rPr>
                <w:rFonts w:ascii="宋体" w:hAnsi="宋体" w:cs="宋体"/>
                <w:szCs w:val="21"/>
              </w:rPr>
            </w:pPr>
          </w:p>
        </w:tc>
        <w:tc>
          <w:tcPr>
            <w:tcW w:w="1326" w:type="pct"/>
            <w:vAlign w:val="center"/>
          </w:tcPr>
          <w:p>
            <w:pPr>
              <w:widowControl/>
              <w:spacing w:line="360" w:lineRule="auto"/>
              <w:jc w:val="center"/>
              <w:outlineLvl w:val="1"/>
              <w:rPr>
                <w:rFonts w:ascii="宋体" w:hAnsi="宋体" w:cs="宋体"/>
                <w:szCs w:val="21"/>
              </w:rPr>
            </w:pPr>
          </w:p>
        </w:tc>
        <w:tc>
          <w:tcPr>
            <w:tcW w:w="1324" w:type="pct"/>
            <w:vAlign w:val="center"/>
          </w:tcPr>
          <w:p>
            <w:pPr>
              <w:widowControl/>
              <w:spacing w:line="360" w:lineRule="auto"/>
              <w:jc w:val="center"/>
              <w:outlineLvl w:val="1"/>
              <w:rPr>
                <w:rFonts w:ascii="宋体" w:hAnsi="宋体" w:cs="宋体"/>
                <w:szCs w:val="21"/>
              </w:rPr>
            </w:pPr>
          </w:p>
        </w:tc>
        <w:tc>
          <w:tcPr>
            <w:tcW w:w="1736" w:type="pct"/>
            <w:vAlign w:val="center"/>
          </w:tcPr>
          <w:p>
            <w:pPr>
              <w:widowControl/>
              <w:spacing w:line="360" w:lineRule="auto"/>
              <w:jc w:val="center"/>
              <w:outlineLvl w:val="1"/>
              <w:rPr>
                <w:rFonts w:ascii="宋体" w:hAnsi="宋体" w:cs="宋体"/>
                <w:szCs w:val="21"/>
              </w:rPr>
            </w:pPr>
          </w:p>
        </w:tc>
      </w:tr>
    </w:tbl>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注：1. 投标人应把招标项目的全部技术参数列入此表。</w:t>
      </w:r>
    </w:p>
    <w:p>
      <w:pPr>
        <w:widowControl/>
        <w:spacing w:line="360" w:lineRule="auto"/>
        <w:ind w:firstLine="470" w:firstLineChars="196"/>
        <w:jc w:val="left"/>
        <w:rPr>
          <w:rFonts w:ascii="宋体" w:hAnsi="宋体" w:cs="宋体"/>
          <w:sz w:val="24"/>
        </w:rPr>
      </w:pPr>
      <w:r>
        <w:rPr>
          <w:rFonts w:hint="eastAsia" w:ascii="宋体" w:hAnsi="宋体" w:cs="宋体"/>
          <w:sz w:val="24"/>
        </w:rPr>
        <w:t>2. 按照招标项目技术要求的顺序对应填写。</w:t>
      </w:r>
    </w:p>
    <w:p>
      <w:pPr>
        <w:widowControl/>
        <w:spacing w:line="360" w:lineRule="auto"/>
        <w:ind w:firstLine="470" w:firstLineChars="196"/>
        <w:jc w:val="left"/>
        <w:rPr>
          <w:rFonts w:ascii="宋体" w:hAnsi="宋体" w:cs="宋体"/>
          <w:sz w:val="24"/>
        </w:rPr>
      </w:pPr>
      <w:r>
        <w:rPr>
          <w:rFonts w:hint="eastAsia" w:ascii="宋体" w:hAnsi="宋体" w:cs="宋体"/>
          <w:sz w:val="24"/>
        </w:rPr>
        <w:t>3．供应商应据实填写，不得虚假填写，否则将取消其投标或中标资格。</w:t>
      </w: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bookmarkStart w:id="131" w:name="_Toc217446091"/>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法定代表人或授权代表（签字）：</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b/>
          <w:sz w:val="24"/>
        </w:rPr>
        <w:sectPr>
          <w:headerReference r:id="rId13" w:type="default"/>
          <w:footerReference r:id="rId14" w:type="default"/>
          <w:pgSz w:w="11906" w:h="16838"/>
          <w:pgMar w:top="1440" w:right="1474" w:bottom="1440" w:left="1474" w:header="851" w:footer="992" w:gutter="0"/>
          <w:cols w:space="720" w:num="1"/>
          <w:docGrid w:linePitch="312" w:charSpace="0"/>
        </w:sectPr>
      </w:pPr>
      <w:r>
        <w:rPr>
          <w:rFonts w:hint="eastAsia" w:ascii="宋体" w:hAnsi="宋体" w:cs="宋体"/>
          <w:sz w:val="24"/>
        </w:rPr>
        <w:t>投标日期：</w:t>
      </w:r>
      <w:r>
        <w:rPr>
          <w:rFonts w:hint="eastAsia" w:ascii="宋体" w:hAnsi="宋体" w:cs="宋体"/>
          <w:sz w:val="24"/>
          <w:u w:val="single"/>
        </w:rPr>
        <w:t xml:space="preserve">                </w:t>
      </w:r>
      <w:r>
        <w:rPr>
          <w:rFonts w:hint="eastAsia" w:ascii="宋体" w:hAnsi="宋体" w:cs="宋体"/>
          <w:sz w:val="24"/>
        </w:rPr>
        <w:t>。</w:t>
      </w:r>
    </w:p>
    <w:p>
      <w:pPr>
        <w:widowControl/>
        <w:spacing w:line="360" w:lineRule="atLeast"/>
        <w:jc w:val="center"/>
        <w:outlineLvl w:val="1"/>
        <w:rPr>
          <w:rFonts w:ascii="宋体" w:hAnsi="宋体" w:cs="宋体"/>
          <w:b/>
          <w:sz w:val="32"/>
          <w:szCs w:val="32"/>
        </w:rPr>
      </w:pPr>
      <w:r>
        <w:rPr>
          <w:rFonts w:hint="eastAsia" w:ascii="宋体" w:hAnsi="宋体" w:cs="宋体"/>
          <w:b/>
          <w:sz w:val="32"/>
          <w:szCs w:val="32"/>
        </w:rPr>
        <w:t>九、投标人本项目管理、技术、服务人员情况表</w:t>
      </w:r>
      <w:bookmarkEnd w:id="131"/>
    </w:p>
    <w:p>
      <w:pPr>
        <w:pStyle w:val="2"/>
        <w:rPr>
          <w:rFonts w:ascii="宋体" w:hAnsi="宋体" w:cs="宋体"/>
        </w:rPr>
      </w:pPr>
    </w:p>
    <w:tbl>
      <w:tblPr>
        <w:tblStyle w:val="28"/>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1074"/>
        <w:gridCol w:w="807"/>
        <w:gridCol w:w="807"/>
        <w:gridCol w:w="977"/>
        <w:gridCol w:w="960"/>
        <w:gridCol w:w="142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line="360" w:lineRule="auto"/>
              <w:jc w:val="center"/>
              <w:outlineLvl w:val="1"/>
              <w:rPr>
                <w:rFonts w:ascii="宋体" w:hAnsi="宋体" w:cs="宋体"/>
                <w:sz w:val="24"/>
              </w:rPr>
            </w:pPr>
            <w:r>
              <w:rPr>
                <w:rFonts w:hint="eastAsia" w:ascii="宋体" w:hAnsi="宋体" w:cs="宋体"/>
                <w:sz w:val="24"/>
              </w:rPr>
              <w:t>类别</w:t>
            </w:r>
          </w:p>
        </w:tc>
        <w:tc>
          <w:tcPr>
            <w:tcW w:w="807" w:type="dxa"/>
            <w:vMerge w:val="restart"/>
            <w:vAlign w:val="center"/>
          </w:tcPr>
          <w:p>
            <w:pPr>
              <w:widowControl/>
              <w:spacing w:line="360" w:lineRule="auto"/>
              <w:jc w:val="center"/>
              <w:outlineLvl w:val="1"/>
              <w:rPr>
                <w:rFonts w:ascii="宋体" w:hAnsi="宋体" w:cs="宋体"/>
                <w:sz w:val="24"/>
              </w:rPr>
            </w:pPr>
            <w:r>
              <w:rPr>
                <w:rFonts w:hint="eastAsia" w:ascii="宋体" w:hAnsi="宋体" w:cs="宋体"/>
                <w:sz w:val="24"/>
              </w:rPr>
              <w:t>职务</w:t>
            </w:r>
          </w:p>
        </w:tc>
        <w:tc>
          <w:tcPr>
            <w:tcW w:w="1074" w:type="dxa"/>
            <w:vMerge w:val="restart"/>
            <w:vAlign w:val="center"/>
          </w:tcPr>
          <w:p>
            <w:pPr>
              <w:widowControl/>
              <w:spacing w:line="360" w:lineRule="auto"/>
              <w:jc w:val="center"/>
              <w:outlineLvl w:val="1"/>
              <w:rPr>
                <w:rFonts w:ascii="宋体" w:hAnsi="宋体" w:cs="宋体"/>
                <w:sz w:val="24"/>
              </w:rPr>
            </w:pPr>
            <w:r>
              <w:rPr>
                <w:rFonts w:hint="eastAsia" w:ascii="宋体" w:hAnsi="宋体" w:cs="宋体"/>
                <w:sz w:val="24"/>
              </w:rPr>
              <w:t>姓名</w:t>
            </w:r>
          </w:p>
        </w:tc>
        <w:tc>
          <w:tcPr>
            <w:tcW w:w="807" w:type="dxa"/>
            <w:vMerge w:val="restart"/>
            <w:vAlign w:val="center"/>
          </w:tcPr>
          <w:p>
            <w:pPr>
              <w:widowControl/>
              <w:spacing w:line="360" w:lineRule="auto"/>
              <w:jc w:val="center"/>
              <w:outlineLvl w:val="1"/>
              <w:rPr>
                <w:rFonts w:ascii="宋体" w:hAnsi="宋体" w:cs="宋体"/>
                <w:sz w:val="24"/>
              </w:rPr>
            </w:pPr>
            <w:r>
              <w:rPr>
                <w:rFonts w:hint="eastAsia" w:ascii="宋体" w:hAnsi="宋体" w:cs="宋体"/>
                <w:sz w:val="24"/>
              </w:rPr>
              <w:t>职称</w:t>
            </w:r>
          </w:p>
        </w:tc>
        <w:tc>
          <w:tcPr>
            <w:tcW w:w="807" w:type="dxa"/>
            <w:vMerge w:val="restart"/>
            <w:vAlign w:val="center"/>
          </w:tcPr>
          <w:p>
            <w:pPr>
              <w:widowControl/>
              <w:spacing w:line="360" w:lineRule="auto"/>
              <w:jc w:val="center"/>
              <w:outlineLvl w:val="1"/>
              <w:rPr>
                <w:rFonts w:ascii="宋体" w:hAnsi="宋体" w:cs="宋体"/>
                <w:sz w:val="24"/>
              </w:rPr>
            </w:pPr>
            <w:r>
              <w:rPr>
                <w:rFonts w:hint="eastAsia" w:ascii="宋体" w:hAnsi="宋体" w:cs="宋体"/>
                <w:sz w:val="24"/>
              </w:rPr>
              <w:t>常住地</w:t>
            </w:r>
          </w:p>
        </w:tc>
        <w:tc>
          <w:tcPr>
            <w:tcW w:w="4445" w:type="dxa"/>
            <w:gridSpan w:val="4"/>
            <w:vAlign w:val="center"/>
          </w:tcPr>
          <w:p>
            <w:pPr>
              <w:widowControl/>
              <w:spacing w:line="360" w:lineRule="auto"/>
              <w:ind w:firstLine="470" w:firstLineChars="196"/>
              <w:jc w:val="center"/>
              <w:outlineLvl w:val="1"/>
              <w:rPr>
                <w:rFonts w:ascii="宋体" w:hAnsi="宋体" w:cs="宋体"/>
                <w:sz w:val="24"/>
              </w:rPr>
            </w:pPr>
            <w:r>
              <w:rPr>
                <w:rFonts w:hint="eastAsia" w:ascii="宋体" w:hAnsi="宋体" w:cs="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pacing w:line="360" w:lineRule="auto"/>
              <w:jc w:val="center"/>
              <w:rPr>
                <w:rFonts w:ascii="宋体" w:hAnsi="宋体" w:cs="宋体"/>
              </w:rPr>
            </w:pPr>
          </w:p>
        </w:tc>
        <w:tc>
          <w:tcPr>
            <w:tcW w:w="807" w:type="dxa"/>
            <w:vMerge w:val="continue"/>
            <w:vAlign w:val="center"/>
          </w:tcPr>
          <w:p>
            <w:pPr>
              <w:spacing w:line="360" w:lineRule="auto"/>
              <w:jc w:val="center"/>
              <w:rPr>
                <w:rFonts w:ascii="宋体" w:hAnsi="宋体" w:cs="宋体"/>
              </w:rPr>
            </w:pPr>
          </w:p>
        </w:tc>
        <w:tc>
          <w:tcPr>
            <w:tcW w:w="1074" w:type="dxa"/>
            <w:vMerge w:val="continue"/>
            <w:vAlign w:val="center"/>
          </w:tcPr>
          <w:p>
            <w:pPr>
              <w:spacing w:line="360" w:lineRule="auto"/>
              <w:jc w:val="center"/>
              <w:rPr>
                <w:rFonts w:ascii="宋体" w:hAnsi="宋体" w:cs="宋体"/>
              </w:rPr>
            </w:pPr>
          </w:p>
        </w:tc>
        <w:tc>
          <w:tcPr>
            <w:tcW w:w="807" w:type="dxa"/>
            <w:vMerge w:val="continue"/>
            <w:vAlign w:val="center"/>
          </w:tcPr>
          <w:p>
            <w:pPr>
              <w:spacing w:line="360" w:lineRule="auto"/>
              <w:jc w:val="center"/>
              <w:rPr>
                <w:rFonts w:ascii="宋体" w:hAnsi="宋体" w:cs="宋体"/>
              </w:rPr>
            </w:pPr>
          </w:p>
        </w:tc>
        <w:tc>
          <w:tcPr>
            <w:tcW w:w="807" w:type="dxa"/>
            <w:vMerge w:val="continue"/>
            <w:vAlign w:val="center"/>
          </w:tcPr>
          <w:p>
            <w:pPr>
              <w:spacing w:line="360" w:lineRule="auto"/>
              <w:jc w:val="center"/>
              <w:rPr>
                <w:rFonts w:ascii="宋体" w:hAnsi="宋体" w:cs="宋体"/>
              </w:rPr>
            </w:pPr>
          </w:p>
        </w:tc>
        <w:tc>
          <w:tcPr>
            <w:tcW w:w="977" w:type="dxa"/>
            <w:vAlign w:val="center"/>
          </w:tcPr>
          <w:p>
            <w:pPr>
              <w:widowControl/>
              <w:spacing w:line="360" w:lineRule="auto"/>
              <w:jc w:val="center"/>
              <w:outlineLvl w:val="1"/>
              <w:rPr>
                <w:rFonts w:ascii="宋体" w:hAnsi="宋体" w:cs="宋体"/>
                <w:sz w:val="24"/>
              </w:rPr>
            </w:pPr>
            <w:r>
              <w:rPr>
                <w:rFonts w:hint="eastAsia" w:ascii="宋体" w:hAnsi="宋体" w:cs="宋体"/>
                <w:sz w:val="24"/>
              </w:rPr>
              <w:t>证书</w:t>
            </w:r>
          </w:p>
          <w:p>
            <w:pPr>
              <w:widowControl/>
              <w:spacing w:line="360" w:lineRule="auto"/>
              <w:jc w:val="center"/>
              <w:outlineLvl w:val="1"/>
              <w:rPr>
                <w:rFonts w:ascii="宋体" w:hAnsi="宋体" w:cs="宋体"/>
                <w:sz w:val="24"/>
              </w:rPr>
            </w:pPr>
            <w:r>
              <w:rPr>
                <w:rFonts w:hint="eastAsia" w:ascii="宋体" w:hAnsi="宋体" w:cs="宋体"/>
                <w:sz w:val="24"/>
              </w:rPr>
              <w:t>名称</w:t>
            </w:r>
          </w:p>
        </w:tc>
        <w:tc>
          <w:tcPr>
            <w:tcW w:w="960" w:type="dxa"/>
            <w:vAlign w:val="center"/>
          </w:tcPr>
          <w:p>
            <w:pPr>
              <w:widowControl/>
              <w:spacing w:line="360" w:lineRule="auto"/>
              <w:jc w:val="center"/>
              <w:outlineLvl w:val="1"/>
              <w:rPr>
                <w:rFonts w:ascii="宋体" w:hAnsi="宋体" w:cs="宋体"/>
                <w:sz w:val="24"/>
              </w:rPr>
            </w:pPr>
            <w:r>
              <w:rPr>
                <w:rFonts w:hint="eastAsia" w:ascii="宋体" w:hAnsi="宋体" w:cs="宋体"/>
                <w:sz w:val="24"/>
              </w:rPr>
              <w:t>级别</w:t>
            </w:r>
          </w:p>
        </w:tc>
        <w:tc>
          <w:tcPr>
            <w:tcW w:w="1420" w:type="dxa"/>
            <w:vAlign w:val="center"/>
          </w:tcPr>
          <w:p>
            <w:pPr>
              <w:widowControl/>
              <w:spacing w:line="360" w:lineRule="auto"/>
              <w:jc w:val="center"/>
              <w:outlineLvl w:val="1"/>
              <w:rPr>
                <w:rFonts w:ascii="宋体" w:hAnsi="宋体" w:cs="宋体"/>
                <w:sz w:val="24"/>
              </w:rPr>
            </w:pPr>
            <w:r>
              <w:rPr>
                <w:rFonts w:hint="eastAsia" w:ascii="宋体" w:hAnsi="宋体" w:cs="宋体"/>
                <w:sz w:val="24"/>
              </w:rPr>
              <w:t>证号</w:t>
            </w:r>
          </w:p>
        </w:tc>
        <w:tc>
          <w:tcPr>
            <w:tcW w:w="1088" w:type="dxa"/>
            <w:vAlign w:val="center"/>
          </w:tcPr>
          <w:p>
            <w:pPr>
              <w:widowControl/>
              <w:spacing w:line="360" w:lineRule="auto"/>
              <w:jc w:val="center"/>
              <w:outlineLvl w:val="1"/>
              <w:rPr>
                <w:rFonts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pPr>
              <w:widowControl/>
              <w:spacing w:line="360" w:lineRule="auto"/>
              <w:jc w:val="center"/>
              <w:outlineLvl w:val="1"/>
              <w:rPr>
                <w:rFonts w:ascii="宋体" w:hAnsi="宋体" w:cs="宋体"/>
                <w:sz w:val="24"/>
              </w:rPr>
            </w:pPr>
            <w:r>
              <w:rPr>
                <w:rFonts w:hint="eastAsia" w:ascii="宋体" w:hAnsi="宋体" w:cs="宋体"/>
                <w:sz w:val="24"/>
              </w:rPr>
              <w:t>管理</w:t>
            </w:r>
          </w:p>
          <w:p>
            <w:pPr>
              <w:widowControl/>
              <w:spacing w:line="360" w:lineRule="auto"/>
              <w:jc w:val="center"/>
              <w:outlineLvl w:val="1"/>
              <w:rPr>
                <w:rFonts w:ascii="宋体" w:hAnsi="宋体" w:cs="宋体"/>
                <w:sz w:val="24"/>
              </w:rPr>
            </w:pPr>
            <w:r>
              <w:rPr>
                <w:rFonts w:hint="eastAsia" w:ascii="宋体" w:hAnsi="宋体" w:cs="宋体"/>
                <w:sz w:val="24"/>
              </w:rPr>
              <w:t>人员</w:t>
            </w: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1074"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977" w:type="dxa"/>
            <w:vAlign w:val="center"/>
          </w:tcPr>
          <w:p>
            <w:pPr>
              <w:widowControl/>
              <w:spacing w:line="360" w:lineRule="auto"/>
              <w:ind w:firstLine="470" w:firstLineChars="196"/>
              <w:jc w:val="center"/>
              <w:outlineLvl w:val="1"/>
              <w:rPr>
                <w:rFonts w:ascii="宋体" w:hAnsi="宋体" w:cs="宋体"/>
                <w:sz w:val="24"/>
              </w:rPr>
            </w:pPr>
          </w:p>
        </w:tc>
        <w:tc>
          <w:tcPr>
            <w:tcW w:w="960" w:type="dxa"/>
            <w:vAlign w:val="center"/>
          </w:tcPr>
          <w:p>
            <w:pPr>
              <w:widowControl/>
              <w:spacing w:line="360" w:lineRule="auto"/>
              <w:ind w:firstLine="470" w:firstLineChars="196"/>
              <w:jc w:val="center"/>
              <w:outlineLvl w:val="1"/>
              <w:rPr>
                <w:rFonts w:ascii="宋体" w:hAnsi="宋体" w:cs="宋体"/>
                <w:sz w:val="24"/>
              </w:rPr>
            </w:pPr>
          </w:p>
        </w:tc>
        <w:tc>
          <w:tcPr>
            <w:tcW w:w="1420" w:type="dxa"/>
            <w:vAlign w:val="center"/>
          </w:tcPr>
          <w:p>
            <w:pPr>
              <w:widowControl/>
              <w:spacing w:line="360" w:lineRule="auto"/>
              <w:ind w:firstLine="470" w:firstLineChars="196"/>
              <w:jc w:val="center"/>
              <w:outlineLvl w:val="1"/>
              <w:rPr>
                <w:rFonts w:ascii="宋体" w:hAnsi="宋体" w:cs="宋体"/>
                <w:sz w:val="24"/>
              </w:rPr>
            </w:pPr>
          </w:p>
        </w:tc>
        <w:tc>
          <w:tcPr>
            <w:tcW w:w="1088" w:type="dxa"/>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pacing w:line="360" w:lineRule="auto"/>
              <w:jc w:val="center"/>
              <w:rPr>
                <w:rFonts w:ascii="宋体" w:hAnsi="宋体" w:cs="宋体"/>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1074"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977" w:type="dxa"/>
            <w:vAlign w:val="center"/>
          </w:tcPr>
          <w:p>
            <w:pPr>
              <w:widowControl/>
              <w:spacing w:line="360" w:lineRule="auto"/>
              <w:ind w:firstLine="470" w:firstLineChars="196"/>
              <w:jc w:val="center"/>
              <w:outlineLvl w:val="1"/>
              <w:rPr>
                <w:rFonts w:ascii="宋体" w:hAnsi="宋体" w:cs="宋体"/>
                <w:sz w:val="24"/>
              </w:rPr>
            </w:pPr>
          </w:p>
        </w:tc>
        <w:tc>
          <w:tcPr>
            <w:tcW w:w="960" w:type="dxa"/>
            <w:vAlign w:val="center"/>
          </w:tcPr>
          <w:p>
            <w:pPr>
              <w:widowControl/>
              <w:spacing w:line="360" w:lineRule="auto"/>
              <w:ind w:firstLine="470" w:firstLineChars="196"/>
              <w:jc w:val="center"/>
              <w:outlineLvl w:val="1"/>
              <w:rPr>
                <w:rFonts w:ascii="宋体" w:hAnsi="宋体" w:cs="宋体"/>
                <w:sz w:val="24"/>
              </w:rPr>
            </w:pPr>
          </w:p>
        </w:tc>
        <w:tc>
          <w:tcPr>
            <w:tcW w:w="1420" w:type="dxa"/>
            <w:vAlign w:val="center"/>
          </w:tcPr>
          <w:p>
            <w:pPr>
              <w:widowControl/>
              <w:spacing w:line="360" w:lineRule="auto"/>
              <w:ind w:firstLine="470" w:firstLineChars="196"/>
              <w:jc w:val="center"/>
              <w:outlineLvl w:val="1"/>
              <w:rPr>
                <w:rFonts w:ascii="宋体" w:hAnsi="宋体" w:cs="宋体"/>
                <w:sz w:val="24"/>
              </w:rPr>
            </w:pPr>
          </w:p>
        </w:tc>
        <w:tc>
          <w:tcPr>
            <w:tcW w:w="1088" w:type="dxa"/>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pPr>
              <w:spacing w:line="360" w:lineRule="auto"/>
              <w:jc w:val="center"/>
              <w:rPr>
                <w:rFonts w:ascii="宋体" w:hAnsi="宋体" w:cs="宋体"/>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1074"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977" w:type="dxa"/>
            <w:vAlign w:val="center"/>
          </w:tcPr>
          <w:p>
            <w:pPr>
              <w:widowControl/>
              <w:spacing w:line="360" w:lineRule="auto"/>
              <w:ind w:firstLine="470" w:firstLineChars="196"/>
              <w:jc w:val="center"/>
              <w:outlineLvl w:val="1"/>
              <w:rPr>
                <w:rFonts w:ascii="宋体" w:hAnsi="宋体" w:cs="宋体"/>
                <w:sz w:val="24"/>
              </w:rPr>
            </w:pPr>
          </w:p>
        </w:tc>
        <w:tc>
          <w:tcPr>
            <w:tcW w:w="960" w:type="dxa"/>
            <w:vAlign w:val="center"/>
          </w:tcPr>
          <w:p>
            <w:pPr>
              <w:widowControl/>
              <w:spacing w:line="360" w:lineRule="auto"/>
              <w:ind w:firstLine="470" w:firstLineChars="196"/>
              <w:jc w:val="center"/>
              <w:outlineLvl w:val="1"/>
              <w:rPr>
                <w:rFonts w:ascii="宋体" w:hAnsi="宋体" w:cs="宋体"/>
                <w:sz w:val="24"/>
              </w:rPr>
            </w:pPr>
          </w:p>
        </w:tc>
        <w:tc>
          <w:tcPr>
            <w:tcW w:w="1420" w:type="dxa"/>
            <w:vAlign w:val="center"/>
          </w:tcPr>
          <w:p>
            <w:pPr>
              <w:widowControl/>
              <w:spacing w:line="360" w:lineRule="auto"/>
              <w:ind w:firstLine="470" w:firstLineChars="196"/>
              <w:jc w:val="center"/>
              <w:outlineLvl w:val="1"/>
              <w:rPr>
                <w:rFonts w:ascii="宋体" w:hAnsi="宋体" w:cs="宋体"/>
                <w:sz w:val="24"/>
              </w:rPr>
            </w:pPr>
          </w:p>
        </w:tc>
        <w:tc>
          <w:tcPr>
            <w:tcW w:w="1088" w:type="dxa"/>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line="360" w:lineRule="auto"/>
              <w:jc w:val="center"/>
              <w:outlineLvl w:val="1"/>
              <w:rPr>
                <w:rFonts w:ascii="宋体" w:hAnsi="宋体" w:cs="宋体"/>
                <w:sz w:val="24"/>
              </w:rPr>
            </w:pPr>
            <w:r>
              <w:rPr>
                <w:rFonts w:hint="eastAsia" w:ascii="宋体" w:hAnsi="宋体" w:cs="宋体"/>
                <w:sz w:val="24"/>
              </w:rPr>
              <w:t>技术</w:t>
            </w:r>
          </w:p>
          <w:p>
            <w:pPr>
              <w:widowControl/>
              <w:spacing w:line="360" w:lineRule="auto"/>
              <w:jc w:val="center"/>
              <w:outlineLvl w:val="1"/>
              <w:rPr>
                <w:rFonts w:ascii="宋体" w:hAnsi="宋体" w:cs="宋体"/>
                <w:sz w:val="24"/>
              </w:rPr>
            </w:pPr>
            <w:r>
              <w:rPr>
                <w:rFonts w:hint="eastAsia" w:ascii="宋体" w:hAnsi="宋体" w:cs="宋体"/>
                <w:sz w:val="24"/>
              </w:rPr>
              <w:t>人员</w:t>
            </w: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1074"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977" w:type="dxa"/>
            <w:vAlign w:val="center"/>
          </w:tcPr>
          <w:p>
            <w:pPr>
              <w:widowControl/>
              <w:spacing w:line="360" w:lineRule="auto"/>
              <w:ind w:firstLine="470" w:firstLineChars="196"/>
              <w:jc w:val="center"/>
              <w:outlineLvl w:val="1"/>
              <w:rPr>
                <w:rFonts w:ascii="宋体" w:hAnsi="宋体" w:cs="宋体"/>
                <w:sz w:val="24"/>
              </w:rPr>
            </w:pPr>
          </w:p>
        </w:tc>
        <w:tc>
          <w:tcPr>
            <w:tcW w:w="960" w:type="dxa"/>
            <w:vAlign w:val="center"/>
          </w:tcPr>
          <w:p>
            <w:pPr>
              <w:widowControl/>
              <w:spacing w:line="360" w:lineRule="auto"/>
              <w:ind w:firstLine="470" w:firstLineChars="196"/>
              <w:jc w:val="center"/>
              <w:outlineLvl w:val="1"/>
              <w:rPr>
                <w:rFonts w:ascii="宋体" w:hAnsi="宋体" w:cs="宋体"/>
                <w:sz w:val="24"/>
              </w:rPr>
            </w:pPr>
          </w:p>
        </w:tc>
        <w:tc>
          <w:tcPr>
            <w:tcW w:w="1420" w:type="dxa"/>
            <w:vAlign w:val="center"/>
          </w:tcPr>
          <w:p>
            <w:pPr>
              <w:widowControl/>
              <w:spacing w:line="360" w:lineRule="auto"/>
              <w:ind w:firstLine="470" w:firstLineChars="196"/>
              <w:jc w:val="center"/>
              <w:outlineLvl w:val="1"/>
              <w:rPr>
                <w:rFonts w:ascii="宋体" w:hAnsi="宋体" w:cs="宋体"/>
                <w:sz w:val="24"/>
              </w:rPr>
            </w:pPr>
          </w:p>
        </w:tc>
        <w:tc>
          <w:tcPr>
            <w:tcW w:w="1088" w:type="dxa"/>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pPr>
              <w:spacing w:line="360" w:lineRule="auto"/>
              <w:jc w:val="center"/>
              <w:rPr>
                <w:rFonts w:ascii="宋体" w:hAnsi="宋体" w:cs="宋体"/>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1074"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977" w:type="dxa"/>
            <w:vAlign w:val="center"/>
          </w:tcPr>
          <w:p>
            <w:pPr>
              <w:widowControl/>
              <w:spacing w:line="360" w:lineRule="auto"/>
              <w:ind w:firstLine="470" w:firstLineChars="196"/>
              <w:jc w:val="center"/>
              <w:outlineLvl w:val="1"/>
              <w:rPr>
                <w:rFonts w:ascii="宋体" w:hAnsi="宋体" w:cs="宋体"/>
                <w:sz w:val="24"/>
              </w:rPr>
            </w:pPr>
          </w:p>
        </w:tc>
        <w:tc>
          <w:tcPr>
            <w:tcW w:w="960" w:type="dxa"/>
            <w:vAlign w:val="center"/>
          </w:tcPr>
          <w:p>
            <w:pPr>
              <w:widowControl/>
              <w:spacing w:line="360" w:lineRule="auto"/>
              <w:ind w:firstLine="470" w:firstLineChars="196"/>
              <w:jc w:val="center"/>
              <w:outlineLvl w:val="1"/>
              <w:rPr>
                <w:rFonts w:ascii="宋体" w:hAnsi="宋体" w:cs="宋体"/>
                <w:sz w:val="24"/>
              </w:rPr>
            </w:pPr>
          </w:p>
        </w:tc>
        <w:tc>
          <w:tcPr>
            <w:tcW w:w="1420" w:type="dxa"/>
            <w:vAlign w:val="center"/>
          </w:tcPr>
          <w:p>
            <w:pPr>
              <w:widowControl/>
              <w:spacing w:line="360" w:lineRule="auto"/>
              <w:ind w:firstLine="470" w:firstLineChars="196"/>
              <w:jc w:val="center"/>
              <w:outlineLvl w:val="1"/>
              <w:rPr>
                <w:rFonts w:ascii="宋体" w:hAnsi="宋体" w:cs="宋体"/>
                <w:sz w:val="24"/>
              </w:rPr>
            </w:pPr>
          </w:p>
        </w:tc>
        <w:tc>
          <w:tcPr>
            <w:tcW w:w="1088" w:type="dxa"/>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pacing w:line="360" w:lineRule="auto"/>
              <w:jc w:val="center"/>
              <w:rPr>
                <w:rFonts w:ascii="宋体" w:hAnsi="宋体" w:cs="宋体"/>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1074"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977" w:type="dxa"/>
            <w:vAlign w:val="center"/>
          </w:tcPr>
          <w:p>
            <w:pPr>
              <w:widowControl/>
              <w:spacing w:line="360" w:lineRule="auto"/>
              <w:ind w:firstLine="470" w:firstLineChars="196"/>
              <w:jc w:val="center"/>
              <w:outlineLvl w:val="1"/>
              <w:rPr>
                <w:rFonts w:ascii="宋体" w:hAnsi="宋体" w:cs="宋体"/>
                <w:sz w:val="24"/>
              </w:rPr>
            </w:pPr>
          </w:p>
        </w:tc>
        <w:tc>
          <w:tcPr>
            <w:tcW w:w="960" w:type="dxa"/>
            <w:vAlign w:val="center"/>
          </w:tcPr>
          <w:p>
            <w:pPr>
              <w:widowControl/>
              <w:spacing w:line="360" w:lineRule="auto"/>
              <w:ind w:firstLine="470" w:firstLineChars="196"/>
              <w:jc w:val="center"/>
              <w:outlineLvl w:val="1"/>
              <w:rPr>
                <w:rFonts w:ascii="宋体" w:hAnsi="宋体" w:cs="宋体"/>
                <w:sz w:val="24"/>
              </w:rPr>
            </w:pPr>
          </w:p>
        </w:tc>
        <w:tc>
          <w:tcPr>
            <w:tcW w:w="1420" w:type="dxa"/>
            <w:vAlign w:val="center"/>
          </w:tcPr>
          <w:p>
            <w:pPr>
              <w:widowControl/>
              <w:spacing w:line="360" w:lineRule="auto"/>
              <w:ind w:firstLine="470" w:firstLineChars="196"/>
              <w:jc w:val="center"/>
              <w:outlineLvl w:val="1"/>
              <w:rPr>
                <w:rFonts w:ascii="宋体" w:hAnsi="宋体" w:cs="宋体"/>
                <w:sz w:val="24"/>
              </w:rPr>
            </w:pPr>
          </w:p>
        </w:tc>
        <w:tc>
          <w:tcPr>
            <w:tcW w:w="1088" w:type="dxa"/>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pPr>
              <w:widowControl/>
              <w:spacing w:line="360" w:lineRule="auto"/>
              <w:jc w:val="center"/>
              <w:outlineLvl w:val="1"/>
              <w:rPr>
                <w:rFonts w:ascii="宋体" w:hAnsi="宋体" w:cs="宋体"/>
                <w:sz w:val="24"/>
              </w:rPr>
            </w:pPr>
            <w:r>
              <w:rPr>
                <w:rFonts w:hint="eastAsia" w:ascii="宋体" w:hAnsi="宋体" w:cs="宋体"/>
                <w:sz w:val="24"/>
              </w:rPr>
              <w:t>售后服务人员</w:t>
            </w: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1074"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977" w:type="dxa"/>
            <w:vAlign w:val="center"/>
          </w:tcPr>
          <w:p>
            <w:pPr>
              <w:widowControl/>
              <w:spacing w:line="360" w:lineRule="auto"/>
              <w:ind w:firstLine="470" w:firstLineChars="196"/>
              <w:jc w:val="center"/>
              <w:outlineLvl w:val="1"/>
              <w:rPr>
                <w:rFonts w:ascii="宋体" w:hAnsi="宋体" w:cs="宋体"/>
                <w:sz w:val="24"/>
              </w:rPr>
            </w:pPr>
          </w:p>
        </w:tc>
        <w:tc>
          <w:tcPr>
            <w:tcW w:w="960" w:type="dxa"/>
            <w:vAlign w:val="center"/>
          </w:tcPr>
          <w:p>
            <w:pPr>
              <w:widowControl/>
              <w:spacing w:line="360" w:lineRule="auto"/>
              <w:ind w:firstLine="470" w:firstLineChars="196"/>
              <w:jc w:val="center"/>
              <w:outlineLvl w:val="1"/>
              <w:rPr>
                <w:rFonts w:ascii="宋体" w:hAnsi="宋体" w:cs="宋体"/>
                <w:sz w:val="24"/>
              </w:rPr>
            </w:pPr>
          </w:p>
        </w:tc>
        <w:tc>
          <w:tcPr>
            <w:tcW w:w="1420" w:type="dxa"/>
            <w:vAlign w:val="center"/>
          </w:tcPr>
          <w:p>
            <w:pPr>
              <w:widowControl/>
              <w:spacing w:line="360" w:lineRule="auto"/>
              <w:ind w:firstLine="470" w:firstLineChars="196"/>
              <w:jc w:val="center"/>
              <w:outlineLvl w:val="1"/>
              <w:rPr>
                <w:rFonts w:ascii="宋体" w:hAnsi="宋体" w:cs="宋体"/>
                <w:sz w:val="24"/>
              </w:rPr>
            </w:pPr>
          </w:p>
        </w:tc>
        <w:tc>
          <w:tcPr>
            <w:tcW w:w="1088" w:type="dxa"/>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vAlign w:val="center"/>
          </w:tcPr>
          <w:p>
            <w:pPr>
              <w:spacing w:line="360" w:lineRule="auto"/>
              <w:jc w:val="center"/>
              <w:rPr>
                <w:rFonts w:ascii="宋体" w:hAnsi="宋体" w:cs="宋体"/>
              </w:rPr>
            </w:pPr>
          </w:p>
        </w:tc>
        <w:tc>
          <w:tcPr>
            <w:tcW w:w="807" w:type="dxa"/>
            <w:tcBorders>
              <w:bottom w:val="single" w:color="auto" w:sz="4" w:space="0"/>
            </w:tcBorders>
            <w:vAlign w:val="center"/>
          </w:tcPr>
          <w:p>
            <w:pPr>
              <w:widowControl/>
              <w:spacing w:line="360" w:lineRule="auto"/>
              <w:ind w:firstLine="470" w:firstLineChars="196"/>
              <w:jc w:val="center"/>
              <w:outlineLvl w:val="1"/>
              <w:rPr>
                <w:rFonts w:ascii="宋体" w:hAnsi="宋体" w:cs="宋体"/>
                <w:sz w:val="24"/>
              </w:rPr>
            </w:pPr>
          </w:p>
        </w:tc>
        <w:tc>
          <w:tcPr>
            <w:tcW w:w="1074"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807" w:type="dxa"/>
            <w:vAlign w:val="center"/>
          </w:tcPr>
          <w:p>
            <w:pPr>
              <w:widowControl/>
              <w:spacing w:line="360" w:lineRule="auto"/>
              <w:ind w:firstLine="470" w:firstLineChars="196"/>
              <w:jc w:val="center"/>
              <w:outlineLvl w:val="1"/>
              <w:rPr>
                <w:rFonts w:ascii="宋体" w:hAnsi="宋体" w:cs="宋体"/>
                <w:sz w:val="24"/>
              </w:rPr>
            </w:pPr>
          </w:p>
        </w:tc>
        <w:tc>
          <w:tcPr>
            <w:tcW w:w="977" w:type="dxa"/>
            <w:vAlign w:val="center"/>
          </w:tcPr>
          <w:p>
            <w:pPr>
              <w:widowControl/>
              <w:spacing w:line="360" w:lineRule="auto"/>
              <w:ind w:firstLine="470" w:firstLineChars="196"/>
              <w:jc w:val="center"/>
              <w:outlineLvl w:val="1"/>
              <w:rPr>
                <w:rFonts w:ascii="宋体" w:hAnsi="宋体" w:cs="宋体"/>
                <w:sz w:val="24"/>
              </w:rPr>
            </w:pPr>
          </w:p>
        </w:tc>
        <w:tc>
          <w:tcPr>
            <w:tcW w:w="960" w:type="dxa"/>
            <w:vAlign w:val="center"/>
          </w:tcPr>
          <w:p>
            <w:pPr>
              <w:widowControl/>
              <w:spacing w:line="360" w:lineRule="auto"/>
              <w:ind w:firstLine="470" w:firstLineChars="196"/>
              <w:jc w:val="center"/>
              <w:outlineLvl w:val="1"/>
              <w:rPr>
                <w:rFonts w:ascii="宋体" w:hAnsi="宋体" w:cs="宋体"/>
                <w:sz w:val="24"/>
              </w:rPr>
            </w:pPr>
          </w:p>
        </w:tc>
        <w:tc>
          <w:tcPr>
            <w:tcW w:w="1420" w:type="dxa"/>
            <w:vAlign w:val="center"/>
          </w:tcPr>
          <w:p>
            <w:pPr>
              <w:widowControl/>
              <w:spacing w:line="360" w:lineRule="auto"/>
              <w:ind w:firstLine="470" w:firstLineChars="196"/>
              <w:jc w:val="center"/>
              <w:outlineLvl w:val="1"/>
              <w:rPr>
                <w:rFonts w:ascii="宋体" w:hAnsi="宋体" w:cs="宋体"/>
                <w:sz w:val="24"/>
              </w:rPr>
            </w:pPr>
          </w:p>
        </w:tc>
        <w:tc>
          <w:tcPr>
            <w:tcW w:w="1088" w:type="dxa"/>
            <w:vAlign w:val="center"/>
          </w:tcPr>
          <w:p>
            <w:pPr>
              <w:widowControl/>
              <w:spacing w:line="360" w:lineRule="auto"/>
              <w:ind w:firstLine="470" w:firstLineChars="196"/>
              <w:jc w:val="center"/>
              <w:outlineLvl w:val="1"/>
              <w:rPr>
                <w:rFonts w:ascii="宋体" w:hAnsi="宋体" w:cs="宋体"/>
                <w:sz w:val="24"/>
              </w:rPr>
            </w:pPr>
          </w:p>
        </w:tc>
      </w:tr>
    </w:tbl>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法定代表人或授权代表（签字）：</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b/>
          <w:sz w:val="24"/>
        </w:rPr>
        <w:sectPr>
          <w:headerReference r:id="rId15" w:type="default"/>
          <w:footerReference r:id="rId16" w:type="default"/>
          <w:pgSz w:w="11906" w:h="16838"/>
          <w:pgMar w:top="1440" w:right="1474" w:bottom="1440" w:left="1474" w:header="851" w:footer="992" w:gutter="0"/>
          <w:cols w:space="720" w:num="1"/>
          <w:docGrid w:linePitch="312" w:charSpace="0"/>
        </w:sectPr>
      </w:pPr>
      <w:r>
        <w:rPr>
          <w:rFonts w:hint="eastAsia" w:ascii="宋体" w:hAnsi="宋体" w:cs="宋体"/>
          <w:sz w:val="24"/>
        </w:rPr>
        <w:t>投标日期：</w:t>
      </w:r>
      <w:r>
        <w:rPr>
          <w:rFonts w:hint="eastAsia" w:ascii="宋体" w:hAnsi="宋体" w:cs="宋体"/>
          <w:sz w:val="24"/>
          <w:u w:val="single"/>
        </w:rPr>
        <w:t xml:space="preserve">                </w:t>
      </w:r>
      <w:r>
        <w:rPr>
          <w:rFonts w:hint="eastAsia" w:ascii="宋体" w:hAnsi="宋体" w:cs="宋体"/>
          <w:sz w:val="24"/>
        </w:rPr>
        <w:t>。</w:t>
      </w:r>
    </w:p>
    <w:p>
      <w:pPr>
        <w:pageBreakBefore/>
        <w:spacing w:line="588" w:lineRule="exact"/>
        <w:jc w:val="center"/>
        <w:outlineLvl w:val="1"/>
        <w:rPr>
          <w:rFonts w:ascii="宋体" w:hAnsi="宋体" w:cs="宋体"/>
          <w:b/>
          <w:bCs/>
          <w:spacing w:val="6"/>
          <w:sz w:val="32"/>
          <w:szCs w:val="32"/>
        </w:rPr>
      </w:pPr>
      <w:bookmarkStart w:id="132" w:name="_Toc28495"/>
      <w:r>
        <w:rPr>
          <w:rFonts w:hint="eastAsia" w:ascii="宋体" w:hAnsi="宋体" w:cs="宋体"/>
          <w:b/>
          <w:bCs/>
          <w:spacing w:val="6"/>
          <w:sz w:val="32"/>
          <w:szCs w:val="32"/>
        </w:rPr>
        <w:t>十、投标人承诺给予招标采购单位的各种优惠条件</w:t>
      </w:r>
    </w:p>
    <w:p>
      <w:pPr>
        <w:spacing w:line="588" w:lineRule="exact"/>
        <w:jc w:val="center"/>
        <w:rPr>
          <w:rFonts w:ascii="宋体" w:hAnsi="宋体" w:cs="宋体"/>
          <w:b/>
          <w:spacing w:val="6"/>
          <w:sz w:val="24"/>
        </w:rPr>
      </w:pPr>
      <w:r>
        <w:rPr>
          <w:rFonts w:hint="eastAsia" w:ascii="宋体" w:hAnsi="宋体" w:cs="宋体"/>
          <w:b/>
          <w:spacing w:val="6"/>
          <w:sz w:val="24"/>
        </w:rPr>
        <w:t>（格式及内容自拟）</w:t>
      </w:r>
    </w:p>
    <w:p>
      <w:pPr>
        <w:adjustRightInd w:val="0"/>
        <w:spacing w:line="480" w:lineRule="auto"/>
        <w:ind w:firstLine="900" w:firstLineChars="375"/>
        <w:jc w:val="left"/>
        <w:rPr>
          <w:rFonts w:ascii="宋体" w:hAnsi="宋体" w:cs="宋体"/>
          <w:bCs/>
          <w:sz w:val="24"/>
        </w:rPr>
      </w:pPr>
    </w:p>
    <w:p>
      <w:pPr>
        <w:adjustRightInd w:val="0"/>
        <w:spacing w:line="480" w:lineRule="auto"/>
        <w:ind w:firstLine="900" w:firstLineChars="375"/>
        <w:jc w:val="left"/>
        <w:rPr>
          <w:rFonts w:ascii="宋体" w:hAnsi="宋体" w:cs="宋体"/>
          <w:bCs/>
          <w:sz w:val="24"/>
        </w:rPr>
      </w:pPr>
    </w:p>
    <w:p>
      <w:pPr>
        <w:adjustRightInd w:val="0"/>
        <w:spacing w:line="480" w:lineRule="auto"/>
        <w:ind w:firstLine="900" w:firstLineChars="375"/>
        <w:jc w:val="left"/>
        <w:rPr>
          <w:rFonts w:ascii="宋体" w:hAnsi="宋体" w:cs="宋体"/>
          <w:bCs/>
          <w:sz w:val="24"/>
        </w:rPr>
      </w:pPr>
    </w:p>
    <w:p>
      <w:pPr>
        <w:adjustRightInd w:val="0"/>
        <w:spacing w:line="480" w:lineRule="auto"/>
        <w:jc w:val="left"/>
        <w:rPr>
          <w:rFonts w:ascii="宋体" w:hAnsi="宋体" w:cs="宋体"/>
          <w:bCs/>
          <w:sz w:val="24"/>
        </w:rPr>
      </w:pPr>
    </w:p>
    <w:p>
      <w:pPr>
        <w:adjustRightInd w:val="0"/>
        <w:spacing w:line="480" w:lineRule="auto"/>
        <w:ind w:firstLine="900" w:firstLineChars="375"/>
        <w:jc w:val="left"/>
        <w:rPr>
          <w:rFonts w:ascii="宋体" w:hAnsi="宋体" w:cs="宋体"/>
          <w:bCs/>
          <w:sz w:val="24"/>
        </w:rPr>
      </w:pPr>
    </w:p>
    <w:p>
      <w:pPr>
        <w:adjustRightInd w:val="0"/>
        <w:spacing w:line="480" w:lineRule="auto"/>
        <w:ind w:firstLine="900" w:firstLineChars="375"/>
        <w:jc w:val="left"/>
        <w:rPr>
          <w:rFonts w:ascii="宋体" w:hAnsi="宋体" w:cs="宋体"/>
          <w:bCs/>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法定代表人或授权代表（签字）：</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bCs/>
          <w:sz w:val="24"/>
        </w:rPr>
      </w:pPr>
      <w:r>
        <w:rPr>
          <w:rFonts w:hint="eastAsia" w:ascii="宋体" w:hAnsi="宋体" w:cs="宋体"/>
          <w:sz w:val="24"/>
        </w:rPr>
        <w:t>投标日期：</w:t>
      </w:r>
      <w:r>
        <w:rPr>
          <w:rFonts w:hint="eastAsia" w:ascii="宋体" w:hAnsi="宋体" w:cs="宋体"/>
          <w:sz w:val="24"/>
          <w:u w:val="single"/>
        </w:rPr>
        <w:t xml:space="preserve">                </w:t>
      </w:r>
      <w:r>
        <w:rPr>
          <w:rFonts w:hint="eastAsia" w:ascii="宋体" w:hAnsi="宋体" w:cs="宋体"/>
          <w:sz w:val="24"/>
        </w:rPr>
        <w:t>。</w:t>
      </w:r>
    </w:p>
    <w:p>
      <w:pPr>
        <w:pageBreakBefore/>
        <w:spacing w:line="588" w:lineRule="exact"/>
        <w:jc w:val="center"/>
        <w:outlineLvl w:val="1"/>
        <w:rPr>
          <w:rFonts w:ascii="宋体" w:hAnsi="宋体" w:cs="宋体"/>
          <w:b/>
          <w:bCs/>
          <w:spacing w:val="6"/>
          <w:sz w:val="32"/>
          <w:szCs w:val="32"/>
        </w:rPr>
      </w:pPr>
      <w:r>
        <w:rPr>
          <w:rFonts w:hint="eastAsia" w:ascii="宋体" w:hAnsi="宋体" w:cs="宋体"/>
          <w:b/>
          <w:bCs/>
          <w:spacing w:val="6"/>
          <w:sz w:val="32"/>
          <w:szCs w:val="32"/>
        </w:rPr>
        <w:t>十一、交纳招标代理费的承诺</w:t>
      </w:r>
    </w:p>
    <w:p>
      <w:pPr>
        <w:spacing w:line="588" w:lineRule="exact"/>
        <w:jc w:val="center"/>
        <w:rPr>
          <w:rFonts w:ascii="宋体" w:hAnsi="宋体" w:cs="宋体"/>
          <w:b/>
          <w:spacing w:val="6"/>
          <w:sz w:val="24"/>
        </w:rPr>
      </w:pPr>
      <w:r>
        <w:rPr>
          <w:rFonts w:hint="eastAsia" w:ascii="宋体" w:hAnsi="宋体" w:cs="宋体"/>
          <w:b/>
          <w:spacing w:val="6"/>
          <w:sz w:val="24"/>
        </w:rPr>
        <w:t>（格式及内容自拟）</w:t>
      </w:r>
    </w:p>
    <w:p>
      <w:pPr>
        <w:adjustRightInd w:val="0"/>
        <w:spacing w:line="480" w:lineRule="auto"/>
        <w:ind w:firstLine="900" w:firstLineChars="375"/>
        <w:jc w:val="left"/>
        <w:rPr>
          <w:rFonts w:ascii="宋体" w:hAnsi="宋体" w:cs="宋体"/>
          <w:bCs/>
          <w:sz w:val="24"/>
        </w:rPr>
      </w:pPr>
    </w:p>
    <w:p>
      <w:pPr>
        <w:adjustRightInd w:val="0"/>
        <w:spacing w:line="480" w:lineRule="auto"/>
        <w:ind w:firstLine="900" w:firstLineChars="375"/>
        <w:jc w:val="left"/>
        <w:rPr>
          <w:rFonts w:ascii="宋体" w:hAnsi="宋体" w:cs="宋体"/>
          <w:bCs/>
          <w:sz w:val="24"/>
        </w:rPr>
      </w:pPr>
    </w:p>
    <w:p>
      <w:pPr>
        <w:adjustRightInd w:val="0"/>
        <w:spacing w:line="480" w:lineRule="auto"/>
        <w:ind w:firstLine="900" w:firstLineChars="375"/>
        <w:jc w:val="left"/>
        <w:rPr>
          <w:rFonts w:ascii="宋体" w:hAnsi="宋体" w:cs="宋体"/>
          <w:bCs/>
          <w:sz w:val="24"/>
        </w:rPr>
      </w:pPr>
    </w:p>
    <w:p>
      <w:pPr>
        <w:adjustRightInd w:val="0"/>
        <w:spacing w:line="480" w:lineRule="auto"/>
        <w:jc w:val="left"/>
        <w:rPr>
          <w:rFonts w:ascii="宋体" w:hAnsi="宋体" w:cs="宋体"/>
          <w:bCs/>
          <w:sz w:val="24"/>
        </w:rPr>
      </w:pPr>
    </w:p>
    <w:p>
      <w:pPr>
        <w:adjustRightInd w:val="0"/>
        <w:spacing w:line="480" w:lineRule="auto"/>
        <w:ind w:firstLine="900" w:firstLineChars="375"/>
        <w:jc w:val="left"/>
        <w:rPr>
          <w:rFonts w:ascii="宋体" w:hAnsi="宋体" w:cs="宋体"/>
          <w:bCs/>
          <w:sz w:val="24"/>
        </w:rPr>
      </w:pPr>
    </w:p>
    <w:p>
      <w:pPr>
        <w:adjustRightInd w:val="0"/>
        <w:spacing w:line="480" w:lineRule="auto"/>
        <w:ind w:firstLine="900" w:firstLineChars="375"/>
        <w:jc w:val="left"/>
        <w:rPr>
          <w:rFonts w:ascii="宋体" w:hAnsi="宋体" w:cs="宋体"/>
          <w:bCs/>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法定代表人或授权代表（签字）：</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bCs/>
          <w:sz w:val="24"/>
        </w:rPr>
      </w:pPr>
      <w:r>
        <w:rPr>
          <w:rFonts w:hint="eastAsia" w:ascii="宋体" w:hAnsi="宋体" w:cs="宋体"/>
          <w:sz w:val="24"/>
        </w:rPr>
        <w:t>投标日期：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rPr>
      </w:pPr>
    </w:p>
    <w:p>
      <w:pPr>
        <w:pageBreakBefore/>
        <w:spacing w:line="588" w:lineRule="exact"/>
        <w:jc w:val="center"/>
        <w:outlineLvl w:val="1"/>
        <w:rPr>
          <w:rFonts w:ascii="宋体" w:hAnsi="宋体" w:cs="宋体"/>
          <w:b/>
          <w:bCs/>
          <w:spacing w:val="6"/>
          <w:sz w:val="32"/>
          <w:szCs w:val="32"/>
        </w:rPr>
      </w:pPr>
      <w:r>
        <w:rPr>
          <w:rFonts w:hint="eastAsia" w:ascii="宋体" w:hAnsi="宋体" w:cs="宋体"/>
          <w:b/>
          <w:bCs/>
          <w:spacing w:val="6"/>
          <w:sz w:val="32"/>
          <w:szCs w:val="32"/>
        </w:rPr>
        <w:t>十二、实质性响应承诺函</w:t>
      </w:r>
    </w:p>
    <w:p>
      <w:pPr>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XXX（采购代理机构名称）：</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我公司作为本次采购项目的供应商，根据招标文件要求，现郑重承诺完全响应本项目招标文件规定的所有实质性要求：</w:t>
      </w:r>
    </w:p>
    <w:p>
      <w:pPr>
        <w:pStyle w:val="11"/>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rPr>
        <w:t>一、关于</w:t>
      </w:r>
      <w:r>
        <w:rPr>
          <w:rFonts w:hint="eastAsia" w:ascii="宋体" w:hAnsi="宋体" w:cs="宋体"/>
          <w:color w:val="000000"/>
          <w:sz w:val="24"/>
          <w:szCs w:val="24"/>
          <w:lang w:val="zh-CN"/>
        </w:rPr>
        <w:t>采购预算</w:t>
      </w:r>
      <w:r>
        <w:rPr>
          <w:rFonts w:hint="eastAsia" w:ascii="宋体" w:hAnsi="宋体" w:cs="宋体"/>
          <w:color w:val="000000"/>
          <w:sz w:val="24"/>
          <w:szCs w:val="24"/>
        </w:rPr>
        <w:t>的要求</w:t>
      </w:r>
      <w:r>
        <w:rPr>
          <w:rFonts w:hint="eastAsia" w:ascii="宋体" w:hAnsi="宋体" w:cs="宋体"/>
          <w:color w:val="000000"/>
          <w:sz w:val="24"/>
          <w:szCs w:val="24"/>
          <w:lang w:val="zh-CN"/>
        </w:rPr>
        <w:t>；</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二、关于</w:t>
      </w:r>
      <w:r>
        <w:rPr>
          <w:rFonts w:hint="eastAsia" w:ascii="宋体" w:hAnsi="宋体" w:cs="宋体"/>
          <w:color w:val="000000"/>
          <w:sz w:val="24"/>
          <w:szCs w:val="24"/>
          <w:lang w:val="zh-CN"/>
        </w:rPr>
        <w:t>最高限价</w:t>
      </w:r>
      <w:r>
        <w:rPr>
          <w:rFonts w:hint="eastAsia" w:ascii="宋体" w:hAnsi="宋体" w:cs="宋体"/>
          <w:color w:val="000000"/>
          <w:sz w:val="24"/>
          <w:szCs w:val="24"/>
        </w:rPr>
        <w:t>的要求</w:t>
      </w:r>
      <w:r>
        <w:rPr>
          <w:rFonts w:hint="eastAsia" w:ascii="宋体" w:hAnsi="宋体" w:cs="宋体"/>
          <w:color w:val="000000"/>
          <w:sz w:val="24"/>
          <w:szCs w:val="24"/>
          <w:lang w:val="zh-CN"/>
        </w:rPr>
        <w:t>；</w:t>
      </w:r>
    </w:p>
    <w:p>
      <w:pPr>
        <w:pStyle w:val="11"/>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rPr>
        <w:t>三、关于</w:t>
      </w:r>
      <w:r>
        <w:rPr>
          <w:rFonts w:hint="eastAsia" w:ascii="宋体" w:hAnsi="宋体" w:cs="宋体"/>
          <w:color w:val="000000"/>
          <w:sz w:val="24"/>
          <w:szCs w:val="24"/>
          <w:lang w:val="zh-CN"/>
        </w:rPr>
        <w:t>低于成本价不正当竞争预防措施</w:t>
      </w:r>
      <w:r>
        <w:rPr>
          <w:rFonts w:hint="eastAsia" w:ascii="宋体" w:hAnsi="宋体" w:cs="宋体"/>
          <w:color w:val="000000"/>
          <w:sz w:val="24"/>
          <w:szCs w:val="24"/>
        </w:rPr>
        <w:t>的要求</w:t>
      </w:r>
      <w:r>
        <w:rPr>
          <w:rFonts w:hint="eastAsia" w:ascii="宋体" w:hAnsi="宋体" w:cs="宋体"/>
          <w:color w:val="000000"/>
          <w:sz w:val="24"/>
          <w:szCs w:val="24"/>
          <w:lang w:val="zh-CN"/>
        </w:rPr>
        <w:t>；</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四、关于合格供应商的要求；</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五、关于充分、公平竞争保障措施的要求；</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六、关于联合体投标的要求，我公司不是联合体参与投标；</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七、关于投标保证金的要求；</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八、关于响应文件有效期的要求：本项目响应文件有效期为递交投标文件截止之日起90日历天；</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九、关于知识产权的要求</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1 </w:t>
      </w:r>
      <w:r>
        <w:rPr>
          <w:rFonts w:hint="eastAsia" w:ascii="宋体" w:hAnsi="宋体" w:cs="宋体"/>
          <w:color w:val="000000"/>
          <w:sz w:val="24"/>
        </w:rPr>
        <w:t>我公司</w:t>
      </w:r>
      <w:r>
        <w:rPr>
          <w:rFonts w:hint="eastAsia" w:ascii="宋体" w:hAnsi="宋体" w:cs="宋体"/>
          <w:color w:val="000000"/>
          <w:sz w:val="24"/>
          <w:szCs w:val="24"/>
        </w:rPr>
        <w:t>保证在本项目</w:t>
      </w:r>
      <w:r>
        <w:rPr>
          <w:rFonts w:hint="eastAsia" w:ascii="宋体" w:hAnsi="宋体" w:cs="宋体"/>
          <w:sz w:val="24"/>
          <w:szCs w:val="24"/>
        </w:rPr>
        <w:t>中使</w:t>
      </w:r>
      <w:r>
        <w:rPr>
          <w:rFonts w:hint="eastAsia" w:ascii="宋体" w:hAnsi="宋体" w:cs="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color w:val="000000"/>
          <w:sz w:val="24"/>
        </w:rPr>
        <w:t>我公司</w:t>
      </w:r>
      <w:r>
        <w:rPr>
          <w:rFonts w:hint="eastAsia" w:ascii="宋体" w:hAnsi="宋体" w:cs="宋体"/>
          <w:color w:val="000000"/>
          <w:sz w:val="24"/>
          <w:szCs w:val="24"/>
        </w:rPr>
        <w:t>承担所有相关责任。</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 除非招标文件特别规定，采购人享有本项目实施过程中产生的知识成果及知识产权。</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 我公司如欲在项目实施过程中采用自有知识成果，将在响应文件中声明，应当在响应文件中载明，并提供相关知识产权证明文件。使用该知识成果后，我公司将提供开发接口和开发手册等技术文档，并承诺提供无限期技术支持，采购人享有永久使用权（含采购人委托第三方在该项目后续开发的使用权）。</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 如采用我公司所不拥有的知识产权，则在报价中已经包括合法获取该知识产权的相关费用。</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十、关于响应文件的组成的要求；</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十一、关于响应文件的语言的要求；</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十二、关于计量单位的要求；</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十三、关于报价货币的要求；</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四、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十五、响应文件正本和副本应当采用胶装方式装订成册，不得散装或者活页装订。</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十六、关于合同分包的要求；</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十七、关于合同转包的要求；</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十八、关于履约保证金的要求；</w:t>
      </w:r>
    </w:p>
    <w:p>
      <w:pPr>
        <w:pStyle w:val="1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十九、国家或行业主管部门对供应商和采购产品的技术标准、质量标准和资格资质条件等有强制性规定的，必须符合其要求。</w:t>
      </w:r>
    </w:p>
    <w:p>
      <w:pPr>
        <w:pStyle w:val="11"/>
        <w:spacing w:line="360" w:lineRule="auto"/>
        <w:ind w:firstLine="480" w:firstLineChars="200"/>
        <w:rPr>
          <w:rFonts w:ascii="宋体" w:hAnsi="宋体" w:cs="宋体"/>
          <w:color w:val="000000"/>
          <w:sz w:val="24"/>
          <w:szCs w:val="24"/>
        </w:rPr>
      </w:pPr>
    </w:p>
    <w:p>
      <w:pPr>
        <w:pStyle w:val="50"/>
        <w:spacing w:line="360" w:lineRule="auto"/>
        <w:rPr>
          <w:color w:val="000000"/>
        </w:rPr>
      </w:pPr>
    </w:p>
    <w:p>
      <w:pPr>
        <w:pStyle w:val="50"/>
        <w:spacing w:line="360" w:lineRule="auto"/>
        <w:rPr>
          <w:color w:val="000000"/>
        </w:rPr>
      </w:pPr>
    </w:p>
    <w:p>
      <w:pPr>
        <w:pStyle w:val="50"/>
        <w:spacing w:line="360" w:lineRule="auto"/>
        <w:rPr>
          <w:color w:val="000000"/>
        </w:rPr>
      </w:pPr>
    </w:p>
    <w:p>
      <w:pPr>
        <w:pStyle w:val="50"/>
        <w:spacing w:line="360" w:lineRule="auto"/>
        <w:rPr>
          <w:color w:val="000000"/>
        </w:rPr>
      </w:pPr>
    </w:p>
    <w:p>
      <w:pPr>
        <w:adjustRightInd w:val="0"/>
        <w:spacing w:line="360" w:lineRule="auto"/>
        <w:ind w:firstLine="900" w:firstLineChars="375"/>
        <w:jc w:val="left"/>
        <w:rPr>
          <w:rFonts w:ascii="宋体" w:hAnsi="宋体" w:cs="宋体"/>
          <w:bCs/>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法定代表人或授权代表（签字）：</w:t>
      </w:r>
      <w:r>
        <w:rPr>
          <w:rFonts w:hint="eastAsia" w:ascii="宋体" w:hAnsi="宋体" w:cs="宋体"/>
          <w:sz w:val="24"/>
          <w:u w:val="single"/>
        </w:rPr>
        <w:t xml:space="preserve">                </w:t>
      </w:r>
      <w:r>
        <w:rPr>
          <w:rFonts w:hint="eastAsia" w:ascii="宋体" w:hAnsi="宋体" w:cs="宋体"/>
          <w:sz w:val="24"/>
        </w:rPr>
        <w:t>。</w:t>
      </w:r>
    </w:p>
    <w:p>
      <w:pPr>
        <w:widowControl/>
        <w:spacing w:line="360" w:lineRule="auto"/>
        <w:ind w:firstLine="470" w:firstLineChars="196"/>
        <w:jc w:val="left"/>
        <w:rPr>
          <w:rFonts w:ascii="宋体" w:hAnsi="宋体" w:cs="宋体"/>
          <w:bCs/>
          <w:sz w:val="24"/>
        </w:rPr>
      </w:pPr>
      <w:r>
        <w:rPr>
          <w:rFonts w:hint="eastAsia" w:ascii="宋体" w:hAnsi="宋体" w:cs="宋体"/>
          <w:sz w:val="24"/>
        </w:rPr>
        <w:t>投标日期：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rPr>
      </w:pPr>
    </w:p>
    <w:p>
      <w:pPr>
        <w:spacing w:line="400" w:lineRule="exact"/>
        <w:jc w:val="left"/>
        <w:rPr>
          <w:rFonts w:ascii="宋体" w:hAnsi="宋体" w:cs="宋体"/>
          <w:color w:val="000000"/>
          <w:sz w:val="24"/>
        </w:rPr>
      </w:pPr>
    </w:p>
    <w:p>
      <w:pPr>
        <w:pStyle w:val="4"/>
        <w:pageBreakBefore/>
        <w:spacing w:before="0" w:after="0" w:line="360" w:lineRule="auto"/>
        <w:jc w:val="center"/>
        <w:rPr>
          <w:rFonts w:ascii="宋体" w:hAnsi="宋体" w:eastAsia="宋体" w:cs="宋体"/>
          <w:spacing w:val="6"/>
        </w:rPr>
      </w:pPr>
      <w:r>
        <w:rPr>
          <w:rFonts w:hint="eastAsia" w:ascii="宋体" w:hAnsi="宋体" w:eastAsia="宋体" w:cs="宋体"/>
          <w:spacing w:val="6"/>
        </w:rPr>
        <w:t>十三、投标人认为需要提交的相关证明材料</w:t>
      </w:r>
    </w:p>
    <w:p>
      <w:pPr>
        <w:spacing w:line="240" w:lineRule="atLeast"/>
        <w:jc w:val="center"/>
        <w:rPr>
          <w:rFonts w:ascii="宋体" w:hAnsi="宋体" w:cs="宋体"/>
          <w:spacing w:val="6"/>
          <w:sz w:val="28"/>
          <w:szCs w:val="28"/>
        </w:rPr>
      </w:pPr>
      <w:r>
        <w:rPr>
          <w:rFonts w:hint="eastAsia" w:ascii="宋体" w:hAnsi="宋体" w:cs="宋体"/>
          <w:spacing w:val="6"/>
          <w:sz w:val="28"/>
          <w:szCs w:val="28"/>
        </w:rPr>
        <w:t>（如有，格式自拟）</w:t>
      </w:r>
    </w:p>
    <w:p>
      <w:pPr>
        <w:rPr>
          <w:rFonts w:ascii="宋体" w:hAnsi="宋体" w:cs="宋体"/>
          <w:b/>
          <w:bCs/>
        </w:rPr>
      </w:pPr>
      <w:r>
        <w:rPr>
          <w:rFonts w:hint="eastAsia" w:ascii="宋体" w:hAnsi="宋体" w:cs="宋体"/>
          <w:b/>
          <w:bCs/>
          <w:spacing w:val="6"/>
          <w:sz w:val="28"/>
          <w:szCs w:val="28"/>
        </w:rPr>
        <w:br w:type="page"/>
      </w:r>
      <w:bookmarkStart w:id="133" w:name="_Toc13820"/>
      <w:r>
        <w:rPr>
          <w:rFonts w:hint="eastAsia" w:ascii="宋体" w:hAnsi="宋体" w:cs="宋体"/>
          <w:b/>
          <w:bCs/>
          <w:sz w:val="32"/>
          <w:szCs w:val="32"/>
        </w:rPr>
        <w:t>第四章  投标人和投标产品的资格、资质性及其他类似效力要求</w:t>
      </w:r>
      <w:bookmarkEnd w:id="132"/>
      <w:bookmarkEnd w:id="133"/>
    </w:p>
    <w:p>
      <w:pPr>
        <w:pStyle w:val="4"/>
        <w:spacing w:line="360" w:lineRule="exact"/>
        <w:rPr>
          <w:rFonts w:ascii="宋体" w:hAnsi="宋体" w:eastAsia="宋体" w:cs="宋体"/>
          <w:sz w:val="28"/>
          <w:szCs w:val="28"/>
        </w:rPr>
      </w:pPr>
      <w:r>
        <w:rPr>
          <w:rFonts w:hint="eastAsia" w:ascii="宋体" w:hAnsi="宋体" w:eastAsia="宋体" w:cs="宋体"/>
          <w:sz w:val="28"/>
          <w:szCs w:val="28"/>
        </w:rPr>
        <w:t>一、投标人资格、资质性及其他类似效力要求</w:t>
      </w:r>
    </w:p>
    <w:p>
      <w:pPr>
        <w:tabs>
          <w:tab w:val="left" w:pos="7665"/>
        </w:tabs>
        <w:spacing w:line="360" w:lineRule="auto"/>
        <w:rPr>
          <w:rFonts w:ascii="宋体" w:hAnsi="宋体" w:cs="宋体"/>
          <w:sz w:val="24"/>
        </w:rPr>
      </w:pPr>
      <w:r>
        <w:rPr>
          <w:rFonts w:hint="eastAsia" w:ascii="宋体" w:hAnsi="宋体" w:cs="宋体"/>
          <w:sz w:val="24"/>
        </w:rPr>
        <w:t>（一）符合《中华人民共和国政府采购法》第二十二条规定：</w:t>
      </w:r>
    </w:p>
    <w:p>
      <w:pPr>
        <w:tabs>
          <w:tab w:val="left" w:pos="7665"/>
        </w:tabs>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480" w:firstLineChars="200"/>
        <w:rPr>
          <w:rFonts w:ascii="宋体" w:hAnsi="宋体" w:cs="宋体"/>
          <w:sz w:val="24"/>
        </w:rPr>
      </w:pPr>
      <w:r>
        <w:rPr>
          <w:rFonts w:hint="eastAsia" w:ascii="宋体" w:hAnsi="宋体" w:cs="宋体"/>
          <w:sz w:val="24"/>
        </w:rPr>
        <w:t>3、具有履行合同所必须的设备和专业技术能力。</w:t>
      </w:r>
    </w:p>
    <w:p>
      <w:pPr>
        <w:tabs>
          <w:tab w:val="left" w:pos="7665"/>
        </w:tabs>
        <w:spacing w:line="360" w:lineRule="auto"/>
        <w:ind w:firstLine="480" w:firstLineChars="200"/>
        <w:rPr>
          <w:rFonts w:ascii="宋体" w:hAnsi="宋体" w:cs="宋体"/>
          <w:sz w:val="24"/>
        </w:rPr>
      </w:pPr>
      <w:r>
        <w:rPr>
          <w:rFonts w:hint="eastAsia" w:ascii="宋体" w:hAnsi="宋体" w:cs="宋体"/>
          <w:sz w:val="24"/>
        </w:rPr>
        <w:t>4、具有依法缴纳税收和社会保障资金的良好记录。</w:t>
      </w:r>
    </w:p>
    <w:p>
      <w:pPr>
        <w:tabs>
          <w:tab w:val="left" w:pos="7665"/>
        </w:tabs>
        <w:spacing w:line="360" w:lineRule="auto"/>
        <w:ind w:firstLine="480" w:firstLineChars="200"/>
        <w:rPr>
          <w:rFonts w:ascii="宋体" w:hAnsi="宋体" w:cs="宋体"/>
          <w:sz w:val="24"/>
        </w:rPr>
      </w:pPr>
      <w:r>
        <w:rPr>
          <w:rFonts w:hint="eastAsia" w:ascii="宋体" w:hAnsi="宋体" w:cs="宋体"/>
          <w:sz w:val="24"/>
        </w:rPr>
        <w:t>5、参加本次政府采购活动前三年内，在经营活动中没有重大违法记录。</w:t>
      </w:r>
    </w:p>
    <w:p>
      <w:pPr>
        <w:tabs>
          <w:tab w:val="left" w:pos="7665"/>
        </w:tabs>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tabs>
          <w:tab w:val="left" w:pos="7665"/>
        </w:tabs>
        <w:spacing w:line="360" w:lineRule="auto"/>
        <w:rPr>
          <w:rFonts w:ascii="宋体" w:hAnsi="宋体" w:cs="宋体"/>
          <w:sz w:val="24"/>
        </w:rPr>
      </w:pPr>
      <w:r>
        <w:rPr>
          <w:rFonts w:hint="eastAsia" w:ascii="宋体" w:hAnsi="宋体" w:cs="宋体"/>
          <w:sz w:val="24"/>
        </w:rPr>
        <w:t>（二）根据项目特殊要求设置的特定条件：无。</w:t>
      </w:r>
    </w:p>
    <w:p>
      <w:pPr>
        <w:pStyle w:val="48"/>
        <w:ind w:firstLine="0" w:firstLineChars="0"/>
        <w:rPr>
          <w:rFonts w:ascii="宋体" w:hAnsi="宋体" w:cs="宋体"/>
          <w:sz w:val="24"/>
        </w:rPr>
      </w:pPr>
      <w:r>
        <w:rPr>
          <w:rFonts w:hint="eastAsia" w:ascii="宋体" w:hAnsi="宋体" w:cs="宋体"/>
          <w:sz w:val="24"/>
        </w:rPr>
        <w:t>（三）其他类似效力要求：</w:t>
      </w:r>
    </w:p>
    <w:p>
      <w:pPr>
        <w:pStyle w:val="48"/>
        <w:ind w:firstLine="480"/>
        <w:rPr>
          <w:rFonts w:ascii="宋体" w:hAnsi="宋体" w:cs="宋体"/>
          <w:sz w:val="24"/>
        </w:rPr>
      </w:pPr>
      <w:r>
        <w:rPr>
          <w:rFonts w:hint="eastAsia" w:ascii="宋体" w:hAnsi="宋体" w:cs="宋体"/>
          <w:sz w:val="24"/>
        </w:rPr>
        <w:t>1、授权参加本次投标活动的供应商代表证明材料；</w:t>
      </w:r>
    </w:p>
    <w:p>
      <w:pPr>
        <w:tabs>
          <w:tab w:val="left" w:pos="7665"/>
        </w:tabs>
        <w:spacing w:line="360" w:lineRule="auto"/>
        <w:ind w:firstLine="480" w:firstLineChars="200"/>
        <w:rPr>
          <w:rFonts w:ascii="宋体" w:hAnsi="宋体" w:cs="宋体"/>
          <w:sz w:val="24"/>
        </w:rPr>
      </w:pPr>
      <w:r>
        <w:rPr>
          <w:rFonts w:hint="eastAsia" w:ascii="宋体" w:hAnsi="宋体" w:cs="宋体"/>
          <w:sz w:val="24"/>
        </w:rPr>
        <w:t>2、供应商承诺参加本项目政府采购活动，单位及其现任法定代表人、主要负责人不得具有行贿犯罪记录。</w:t>
      </w:r>
    </w:p>
    <w:p>
      <w:pPr>
        <w:tabs>
          <w:tab w:val="left" w:pos="7665"/>
        </w:tabs>
        <w:spacing w:line="360" w:lineRule="auto"/>
        <w:ind w:firstLine="480" w:firstLineChars="200"/>
        <w:rPr>
          <w:rFonts w:ascii="宋体" w:hAnsi="宋体" w:cs="宋体"/>
          <w:sz w:val="24"/>
        </w:rPr>
      </w:pPr>
      <w:r>
        <w:rPr>
          <w:rFonts w:hint="eastAsia" w:ascii="宋体" w:hAnsi="宋体" w:cs="宋体"/>
          <w:sz w:val="24"/>
        </w:rPr>
        <w:t>3、根据《关于在政府采购活动中查询及使用信用记录有关问题的通知》（财库〔2016〕125号）的要求，采购人/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pPr>
        <w:tabs>
          <w:tab w:val="left" w:pos="7665"/>
        </w:tabs>
        <w:spacing w:line="360" w:lineRule="auto"/>
        <w:ind w:firstLine="480" w:firstLineChars="200"/>
        <w:rPr>
          <w:rFonts w:ascii="宋体" w:hAnsi="宋体" w:cs="宋体"/>
          <w:sz w:val="24"/>
        </w:rPr>
      </w:pPr>
      <w:r>
        <w:rPr>
          <w:rFonts w:hint="eastAsia" w:ascii="宋体" w:hAnsi="宋体" w:cs="宋体"/>
          <w:sz w:val="24"/>
        </w:rPr>
        <w:t>4、向采购代理机构购买了招标文件；</w:t>
      </w:r>
    </w:p>
    <w:p>
      <w:pPr>
        <w:tabs>
          <w:tab w:val="left" w:pos="7665"/>
        </w:tabs>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w:t>
      </w:r>
    </w:p>
    <w:p>
      <w:pPr>
        <w:tabs>
          <w:tab w:val="left" w:pos="7665"/>
        </w:tabs>
        <w:spacing w:line="360" w:lineRule="auto"/>
        <w:ind w:firstLine="480" w:firstLineChars="200"/>
        <w:rPr>
          <w:rFonts w:ascii="宋体" w:hAnsi="宋体" w:cs="宋体"/>
          <w:sz w:val="24"/>
        </w:rPr>
      </w:pPr>
      <w:r>
        <w:rPr>
          <w:rFonts w:hint="eastAsia" w:ascii="宋体" w:hAnsi="宋体" w:cs="宋体"/>
          <w:sz w:val="24"/>
        </w:rPr>
        <w:t>为采购项目提供整体设计、规范编制或者项目管理、监理、检测等服务的供应商，不得再参加该采购项目的其他采购活动。</w:t>
      </w:r>
    </w:p>
    <w:p>
      <w:pPr>
        <w:pStyle w:val="48"/>
        <w:ind w:firstLine="480"/>
        <w:rPr>
          <w:rFonts w:ascii="宋体" w:hAnsi="宋体" w:cs="宋体"/>
          <w:sz w:val="24"/>
        </w:rPr>
      </w:pPr>
      <w:r>
        <w:rPr>
          <w:rFonts w:hint="eastAsia" w:ascii="宋体" w:hAnsi="宋体" w:cs="宋体"/>
          <w:sz w:val="24"/>
        </w:rPr>
        <w:t>6、本项目不接受属于《四川省公共资源交易领域严重失信联合惩戒实施办法》（川发改信用规〔2019〕405号）、《关于对政府采购领域严重违法失信主体开展联合惩戒的合作备忘录》（发改财金〔2018〕1614号）等相关规定禁止参加政府采购活动的所有情形。</w:t>
      </w:r>
    </w:p>
    <w:p>
      <w:pPr>
        <w:pStyle w:val="48"/>
        <w:ind w:firstLine="480"/>
        <w:rPr>
          <w:rFonts w:ascii="宋体" w:hAnsi="宋体" w:cs="宋体"/>
          <w:sz w:val="24"/>
        </w:rPr>
      </w:pPr>
      <w:r>
        <w:rPr>
          <w:rFonts w:hint="eastAsia" w:ascii="宋体" w:hAnsi="宋体" w:cs="宋体"/>
          <w:sz w:val="24"/>
        </w:rPr>
        <w:t>7、本项目不接受联合体投标。</w:t>
      </w:r>
    </w:p>
    <w:p>
      <w:pPr>
        <w:pStyle w:val="48"/>
        <w:ind w:firstLine="480"/>
        <w:rPr>
          <w:rFonts w:ascii="宋体" w:hAnsi="宋体" w:cs="宋体"/>
          <w:sz w:val="24"/>
        </w:rPr>
      </w:pPr>
      <w:r>
        <w:rPr>
          <w:rFonts w:hint="eastAsia" w:ascii="宋体" w:hAnsi="宋体" w:cs="宋体"/>
          <w:sz w:val="24"/>
        </w:rPr>
        <w:t>8、本项目专门面向中小企业采购(监狱企业、残疾人福利性单位均视同小微企业)，非中小企业参与的将视为无效投标。</w:t>
      </w:r>
    </w:p>
    <w:p>
      <w:pPr>
        <w:pStyle w:val="4"/>
        <w:spacing w:before="0" w:after="0" w:line="360" w:lineRule="auto"/>
        <w:rPr>
          <w:rFonts w:ascii="宋体" w:hAnsi="宋体" w:eastAsia="宋体" w:cs="宋体"/>
          <w:sz w:val="28"/>
          <w:szCs w:val="28"/>
        </w:rPr>
      </w:pPr>
      <w:r>
        <w:rPr>
          <w:rFonts w:hint="eastAsia" w:ascii="宋体" w:hAnsi="宋体" w:eastAsia="宋体" w:cs="宋体"/>
          <w:b w:val="0"/>
          <w:bCs w:val="0"/>
          <w:sz w:val="28"/>
          <w:szCs w:val="28"/>
        </w:rPr>
        <w:t>二、</w:t>
      </w:r>
      <w:r>
        <w:rPr>
          <w:rFonts w:hint="eastAsia" w:ascii="宋体" w:hAnsi="宋体" w:eastAsia="宋体" w:cs="宋体"/>
          <w:sz w:val="28"/>
          <w:szCs w:val="28"/>
        </w:rPr>
        <w:t>投标产品的资格、资质性及其他具有类似效力的要求</w:t>
      </w:r>
    </w:p>
    <w:p>
      <w:pPr>
        <w:pStyle w:val="48"/>
        <w:ind w:firstLine="0" w:firstLineChars="0"/>
        <w:rPr>
          <w:rFonts w:ascii="宋体" w:hAnsi="宋体" w:cs="宋体"/>
          <w:b/>
          <w:bCs/>
          <w:sz w:val="24"/>
        </w:rPr>
      </w:pPr>
      <w:r>
        <w:rPr>
          <w:rFonts w:hint="eastAsia" w:ascii="宋体" w:hAnsi="宋体" w:cs="宋体"/>
          <w:b/>
          <w:bCs/>
          <w:sz w:val="24"/>
        </w:rPr>
        <w:t>（一）资格要求：无</w:t>
      </w:r>
    </w:p>
    <w:p>
      <w:pPr>
        <w:pStyle w:val="48"/>
        <w:ind w:firstLine="0" w:firstLineChars="0"/>
        <w:rPr>
          <w:rFonts w:ascii="宋体" w:hAnsi="宋体" w:cs="宋体"/>
          <w:b/>
          <w:bCs/>
          <w:sz w:val="24"/>
        </w:rPr>
      </w:pPr>
      <w:r>
        <w:rPr>
          <w:rFonts w:hint="eastAsia" w:ascii="宋体" w:hAnsi="宋体" w:cs="宋体"/>
          <w:b/>
          <w:bCs/>
          <w:sz w:val="24"/>
        </w:rPr>
        <w:t>（二）资质性要求：无</w:t>
      </w:r>
    </w:p>
    <w:p>
      <w:pPr>
        <w:pStyle w:val="48"/>
        <w:ind w:firstLine="0" w:firstLineChars="0"/>
        <w:rPr>
          <w:rFonts w:ascii="宋体" w:hAnsi="宋体" w:cs="宋体"/>
          <w:b/>
          <w:bCs/>
          <w:sz w:val="24"/>
        </w:rPr>
      </w:pPr>
      <w:r>
        <w:rPr>
          <w:rFonts w:hint="eastAsia" w:ascii="宋体" w:hAnsi="宋体" w:cs="宋体"/>
          <w:b/>
          <w:bCs/>
          <w:sz w:val="24"/>
        </w:rPr>
        <w:t>（三）其他类似效力要求：无</w:t>
      </w:r>
    </w:p>
    <w:p>
      <w:pPr>
        <w:pStyle w:val="48"/>
        <w:ind w:firstLine="0" w:firstLineChars="0"/>
        <w:rPr>
          <w:rFonts w:ascii="宋体" w:hAnsi="宋体" w:cs="宋体"/>
          <w:b/>
          <w:sz w:val="24"/>
        </w:rPr>
      </w:pPr>
    </w:p>
    <w:p>
      <w:pPr>
        <w:pStyle w:val="48"/>
        <w:ind w:firstLine="480"/>
        <w:rPr>
          <w:rFonts w:ascii="宋体" w:hAnsi="宋体" w:cs="宋体"/>
          <w:bCs/>
          <w:sz w:val="24"/>
        </w:rPr>
      </w:pPr>
      <w:r>
        <w:rPr>
          <w:rFonts w:hint="eastAsia" w:ascii="宋体" w:hAnsi="宋体" w:cs="宋体"/>
          <w:bCs/>
          <w:sz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50000元。</w:t>
      </w:r>
    </w:p>
    <w:p>
      <w:pPr>
        <w:pStyle w:val="48"/>
        <w:ind w:firstLine="470" w:firstLineChars="196"/>
        <w:rPr>
          <w:rFonts w:ascii="宋体" w:hAnsi="宋体" w:cs="宋体"/>
          <w:bCs/>
          <w:sz w:val="36"/>
          <w:szCs w:val="36"/>
        </w:rPr>
      </w:pPr>
      <w:r>
        <w:rPr>
          <w:rFonts w:hint="eastAsia" w:ascii="宋体" w:hAnsi="宋体" w:cs="宋体"/>
          <w:bCs/>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bookmarkStart w:id="134" w:name="_Toc1588"/>
    </w:p>
    <w:p>
      <w:pPr>
        <w:pStyle w:val="3"/>
        <w:spacing w:before="0" w:after="0" w:line="360" w:lineRule="auto"/>
        <w:jc w:val="center"/>
        <w:rPr>
          <w:rFonts w:ascii="宋体" w:hAnsi="宋体" w:cs="宋体"/>
        </w:rPr>
      </w:pPr>
      <w:r>
        <w:rPr>
          <w:rFonts w:hint="eastAsia" w:ascii="宋体" w:hAnsi="宋体" w:cs="宋体"/>
          <w:sz w:val="36"/>
          <w:szCs w:val="36"/>
        </w:rPr>
        <w:br w:type="page"/>
      </w:r>
      <w:bookmarkStart w:id="135" w:name="_Toc24123"/>
      <w:r>
        <w:rPr>
          <w:rFonts w:hint="eastAsia" w:ascii="宋体" w:hAnsi="宋体" w:cs="宋体"/>
          <w:sz w:val="36"/>
          <w:szCs w:val="36"/>
        </w:rPr>
        <w:t>第五章  投标人应当提供的资格、资质性及其他类似效力要求的相关证明材料</w:t>
      </w:r>
      <w:bookmarkEnd w:id="134"/>
      <w:bookmarkEnd w:id="135"/>
    </w:p>
    <w:p>
      <w:pPr>
        <w:pStyle w:val="4"/>
        <w:spacing w:before="0" w:after="0" w:line="360" w:lineRule="auto"/>
        <w:rPr>
          <w:rFonts w:ascii="宋体" w:hAnsi="宋体" w:eastAsia="宋体" w:cs="宋体"/>
          <w:sz w:val="24"/>
          <w:szCs w:val="24"/>
        </w:rPr>
      </w:pPr>
      <w:r>
        <w:rPr>
          <w:rFonts w:hint="eastAsia" w:ascii="宋体" w:hAnsi="宋体" w:eastAsia="宋体" w:cs="宋体"/>
          <w:sz w:val="24"/>
          <w:szCs w:val="24"/>
        </w:rPr>
        <w:t>一、应当提供的投标人资格、资质性及其他类似效力要求的相关证明材料</w:t>
      </w:r>
    </w:p>
    <w:p>
      <w:pPr>
        <w:spacing w:line="360" w:lineRule="auto"/>
        <w:ind w:firstLine="460" w:firstLineChars="192"/>
        <w:rPr>
          <w:rFonts w:ascii="宋体" w:hAnsi="宋体" w:cs="宋体"/>
          <w:sz w:val="24"/>
        </w:rPr>
      </w:pPr>
      <w:r>
        <w:rPr>
          <w:rFonts w:hint="eastAsia" w:ascii="宋体" w:hAnsi="宋体" w:cs="宋体"/>
          <w:sz w:val="24"/>
        </w:rPr>
        <w:t>（1）企业法人或其他组织参与本项目的，提供营业执照副本复印件（注：①在有效期内；②复印件加盖公章）。</w:t>
      </w:r>
    </w:p>
    <w:p>
      <w:pPr>
        <w:spacing w:line="360" w:lineRule="auto"/>
        <w:ind w:firstLine="460" w:firstLineChars="192"/>
        <w:rPr>
          <w:rFonts w:ascii="宋体" w:hAnsi="宋体" w:cs="宋体"/>
          <w:sz w:val="24"/>
        </w:rPr>
      </w:pPr>
      <w:r>
        <w:rPr>
          <w:rFonts w:hint="eastAsia" w:ascii="宋体" w:hAnsi="宋体" w:cs="宋体"/>
          <w:sz w:val="24"/>
        </w:rPr>
        <w:t>（2）事业单位法人参与本项目的，提供事业单位法人证书复印件（注：①在有效期内；②复印件加盖公章）。</w:t>
      </w:r>
    </w:p>
    <w:p>
      <w:pPr>
        <w:spacing w:line="360" w:lineRule="auto"/>
        <w:ind w:firstLine="460" w:firstLineChars="192"/>
        <w:rPr>
          <w:rFonts w:ascii="宋体" w:hAnsi="宋体" w:cs="宋体"/>
          <w:sz w:val="24"/>
        </w:rPr>
      </w:pPr>
      <w:r>
        <w:rPr>
          <w:rFonts w:hint="eastAsia" w:ascii="宋体" w:hAnsi="宋体" w:cs="宋体"/>
          <w:sz w:val="24"/>
        </w:rPr>
        <w:t>（3）自然人参与本项目的，提供身份证复印件（注：①在有效期内；②复印件上本人签名）。</w:t>
      </w:r>
    </w:p>
    <w:p>
      <w:pPr>
        <w:spacing w:line="360" w:lineRule="auto"/>
        <w:ind w:firstLine="460" w:firstLineChars="192"/>
        <w:rPr>
          <w:rFonts w:ascii="宋体" w:hAnsi="宋体" w:cs="宋体"/>
          <w:sz w:val="24"/>
        </w:rPr>
      </w:pPr>
      <w:r>
        <w:rPr>
          <w:rFonts w:hint="eastAsia" w:ascii="宋体" w:hAnsi="宋体" w:cs="宋体"/>
          <w:sz w:val="24"/>
        </w:rPr>
        <w:t>以上三类材料只需提供任意一种即可。</w:t>
      </w:r>
    </w:p>
    <w:p>
      <w:pPr>
        <w:spacing w:line="360" w:lineRule="auto"/>
        <w:ind w:firstLine="460" w:firstLineChars="192"/>
        <w:rPr>
          <w:rFonts w:ascii="宋体" w:hAnsi="宋体" w:cs="宋体"/>
          <w:sz w:val="24"/>
        </w:rPr>
      </w:pPr>
      <w:r>
        <w:rPr>
          <w:rFonts w:hint="eastAsia" w:ascii="宋体" w:hAnsi="宋体" w:cs="宋体"/>
          <w:sz w:val="24"/>
        </w:rPr>
        <w:t>（4）具备健全的财务会计制度的证明材料。｛注：①可提供2019年度或2020年度经审计的财务报告复印件（包含“审计报告；财务报表至少包含资产负债表、利润表、现金流量表；报告附注”；事业单位法人的财务报表按规定提供），②也可提供2019年度或2020年度供应商内部的财务报表复印件（至少包含资产负债表），③也可提供距文件递交截止日一年内银行出具的资信证明（复印件），④供应商注册时间至响应文件递交截止日不足一年的，也可提供在工商部门备案的公司章程并加盖相关管理部门印章；｝</w:t>
      </w:r>
    </w:p>
    <w:p>
      <w:pPr>
        <w:spacing w:line="360" w:lineRule="auto"/>
        <w:ind w:firstLine="460" w:firstLineChars="192"/>
        <w:rPr>
          <w:rFonts w:ascii="宋体" w:hAnsi="宋体" w:cs="宋体"/>
          <w:sz w:val="24"/>
        </w:rPr>
      </w:pPr>
      <w:r>
        <w:rPr>
          <w:rFonts w:hint="eastAsia" w:ascii="宋体" w:hAnsi="宋体" w:cs="宋体"/>
          <w:sz w:val="24"/>
        </w:rPr>
        <w:t>（5）具备良好商业信誉的证明材料。（可提供承诺函）</w:t>
      </w:r>
    </w:p>
    <w:p>
      <w:pPr>
        <w:spacing w:line="360" w:lineRule="auto"/>
        <w:ind w:firstLine="460" w:firstLineChars="192"/>
        <w:rPr>
          <w:rFonts w:ascii="宋体" w:hAnsi="宋体" w:cs="宋体"/>
          <w:sz w:val="24"/>
        </w:rPr>
      </w:pPr>
      <w:r>
        <w:rPr>
          <w:rFonts w:hint="eastAsia" w:ascii="宋体" w:hAnsi="宋体" w:cs="宋体"/>
          <w:sz w:val="24"/>
        </w:rPr>
        <w:t>（6）具有依法缴纳税收和社会保障资金的良好记录。（①可提供2020年1月1日以来任意一个月缴纳税收和社保资金的凭证；②也可提供税务主管部门和社保主管部门提供的相关证明材料；</w:t>
      </w: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供应商注册时间至投标文件递交截止日不足一年的，也可提供承诺函）</w:t>
      </w:r>
    </w:p>
    <w:p>
      <w:pPr>
        <w:spacing w:line="360" w:lineRule="auto"/>
        <w:ind w:firstLine="460" w:firstLineChars="192"/>
        <w:rPr>
          <w:rFonts w:ascii="宋体" w:hAnsi="宋体" w:cs="宋体"/>
          <w:sz w:val="24"/>
        </w:rPr>
      </w:pPr>
      <w:r>
        <w:rPr>
          <w:rFonts w:hint="eastAsia" w:ascii="宋体" w:hAnsi="宋体" w:cs="宋体"/>
          <w:sz w:val="24"/>
        </w:rPr>
        <w:t>（7）具备履行合同所必需的设备和专业技术能力的证明材料。（可提供承诺函）</w:t>
      </w:r>
    </w:p>
    <w:p>
      <w:pPr>
        <w:spacing w:line="360" w:lineRule="auto"/>
        <w:ind w:firstLine="460" w:firstLineChars="192"/>
        <w:rPr>
          <w:rFonts w:ascii="宋体" w:hAnsi="宋体" w:cs="宋体"/>
          <w:sz w:val="24"/>
        </w:rPr>
      </w:pPr>
      <w:r>
        <w:rPr>
          <w:rFonts w:hint="eastAsia" w:ascii="宋体" w:hAnsi="宋体" w:cs="宋体"/>
          <w:sz w:val="24"/>
        </w:rPr>
        <w:t>（8）参加政府采购活动前3年内在经营活动中没有重大违法记录。（可提供承诺函）</w:t>
      </w:r>
    </w:p>
    <w:p>
      <w:pPr>
        <w:spacing w:line="360" w:lineRule="auto"/>
        <w:ind w:firstLine="460" w:firstLineChars="192"/>
        <w:rPr>
          <w:rFonts w:ascii="宋体" w:hAnsi="宋体" w:cs="宋体"/>
          <w:sz w:val="24"/>
        </w:rPr>
      </w:pPr>
      <w:r>
        <w:rPr>
          <w:rFonts w:hint="eastAsia" w:ascii="宋体" w:hAnsi="宋体" w:cs="宋体"/>
          <w:sz w:val="24"/>
        </w:rPr>
        <w:t>（9）具备法律、行政法规规定的其他条件的证明材料。（可提供承诺函）</w:t>
      </w:r>
    </w:p>
    <w:p>
      <w:pPr>
        <w:spacing w:line="360" w:lineRule="auto"/>
        <w:ind w:firstLine="460" w:firstLineChars="192"/>
        <w:rPr>
          <w:rFonts w:ascii="宋体" w:hAnsi="宋体" w:cs="宋体"/>
          <w:sz w:val="24"/>
        </w:rPr>
      </w:pPr>
      <w:r>
        <w:rPr>
          <w:rFonts w:hint="eastAsia" w:ascii="宋体" w:hAnsi="宋体" w:cs="宋体"/>
          <w:sz w:val="24"/>
        </w:rPr>
        <w:t>（10）法定代表人授权书原件。（①附法定代表人身份证明文件复印件；②法定代表人参与投标时不需要提供）</w:t>
      </w:r>
    </w:p>
    <w:p>
      <w:pPr>
        <w:spacing w:line="360" w:lineRule="auto"/>
        <w:ind w:firstLine="460" w:firstLineChars="192"/>
        <w:rPr>
          <w:rFonts w:ascii="宋体" w:hAnsi="宋体" w:cs="宋体"/>
          <w:sz w:val="24"/>
        </w:rPr>
      </w:pPr>
      <w:r>
        <w:rPr>
          <w:rFonts w:hint="eastAsia" w:ascii="宋体" w:hAnsi="宋体" w:cs="宋体"/>
          <w:sz w:val="24"/>
        </w:rPr>
        <w:t>（11）被授权代表的身份证明文件复印件。（法定代表人参加投标时不需要提供）</w:t>
      </w:r>
    </w:p>
    <w:p>
      <w:pPr>
        <w:spacing w:line="360" w:lineRule="auto"/>
        <w:ind w:firstLine="460" w:firstLineChars="192"/>
        <w:rPr>
          <w:rFonts w:ascii="宋体" w:hAnsi="宋体" w:cs="宋体"/>
          <w:sz w:val="24"/>
        </w:rPr>
      </w:pPr>
      <w:r>
        <w:rPr>
          <w:rFonts w:hint="eastAsia" w:ascii="宋体" w:hAnsi="宋体" w:cs="宋体"/>
          <w:sz w:val="24"/>
        </w:rPr>
        <w:t>（12）供应商承诺参加本项目政府采购活动，单位及其现任法定代表人、主要负责人不得具有行贿犯罪记录。（提供承诺函）。</w:t>
      </w:r>
    </w:p>
    <w:p>
      <w:pPr>
        <w:spacing w:line="360" w:lineRule="auto"/>
        <w:ind w:firstLine="460" w:firstLineChars="192"/>
        <w:rPr>
          <w:rFonts w:ascii="宋体" w:hAnsi="宋体" w:cs="宋体"/>
          <w:sz w:val="24"/>
        </w:rPr>
      </w:pPr>
      <w:r>
        <w:rPr>
          <w:rFonts w:hint="eastAsia" w:ascii="宋体" w:hAnsi="宋体" w:cs="宋体"/>
          <w:sz w:val="24"/>
        </w:rPr>
        <w:t>（13）根据《关于在政府采购活动中查询及使用信用记录有关问题的通知》（财库〔2016〕125号）的要求，采购人/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r>
        <w:rPr>
          <w:rFonts w:hint="eastAsia" w:ascii="宋体" w:hAnsi="宋体" w:cs="宋体"/>
          <w:b/>
          <w:sz w:val="24"/>
        </w:rPr>
        <w:t>投标人不需提供本项证明资料</w:t>
      </w:r>
      <w:r>
        <w:rPr>
          <w:rFonts w:hint="eastAsia" w:ascii="宋体" w:hAnsi="宋体" w:cs="宋体"/>
          <w:sz w:val="24"/>
        </w:rPr>
        <w:t>，由采购代理机构在递交响应文件截止之日，查询各供应商的信用记录并保存信用记录结果网页截图。</w:t>
      </w:r>
    </w:p>
    <w:p>
      <w:pPr>
        <w:spacing w:line="360" w:lineRule="auto"/>
        <w:ind w:firstLine="480" w:firstLineChars="200"/>
        <w:rPr>
          <w:rFonts w:ascii="宋体" w:hAnsi="宋体" w:cs="宋体"/>
          <w:sz w:val="24"/>
        </w:rPr>
      </w:pPr>
      <w:r>
        <w:rPr>
          <w:rFonts w:hint="eastAsia" w:ascii="宋体" w:hAnsi="宋体" w:cs="宋体"/>
          <w:sz w:val="24"/>
        </w:rPr>
        <w:t>（14）向采购代理机构购买了招标文件。（</w:t>
      </w:r>
      <w:r>
        <w:rPr>
          <w:rFonts w:hint="eastAsia" w:ascii="宋体" w:hAnsi="宋体" w:cs="宋体"/>
          <w:b/>
          <w:sz w:val="24"/>
        </w:rPr>
        <w:t>供应商不需提供本项证明资料</w:t>
      </w:r>
      <w:r>
        <w:rPr>
          <w:rFonts w:hint="eastAsia" w:ascii="宋体" w:hAnsi="宋体" w:cs="宋体"/>
          <w:sz w:val="24"/>
        </w:rPr>
        <w:t>，由采购代理机构将相关资料交资格审查小组）</w:t>
      </w:r>
    </w:p>
    <w:p>
      <w:pPr>
        <w:spacing w:line="360" w:lineRule="auto"/>
        <w:ind w:firstLine="460" w:firstLineChars="192"/>
        <w:rPr>
          <w:rFonts w:ascii="宋体" w:hAnsi="宋体" w:cs="宋体"/>
          <w:sz w:val="24"/>
        </w:rPr>
      </w:pPr>
      <w:r>
        <w:rPr>
          <w:rFonts w:hint="eastAsia" w:ascii="宋体" w:hAnsi="宋体" w:cs="宋体"/>
          <w:sz w:val="24"/>
        </w:rPr>
        <w:t>（15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详见资格性投标文件格式三、承诺函）。</w:t>
      </w:r>
    </w:p>
    <w:p>
      <w:pPr>
        <w:spacing w:line="360" w:lineRule="auto"/>
        <w:ind w:firstLine="460" w:firstLineChars="192"/>
        <w:rPr>
          <w:rFonts w:ascii="宋体" w:hAnsi="宋体" w:cs="宋体"/>
          <w:sz w:val="24"/>
        </w:rPr>
      </w:pPr>
      <w:r>
        <w:rPr>
          <w:rFonts w:hint="eastAsia" w:ascii="宋体" w:hAnsi="宋体" w:cs="宋体"/>
          <w:sz w:val="24"/>
        </w:rPr>
        <w:t>（16）我公司不属于《四川省公共资源交易领域严重失信联合惩戒实施办法》（川发改信用规〔2019〕405号）、《关于对政府采购领域严重违法失信主体开展联合惩戒的合作备忘录》（发改财金〔2018〕1614号）等相关规定禁止参加政府采购活动的所有情形。（可提供承诺函）</w:t>
      </w:r>
    </w:p>
    <w:p>
      <w:pPr>
        <w:tabs>
          <w:tab w:val="left" w:pos="7665"/>
        </w:tabs>
        <w:spacing w:line="360" w:lineRule="auto"/>
        <w:ind w:firstLine="480" w:firstLineChars="200"/>
        <w:rPr>
          <w:rFonts w:ascii="宋体" w:hAnsi="宋体" w:cs="宋体"/>
          <w:sz w:val="24"/>
        </w:rPr>
      </w:pPr>
      <w:r>
        <w:rPr>
          <w:rFonts w:hint="eastAsia" w:ascii="宋体" w:hAnsi="宋体" w:cs="宋体"/>
          <w:sz w:val="24"/>
        </w:rPr>
        <w:t>（17）本项目专门面向中小企业采购(监狱企业、残疾人福利性单位均视同小微企业)，非中小企业参与的将视为无效投标。（按照招标文件“第三章 投标文件格式”资格性投标文件中第五/第六/第七提供即可。）</w:t>
      </w:r>
    </w:p>
    <w:p>
      <w:pPr>
        <w:tabs>
          <w:tab w:val="left" w:pos="7665"/>
        </w:tabs>
        <w:spacing w:line="360" w:lineRule="auto"/>
        <w:ind w:firstLine="480" w:firstLineChars="200"/>
        <w:rPr>
          <w:rFonts w:ascii="宋体" w:hAnsi="宋体" w:cs="宋体"/>
        </w:rPr>
      </w:pPr>
      <w:r>
        <w:rPr>
          <w:rFonts w:hint="eastAsia" w:ascii="宋体" w:hAnsi="宋体" w:cs="宋体"/>
          <w:sz w:val="24"/>
        </w:rPr>
        <w:t>（18）不属于联合体投标承诺函（格式可自拟）。</w:t>
      </w:r>
    </w:p>
    <w:p>
      <w:pPr>
        <w:spacing w:line="360" w:lineRule="auto"/>
        <w:ind w:firstLine="480"/>
        <w:rPr>
          <w:rFonts w:ascii="宋体" w:hAnsi="宋体" w:cs="宋体"/>
          <w:b/>
          <w:bCs/>
          <w:sz w:val="24"/>
        </w:rPr>
      </w:pPr>
      <w:r>
        <w:rPr>
          <w:rFonts w:hint="eastAsia" w:ascii="宋体" w:hAnsi="宋体" w:cs="宋体"/>
          <w:b/>
          <w:bCs/>
          <w:sz w:val="24"/>
        </w:rPr>
        <w:t>二、供应商应提供的报价产品的资格、资质性及其他类似效力要求的相关证明材料：</w:t>
      </w:r>
    </w:p>
    <w:p>
      <w:pPr>
        <w:pStyle w:val="48"/>
        <w:ind w:firstLine="480"/>
        <w:rPr>
          <w:rFonts w:ascii="宋体" w:hAnsi="宋体" w:cs="宋体"/>
          <w:sz w:val="24"/>
        </w:rPr>
      </w:pPr>
      <w:r>
        <w:rPr>
          <w:rFonts w:hint="eastAsia" w:ascii="宋体" w:hAnsi="宋体" w:cs="宋体"/>
          <w:sz w:val="24"/>
        </w:rPr>
        <w:t>本项目采购要求中不涉及强制采购产品。</w:t>
      </w:r>
    </w:p>
    <w:p>
      <w:pPr>
        <w:spacing w:line="360" w:lineRule="auto"/>
        <w:rPr>
          <w:rFonts w:ascii="宋体" w:hAnsi="宋体" w:cs="宋体"/>
          <w:sz w:val="24"/>
        </w:rPr>
      </w:pPr>
      <w:r>
        <w:rPr>
          <w:rFonts w:hint="eastAsia" w:ascii="宋体" w:hAnsi="宋体" w:cs="宋体"/>
          <w:sz w:val="24"/>
        </w:rPr>
        <w:t>注：</w:t>
      </w:r>
    </w:p>
    <w:p>
      <w:pPr>
        <w:spacing w:line="360" w:lineRule="auto"/>
        <w:rPr>
          <w:rFonts w:ascii="宋体" w:hAnsi="宋体" w:cs="宋体"/>
          <w:sz w:val="24"/>
        </w:rPr>
      </w:pPr>
      <w:r>
        <w:rPr>
          <w:rFonts w:hint="eastAsia" w:ascii="宋体" w:hAnsi="宋体" w:cs="宋体"/>
          <w:sz w:val="24"/>
        </w:rPr>
        <w:t>1.本章要求提供的相关证明材料应当与第四章的规定要求对应，除供应商自愿以外，不能要求供应商提供额外的证明材料。如果要求提供额外的证明材料，供应商有权拒绝提供，且不影响响应文件的有效性和完整性。</w:t>
      </w:r>
    </w:p>
    <w:p>
      <w:pPr>
        <w:spacing w:line="360" w:lineRule="auto"/>
        <w:rPr>
          <w:rFonts w:ascii="宋体" w:hAnsi="宋体" w:cs="宋体"/>
          <w:sz w:val="24"/>
        </w:rPr>
      </w:pPr>
      <w:r>
        <w:rPr>
          <w:rFonts w:hint="eastAsia" w:ascii="宋体" w:hAnsi="宋体" w:cs="宋体"/>
          <w:sz w:val="24"/>
        </w:rPr>
        <w:t>2.本章要求提供的相关证明材料应当结合采购项目具体情况和供应商的组织机构性质确定，不得一概而论。</w:t>
      </w:r>
    </w:p>
    <w:p>
      <w:pPr>
        <w:spacing w:line="360" w:lineRule="auto"/>
        <w:rPr>
          <w:rFonts w:ascii="宋体" w:hAnsi="宋体" w:cs="宋体"/>
        </w:rPr>
      </w:pPr>
      <w:r>
        <w:rPr>
          <w:rFonts w:hint="eastAsia" w:ascii="宋体" w:hAnsi="宋体" w:cs="宋体"/>
          <w:color w:val="000000"/>
          <w:sz w:val="24"/>
        </w:rPr>
        <w:t>3.以上证明材料中，要求提供承诺函的，第三章响应文件格式中已有承诺的，供应商可以只提供格式文件中的承诺函，不再针对每条证明材料单独进行承诺；第三章响应文件格式中没有的承诺，供应商可以将相关承诺在同一份承诺函中一并承诺，也可以单独承诺。</w:t>
      </w:r>
    </w:p>
    <w:p>
      <w:pPr>
        <w:spacing w:line="360" w:lineRule="auto"/>
        <w:rPr>
          <w:rFonts w:ascii="宋体" w:hAnsi="宋体" w:cs="宋体"/>
          <w:b/>
          <w:bCs/>
          <w:sz w:val="24"/>
        </w:rPr>
      </w:pPr>
      <w:r>
        <w:rPr>
          <w:rFonts w:hint="eastAsia" w:ascii="宋体" w:hAnsi="宋体" w:cs="宋体"/>
          <w:b/>
          <w:bCs/>
          <w:sz w:val="24"/>
        </w:rPr>
        <w:t>4.以上要求的资料复印件（身份证明文件除外）均须加盖投标单位的公章（鲜章）。</w:t>
      </w:r>
    </w:p>
    <w:p>
      <w:pPr>
        <w:rPr>
          <w:rFonts w:ascii="宋体" w:hAnsi="宋体" w:cs="宋体"/>
          <w:b/>
          <w:sz w:val="24"/>
        </w:rPr>
      </w:pPr>
      <w:bookmarkStart w:id="136" w:name="_Toc217446093"/>
    </w:p>
    <w:bookmarkEnd w:id="136"/>
    <w:p>
      <w:pPr>
        <w:rPr>
          <w:rFonts w:ascii="宋体" w:hAnsi="宋体" w:cs="宋体"/>
          <w:sz w:val="36"/>
          <w:szCs w:val="36"/>
        </w:rPr>
      </w:pPr>
      <w:bookmarkStart w:id="137" w:name="_Toc3166"/>
      <w:bookmarkStart w:id="138" w:name="_Toc217446094"/>
      <w:r>
        <w:rPr>
          <w:rFonts w:hint="eastAsia" w:ascii="宋体" w:hAnsi="宋体" w:cs="宋体"/>
          <w:sz w:val="36"/>
          <w:szCs w:val="36"/>
        </w:rPr>
        <w:br w:type="page"/>
      </w:r>
    </w:p>
    <w:p>
      <w:pPr>
        <w:pStyle w:val="3"/>
        <w:numPr>
          <w:ilvl w:val="0"/>
          <w:numId w:val="8"/>
        </w:numPr>
        <w:spacing w:before="0" w:after="0" w:line="360" w:lineRule="auto"/>
        <w:ind w:firstLine="354" w:firstLineChars="98"/>
        <w:jc w:val="center"/>
        <w:rPr>
          <w:rFonts w:ascii="宋体" w:hAnsi="宋体" w:cs="宋体"/>
          <w:sz w:val="36"/>
          <w:szCs w:val="36"/>
        </w:rPr>
      </w:pPr>
      <w:r>
        <w:rPr>
          <w:rFonts w:hint="eastAsia" w:ascii="宋体" w:hAnsi="宋体" w:cs="宋体"/>
          <w:sz w:val="36"/>
          <w:szCs w:val="36"/>
        </w:rPr>
        <w:t>招标项目技术、服务、政府采购合同内容条款及其他商务要求</w:t>
      </w:r>
      <w:bookmarkEnd w:id="137"/>
    </w:p>
    <w:p>
      <w:pPr>
        <w:spacing w:line="360" w:lineRule="auto"/>
        <w:outlineLvl w:val="0"/>
        <w:rPr>
          <w:rFonts w:ascii="宋体" w:hAnsi="宋体" w:cs="宋体"/>
          <w:b/>
          <w:sz w:val="24"/>
        </w:rPr>
      </w:pPr>
      <w:r>
        <w:rPr>
          <w:rFonts w:hint="eastAsia" w:ascii="宋体" w:hAnsi="宋体" w:cs="宋体"/>
          <w:b/>
          <w:sz w:val="24"/>
        </w:rPr>
        <w:t>一、项目概况</w:t>
      </w:r>
    </w:p>
    <w:p>
      <w:pPr>
        <w:spacing w:line="360" w:lineRule="auto"/>
        <w:ind w:firstLine="480" w:firstLineChars="200"/>
        <w:rPr>
          <w:rFonts w:ascii="宋体" w:hAnsi="宋体" w:cs="宋体"/>
          <w:sz w:val="24"/>
        </w:rPr>
      </w:pPr>
      <w:r>
        <w:rPr>
          <w:rFonts w:hint="eastAsia" w:ascii="宋体" w:hAnsi="宋体" w:cs="宋体"/>
          <w:sz w:val="24"/>
        </w:rPr>
        <w:t>新经济的发展基础需要全力推动政府数字化转型增效，针对为数字经济体提供服务的个体及中小微经济提供经营便利性，形成数字服务生态，提高规模经济和范围经济效益。进一步完善个体及小微经济的帮扶服务，不断增加可办理的高频政务民生服务数量，推进智慧政务建设，通过电子发票、小程序入口和数据中台能力提升效率、节约成本、加强监管，提升简阳市营商环境。</w:t>
      </w:r>
    </w:p>
    <w:p>
      <w:pPr>
        <w:spacing w:line="360" w:lineRule="auto"/>
        <w:ind w:firstLine="480" w:firstLineChars="200"/>
        <w:rPr>
          <w:rFonts w:ascii="宋体" w:hAnsi="宋体" w:cs="宋体"/>
          <w:sz w:val="24"/>
        </w:rPr>
      </w:pPr>
      <w:r>
        <w:rPr>
          <w:rFonts w:hint="eastAsia" w:ascii="宋体" w:hAnsi="宋体" w:cs="宋体"/>
          <w:sz w:val="24"/>
        </w:rPr>
        <w:t>简阳市政府为落实党中央、国务院有关提升中小企业专业化能力的决策部署，特以财税数字化智能化赋能中小企业寻求专业服务商。</w:t>
      </w:r>
    </w:p>
    <w:p>
      <w:pPr>
        <w:spacing w:line="360" w:lineRule="auto"/>
        <w:ind w:firstLine="480" w:firstLineChars="200"/>
        <w:rPr>
          <w:rFonts w:ascii="宋体" w:hAnsi="宋体" w:cs="宋体"/>
          <w:sz w:val="24"/>
        </w:rPr>
      </w:pPr>
      <w:r>
        <w:rPr>
          <w:rFonts w:hint="eastAsia" w:ascii="宋体" w:hAnsi="宋体" w:cs="宋体"/>
          <w:sz w:val="24"/>
        </w:rPr>
        <w:t>为给中小微企业提供一个快捷、实用、有效的在线信息互动平台，既能及时了解相关政务信息，实时开展咨询，又能实现政企双方零距离接触，以大大减少中小微企业往返政务部门的次数，节约办事成本，提高中小微企业的满意度。为给政务干部提供了政务服务的支撑，政务干部可针对不同中小微企业，对各类报表及数据信息无纸化采集，将政务管理人员从日常繁琐的逐户通知方式中解脱出来， 减轻工作负担，促进服务质量和监管效率的提高。</w:t>
      </w:r>
    </w:p>
    <w:p>
      <w:pPr>
        <w:spacing w:line="360" w:lineRule="auto"/>
        <w:ind w:firstLine="480" w:firstLineChars="200"/>
        <w:rPr>
          <w:rFonts w:ascii="宋体" w:hAnsi="宋体" w:cs="宋体"/>
          <w:kern w:val="0"/>
          <w:sz w:val="24"/>
          <w:highlight w:val="yellow"/>
        </w:rPr>
      </w:pPr>
      <w:r>
        <w:rPr>
          <w:rFonts w:hint="eastAsia" w:ascii="宋体" w:hAnsi="宋体" w:cs="宋体"/>
          <w:sz w:val="24"/>
        </w:rPr>
        <w:t>现简阳市政府特寻求专业服务商，以实现政务部门与中小微企业的即时有效互动沟通。</w:t>
      </w:r>
    </w:p>
    <w:p>
      <w:pPr>
        <w:spacing w:line="360" w:lineRule="auto"/>
        <w:outlineLvl w:val="0"/>
        <w:rPr>
          <w:rFonts w:ascii="宋体" w:hAnsi="宋体" w:cs="宋体"/>
          <w:b/>
          <w:sz w:val="24"/>
        </w:rPr>
      </w:pPr>
      <w:r>
        <w:rPr>
          <w:rFonts w:hint="eastAsia" w:ascii="宋体" w:hAnsi="宋体" w:cs="宋体"/>
          <w:b/>
          <w:sz w:val="24"/>
        </w:rPr>
        <w:t>二、服务清单</w:t>
      </w:r>
    </w:p>
    <w:tbl>
      <w:tblPr>
        <w:tblStyle w:val="59"/>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93"/>
        <w:gridCol w:w="4557"/>
        <w:gridCol w:w="1456"/>
        <w:gridCol w:w="14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spacing w:before="50" w:line="360" w:lineRule="auto"/>
              <w:jc w:val="center"/>
              <w:rPr>
                <w:rFonts w:ascii="宋体" w:hAnsi="宋体" w:cs="宋体"/>
                <w:sz w:val="24"/>
              </w:rPr>
            </w:pPr>
            <w:r>
              <w:rPr>
                <w:rFonts w:hint="eastAsia" w:ascii="宋体" w:hAnsi="宋体" w:cs="宋体"/>
                <w:spacing w:val="-3"/>
                <w:sz w:val="24"/>
              </w:rPr>
              <w:t>序号</w:t>
            </w:r>
          </w:p>
        </w:tc>
        <w:tc>
          <w:tcPr>
            <w:tcW w:w="2542" w:type="pct"/>
            <w:vAlign w:val="center"/>
          </w:tcPr>
          <w:p>
            <w:pPr>
              <w:spacing w:before="50" w:line="360" w:lineRule="auto"/>
              <w:jc w:val="center"/>
              <w:rPr>
                <w:rFonts w:ascii="宋体" w:hAnsi="宋体" w:cs="宋体"/>
                <w:sz w:val="24"/>
              </w:rPr>
            </w:pPr>
            <w:r>
              <w:rPr>
                <w:rFonts w:hint="eastAsia" w:ascii="宋体" w:hAnsi="宋体" w:cs="宋体"/>
                <w:spacing w:val="-6"/>
                <w:sz w:val="24"/>
              </w:rPr>
              <w:t>服务清单</w:t>
            </w:r>
          </w:p>
        </w:tc>
        <w:tc>
          <w:tcPr>
            <w:tcW w:w="812" w:type="pct"/>
            <w:vAlign w:val="center"/>
          </w:tcPr>
          <w:p>
            <w:pPr>
              <w:spacing w:before="50" w:line="360" w:lineRule="auto"/>
              <w:jc w:val="center"/>
              <w:rPr>
                <w:rFonts w:hint="eastAsia" w:ascii="宋体" w:hAnsi="宋体" w:eastAsia="宋体" w:cs="宋体"/>
                <w:spacing w:val="-6"/>
                <w:sz w:val="24"/>
                <w:lang w:eastAsia="zh-CN"/>
              </w:rPr>
            </w:pPr>
            <w:r>
              <w:rPr>
                <w:rFonts w:hint="eastAsia" w:ascii="宋体" w:hAnsi="宋体" w:cs="宋体"/>
                <w:spacing w:val="-6"/>
                <w:sz w:val="24"/>
                <w:lang w:eastAsia="zh-CN"/>
              </w:rPr>
              <w:t>数量</w:t>
            </w:r>
          </w:p>
        </w:tc>
        <w:tc>
          <w:tcPr>
            <w:tcW w:w="812" w:type="pct"/>
            <w:vAlign w:val="center"/>
          </w:tcPr>
          <w:p>
            <w:pPr>
              <w:spacing w:before="50" w:line="360" w:lineRule="auto"/>
              <w:jc w:val="center"/>
              <w:rPr>
                <w:rFonts w:hint="eastAsia" w:ascii="宋体" w:hAnsi="宋体" w:eastAsia="宋体" w:cs="宋体"/>
                <w:spacing w:val="-6"/>
                <w:sz w:val="24"/>
                <w:lang w:eastAsia="zh-CN"/>
              </w:rPr>
            </w:pPr>
            <w:r>
              <w:rPr>
                <w:rFonts w:hint="eastAsia" w:ascii="宋体" w:hAnsi="宋体" w:cs="宋体"/>
                <w:spacing w:val="-6"/>
                <w:sz w:val="24"/>
                <w:lang w:eastAsia="zh-CN"/>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spacing w:before="88" w:line="360" w:lineRule="auto"/>
              <w:jc w:val="center"/>
              <w:rPr>
                <w:rFonts w:ascii="宋体" w:hAnsi="宋体" w:cs="宋体"/>
                <w:sz w:val="24"/>
              </w:rPr>
            </w:pPr>
            <w:r>
              <w:rPr>
                <w:rFonts w:hint="eastAsia" w:ascii="宋体" w:hAnsi="宋体" w:cs="宋体"/>
                <w:sz w:val="24"/>
              </w:rPr>
              <w:t>1</w:t>
            </w:r>
          </w:p>
        </w:tc>
        <w:tc>
          <w:tcPr>
            <w:tcW w:w="2542" w:type="pct"/>
            <w:vAlign w:val="center"/>
          </w:tcPr>
          <w:p>
            <w:pPr>
              <w:spacing w:before="55" w:line="360" w:lineRule="auto"/>
              <w:jc w:val="center"/>
              <w:rPr>
                <w:rFonts w:ascii="宋体" w:hAnsi="宋体" w:cs="宋体"/>
                <w:spacing w:val="-5"/>
                <w:sz w:val="24"/>
              </w:rPr>
            </w:pPr>
            <w:r>
              <w:rPr>
                <w:rFonts w:hint="eastAsia" w:ascii="宋体" w:hAnsi="宋体" w:cs="宋体"/>
                <w:bCs/>
                <w:color w:val="000000"/>
                <w:kern w:val="0"/>
                <w:sz w:val="24"/>
              </w:rPr>
              <w:t>云上开票</w:t>
            </w:r>
          </w:p>
        </w:tc>
        <w:tc>
          <w:tcPr>
            <w:tcW w:w="812" w:type="pct"/>
            <w:vAlign w:val="center"/>
          </w:tcPr>
          <w:p>
            <w:pPr>
              <w:spacing w:before="55" w:line="360" w:lineRule="auto"/>
              <w:jc w:val="center"/>
              <w:rPr>
                <w:rFonts w:hint="eastAsia" w:ascii="宋体" w:hAnsi="宋体" w:eastAsia="宋体" w:cs="宋体"/>
                <w:bCs/>
                <w:color w:val="000000"/>
                <w:kern w:val="0"/>
                <w:sz w:val="24"/>
                <w:lang w:val="en-US" w:eastAsia="zh-CN"/>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eastAsia="宋体" w:cs="宋体"/>
                <w:bCs/>
                <w:color w:val="000000"/>
                <w:kern w:val="0"/>
                <w:sz w:val="24"/>
                <w:lang w:eastAsia="zh-CN"/>
              </w:rPr>
            </w:pPr>
            <w:r>
              <w:rPr>
                <w:rFonts w:hint="eastAsia" w:ascii="宋体" w:hAnsi="宋体" w:cs="宋体"/>
                <w:bCs/>
                <w:color w:val="000000"/>
                <w:kern w:val="0"/>
                <w:sz w:val="24"/>
                <w:lang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spacing w:before="88" w:line="360" w:lineRule="auto"/>
              <w:jc w:val="center"/>
              <w:rPr>
                <w:rFonts w:ascii="宋体" w:hAnsi="宋体" w:cs="宋体"/>
                <w:sz w:val="24"/>
              </w:rPr>
            </w:pPr>
            <w:r>
              <w:rPr>
                <w:rFonts w:hint="eastAsia" w:ascii="宋体" w:hAnsi="宋体" w:cs="宋体"/>
                <w:sz w:val="24"/>
              </w:rPr>
              <w:t>2</w:t>
            </w:r>
          </w:p>
        </w:tc>
        <w:tc>
          <w:tcPr>
            <w:tcW w:w="2542" w:type="pct"/>
            <w:vAlign w:val="center"/>
          </w:tcPr>
          <w:p>
            <w:pPr>
              <w:spacing w:before="55" w:line="360" w:lineRule="auto"/>
              <w:jc w:val="center"/>
              <w:rPr>
                <w:rFonts w:ascii="宋体" w:hAnsi="宋体" w:cs="宋体"/>
                <w:spacing w:val="-5"/>
                <w:sz w:val="24"/>
              </w:rPr>
            </w:pPr>
            <w:r>
              <w:rPr>
                <w:rFonts w:hint="eastAsia" w:ascii="宋体" w:hAnsi="宋体" w:cs="宋体"/>
                <w:bCs/>
                <w:color w:val="000000"/>
                <w:kern w:val="0"/>
                <w:sz w:val="24"/>
              </w:rPr>
              <w:t>税务申报</w:t>
            </w:r>
          </w:p>
        </w:tc>
        <w:tc>
          <w:tcPr>
            <w:tcW w:w="812" w:type="pct"/>
            <w:vAlign w:val="center"/>
          </w:tcPr>
          <w:p>
            <w:pPr>
              <w:spacing w:before="55" w:line="360" w:lineRule="auto"/>
              <w:jc w:val="center"/>
              <w:rPr>
                <w:rFonts w:hint="eastAsia" w:ascii="宋体" w:hAnsi="宋体" w:eastAsia="宋体" w:cs="宋体"/>
                <w:bCs/>
                <w:color w:val="000000"/>
                <w:kern w:val="0"/>
                <w:sz w:val="24"/>
                <w:lang w:val="en-US" w:eastAsia="zh-CN"/>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pStyle w:val="2"/>
              <w:jc w:val="center"/>
              <w:rPr>
                <w:rFonts w:ascii="宋体" w:hAnsi="宋体" w:cs="宋体"/>
                <w:sz w:val="24"/>
              </w:rPr>
            </w:pPr>
            <w:r>
              <w:rPr>
                <w:rFonts w:hint="eastAsia" w:ascii="宋体" w:hAnsi="宋体" w:cs="宋体"/>
                <w:sz w:val="24"/>
              </w:rPr>
              <w:t>3</w:t>
            </w:r>
          </w:p>
        </w:tc>
        <w:tc>
          <w:tcPr>
            <w:tcW w:w="2542" w:type="pct"/>
            <w:vAlign w:val="center"/>
          </w:tcPr>
          <w:p>
            <w:pPr>
              <w:spacing w:before="55" w:line="360" w:lineRule="auto"/>
              <w:jc w:val="center"/>
              <w:rPr>
                <w:rFonts w:ascii="宋体" w:hAnsi="宋体" w:cs="宋体"/>
                <w:spacing w:val="-5"/>
                <w:sz w:val="24"/>
              </w:rPr>
            </w:pPr>
            <w:r>
              <w:rPr>
                <w:rFonts w:hint="eastAsia" w:ascii="宋体" w:hAnsi="宋体" w:cs="宋体"/>
                <w:bCs/>
                <w:color w:val="000000"/>
                <w:kern w:val="0"/>
                <w:sz w:val="24"/>
              </w:rPr>
              <w:t>勾选认证</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pStyle w:val="2"/>
              <w:jc w:val="center"/>
              <w:rPr>
                <w:rFonts w:ascii="宋体" w:hAnsi="宋体" w:cs="宋体"/>
                <w:sz w:val="24"/>
              </w:rPr>
            </w:pPr>
            <w:r>
              <w:rPr>
                <w:rFonts w:hint="eastAsia" w:ascii="宋体" w:hAnsi="宋体" w:cs="宋体"/>
                <w:sz w:val="24"/>
              </w:rPr>
              <w:t>4</w:t>
            </w:r>
          </w:p>
        </w:tc>
        <w:tc>
          <w:tcPr>
            <w:tcW w:w="2542" w:type="pct"/>
            <w:vAlign w:val="center"/>
          </w:tcPr>
          <w:p>
            <w:pPr>
              <w:spacing w:before="55" w:line="360" w:lineRule="auto"/>
              <w:jc w:val="center"/>
              <w:rPr>
                <w:rFonts w:ascii="宋体" w:hAnsi="宋体" w:cs="宋体"/>
                <w:spacing w:val="-5"/>
                <w:sz w:val="24"/>
              </w:rPr>
            </w:pPr>
            <w:r>
              <w:rPr>
                <w:rFonts w:hint="eastAsia" w:ascii="宋体" w:hAnsi="宋体" w:cs="宋体"/>
                <w:bCs/>
                <w:color w:val="000000"/>
                <w:kern w:val="0"/>
                <w:sz w:val="24"/>
              </w:rPr>
              <w:t>会计档案</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spacing w:before="88" w:line="360" w:lineRule="auto"/>
              <w:jc w:val="center"/>
              <w:rPr>
                <w:rFonts w:ascii="宋体" w:hAnsi="宋体" w:cs="宋体"/>
                <w:sz w:val="24"/>
              </w:rPr>
            </w:pPr>
            <w:r>
              <w:rPr>
                <w:rFonts w:hint="eastAsia" w:ascii="宋体" w:hAnsi="宋体" w:cs="宋体"/>
                <w:sz w:val="24"/>
              </w:rPr>
              <w:t>5</w:t>
            </w:r>
          </w:p>
        </w:tc>
        <w:tc>
          <w:tcPr>
            <w:tcW w:w="2542" w:type="pct"/>
            <w:vAlign w:val="center"/>
          </w:tcPr>
          <w:p>
            <w:pPr>
              <w:spacing w:before="55" w:line="360" w:lineRule="auto"/>
              <w:jc w:val="center"/>
              <w:rPr>
                <w:rFonts w:ascii="宋体" w:hAnsi="宋体" w:cs="宋体"/>
                <w:spacing w:val="-5"/>
                <w:sz w:val="24"/>
              </w:rPr>
            </w:pPr>
            <w:r>
              <w:rPr>
                <w:rFonts w:hint="eastAsia" w:ascii="宋体" w:hAnsi="宋体" w:cs="宋体"/>
                <w:bCs/>
                <w:color w:val="000000"/>
                <w:kern w:val="0"/>
                <w:sz w:val="24"/>
              </w:rPr>
              <w:t>票据OCR识别</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spacing w:before="88" w:line="360" w:lineRule="auto"/>
              <w:jc w:val="center"/>
              <w:rPr>
                <w:rFonts w:ascii="宋体" w:hAnsi="宋体" w:cs="宋体"/>
                <w:sz w:val="24"/>
              </w:rPr>
            </w:pPr>
            <w:r>
              <w:rPr>
                <w:rFonts w:hint="eastAsia" w:ascii="宋体" w:hAnsi="宋体" w:cs="宋体"/>
                <w:sz w:val="24"/>
              </w:rPr>
              <w:t>6</w:t>
            </w:r>
          </w:p>
        </w:tc>
        <w:tc>
          <w:tcPr>
            <w:tcW w:w="2542" w:type="pct"/>
            <w:vAlign w:val="center"/>
          </w:tcPr>
          <w:p>
            <w:pPr>
              <w:spacing w:before="55" w:line="360" w:lineRule="auto"/>
              <w:jc w:val="center"/>
              <w:rPr>
                <w:rFonts w:ascii="宋体" w:hAnsi="宋体" w:cs="宋体"/>
                <w:spacing w:val="-5"/>
                <w:sz w:val="24"/>
              </w:rPr>
            </w:pPr>
            <w:r>
              <w:rPr>
                <w:rFonts w:hint="eastAsia" w:ascii="宋体" w:hAnsi="宋体" w:cs="宋体"/>
                <w:bCs/>
                <w:color w:val="000000"/>
                <w:kern w:val="0"/>
                <w:sz w:val="24"/>
              </w:rPr>
              <w:t>知识图谱</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spacing w:before="88" w:line="360" w:lineRule="auto"/>
              <w:jc w:val="center"/>
              <w:rPr>
                <w:rFonts w:ascii="宋体" w:hAnsi="宋体" w:cs="宋体"/>
                <w:sz w:val="24"/>
              </w:rPr>
            </w:pPr>
            <w:r>
              <w:rPr>
                <w:rFonts w:hint="eastAsia" w:ascii="宋体" w:hAnsi="宋体" w:cs="宋体"/>
                <w:sz w:val="24"/>
              </w:rPr>
              <w:t>7</w:t>
            </w:r>
          </w:p>
        </w:tc>
        <w:tc>
          <w:tcPr>
            <w:tcW w:w="2542" w:type="pct"/>
            <w:vAlign w:val="center"/>
          </w:tcPr>
          <w:p>
            <w:pPr>
              <w:spacing w:before="55" w:line="360" w:lineRule="auto"/>
              <w:jc w:val="center"/>
              <w:rPr>
                <w:rFonts w:ascii="宋体" w:hAnsi="宋体" w:cs="宋体"/>
                <w:spacing w:val="-5"/>
                <w:sz w:val="24"/>
              </w:rPr>
            </w:pPr>
            <w:r>
              <w:rPr>
                <w:rFonts w:hint="eastAsia" w:ascii="宋体" w:hAnsi="宋体" w:cs="宋体"/>
                <w:bCs/>
                <w:color w:val="000000"/>
                <w:kern w:val="0"/>
                <w:sz w:val="24"/>
              </w:rPr>
              <w:t>银企直连</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spacing w:before="88" w:line="360" w:lineRule="auto"/>
              <w:jc w:val="center"/>
              <w:rPr>
                <w:rFonts w:ascii="宋体" w:hAnsi="宋体" w:cs="宋体"/>
                <w:sz w:val="24"/>
              </w:rPr>
            </w:pPr>
            <w:r>
              <w:rPr>
                <w:rFonts w:hint="eastAsia" w:ascii="宋体" w:hAnsi="宋体" w:cs="宋体"/>
                <w:sz w:val="24"/>
              </w:rPr>
              <w:t>8</w:t>
            </w:r>
          </w:p>
        </w:tc>
        <w:tc>
          <w:tcPr>
            <w:tcW w:w="2542" w:type="pct"/>
            <w:vAlign w:val="center"/>
          </w:tcPr>
          <w:p>
            <w:pPr>
              <w:spacing w:before="55" w:line="360" w:lineRule="auto"/>
              <w:jc w:val="center"/>
              <w:rPr>
                <w:rFonts w:ascii="宋体" w:hAnsi="宋体" w:cs="宋体"/>
                <w:spacing w:val="-5"/>
                <w:sz w:val="24"/>
              </w:rPr>
            </w:pPr>
            <w:r>
              <w:rPr>
                <w:rFonts w:hint="eastAsia" w:ascii="宋体" w:hAnsi="宋体" w:cs="宋体"/>
                <w:bCs/>
                <w:color w:val="000000"/>
                <w:kern w:val="0"/>
                <w:sz w:val="24"/>
              </w:rPr>
              <w:t>企业信用</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spacing w:before="88" w:line="360" w:lineRule="auto"/>
              <w:jc w:val="center"/>
              <w:rPr>
                <w:rFonts w:ascii="宋体" w:hAnsi="宋体" w:cs="宋体"/>
                <w:sz w:val="24"/>
              </w:rPr>
            </w:pPr>
            <w:r>
              <w:rPr>
                <w:rFonts w:hint="eastAsia" w:ascii="宋体" w:hAnsi="宋体" w:cs="宋体"/>
                <w:sz w:val="24"/>
              </w:rPr>
              <w:t>9</w:t>
            </w:r>
          </w:p>
        </w:tc>
        <w:tc>
          <w:tcPr>
            <w:tcW w:w="2542" w:type="pct"/>
            <w:vAlign w:val="center"/>
          </w:tcPr>
          <w:p>
            <w:pPr>
              <w:spacing w:before="55" w:line="360" w:lineRule="auto"/>
              <w:jc w:val="center"/>
              <w:rPr>
                <w:rFonts w:ascii="宋体" w:hAnsi="宋体" w:cs="宋体"/>
                <w:spacing w:val="-5"/>
                <w:sz w:val="24"/>
              </w:rPr>
            </w:pPr>
            <w:r>
              <w:rPr>
                <w:rFonts w:hint="eastAsia" w:ascii="宋体" w:hAnsi="宋体" w:cs="宋体"/>
                <w:bCs/>
                <w:color w:val="000000"/>
                <w:kern w:val="0"/>
                <w:sz w:val="24"/>
              </w:rPr>
              <w:t>智能收票</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spacing w:before="88" w:line="360" w:lineRule="auto"/>
              <w:jc w:val="center"/>
              <w:rPr>
                <w:rFonts w:ascii="宋体" w:hAnsi="宋体" w:cs="宋体"/>
                <w:sz w:val="24"/>
              </w:rPr>
            </w:pPr>
            <w:r>
              <w:rPr>
                <w:rFonts w:hint="eastAsia" w:ascii="宋体" w:hAnsi="宋体" w:cs="宋体"/>
                <w:sz w:val="24"/>
              </w:rPr>
              <w:t>10</w:t>
            </w:r>
          </w:p>
        </w:tc>
        <w:tc>
          <w:tcPr>
            <w:tcW w:w="2542" w:type="pct"/>
            <w:vAlign w:val="center"/>
          </w:tcPr>
          <w:p>
            <w:pPr>
              <w:spacing w:before="55" w:line="360" w:lineRule="auto"/>
              <w:jc w:val="center"/>
              <w:rPr>
                <w:rFonts w:ascii="宋体" w:hAnsi="宋体" w:cs="宋体"/>
                <w:spacing w:val="-5"/>
                <w:sz w:val="24"/>
              </w:rPr>
            </w:pPr>
            <w:r>
              <w:rPr>
                <w:rFonts w:hint="eastAsia" w:ascii="宋体" w:hAnsi="宋体" w:cs="宋体"/>
                <w:bCs/>
                <w:color w:val="000000"/>
                <w:kern w:val="0"/>
                <w:sz w:val="24"/>
              </w:rPr>
              <w:t>费用控制</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spacing w:before="88" w:line="360" w:lineRule="auto"/>
              <w:jc w:val="center"/>
              <w:rPr>
                <w:rFonts w:ascii="宋体" w:hAnsi="宋体" w:cs="宋体"/>
                <w:sz w:val="24"/>
              </w:rPr>
            </w:pPr>
            <w:r>
              <w:rPr>
                <w:rFonts w:hint="eastAsia" w:ascii="宋体" w:hAnsi="宋体" w:cs="宋体"/>
                <w:sz w:val="24"/>
              </w:rPr>
              <w:t>11</w:t>
            </w:r>
          </w:p>
        </w:tc>
        <w:tc>
          <w:tcPr>
            <w:tcW w:w="2542" w:type="pct"/>
            <w:vAlign w:val="center"/>
          </w:tcPr>
          <w:p>
            <w:pPr>
              <w:spacing w:before="55" w:line="360" w:lineRule="auto"/>
              <w:jc w:val="center"/>
              <w:rPr>
                <w:rFonts w:ascii="宋体" w:hAnsi="宋体" w:cs="宋体"/>
                <w:spacing w:val="-5"/>
                <w:sz w:val="24"/>
              </w:rPr>
            </w:pPr>
            <w:r>
              <w:rPr>
                <w:rFonts w:hint="eastAsia" w:ascii="宋体" w:hAnsi="宋体" w:cs="宋体"/>
                <w:bCs/>
                <w:color w:val="000000"/>
                <w:kern w:val="0"/>
                <w:sz w:val="24"/>
              </w:rPr>
              <w:t>数据报表</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spacing w:before="88" w:line="360" w:lineRule="auto"/>
              <w:jc w:val="center"/>
              <w:rPr>
                <w:rFonts w:ascii="宋体" w:hAnsi="宋体" w:cs="宋体"/>
                <w:sz w:val="24"/>
              </w:rPr>
            </w:pPr>
            <w:r>
              <w:rPr>
                <w:rFonts w:hint="eastAsia" w:ascii="宋体" w:hAnsi="宋体" w:cs="宋体"/>
                <w:sz w:val="24"/>
              </w:rPr>
              <w:t>12</w:t>
            </w:r>
          </w:p>
        </w:tc>
        <w:tc>
          <w:tcPr>
            <w:tcW w:w="2542" w:type="pct"/>
            <w:vAlign w:val="center"/>
          </w:tcPr>
          <w:p>
            <w:pPr>
              <w:spacing w:before="55" w:line="360" w:lineRule="auto"/>
              <w:jc w:val="center"/>
              <w:rPr>
                <w:rFonts w:ascii="宋体" w:hAnsi="宋体" w:cs="宋体"/>
                <w:spacing w:val="-5"/>
                <w:sz w:val="24"/>
              </w:rPr>
            </w:pPr>
            <w:r>
              <w:rPr>
                <w:rFonts w:hint="eastAsia" w:ascii="宋体" w:hAnsi="宋体" w:cs="宋体"/>
                <w:bCs/>
                <w:color w:val="000000"/>
                <w:kern w:val="0"/>
                <w:sz w:val="24"/>
              </w:rPr>
              <w:t>发票管理</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spacing w:before="88" w:line="360" w:lineRule="auto"/>
              <w:jc w:val="center"/>
              <w:rPr>
                <w:rFonts w:ascii="宋体" w:hAnsi="宋体" w:cs="宋体"/>
                <w:sz w:val="24"/>
              </w:rPr>
            </w:pPr>
            <w:r>
              <w:rPr>
                <w:rFonts w:hint="eastAsia" w:ascii="宋体" w:hAnsi="宋体" w:cs="宋体"/>
                <w:sz w:val="24"/>
              </w:rPr>
              <w:t>13</w:t>
            </w:r>
          </w:p>
        </w:tc>
        <w:tc>
          <w:tcPr>
            <w:tcW w:w="2542" w:type="pct"/>
            <w:vAlign w:val="center"/>
          </w:tcPr>
          <w:p>
            <w:pPr>
              <w:spacing w:before="55" w:line="360" w:lineRule="auto"/>
              <w:jc w:val="center"/>
              <w:rPr>
                <w:rFonts w:ascii="宋体" w:hAnsi="宋体" w:cs="宋体"/>
                <w:spacing w:val="-5"/>
                <w:sz w:val="24"/>
              </w:rPr>
            </w:pPr>
            <w:r>
              <w:rPr>
                <w:rFonts w:hint="eastAsia" w:ascii="宋体" w:hAnsi="宋体" w:cs="宋体"/>
                <w:bCs/>
                <w:color w:val="000000"/>
                <w:kern w:val="0"/>
                <w:sz w:val="24"/>
              </w:rPr>
              <w:t>自动入账</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33" w:type="pct"/>
            <w:vAlign w:val="center"/>
          </w:tcPr>
          <w:p>
            <w:pPr>
              <w:spacing w:before="88"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4</w:t>
            </w:r>
          </w:p>
        </w:tc>
        <w:tc>
          <w:tcPr>
            <w:tcW w:w="2542" w:type="pct"/>
            <w:vAlign w:val="center"/>
          </w:tcPr>
          <w:p>
            <w:pPr>
              <w:spacing w:before="55" w:line="360" w:lineRule="auto"/>
              <w:jc w:val="center"/>
              <w:rPr>
                <w:rFonts w:hint="eastAsia" w:ascii="微软雅黑" w:hAnsi="微软雅黑" w:eastAsia="微软雅黑" w:cs="宋体"/>
                <w:bCs/>
                <w:color w:val="000000"/>
                <w:kern w:val="0"/>
                <w:sz w:val="20"/>
                <w:szCs w:val="20"/>
              </w:rPr>
            </w:pPr>
            <w:r>
              <w:rPr>
                <w:rFonts w:hint="eastAsia" w:ascii="宋体" w:hAnsi="宋体" w:cs="宋体"/>
                <w:bCs/>
                <w:color w:val="000000"/>
                <w:kern w:val="0"/>
                <w:sz w:val="24"/>
              </w:rPr>
              <w:t>智能坐席</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val="en-US" w:eastAsia="zh-CN"/>
              </w:rPr>
              <w:t>1</w:t>
            </w:r>
          </w:p>
        </w:tc>
        <w:tc>
          <w:tcPr>
            <w:tcW w:w="812" w:type="pct"/>
            <w:vAlign w:val="center"/>
          </w:tcPr>
          <w:p>
            <w:pPr>
              <w:spacing w:before="55" w:line="360" w:lineRule="auto"/>
              <w:jc w:val="center"/>
              <w:rPr>
                <w:rFonts w:hint="eastAsia" w:ascii="宋体" w:hAnsi="宋体" w:cs="宋体"/>
                <w:bCs/>
                <w:color w:val="000000"/>
                <w:kern w:val="0"/>
                <w:sz w:val="24"/>
              </w:rPr>
            </w:pPr>
            <w:r>
              <w:rPr>
                <w:rFonts w:hint="eastAsia" w:ascii="宋体" w:hAnsi="宋体" w:cs="宋体"/>
                <w:bCs/>
                <w:color w:val="000000"/>
                <w:kern w:val="0"/>
                <w:sz w:val="24"/>
                <w:lang w:eastAsia="zh-CN"/>
              </w:rPr>
              <w:t>套</w:t>
            </w:r>
          </w:p>
        </w:tc>
      </w:tr>
    </w:tbl>
    <w:p>
      <w:pPr>
        <w:pStyle w:val="2"/>
        <w:rPr>
          <w:rFonts w:hint="eastAsia"/>
        </w:rPr>
      </w:pPr>
    </w:p>
    <w:p>
      <w:pPr>
        <w:spacing w:line="360" w:lineRule="auto"/>
        <w:outlineLvl w:val="0"/>
        <w:rPr>
          <w:rFonts w:ascii="宋体" w:hAnsi="宋体" w:cs="宋体"/>
          <w:b/>
          <w:sz w:val="24"/>
        </w:rPr>
      </w:pPr>
      <w:r>
        <w:rPr>
          <w:rFonts w:hint="eastAsia" w:ascii="宋体" w:hAnsi="宋体" w:cs="宋体"/>
          <w:b/>
          <w:sz w:val="24"/>
        </w:rPr>
        <w:t>★三、技术要求</w:t>
      </w:r>
    </w:p>
    <w:p>
      <w:pPr>
        <w:spacing w:line="360" w:lineRule="auto"/>
        <w:ind w:firstLine="480"/>
        <w:rPr>
          <w:rFonts w:ascii="宋体" w:hAnsi="宋体" w:cs="宋体"/>
          <w:sz w:val="24"/>
          <w:lang w:val="zh-CN" w:bidi="zh-CN"/>
        </w:rPr>
      </w:pPr>
      <w:r>
        <w:rPr>
          <w:rFonts w:hint="eastAsia" w:ascii="宋体" w:hAnsi="宋体" w:cs="宋体"/>
          <w:sz w:val="24"/>
          <w:lang w:val="zh-CN" w:bidi="zh-CN"/>
        </w:rPr>
        <w:t>采购方购买财税数字服务，以“</w:t>
      </w:r>
      <w:r>
        <w:rPr>
          <w:rFonts w:hint="eastAsia" w:ascii="宋体" w:hAnsi="宋体" w:cs="宋体"/>
          <w:sz w:val="24"/>
          <w:lang w:bidi="zh-CN"/>
        </w:rPr>
        <w:t>提供成熟优质的财税服务”</w:t>
      </w:r>
      <w:r>
        <w:rPr>
          <w:rFonts w:hint="eastAsia" w:ascii="宋体" w:hAnsi="宋体" w:cs="宋体"/>
          <w:sz w:val="24"/>
          <w:lang w:val="zh-CN" w:bidi="zh-CN"/>
        </w:rPr>
        <w:t>的形式扶持中小微经济体。供应商提供并承担小规模企业（有限公司）注册和零申报记账报税、个体工商户小规模有限公司财税数字化服务，同时承担线上企业数字鉴证凭证的端口开发和服务。</w:t>
      </w:r>
    </w:p>
    <w:p>
      <w:pPr>
        <w:pStyle w:val="2"/>
        <w:spacing w:line="360" w:lineRule="auto"/>
        <w:rPr>
          <w:rFonts w:ascii="宋体" w:hAnsi="宋体" w:cs="宋体"/>
          <w:b/>
          <w:bCs/>
          <w:sz w:val="24"/>
        </w:rPr>
      </w:pPr>
      <w:r>
        <w:rPr>
          <w:rFonts w:hint="eastAsia" w:ascii="宋体" w:hAnsi="宋体" w:cs="宋体"/>
          <w:b/>
          <w:bCs/>
          <w:sz w:val="24"/>
        </w:rPr>
        <w:t>（一）、财税数字综合服务项目内容</w:t>
      </w:r>
    </w:p>
    <w:p>
      <w:pPr>
        <w:spacing w:line="360" w:lineRule="auto"/>
        <w:ind w:firstLine="480"/>
        <w:rPr>
          <w:rFonts w:ascii="宋体" w:hAnsi="宋体" w:cs="宋体"/>
          <w:sz w:val="24"/>
          <w:lang w:val="zh-CN" w:bidi="zh-CN"/>
        </w:rPr>
      </w:pPr>
      <w:r>
        <w:rPr>
          <w:rFonts w:hint="eastAsia" w:ascii="宋体" w:hAnsi="宋体" w:cs="宋体"/>
          <w:sz w:val="24"/>
          <w:lang w:val="zh-CN" w:bidi="zh-CN"/>
        </w:rPr>
        <w:t>1</w:t>
      </w:r>
      <w:r>
        <w:rPr>
          <w:rFonts w:ascii="宋体" w:hAnsi="宋体" w:cs="宋体"/>
          <w:sz w:val="24"/>
          <w:lang w:val="zh-CN" w:bidi="zh-CN"/>
        </w:rPr>
        <w:t>.云上开票</w:t>
      </w:r>
    </w:p>
    <w:p>
      <w:pPr>
        <w:spacing w:line="360" w:lineRule="auto"/>
        <w:ind w:firstLine="480"/>
        <w:rPr>
          <w:rFonts w:ascii="宋体" w:hAnsi="宋体" w:cs="宋体"/>
          <w:sz w:val="24"/>
          <w:lang w:val="zh-CN" w:bidi="zh-CN"/>
        </w:rPr>
      </w:pPr>
      <w:r>
        <w:rPr>
          <w:rFonts w:hint="eastAsia" w:ascii="宋体" w:hAnsi="宋体" w:cs="宋体"/>
          <w:sz w:val="24"/>
          <w:lang w:val="zh-CN" w:bidi="zh-CN"/>
        </w:rPr>
        <w:t>提供云上托管的开票解决方案，支持多样化的开票场景及组件式快速接入方案，使用四川省税务局电子发票交付。</w:t>
      </w:r>
    </w:p>
    <w:p>
      <w:pPr>
        <w:spacing w:line="360" w:lineRule="auto"/>
        <w:ind w:firstLine="480"/>
        <w:rPr>
          <w:rFonts w:ascii="宋体" w:hAnsi="宋体" w:cs="宋体"/>
          <w:sz w:val="24"/>
          <w:lang w:val="zh-CN" w:bidi="zh-CN"/>
        </w:rPr>
      </w:pPr>
      <w:r>
        <w:rPr>
          <w:rFonts w:hint="eastAsia" w:ascii="宋体" w:hAnsi="宋体" w:cs="宋体"/>
          <w:sz w:val="24"/>
          <w:lang w:val="zh-CN" w:bidi="zh-CN"/>
        </w:rPr>
        <w:t>2</w:t>
      </w:r>
      <w:r>
        <w:rPr>
          <w:rFonts w:ascii="宋体" w:hAnsi="宋体" w:cs="宋体"/>
          <w:sz w:val="24"/>
          <w:lang w:val="zh-CN" w:bidi="zh-CN"/>
        </w:rPr>
        <w:t>.</w:t>
      </w:r>
      <w:r>
        <w:rPr>
          <w:rFonts w:hint="eastAsia" w:ascii="宋体" w:hAnsi="宋体" w:cs="宋体"/>
          <w:sz w:val="24"/>
          <w:lang w:val="zh-CN" w:bidi="zh-CN"/>
        </w:rPr>
        <w:t xml:space="preserve"> 税务申报</w:t>
      </w:r>
    </w:p>
    <w:p>
      <w:pPr>
        <w:spacing w:line="360" w:lineRule="auto"/>
        <w:ind w:firstLine="480"/>
        <w:rPr>
          <w:rFonts w:ascii="宋体" w:hAnsi="宋体" w:cs="宋体"/>
          <w:sz w:val="24"/>
          <w:lang w:val="zh-CN" w:bidi="zh-CN"/>
        </w:rPr>
      </w:pPr>
      <w:r>
        <w:rPr>
          <w:rFonts w:hint="eastAsia" w:ascii="宋体" w:hAnsi="宋体" w:cs="宋体"/>
          <w:sz w:val="24"/>
          <w:lang w:val="zh-CN" w:bidi="zh-CN"/>
        </w:rPr>
        <w:t>提供全税种、高可用的在线税务申报直连服务，支持集中批量申报。</w:t>
      </w:r>
    </w:p>
    <w:p>
      <w:pPr>
        <w:spacing w:line="360" w:lineRule="auto"/>
        <w:ind w:firstLine="480"/>
        <w:rPr>
          <w:rFonts w:ascii="宋体" w:hAnsi="宋体" w:cs="宋体"/>
          <w:sz w:val="24"/>
          <w:lang w:val="zh-CN" w:bidi="zh-CN"/>
        </w:rPr>
      </w:pPr>
      <w:r>
        <w:rPr>
          <w:rFonts w:hint="eastAsia" w:ascii="宋体" w:hAnsi="宋体" w:cs="宋体"/>
          <w:sz w:val="24"/>
          <w:lang w:val="zh-CN" w:bidi="zh-CN"/>
        </w:rPr>
        <w:t>3</w:t>
      </w:r>
      <w:r>
        <w:rPr>
          <w:rFonts w:ascii="宋体" w:hAnsi="宋体" w:cs="宋体"/>
          <w:sz w:val="24"/>
          <w:lang w:val="zh-CN" w:bidi="zh-CN"/>
        </w:rPr>
        <w:t>.</w:t>
      </w:r>
      <w:r>
        <w:rPr>
          <w:rFonts w:hint="eastAsia" w:ascii="宋体" w:hAnsi="宋体" w:cs="宋体"/>
          <w:sz w:val="24"/>
          <w:lang w:val="zh-CN" w:bidi="zh-CN"/>
        </w:rPr>
        <w:t>勾选认证</w:t>
      </w:r>
    </w:p>
    <w:p>
      <w:pPr>
        <w:spacing w:line="360" w:lineRule="auto"/>
        <w:ind w:firstLine="480"/>
        <w:rPr>
          <w:rFonts w:ascii="宋体" w:hAnsi="宋体" w:cs="宋体"/>
          <w:sz w:val="24"/>
          <w:lang w:val="zh-CN" w:bidi="zh-CN"/>
        </w:rPr>
      </w:pPr>
      <w:r>
        <w:rPr>
          <w:rFonts w:hint="eastAsia" w:ascii="宋体" w:hAnsi="宋体" w:cs="宋体"/>
          <w:sz w:val="24"/>
          <w:lang w:val="zh-CN" w:bidi="zh-CN"/>
        </w:rPr>
        <w:t>提供围绕进销项发票归集、发票验真及全地域的 增值税专用发票勾选认证服务。</w:t>
      </w:r>
    </w:p>
    <w:p>
      <w:pPr>
        <w:spacing w:line="360" w:lineRule="auto"/>
        <w:ind w:firstLine="480"/>
        <w:rPr>
          <w:rFonts w:ascii="宋体" w:hAnsi="宋体" w:cs="宋体"/>
          <w:sz w:val="24"/>
          <w:lang w:val="zh-CN" w:bidi="zh-CN"/>
        </w:rPr>
      </w:pPr>
      <w:r>
        <w:rPr>
          <w:rFonts w:hint="eastAsia" w:ascii="宋体" w:hAnsi="宋体" w:cs="宋体"/>
          <w:sz w:val="24"/>
          <w:lang w:val="zh-CN" w:bidi="zh-CN"/>
        </w:rPr>
        <w:t>4</w:t>
      </w:r>
      <w:r>
        <w:rPr>
          <w:rFonts w:ascii="宋体" w:hAnsi="宋体" w:cs="宋体"/>
          <w:sz w:val="24"/>
          <w:lang w:val="zh-CN" w:bidi="zh-CN"/>
        </w:rPr>
        <w:t>.</w:t>
      </w:r>
      <w:r>
        <w:rPr>
          <w:rFonts w:hint="eastAsia" w:ascii="宋体" w:hAnsi="宋体" w:cs="宋体"/>
          <w:sz w:val="24"/>
          <w:lang w:val="zh-CN" w:bidi="zh-CN"/>
        </w:rPr>
        <w:t>会计档案</w:t>
      </w:r>
    </w:p>
    <w:p>
      <w:pPr>
        <w:spacing w:line="360" w:lineRule="auto"/>
        <w:ind w:firstLine="480"/>
        <w:rPr>
          <w:rFonts w:ascii="宋体" w:hAnsi="宋体" w:cs="宋体"/>
          <w:sz w:val="24"/>
          <w:lang w:val="zh-CN" w:bidi="zh-CN"/>
        </w:rPr>
      </w:pPr>
      <w:r>
        <w:rPr>
          <w:rFonts w:hint="eastAsia" w:ascii="宋体" w:hAnsi="宋体" w:cs="宋体"/>
          <w:sz w:val="24"/>
          <w:lang w:val="zh-CN" w:bidi="zh-CN"/>
        </w:rPr>
        <w:t>提供电子会计凭证及各类档案存储、版式文件生成、水印、签章等服务。</w:t>
      </w:r>
    </w:p>
    <w:p>
      <w:pPr>
        <w:spacing w:line="360" w:lineRule="auto"/>
        <w:ind w:firstLine="480"/>
        <w:rPr>
          <w:rFonts w:ascii="宋体" w:hAnsi="宋体" w:cs="宋体"/>
          <w:sz w:val="24"/>
          <w:lang w:val="zh-CN" w:bidi="zh-CN"/>
        </w:rPr>
      </w:pPr>
      <w:r>
        <w:rPr>
          <w:rFonts w:hint="eastAsia" w:ascii="宋体" w:hAnsi="宋体" w:cs="宋体"/>
          <w:sz w:val="24"/>
          <w:lang w:val="zh-CN" w:bidi="zh-CN"/>
        </w:rPr>
        <w:t>5</w:t>
      </w:r>
      <w:r>
        <w:rPr>
          <w:rFonts w:ascii="宋体" w:hAnsi="宋体" w:cs="宋体"/>
          <w:sz w:val="24"/>
          <w:lang w:val="zh-CN" w:bidi="zh-CN"/>
        </w:rPr>
        <w:t>.</w:t>
      </w:r>
      <w:r>
        <w:rPr>
          <w:rFonts w:hint="eastAsia" w:ascii="宋体" w:hAnsi="宋体" w:cs="宋体"/>
          <w:sz w:val="24"/>
          <w:lang w:val="zh-CN" w:bidi="zh-CN"/>
        </w:rPr>
        <w:t>票据OCR识别</w:t>
      </w:r>
    </w:p>
    <w:p>
      <w:pPr>
        <w:spacing w:line="360" w:lineRule="auto"/>
        <w:ind w:firstLine="480"/>
        <w:rPr>
          <w:rFonts w:ascii="宋体" w:hAnsi="宋体" w:cs="宋体"/>
          <w:sz w:val="24"/>
          <w:lang w:val="zh-CN" w:bidi="zh-CN"/>
        </w:rPr>
      </w:pPr>
      <w:r>
        <w:rPr>
          <w:rFonts w:hint="eastAsia" w:ascii="宋体" w:hAnsi="宋体" w:cs="宋体"/>
          <w:sz w:val="24"/>
          <w:lang w:val="zh-CN" w:bidi="zh-CN"/>
        </w:rPr>
        <w:t>提供财务报销票据、金融票据、电子运单等各类票据单据的结构化识别服务。</w:t>
      </w:r>
    </w:p>
    <w:p>
      <w:pPr>
        <w:spacing w:line="360" w:lineRule="auto"/>
        <w:ind w:firstLine="480"/>
        <w:rPr>
          <w:rFonts w:ascii="宋体" w:hAnsi="宋体" w:cs="宋体"/>
          <w:sz w:val="24"/>
          <w:lang w:val="zh-CN" w:bidi="zh-CN"/>
        </w:rPr>
      </w:pPr>
      <w:r>
        <w:rPr>
          <w:rFonts w:hint="eastAsia" w:ascii="宋体" w:hAnsi="宋体" w:cs="宋体"/>
          <w:sz w:val="24"/>
          <w:lang w:val="zh-CN" w:bidi="zh-CN"/>
        </w:rPr>
        <w:t>6．知识图谱</w:t>
      </w:r>
    </w:p>
    <w:p>
      <w:pPr>
        <w:spacing w:line="360" w:lineRule="auto"/>
        <w:ind w:firstLine="480"/>
        <w:rPr>
          <w:rFonts w:ascii="宋体" w:hAnsi="宋体" w:cs="宋体"/>
          <w:sz w:val="24"/>
          <w:lang w:val="zh-CN" w:bidi="zh-CN"/>
        </w:rPr>
      </w:pPr>
      <w:r>
        <w:rPr>
          <w:rFonts w:hint="eastAsia" w:ascii="宋体" w:hAnsi="宋体" w:cs="宋体"/>
          <w:sz w:val="24"/>
          <w:lang w:val="zh-CN" w:bidi="zh-CN"/>
        </w:rPr>
        <w:t>利用自然语言处理技术，提取税务知识实体和关系，建立税务智能应答类解决方案。</w:t>
      </w:r>
    </w:p>
    <w:p>
      <w:pPr>
        <w:spacing w:line="360" w:lineRule="auto"/>
        <w:ind w:firstLine="480"/>
        <w:rPr>
          <w:rFonts w:ascii="宋体" w:hAnsi="宋体" w:cs="宋体"/>
          <w:sz w:val="24"/>
          <w:lang w:val="zh-CN" w:bidi="zh-CN"/>
        </w:rPr>
      </w:pPr>
      <w:r>
        <w:rPr>
          <w:rFonts w:hint="eastAsia" w:ascii="宋体" w:hAnsi="宋体" w:cs="宋体"/>
          <w:sz w:val="24"/>
          <w:lang w:val="zh-CN" w:bidi="zh-CN"/>
        </w:rPr>
        <w:t>7．银企直连</w:t>
      </w:r>
    </w:p>
    <w:p>
      <w:pPr>
        <w:spacing w:line="360" w:lineRule="auto"/>
        <w:ind w:firstLine="480"/>
        <w:rPr>
          <w:rFonts w:hint="eastAsia" w:ascii="宋体" w:hAnsi="宋体" w:cs="宋体"/>
          <w:sz w:val="24"/>
          <w:lang w:val="zh-CN" w:bidi="zh-CN"/>
        </w:rPr>
      </w:pPr>
      <w:r>
        <w:rPr>
          <w:rFonts w:hint="eastAsia" w:ascii="宋体" w:hAnsi="宋体" w:cs="宋体"/>
          <w:sz w:val="24"/>
          <w:lang w:val="zh-CN" w:bidi="zh-CN"/>
        </w:rPr>
        <w:t>企业的财务系统与银行综合业务系统实现对接，实现业务系统跟银行系统数据关联。</w:t>
      </w:r>
    </w:p>
    <w:p>
      <w:pPr>
        <w:spacing w:line="360" w:lineRule="auto"/>
        <w:ind w:firstLine="480"/>
        <w:rPr>
          <w:rFonts w:ascii="宋体" w:hAnsi="宋体" w:cs="宋体"/>
          <w:sz w:val="24"/>
          <w:lang w:val="zh-CN" w:bidi="zh-CN"/>
        </w:rPr>
      </w:pPr>
      <w:r>
        <w:rPr>
          <w:rFonts w:hint="eastAsia" w:ascii="宋体" w:hAnsi="宋体" w:cs="宋体"/>
          <w:sz w:val="24"/>
          <w:lang w:val="zh-CN" w:bidi="zh-CN"/>
        </w:rPr>
        <w:t>8．企业信用</w:t>
      </w:r>
    </w:p>
    <w:p>
      <w:pPr>
        <w:spacing w:line="360" w:lineRule="auto"/>
        <w:ind w:firstLine="480"/>
        <w:rPr>
          <w:rFonts w:hint="eastAsia" w:ascii="宋体" w:hAnsi="宋体" w:cs="宋体"/>
          <w:sz w:val="24"/>
          <w:lang w:val="zh-CN" w:bidi="zh-CN"/>
        </w:rPr>
      </w:pPr>
      <w:r>
        <w:rPr>
          <w:rFonts w:hint="eastAsia" w:ascii="宋体" w:hAnsi="宋体" w:cs="宋体"/>
          <w:sz w:val="24"/>
          <w:lang w:val="zh-CN" w:bidi="zh-CN"/>
        </w:rPr>
        <w:t>提供企业工商信息、企业信用信息、失信人信息及链图信息查询服务。</w:t>
      </w:r>
    </w:p>
    <w:p>
      <w:pPr>
        <w:spacing w:line="360" w:lineRule="auto"/>
        <w:ind w:firstLine="480"/>
        <w:rPr>
          <w:rFonts w:ascii="宋体" w:hAnsi="宋体" w:cs="宋体"/>
          <w:sz w:val="24"/>
          <w:lang w:val="zh-CN" w:bidi="zh-CN"/>
        </w:rPr>
      </w:pPr>
      <w:r>
        <w:rPr>
          <w:rFonts w:hint="eastAsia" w:ascii="宋体" w:hAnsi="宋体" w:cs="宋体"/>
          <w:sz w:val="24"/>
          <w:lang w:val="zh-CN" w:bidi="zh-CN"/>
        </w:rPr>
        <w:t>9．智能收票</w:t>
      </w:r>
    </w:p>
    <w:p>
      <w:pPr>
        <w:spacing w:line="360" w:lineRule="auto"/>
        <w:ind w:firstLine="480"/>
        <w:rPr>
          <w:rFonts w:hint="eastAsia" w:ascii="宋体" w:hAnsi="宋体" w:cs="宋体"/>
          <w:sz w:val="24"/>
          <w:lang w:val="zh-CN" w:bidi="zh-CN"/>
        </w:rPr>
      </w:pPr>
      <w:r>
        <w:rPr>
          <w:rFonts w:hint="eastAsia" w:ascii="宋体" w:hAnsi="宋体" w:cs="宋体"/>
          <w:sz w:val="24"/>
          <w:lang w:val="zh-CN" w:bidi="zh-CN"/>
        </w:rPr>
        <w:t>通过手机拍照、微信卡包、小程序、电子邮箱归集发票，自动填录报销单。</w:t>
      </w:r>
    </w:p>
    <w:p>
      <w:pPr>
        <w:spacing w:line="360" w:lineRule="auto"/>
        <w:ind w:firstLine="480"/>
        <w:rPr>
          <w:rFonts w:ascii="宋体" w:hAnsi="宋体" w:cs="宋体"/>
          <w:sz w:val="24"/>
          <w:lang w:val="zh-CN" w:bidi="zh-CN"/>
        </w:rPr>
      </w:pPr>
      <w:r>
        <w:rPr>
          <w:rFonts w:hint="eastAsia" w:ascii="宋体" w:hAnsi="宋体" w:cs="宋体"/>
          <w:sz w:val="24"/>
          <w:lang w:val="zh-CN" w:bidi="zh-CN"/>
        </w:rPr>
        <w:t>10．费用控制</w:t>
      </w:r>
    </w:p>
    <w:p>
      <w:pPr>
        <w:spacing w:line="360" w:lineRule="auto"/>
        <w:ind w:firstLine="480"/>
        <w:rPr>
          <w:rFonts w:hint="eastAsia" w:ascii="宋体" w:hAnsi="宋体" w:cs="宋体"/>
          <w:sz w:val="24"/>
          <w:lang w:val="zh-CN" w:bidi="zh-CN"/>
        </w:rPr>
      </w:pPr>
      <w:r>
        <w:rPr>
          <w:rFonts w:hint="eastAsia" w:ascii="宋体" w:hAnsi="宋体" w:cs="宋体"/>
          <w:sz w:val="24"/>
          <w:lang w:val="zh-CN" w:bidi="zh-CN"/>
        </w:rPr>
        <w:t>通过全面精准费用标准设置，保障企业费用支持的合规与可控。</w:t>
      </w:r>
    </w:p>
    <w:p>
      <w:pPr>
        <w:spacing w:line="360" w:lineRule="auto"/>
        <w:ind w:firstLine="480"/>
        <w:rPr>
          <w:rFonts w:ascii="宋体" w:hAnsi="宋体" w:cs="宋体"/>
          <w:sz w:val="24"/>
          <w:lang w:val="zh-CN" w:bidi="zh-CN"/>
        </w:rPr>
      </w:pPr>
      <w:r>
        <w:rPr>
          <w:rFonts w:hint="eastAsia" w:ascii="宋体" w:hAnsi="宋体" w:cs="宋体"/>
          <w:sz w:val="24"/>
          <w:lang w:val="zh-CN" w:bidi="zh-CN"/>
        </w:rPr>
        <w:t>11．数据报表</w:t>
      </w:r>
    </w:p>
    <w:p>
      <w:pPr>
        <w:spacing w:line="360" w:lineRule="auto"/>
        <w:ind w:firstLine="480"/>
        <w:rPr>
          <w:rFonts w:hint="eastAsia" w:ascii="宋体" w:hAnsi="宋体" w:cs="宋体"/>
          <w:sz w:val="24"/>
          <w:lang w:val="zh-CN" w:bidi="zh-CN"/>
        </w:rPr>
      </w:pPr>
      <w:r>
        <w:rPr>
          <w:rFonts w:hint="eastAsia" w:ascii="宋体" w:hAnsi="宋体" w:cs="宋体"/>
          <w:sz w:val="24"/>
          <w:lang w:val="zh-CN" w:bidi="zh-CN"/>
        </w:rPr>
        <w:t>提供多维度费用报表，实时掌控企业经营状况，让企业支出更优计划。</w:t>
      </w:r>
    </w:p>
    <w:p>
      <w:pPr>
        <w:spacing w:line="360" w:lineRule="auto"/>
        <w:ind w:firstLine="480"/>
        <w:rPr>
          <w:rFonts w:ascii="宋体" w:hAnsi="宋体" w:cs="宋体"/>
          <w:sz w:val="24"/>
          <w:lang w:val="zh-CN" w:bidi="zh-CN"/>
        </w:rPr>
      </w:pPr>
      <w:r>
        <w:rPr>
          <w:rFonts w:hint="eastAsia" w:ascii="宋体" w:hAnsi="宋体" w:cs="宋体"/>
          <w:sz w:val="24"/>
          <w:lang w:val="zh-CN" w:bidi="zh-CN"/>
        </w:rPr>
        <w:t>12．发票管理</w:t>
      </w:r>
    </w:p>
    <w:p>
      <w:pPr>
        <w:spacing w:line="360" w:lineRule="auto"/>
        <w:ind w:firstLine="480"/>
        <w:rPr>
          <w:rFonts w:hint="eastAsia" w:ascii="宋体" w:hAnsi="宋体" w:cs="宋体"/>
          <w:sz w:val="24"/>
          <w:lang w:val="zh-CN" w:bidi="zh-CN"/>
        </w:rPr>
      </w:pPr>
      <w:r>
        <w:rPr>
          <w:rFonts w:hint="eastAsia" w:ascii="宋体" w:hAnsi="宋体" w:cs="宋体"/>
          <w:sz w:val="24"/>
          <w:lang w:val="zh-CN" w:bidi="zh-CN"/>
        </w:rPr>
        <w:t>发票数据自动验真、自动查重、报销业务真实性自动审核，风险控制一目了然。</w:t>
      </w:r>
    </w:p>
    <w:p>
      <w:pPr>
        <w:spacing w:line="360" w:lineRule="auto"/>
        <w:ind w:firstLine="480"/>
        <w:rPr>
          <w:rFonts w:ascii="宋体" w:hAnsi="宋体" w:cs="宋体"/>
          <w:sz w:val="24"/>
          <w:lang w:val="zh-CN" w:bidi="zh-CN"/>
        </w:rPr>
      </w:pPr>
      <w:r>
        <w:rPr>
          <w:rFonts w:hint="eastAsia" w:ascii="宋体" w:hAnsi="宋体" w:cs="宋体"/>
          <w:sz w:val="24"/>
          <w:lang w:val="zh-CN" w:bidi="zh-CN"/>
        </w:rPr>
        <w:t>13．自动入账</w:t>
      </w:r>
    </w:p>
    <w:p>
      <w:pPr>
        <w:spacing w:line="360" w:lineRule="auto"/>
        <w:ind w:firstLine="480"/>
        <w:rPr>
          <w:rFonts w:hint="eastAsia" w:ascii="宋体" w:hAnsi="宋体" w:cs="宋体"/>
          <w:sz w:val="24"/>
          <w:lang w:val="zh-CN" w:bidi="zh-CN"/>
        </w:rPr>
      </w:pPr>
      <w:r>
        <w:rPr>
          <w:rFonts w:hint="eastAsia" w:ascii="宋体" w:hAnsi="宋体" w:cs="宋体"/>
          <w:sz w:val="24"/>
          <w:lang w:val="zh-CN" w:bidi="zh-CN"/>
        </w:rPr>
        <w:t>报销单据自动生成凭证、实现系统自动记账，避免繁琐的手抄记账。</w:t>
      </w:r>
    </w:p>
    <w:p>
      <w:pPr>
        <w:spacing w:line="360" w:lineRule="auto"/>
        <w:ind w:firstLine="480"/>
        <w:rPr>
          <w:rFonts w:ascii="宋体" w:hAnsi="宋体" w:cs="宋体"/>
          <w:sz w:val="24"/>
          <w:lang w:val="zh-CN" w:bidi="zh-CN"/>
        </w:rPr>
      </w:pPr>
      <w:r>
        <w:rPr>
          <w:rFonts w:hint="eastAsia" w:ascii="宋体" w:hAnsi="宋体" w:cs="宋体"/>
          <w:sz w:val="24"/>
          <w:lang w:val="zh-CN" w:bidi="zh-CN"/>
        </w:rPr>
        <w:t>14．智能坐席</w:t>
      </w:r>
    </w:p>
    <w:p>
      <w:pPr>
        <w:spacing w:line="360" w:lineRule="auto"/>
        <w:ind w:firstLine="480"/>
        <w:rPr>
          <w:rFonts w:ascii="宋体" w:hAnsi="宋体" w:cs="宋体"/>
          <w:sz w:val="24"/>
          <w:lang w:val="zh-CN" w:bidi="zh-CN"/>
        </w:rPr>
      </w:pPr>
      <w:r>
        <w:rPr>
          <w:rFonts w:hint="eastAsia" w:ascii="宋体" w:hAnsi="宋体" w:cs="宋体"/>
          <w:sz w:val="24"/>
          <w:lang w:val="zh-CN" w:bidi="zh-CN"/>
        </w:rPr>
        <w:t>在税局智能呼叫中心建设的基础上提供不低于5线的虚拟座席，作为人工坐席的补充。</w:t>
      </w:r>
    </w:p>
    <w:p>
      <w:pPr>
        <w:pStyle w:val="2"/>
        <w:spacing w:after="0" w:line="360" w:lineRule="auto"/>
        <w:rPr>
          <w:rFonts w:ascii="宋体" w:hAnsi="宋体" w:cs="宋体"/>
          <w:b/>
          <w:bCs/>
          <w:sz w:val="24"/>
        </w:rPr>
      </w:pPr>
      <w:r>
        <w:rPr>
          <w:rFonts w:hint="eastAsia" w:ascii="宋体" w:hAnsi="宋体" w:cs="宋体"/>
          <w:b/>
          <w:bCs/>
          <w:sz w:val="24"/>
        </w:rPr>
        <w:t>（二）基础服务：</w:t>
      </w:r>
    </w:p>
    <w:p>
      <w:pPr>
        <w:pStyle w:val="2"/>
        <w:spacing w:after="0" w:line="360" w:lineRule="auto"/>
        <w:ind w:firstLine="460" w:firstLineChars="200"/>
        <w:rPr>
          <w:rFonts w:ascii="宋体" w:hAnsi="宋体" w:cs="宋体"/>
          <w:spacing w:val="-5"/>
          <w:sz w:val="24"/>
        </w:rPr>
      </w:pPr>
      <w:r>
        <w:rPr>
          <w:rFonts w:hint="eastAsia" w:ascii="宋体" w:hAnsi="宋体" w:cs="宋体"/>
          <w:spacing w:val="-5"/>
          <w:sz w:val="24"/>
        </w:rPr>
        <w:t>1.供应商需使用标准的云端SaaS服务，用于提供成熟的标准化的产品</w:t>
      </w:r>
      <w:r>
        <w:rPr>
          <w:rFonts w:hint="eastAsia" w:ascii="宋体" w:hAnsi="宋体" w:cs="宋体"/>
          <w:color w:val="121212"/>
          <w:spacing w:val="-5"/>
          <w:sz w:val="24"/>
        </w:rPr>
        <w:t>，保证7*24小时</w:t>
      </w:r>
      <w:r>
        <w:rPr>
          <w:rFonts w:hint="eastAsia" w:ascii="宋体" w:hAnsi="宋体" w:cs="宋体"/>
          <w:spacing w:val="-5"/>
          <w:sz w:val="24"/>
        </w:rPr>
        <w:t>服务不间断。</w:t>
      </w:r>
    </w:p>
    <w:p>
      <w:pPr>
        <w:pStyle w:val="2"/>
        <w:spacing w:after="0" w:line="360" w:lineRule="auto"/>
        <w:ind w:firstLine="460" w:firstLineChars="200"/>
        <w:rPr>
          <w:rFonts w:ascii="宋体" w:hAnsi="宋体" w:cs="宋体"/>
          <w:spacing w:val="-5"/>
          <w:sz w:val="24"/>
        </w:rPr>
      </w:pPr>
      <w:r>
        <w:rPr>
          <w:rFonts w:hint="eastAsia" w:ascii="宋体" w:hAnsi="宋体" w:cs="宋体"/>
          <w:spacing w:val="-5"/>
          <w:sz w:val="24"/>
        </w:rPr>
        <w:t>2.供应商需提供安全稳定的发票管理服务平台，24小时在线，满足中小微企业随时随地开票需求，实现“云端开票”。</w:t>
      </w:r>
    </w:p>
    <w:p>
      <w:pPr>
        <w:pStyle w:val="2"/>
        <w:spacing w:after="0" w:line="360" w:lineRule="auto"/>
        <w:ind w:firstLine="460" w:firstLineChars="200"/>
        <w:rPr>
          <w:rFonts w:ascii="宋体" w:hAnsi="宋体" w:cs="宋体"/>
          <w:spacing w:val="-5"/>
          <w:sz w:val="24"/>
        </w:rPr>
      </w:pPr>
      <w:r>
        <w:rPr>
          <w:rFonts w:hint="eastAsia" w:ascii="宋体" w:hAnsi="宋体" w:cs="宋体"/>
          <w:spacing w:val="-5"/>
          <w:sz w:val="24"/>
        </w:rPr>
        <w:t>3.供应商需提供安全、可靠、合规开放平台，保证ISV或企业可接入。</w:t>
      </w:r>
    </w:p>
    <w:p>
      <w:pPr>
        <w:pStyle w:val="2"/>
        <w:spacing w:after="0" w:line="360" w:lineRule="auto"/>
        <w:ind w:firstLine="460" w:firstLineChars="200"/>
        <w:rPr>
          <w:rFonts w:ascii="宋体" w:hAnsi="宋体" w:cs="宋体"/>
          <w:spacing w:val="-5"/>
          <w:sz w:val="24"/>
        </w:rPr>
      </w:pPr>
      <w:r>
        <w:rPr>
          <w:rFonts w:hint="eastAsia" w:ascii="宋体" w:hAnsi="宋体" w:cs="宋体"/>
          <w:spacing w:val="-5"/>
          <w:sz w:val="24"/>
        </w:rPr>
        <w:t>4.供应商需提供能支持新版税控服务器标准托管产品功能：支持开票开具，基础信息设置、虚拟税务Ukey托管服务。</w:t>
      </w:r>
    </w:p>
    <w:p>
      <w:pPr>
        <w:pStyle w:val="2"/>
        <w:spacing w:after="0" w:line="360" w:lineRule="auto"/>
        <w:ind w:firstLine="460" w:firstLineChars="200"/>
        <w:rPr>
          <w:rFonts w:ascii="宋体" w:hAnsi="宋体" w:cs="宋体"/>
          <w:spacing w:val="-5"/>
          <w:sz w:val="24"/>
        </w:rPr>
      </w:pPr>
      <w:r>
        <w:rPr>
          <w:rFonts w:hint="eastAsia" w:ascii="宋体" w:hAnsi="宋体" w:cs="宋体"/>
          <w:spacing w:val="-5"/>
          <w:sz w:val="24"/>
        </w:rPr>
        <w:t>5.供应商需提供能支持全场景开票，以及基础信息设置、系统管理、开票数据管理。</w:t>
      </w:r>
    </w:p>
    <w:p>
      <w:pPr>
        <w:pStyle w:val="2"/>
        <w:spacing w:after="0" w:line="360" w:lineRule="auto"/>
        <w:ind w:firstLine="460" w:firstLineChars="200"/>
        <w:rPr>
          <w:rFonts w:ascii="宋体" w:hAnsi="宋体" w:cs="宋体"/>
          <w:spacing w:val="-5"/>
          <w:sz w:val="24"/>
        </w:rPr>
      </w:pPr>
      <w:r>
        <w:rPr>
          <w:rFonts w:hint="eastAsia" w:ascii="宋体" w:hAnsi="宋体" w:cs="宋体"/>
          <w:spacing w:val="-5"/>
          <w:sz w:val="24"/>
        </w:rPr>
        <w:t>6.供应商</w:t>
      </w:r>
      <w:r>
        <w:rPr>
          <w:rFonts w:hint="eastAsia" w:ascii="宋体" w:hAnsi="宋体" w:cs="宋体"/>
          <w:spacing w:val="-1"/>
          <w:sz w:val="24"/>
        </w:rPr>
        <w:t>提供中小微企业税务申报、汇算清缴、纳税辅助。</w:t>
      </w:r>
    </w:p>
    <w:p>
      <w:pPr>
        <w:pStyle w:val="2"/>
        <w:spacing w:after="0" w:line="360" w:lineRule="auto"/>
        <w:ind w:firstLine="460" w:firstLineChars="200"/>
        <w:rPr>
          <w:rFonts w:ascii="宋体" w:hAnsi="宋体" w:cs="宋体"/>
          <w:sz w:val="24"/>
        </w:rPr>
      </w:pPr>
      <w:r>
        <w:rPr>
          <w:rFonts w:hint="eastAsia" w:ascii="宋体" w:hAnsi="宋体" w:cs="宋体"/>
          <w:spacing w:val="-5"/>
          <w:sz w:val="24"/>
        </w:rPr>
        <w:t>7.提供小规模有限公司税务申报。</w:t>
      </w:r>
    </w:p>
    <w:p>
      <w:pPr>
        <w:pStyle w:val="2"/>
        <w:spacing w:after="0" w:line="360" w:lineRule="auto"/>
        <w:rPr>
          <w:rFonts w:ascii="宋体" w:hAnsi="宋体" w:cs="宋体"/>
          <w:b/>
          <w:bCs/>
          <w:sz w:val="24"/>
        </w:rPr>
      </w:pPr>
      <w:r>
        <w:rPr>
          <w:rFonts w:hint="eastAsia" w:ascii="宋体" w:hAnsi="宋体" w:cs="宋体"/>
          <w:b/>
          <w:bCs/>
          <w:sz w:val="24"/>
        </w:rPr>
        <w:t>（三）维护基本要求：</w:t>
      </w:r>
    </w:p>
    <w:p>
      <w:pPr>
        <w:pStyle w:val="2"/>
        <w:spacing w:after="0" w:line="360" w:lineRule="auto"/>
        <w:ind w:firstLine="480" w:firstLineChars="200"/>
        <w:rPr>
          <w:rFonts w:ascii="宋体" w:hAnsi="宋体" w:cs="宋体"/>
          <w:sz w:val="24"/>
        </w:rPr>
      </w:pPr>
      <w:r>
        <w:rPr>
          <w:rFonts w:hint="eastAsia" w:ascii="宋体" w:hAnsi="宋体" w:cs="宋体"/>
          <w:sz w:val="24"/>
        </w:rPr>
        <w:t>供应商需熟悉掌握政务服务业务、硬件设备、软件应用及混合部署环境，需有线上客服提供咨询服务，提供技术、业务咨询和帮助，记录总结企业消费过程遇到的问题。对于平台整体服务，应提供以下基础服务平台支持：</w:t>
      </w:r>
    </w:p>
    <w:p>
      <w:pPr>
        <w:pStyle w:val="2"/>
        <w:spacing w:after="0" w:line="360" w:lineRule="auto"/>
        <w:ind w:firstLine="482" w:firstLineChars="200"/>
        <w:rPr>
          <w:rFonts w:ascii="宋体" w:hAnsi="宋体" w:cs="宋体"/>
          <w:b/>
          <w:bCs/>
          <w:sz w:val="24"/>
        </w:rPr>
      </w:pPr>
      <w:r>
        <w:rPr>
          <w:rFonts w:hint="eastAsia" w:ascii="宋体" w:hAnsi="宋体" w:cs="宋体"/>
          <w:b/>
          <w:bCs/>
          <w:sz w:val="24"/>
        </w:rPr>
        <w:t>1、管理服务：财税费控saas、财务管理系统</w:t>
      </w:r>
    </w:p>
    <w:p>
      <w:pPr>
        <w:pStyle w:val="2"/>
        <w:spacing w:after="0" w:line="360" w:lineRule="auto"/>
        <w:ind w:firstLine="482" w:firstLineChars="200"/>
        <w:rPr>
          <w:rFonts w:ascii="宋体" w:hAnsi="宋体" w:cs="宋体"/>
          <w:b/>
          <w:bCs/>
          <w:sz w:val="24"/>
        </w:rPr>
      </w:pPr>
      <w:r>
        <w:rPr>
          <w:rFonts w:hint="eastAsia" w:ascii="宋体" w:hAnsi="宋体" w:cs="宋体"/>
          <w:b/>
          <w:bCs/>
          <w:sz w:val="24"/>
        </w:rPr>
        <w:t>2、营销应用：云呼叫中心、云客服、智能客服</w:t>
      </w:r>
    </w:p>
    <w:p>
      <w:pPr>
        <w:pStyle w:val="2"/>
        <w:spacing w:after="0" w:line="360" w:lineRule="auto"/>
        <w:ind w:firstLine="482" w:firstLineChars="200"/>
        <w:rPr>
          <w:rFonts w:ascii="宋体" w:hAnsi="宋体" w:cs="宋体"/>
          <w:sz w:val="24"/>
        </w:rPr>
      </w:pPr>
      <w:r>
        <w:rPr>
          <w:rFonts w:hint="eastAsia" w:ascii="宋体" w:hAnsi="宋体" w:cs="宋体"/>
          <w:b/>
          <w:bCs/>
          <w:sz w:val="24"/>
        </w:rPr>
        <w:t>3、安全应用：SSL安全证书、安全认证、品牌认证、云防火墙、DDos高防IP、web应用防火墙、网站威胁扫描系统</w:t>
      </w:r>
    </w:p>
    <w:p>
      <w:pPr>
        <w:spacing w:line="360" w:lineRule="auto"/>
        <w:rPr>
          <w:rFonts w:ascii="宋体" w:hAnsi="宋体" w:cs="宋体"/>
          <w:b/>
          <w:bCs/>
          <w:sz w:val="24"/>
        </w:rPr>
      </w:pPr>
      <w:r>
        <w:rPr>
          <w:rFonts w:hint="eastAsia" w:ascii="宋体" w:hAnsi="宋体" w:cs="宋体"/>
          <w:b/>
          <w:bCs/>
          <w:sz w:val="24"/>
        </w:rPr>
        <w:t>（四）供应商服务平台软件系统维护</w:t>
      </w:r>
    </w:p>
    <w:p>
      <w:pPr>
        <w:spacing w:line="360" w:lineRule="auto"/>
        <w:ind w:firstLine="480" w:firstLineChars="200"/>
        <w:rPr>
          <w:rFonts w:ascii="宋体" w:hAnsi="宋体" w:cs="宋体"/>
          <w:sz w:val="24"/>
          <w:lang w:val="zh-CN"/>
        </w:rPr>
      </w:pPr>
      <w:r>
        <w:rPr>
          <w:rFonts w:hint="eastAsia" w:ascii="宋体" w:hAnsi="宋体" w:cs="宋体"/>
          <w:sz w:val="24"/>
          <w:lang w:val="zh-CN"/>
        </w:rPr>
        <w:t>软件系统维护</w:t>
      </w:r>
      <w:r>
        <w:rPr>
          <w:rFonts w:hint="eastAsia" w:ascii="宋体" w:hAnsi="宋体" w:cs="宋体"/>
          <w:sz w:val="24"/>
        </w:rPr>
        <w:t>人员由供应商安排工作地点，对</w:t>
      </w:r>
      <w:r>
        <w:rPr>
          <w:rFonts w:hint="eastAsia" w:ascii="宋体" w:hAnsi="宋体" w:cs="宋体"/>
          <w:sz w:val="24"/>
          <w:lang w:val="zh-CN"/>
        </w:rPr>
        <w:t>包含平台的各业务系统软件功能的运行</w:t>
      </w:r>
      <w:r>
        <w:rPr>
          <w:rFonts w:hint="eastAsia" w:ascii="宋体" w:hAnsi="宋体" w:cs="宋体"/>
          <w:sz w:val="24"/>
        </w:rPr>
        <w:t>进行日常</w:t>
      </w:r>
      <w:r>
        <w:rPr>
          <w:rFonts w:hint="eastAsia" w:ascii="宋体" w:hAnsi="宋体" w:cs="宋体"/>
          <w:sz w:val="24"/>
          <w:lang w:val="zh-CN"/>
        </w:rPr>
        <w:t>维护</w:t>
      </w:r>
      <w:r>
        <w:rPr>
          <w:rFonts w:hint="eastAsia" w:ascii="宋体" w:hAnsi="宋体" w:cs="宋体"/>
          <w:sz w:val="24"/>
        </w:rPr>
        <w:t>和巡检</w:t>
      </w:r>
      <w:r>
        <w:rPr>
          <w:rFonts w:hint="eastAsia" w:ascii="宋体" w:hAnsi="宋体" w:cs="宋体"/>
          <w:sz w:val="24"/>
          <w:lang w:val="zh-CN"/>
        </w:rPr>
        <w:t>，主要针对各功能运行情况进行检查、数据备份</w:t>
      </w:r>
      <w:r>
        <w:rPr>
          <w:rFonts w:hint="eastAsia" w:ascii="宋体" w:hAnsi="宋体" w:cs="宋体"/>
          <w:sz w:val="24"/>
        </w:rPr>
        <w:t>和</w:t>
      </w:r>
      <w:r>
        <w:rPr>
          <w:rFonts w:hint="eastAsia" w:ascii="宋体" w:hAnsi="宋体" w:cs="宋体"/>
          <w:sz w:val="24"/>
          <w:lang w:val="zh-CN"/>
        </w:rPr>
        <w:t>调优，具体项目详描如下：</w:t>
      </w:r>
    </w:p>
    <w:p>
      <w:pPr>
        <w:numPr>
          <w:ilvl w:val="0"/>
          <w:numId w:val="9"/>
        </w:numPr>
        <w:tabs>
          <w:tab w:val="left" w:pos="420"/>
        </w:tabs>
        <w:spacing w:line="360" w:lineRule="auto"/>
        <w:ind w:left="0" w:firstLine="480" w:firstLineChars="200"/>
        <w:jc w:val="left"/>
        <w:rPr>
          <w:rFonts w:ascii="宋体" w:hAnsi="宋体" w:cs="宋体"/>
          <w:sz w:val="24"/>
          <w:lang w:val="zh-CN"/>
        </w:rPr>
      </w:pPr>
      <w:r>
        <w:rPr>
          <w:rFonts w:hint="eastAsia" w:ascii="宋体" w:hAnsi="宋体" w:cs="宋体"/>
          <w:sz w:val="24"/>
          <w:lang w:val="zh-CN"/>
        </w:rPr>
        <w:t>业务功能应用情况检查，包括：数据相关接口和平台应用情况，确保平台各项业务功能正常运行。</w:t>
      </w:r>
    </w:p>
    <w:p>
      <w:pPr>
        <w:numPr>
          <w:ilvl w:val="0"/>
          <w:numId w:val="9"/>
        </w:numPr>
        <w:tabs>
          <w:tab w:val="left" w:pos="420"/>
        </w:tabs>
        <w:spacing w:line="360" w:lineRule="auto"/>
        <w:ind w:left="0" w:firstLine="480" w:firstLineChars="200"/>
        <w:jc w:val="left"/>
        <w:rPr>
          <w:rFonts w:ascii="宋体" w:hAnsi="宋体" w:cs="宋体"/>
          <w:sz w:val="24"/>
          <w:lang w:val="zh-CN"/>
        </w:rPr>
      </w:pPr>
      <w:r>
        <w:rPr>
          <w:rFonts w:hint="eastAsia" w:ascii="宋体" w:hAnsi="宋体" w:cs="宋体"/>
          <w:sz w:val="24"/>
          <w:lang w:val="zh-CN"/>
        </w:rPr>
        <w:t>备份维护，包括：业务数据、系统操作日志、系统业务流程日志等的备份维护。</w:t>
      </w:r>
    </w:p>
    <w:p>
      <w:pPr>
        <w:numPr>
          <w:ilvl w:val="0"/>
          <w:numId w:val="9"/>
        </w:numPr>
        <w:tabs>
          <w:tab w:val="left" w:pos="420"/>
        </w:tabs>
        <w:spacing w:line="360" w:lineRule="auto"/>
        <w:ind w:left="0" w:firstLine="480" w:firstLineChars="200"/>
        <w:jc w:val="left"/>
        <w:rPr>
          <w:rFonts w:ascii="宋体" w:hAnsi="宋体" w:cs="宋体"/>
          <w:sz w:val="24"/>
          <w:lang w:val="zh-CN"/>
        </w:rPr>
      </w:pPr>
      <w:r>
        <w:rPr>
          <w:rFonts w:hint="eastAsia" w:ascii="宋体" w:hAnsi="宋体" w:cs="宋体"/>
          <w:sz w:val="24"/>
          <w:lang w:val="zh-CN"/>
        </w:rPr>
        <w:t>软件调优，对平台软件系统进行调优维护，包括：业务处理流程变更、政策文件变化对平台业务带来的变更、数据接口的调整，系统数据库、操作系统、中间件、应用服务版本升级，以及确保平台软件系统正常运行的改正性维护。</w:t>
      </w:r>
    </w:p>
    <w:p>
      <w:pPr>
        <w:pStyle w:val="2"/>
        <w:spacing w:after="0" w:line="360" w:lineRule="auto"/>
        <w:rPr>
          <w:rFonts w:ascii="宋体" w:hAnsi="宋体" w:cs="宋体"/>
          <w:b/>
          <w:bCs/>
          <w:sz w:val="24"/>
        </w:rPr>
      </w:pPr>
      <w:r>
        <w:rPr>
          <w:rFonts w:hint="eastAsia" w:ascii="宋体" w:hAnsi="宋体" w:cs="宋体"/>
          <w:b/>
          <w:bCs/>
          <w:sz w:val="24"/>
        </w:rPr>
        <w:t>（五）应急服务</w:t>
      </w:r>
    </w:p>
    <w:p>
      <w:pPr>
        <w:spacing w:line="360" w:lineRule="auto"/>
        <w:ind w:firstLine="480" w:firstLineChars="200"/>
        <w:rPr>
          <w:rFonts w:ascii="宋体" w:hAnsi="宋体" w:cs="宋体"/>
          <w:spacing w:val="-20"/>
          <w:kern w:val="0"/>
          <w:sz w:val="24"/>
        </w:rPr>
      </w:pPr>
      <w:r>
        <w:rPr>
          <w:rFonts w:hint="eastAsia" w:ascii="宋体" w:hAnsi="宋体" w:cs="宋体"/>
          <w:sz w:val="24"/>
        </w:rPr>
        <w:t>在日常运维中可能会出现突发事件，一旦出现中断或严重影响运行的故障问题，供应商应进行快速响应和处理，在最短时间内恢复系统，将损失降到最低。在系统维护过程中，供应商应设计完善的突发事件应急策略。</w:t>
      </w:r>
    </w:p>
    <w:p>
      <w:pPr>
        <w:spacing w:line="360" w:lineRule="auto"/>
        <w:outlineLvl w:val="0"/>
        <w:rPr>
          <w:rFonts w:ascii="宋体" w:hAnsi="宋体" w:cs="宋体"/>
          <w:b/>
          <w:sz w:val="24"/>
        </w:rPr>
      </w:pPr>
      <w:r>
        <w:rPr>
          <w:rFonts w:hint="eastAsia" w:ascii="宋体" w:hAnsi="宋体" w:cs="宋体"/>
          <w:b/>
          <w:bCs/>
          <w:sz w:val="24"/>
        </w:rPr>
        <w:t>★四</w:t>
      </w:r>
      <w:r>
        <w:rPr>
          <w:rFonts w:hint="eastAsia" w:ascii="宋体" w:hAnsi="宋体" w:cs="宋体"/>
          <w:b/>
          <w:sz w:val="24"/>
        </w:rPr>
        <w:t>、商务要求</w:t>
      </w:r>
    </w:p>
    <w:p>
      <w:pPr>
        <w:spacing w:line="360" w:lineRule="auto"/>
        <w:ind w:firstLine="480" w:firstLineChars="200"/>
        <w:rPr>
          <w:rFonts w:hint="eastAsia" w:ascii="宋体" w:hAnsi="宋体" w:eastAsia="宋体" w:cs="宋体"/>
          <w:sz w:val="24"/>
          <w:lang w:val="en-US" w:eastAsia="zh-CN"/>
        </w:rPr>
      </w:pPr>
      <w:r>
        <w:rPr>
          <w:rFonts w:ascii="宋体" w:hAnsi="宋体" w:cs="宋体"/>
          <w:sz w:val="24"/>
        </w:rPr>
        <w:t>1、付款方式：合同签订生效后预付总合同金额的30%，项目上线后</w:t>
      </w:r>
      <w:r>
        <w:rPr>
          <w:rFonts w:hint="eastAsia" w:ascii="宋体" w:hAnsi="宋体" w:cs="宋体"/>
          <w:sz w:val="24"/>
        </w:rPr>
        <w:t>支付</w:t>
      </w:r>
      <w:r>
        <w:rPr>
          <w:rFonts w:ascii="宋体" w:hAnsi="宋体" w:cs="宋体"/>
          <w:sz w:val="24"/>
        </w:rPr>
        <w:t>总合同金额的50%，</w:t>
      </w:r>
      <w:r>
        <w:rPr>
          <w:rFonts w:hint="eastAsia" w:ascii="宋体" w:hAnsi="宋体" w:cs="宋体"/>
          <w:sz w:val="24"/>
        </w:rPr>
        <w:t>项目</w:t>
      </w:r>
      <w:r>
        <w:rPr>
          <w:rFonts w:ascii="宋体" w:hAnsi="宋体" w:cs="宋体"/>
          <w:sz w:val="24"/>
        </w:rPr>
        <w:t>验收后</w:t>
      </w:r>
      <w:r>
        <w:rPr>
          <w:rFonts w:hint="eastAsia" w:ascii="宋体" w:hAnsi="宋体" w:cs="宋体"/>
          <w:sz w:val="24"/>
        </w:rPr>
        <w:t>支</w:t>
      </w:r>
      <w:r>
        <w:rPr>
          <w:rFonts w:ascii="宋体" w:hAnsi="宋体" w:cs="宋体"/>
          <w:sz w:val="24"/>
        </w:rPr>
        <w:t>付总合同金额的17%</w:t>
      </w:r>
      <w:r>
        <w:rPr>
          <w:rFonts w:hint="eastAsia" w:ascii="宋体" w:hAnsi="宋体" w:cs="宋体"/>
          <w:sz w:val="24"/>
        </w:rPr>
        <w:t>，</w:t>
      </w:r>
      <w:r>
        <w:rPr>
          <w:rFonts w:ascii="宋体" w:hAnsi="宋体" w:cs="宋体"/>
          <w:sz w:val="24"/>
        </w:rPr>
        <w:t>一年后</w:t>
      </w:r>
      <w:r>
        <w:rPr>
          <w:rFonts w:hint="eastAsia" w:ascii="宋体" w:hAnsi="宋体" w:cs="宋体"/>
          <w:sz w:val="24"/>
        </w:rPr>
        <w:t>，</w:t>
      </w:r>
      <w:r>
        <w:rPr>
          <w:rFonts w:ascii="宋体" w:hAnsi="宋体" w:cs="宋体"/>
          <w:sz w:val="24"/>
        </w:rPr>
        <w:t>系统运行正常</w:t>
      </w:r>
      <w:r>
        <w:rPr>
          <w:rFonts w:hint="eastAsia" w:ascii="宋体" w:hAnsi="宋体" w:cs="宋体"/>
          <w:sz w:val="24"/>
        </w:rPr>
        <w:t>，</w:t>
      </w:r>
      <w:r>
        <w:rPr>
          <w:rFonts w:ascii="宋体" w:hAnsi="宋体" w:cs="宋体"/>
          <w:sz w:val="24"/>
        </w:rPr>
        <w:t>支付</w:t>
      </w:r>
      <w:r>
        <w:rPr>
          <w:rFonts w:hint="eastAsia" w:ascii="宋体" w:hAnsi="宋体" w:cs="宋体"/>
          <w:sz w:val="24"/>
        </w:rPr>
        <w:t>服务尾款3%</w:t>
      </w:r>
      <w:r>
        <w:rPr>
          <w:rFonts w:ascii="宋体" w:hAnsi="宋体" w:cs="宋体"/>
          <w:sz w:val="24"/>
        </w:rPr>
        <w:t>。</w:t>
      </w:r>
      <w:r>
        <w:rPr>
          <w:rFonts w:hint="eastAsia" w:ascii="宋体" w:hAnsi="宋体" w:cs="宋体"/>
          <w:sz w:val="24"/>
        </w:rPr>
        <w:t>对于满足合同约定资金支付条件的，自收到发票后30日内将资金支付到采购合同约定账号。</w:t>
      </w:r>
    </w:p>
    <w:p>
      <w:pPr>
        <w:spacing w:line="360" w:lineRule="auto"/>
        <w:ind w:firstLine="480" w:firstLineChars="200"/>
        <w:rPr>
          <w:rFonts w:ascii="宋体" w:hAnsi="宋体" w:cs="宋体"/>
          <w:sz w:val="24"/>
        </w:rPr>
      </w:pPr>
      <w:r>
        <w:rPr>
          <w:rFonts w:ascii="宋体" w:hAnsi="宋体" w:cs="宋体"/>
          <w:sz w:val="24"/>
        </w:rPr>
        <w:t>2、服务期限：合同签订生效后一年。</w:t>
      </w:r>
    </w:p>
    <w:p>
      <w:pPr>
        <w:spacing w:line="360" w:lineRule="auto"/>
        <w:ind w:firstLine="480" w:firstLineChars="200"/>
        <w:rPr>
          <w:rFonts w:ascii="宋体" w:hAnsi="宋体" w:cs="宋体"/>
          <w:sz w:val="24"/>
        </w:rPr>
      </w:pPr>
      <w:r>
        <w:rPr>
          <w:rFonts w:ascii="宋体" w:hAnsi="宋体" w:cs="宋体"/>
          <w:sz w:val="24"/>
        </w:rPr>
        <w:t>3、实施周期：签订合同后一年，完成所有</w:t>
      </w:r>
      <w:r>
        <w:rPr>
          <w:rFonts w:hint="eastAsia" w:ascii="宋体" w:hAnsi="宋体" w:cs="宋体"/>
          <w:sz w:val="24"/>
        </w:rPr>
        <w:t>服务</w:t>
      </w:r>
      <w:r>
        <w:rPr>
          <w:rFonts w:ascii="宋体" w:hAnsi="宋体" w:cs="宋体"/>
          <w:sz w:val="24"/>
        </w:rPr>
        <w:t>并进行验收。</w:t>
      </w:r>
    </w:p>
    <w:p>
      <w:pPr>
        <w:spacing w:line="360" w:lineRule="auto"/>
        <w:ind w:firstLine="480" w:firstLineChars="200"/>
        <w:rPr>
          <w:rFonts w:ascii="宋体" w:hAnsi="宋体" w:cs="宋体"/>
          <w:sz w:val="24"/>
        </w:rPr>
      </w:pPr>
      <w:r>
        <w:rPr>
          <w:rFonts w:ascii="宋体" w:hAnsi="宋体" w:cs="宋体"/>
          <w:sz w:val="24"/>
        </w:rPr>
        <w:t>4、供应商须在投标文件中承诺成交后与采购人签订针对此项目的保密协议，未经过采购人同意，成交供应商及其工作人员不得向第三方泄露此项目的数据信息。</w:t>
      </w:r>
    </w:p>
    <w:p>
      <w:pPr>
        <w:spacing w:line="360" w:lineRule="auto"/>
        <w:ind w:firstLine="480" w:firstLineChars="200"/>
        <w:rPr>
          <w:rFonts w:ascii="宋体" w:hAnsi="宋体" w:cs="宋体"/>
          <w:sz w:val="24"/>
        </w:rPr>
      </w:pPr>
      <w:r>
        <w:rPr>
          <w:rFonts w:ascii="宋体" w:hAnsi="宋体" w:cs="宋体"/>
          <w:sz w:val="24"/>
        </w:rPr>
        <w:t>5、履约地点：简阳市政府指定地点。</w:t>
      </w:r>
    </w:p>
    <w:p>
      <w:pPr>
        <w:spacing w:line="360" w:lineRule="auto"/>
        <w:ind w:firstLine="480" w:firstLineChars="200"/>
        <w:rPr>
          <w:rFonts w:ascii="宋体" w:hAnsi="宋体" w:cs="宋体"/>
          <w:sz w:val="24"/>
        </w:rPr>
      </w:pPr>
      <w:r>
        <w:rPr>
          <w:rFonts w:ascii="宋体" w:hAnsi="宋体" w:cs="宋体"/>
          <w:sz w:val="24"/>
        </w:rPr>
        <w:t>6、验收标准：严格按照政府采购相关法律法规以及 《财政部关于进一步加强政府采购需求和履约验收管理的指导意见》财库〔2016〕205号的要求进行验收。</w:t>
      </w:r>
    </w:p>
    <w:p>
      <w:pPr>
        <w:spacing w:line="360" w:lineRule="auto"/>
        <w:ind w:firstLine="480" w:firstLineChars="200"/>
        <w:rPr>
          <w:rFonts w:ascii="宋体" w:hAnsi="宋体" w:cs="宋体"/>
          <w:sz w:val="24"/>
        </w:rPr>
      </w:pPr>
      <w:r>
        <w:rPr>
          <w:rFonts w:ascii="宋体" w:hAnsi="宋体" w:cs="宋体"/>
          <w:sz w:val="24"/>
        </w:rPr>
        <w:t>7、整个服务过程需在采购人监督下完成，确保用户数据信息的安全和保密。</w:t>
      </w:r>
    </w:p>
    <w:p>
      <w:pPr>
        <w:spacing w:line="360" w:lineRule="auto"/>
        <w:ind w:firstLine="480" w:firstLineChars="200"/>
        <w:rPr>
          <w:rFonts w:ascii="宋体" w:hAnsi="宋体" w:cs="宋体"/>
          <w:sz w:val="24"/>
        </w:rPr>
      </w:pPr>
      <w:r>
        <w:rPr>
          <w:rFonts w:ascii="宋体" w:hAnsi="宋体" w:cs="宋体"/>
          <w:sz w:val="24"/>
        </w:rPr>
        <w:t>8、售后服务：在服务时间内乙方为甲方提供8*5（工作日9:30 - 17:30）的电话、远程或现场的技术支持服务。非工作时间，保证进行电话值班及时响应，并在3小时内给予相关分析和答复。</w:t>
      </w:r>
    </w:p>
    <w:p>
      <w:pPr>
        <w:pStyle w:val="2"/>
      </w:pPr>
    </w:p>
    <w:p>
      <w:pPr>
        <w:widowControl/>
        <w:shd w:val="clear" w:color="auto" w:fill="FFFFFF"/>
        <w:spacing w:line="560" w:lineRule="exact"/>
        <w:jc w:val="left"/>
        <w:rPr>
          <w:rFonts w:ascii="宋体" w:hAnsi="宋体" w:cs="宋体"/>
          <w:b/>
          <w:bCs/>
          <w:spacing w:val="-20"/>
          <w:kern w:val="0"/>
          <w:sz w:val="32"/>
          <w:szCs w:val="32"/>
        </w:rPr>
      </w:pPr>
      <w:r>
        <w:rPr>
          <w:rFonts w:hint="eastAsia" w:ascii="宋体" w:hAnsi="宋体" w:cs="宋体"/>
          <w:b/>
          <w:bCs/>
          <w:spacing w:val="-20"/>
          <w:kern w:val="0"/>
          <w:sz w:val="32"/>
          <w:szCs w:val="32"/>
        </w:rPr>
        <w:t>注：本章★号项内容为实质性要求，供应商在其提供的投标文件中应全部体现、满足，并且不能低于所规定的要求。否则视为无效响应。</w:t>
      </w:r>
    </w:p>
    <w:p>
      <w:pPr>
        <w:pStyle w:val="55"/>
        <w:spacing w:line="360" w:lineRule="auto"/>
        <w:rPr>
          <w:rFonts w:hAnsi="宋体" w:cs="宋体"/>
          <w:sz w:val="24"/>
          <w:szCs w:val="24"/>
        </w:rPr>
      </w:pPr>
    </w:p>
    <w:bookmarkEnd w:id="138"/>
    <w:p>
      <w:pPr>
        <w:pStyle w:val="3"/>
        <w:pageBreakBefore/>
        <w:spacing w:line="400" w:lineRule="exact"/>
        <w:jc w:val="center"/>
        <w:rPr>
          <w:rFonts w:ascii="宋体" w:hAnsi="宋体" w:cs="宋体"/>
          <w:sz w:val="36"/>
          <w:szCs w:val="36"/>
        </w:rPr>
      </w:pPr>
      <w:bookmarkStart w:id="139" w:name="_Toc24786"/>
      <w:bookmarkStart w:id="140" w:name="_Toc5441"/>
      <w:r>
        <w:rPr>
          <w:rFonts w:hint="eastAsia" w:ascii="宋体" w:hAnsi="宋体" w:cs="宋体"/>
          <w:sz w:val="36"/>
          <w:szCs w:val="36"/>
        </w:rPr>
        <w:t>第七章  评标办法</w:t>
      </w:r>
      <w:bookmarkEnd w:id="139"/>
      <w:bookmarkEnd w:id="140"/>
      <w:bookmarkStart w:id="141" w:name="_Hlt101846155"/>
      <w:bookmarkEnd w:id="141"/>
      <w:bookmarkStart w:id="142" w:name="_Toc183682415"/>
      <w:bookmarkStart w:id="143" w:name="_Toc183582280"/>
      <w:bookmarkStart w:id="144" w:name="_Toc208849007"/>
      <w:bookmarkStart w:id="145" w:name="_Toc217446097"/>
    </w:p>
    <w:bookmarkEnd w:id="142"/>
    <w:bookmarkEnd w:id="143"/>
    <w:bookmarkEnd w:id="144"/>
    <w:bookmarkEnd w:id="145"/>
    <w:p>
      <w:pPr>
        <w:pStyle w:val="4"/>
        <w:spacing w:before="0" w:after="0" w:line="360" w:lineRule="auto"/>
        <w:ind w:firstLine="482" w:firstLineChars="200"/>
        <w:rPr>
          <w:rFonts w:ascii="宋体" w:hAnsi="宋体" w:eastAsia="宋体" w:cs="宋体"/>
          <w:sz w:val="24"/>
          <w:szCs w:val="24"/>
        </w:rPr>
      </w:pPr>
      <w:bookmarkStart w:id="146" w:name="_Toc23042"/>
      <w:r>
        <w:rPr>
          <w:rFonts w:hint="eastAsia" w:ascii="宋体" w:hAnsi="宋体" w:eastAsia="宋体" w:cs="宋体"/>
          <w:sz w:val="24"/>
          <w:szCs w:val="24"/>
        </w:rPr>
        <w:t>1. 总则</w:t>
      </w:r>
    </w:p>
    <w:p>
      <w:pPr>
        <w:spacing w:line="360" w:lineRule="auto"/>
        <w:ind w:firstLine="480" w:firstLineChars="200"/>
        <w:rPr>
          <w:rFonts w:ascii="宋体" w:hAnsi="宋体" w:cs="宋体"/>
          <w:sz w:val="24"/>
        </w:rPr>
      </w:pPr>
      <w:r>
        <w:rPr>
          <w:rFonts w:hint="eastAsia" w:ascii="宋体" w:hAnsi="宋体" w:cs="宋体"/>
          <w:sz w:val="24"/>
        </w:rPr>
        <w:t>1.1 根据《中华人民共和国政府采购法》、《中华人民共和国政府采购法实施条例》、《政府采购货物和服务招标投标管理办法》等法律制度，结合采购项目特点制定本评标办法。</w:t>
      </w:r>
    </w:p>
    <w:p>
      <w:pPr>
        <w:spacing w:line="360" w:lineRule="auto"/>
        <w:ind w:firstLine="480" w:firstLineChars="200"/>
        <w:rPr>
          <w:rFonts w:ascii="宋体" w:hAnsi="宋体" w:cs="宋体"/>
          <w:sz w:val="24"/>
        </w:rPr>
      </w:pPr>
      <w:r>
        <w:rPr>
          <w:rFonts w:hint="eastAsia" w:ascii="宋体" w:hAnsi="宋体" w:cs="宋体"/>
          <w:sz w:val="24"/>
        </w:rPr>
        <w:t xml:space="preserve">1.2 </w:t>
      </w:r>
      <w:r>
        <w:rPr>
          <w:rFonts w:hint="eastAsia" w:ascii="宋体" w:hAnsi="宋体" w:cs="宋体"/>
          <w:bCs/>
          <w:sz w:val="24"/>
        </w:rPr>
        <w:t>评标工作由采购代理机构负责组织，具体评标事务由采购代理机构依法组建的评标委员会负责。评标委员会由采购人代表和有关技术、经济、法律等方面的专家组成。</w:t>
      </w:r>
    </w:p>
    <w:p>
      <w:pPr>
        <w:spacing w:line="360" w:lineRule="auto"/>
        <w:ind w:firstLine="480" w:firstLineChars="200"/>
        <w:rPr>
          <w:rFonts w:ascii="宋体" w:hAnsi="宋体" w:cs="宋体"/>
          <w:sz w:val="24"/>
        </w:rPr>
      </w:pPr>
      <w:r>
        <w:rPr>
          <w:rFonts w:hint="eastAsia" w:ascii="宋体" w:hAnsi="宋体" w:cs="宋体"/>
          <w:sz w:val="24"/>
        </w:rPr>
        <w:t>1.3 评标工作应遵循公平、公正、科学及择优的原则，并以相同的评标程序和标准对待所有的投标人。</w:t>
      </w:r>
    </w:p>
    <w:p>
      <w:pPr>
        <w:spacing w:line="360" w:lineRule="auto"/>
        <w:ind w:firstLine="480" w:firstLineChars="200"/>
        <w:rPr>
          <w:rFonts w:ascii="宋体" w:hAnsi="宋体" w:cs="宋体"/>
          <w:sz w:val="24"/>
        </w:rPr>
      </w:pPr>
      <w:r>
        <w:rPr>
          <w:rFonts w:hint="eastAsia" w:ascii="宋体" w:hAnsi="宋体" w:cs="宋体"/>
          <w:sz w:val="24"/>
        </w:rPr>
        <w:t>1.4 评标委员会按照招标文件规定的评标方法和标准进行评标，并独立履行下列职责：</w:t>
      </w:r>
    </w:p>
    <w:p>
      <w:pPr>
        <w:spacing w:line="360" w:lineRule="auto"/>
        <w:ind w:firstLine="480" w:firstLineChars="200"/>
        <w:rPr>
          <w:rFonts w:ascii="宋体" w:hAnsi="宋体" w:cs="宋体"/>
          <w:sz w:val="24"/>
        </w:rPr>
      </w:pPr>
      <w:bookmarkStart w:id="147" w:name="_Toc217446098"/>
      <w:r>
        <w:rPr>
          <w:rFonts w:hint="eastAsia" w:ascii="宋体" w:hAnsi="宋体" w:cs="宋体"/>
          <w:sz w:val="24"/>
        </w:rPr>
        <w:t>（一）熟悉和理解招标文件；</w:t>
      </w:r>
    </w:p>
    <w:p>
      <w:pPr>
        <w:spacing w:line="360" w:lineRule="auto"/>
        <w:ind w:firstLine="480" w:firstLineChars="200"/>
        <w:rPr>
          <w:rFonts w:ascii="宋体" w:hAnsi="宋体" w:cs="宋体"/>
          <w:sz w:val="24"/>
        </w:rPr>
      </w:pPr>
      <w:r>
        <w:rPr>
          <w:rFonts w:hint="eastAsia" w:ascii="宋体" w:hAnsi="宋体" w:cs="宋体"/>
          <w:sz w:val="24"/>
        </w:rPr>
        <w:t>（二）审查供应商投标文件等是否满足招标文件要求，并作出评价；</w:t>
      </w:r>
    </w:p>
    <w:p>
      <w:pPr>
        <w:spacing w:line="360" w:lineRule="auto"/>
        <w:ind w:firstLine="480" w:firstLineChars="200"/>
        <w:rPr>
          <w:rFonts w:ascii="宋体" w:hAnsi="宋体" w:cs="宋体"/>
          <w:sz w:val="24"/>
        </w:rPr>
      </w:pPr>
      <w:r>
        <w:rPr>
          <w:rFonts w:hint="eastAsia" w:ascii="宋体" w:hAnsi="宋体" w:cs="宋体"/>
          <w:sz w:val="24"/>
        </w:rPr>
        <w:t>（三）根据需要要求招标采购单位对招标文件作出解释；根据需要要求供应商对投标文件有关事项作出澄清、说明或者更正；</w:t>
      </w:r>
    </w:p>
    <w:p>
      <w:pPr>
        <w:spacing w:line="360" w:lineRule="auto"/>
        <w:ind w:firstLine="480" w:firstLineChars="200"/>
        <w:rPr>
          <w:rFonts w:ascii="宋体" w:hAnsi="宋体" w:cs="宋体"/>
          <w:sz w:val="24"/>
        </w:rPr>
      </w:pPr>
      <w:r>
        <w:rPr>
          <w:rFonts w:hint="eastAsia" w:ascii="宋体" w:hAnsi="宋体" w:cs="宋体"/>
          <w:sz w:val="24"/>
        </w:rPr>
        <w:t>（四）推荐中标候选供应商，或者受采购人委托确定中标供应商；</w:t>
      </w:r>
    </w:p>
    <w:p>
      <w:pPr>
        <w:spacing w:line="360" w:lineRule="auto"/>
        <w:ind w:firstLine="480" w:firstLineChars="200"/>
        <w:rPr>
          <w:rFonts w:ascii="宋体" w:hAnsi="宋体" w:cs="宋体"/>
          <w:sz w:val="24"/>
        </w:rPr>
      </w:pPr>
      <w:r>
        <w:rPr>
          <w:rFonts w:hint="eastAsia" w:ascii="宋体" w:hAnsi="宋体" w:cs="宋体"/>
          <w:sz w:val="24"/>
        </w:rPr>
        <w:t>（五）起草评标报告并进行签署；</w:t>
      </w:r>
    </w:p>
    <w:p>
      <w:pPr>
        <w:spacing w:line="360" w:lineRule="auto"/>
        <w:ind w:firstLine="480" w:firstLineChars="200"/>
        <w:rPr>
          <w:rFonts w:ascii="宋体" w:hAnsi="宋体" w:cs="宋体"/>
          <w:sz w:val="24"/>
        </w:rPr>
      </w:pPr>
      <w:r>
        <w:rPr>
          <w:rFonts w:hint="eastAsia" w:ascii="宋体" w:hAnsi="宋体" w:cs="宋体"/>
          <w:sz w:val="24"/>
        </w:rPr>
        <w:t>（六）向招标采购单位、财政部门或者其他监督部门报告非法干预评标工作的行为；</w:t>
      </w:r>
    </w:p>
    <w:p>
      <w:pPr>
        <w:spacing w:line="360" w:lineRule="auto"/>
        <w:ind w:firstLine="480" w:firstLineChars="200"/>
        <w:rPr>
          <w:rFonts w:ascii="宋体" w:hAnsi="宋体" w:cs="宋体"/>
          <w:sz w:val="24"/>
        </w:rPr>
      </w:pPr>
      <w:r>
        <w:rPr>
          <w:rFonts w:hint="eastAsia" w:ascii="宋体" w:hAnsi="宋体" w:cs="宋体"/>
          <w:sz w:val="24"/>
        </w:rPr>
        <w:t>（七）法律、法规和规章规定的其他职责。</w:t>
      </w:r>
    </w:p>
    <w:p>
      <w:pPr>
        <w:spacing w:line="360" w:lineRule="auto"/>
        <w:ind w:firstLine="480" w:firstLineChars="200"/>
        <w:rPr>
          <w:rFonts w:ascii="宋体" w:hAnsi="宋体" w:cs="宋体"/>
          <w:sz w:val="24"/>
        </w:rPr>
      </w:pPr>
      <w:r>
        <w:rPr>
          <w:rFonts w:hint="eastAsia" w:ascii="宋体" w:hAnsi="宋体" w:cs="宋体"/>
          <w:sz w:val="24"/>
        </w:rPr>
        <w:t>1.5 评标过程独立、保密。投标人非法干预评标评标过程的行为将导致其投标文件作为无效处理。</w:t>
      </w:r>
    </w:p>
    <w:p>
      <w:pPr>
        <w:spacing w:line="360" w:lineRule="auto"/>
        <w:ind w:firstLine="480" w:firstLineChars="200"/>
        <w:rPr>
          <w:rFonts w:ascii="宋体" w:hAnsi="宋体" w:cs="宋体"/>
          <w:sz w:val="24"/>
        </w:rPr>
      </w:pPr>
      <w:r>
        <w:rPr>
          <w:rFonts w:hint="eastAsia" w:ascii="宋体" w:hAnsi="宋体" w:cs="宋体"/>
          <w:sz w:val="24"/>
        </w:rPr>
        <w:t>1.6评标委员会评价投标文件的响应性，对于投标人而言，除评标委员会要求其澄清、说明或者更正而提供的资料外，仅依据投标文件本身的内容，不寻求其他外部证据。</w:t>
      </w:r>
    </w:p>
    <w:p>
      <w:pPr>
        <w:spacing w:line="360" w:lineRule="auto"/>
        <w:ind w:firstLine="482" w:firstLineChars="200"/>
        <w:outlineLvl w:val="1"/>
        <w:rPr>
          <w:rFonts w:ascii="宋体" w:hAnsi="宋体" w:cs="宋体"/>
          <w:b/>
          <w:sz w:val="24"/>
        </w:rPr>
      </w:pPr>
      <w:r>
        <w:rPr>
          <w:rFonts w:hint="eastAsia" w:ascii="宋体" w:hAnsi="宋体" w:cs="宋体"/>
          <w:b/>
          <w:sz w:val="24"/>
        </w:rPr>
        <w:t>2、评标方法</w:t>
      </w:r>
    </w:p>
    <w:p>
      <w:pPr>
        <w:spacing w:line="360" w:lineRule="auto"/>
        <w:ind w:firstLine="480" w:firstLineChars="200"/>
        <w:rPr>
          <w:rFonts w:ascii="宋体" w:hAnsi="宋体" w:cs="宋体"/>
          <w:sz w:val="24"/>
        </w:rPr>
      </w:pPr>
      <w:r>
        <w:rPr>
          <w:rFonts w:hint="eastAsia" w:ascii="宋体" w:hAnsi="宋体" w:cs="宋体"/>
          <w:sz w:val="24"/>
        </w:rPr>
        <w:t>本项目评标方法为：</w:t>
      </w:r>
      <w:r>
        <w:rPr>
          <w:rFonts w:hint="eastAsia" w:ascii="宋体" w:hAnsi="宋体" w:cs="宋体"/>
          <w:b/>
          <w:bCs/>
          <w:sz w:val="24"/>
        </w:rPr>
        <w:t>综合评分法</w:t>
      </w:r>
      <w:r>
        <w:rPr>
          <w:rFonts w:hint="eastAsia" w:ascii="宋体" w:hAnsi="宋体" w:cs="宋体"/>
          <w:sz w:val="24"/>
        </w:rPr>
        <w:t>。</w:t>
      </w:r>
    </w:p>
    <w:p>
      <w:pPr>
        <w:spacing w:line="360" w:lineRule="auto"/>
        <w:ind w:firstLine="482" w:firstLineChars="200"/>
        <w:outlineLvl w:val="1"/>
        <w:rPr>
          <w:rFonts w:ascii="宋体" w:hAnsi="宋体" w:cs="宋体"/>
          <w:b/>
          <w:bCs/>
          <w:sz w:val="24"/>
        </w:rPr>
      </w:pPr>
      <w:r>
        <w:rPr>
          <w:rFonts w:hint="eastAsia" w:ascii="宋体" w:hAnsi="宋体" w:cs="宋体"/>
          <w:b/>
          <w:bCs/>
          <w:sz w:val="24"/>
        </w:rPr>
        <w:t>3、评标程序</w:t>
      </w:r>
      <w:bookmarkEnd w:id="147"/>
    </w:p>
    <w:p>
      <w:pPr>
        <w:spacing w:line="360" w:lineRule="auto"/>
        <w:ind w:firstLine="480" w:firstLineChars="200"/>
        <w:rPr>
          <w:rFonts w:ascii="宋体" w:hAnsi="宋体" w:cs="宋体"/>
          <w:sz w:val="24"/>
        </w:rPr>
      </w:pPr>
      <w:bookmarkStart w:id="148" w:name="_Toc217446103"/>
      <w:r>
        <w:rPr>
          <w:rFonts w:hint="eastAsia" w:ascii="宋体" w:hAnsi="宋体" w:cs="宋体"/>
          <w:sz w:val="24"/>
        </w:rPr>
        <w:t>3.1熟悉和理解招标文件和停止评标。</w:t>
      </w:r>
    </w:p>
    <w:p>
      <w:pPr>
        <w:spacing w:line="360" w:lineRule="auto"/>
        <w:ind w:firstLine="480" w:firstLineChars="200"/>
        <w:rPr>
          <w:rFonts w:ascii="宋体" w:hAnsi="宋体" w:cs="宋体"/>
          <w:sz w:val="24"/>
        </w:rPr>
      </w:pPr>
      <w:r>
        <w:rPr>
          <w:rFonts w:hint="eastAsia" w:ascii="宋体" w:hAnsi="宋体" w:cs="宋体"/>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ascii="宋体" w:hAnsi="宋体" w:cs="宋体"/>
          <w:sz w:val="24"/>
        </w:rPr>
      </w:pPr>
      <w:r>
        <w:rPr>
          <w:rFonts w:hint="eastAsia" w:ascii="宋体" w:hAnsi="宋体" w:cs="宋体"/>
          <w:sz w:val="24"/>
        </w:rPr>
        <w:t>3.1.2评标委员会熟悉和理解招标文件以及评标过程中，发现本招标文件有下列情形之一的，评标委员会应当停止评标：</w:t>
      </w:r>
    </w:p>
    <w:p>
      <w:pPr>
        <w:spacing w:line="360" w:lineRule="auto"/>
        <w:ind w:firstLine="480" w:firstLineChars="200"/>
        <w:rPr>
          <w:rFonts w:ascii="宋体" w:hAnsi="宋体" w:cs="宋体"/>
          <w:sz w:val="24"/>
        </w:rPr>
      </w:pPr>
      <w:r>
        <w:rPr>
          <w:rFonts w:hint="eastAsia" w:ascii="宋体" w:hAnsi="宋体" w:cs="宋体"/>
          <w:sz w:val="24"/>
        </w:rPr>
        <w:t>（1）招标文件的规定存在歧义、重大缺陷的；</w:t>
      </w:r>
    </w:p>
    <w:p>
      <w:pPr>
        <w:spacing w:line="360" w:lineRule="auto"/>
        <w:ind w:firstLine="480" w:firstLineChars="200"/>
        <w:rPr>
          <w:rFonts w:ascii="宋体" w:hAnsi="宋体" w:cs="宋体"/>
          <w:sz w:val="24"/>
        </w:rPr>
      </w:pPr>
      <w:r>
        <w:rPr>
          <w:rFonts w:hint="eastAsia" w:ascii="宋体" w:hAnsi="宋体" w:cs="宋体"/>
          <w:sz w:val="24"/>
        </w:rPr>
        <w:t>（2）招标文件明显以不合理条件对供应商实行差别待遇或者歧视待遇的；</w:t>
      </w:r>
    </w:p>
    <w:p>
      <w:pPr>
        <w:spacing w:line="360" w:lineRule="auto"/>
        <w:ind w:firstLine="480" w:firstLineChars="200"/>
        <w:rPr>
          <w:rFonts w:ascii="宋体" w:hAnsi="宋体" w:cs="宋体"/>
          <w:sz w:val="24"/>
        </w:rPr>
      </w:pPr>
      <w:r>
        <w:rPr>
          <w:rFonts w:hint="eastAsia" w:ascii="宋体" w:hAnsi="宋体" w:cs="宋体"/>
          <w:sz w:val="24"/>
        </w:rPr>
        <w:t>（3）采购项目属于国家规定的优先、强制采购范围，但是招标文件未依法体现优先、强制采购相关规定的；</w:t>
      </w:r>
    </w:p>
    <w:p>
      <w:pPr>
        <w:spacing w:line="360" w:lineRule="auto"/>
        <w:ind w:firstLine="480" w:firstLineChars="200"/>
        <w:rPr>
          <w:rFonts w:ascii="宋体" w:hAnsi="宋体" w:cs="宋体"/>
          <w:sz w:val="24"/>
        </w:rPr>
      </w:pPr>
      <w:r>
        <w:rPr>
          <w:rFonts w:hint="eastAsia" w:ascii="宋体" w:hAnsi="宋体" w:cs="宋体"/>
          <w:sz w:val="24"/>
        </w:rPr>
        <w:t>（4）采购项目属于政府采购促进中小企业发展的范围，但是招标文件未依法体现促进中小企业发展相关规定的；</w:t>
      </w:r>
    </w:p>
    <w:p>
      <w:pPr>
        <w:spacing w:line="360" w:lineRule="auto"/>
        <w:ind w:firstLine="480" w:firstLineChars="200"/>
        <w:rPr>
          <w:rFonts w:ascii="宋体" w:hAnsi="宋体" w:cs="宋体"/>
          <w:sz w:val="24"/>
        </w:rPr>
      </w:pPr>
      <w:r>
        <w:rPr>
          <w:rFonts w:hint="eastAsia" w:ascii="宋体" w:hAnsi="宋体" w:cs="宋体"/>
          <w:sz w:val="24"/>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ascii="宋体" w:hAnsi="宋体" w:cs="宋体"/>
          <w:sz w:val="24"/>
        </w:rPr>
      </w:pPr>
      <w:r>
        <w:rPr>
          <w:rFonts w:hint="eastAsia" w:ascii="宋体" w:hAnsi="宋体" w:cs="宋体"/>
          <w:sz w:val="24"/>
        </w:rPr>
        <w:t>（6）招标文件将投标人的资格条件列为评分因素的；</w:t>
      </w:r>
    </w:p>
    <w:p>
      <w:pPr>
        <w:spacing w:line="360" w:lineRule="auto"/>
        <w:ind w:firstLine="480" w:firstLineChars="200"/>
        <w:rPr>
          <w:rFonts w:ascii="宋体" w:hAnsi="宋体" w:cs="宋体"/>
          <w:sz w:val="24"/>
        </w:rPr>
      </w:pPr>
      <w:r>
        <w:rPr>
          <w:rFonts w:hint="eastAsia" w:ascii="宋体" w:hAnsi="宋体" w:cs="宋体"/>
          <w:sz w:val="24"/>
        </w:rPr>
        <w:t>（7）招标文件有违反国家其他有关强制性规定的情形。</w:t>
      </w:r>
    </w:p>
    <w:p>
      <w:pPr>
        <w:spacing w:line="360" w:lineRule="auto"/>
        <w:ind w:firstLine="480" w:firstLineChars="200"/>
        <w:rPr>
          <w:rFonts w:ascii="宋体" w:hAnsi="宋体" w:cs="宋体"/>
          <w:sz w:val="24"/>
        </w:rPr>
      </w:pPr>
      <w:r>
        <w:rPr>
          <w:rFonts w:hint="eastAsia" w:ascii="宋体" w:hAnsi="宋体" w:cs="宋体"/>
          <w:sz w:val="24"/>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rFonts w:ascii="宋体" w:hAnsi="宋体" w:cs="宋体"/>
          <w:sz w:val="24"/>
        </w:rPr>
      </w:pPr>
      <w:r>
        <w:rPr>
          <w:rFonts w:hint="eastAsia" w:ascii="宋体" w:hAnsi="宋体" w:cs="宋体"/>
          <w:sz w:val="24"/>
        </w:rPr>
        <w:t>3.2资格性检查。</w:t>
      </w:r>
    </w:p>
    <w:p>
      <w:pPr>
        <w:spacing w:line="360" w:lineRule="auto"/>
        <w:ind w:firstLine="480" w:firstLineChars="200"/>
        <w:rPr>
          <w:rFonts w:ascii="宋体" w:hAnsi="宋体" w:cs="宋体"/>
          <w:sz w:val="24"/>
        </w:rPr>
      </w:pPr>
      <w:r>
        <w:rPr>
          <w:rFonts w:hint="eastAsia" w:ascii="宋体" w:hAnsi="宋体" w:cs="宋体"/>
          <w:sz w:val="24"/>
        </w:rPr>
        <w:t>依据法律法规和本招标文件的规定，对投标文件是否按照规定要求提供资格性证明材料、是否按照规定交纳投标保证金、是否属于禁止参加投标的供应商等进行审查，以确定投标供应商是否具备投标资格。</w:t>
      </w:r>
    </w:p>
    <w:p>
      <w:pPr>
        <w:spacing w:line="360" w:lineRule="auto"/>
        <w:ind w:firstLine="480" w:firstLineChars="200"/>
        <w:rPr>
          <w:rFonts w:ascii="宋体" w:hAnsi="宋体" w:cs="宋体"/>
          <w:bCs/>
          <w:sz w:val="24"/>
        </w:rPr>
      </w:pPr>
      <w:r>
        <w:rPr>
          <w:rFonts w:hint="eastAsia" w:ascii="宋体" w:hAnsi="宋体" w:cs="宋体"/>
          <w:bCs/>
          <w:sz w:val="24"/>
        </w:rPr>
        <w:t>注：</w:t>
      </w:r>
      <w:r>
        <w:rPr>
          <w:rFonts w:hint="eastAsia" w:ascii="宋体" w:hAnsi="宋体" w:cs="宋体"/>
          <w:sz w:val="24"/>
        </w:rPr>
        <w:t>采购人或者采购代理机构应当依法对投标人的资格进行审查</w:t>
      </w:r>
      <w:r>
        <w:rPr>
          <w:rFonts w:hint="eastAsia" w:ascii="宋体" w:hAnsi="宋体" w:cs="宋体"/>
          <w:bCs/>
          <w:sz w:val="24"/>
        </w:rPr>
        <w:t>。</w:t>
      </w:r>
    </w:p>
    <w:p>
      <w:pPr>
        <w:spacing w:line="360" w:lineRule="auto"/>
        <w:ind w:firstLine="480" w:firstLineChars="200"/>
        <w:rPr>
          <w:rFonts w:ascii="宋体" w:hAnsi="宋体" w:cs="宋体"/>
          <w:sz w:val="24"/>
        </w:rPr>
      </w:pPr>
      <w:r>
        <w:rPr>
          <w:rFonts w:hint="eastAsia" w:ascii="宋体" w:hAnsi="宋体" w:cs="宋体"/>
          <w:sz w:val="24"/>
        </w:rPr>
        <w:t>3.3符合性检查。</w:t>
      </w:r>
    </w:p>
    <w:p>
      <w:pPr>
        <w:spacing w:line="360" w:lineRule="auto"/>
        <w:ind w:firstLine="480" w:firstLineChars="200"/>
        <w:rPr>
          <w:rFonts w:ascii="宋体" w:hAnsi="宋体" w:cs="宋体"/>
          <w:sz w:val="24"/>
        </w:rPr>
      </w:pPr>
      <w:r>
        <w:rPr>
          <w:rFonts w:hint="eastAsia" w:ascii="宋体" w:hAnsi="宋体" w:cs="宋体"/>
          <w:sz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ascii="宋体" w:hAnsi="宋体" w:cs="宋体"/>
          <w:sz w:val="24"/>
        </w:rPr>
      </w:pPr>
      <w:r>
        <w:rPr>
          <w:rFonts w:hint="eastAsia" w:ascii="宋体" w:hAnsi="宋体" w:cs="宋体"/>
          <w:sz w:val="24"/>
        </w:rPr>
        <w:t>3.3.2投标文件（包括单独递交的开标一览表）有下列情形的，本项目不作为实质性要求进行规定，即不作为符合性审查事项，不得作为无效投标处理：</w:t>
      </w:r>
    </w:p>
    <w:p>
      <w:pPr>
        <w:spacing w:line="360" w:lineRule="auto"/>
        <w:ind w:firstLine="480" w:firstLineChars="200"/>
        <w:rPr>
          <w:rFonts w:ascii="宋体" w:hAnsi="宋体" w:cs="宋体"/>
          <w:sz w:val="24"/>
        </w:rPr>
      </w:pPr>
      <w:r>
        <w:rPr>
          <w:rFonts w:hint="eastAsia" w:ascii="宋体" w:hAnsi="宋体" w:cs="宋体"/>
          <w:sz w:val="24"/>
        </w:rPr>
        <w:t>（一）正副本数量齐全、密封完好，只是未按照招标文件要求进行分装或者统装的；</w:t>
      </w:r>
    </w:p>
    <w:p>
      <w:pPr>
        <w:spacing w:line="360" w:lineRule="auto"/>
        <w:ind w:firstLine="480" w:firstLineChars="200"/>
        <w:rPr>
          <w:rFonts w:ascii="宋体" w:hAnsi="宋体" w:cs="宋体"/>
          <w:sz w:val="24"/>
        </w:rPr>
      </w:pPr>
      <w:r>
        <w:rPr>
          <w:rFonts w:hint="eastAsia" w:ascii="宋体" w:hAnsi="宋体" w:cs="宋体"/>
          <w:sz w:val="24"/>
        </w:rPr>
        <w:t>（二）存在个别地方（不超过2个）没有法定代表人或者有效授权代理人签字的；</w:t>
      </w:r>
    </w:p>
    <w:p>
      <w:pPr>
        <w:spacing w:line="360" w:lineRule="auto"/>
        <w:ind w:firstLine="480" w:firstLineChars="200"/>
        <w:rPr>
          <w:rFonts w:ascii="宋体" w:hAnsi="宋体" w:cs="宋体"/>
          <w:sz w:val="24"/>
        </w:rPr>
      </w:pPr>
      <w:r>
        <w:rPr>
          <w:rFonts w:hint="eastAsia" w:ascii="宋体" w:hAnsi="宋体" w:cs="宋体"/>
          <w:sz w:val="24"/>
        </w:rPr>
        <w:t>（三）除招标文件明确要求加盖单位(法人)公章的以外，其他地方以相关专用章加盖的；</w:t>
      </w:r>
    </w:p>
    <w:p>
      <w:pPr>
        <w:spacing w:line="360" w:lineRule="auto"/>
        <w:ind w:firstLine="480" w:firstLineChars="200"/>
        <w:rPr>
          <w:rFonts w:ascii="宋体" w:hAnsi="宋体" w:cs="宋体"/>
          <w:sz w:val="24"/>
        </w:rPr>
      </w:pPr>
      <w:r>
        <w:rPr>
          <w:rFonts w:hint="eastAsia" w:ascii="宋体" w:hAnsi="宋体" w:cs="宋体"/>
          <w:sz w:val="24"/>
        </w:rPr>
        <w:t>（四）以骑缝章的形式代替投标文件内容逐页盖章的（但是骑缝章模糊不清，印章名称无法辨认的除外）；</w:t>
      </w:r>
    </w:p>
    <w:p>
      <w:pPr>
        <w:spacing w:line="360" w:lineRule="auto"/>
        <w:ind w:firstLine="480" w:firstLineChars="200"/>
        <w:rPr>
          <w:rFonts w:ascii="宋体" w:hAnsi="宋体" w:cs="宋体"/>
          <w:sz w:val="24"/>
        </w:rPr>
      </w:pPr>
      <w:r>
        <w:rPr>
          <w:rFonts w:hint="eastAsia" w:ascii="宋体" w:hAnsi="宋体" w:cs="宋体"/>
          <w:sz w:val="24"/>
        </w:rPr>
        <w:t>（五）其他不影响采购项目实质性要求的情形。</w:t>
      </w:r>
    </w:p>
    <w:p>
      <w:pPr>
        <w:spacing w:line="360" w:lineRule="auto"/>
        <w:ind w:firstLine="480" w:firstLineChars="200"/>
        <w:rPr>
          <w:rFonts w:ascii="宋体" w:hAnsi="宋体" w:cs="宋体"/>
          <w:sz w:val="24"/>
        </w:rPr>
      </w:pPr>
      <w:r>
        <w:rPr>
          <w:rFonts w:hint="eastAsia" w:ascii="宋体" w:hAnsi="宋体" w:cs="宋体"/>
          <w:sz w:val="24"/>
        </w:rPr>
        <w:t>3.3.3除政府采购法律制度规定的情形外，本项目投标人或者其投标文件有下列情形之一的，作为无效投标处理：</w:t>
      </w:r>
    </w:p>
    <w:p>
      <w:pPr>
        <w:spacing w:line="360" w:lineRule="auto"/>
        <w:ind w:firstLine="480" w:firstLineChars="200"/>
        <w:rPr>
          <w:rFonts w:ascii="宋体" w:hAnsi="宋体" w:cs="宋体"/>
          <w:sz w:val="24"/>
        </w:rPr>
      </w:pPr>
      <w:r>
        <w:rPr>
          <w:rFonts w:hint="eastAsia" w:ascii="宋体" w:hAnsi="宋体" w:cs="宋体"/>
          <w:sz w:val="24"/>
        </w:rPr>
        <w:t>（一）投标文件正副本数量不足的；</w:t>
      </w:r>
    </w:p>
    <w:p>
      <w:pPr>
        <w:spacing w:line="360" w:lineRule="auto"/>
        <w:ind w:firstLine="480" w:firstLineChars="200"/>
        <w:rPr>
          <w:rFonts w:ascii="宋体" w:hAnsi="宋体" w:cs="宋体"/>
          <w:sz w:val="24"/>
        </w:rPr>
      </w:pPr>
      <w:r>
        <w:rPr>
          <w:rFonts w:hint="eastAsia" w:ascii="宋体" w:hAnsi="宋体" w:cs="宋体"/>
          <w:sz w:val="24"/>
        </w:rPr>
        <w:t>（二）投标文件组成明显不符合招标文件的规定要求，影响评标委员会评判的；</w:t>
      </w:r>
    </w:p>
    <w:p>
      <w:pPr>
        <w:spacing w:line="360" w:lineRule="auto"/>
        <w:ind w:firstLine="480" w:firstLineChars="200"/>
        <w:rPr>
          <w:rFonts w:ascii="宋体" w:hAnsi="宋体" w:cs="宋体"/>
          <w:sz w:val="24"/>
        </w:rPr>
      </w:pPr>
      <w:r>
        <w:rPr>
          <w:rFonts w:hint="eastAsia" w:ascii="宋体" w:hAnsi="宋体" w:cs="宋体"/>
          <w:sz w:val="24"/>
        </w:rPr>
        <w:t>（三）投标文件的格式、语言、计量单位、报价货币、知识产权、投标有效期等不符合招标文件的规定，影响评标委员会评判的；</w:t>
      </w:r>
    </w:p>
    <w:p>
      <w:pPr>
        <w:spacing w:line="360" w:lineRule="auto"/>
        <w:ind w:firstLine="480" w:firstLineChars="200"/>
        <w:rPr>
          <w:rFonts w:ascii="宋体" w:hAnsi="宋体" w:cs="宋体"/>
          <w:sz w:val="24"/>
        </w:rPr>
      </w:pPr>
      <w:r>
        <w:rPr>
          <w:rFonts w:hint="eastAsia" w:ascii="宋体" w:hAnsi="宋体" w:cs="宋体"/>
          <w:sz w:val="24"/>
        </w:rPr>
        <w:t>（四）投标报价不符合招标文件规定的采购预算或限价或其他报价规定的；</w:t>
      </w:r>
    </w:p>
    <w:p>
      <w:pPr>
        <w:spacing w:line="360" w:lineRule="auto"/>
        <w:ind w:firstLine="480" w:firstLineChars="200"/>
        <w:rPr>
          <w:rFonts w:ascii="宋体" w:hAnsi="宋体" w:cs="宋体"/>
          <w:sz w:val="24"/>
        </w:rPr>
      </w:pPr>
      <w:r>
        <w:rPr>
          <w:rFonts w:hint="eastAsia" w:ascii="宋体" w:hAnsi="宋体" w:cs="宋体"/>
          <w:sz w:val="24"/>
        </w:rPr>
        <w:t>（五）技术、服务应答内容没有完全响应招标文件的实质性要求的；</w:t>
      </w:r>
    </w:p>
    <w:p>
      <w:pPr>
        <w:spacing w:line="360" w:lineRule="auto"/>
        <w:ind w:firstLine="480" w:firstLineChars="200"/>
        <w:rPr>
          <w:rFonts w:ascii="宋体" w:hAnsi="宋体" w:cs="宋体"/>
          <w:sz w:val="24"/>
        </w:rPr>
      </w:pPr>
      <w:r>
        <w:rPr>
          <w:rFonts w:hint="eastAsia" w:ascii="宋体" w:hAnsi="宋体" w:cs="宋体"/>
          <w:sz w:val="24"/>
        </w:rPr>
        <w:t>（六）未载明或者载明的招标项目履约时间、方式、数量及其他政府采购合同实质性内容与招标文件要求不一致，且招标采购单位无法接受的。</w:t>
      </w:r>
    </w:p>
    <w:p>
      <w:pPr>
        <w:spacing w:line="360" w:lineRule="auto"/>
        <w:ind w:firstLine="480" w:firstLineChars="200"/>
        <w:rPr>
          <w:rFonts w:ascii="宋体" w:hAnsi="宋体" w:cs="宋体"/>
          <w:sz w:val="24"/>
        </w:rPr>
      </w:pPr>
      <w:r>
        <w:rPr>
          <w:rFonts w:hint="eastAsia" w:ascii="宋体" w:hAnsi="宋体" w:cs="宋体"/>
          <w:sz w:val="24"/>
        </w:rPr>
        <w:t>（七）没有完全响应招标文件的其他实质性要求或属于招标文件中无效投标的情形。</w:t>
      </w:r>
    </w:p>
    <w:p>
      <w:pPr>
        <w:spacing w:line="360" w:lineRule="auto"/>
        <w:ind w:firstLine="480" w:firstLineChars="200"/>
        <w:rPr>
          <w:rFonts w:ascii="宋体" w:hAnsi="宋体" w:cs="宋体"/>
          <w:sz w:val="24"/>
        </w:rPr>
      </w:pPr>
      <w:r>
        <w:rPr>
          <w:rFonts w:hint="eastAsia" w:ascii="宋体" w:hAnsi="宋体" w:cs="宋体"/>
          <w:sz w:val="24"/>
        </w:rPr>
        <w:t>3.4比较与评价。按招标文件中规定的评标方法和标准，对未作无效投标处理的投标文件进行技术、服务、商务等方面评估，综合比较与评价。</w:t>
      </w:r>
    </w:p>
    <w:p>
      <w:pPr>
        <w:spacing w:line="360" w:lineRule="auto"/>
        <w:ind w:firstLine="480" w:firstLineChars="200"/>
        <w:rPr>
          <w:rFonts w:ascii="宋体" w:hAnsi="宋体" w:cs="宋体"/>
          <w:sz w:val="24"/>
        </w:rPr>
      </w:pPr>
      <w:r>
        <w:rPr>
          <w:rFonts w:hint="eastAsia" w:ascii="宋体" w:hAnsi="宋体" w:cs="宋体"/>
          <w:sz w:val="24"/>
        </w:rPr>
        <w:t>3.5复核。评分汇总结束后，评标委员会应当进行复核，特别要对拟推荐为中标候选供应商的、报价最低的、投标文件被认定为无效的进行重点复核。</w:t>
      </w:r>
    </w:p>
    <w:p>
      <w:pPr>
        <w:spacing w:line="360" w:lineRule="auto"/>
        <w:ind w:firstLine="480" w:firstLineChars="200"/>
        <w:rPr>
          <w:rFonts w:ascii="宋体" w:hAnsi="宋体" w:cs="宋体"/>
          <w:sz w:val="24"/>
        </w:rPr>
      </w:pPr>
      <w:r>
        <w:rPr>
          <w:rFonts w:hint="eastAsia" w:ascii="宋体" w:hAnsi="宋体" w:cs="宋体"/>
          <w:sz w:val="24"/>
        </w:rPr>
        <w:t>3.6推荐中标候选供应商。中标候选供应商应当排序。</w:t>
      </w:r>
    </w:p>
    <w:p>
      <w:pPr>
        <w:spacing w:line="360" w:lineRule="auto"/>
        <w:ind w:firstLine="480" w:firstLineChars="200"/>
        <w:rPr>
          <w:rFonts w:ascii="宋体" w:hAnsi="宋体" w:cs="宋体"/>
          <w:sz w:val="24"/>
        </w:rPr>
      </w:pPr>
      <w:r>
        <w:rPr>
          <w:rFonts w:hint="eastAsia" w:ascii="宋体" w:hAnsi="宋体" w:cs="宋体"/>
          <w:sz w:val="24"/>
        </w:rPr>
        <w:t>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公平、择优的方式选择中标供应商。</w:t>
      </w:r>
    </w:p>
    <w:p>
      <w:pPr>
        <w:spacing w:line="360" w:lineRule="auto"/>
        <w:ind w:firstLine="480" w:firstLineChars="200"/>
        <w:rPr>
          <w:rFonts w:ascii="宋体" w:hAnsi="宋体" w:cs="宋体"/>
          <w:sz w:val="24"/>
        </w:rPr>
      </w:pPr>
      <w:r>
        <w:rPr>
          <w:rFonts w:hint="eastAsia" w:ascii="宋体" w:hAnsi="宋体" w:cs="宋体"/>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rPr>
      </w:pPr>
      <w:r>
        <w:rPr>
          <w:rFonts w:hint="eastAsia" w:ascii="宋体" w:hAnsi="宋体" w:cs="宋体"/>
          <w:sz w:val="24"/>
        </w:rPr>
        <w:t>投标文件满足招标文件全部实质性要求，总得分、投标报价相同、按照评审因素的量化指标评审得分相同的并列。</w:t>
      </w:r>
      <w:r>
        <w:rPr>
          <w:rFonts w:hint="eastAsia" w:ascii="宋体" w:hAnsi="宋体" w:cs="宋体"/>
          <w:sz w:val="24"/>
          <w:lang w:val="zh-CN"/>
        </w:rPr>
        <w:t>优先扶持不发达地区和少数民族地区企业，注册地在不发达地区或少数民族地区企业的，排名在前。</w:t>
      </w:r>
      <w:r>
        <w:rPr>
          <w:rFonts w:hint="eastAsia" w:ascii="宋体" w:hAnsi="宋体" w:cs="宋体"/>
          <w:sz w:val="24"/>
        </w:rPr>
        <w:t>均为</w:t>
      </w:r>
      <w:r>
        <w:rPr>
          <w:rFonts w:hint="eastAsia" w:ascii="宋体" w:hAnsi="宋体" w:cs="宋体"/>
          <w:sz w:val="24"/>
          <w:lang w:val="zh-CN"/>
        </w:rPr>
        <w:t>不发达地区和少数民族地区企业，</w:t>
      </w:r>
      <w:r>
        <w:rPr>
          <w:rFonts w:hint="eastAsia" w:ascii="宋体" w:hAnsi="宋体" w:cs="宋体"/>
          <w:sz w:val="24"/>
        </w:rPr>
        <w:t>由采购人自主采取公平、择优的方式选择中标供应商。</w:t>
      </w:r>
    </w:p>
    <w:p>
      <w:pPr>
        <w:spacing w:line="360" w:lineRule="auto"/>
        <w:ind w:firstLine="480" w:firstLineChars="200"/>
        <w:rPr>
          <w:rFonts w:ascii="宋体" w:hAnsi="宋体" w:cs="宋体"/>
          <w:sz w:val="24"/>
        </w:rPr>
      </w:pPr>
      <w:r>
        <w:rPr>
          <w:rFonts w:hint="eastAsia" w:ascii="宋体" w:hAnsi="宋体" w:cs="宋体"/>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招标文件未规定的推荐中标候选人数量的，评标委员会推荐的中标候选人数量原则上不低于3家或获得采购人书面同意后进行推荐。</w:t>
      </w:r>
    </w:p>
    <w:p>
      <w:pPr>
        <w:spacing w:line="360" w:lineRule="auto"/>
        <w:ind w:firstLine="480" w:firstLineChars="200"/>
        <w:rPr>
          <w:rFonts w:ascii="宋体" w:hAnsi="宋体" w:cs="宋体"/>
          <w:sz w:val="24"/>
        </w:rPr>
      </w:pPr>
      <w:r>
        <w:rPr>
          <w:rFonts w:hint="eastAsia" w:ascii="宋体" w:hAnsi="宋体" w:cs="宋体"/>
          <w:sz w:val="24"/>
        </w:rPr>
        <w:t>3.7出具评标报告。评标委员会推荐中标候选供应商后，应当向招标采购单位出具评标报告。评标报告应当包括下列内容：</w:t>
      </w:r>
    </w:p>
    <w:p>
      <w:pPr>
        <w:spacing w:line="360" w:lineRule="auto"/>
        <w:ind w:firstLine="480" w:firstLineChars="200"/>
        <w:rPr>
          <w:rFonts w:ascii="宋体" w:hAnsi="宋体" w:cs="宋体"/>
          <w:sz w:val="24"/>
        </w:rPr>
      </w:pPr>
      <w:r>
        <w:rPr>
          <w:rFonts w:hint="eastAsia" w:ascii="宋体" w:hAnsi="宋体" w:cs="宋体"/>
          <w:sz w:val="24"/>
        </w:rPr>
        <w:t>（一）招标公告刊登的媒体名称、开标日期和地点；</w:t>
      </w:r>
    </w:p>
    <w:p>
      <w:pPr>
        <w:spacing w:line="360" w:lineRule="auto"/>
        <w:ind w:firstLine="480" w:firstLineChars="200"/>
        <w:rPr>
          <w:rFonts w:ascii="宋体" w:hAnsi="宋体" w:cs="宋体"/>
          <w:sz w:val="24"/>
        </w:rPr>
      </w:pPr>
      <w:r>
        <w:rPr>
          <w:rFonts w:hint="eastAsia" w:ascii="宋体" w:hAnsi="宋体" w:cs="宋体"/>
          <w:sz w:val="24"/>
        </w:rPr>
        <w:t>（二）获取招标文件的投标人名单和评标委员会成员名单；</w:t>
      </w:r>
    </w:p>
    <w:p>
      <w:pPr>
        <w:spacing w:line="360" w:lineRule="auto"/>
        <w:ind w:firstLine="480" w:firstLineChars="200"/>
        <w:rPr>
          <w:rFonts w:ascii="宋体" w:hAnsi="宋体" w:cs="宋体"/>
          <w:sz w:val="24"/>
        </w:rPr>
      </w:pPr>
      <w:r>
        <w:rPr>
          <w:rFonts w:hint="eastAsia" w:ascii="宋体" w:hAnsi="宋体" w:cs="宋体"/>
          <w:sz w:val="24"/>
        </w:rPr>
        <w:t>（三）评标方法和标准；</w:t>
      </w:r>
    </w:p>
    <w:p>
      <w:pPr>
        <w:spacing w:line="360" w:lineRule="auto"/>
        <w:ind w:firstLine="480" w:firstLineChars="200"/>
        <w:rPr>
          <w:rFonts w:ascii="宋体" w:hAnsi="宋体" w:cs="宋体"/>
          <w:sz w:val="24"/>
        </w:rPr>
      </w:pPr>
      <w:r>
        <w:rPr>
          <w:rFonts w:hint="eastAsia" w:ascii="宋体" w:hAnsi="宋体" w:cs="宋体"/>
          <w:sz w:val="24"/>
        </w:rPr>
        <w:t>（四）开标记录和评标情况及说明，包括无效投标人名单及原因；</w:t>
      </w:r>
    </w:p>
    <w:p>
      <w:pPr>
        <w:spacing w:line="360" w:lineRule="auto"/>
        <w:ind w:firstLine="480" w:firstLineChars="200"/>
        <w:rPr>
          <w:rFonts w:ascii="宋体" w:hAnsi="宋体" w:cs="宋体"/>
          <w:sz w:val="24"/>
        </w:rPr>
      </w:pPr>
      <w:r>
        <w:rPr>
          <w:rFonts w:hint="eastAsia" w:ascii="宋体" w:hAnsi="宋体" w:cs="宋体"/>
          <w:sz w:val="24"/>
        </w:rPr>
        <w:t>（五）评标结果和中标候选供应商排序表；</w:t>
      </w:r>
    </w:p>
    <w:p>
      <w:pPr>
        <w:spacing w:line="360" w:lineRule="auto"/>
        <w:ind w:firstLine="480" w:firstLineChars="200"/>
        <w:rPr>
          <w:rFonts w:ascii="宋体" w:hAnsi="宋体" w:cs="宋体"/>
          <w:sz w:val="24"/>
        </w:rPr>
      </w:pPr>
      <w:r>
        <w:rPr>
          <w:rFonts w:hint="eastAsia" w:ascii="宋体" w:hAnsi="宋体" w:cs="宋体"/>
          <w:sz w:val="24"/>
        </w:rPr>
        <w:t>（六）评标委员会授标建议；</w:t>
      </w:r>
    </w:p>
    <w:p>
      <w:pPr>
        <w:spacing w:line="360" w:lineRule="auto"/>
        <w:ind w:firstLine="480" w:firstLineChars="200"/>
        <w:rPr>
          <w:rFonts w:ascii="宋体" w:hAnsi="宋体" w:cs="宋体"/>
          <w:sz w:val="24"/>
        </w:rPr>
      </w:pPr>
      <w:r>
        <w:rPr>
          <w:rFonts w:hint="eastAsia" w:ascii="宋体" w:hAnsi="宋体" w:cs="宋体"/>
          <w:sz w:val="24"/>
        </w:rPr>
        <w:t>（七）报价最高的投标人为中标候选人的，评标委员会应当对其报价的合理性予以特别说明。</w:t>
      </w:r>
    </w:p>
    <w:p>
      <w:pPr>
        <w:spacing w:line="360" w:lineRule="auto"/>
        <w:ind w:firstLine="480" w:firstLineChars="200"/>
        <w:rPr>
          <w:rFonts w:ascii="宋体" w:hAnsi="宋体" w:cs="宋体"/>
          <w:sz w:val="24"/>
        </w:rPr>
      </w:pPr>
      <w:r>
        <w:rPr>
          <w:rFonts w:hint="eastAsia" w:ascii="宋体" w:hAnsi="宋体" w:cs="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ascii="宋体" w:hAnsi="宋体" w:cs="宋体"/>
          <w:sz w:val="24"/>
        </w:rPr>
      </w:pPr>
      <w:r>
        <w:rPr>
          <w:rFonts w:hint="eastAsia" w:ascii="宋体" w:hAnsi="宋体" w:cs="宋体"/>
          <w:sz w:val="24"/>
        </w:rPr>
        <w:t>3.8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ascii="宋体" w:hAnsi="宋体" w:cs="宋体"/>
          <w:sz w:val="24"/>
        </w:rPr>
      </w:pPr>
      <w:r>
        <w:rPr>
          <w:rFonts w:hint="eastAsia" w:ascii="宋体" w:hAnsi="宋体" w:cs="宋体"/>
          <w:sz w:val="24"/>
        </w:rPr>
        <w:t>3.9供应商应当书面澄清、说明或者更正。</w:t>
      </w:r>
    </w:p>
    <w:p>
      <w:pPr>
        <w:spacing w:line="360" w:lineRule="auto"/>
        <w:ind w:firstLine="480" w:firstLineChars="200"/>
        <w:rPr>
          <w:rFonts w:ascii="宋体" w:hAnsi="宋体" w:cs="宋体"/>
          <w:sz w:val="24"/>
        </w:rPr>
      </w:pPr>
      <w:r>
        <w:rPr>
          <w:rFonts w:hint="eastAsia" w:ascii="宋体" w:hAnsi="宋体" w:cs="宋体"/>
          <w:sz w:val="24"/>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ascii="宋体" w:hAnsi="宋体" w:cs="宋体"/>
          <w:sz w:val="24"/>
        </w:rPr>
      </w:pPr>
      <w:r>
        <w:rPr>
          <w:rFonts w:hint="eastAsia" w:ascii="宋体" w:hAnsi="宋体" w:cs="宋体"/>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rPr>
          <w:rFonts w:ascii="宋体" w:hAnsi="宋体" w:cs="宋体"/>
          <w:sz w:val="24"/>
        </w:rPr>
      </w:pPr>
      <w:r>
        <w:rPr>
          <w:rFonts w:hint="eastAsia" w:ascii="宋体" w:hAnsi="宋体" w:cs="宋体"/>
          <w:sz w:val="24"/>
        </w:rPr>
        <w:t>3.9.3评标委员会要求供应商澄清、说明或者更正，不得超出招标文件的范围，不得以此让供应商实质改变投标文件的内容，不得影响供应商公平竞争。本项目下列内容不得澄清：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ascii="宋体" w:hAnsi="宋体" w:cs="宋体"/>
          <w:sz w:val="24"/>
        </w:rPr>
      </w:pPr>
      <w:r>
        <w:rPr>
          <w:rFonts w:hint="eastAsia" w:ascii="宋体" w:hAnsi="宋体" w:cs="宋体"/>
          <w:sz w:val="24"/>
        </w:rPr>
        <w:t>（一）按财政部规定应当在评标时不予承认的投标文件内容事项；</w:t>
      </w:r>
    </w:p>
    <w:p>
      <w:pPr>
        <w:spacing w:line="360" w:lineRule="auto"/>
        <w:ind w:firstLine="480" w:firstLineChars="200"/>
        <w:rPr>
          <w:rFonts w:ascii="宋体" w:hAnsi="宋体" w:cs="宋体"/>
          <w:sz w:val="24"/>
        </w:rPr>
      </w:pPr>
      <w:r>
        <w:rPr>
          <w:rFonts w:hint="eastAsia" w:ascii="宋体" w:hAnsi="宋体" w:cs="宋体"/>
          <w:sz w:val="24"/>
        </w:rPr>
        <w:t>（二）投标文件中已经明确的内容事项；</w:t>
      </w:r>
    </w:p>
    <w:p>
      <w:pPr>
        <w:spacing w:line="360" w:lineRule="auto"/>
        <w:ind w:firstLine="480" w:firstLineChars="200"/>
        <w:rPr>
          <w:rFonts w:ascii="宋体" w:hAnsi="宋体" w:cs="宋体"/>
          <w:sz w:val="24"/>
        </w:rPr>
      </w:pPr>
      <w:r>
        <w:rPr>
          <w:rFonts w:hint="eastAsia" w:ascii="宋体" w:hAnsi="宋体" w:cs="宋体"/>
          <w:sz w:val="24"/>
        </w:rPr>
        <w:t>3.9.4 本项目采购过程中，投标文件出现下列情况的，不需要供应商澄清、说明或者更正，按照以下原则处理：</w:t>
      </w:r>
    </w:p>
    <w:p>
      <w:pPr>
        <w:spacing w:line="360" w:lineRule="auto"/>
        <w:ind w:firstLine="480" w:firstLineChars="200"/>
        <w:rPr>
          <w:rFonts w:ascii="宋体" w:hAnsi="宋体" w:cs="宋体"/>
          <w:sz w:val="24"/>
        </w:rPr>
      </w:pPr>
      <w:r>
        <w:rPr>
          <w:rFonts w:hint="eastAsia" w:ascii="宋体" w:hAnsi="宋体" w:cs="宋体"/>
          <w:sz w:val="24"/>
        </w:rPr>
        <w:t>（一）投标文件的大写金额和小写金额不一致的，以大写金额为准，但大写金额出现文字错误，导致金额无法判断的除外；</w:t>
      </w:r>
    </w:p>
    <w:p>
      <w:pPr>
        <w:spacing w:line="360" w:lineRule="auto"/>
        <w:ind w:firstLine="480" w:firstLineChars="200"/>
        <w:rPr>
          <w:rFonts w:ascii="宋体" w:hAnsi="宋体" w:cs="宋体"/>
          <w:sz w:val="24"/>
        </w:rPr>
      </w:pPr>
      <w:r>
        <w:rPr>
          <w:rFonts w:hint="eastAsia" w:ascii="宋体" w:hAnsi="宋体" w:cs="宋体"/>
          <w:sz w:val="24"/>
        </w:rPr>
        <w:t>（二）总价金额与按单价汇总金额不一致的，以单价汇总金额计算结果为准，但是单价金额出现计算错误、明显人为工作失误的除外；</w:t>
      </w:r>
    </w:p>
    <w:p>
      <w:pPr>
        <w:spacing w:line="360" w:lineRule="auto"/>
        <w:ind w:firstLine="480" w:firstLineChars="200"/>
        <w:rPr>
          <w:rFonts w:ascii="宋体" w:hAnsi="宋体" w:cs="宋体"/>
          <w:sz w:val="24"/>
        </w:rPr>
      </w:pPr>
      <w:r>
        <w:rPr>
          <w:rFonts w:hint="eastAsia" w:ascii="宋体" w:hAnsi="宋体" w:cs="宋体"/>
          <w:sz w:val="24"/>
        </w:rPr>
        <w:t>（三）单价金额小数点有明显错位的，应以总价为准，并修改单价；</w:t>
      </w:r>
    </w:p>
    <w:p>
      <w:pPr>
        <w:spacing w:line="360" w:lineRule="auto"/>
        <w:ind w:firstLine="480" w:firstLineChars="200"/>
        <w:rPr>
          <w:rFonts w:ascii="宋体" w:hAnsi="宋体" w:cs="宋体"/>
          <w:sz w:val="24"/>
        </w:rPr>
      </w:pPr>
      <w:r>
        <w:rPr>
          <w:rFonts w:hint="eastAsia" w:ascii="宋体" w:hAnsi="宋体" w:cs="宋体"/>
          <w:sz w:val="24"/>
        </w:rPr>
        <w:t>（四）对不同语言文本投标文件的解释发生异议的，以中文文本为准。</w:t>
      </w:r>
    </w:p>
    <w:p>
      <w:pPr>
        <w:spacing w:line="360" w:lineRule="auto"/>
        <w:ind w:firstLine="480" w:firstLineChars="200"/>
        <w:rPr>
          <w:rFonts w:ascii="宋体" w:hAnsi="宋体" w:cs="宋体"/>
          <w:sz w:val="24"/>
        </w:rPr>
      </w:pPr>
      <w:r>
        <w:rPr>
          <w:rFonts w:hint="eastAsia" w:ascii="宋体" w:hAnsi="宋体" w:cs="宋体"/>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360" w:lineRule="auto"/>
        <w:ind w:firstLine="480" w:firstLineChars="200"/>
        <w:rPr>
          <w:rFonts w:ascii="宋体" w:hAnsi="宋体" w:cs="宋体"/>
          <w:bCs/>
          <w:sz w:val="24"/>
        </w:rPr>
      </w:pPr>
      <w:r>
        <w:rPr>
          <w:rFonts w:hint="eastAsia" w:ascii="宋体" w:hAnsi="宋体" w:cs="宋体"/>
          <w:bCs/>
          <w:sz w:val="24"/>
        </w:rPr>
        <w:t>注：评标委员会当积极履行澄清、说明或者更正的职责，不得滥用权力。供应商的投标文件可以要求澄清、说明或者更正的，不得未经澄清、说明或者更正而直接作无效投标处理。</w:t>
      </w:r>
    </w:p>
    <w:p>
      <w:pPr>
        <w:spacing w:line="360" w:lineRule="auto"/>
        <w:ind w:firstLine="480" w:firstLineChars="200"/>
        <w:rPr>
          <w:rFonts w:ascii="宋体" w:hAnsi="宋体" w:cs="宋体"/>
          <w:sz w:val="24"/>
        </w:rPr>
      </w:pPr>
      <w:r>
        <w:rPr>
          <w:rFonts w:hint="eastAsia" w:ascii="宋体" w:hAnsi="宋体" w:cs="宋体"/>
          <w:sz w:val="24"/>
        </w:rPr>
        <w:t>3.10 低于成本价投标处理。在评标过程中，投标人报价过低，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ind w:firstLine="480" w:firstLineChars="200"/>
        <w:rPr>
          <w:rFonts w:ascii="宋体" w:hAnsi="宋体" w:cs="宋体"/>
          <w:sz w:val="24"/>
        </w:rPr>
      </w:pPr>
      <w:r>
        <w:rPr>
          <w:rFonts w:hint="eastAsia" w:ascii="宋体" w:hAnsi="宋体" w:cs="宋体"/>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ind w:firstLine="480" w:firstLineChars="200"/>
        <w:rPr>
          <w:rFonts w:ascii="宋体" w:hAnsi="宋体" w:cs="宋体"/>
          <w:sz w:val="24"/>
        </w:rPr>
      </w:pPr>
      <w:r>
        <w:rPr>
          <w:rFonts w:hint="eastAsia" w:ascii="宋体" w:hAnsi="宋体" w:cs="宋体"/>
          <w:sz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spacing w:line="360" w:lineRule="auto"/>
        <w:ind w:firstLine="480" w:firstLineChars="200"/>
        <w:rPr>
          <w:rFonts w:ascii="宋体" w:hAnsi="宋体" w:cs="宋体"/>
          <w:sz w:val="24"/>
        </w:rPr>
      </w:pPr>
      <w:r>
        <w:rPr>
          <w:rFonts w:hint="eastAsia" w:ascii="宋体" w:hAnsi="宋体" w:cs="宋体"/>
          <w:sz w:val="24"/>
        </w:rPr>
        <w:t>3.11招标采购单位现场复核评标结果。</w:t>
      </w:r>
    </w:p>
    <w:p>
      <w:pPr>
        <w:spacing w:line="360" w:lineRule="auto"/>
        <w:ind w:firstLine="480" w:firstLineChars="200"/>
        <w:rPr>
          <w:rFonts w:ascii="宋体" w:hAnsi="宋体" w:cs="宋体"/>
          <w:sz w:val="24"/>
        </w:rPr>
      </w:pPr>
      <w:r>
        <w:rPr>
          <w:rFonts w:hint="eastAsia" w:ascii="宋体" w:hAnsi="宋体" w:cs="宋体"/>
          <w:sz w:val="24"/>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spacing w:line="360" w:lineRule="auto"/>
        <w:ind w:firstLine="480" w:firstLineChars="200"/>
        <w:rPr>
          <w:rFonts w:ascii="宋体" w:hAnsi="宋体" w:cs="宋体"/>
          <w:sz w:val="24"/>
        </w:rPr>
      </w:pPr>
      <w:r>
        <w:rPr>
          <w:rFonts w:hint="eastAsia" w:ascii="宋体" w:hAnsi="宋体" w:cs="宋体"/>
          <w:sz w:val="24"/>
        </w:rPr>
        <w:t>（一）资格性审查认定错误的；</w:t>
      </w:r>
    </w:p>
    <w:p>
      <w:pPr>
        <w:spacing w:line="360" w:lineRule="auto"/>
        <w:ind w:firstLine="480" w:firstLineChars="200"/>
        <w:rPr>
          <w:rFonts w:ascii="宋体" w:hAnsi="宋体" w:cs="宋体"/>
          <w:sz w:val="24"/>
        </w:rPr>
      </w:pPr>
      <w:r>
        <w:rPr>
          <w:rFonts w:hint="eastAsia" w:ascii="宋体" w:hAnsi="宋体" w:cs="宋体"/>
          <w:sz w:val="24"/>
        </w:rPr>
        <w:t>（二）分值汇总计算错误的；</w:t>
      </w:r>
    </w:p>
    <w:p>
      <w:pPr>
        <w:spacing w:line="360" w:lineRule="auto"/>
        <w:ind w:firstLine="480" w:firstLineChars="200"/>
        <w:rPr>
          <w:rFonts w:ascii="宋体" w:hAnsi="宋体" w:cs="宋体"/>
          <w:sz w:val="24"/>
        </w:rPr>
      </w:pPr>
      <w:r>
        <w:rPr>
          <w:rFonts w:hint="eastAsia" w:ascii="宋体" w:hAnsi="宋体" w:cs="宋体"/>
          <w:sz w:val="24"/>
        </w:rPr>
        <w:t>（三）分项评分超出评分标准范围的；</w:t>
      </w:r>
    </w:p>
    <w:p>
      <w:pPr>
        <w:spacing w:line="360" w:lineRule="auto"/>
        <w:ind w:firstLine="480" w:firstLineChars="200"/>
        <w:rPr>
          <w:rFonts w:ascii="宋体" w:hAnsi="宋体" w:cs="宋体"/>
          <w:sz w:val="24"/>
        </w:rPr>
      </w:pPr>
      <w:r>
        <w:rPr>
          <w:rFonts w:hint="eastAsia" w:ascii="宋体" w:hAnsi="宋体" w:cs="宋体"/>
          <w:sz w:val="24"/>
        </w:rPr>
        <w:t>（四）客观评分不一致的。</w:t>
      </w:r>
    </w:p>
    <w:p>
      <w:pPr>
        <w:spacing w:line="360" w:lineRule="auto"/>
        <w:ind w:firstLine="480" w:firstLineChars="200"/>
        <w:rPr>
          <w:rFonts w:ascii="宋体" w:hAnsi="宋体" w:cs="宋体"/>
          <w:sz w:val="24"/>
        </w:rPr>
      </w:pPr>
      <w:r>
        <w:rPr>
          <w:rFonts w:hint="eastAsia" w:ascii="宋体" w:hAnsi="宋体" w:cs="宋体"/>
          <w:sz w:val="24"/>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line="360" w:lineRule="auto"/>
        <w:ind w:firstLine="480" w:firstLineChars="200"/>
        <w:rPr>
          <w:rFonts w:ascii="宋体" w:hAnsi="宋体" w:cs="宋体"/>
          <w:sz w:val="24"/>
        </w:rPr>
      </w:pPr>
      <w:r>
        <w:rPr>
          <w:rFonts w:hint="eastAsia" w:ascii="宋体" w:hAnsi="宋体" w:cs="宋体"/>
          <w:sz w:val="24"/>
        </w:rPr>
        <w:t>3.11.2有下列情形之一的，不得修改评标结果或者重新评标：</w:t>
      </w:r>
    </w:p>
    <w:p>
      <w:pPr>
        <w:spacing w:line="360" w:lineRule="auto"/>
        <w:ind w:firstLine="480" w:firstLineChars="200"/>
        <w:rPr>
          <w:rFonts w:ascii="宋体" w:hAnsi="宋体" w:cs="宋体"/>
          <w:sz w:val="24"/>
        </w:rPr>
      </w:pPr>
      <w:r>
        <w:rPr>
          <w:rFonts w:hint="eastAsia" w:ascii="宋体" w:hAnsi="宋体" w:cs="宋体"/>
          <w:sz w:val="24"/>
        </w:rPr>
        <w:t>（一）评标委员会已经出具评标报告并且离开评标现场的；</w:t>
      </w:r>
    </w:p>
    <w:p>
      <w:pPr>
        <w:spacing w:line="360" w:lineRule="auto"/>
        <w:ind w:firstLine="480" w:firstLineChars="200"/>
        <w:rPr>
          <w:rFonts w:ascii="宋体" w:hAnsi="宋体" w:cs="宋体"/>
          <w:sz w:val="24"/>
        </w:rPr>
      </w:pPr>
      <w:r>
        <w:rPr>
          <w:rFonts w:hint="eastAsia" w:ascii="宋体" w:hAnsi="宋体" w:cs="宋体"/>
          <w:sz w:val="24"/>
        </w:rPr>
        <w:t>（二）招标采购单位现场复核时，复核工作人员数量不足的；</w:t>
      </w:r>
    </w:p>
    <w:p>
      <w:pPr>
        <w:spacing w:line="360" w:lineRule="auto"/>
        <w:ind w:firstLine="480" w:firstLineChars="200"/>
        <w:rPr>
          <w:rFonts w:ascii="宋体" w:hAnsi="宋体" w:cs="宋体"/>
          <w:sz w:val="24"/>
        </w:rPr>
      </w:pPr>
      <w:r>
        <w:rPr>
          <w:rFonts w:hint="eastAsia" w:ascii="宋体" w:hAnsi="宋体" w:cs="宋体"/>
          <w:sz w:val="24"/>
        </w:rPr>
        <w:t>（三）招标采购单位现场复核时，没有采购监督人员现场监督的；</w:t>
      </w:r>
    </w:p>
    <w:p>
      <w:pPr>
        <w:spacing w:line="360" w:lineRule="auto"/>
        <w:ind w:firstLine="480" w:firstLineChars="200"/>
        <w:rPr>
          <w:rFonts w:ascii="宋体" w:hAnsi="宋体" w:cs="宋体"/>
          <w:sz w:val="24"/>
        </w:rPr>
      </w:pPr>
      <w:r>
        <w:rPr>
          <w:rFonts w:hint="eastAsia" w:ascii="宋体" w:hAnsi="宋体" w:cs="宋体"/>
          <w:sz w:val="24"/>
        </w:rPr>
        <w:t>（四）招标采购单位现场复核内容超出规定范围的；</w:t>
      </w:r>
    </w:p>
    <w:p>
      <w:pPr>
        <w:spacing w:line="360" w:lineRule="auto"/>
        <w:ind w:firstLine="480" w:firstLineChars="200"/>
        <w:rPr>
          <w:rFonts w:ascii="宋体" w:hAnsi="宋体" w:cs="宋体"/>
          <w:sz w:val="24"/>
        </w:rPr>
      </w:pPr>
      <w:r>
        <w:rPr>
          <w:rFonts w:hint="eastAsia" w:ascii="宋体" w:hAnsi="宋体" w:cs="宋体"/>
          <w:sz w:val="24"/>
        </w:rPr>
        <w:t>（五）招标采购单位未提供书面建议的。</w:t>
      </w:r>
    </w:p>
    <w:bookmarkEnd w:id="148"/>
    <w:p>
      <w:pPr>
        <w:pStyle w:val="4"/>
        <w:spacing w:before="0" w:after="0" w:line="360" w:lineRule="auto"/>
        <w:ind w:firstLine="472" w:firstLineChars="196"/>
        <w:rPr>
          <w:rFonts w:ascii="宋体" w:hAnsi="宋体" w:eastAsia="宋体" w:cs="宋体"/>
          <w:sz w:val="24"/>
          <w:szCs w:val="24"/>
        </w:rPr>
      </w:pPr>
      <w:bookmarkStart w:id="149" w:name="_Toc217446059"/>
      <w:r>
        <w:rPr>
          <w:rFonts w:hint="eastAsia" w:ascii="宋体" w:hAnsi="宋体" w:eastAsia="宋体" w:cs="宋体"/>
          <w:sz w:val="24"/>
          <w:szCs w:val="24"/>
        </w:rPr>
        <w:t>4. 评标细则及标准</w:t>
      </w:r>
    </w:p>
    <w:p>
      <w:pPr>
        <w:spacing w:line="360" w:lineRule="auto"/>
        <w:ind w:firstLine="480" w:firstLineChars="200"/>
        <w:rPr>
          <w:rFonts w:ascii="宋体" w:hAnsi="宋体" w:cs="宋体"/>
          <w:sz w:val="24"/>
        </w:rPr>
      </w:pPr>
      <w:r>
        <w:rPr>
          <w:rFonts w:hint="eastAsia" w:ascii="宋体" w:hAnsi="宋体" w:cs="宋体"/>
          <w:sz w:val="24"/>
        </w:rPr>
        <w:t>4.1本项目采用综合评分法，评分因素是：见综合评分明细表。</w:t>
      </w:r>
    </w:p>
    <w:p>
      <w:pPr>
        <w:spacing w:line="360" w:lineRule="auto"/>
        <w:ind w:firstLine="480" w:firstLineChars="200"/>
        <w:rPr>
          <w:rFonts w:ascii="宋体" w:hAnsi="宋体" w:cs="宋体"/>
          <w:sz w:val="24"/>
        </w:rPr>
      </w:pPr>
      <w:r>
        <w:rPr>
          <w:rFonts w:hint="eastAsia" w:ascii="宋体" w:hAnsi="宋体" w:cs="宋体"/>
          <w:sz w:val="24"/>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spacing w:line="360" w:lineRule="auto"/>
        <w:ind w:firstLine="480" w:firstLineChars="200"/>
        <w:rPr>
          <w:rFonts w:ascii="宋体" w:hAnsi="宋体" w:cs="宋体"/>
          <w:sz w:val="24"/>
        </w:rPr>
      </w:pPr>
      <w:r>
        <w:rPr>
          <w:rFonts w:hint="eastAsia" w:ascii="宋体" w:hAnsi="宋体" w:cs="宋体"/>
          <w:sz w:val="24"/>
        </w:rPr>
        <w:t>4.3综合评分明细表</w:t>
      </w:r>
    </w:p>
    <w:p>
      <w:pPr>
        <w:spacing w:line="360" w:lineRule="auto"/>
        <w:ind w:firstLine="480" w:firstLineChars="200"/>
        <w:rPr>
          <w:rFonts w:ascii="宋体" w:hAnsi="宋体" w:cs="宋体"/>
          <w:sz w:val="24"/>
        </w:rPr>
      </w:pPr>
      <w:r>
        <w:rPr>
          <w:rFonts w:hint="eastAsia" w:ascii="宋体" w:hAnsi="宋体" w:cs="宋体"/>
          <w:sz w:val="24"/>
        </w:rPr>
        <w:t>4.3.1综合评分明细表的制定以科学合理、降低评委会自由裁量权为原则。</w:t>
      </w:r>
    </w:p>
    <w:p>
      <w:pPr>
        <w:spacing w:line="360" w:lineRule="auto"/>
        <w:ind w:firstLine="480" w:firstLineChars="200"/>
        <w:rPr>
          <w:rFonts w:ascii="宋体" w:hAnsi="宋体" w:cs="宋体"/>
          <w:sz w:val="24"/>
        </w:rPr>
      </w:pPr>
      <w:r>
        <w:rPr>
          <w:rFonts w:hint="eastAsia" w:ascii="宋体" w:hAnsi="宋体" w:cs="宋体"/>
          <w:sz w:val="24"/>
        </w:rPr>
        <w:t>4.3.2 综合评分明细表按须知表中的相关要求进行价格调整，再参与价格分评审。</w:t>
      </w:r>
    </w:p>
    <w:p>
      <w:pPr>
        <w:spacing w:line="360" w:lineRule="auto"/>
        <w:ind w:firstLine="480" w:firstLineChars="200"/>
        <w:rPr>
          <w:rFonts w:ascii="宋体" w:hAnsi="宋体" w:cs="宋体"/>
          <w:sz w:val="24"/>
        </w:rPr>
      </w:pPr>
      <w:r>
        <w:rPr>
          <w:rFonts w:hint="eastAsia" w:ascii="宋体" w:hAnsi="宋体" w:cs="宋体"/>
          <w:sz w:val="24"/>
        </w:rPr>
        <w:t>4.3.3综合评分明细表</w:t>
      </w:r>
    </w:p>
    <w:tbl>
      <w:tblPr>
        <w:tblStyle w:val="28"/>
        <w:tblW w:w="5615" w:type="pct"/>
        <w:jc w:val="center"/>
        <w:tblLayout w:type="autofit"/>
        <w:tblCellMar>
          <w:top w:w="0" w:type="dxa"/>
          <w:left w:w="108" w:type="dxa"/>
          <w:bottom w:w="0" w:type="dxa"/>
          <w:right w:w="108" w:type="dxa"/>
        </w:tblCellMar>
      </w:tblPr>
      <w:tblGrid>
        <w:gridCol w:w="740"/>
        <w:gridCol w:w="1202"/>
        <w:gridCol w:w="911"/>
        <w:gridCol w:w="6344"/>
        <w:gridCol w:w="1105"/>
      </w:tblGrid>
      <w:tr>
        <w:tblPrEx>
          <w:tblCellMar>
            <w:top w:w="0" w:type="dxa"/>
            <w:left w:w="108" w:type="dxa"/>
            <w:bottom w:w="0" w:type="dxa"/>
            <w:right w:w="108" w:type="dxa"/>
          </w:tblCellMar>
        </w:tblPrEx>
        <w:trPr>
          <w:trHeight w:val="214"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序号</w:t>
            </w:r>
          </w:p>
        </w:tc>
        <w:tc>
          <w:tcPr>
            <w:tcW w:w="583"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评分因素及权重</w:t>
            </w:r>
          </w:p>
        </w:tc>
        <w:tc>
          <w:tcPr>
            <w:tcW w:w="44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权重</w:t>
            </w:r>
          </w:p>
        </w:tc>
        <w:tc>
          <w:tcPr>
            <w:tcW w:w="3078"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评分标准</w:t>
            </w:r>
          </w:p>
        </w:tc>
        <w:tc>
          <w:tcPr>
            <w:tcW w:w="53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说明</w:t>
            </w:r>
          </w:p>
        </w:tc>
      </w:tr>
      <w:tr>
        <w:tblPrEx>
          <w:tblCellMar>
            <w:top w:w="0" w:type="dxa"/>
            <w:left w:w="108" w:type="dxa"/>
            <w:bottom w:w="0" w:type="dxa"/>
            <w:right w:w="108" w:type="dxa"/>
          </w:tblCellMar>
        </w:tblPrEx>
        <w:trPr>
          <w:trHeight w:val="726" w:hRule="atLeast"/>
          <w:jc w:val="center"/>
        </w:trPr>
        <w:tc>
          <w:tcPr>
            <w:tcW w:w="359"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583"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报价10%</w:t>
            </w:r>
          </w:p>
        </w:tc>
        <w:tc>
          <w:tcPr>
            <w:tcW w:w="44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10分</w:t>
            </w:r>
          </w:p>
        </w:tc>
        <w:tc>
          <w:tcPr>
            <w:tcW w:w="3078" w:type="pct"/>
            <w:tcBorders>
              <w:top w:val="nil"/>
              <w:left w:val="nil"/>
              <w:bottom w:val="single" w:color="auto" w:sz="4" w:space="0"/>
              <w:right w:val="single" w:color="auto" w:sz="4" w:space="0"/>
            </w:tcBorders>
            <w:vAlign w:val="center"/>
          </w:tcPr>
          <w:p>
            <w:pPr>
              <w:widowControl/>
              <w:spacing w:line="360" w:lineRule="auto"/>
              <w:rPr>
                <w:rFonts w:ascii="宋体" w:hAnsi="宋体" w:cs="宋体"/>
                <w:kern w:val="0"/>
                <w:szCs w:val="21"/>
              </w:rPr>
            </w:pPr>
            <w:r>
              <w:rPr>
                <w:rFonts w:hint="eastAsia" w:ascii="宋体" w:hAnsi="宋体" w:cs="宋体"/>
                <w:kern w:val="0"/>
                <w:szCs w:val="21"/>
              </w:rPr>
              <w:t>一、满足招标文件要求供应商的最低报价为评标基准价，投标报价得分=（评标基准价/投标报价）×10。</w:t>
            </w:r>
          </w:p>
          <w:p>
            <w:pPr>
              <w:widowControl/>
              <w:spacing w:line="360" w:lineRule="auto"/>
              <w:rPr>
                <w:rFonts w:ascii="宋体" w:hAnsi="宋体" w:cs="宋体"/>
                <w:kern w:val="0"/>
                <w:szCs w:val="21"/>
              </w:rPr>
            </w:pPr>
            <w:r>
              <w:rPr>
                <w:rFonts w:hint="eastAsia" w:ascii="宋体" w:hAnsi="宋体" w:cs="宋体"/>
                <w:kern w:val="0"/>
                <w:szCs w:val="21"/>
              </w:rPr>
              <w:t>二、对低于成本价的的认定及处理按投标人须知前附表执行。</w:t>
            </w:r>
          </w:p>
        </w:tc>
        <w:tc>
          <w:tcPr>
            <w:tcW w:w="536"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szCs w:val="21"/>
              </w:rPr>
            </w:pPr>
            <w:r>
              <w:rPr>
                <w:rFonts w:hint="eastAsia" w:ascii="宋体" w:hAnsi="宋体" w:cs="宋体"/>
                <w:szCs w:val="21"/>
              </w:rPr>
              <w:t>经济评分因素</w:t>
            </w:r>
          </w:p>
        </w:tc>
      </w:tr>
      <w:tr>
        <w:tblPrEx>
          <w:tblCellMar>
            <w:top w:w="0" w:type="dxa"/>
            <w:left w:w="108" w:type="dxa"/>
            <w:bottom w:w="0" w:type="dxa"/>
            <w:right w:w="108" w:type="dxa"/>
          </w:tblCellMar>
        </w:tblPrEx>
        <w:trPr>
          <w:trHeight w:val="570" w:hRule="atLeast"/>
          <w:jc w:val="center"/>
        </w:trPr>
        <w:tc>
          <w:tcPr>
            <w:tcW w:w="359"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583"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szCs w:val="21"/>
              </w:rPr>
              <w:t>管理方案24</w:t>
            </w:r>
            <w:r>
              <w:rPr>
                <w:rFonts w:hint="eastAsia" w:ascii="宋体" w:hAnsi="宋体" w:cs="宋体"/>
                <w:kern w:val="0"/>
                <w:szCs w:val="21"/>
              </w:rPr>
              <w:t>%</w:t>
            </w:r>
          </w:p>
        </w:tc>
        <w:tc>
          <w:tcPr>
            <w:tcW w:w="442"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24分</w:t>
            </w:r>
          </w:p>
        </w:tc>
        <w:tc>
          <w:tcPr>
            <w:tcW w:w="3078" w:type="pct"/>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szCs w:val="21"/>
              </w:rPr>
            </w:pPr>
            <w:r>
              <w:rPr>
                <w:rFonts w:hint="eastAsia" w:ascii="宋体" w:hAnsi="宋体" w:cs="宋体"/>
                <w:szCs w:val="21"/>
              </w:rPr>
              <w:t>根据供应商提供的管理方案进行综合评审，方案内容包含：①人员职责安排、②岗位规范要求、③员工考核表及奖惩制、④服务人员的培训计划（培训方式、培训内容、培训时间）。内容齐全、结构完整、表述准确、条理清晰且全部涵盖以上内容得24分，每缺少一项或结构不完整或表述不准确或条理不清晰的扣6分:每有一项方案虽提供但无实质性内容或不具针对性或有缺陷的扣3分，扣完为止。</w:t>
            </w:r>
          </w:p>
        </w:tc>
        <w:tc>
          <w:tcPr>
            <w:tcW w:w="536" w:type="pct"/>
            <w:tcBorders>
              <w:top w:val="nil"/>
              <w:left w:val="nil"/>
              <w:bottom w:val="single" w:color="auto" w:sz="4" w:space="0"/>
              <w:right w:val="single" w:color="auto" w:sz="4" w:space="0"/>
            </w:tcBorders>
            <w:vAlign w:val="center"/>
          </w:tcPr>
          <w:p>
            <w:pPr>
              <w:widowControl/>
              <w:spacing w:line="360" w:lineRule="auto"/>
              <w:jc w:val="center"/>
              <w:rPr>
                <w:rFonts w:ascii="宋体" w:hAnsi="宋体" w:cs="宋体"/>
                <w:szCs w:val="21"/>
              </w:rPr>
            </w:pPr>
            <w:r>
              <w:rPr>
                <w:rFonts w:hint="eastAsia" w:ascii="宋体" w:hAnsi="宋体" w:cs="宋体"/>
                <w:szCs w:val="21"/>
              </w:rPr>
              <w:t>技术评分因素</w:t>
            </w:r>
          </w:p>
        </w:tc>
      </w:tr>
      <w:tr>
        <w:tblPrEx>
          <w:tblCellMar>
            <w:top w:w="0" w:type="dxa"/>
            <w:left w:w="108" w:type="dxa"/>
            <w:bottom w:w="0" w:type="dxa"/>
            <w:right w:w="108" w:type="dxa"/>
          </w:tblCellMar>
        </w:tblPrEx>
        <w:trPr>
          <w:trHeight w:val="94" w:hRule="atLeast"/>
          <w:jc w:val="center"/>
        </w:trPr>
        <w:tc>
          <w:tcPr>
            <w:tcW w:w="359"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583"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szCs w:val="21"/>
              </w:rPr>
              <w:t>实施方案42%</w:t>
            </w:r>
          </w:p>
        </w:tc>
        <w:tc>
          <w:tcPr>
            <w:tcW w:w="44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42分</w:t>
            </w:r>
          </w:p>
        </w:tc>
        <w:tc>
          <w:tcPr>
            <w:tcW w:w="3078" w:type="pct"/>
            <w:tcBorders>
              <w:top w:val="nil"/>
              <w:left w:val="nil"/>
              <w:bottom w:val="single" w:color="auto" w:sz="4" w:space="0"/>
              <w:right w:val="single" w:color="auto" w:sz="4" w:space="0"/>
            </w:tcBorders>
            <w:vAlign w:val="center"/>
          </w:tcPr>
          <w:p>
            <w:pPr>
              <w:widowControl/>
              <w:spacing w:line="360" w:lineRule="auto"/>
              <w:rPr>
                <w:rFonts w:ascii="宋体" w:hAnsi="宋体" w:cs="宋体"/>
                <w:szCs w:val="21"/>
              </w:rPr>
            </w:pPr>
            <w:r>
              <w:rPr>
                <w:rFonts w:hint="eastAsia" w:ascii="宋体" w:hAnsi="宋体" w:cs="宋体"/>
                <w:szCs w:val="21"/>
              </w:rPr>
              <w:t>根据供应商提供的实施方案进行综合评审，方案内容包含：①项目实施的相关依据及标准规范、②项目现状分析、③项目需求分析、④服务方案、⑤项目实施与运行管理、⑥项目服务概算、⑦风险及绩效。内容齐全、结构完整、表述准确、条理清晰且全部涵盖以上内容得42分，每缺少一项或结构不完整或表述不准确或条理不清晰的扣6分:每有一项方案虽提供但无实质性内容或不具针对性或有缺陷的扣3分，扣完为止。</w:t>
            </w:r>
          </w:p>
        </w:tc>
        <w:tc>
          <w:tcPr>
            <w:tcW w:w="536"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rPr>
            </w:pPr>
            <w:r>
              <w:rPr>
                <w:rFonts w:hint="eastAsia" w:ascii="宋体" w:hAnsi="宋体" w:cs="宋体"/>
                <w:szCs w:val="21"/>
              </w:rPr>
              <w:t>技术评分因素</w:t>
            </w:r>
          </w:p>
        </w:tc>
      </w:tr>
      <w:tr>
        <w:tblPrEx>
          <w:tblCellMar>
            <w:top w:w="0" w:type="dxa"/>
            <w:left w:w="108" w:type="dxa"/>
            <w:bottom w:w="0" w:type="dxa"/>
            <w:right w:w="108" w:type="dxa"/>
          </w:tblCellMar>
        </w:tblPrEx>
        <w:trPr>
          <w:trHeight w:val="629" w:hRule="atLeast"/>
          <w:jc w:val="center"/>
        </w:trPr>
        <w:tc>
          <w:tcPr>
            <w:tcW w:w="359"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583"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履约经验9</w:t>
            </w:r>
            <w:r>
              <w:rPr>
                <w:rFonts w:hint="eastAsia" w:ascii="宋体" w:hAnsi="宋体" w:cs="宋体"/>
                <w:szCs w:val="21"/>
              </w:rPr>
              <w:t>%</w:t>
            </w:r>
          </w:p>
        </w:tc>
        <w:tc>
          <w:tcPr>
            <w:tcW w:w="44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9分</w:t>
            </w:r>
          </w:p>
        </w:tc>
        <w:tc>
          <w:tcPr>
            <w:tcW w:w="3078" w:type="pct"/>
            <w:tcBorders>
              <w:top w:val="nil"/>
              <w:left w:val="nil"/>
              <w:bottom w:val="single" w:color="auto" w:sz="4" w:space="0"/>
              <w:right w:val="single" w:color="auto" w:sz="4" w:space="0"/>
            </w:tcBorders>
            <w:vAlign w:val="center"/>
          </w:tcPr>
          <w:p>
            <w:pPr>
              <w:pStyle w:val="2"/>
              <w:spacing w:after="0" w:line="360" w:lineRule="auto"/>
              <w:rPr>
                <w:rFonts w:ascii="宋体" w:hAnsi="宋体" w:cs="宋体"/>
                <w:kern w:val="0"/>
                <w:szCs w:val="21"/>
              </w:rPr>
            </w:pPr>
            <w:r>
              <w:rPr>
                <w:rFonts w:hint="eastAsia" w:ascii="宋体" w:hAnsi="宋体" w:cs="宋体"/>
                <w:kern w:val="0"/>
                <w:szCs w:val="21"/>
              </w:rPr>
              <w:t>1、供应商具有一个类似项目业绩的得3分，最多得9分。</w:t>
            </w:r>
          </w:p>
          <w:p>
            <w:pPr>
              <w:pStyle w:val="2"/>
              <w:spacing w:after="0" w:line="360" w:lineRule="auto"/>
              <w:rPr>
                <w:rFonts w:ascii="宋体" w:hAnsi="宋体" w:cs="宋体"/>
                <w:szCs w:val="21"/>
              </w:rPr>
            </w:pPr>
            <w:r>
              <w:rPr>
                <w:rFonts w:hint="eastAsia" w:ascii="宋体" w:hAnsi="宋体" w:cs="宋体"/>
                <w:kern w:val="0"/>
                <w:szCs w:val="21"/>
              </w:rPr>
              <w:t>注：提供中标/成交通知书复印件或合同复印件并加盖鲜章，不提供不得分。</w:t>
            </w:r>
          </w:p>
        </w:tc>
        <w:tc>
          <w:tcPr>
            <w:tcW w:w="536"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rPr>
            </w:pPr>
            <w:r>
              <w:rPr>
                <w:rFonts w:hint="eastAsia" w:ascii="宋体" w:hAnsi="宋体" w:cs="宋体"/>
                <w:szCs w:val="21"/>
              </w:rPr>
              <w:t>共同评分因素</w:t>
            </w:r>
          </w:p>
        </w:tc>
      </w:tr>
      <w:tr>
        <w:tblPrEx>
          <w:tblCellMar>
            <w:top w:w="0" w:type="dxa"/>
            <w:left w:w="108" w:type="dxa"/>
            <w:bottom w:w="0" w:type="dxa"/>
            <w:right w:w="108" w:type="dxa"/>
          </w:tblCellMar>
        </w:tblPrEx>
        <w:trPr>
          <w:trHeight w:val="851" w:hRule="atLeast"/>
          <w:jc w:val="center"/>
        </w:trPr>
        <w:tc>
          <w:tcPr>
            <w:tcW w:w="359"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583"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szCs w:val="21"/>
              </w:rPr>
              <w:t>投标人综合实力</w:t>
            </w:r>
            <w:r>
              <w:rPr>
                <w:rFonts w:hint="eastAsia" w:ascii="宋体" w:hAnsi="宋体" w:cs="宋体"/>
                <w:kern w:val="0"/>
                <w:szCs w:val="21"/>
              </w:rPr>
              <w:t>15</w:t>
            </w:r>
            <w:r>
              <w:rPr>
                <w:rFonts w:hint="eastAsia" w:ascii="宋体" w:hAnsi="宋体" w:cs="宋体"/>
                <w:szCs w:val="21"/>
              </w:rPr>
              <w:t>%</w:t>
            </w:r>
          </w:p>
        </w:tc>
        <w:tc>
          <w:tcPr>
            <w:tcW w:w="44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15分</w:t>
            </w:r>
          </w:p>
        </w:tc>
        <w:tc>
          <w:tcPr>
            <w:tcW w:w="3078" w:type="pct"/>
            <w:tcBorders>
              <w:top w:val="nil"/>
              <w:left w:val="nil"/>
              <w:bottom w:val="single" w:color="auto" w:sz="4" w:space="0"/>
              <w:right w:val="single" w:color="auto" w:sz="4" w:space="0"/>
            </w:tcBorders>
            <w:vAlign w:val="center"/>
          </w:tcPr>
          <w:p>
            <w:pPr>
              <w:pStyle w:val="2"/>
              <w:spacing w:after="0" w:line="360" w:lineRule="auto"/>
              <w:rPr>
                <w:rFonts w:ascii="宋体" w:hAnsi="宋体" w:cs="宋体"/>
                <w:szCs w:val="21"/>
              </w:rPr>
            </w:pPr>
            <w:r>
              <w:rPr>
                <w:rFonts w:hint="eastAsia" w:ascii="宋体" w:hAnsi="宋体" w:cs="宋体"/>
                <w:szCs w:val="21"/>
              </w:rPr>
              <w:t>1、供应商每提供开票中心软件、码上开票、权限管理系统、小程序、商户管理系统、开票POSSAPP类软件著作权登记证书一个的得1.5分，本项最多得9分；</w:t>
            </w:r>
          </w:p>
          <w:p>
            <w:pPr>
              <w:pStyle w:val="2"/>
              <w:spacing w:after="0" w:line="360" w:lineRule="auto"/>
              <w:rPr>
                <w:rFonts w:ascii="宋体" w:hAnsi="宋体" w:cs="宋体"/>
                <w:szCs w:val="21"/>
              </w:rPr>
            </w:pPr>
            <w:r>
              <w:rPr>
                <w:rFonts w:hint="eastAsia" w:ascii="宋体" w:hAnsi="宋体" w:cs="宋体"/>
                <w:szCs w:val="21"/>
              </w:rPr>
              <w:t>2、供应商提供有效期内的质量管理体系认证证书（认证范围包含：税控系统和区块链电子发票系统的集成开发及运行维护）、服务管理体系认证证书（认证范围包含：向外部客户提供财税系统软件的运维服务）、信息安全管理体系认证证书（认证范围包含：与财税系统软件开发、财税系统的集成及运维服务相关的信息安全管理）的，一个得2分，最多得6分。</w:t>
            </w:r>
          </w:p>
          <w:p>
            <w:pPr>
              <w:spacing w:line="360" w:lineRule="auto"/>
              <w:rPr>
                <w:rFonts w:ascii="宋体" w:hAnsi="宋体" w:cs="宋体"/>
                <w:szCs w:val="21"/>
              </w:rPr>
            </w:pPr>
            <w:r>
              <w:rPr>
                <w:rFonts w:hint="eastAsia" w:ascii="宋体" w:hAnsi="宋体" w:cs="宋体"/>
                <w:szCs w:val="21"/>
                <w:lang w:bidi="zh-CN"/>
              </w:rPr>
              <w:t>注：提供相关证书复印件并加盖鲜章，不提供不得分。</w:t>
            </w:r>
          </w:p>
        </w:tc>
        <w:tc>
          <w:tcPr>
            <w:tcW w:w="536"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rPr>
            </w:pPr>
            <w:r>
              <w:rPr>
                <w:rFonts w:hint="eastAsia" w:ascii="宋体" w:hAnsi="宋体" w:cs="宋体"/>
                <w:szCs w:val="21"/>
              </w:rPr>
              <w:t>共同评分因素</w:t>
            </w:r>
          </w:p>
        </w:tc>
      </w:tr>
    </w:tbl>
    <w:p>
      <w:pPr>
        <w:pStyle w:val="2"/>
        <w:rPr>
          <w:rFonts w:ascii="宋体" w:hAnsi="宋体" w:cs="宋体"/>
        </w:rPr>
      </w:pPr>
    </w:p>
    <w:p>
      <w:pPr>
        <w:pStyle w:val="10"/>
        <w:spacing w:line="360" w:lineRule="auto"/>
        <w:rPr>
          <w:rFonts w:ascii="宋体" w:hAnsi="宋体" w:cs="宋体"/>
          <w:sz w:val="24"/>
        </w:rPr>
      </w:pPr>
      <w:r>
        <w:rPr>
          <w:rFonts w:hint="eastAsia" w:ascii="宋体" w:hAnsi="宋体" w:cs="宋体"/>
          <w:sz w:val="24"/>
        </w:rPr>
        <w:t>4.3.4 本次综合评分法由评标委员会各成员独立对通过初审（资格检查和符合性检查）的投标人的投标文件进行评审和打分，评标得分＝（A1＋A2＋……＋An）/N</w:t>
      </w:r>
      <w:r>
        <w:rPr>
          <w:rFonts w:hint="eastAsia" w:ascii="宋体" w:hAnsi="宋体" w:cs="宋体"/>
          <w:sz w:val="24"/>
          <w:vertAlign w:val="subscript"/>
        </w:rPr>
        <w:t>A</w:t>
      </w:r>
      <w:r>
        <w:rPr>
          <w:rFonts w:hint="eastAsia" w:ascii="宋体" w:hAnsi="宋体" w:cs="宋体"/>
          <w:sz w:val="24"/>
        </w:rPr>
        <w:t>+（B1＋B2＋……＋Bn）/ N</w:t>
      </w:r>
      <w:r>
        <w:rPr>
          <w:rFonts w:hint="eastAsia" w:ascii="宋体" w:hAnsi="宋体" w:cs="宋体"/>
          <w:sz w:val="24"/>
          <w:vertAlign w:val="subscript"/>
        </w:rPr>
        <w:t>B</w:t>
      </w:r>
      <w:r>
        <w:rPr>
          <w:rFonts w:hint="eastAsia" w:ascii="宋体" w:hAnsi="宋体" w:cs="宋体"/>
          <w:sz w:val="24"/>
        </w:rPr>
        <w:t>+（C1＋C2＋……＋Cn）/ N</w:t>
      </w:r>
      <w:r>
        <w:rPr>
          <w:rFonts w:hint="eastAsia" w:ascii="宋体" w:hAnsi="宋体" w:cs="宋体"/>
          <w:sz w:val="24"/>
          <w:vertAlign w:val="subscript"/>
        </w:rPr>
        <w:t>C</w:t>
      </w:r>
      <w:r>
        <w:rPr>
          <w:rFonts w:hint="eastAsia" w:ascii="宋体" w:hAnsi="宋体" w:cs="宋体"/>
          <w:sz w:val="24"/>
        </w:rPr>
        <w:t>+（D1＋D2＋……＋Dn）/ N</w:t>
      </w:r>
      <w:r>
        <w:rPr>
          <w:rFonts w:hint="eastAsia" w:ascii="宋体" w:hAnsi="宋体" w:cs="宋体"/>
          <w:sz w:val="24"/>
          <w:vertAlign w:val="subscript"/>
        </w:rPr>
        <w:t>D</w:t>
      </w:r>
    </w:p>
    <w:p>
      <w:pPr>
        <w:pStyle w:val="10"/>
        <w:spacing w:line="360" w:lineRule="auto"/>
        <w:rPr>
          <w:rFonts w:ascii="宋体" w:hAnsi="宋体" w:cs="宋体"/>
          <w:bCs/>
          <w:sz w:val="24"/>
        </w:rPr>
      </w:pPr>
      <w:r>
        <w:rPr>
          <w:rFonts w:hint="eastAsia" w:ascii="宋体" w:hAnsi="宋体" w:cs="宋体"/>
          <w:sz w:val="24"/>
        </w:rPr>
        <w:t>A1、A2……An分别为每个经济类评委（经济类专家）的打分，N</w:t>
      </w:r>
      <w:r>
        <w:rPr>
          <w:rFonts w:hint="eastAsia" w:ascii="宋体" w:hAnsi="宋体" w:cs="宋体"/>
          <w:sz w:val="24"/>
          <w:vertAlign w:val="subscript"/>
        </w:rPr>
        <w:t>A</w:t>
      </w:r>
      <w:r>
        <w:rPr>
          <w:rFonts w:hint="eastAsia" w:ascii="宋体" w:hAnsi="宋体" w:cs="宋体"/>
          <w:sz w:val="24"/>
        </w:rPr>
        <w:t>为经济类评委（经济类专家）人数；B1、B2＋……Bn 分别为每个技术类评委（技术类专家和采购人代表）的打分，N</w:t>
      </w:r>
      <w:r>
        <w:rPr>
          <w:rFonts w:hint="eastAsia" w:ascii="宋体" w:hAnsi="宋体" w:cs="宋体"/>
          <w:sz w:val="24"/>
          <w:vertAlign w:val="subscript"/>
        </w:rPr>
        <w:t>B</w:t>
      </w:r>
      <w:r>
        <w:rPr>
          <w:rFonts w:hint="eastAsia" w:ascii="宋体" w:hAnsi="宋体" w:cs="宋体"/>
          <w:sz w:val="24"/>
        </w:rPr>
        <w:t>为技术类评委（技术类专家和采购人代表）人数；C1、C2……Cn 分别为每个政策合同类评委（法律类专家）的打分，N</w:t>
      </w:r>
      <w:r>
        <w:rPr>
          <w:rFonts w:hint="eastAsia" w:ascii="宋体" w:hAnsi="宋体" w:cs="宋体"/>
          <w:sz w:val="24"/>
          <w:vertAlign w:val="subscript"/>
        </w:rPr>
        <w:t>C</w:t>
      </w:r>
      <w:r>
        <w:rPr>
          <w:rFonts w:hint="eastAsia" w:ascii="宋体" w:hAnsi="宋体" w:cs="宋体"/>
          <w:sz w:val="24"/>
        </w:rPr>
        <w:t>为政策合同类评委（法律类专家）人数；D1、D2……Dn 分别为评审委员会每个成员的打分（共同评分类），N</w:t>
      </w:r>
      <w:r>
        <w:rPr>
          <w:rFonts w:hint="eastAsia" w:ascii="宋体" w:hAnsi="宋体" w:cs="宋体"/>
          <w:sz w:val="24"/>
          <w:vertAlign w:val="subscript"/>
        </w:rPr>
        <w:t>D</w:t>
      </w:r>
      <w:r>
        <w:rPr>
          <w:rFonts w:hint="eastAsia" w:ascii="宋体" w:hAnsi="宋体" w:cs="宋体"/>
          <w:sz w:val="24"/>
        </w:rPr>
        <w:t>为评标委员会人</w:t>
      </w:r>
      <w:r>
        <w:rPr>
          <w:rFonts w:hint="eastAsia" w:ascii="宋体" w:hAnsi="宋体" w:cs="宋体"/>
          <w:bCs/>
          <w:sz w:val="24"/>
        </w:rPr>
        <w:t>数。</w:t>
      </w:r>
    </w:p>
    <w:bookmarkEnd w:id="149"/>
    <w:p>
      <w:pPr>
        <w:pStyle w:val="4"/>
        <w:spacing w:before="0" w:after="0" w:line="360" w:lineRule="auto"/>
        <w:ind w:firstLine="472" w:firstLineChars="196"/>
        <w:rPr>
          <w:rFonts w:ascii="宋体" w:hAnsi="宋体" w:eastAsia="宋体" w:cs="宋体"/>
          <w:sz w:val="24"/>
          <w:szCs w:val="24"/>
        </w:rPr>
      </w:pPr>
      <w:bookmarkStart w:id="150" w:name="_Toc217446060"/>
      <w:r>
        <w:rPr>
          <w:rFonts w:hint="eastAsia" w:ascii="宋体" w:hAnsi="宋体" w:eastAsia="宋体" w:cs="宋体"/>
          <w:sz w:val="24"/>
          <w:szCs w:val="24"/>
        </w:rPr>
        <w:t>5、废 标</w:t>
      </w:r>
    </w:p>
    <w:p>
      <w:pPr>
        <w:spacing w:line="360" w:lineRule="auto"/>
        <w:ind w:firstLine="480" w:firstLineChars="200"/>
        <w:rPr>
          <w:rFonts w:ascii="宋体" w:hAnsi="宋体" w:cs="宋体"/>
          <w:sz w:val="24"/>
        </w:rPr>
      </w:pPr>
      <w:r>
        <w:rPr>
          <w:rFonts w:hint="eastAsia" w:ascii="宋体" w:hAnsi="宋体" w:cs="宋体"/>
          <w:sz w:val="24"/>
        </w:rPr>
        <w:t>5.1本次政府采购活动中，出现下列情形之一的，予以废标：</w:t>
      </w:r>
    </w:p>
    <w:p>
      <w:pPr>
        <w:spacing w:line="360" w:lineRule="auto"/>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（3）投标人的报价均超过了采购预算，采购人不能支付的；</w:t>
      </w:r>
    </w:p>
    <w:p>
      <w:pPr>
        <w:spacing w:line="360" w:lineRule="auto"/>
        <w:ind w:firstLine="480" w:firstLineChars="200"/>
        <w:rPr>
          <w:rFonts w:ascii="宋体" w:hAnsi="宋体" w:cs="宋体"/>
          <w:sz w:val="24"/>
        </w:rPr>
      </w:pPr>
      <w:r>
        <w:rPr>
          <w:rFonts w:hint="eastAsia" w:ascii="宋体" w:hAnsi="宋体" w:cs="宋体"/>
          <w:sz w:val="24"/>
        </w:rPr>
        <w:t>（4）因重大变故，采购任务取消的。</w:t>
      </w:r>
    </w:p>
    <w:p>
      <w:pPr>
        <w:spacing w:line="360" w:lineRule="auto"/>
        <w:ind w:firstLine="480" w:firstLineChars="200"/>
        <w:rPr>
          <w:rFonts w:ascii="宋体" w:hAnsi="宋体" w:cs="宋体"/>
          <w:sz w:val="24"/>
        </w:rPr>
      </w:pPr>
      <w:r>
        <w:rPr>
          <w:rFonts w:hint="eastAsia" w:ascii="宋体" w:hAnsi="宋体" w:cs="宋体"/>
          <w:sz w:val="24"/>
        </w:rPr>
        <w:t>废标后，采购代理机构应在四川政府采购网上公告，并公告废标的情形。投标人需要知晓导致废标情形的具体原因和理由的，可以通过书面形式询问招标采购单位。</w:t>
      </w:r>
    </w:p>
    <w:p>
      <w:pPr>
        <w:spacing w:line="360" w:lineRule="auto"/>
        <w:ind w:firstLine="480" w:firstLineChars="200"/>
        <w:rPr>
          <w:rFonts w:ascii="宋体" w:hAnsi="宋体" w:cs="宋体"/>
          <w:sz w:val="24"/>
        </w:rPr>
      </w:pPr>
      <w:r>
        <w:rPr>
          <w:rFonts w:hint="eastAsia" w:ascii="宋体" w:hAnsi="宋体" w:cs="宋体"/>
          <w:sz w:val="24"/>
        </w:rPr>
        <w:t>5.2对于评标过程中废标的采购项目，评标委员会应当对招标文件是否存在倾向性和歧视性、是否存在不合理条款进行论证，并出具书面论证意见。</w:t>
      </w:r>
    </w:p>
    <w:p>
      <w:pPr>
        <w:pStyle w:val="4"/>
        <w:spacing w:before="0" w:after="0" w:line="360" w:lineRule="auto"/>
        <w:ind w:firstLine="472" w:firstLineChars="196"/>
        <w:rPr>
          <w:rFonts w:ascii="宋体" w:hAnsi="宋体" w:eastAsia="宋体" w:cs="宋体"/>
          <w:sz w:val="24"/>
          <w:szCs w:val="24"/>
        </w:rPr>
      </w:pPr>
      <w:r>
        <w:rPr>
          <w:rFonts w:hint="eastAsia" w:ascii="宋体" w:hAnsi="宋体" w:eastAsia="宋体" w:cs="宋体"/>
          <w:sz w:val="24"/>
          <w:szCs w:val="24"/>
        </w:rPr>
        <w:t>6、定标</w:t>
      </w:r>
      <w:bookmarkEnd w:id="150"/>
      <w:bookmarkStart w:id="151" w:name="_Toc217446061"/>
    </w:p>
    <w:p>
      <w:pPr>
        <w:spacing w:line="360" w:lineRule="auto"/>
        <w:ind w:firstLine="480" w:firstLineChars="200"/>
        <w:rPr>
          <w:rFonts w:ascii="宋体" w:hAnsi="宋体" w:cs="宋体"/>
          <w:sz w:val="24"/>
        </w:rPr>
      </w:pPr>
      <w:r>
        <w:rPr>
          <w:rFonts w:hint="eastAsia" w:ascii="宋体" w:hAnsi="宋体" w:cs="宋体"/>
          <w:sz w:val="24"/>
        </w:rPr>
        <w:t>6.1. 定标原则</w:t>
      </w:r>
      <w:bookmarkEnd w:id="151"/>
      <w:r>
        <w:rPr>
          <w:rFonts w:hint="eastAsia" w:ascii="宋体" w:hAnsi="宋体" w:cs="宋体"/>
          <w:sz w:val="24"/>
        </w:rPr>
        <w:t>：本项目根据评标委员会推荐的中标候选供应商名单，按顺序确定中标供应商。</w:t>
      </w:r>
    </w:p>
    <w:p>
      <w:pPr>
        <w:spacing w:line="360" w:lineRule="auto"/>
        <w:ind w:firstLine="480" w:firstLineChars="200"/>
        <w:rPr>
          <w:rFonts w:ascii="宋体" w:hAnsi="宋体" w:cs="宋体"/>
          <w:sz w:val="24"/>
        </w:rPr>
      </w:pPr>
      <w:bookmarkStart w:id="152" w:name="_Toc217446062"/>
      <w:r>
        <w:rPr>
          <w:rFonts w:hint="eastAsia" w:ascii="宋体" w:hAnsi="宋体" w:cs="宋体"/>
          <w:sz w:val="24"/>
        </w:rPr>
        <w:t>6.2. 定标程序</w:t>
      </w:r>
      <w:bookmarkEnd w:id="152"/>
    </w:p>
    <w:p>
      <w:pPr>
        <w:spacing w:line="360" w:lineRule="auto"/>
        <w:ind w:firstLine="480" w:firstLineChars="200"/>
        <w:rPr>
          <w:rFonts w:ascii="宋体" w:hAnsi="宋体" w:cs="宋体"/>
          <w:sz w:val="24"/>
        </w:rPr>
      </w:pPr>
      <w:r>
        <w:rPr>
          <w:rFonts w:hint="eastAsia" w:ascii="宋体" w:hAnsi="宋体" w:cs="宋体"/>
          <w:sz w:val="24"/>
        </w:rPr>
        <w:t>6.2.1 评标委员会将评标情况写出书面报告，推荐中标候选供应商。</w:t>
      </w:r>
    </w:p>
    <w:p>
      <w:pPr>
        <w:spacing w:line="360" w:lineRule="auto"/>
        <w:ind w:firstLine="480" w:firstLineChars="200"/>
        <w:rPr>
          <w:rFonts w:ascii="宋体" w:hAnsi="宋体" w:cs="宋体"/>
          <w:sz w:val="24"/>
        </w:rPr>
      </w:pPr>
      <w:r>
        <w:rPr>
          <w:rFonts w:hint="eastAsia" w:ascii="宋体" w:hAnsi="宋体" w:cs="宋体"/>
          <w:sz w:val="24"/>
        </w:rPr>
        <w:t>6.2.2 采购代理机构在评标结束后2个工作日内将评标报告送采购人。</w:t>
      </w:r>
    </w:p>
    <w:p>
      <w:pPr>
        <w:spacing w:line="360" w:lineRule="auto"/>
        <w:ind w:firstLine="480" w:firstLineChars="200"/>
        <w:rPr>
          <w:rFonts w:ascii="宋体" w:hAnsi="宋体" w:cs="宋体"/>
          <w:sz w:val="24"/>
        </w:rPr>
      </w:pPr>
      <w:r>
        <w:rPr>
          <w:rFonts w:hint="eastAsia" w:ascii="宋体" w:hAnsi="宋体" w:cs="宋体"/>
          <w:sz w:val="24"/>
        </w:rPr>
        <w:t>6.2.3 采购人在收到评标报告后5个工作日内，按照评标报告中推荐的中标候选供应商顺序确定中标供应商。采用综合评分法的，按评审后得分由高到低顺序排列。得分相同的，按投标报价由低到高顺序排列。得分且投标报价相同的，按技术指标优劣顺序排列；报价相同且满足招标文件全部实质性要求且按照技术指标得分也相同的并列，由采购人自主采取公平、择优的方式选择中标供应商。</w:t>
      </w:r>
    </w:p>
    <w:p>
      <w:pPr>
        <w:spacing w:line="360" w:lineRule="auto"/>
        <w:ind w:firstLine="482" w:firstLineChars="200"/>
        <w:rPr>
          <w:rFonts w:ascii="宋体" w:hAnsi="宋体" w:cs="宋体"/>
          <w:b/>
          <w:sz w:val="24"/>
        </w:rPr>
      </w:pPr>
      <w:r>
        <w:rPr>
          <w:rFonts w:hint="eastAsia" w:ascii="宋体" w:hAnsi="宋体" w:cs="宋体"/>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360" w:lineRule="auto"/>
        <w:ind w:firstLine="480" w:firstLineChars="200"/>
        <w:rPr>
          <w:rFonts w:ascii="宋体" w:hAnsi="宋体" w:cs="宋体"/>
          <w:sz w:val="24"/>
        </w:rPr>
      </w:pPr>
      <w:r>
        <w:rPr>
          <w:rFonts w:hint="eastAsia" w:ascii="宋体" w:hAnsi="宋体" w:cs="宋体"/>
          <w:sz w:val="24"/>
        </w:rPr>
        <w:t>6.2.4 根据采购人确定的中标供应商，采购代理机构在四川政府采购网上发布中标公告，并自采购人确定中标之日起2个工作日内向中标供应商发出中标通知书。</w:t>
      </w:r>
    </w:p>
    <w:p>
      <w:pPr>
        <w:spacing w:line="360" w:lineRule="auto"/>
        <w:ind w:firstLine="480" w:firstLineChars="200"/>
        <w:rPr>
          <w:rFonts w:ascii="宋体" w:hAnsi="宋体" w:cs="宋体"/>
          <w:sz w:val="24"/>
        </w:rPr>
      </w:pPr>
      <w:r>
        <w:rPr>
          <w:rFonts w:hint="eastAsia" w:ascii="宋体" w:hAnsi="宋体" w:cs="宋体"/>
          <w:sz w:val="24"/>
        </w:rPr>
        <w:t>6.2.5 招标采购单位不退回投标人投标文件和其他投标资料。</w:t>
      </w:r>
    </w:p>
    <w:p>
      <w:pPr>
        <w:pStyle w:val="4"/>
        <w:spacing w:before="0" w:after="0" w:line="360" w:lineRule="auto"/>
        <w:ind w:firstLine="482" w:firstLineChars="200"/>
        <w:rPr>
          <w:rFonts w:ascii="宋体" w:hAnsi="宋体" w:eastAsia="宋体" w:cs="宋体"/>
          <w:bCs w:val="0"/>
          <w:sz w:val="24"/>
          <w:szCs w:val="24"/>
        </w:rPr>
      </w:pPr>
      <w:bookmarkStart w:id="153" w:name="_Toc183582297"/>
      <w:bookmarkStart w:id="154" w:name="_Toc183682432"/>
      <w:bookmarkStart w:id="155" w:name="_Toc217446105"/>
      <w:bookmarkStart w:id="156" w:name="_Toc208849022"/>
      <w:r>
        <w:rPr>
          <w:rFonts w:hint="eastAsia" w:ascii="宋体" w:hAnsi="宋体" w:eastAsia="宋体" w:cs="宋体"/>
          <w:bCs w:val="0"/>
          <w:sz w:val="24"/>
          <w:szCs w:val="24"/>
        </w:rPr>
        <w:t xml:space="preserve">7. </w:t>
      </w:r>
      <w:bookmarkEnd w:id="153"/>
      <w:bookmarkEnd w:id="154"/>
      <w:bookmarkEnd w:id="155"/>
      <w:bookmarkEnd w:id="156"/>
      <w:r>
        <w:rPr>
          <w:rFonts w:hint="eastAsia" w:ascii="宋体" w:hAnsi="宋体" w:eastAsia="宋体" w:cs="宋体"/>
          <w:sz w:val="24"/>
          <w:szCs w:val="24"/>
        </w:rPr>
        <w:t>评标专家在</w:t>
      </w:r>
      <w:r>
        <w:rPr>
          <w:rFonts w:hint="eastAsia" w:ascii="宋体" w:hAnsi="宋体" w:eastAsia="宋体" w:cs="宋体"/>
          <w:sz w:val="24"/>
        </w:rPr>
        <w:t>政府采购活动</w:t>
      </w:r>
      <w:r>
        <w:rPr>
          <w:rFonts w:hint="eastAsia" w:ascii="宋体" w:hAnsi="宋体" w:eastAsia="宋体" w:cs="宋体"/>
          <w:sz w:val="24"/>
          <w:szCs w:val="24"/>
        </w:rPr>
        <w:t>中承担以下义务：</w:t>
      </w:r>
    </w:p>
    <w:p>
      <w:pPr>
        <w:spacing w:line="360" w:lineRule="auto"/>
        <w:ind w:firstLine="480" w:firstLineChars="200"/>
        <w:rPr>
          <w:rFonts w:ascii="宋体" w:hAnsi="宋体" w:cs="宋体"/>
          <w:sz w:val="24"/>
        </w:rPr>
      </w:pPr>
      <w:r>
        <w:rPr>
          <w:rFonts w:hint="eastAsia" w:ascii="宋体" w:hAnsi="宋体" w:cs="宋体"/>
          <w:sz w:val="24"/>
        </w:rPr>
        <w:t xml:space="preserve">（一）遵守评审工作纪律； </w:t>
      </w:r>
    </w:p>
    <w:p>
      <w:pPr>
        <w:spacing w:line="360" w:lineRule="auto"/>
        <w:ind w:firstLine="480" w:firstLineChars="200"/>
        <w:rPr>
          <w:rFonts w:ascii="宋体" w:hAnsi="宋体" w:cs="宋体"/>
          <w:sz w:val="24"/>
        </w:rPr>
      </w:pPr>
      <w:r>
        <w:rPr>
          <w:rFonts w:hint="eastAsia" w:ascii="宋体" w:hAnsi="宋体" w:cs="宋体"/>
          <w:sz w:val="24"/>
        </w:rPr>
        <w:t>（二）按照客观、公正、审慎的原则，根据采购文件规定的评审程序、评审方法和评审标准进行独立评审；</w:t>
      </w:r>
    </w:p>
    <w:p>
      <w:pPr>
        <w:spacing w:line="360" w:lineRule="auto"/>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pPr>
        <w:spacing w:line="360" w:lineRule="auto"/>
        <w:ind w:firstLine="480" w:firstLineChars="200"/>
        <w:rPr>
          <w:rFonts w:ascii="宋体" w:hAnsi="宋体" w:cs="宋体"/>
          <w:sz w:val="24"/>
        </w:rPr>
      </w:pPr>
      <w:r>
        <w:rPr>
          <w:rFonts w:hint="eastAsia" w:ascii="宋体" w:hAnsi="宋体" w:cs="宋体"/>
          <w:sz w:val="24"/>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ascii="宋体" w:hAnsi="宋体" w:cs="宋体"/>
          <w:sz w:val="24"/>
        </w:rPr>
      </w:pPr>
      <w:r>
        <w:rPr>
          <w:rFonts w:hint="eastAsia" w:ascii="宋体" w:hAnsi="宋体" w:cs="宋体"/>
          <w:sz w:val="24"/>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ascii="宋体" w:hAnsi="宋体" w:cs="宋体"/>
          <w:sz w:val="24"/>
        </w:rPr>
      </w:pPr>
      <w:r>
        <w:rPr>
          <w:rFonts w:hint="eastAsia" w:ascii="宋体" w:hAnsi="宋体" w:cs="宋体"/>
          <w:sz w:val="24"/>
        </w:rPr>
        <w:t>（六）配合答复处理供应商的询问、质疑和投诉等事项；</w:t>
      </w:r>
    </w:p>
    <w:p>
      <w:pPr>
        <w:spacing w:line="360" w:lineRule="auto"/>
        <w:ind w:firstLine="480" w:firstLineChars="200"/>
        <w:rPr>
          <w:rFonts w:ascii="宋体" w:hAnsi="宋体" w:cs="宋体"/>
          <w:sz w:val="24"/>
        </w:rPr>
      </w:pPr>
      <w:r>
        <w:rPr>
          <w:rFonts w:hint="eastAsia" w:ascii="宋体" w:hAnsi="宋体" w:cs="宋体"/>
          <w:sz w:val="24"/>
        </w:rPr>
        <w:t>（七）法律、法规和规章规定的其他义务。</w:t>
      </w:r>
    </w:p>
    <w:p>
      <w:pPr>
        <w:pStyle w:val="4"/>
        <w:spacing w:before="0" w:after="0" w:line="360" w:lineRule="auto"/>
        <w:ind w:firstLine="482" w:firstLineChars="200"/>
        <w:rPr>
          <w:rFonts w:ascii="宋体" w:hAnsi="宋体" w:eastAsia="宋体" w:cs="宋体"/>
          <w:bCs w:val="0"/>
          <w:sz w:val="24"/>
          <w:szCs w:val="24"/>
        </w:rPr>
      </w:pPr>
      <w:r>
        <w:rPr>
          <w:rFonts w:hint="eastAsia" w:ascii="宋体" w:hAnsi="宋体" w:eastAsia="宋体" w:cs="宋体"/>
          <w:bCs w:val="0"/>
          <w:sz w:val="24"/>
          <w:szCs w:val="24"/>
        </w:rPr>
        <w:t>8.评标专家在政府采购活动中应当遵守以下工作纪律：</w:t>
      </w:r>
    </w:p>
    <w:p>
      <w:pPr>
        <w:spacing w:line="360" w:lineRule="auto"/>
        <w:ind w:firstLine="480" w:firstLineChars="200"/>
        <w:rPr>
          <w:rFonts w:ascii="宋体" w:hAnsi="宋体" w:cs="宋体"/>
          <w:sz w:val="24"/>
        </w:rPr>
      </w:pPr>
      <w:r>
        <w:rPr>
          <w:rFonts w:hint="eastAsia" w:ascii="宋体" w:hAnsi="宋体" w:cs="宋体"/>
          <w:sz w:val="24"/>
        </w:rPr>
        <w:t>（一）遵行《政府采购法》第十二条和《政府采购法实施条例》第九条及财政部关于回避的规定。</w:t>
      </w:r>
    </w:p>
    <w:p>
      <w:pPr>
        <w:spacing w:line="360" w:lineRule="auto"/>
        <w:ind w:firstLine="480" w:firstLineChars="200"/>
        <w:rPr>
          <w:rFonts w:ascii="宋体" w:hAnsi="宋体" w:cs="宋体"/>
          <w:sz w:val="24"/>
        </w:rPr>
      </w:pPr>
      <w:r>
        <w:rPr>
          <w:rFonts w:hint="eastAsia" w:ascii="宋体" w:hAnsi="宋体" w:cs="宋体"/>
          <w:sz w:val="24"/>
        </w:rPr>
        <w:t>（二）评标前，应当将通讯工具或者相关电子设备交由招标采购单位统一保管。</w:t>
      </w:r>
    </w:p>
    <w:p>
      <w:pPr>
        <w:spacing w:line="360" w:lineRule="auto"/>
        <w:ind w:firstLine="480" w:firstLineChars="200"/>
        <w:rPr>
          <w:rFonts w:ascii="宋体" w:hAnsi="宋体" w:cs="宋体"/>
          <w:sz w:val="24"/>
        </w:rPr>
      </w:pPr>
      <w:r>
        <w:rPr>
          <w:rFonts w:hint="eastAsia" w:ascii="宋体" w:hAnsi="宋体" w:cs="宋体"/>
          <w:sz w:val="24"/>
        </w:rPr>
        <w:t>（三）评标过程中，不得与外界联系，因发生不可预见情况，确实需要与外界联系的，应当在监督人员监督之下办理。</w:t>
      </w:r>
    </w:p>
    <w:p>
      <w:pPr>
        <w:spacing w:line="360" w:lineRule="auto"/>
        <w:ind w:firstLine="480" w:firstLineChars="200"/>
        <w:rPr>
          <w:rFonts w:ascii="宋体" w:hAnsi="宋体" w:cs="宋体"/>
          <w:sz w:val="24"/>
        </w:rPr>
      </w:pPr>
      <w:r>
        <w:rPr>
          <w:rFonts w:hint="eastAsia" w:ascii="宋体" w:hAnsi="宋体" w:cs="宋体"/>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ascii="宋体" w:hAnsi="宋体" w:cs="宋体"/>
          <w:sz w:val="24"/>
        </w:rPr>
      </w:pPr>
      <w:r>
        <w:rPr>
          <w:rFonts w:hint="eastAsia" w:ascii="宋体" w:hAnsi="宋体" w:cs="宋体"/>
          <w:sz w:val="24"/>
        </w:rPr>
        <w:t>（五）在评标过程中和评标结束后，不得记录、复制或带走任何评标资料，除因规定的义务外，不得向外界透露评标内容。</w:t>
      </w:r>
    </w:p>
    <w:p>
      <w:pPr>
        <w:spacing w:line="360" w:lineRule="auto"/>
        <w:ind w:firstLine="480" w:firstLineChars="200"/>
        <w:rPr>
          <w:rFonts w:ascii="宋体" w:hAnsi="宋体" w:cs="宋体"/>
          <w:sz w:val="24"/>
        </w:rPr>
      </w:pPr>
      <w:r>
        <w:rPr>
          <w:rFonts w:hint="eastAsia" w:ascii="宋体" w:hAnsi="宋体" w:cs="宋体"/>
          <w:sz w:val="24"/>
        </w:rPr>
        <w:t>（六）服从评标现场招标采购单位的现场秩序管理，接受评标现场监督人员的合法监督。</w:t>
      </w:r>
    </w:p>
    <w:p>
      <w:pPr>
        <w:spacing w:line="360" w:lineRule="auto"/>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（七）遵守有关廉洁自律规定，不得私下接触供应商，不得收受供应商及有关业务单位和个人的财物或好处，不得接受采购组织单位的请托。</w:t>
      </w:r>
    </w:p>
    <w:bookmarkEnd w:id="146"/>
    <w:p>
      <w:pPr>
        <w:pStyle w:val="3"/>
        <w:pageBreakBefore/>
        <w:spacing w:line="400" w:lineRule="exact"/>
        <w:jc w:val="center"/>
        <w:rPr>
          <w:rFonts w:ascii="宋体" w:hAnsi="宋体" w:cs="宋体"/>
          <w:sz w:val="32"/>
          <w:szCs w:val="32"/>
        </w:rPr>
      </w:pPr>
      <w:bookmarkStart w:id="157" w:name="_Toc26850"/>
      <w:r>
        <w:rPr>
          <w:rFonts w:hint="eastAsia" w:ascii="宋体" w:hAnsi="宋体" w:cs="宋体"/>
          <w:sz w:val="36"/>
          <w:szCs w:val="36"/>
        </w:rPr>
        <w:t>第八章 政府采购合同</w:t>
      </w:r>
      <w:bookmarkEnd w:id="157"/>
      <w:r>
        <w:rPr>
          <w:rFonts w:hint="eastAsia" w:ascii="宋体" w:hAnsi="宋体" w:cs="宋体"/>
          <w:sz w:val="36"/>
          <w:szCs w:val="36"/>
        </w:rPr>
        <w:t>（草案）</w:t>
      </w:r>
    </w:p>
    <w:p>
      <w:pPr>
        <w:pStyle w:val="56"/>
        <w:ind w:firstLine="480"/>
        <w:rPr>
          <w:rFonts w:ascii="宋体" w:hAnsi="宋体"/>
        </w:rPr>
      </w:pPr>
      <w:r>
        <w:rPr>
          <w:rFonts w:hint="eastAsia" w:ascii="宋体" w:hAnsi="宋体"/>
        </w:rPr>
        <w:t xml:space="preserve">合同编号：          </w:t>
      </w:r>
    </w:p>
    <w:p>
      <w:pPr>
        <w:pStyle w:val="56"/>
        <w:ind w:firstLine="480"/>
        <w:rPr>
          <w:rFonts w:ascii="宋体" w:hAnsi="宋体"/>
        </w:rPr>
      </w:pPr>
      <w:r>
        <w:rPr>
          <w:rFonts w:hint="eastAsia" w:ascii="宋体" w:hAnsi="宋体"/>
        </w:rPr>
        <w:t xml:space="preserve">甲方：             </w:t>
      </w:r>
    </w:p>
    <w:p>
      <w:pPr>
        <w:pStyle w:val="56"/>
        <w:ind w:firstLine="480"/>
        <w:rPr>
          <w:rFonts w:ascii="宋体" w:hAnsi="宋体"/>
        </w:rPr>
      </w:pPr>
      <w:r>
        <w:rPr>
          <w:rFonts w:hint="eastAsia" w:ascii="宋体" w:hAnsi="宋体"/>
        </w:rPr>
        <w:t xml:space="preserve">乙方：            </w:t>
      </w:r>
    </w:p>
    <w:p>
      <w:pPr>
        <w:pStyle w:val="56"/>
        <w:ind w:firstLine="480"/>
        <w:rPr>
          <w:rFonts w:ascii="宋体" w:hAnsi="宋体"/>
        </w:rPr>
      </w:pPr>
      <w:r>
        <w:rPr>
          <w:rFonts w:hint="eastAsia" w:ascii="宋体" w:hAnsi="宋体"/>
        </w:rPr>
        <w:t xml:space="preserve">签订地点：             </w:t>
      </w:r>
    </w:p>
    <w:p>
      <w:pPr>
        <w:pStyle w:val="56"/>
        <w:ind w:firstLine="480"/>
        <w:rPr>
          <w:rFonts w:ascii="宋体" w:hAnsi="宋体"/>
        </w:rPr>
      </w:pPr>
      <w:r>
        <w:rPr>
          <w:rFonts w:hint="eastAsia" w:ascii="宋体" w:hAnsi="宋体"/>
        </w:rPr>
        <w:t>签订时间：   年     月     日。</w:t>
      </w:r>
    </w:p>
    <w:p>
      <w:pPr>
        <w:pStyle w:val="56"/>
        <w:ind w:firstLine="480"/>
        <w:rPr>
          <w:rFonts w:ascii="宋体" w:hAnsi="宋体"/>
        </w:rPr>
      </w:pPr>
      <w:r>
        <w:rPr>
          <w:rFonts w:hint="eastAsia" w:ascii="宋体" w:hAnsi="宋体"/>
        </w:rPr>
        <w:t xml:space="preserve">采购人（甲方）：                              </w:t>
      </w:r>
    </w:p>
    <w:p>
      <w:pPr>
        <w:pStyle w:val="56"/>
        <w:ind w:firstLine="480"/>
        <w:rPr>
          <w:rFonts w:ascii="宋体" w:hAnsi="宋体"/>
        </w:rPr>
      </w:pPr>
      <w:r>
        <w:rPr>
          <w:rFonts w:hint="eastAsia" w:ascii="宋体" w:hAnsi="宋体"/>
        </w:rPr>
        <w:t xml:space="preserve">供应商（乙方）：                              </w:t>
      </w:r>
    </w:p>
    <w:p>
      <w:pPr>
        <w:pStyle w:val="56"/>
        <w:ind w:firstLine="480"/>
        <w:rPr>
          <w:rFonts w:ascii="宋体" w:hAnsi="宋体"/>
        </w:rPr>
      </w:pPr>
    </w:p>
    <w:p>
      <w:pPr>
        <w:pStyle w:val="56"/>
        <w:ind w:firstLine="480"/>
        <w:rPr>
          <w:rFonts w:ascii="宋体" w:hAnsi="宋体"/>
        </w:rPr>
      </w:pPr>
      <w:r>
        <w:rPr>
          <w:rFonts w:hint="eastAsia" w:ascii="宋体" w:hAnsi="宋体"/>
        </w:rPr>
        <w:t xml:space="preserve">依据《中华人民共和国民法典》、《中华人民共和国政府采购法》与项目行业有关的法律法规，以及      项目（采购编号：       ）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pPr>
        <w:pStyle w:val="56"/>
        <w:ind w:firstLine="480"/>
        <w:rPr>
          <w:rFonts w:ascii="宋体" w:hAnsi="宋体"/>
        </w:rPr>
      </w:pPr>
      <w:r>
        <w:rPr>
          <w:rFonts w:hint="eastAsia" w:ascii="宋体" w:hAnsi="宋体"/>
        </w:rPr>
        <w:t>1.项目基本情况</w:t>
      </w:r>
    </w:p>
    <w:p>
      <w:pPr>
        <w:pStyle w:val="56"/>
        <w:ind w:firstLine="480"/>
        <w:rPr>
          <w:rFonts w:ascii="宋体" w:hAnsi="宋体"/>
        </w:rPr>
      </w:pPr>
      <w:r>
        <w:rPr>
          <w:rFonts w:hint="eastAsia" w:ascii="宋体" w:hAnsi="宋体"/>
        </w:rPr>
        <w:t xml:space="preserve">   </w:t>
      </w:r>
    </w:p>
    <w:p>
      <w:pPr>
        <w:pStyle w:val="56"/>
        <w:ind w:firstLine="480"/>
        <w:rPr>
          <w:rFonts w:ascii="宋体" w:hAnsi="宋体"/>
        </w:rPr>
      </w:pPr>
      <w:r>
        <w:rPr>
          <w:rFonts w:hint="eastAsia" w:ascii="宋体" w:hAnsi="宋体"/>
        </w:rPr>
        <w:t>2.合同期限</w:t>
      </w:r>
    </w:p>
    <w:p>
      <w:pPr>
        <w:pStyle w:val="56"/>
        <w:ind w:firstLine="480"/>
        <w:rPr>
          <w:rFonts w:ascii="宋体" w:hAnsi="宋体"/>
        </w:rPr>
      </w:pPr>
    </w:p>
    <w:p>
      <w:pPr>
        <w:pStyle w:val="56"/>
        <w:ind w:firstLine="480"/>
        <w:rPr>
          <w:rFonts w:ascii="宋体" w:hAnsi="宋体"/>
        </w:rPr>
      </w:pPr>
      <w:bookmarkStart w:id="158" w:name="_Toc237145406"/>
      <w:bookmarkStart w:id="159" w:name="_Toc212019594"/>
      <w:bookmarkStart w:id="160" w:name="_Toc247334841"/>
      <w:bookmarkStart w:id="161" w:name="_Toc211911348"/>
      <w:bookmarkStart w:id="162" w:name="_Toc251768862"/>
      <w:bookmarkStart w:id="163" w:name="_Toc185395249"/>
      <w:bookmarkStart w:id="164" w:name="_Toc225654644"/>
      <w:bookmarkStart w:id="165" w:name="_Toc232492928"/>
      <w:bookmarkStart w:id="166" w:name="_Toc282696226"/>
      <w:bookmarkStart w:id="167" w:name="_Toc239233914"/>
      <w:bookmarkStart w:id="168" w:name="_Toc238984975"/>
      <w:bookmarkStart w:id="169" w:name="_Toc283019214"/>
      <w:bookmarkStart w:id="170" w:name="_Toc241833903"/>
      <w:bookmarkStart w:id="171" w:name="_Toc239568418"/>
      <w:bookmarkStart w:id="172" w:name="_Toc225244852"/>
      <w:bookmarkStart w:id="173" w:name="_Toc286993786"/>
      <w:bookmarkStart w:id="174" w:name="_Toc225670751"/>
      <w:bookmarkStart w:id="175" w:name="_Toc211854449"/>
      <w:r>
        <w:rPr>
          <w:rFonts w:hint="eastAsia" w:ascii="宋体" w:hAnsi="宋体"/>
        </w:rPr>
        <w:t>3.服务内容与质量标准</w:t>
      </w:r>
    </w:p>
    <w:p>
      <w:pPr>
        <w:pStyle w:val="56"/>
        <w:ind w:firstLine="480"/>
        <w:rPr>
          <w:rFonts w:ascii="宋体" w:hAnsi="宋体"/>
        </w:rPr>
      </w:pPr>
      <w:r>
        <w:rPr>
          <w:rFonts w:hint="eastAsia" w:ascii="宋体" w:hAnsi="宋体"/>
        </w:rPr>
        <w:t>4.服务费用及支付方式</w:t>
      </w:r>
    </w:p>
    <w:p>
      <w:pPr>
        <w:pStyle w:val="56"/>
        <w:ind w:firstLine="480"/>
        <w:rPr>
          <w:rFonts w:ascii="宋体" w:hAnsi="宋体"/>
        </w:rPr>
      </w:pPr>
      <w:r>
        <w:rPr>
          <w:rFonts w:hint="eastAsia" w:ascii="宋体" w:hAnsi="宋体"/>
        </w:rPr>
        <w:t>本项目服务费用由以下组成：</w:t>
      </w:r>
    </w:p>
    <w:p>
      <w:pPr>
        <w:pStyle w:val="56"/>
        <w:ind w:firstLine="480"/>
        <w:rPr>
          <w:rFonts w:ascii="宋体" w:hAnsi="宋体"/>
        </w:rPr>
      </w:pPr>
      <w:r>
        <w:rPr>
          <w:rFonts w:hint="eastAsia" w:ascii="宋体" w:hAnsi="宋体"/>
        </w:rPr>
        <w:t xml:space="preserve">        万元；</w:t>
      </w:r>
    </w:p>
    <w:p>
      <w:pPr>
        <w:pStyle w:val="56"/>
        <w:ind w:firstLine="480"/>
        <w:rPr>
          <w:rFonts w:ascii="宋体" w:hAnsi="宋体"/>
        </w:rPr>
      </w:pPr>
      <w:r>
        <w:rPr>
          <w:rFonts w:hint="eastAsia" w:ascii="宋体" w:hAnsi="宋体"/>
        </w:rPr>
        <w:t xml:space="preserve">        万元；</w:t>
      </w:r>
    </w:p>
    <w:p>
      <w:pPr>
        <w:pStyle w:val="56"/>
        <w:ind w:firstLine="480"/>
        <w:rPr>
          <w:rFonts w:ascii="宋体" w:hAnsi="宋体"/>
        </w:rPr>
      </w:pPr>
      <w:r>
        <w:rPr>
          <w:rFonts w:hint="eastAsia" w:ascii="宋体" w:hAnsi="宋体"/>
        </w:rPr>
        <w:t xml:space="preserve">        万元。</w:t>
      </w:r>
    </w:p>
    <w:p>
      <w:pPr>
        <w:pStyle w:val="56"/>
        <w:ind w:firstLine="480"/>
        <w:rPr>
          <w:rFonts w:ascii="宋体" w:hAnsi="宋体"/>
        </w:rPr>
      </w:pPr>
      <w:r>
        <w:rPr>
          <w:rFonts w:hint="eastAsia" w:ascii="宋体" w:hAnsi="宋体"/>
        </w:rPr>
        <w:t>……</w:t>
      </w:r>
    </w:p>
    <w:p>
      <w:pPr>
        <w:pStyle w:val="56"/>
        <w:ind w:firstLine="480"/>
        <w:rPr>
          <w:rFonts w:ascii="宋体" w:hAnsi="宋体"/>
        </w:rPr>
      </w:pPr>
      <w:r>
        <w:rPr>
          <w:rFonts w:hint="eastAsia" w:ascii="宋体" w:hAnsi="宋体"/>
        </w:rPr>
        <w:t xml:space="preserve">服务费支付方式： </w:t>
      </w:r>
    </w:p>
    <w:p>
      <w:pPr>
        <w:pStyle w:val="56"/>
        <w:ind w:firstLine="480"/>
        <w:rPr>
          <w:rFonts w:ascii="宋体" w:hAnsi="宋体"/>
        </w:rPr>
      </w:pPr>
    </w:p>
    <w:p>
      <w:pPr>
        <w:pStyle w:val="56"/>
        <w:ind w:firstLine="480"/>
        <w:rPr>
          <w:rFonts w:ascii="宋体" w:hAnsi="宋体"/>
        </w:rPr>
      </w:pPr>
      <w:r>
        <w:rPr>
          <w:rFonts w:hint="eastAsia" w:ascii="宋体" w:hAnsi="宋体"/>
        </w:rPr>
        <w:t>5.知识产权</w:t>
      </w:r>
    </w:p>
    <w:p>
      <w:pPr>
        <w:pStyle w:val="56"/>
        <w:ind w:firstLine="480"/>
        <w:rPr>
          <w:rFonts w:ascii="宋体" w:hAnsi="宋体"/>
        </w:rPr>
      </w:pPr>
      <w:r>
        <w:rPr>
          <w:rFonts w:hint="eastAsia" w:ascii="宋体" w:hAnsi="宋体"/>
        </w:rPr>
        <w:t>乙方应保证所提供的服务或其任何一部分均不会侵犯任何第三方的专利权、商标权或著作权。</w:t>
      </w:r>
    </w:p>
    <w:p>
      <w:pPr>
        <w:pStyle w:val="56"/>
        <w:ind w:firstLine="480"/>
        <w:rPr>
          <w:rFonts w:ascii="宋体" w:hAnsi="宋体"/>
        </w:rPr>
      </w:pPr>
      <w:r>
        <w:rPr>
          <w:rFonts w:hint="eastAsia" w:ascii="宋体" w:hAnsi="宋体"/>
        </w:rPr>
        <w:t>6.无产权瑕疵条款</w:t>
      </w:r>
    </w:p>
    <w:p>
      <w:pPr>
        <w:pStyle w:val="56"/>
        <w:ind w:firstLine="480"/>
        <w:rPr>
          <w:rFonts w:ascii="宋体" w:hAnsi="宋体"/>
        </w:rPr>
      </w:pPr>
      <w:r>
        <w:rPr>
          <w:rFonts w:hint="eastAsia" w:ascii="宋体" w:hAnsi="宋体"/>
        </w:rPr>
        <w:t>乙方保证所提供的服务的所有权完全属于乙方且无任何抵押、查封等产权瑕疵。如有产权瑕疵的，视为乙方违约。乙方应负担由此而产生的一切损失。</w:t>
      </w:r>
    </w:p>
    <w:p>
      <w:pPr>
        <w:pStyle w:val="56"/>
        <w:ind w:firstLine="480"/>
        <w:rPr>
          <w:rFonts w:ascii="宋体" w:hAnsi="宋体"/>
        </w:rPr>
      </w:pPr>
      <w:r>
        <w:rPr>
          <w:rFonts w:ascii="宋体" w:hAnsi="宋体"/>
        </w:rPr>
        <w:t>7</w:t>
      </w:r>
      <w:r>
        <w:rPr>
          <w:rFonts w:hint="eastAsia" w:ascii="宋体" w:hAnsi="宋体"/>
        </w:rPr>
        <w:t>.甲方的权利和义务</w:t>
      </w:r>
    </w:p>
    <w:p>
      <w:pPr>
        <w:pStyle w:val="56"/>
        <w:ind w:firstLine="480"/>
        <w:rPr>
          <w:rFonts w:ascii="宋体" w:hAnsi="宋体"/>
        </w:rPr>
      </w:pPr>
      <w:r>
        <w:rPr>
          <w:rFonts w:hint="eastAsia" w:ascii="宋体" w:hAnsi="宋体"/>
        </w:rPr>
        <w:t>1、甲方有权对合同规定范围内乙方的服务行为进行监督和检查，拥有监管权。有权定期核对乙方提供服务所配备的人员数量。对甲方认为不合理的部分有权下达整改通知书，并要求乙方限期整改。</w:t>
      </w:r>
    </w:p>
    <w:p>
      <w:pPr>
        <w:pStyle w:val="56"/>
        <w:ind w:firstLine="480"/>
        <w:rPr>
          <w:rFonts w:ascii="宋体" w:hAnsi="宋体"/>
        </w:rPr>
      </w:pPr>
      <w:r>
        <w:rPr>
          <w:rFonts w:hint="eastAsia" w:ascii="宋体" w:hAnsi="宋体"/>
        </w:rPr>
        <w:t>2、甲方有权依据双方签订的考评办法对乙方提供的服务进行定期考评。当考评结果未达到标准时，有权依据考评办法约定的数额扣除履约保证金。</w:t>
      </w:r>
    </w:p>
    <w:p>
      <w:pPr>
        <w:pStyle w:val="56"/>
        <w:ind w:firstLine="480"/>
        <w:rPr>
          <w:rFonts w:ascii="宋体" w:hAnsi="宋体"/>
        </w:rPr>
      </w:pPr>
      <w:r>
        <w:rPr>
          <w:rFonts w:hint="eastAsia" w:ascii="宋体" w:hAnsi="宋体"/>
        </w:rPr>
        <w:t>3、负责检查监督乙方管理工作的实施及制度的执行情况。</w:t>
      </w:r>
    </w:p>
    <w:p>
      <w:pPr>
        <w:pStyle w:val="56"/>
        <w:ind w:firstLine="480"/>
        <w:rPr>
          <w:rFonts w:ascii="宋体" w:hAnsi="宋体"/>
        </w:rPr>
      </w:pPr>
      <w:r>
        <w:rPr>
          <w:rFonts w:hint="eastAsia" w:ascii="宋体" w:hAnsi="宋体"/>
        </w:rPr>
        <w:t>4、根据本合同规定，按时向乙方支付应付服务费用。</w:t>
      </w:r>
    </w:p>
    <w:p>
      <w:pPr>
        <w:pStyle w:val="56"/>
        <w:ind w:firstLine="480"/>
        <w:rPr>
          <w:rFonts w:ascii="宋体" w:hAnsi="宋体"/>
        </w:rPr>
      </w:pPr>
      <w:r>
        <w:rPr>
          <w:rFonts w:hint="eastAsia" w:ascii="宋体" w:hAnsi="宋体"/>
        </w:rPr>
        <w:t>5、国家法律、法规所规定由甲方承担的其它责任。</w:t>
      </w:r>
    </w:p>
    <w:p>
      <w:pPr>
        <w:pStyle w:val="56"/>
        <w:ind w:firstLine="480"/>
        <w:rPr>
          <w:rFonts w:ascii="宋体" w:hAnsi="宋体"/>
        </w:rPr>
      </w:pPr>
      <w:r>
        <w:rPr>
          <w:rFonts w:ascii="宋体" w:hAnsi="宋体"/>
        </w:rPr>
        <w:t>8</w:t>
      </w:r>
      <w:r>
        <w:rPr>
          <w:rFonts w:hint="eastAsia" w:ascii="宋体" w:hAnsi="宋体"/>
        </w:rPr>
        <w:t>.乙方的权利和义务</w:t>
      </w:r>
    </w:p>
    <w:p>
      <w:pPr>
        <w:pStyle w:val="56"/>
        <w:ind w:firstLine="480"/>
        <w:rPr>
          <w:rFonts w:ascii="宋体" w:hAnsi="宋体"/>
        </w:rPr>
      </w:pPr>
      <w:r>
        <w:rPr>
          <w:rFonts w:hint="eastAsia" w:ascii="宋体" w:hAnsi="宋体"/>
        </w:rPr>
        <w:t>1、对本合同规定的委托服务范围内的项目享有管理权及服务义务。</w:t>
      </w:r>
    </w:p>
    <w:p>
      <w:pPr>
        <w:pStyle w:val="56"/>
        <w:ind w:firstLine="480"/>
        <w:rPr>
          <w:rFonts w:ascii="宋体" w:hAnsi="宋体"/>
        </w:rPr>
      </w:pPr>
      <w:r>
        <w:rPr>
          <w:rFonts w:hint="eastAsia" w:ascii="宋体" w:hAnsi="宋体"/>
        </w:rPr>
        <w:t>2、根据本合同的规定向甲方收取相关服务费用，并有权在本项目管理范围内管理及合理使用。</w:t>
      </w:r>
    </w:p>
    <w:p>
      <w:pPr>
        <w:pStyle w:val="56"/>
        <w:ind w:firstLine="480"/>
        <w:rPr>
          <w:rFonts w:ascii="宋体" w:hAnsi="宋体"/>
        </w:rPr>
      </w:pPr>
      <w:r>
        <w:rPr>
          <w:rFonts w:hint="eastAsia" w:ascii="宋体" w:hAnsi="宋体"/>
        </w:rPr>
        <w:t>3、及时向甲方通告本项目服务范围内有关服务的重大事项，及时配合处理投诉。</w:t>
      </w:r>
    </w:p>
    <w:p>
      <w:pPr>
        <w:pStyle w:val="56"/>
        <w:ind w:firstLine="480"/>
        <w:rPr>
          <w:rFonts w:ascii="宋体" w:hAnsi="宋体"/>
        </w:rPr>
      </w:pPr>
      <w:r>
        <w:rPr>
          <w:rFonts w:hint="eastAsia" w:ascii="宋体" w:hAnsi="宋体"/>
        </w:rPr>
        <w:t>4、接受项目行业管理部门及政府有关部门的指导，接受甲方的监督。</w:t>
      </w:r>
    </w:p>
    <w:p>
      <w:pPr>
        <w:pStyle w:val="56"/>
        <w:ind w:firstLine="480"/>
        <w:rPr>
          <w:rFonts w:ascii="宋体" w:hAnsi="宋体"/>
        </w:rPr>
      </w:pPr>
      <w:r>
        <w:rPr>
          <w:rFonts w:hint="eastAsia" w:ascii="宋体" w:hAnsi="宋体"/>
        </w:rPr>
        <w:t>5、国家法律、法规所规定由乙方承担的其它责任。</w:t>
      </w:r>
    </w:p>
    <w:p>
      <w:pPr>
        <w:pStyle w:val="56"/>
        <w:ind w:firstLine="480"/>
        <w:rPr>
          <w:rFonts w:ascii="宋体" w:hAnsi="宋体"/>
        </w:rPr>
      </w:pPr>
      <w:r>
        <w:rPr>
          <w:rFonts w:ascii="宋体" w:hAnsi="宋体"/>
        </w:rPr>
        <w:t>9</w:t>
      </w:r>
      <w:r>
        <w:rPr>
          <w:rFonts w:hint="eastAsia" w:ascii="宋体" w:hAnsi="宋体"/>
        </w:rPr>
        <w:t>.违约责任</w:t>
      </w:r>
    </w:p>
    <w:p>
      <w:pPr>
        <w:pStyle w:val="56"/>
        <w:ind w:firstLine="480"/>
        <w:rPr>
          <w:rFonts w:ascii="宋体" w:hAnsi="宋体"/>
        </w:rPr>
      </w:pPr>
      <w:r>
        <w:rPr>
          <w:rFonts w:hint="eastAsia" w:ascii="宋体" w:hAnsi="宋体"/>
        </w:rPr>
        <w:t>1、甲乙双方必须遵守本合同并执行合同中的各项规定，保证本合同的正常履行。</w:t>
      </w:r>
    </w:p>
    <w:p>
      <w:pPr>
        <w:pStyle w:val="56"/>
        <w:ind w:firstLine="480"/>
        <w:rPr>
          <w:rFonts w:ascii="宋体" w:hAnsi="宋体"/>
        </w:rPr>
      </w:pPr>
      <w:r>
        <w:rPr>
          <w:rFonts w:hint="eastAsia" w:ascii="宋体" w:hAnsi="宋体"/>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56"/>
        <w:ind w:firstLine="480"/>
        <w:rPr>
          <w:rFonts w:ascii="宋体" w:hAnsi="宋体"/>
        </w:rPr>
      </w:pPr>
      <w:r>
        <w:rPr>
          <w:rFonts w:hint="eastAsia" w:ascii="宋体" w:hAnsi="宋体"/>
        </w:rPr>
        <w:t>1</w:t>
      </w:r>
      <w:r>
        <w:rPr>
          <w:rFonts w:ascii="宋体" w:hAnsi="宋体"/>
        </w:rPr>
        <w:t>0</w:t>
      </w:r>
      <w:r>
        <w:rPr>
          <w:rFonts w:hint="eastAsia" w:ascii="宋体" w:hAnsi="宋体"/>
        </w:rPr>
        <w:t>.不可抗力事件处理</w:t>
      </w:r>
    </w:p>
    <w:p>
      <w:pPr>
        <w:pStyle w:val="56"/>
        <w:ind w:firstLine="480"/>
        <w:rPr>
          <w:rFonts w:ascii="宋体" w:hAnsi="宋体"/>
        </w:rPr>
      </w:pPr>
      <w:r>
        <w:rPr>
          <w:rFonts w:hint="eastAsia" w:ascii="宋体" w:hAnsi="宋体"/>
        </w:rPr>
        <w:t>1、在合同有效期内，任何一方因不可抗力事件导致不能履行合同，则合同履行期可延长，其延长期与不可抗力影响期相同。</w:t>
      </w:r>
    </w:p>
    <w:p>
      <w:pPr>
        <w:pStyle w:val="56"/>
        <w:ind w:firstLine="480"/>
        <w:rPr>
          <w:rFonts w:ascii="宋体" w:hAnsi="宋体"/>
        </w:rPr>
      </w:pPr>
      <w:r>
        <w:rPr>
          <w:rFonts w:hint="eastAsia" w:ascii="宋体" w:hAnsi="宋体"/>
        </w:rPr>
        <w:t>2、不可抗力事件发生后，应立即通知对方，并寄送有关权威机构出具的证明。</w:t>
      </w:r>
    </w:p>
    <w:p>
      <w:pPr>
        <w:pStyle w:val="56"/>
        <w:ind w:firstLine="480"/>
        <w:rPr>
          <w:rFonts w:ascii="宋体" w:hAnsi="宋体"/>
        </w:rPr>
      </w:pPr>
      <w:r>
        <w:rPr>
          <w:rFonts w:hint="eastAsia" w:ascii="宋体" w:hAnsi="宋体"/>
        </w:rPr>
        <w:t>3、不可抗力事件延续      天以上，双方应通过友好协商，确定是否继续履行合同。</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Pr>
        <w:pStyle w:val="56"/>
        <w:ind w:firstLine="480"/>
        <w:rPr>
          <w:rFonts w:ascii="宋体" w:hAnsi="宋体"/>
        </w:rPr>
      </w:pPr>
      <w:bookmarkStart w:id="176" w:name="_Toc212019599"/>
      <w:bookmarkStart w:id="177" w:name="_Toc211911353"/>
      <w:bookmarkStart w:id="178" w:name="_Toc237145411"/>
      <w:bookmarkStart w:id="179" w:name="_Toc251768867"/>
      <w:bookmarkStart w:id="180" w:name="_Toc225244857"/>
      <w:bookmarkStart w:id="181" w:name="_Toc225654649"/>
      <w:bookmarkStart w:id="182" w:name="_Toc286993792"/>
      <w:bookmarkStart w:id="183" w:name="_Toc211854454"/>
      <w:bookmarkStart w:id="184" w:name="_Toc225670756"/>
      <w:bookmarkStart w:id="185" w:name="_Toc238984980"/>
      <w:bookmarkStart w:id="186" w:name="_Toc239233919"/>
      <w:bookmarkStart w:id="187" w:name="_Toc185395254"/>
      <w:bookmarkStart w:id="188" w:name="_Toc232492933"/>
      <w:bookmarkStart w:id="189" w:name="_Toc247334846"/>
      <w:bookmarkStart w:id="190" w:name="_Toc241833908"/>
      <w:bookmarkStart w:id="191" w:name="_Toc239568423"/>
      <w:r>
        <w:rPr>
          <w:rFonts w:hint="eastAsia" w:ascii="宋体" w:hAnsi="宋体"/>
        </w:rPr>
        <w:t>1</w:t>
      </w:r>
      <w:r>
        <w:rPr>
          <w:rFonts w:ascii="宋体" w:hAnsi="宋体"/>
        </w:rPr>
        <w:t>1</w:t>
      </w:r>
      <w:r>
        <w:rPr>
          <w:rFonts w:hint="eastAsia" w:ascii="宋体" w:hAnsi="宋体"/>
        </w:rPr>
        <w:t>.解决合同纠纷的方式</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pStyle w:val="56"/>
        <w:ind w:firstLine="480"/>
        <w:rPr>
          <w:rFonts w:hint="eastAsia" w:ascii="宋体" w:hAnsi="宋体"/>
        </w:rPr>
      </w:pPr>
      <w:r>
        <w:rPr>
          <w:rFonts w:hint="eastAsia" w:ascii="宋体" w:hAnsi="宋体"/>
        </w:rPr>
        <w:t>在执行本合同中发生的或与本合同有关的争端，双方应通过友好协商解决，经协商在XX天内不能达成协议时，应提交甲方所在地人民法院审理。</w:t>
      </w:r>
    </w:p>
    <w:p>
      <w:pPr>
        <w:pStyle w:val="56"/>
        <w:ind w:firstLine="480"/>
        <w:rPr>
          <w:rFonts w:ascii="宋体" w:hAnsi="宋体"/>
        </w:rPr>
      </w:pPr>
      <w:bookmarkStart w:id="192" w:name="_Toc232492934"/>
      <w:bookmarkStart w:id="193" w:name="_Toc211854455"/>
      <w:bookmarkStart w:id="194" w:name="_Toc241833909"/>
      <w:bookmarkStart w:id="195" w:name="_Toc286993793"/>
      <w:bookmarkStart w:id="196" w:name="_Toc225244858"/>
      <w:bookmarkStart w:id="197" w:name="_Toc212019600"/>
      <w:bookmarkStart w:id="198" w:name="_Toc238984981"/>
      <w:bookmarkStart w:id="199" w:name="_Toc283019219"/>
      <w:bookmarkStart w:id="200" w:name="_Toc211911354"/>
      <w:bookmarkStart w:id="201" w:name="_Toc282696231"/>
      <w:bookmarkStart w:id="202" w:name="_Toc237145412"/>
      <w:bookmarkStart w:id="203" w:name="_Toc239568424"/>
      <w:bookmarkStart w:id="204" w:name="_Toc239233920"/>
      <w:bookmarkStart w:id="205" w:name="_Toc251768868"/>
      <w:bookmarkStart w:id="206" w:name="_Toc247334847"/>
      <w:bookmarkStart w:id="207" w:name="_Toc225654650"/>
      <w:bookmarkStart w:id="208" w:name="_Toc225670757"/>
      <w:bookmarkStart w:id="209" w:name="_Toc185395255"/>
      <w:r>
        <w:rPr>
          <w:rFonts w:hint="eastAsia" w:ascii="宋体" w:hAnsi="宋体"/>
        </w:rPr>
        <w:t>1</w:t>
      </w:r>
      <w:r>
        <w:rPr>
          <w:rFonts w:ascii="宋体" w:hAnsi="宋体"/>
        </w:rPr>
        <w:t>2</w:t>
      </w:r>
      <w:r>
        <w:rPr>
          <w:rFonts w:hint="eastAsia" w:ascii="宋体" w:hAnsi="宋体"/>
        </w:rPr>
        <w:t>.合同</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宋体" w:hAnsi="宋体"/>
        </w:rPr>
        <w:t>生效及其他</w:t>
      </w:r>
    </w:p>
    <w:p>
      <w:pPr>
        <w:pStyle w:val="56"/>
        <w:ind w:firstLine="480"/>
        <w:rPr>
          <w:rFonts w:ascii="宋体" w:hAnsi="宋体"/>
        </w:rPr>
      </w:pPr>
      <w:r>
        <w:rPr>
          <w:rFonts w:hint="eastAsia" w:ascii="宋体" w:hAnsi="宋体"/>
        </w:rPr>
        <w:t>1、合同经双方法定代表人或授权委托代理人签字并加盖单位公章后生效。</w:t>
      </w:r>
    </w:p>
    <w:p>
      <w:pPr>
        <w:pStyle w:val="56"/>
        <w:ind w:firstLine="480"/>
        <w:rPr>
          <w:rFonts w:ascii="宋体" w:hAnsi="宋体"/>
        </w:rPr>
      </w:pPr>
      <w:r>
        <w:rPr>
          <w:rFonts w:hint="eastAsia" w:ascii="宋体" w:hAnsi="宋体"/>
        </w:rPr>
        <w:t>2、合同执行中涉及采购资金和采购内容修改或补充的，须经采购监管部门审批，并签书面补充协议报采购监督管理部门备案，方可作为主合同不可分割的一部分。</w:t>
      </w:r>
    </w:p>
    <w:p>
      <w:pPr>
        <w:pStyle w:val="56"/>
        <w:ind w:firstLine="480"/>
        <w:rPr>
          <w:rFonts w:ascii="宋体" w:hAnsi="宋体"/>
        </w:rPr>
      </w:pPr>
      <w:r>
        <w:rPr>
          <w:rFonts w:hint="eastAsia" w:ascii="宋体" w:hAnsi="宋体"/>
        </w:rPr>
        <w:t>3、本合同一式     份，自双方签章之日起起效。甲方      份，乙方      份，采购代理机构      份，同级财政部门备案      份，具有同等法律效力。</w:t>
      </w:r>
    </w:p>
    <w:p>
      <w:pPr>
        <w:pStyle w:val="56"/>
        <w:ind w:firstLine="480"/>
        <w:rPr>
          <w:rFonts w:ascii="宋体" w:hAnsi="宋体"/>
        </w:rPr>
      </w:pPr>
      <w:r>
        <w:rPr>
          <w:rFonts w:hint="eastAsia" w:ascii="宋体" w:hAnsi="宋体"/>
        </w:rPr>
        <w:t>1</w:t>
      </w:r>
      <w:r>
        <w:rPr>
          <w:rFonts w:ascii="宋体" w:hAnsi="宋体"/>
        </w:rPr>
        <w:t>3</w:t>
      </w:r>
      <w:r>
        <w:rPr>
          <w:rFonts w:hint="eastAsia" w:ascii="宋体" w:hAnsi="宋体"/>
        </w:rPr>
        <w:t>.附件。</w:t>
      </w:r>
    </w:p>
    <w:p>
      <w:pPr>
        <w:pStyle w:val="56"/>
        <w:ind w:firstLine="480"/>
        <w:rPr>
          <w:rFonts w:ascii="宋体" w:hAnsi="宋体"/>
        </w:rPr>
      </w:pPr>
    </w:p>
    <w:p>
      <w:pPr>
        <w:pStyle w:val="56"/>
        <w:ind w:firstLine="0" w:firstLineChars="0"/>
        <w:rPr>
          <w:rFonts w:ascii="宋体" w:hAnsi="宋体"/>
        </w:rPr>
      </w:pPr>
    </w:p>
    <w:p>
      <w:pPr>
        <w:pStyle w:val="56"/>
        <w:ind w:firstLine="480"/>
        <w:rPr>
          <w:rFonts w:ascii="宋体" w:hAnsi="宋体"/>
        </w:rPr>
      </w:pPr>
      <w:r>
        <w:rPr>
          <w:rFonts w:hint="eastAsia" w:ascii="宋体" w:hAnsi="宋体"/>
        </w:rPr>
        <w:t xml:space="preserve">甲方：   （盖章）   </w:t>
      </w:r>
      <w:r>
        <w:rPr>
          <w:rFonts w:hint="eastAsia" w:ascii="宋体" w:hAnsi="宋体"/>
        </w:rPr>
        <w:tab/>
      </w:r>
      <w:r>
        <w:rPr>
          <w:rFonts w:hint="eastAsia" w:ascii="宋体" w:hAnsi="宋体"/>
        </w:rPr>
        <w:tab/>
      </w:r>
      <w:r>
        <w:rPr>
          <w:rFonts w:hint="eastAsia" w:ascii="宋体" w:hAnsi="宋体"/>
        </w:rPr>
        <w:tab/>
      </w:r>
      <w:r>
        <w:rPr>
          <w:rFonts w:hint="eastAsia" w:ascii="宋体" w:hAnsi="宋体"/>
        </w:rPr>
        <w:t xml:space="preserve">        乙方：   （盖章）</w:t>
      </w:r>
    </w:p>
    <w:p>
      <w:pPr>
        <w:pStyle w:val="56"/>
        <w:ind w:firstLine="480"/>
        <w:rPr>
          <w:rFonts w:ascii="宋体" w:hAnsi="宋体"/>
        </w:rPr>
      </w:pPr>
      <w:r>
        <w:rPr>
          <w:rFonts w:hint="eastAsia" w:ascii="宋体" w:hAnsi="宋体"/>
        </w:rPr>
        <w:t>法定代表人（授权代表）：            法定代表人（授权代表）：</w:t>
      </w:r>
    </w:p>
    <w:p>
      <w:pPr>
        <w:pStyle w:val="56"/>
        <w:ind w:firstLine="480"/>
        <w:rPr>
          <w:rFonts w:ascii="宋体" w:hAnsi="宋体"/>
        </w:rPr>
      </w:pPr>
      <w:r>
        <w:rPr>
          <w:rFonts w:hint="eastAsia" w:ascii="宋体" w:hAnsi="宋体"/>
        </w:rPr>
        <w:t>地    址：                         地    址：</w:t>
      </w:r>
    </w:p>
    <w:p>
      <w:pPr>
        <w:pStyle w:val="56"/>
        <w:ind w:firstLine="480"/>
        <w:rPr>
          <w:rFonts w:ascii="宋体" w:hAnsi="宋体"/>
        </w:rPr>
      </w:pPr>
      <w:r>
        <w:rPr>
          <w:rFonts w:hint="eastAsia" w:ascii="宋体" w:hAnsi="宋体"/>
        </w:rPr>
        <w:t>开户银行：                         开户银行：</w:t>
      </w:r>
    </w:p>
    <w:p>
      <w:pPr>
        <w:pStyle w:val="56"/>
        <w:ind w:firstLine="480"/>
        <w:rPr>
          <w:rFonts w:ascii="宋体" w:hAnsi="宋体"/>
        </w:rPr>
      </w:pPr>
      <w:r>
        <w:rPr>
          <w:rFonts w:hint="eastAsia" w:ascii="宋体" w:hAnsi="宋体"/>
        </w:rPr>
        <w:t>账号：                             账号：</w:t>
      </w:r>
    </w:p>
    <w:p>
      <w:pPr>
        <w:pStyle w:val="56"/>
        <w:ind w:firstLine="480"/>
        <w:rPr>
          <w:rFonts w:ascii="宋体" w:hAnsi="宋体"/>
        </w:rPr>
      </w:pPr>
      <w:r>
        <w:rPr>
          <w:rFonts w:hint="eastAsia" w:ascii="宋体" w:hAnsi="宋体"/>
        </w:rPr>
        <w:t>电    话：                         电    话：</w:t>
      </w:r>
    </w:p>
    <w:p>
      <w:pPr>
        <w:pStyle w:val="56"/>
        <w:ind w:firstLine="480"/>
        <w:rPr>
          <w:rFonts w:ascii="宋体" w:hAnsi="宋体"/>
        </w:rPr>
      </w:pPr>
      <w:r>
        <w:rPr>
          <w:rFonts w:hint="eastAsia" w:ascii="宋体" w:hAnsi="宋体"/>
        </w:rPr>
        <w:t>传    真：                         传    真：</w:t>
      </w:r>
    </w:p>
    <w:p>
      <w:pPr>
        <w:pStyle w:val="56"/>
        <w:ind w:firstLine="480"/>
        <w:rPr>
          <w:rFonts w:ascii="宋体" w:hAnsi="宋体"/>
        </w:rPr>
      </w:pPr>
      <w:r>
        <w:rPr>
          <w:rFonts w:hint="eastAsia" w:ascii="宋体" w:hAnsi="宋体"/>
        </w:rPr>
        <w:t xml:space="preserve">签约日期：2021年    月     日 </w:t>
      </w:r>
      <w:r>
        <w:rPr>
          <w:rFonts w:hint="eastAsia" w:ascii="宋体" w:hAnsi="宋体"/>
        </w:rPr>
        <w:tab/>
      </w:r>
      <w:r>
        <w:rPr>
          <w:rFonts w:hint="eastAsia" w:ascii="宋体" w:hAnsi="宋体"/>
        </w:rPr>
        <w:tab/>
      </w:r>
      <w:r>
        <w:rPr>
          <w:rFonts w:hint="eastAsia" w:ascii="宋体" w:hAnsi="宋体"/>
        </w:rPr>
        <w:t>签约日期：2021年     月      日</w:t>
      </w: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注：其他合同专用条款在合同签订时另商签订。</w:t>
      </w:r>
    </w:p>
    <w:p>
      <w:pPr>
        <w:spacing w:line="360" w:lineRule="auto"/>
        <w:rPr>
          <w:rFonts w:ascii="宋体" w:hAnsi="宋体" w:cs="宋体"/>
          <w:szCs w:val="21"/>
        </w:rPr>
      </w:pPr>
    </w:p>
    <w:sectPr>
      <w:footerReference r:id="rId17" w:type="default"/>
      <w:pgSz w:w="11906" w:h="16838"/>
      <w:pgMar w:top="1440" w:right="1474" w:bottom="1440" w:left="1474" w:header="851" w:footer="992" w:gutter="0"/>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方正大标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37</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38</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39</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40</w:t>
    </w:r>
    <w:r>
      <w:fldChar w:fldCharType="end"/>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41</w:t>
    </w:r>
    <w:r>
      <w:fldChar w:fldCharType="end"/>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42</w:t>
    </w:r>
    <w:r>
      <w:fldChar w:fldCharType="end"/>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43</w:t>
    </w:r>
    <w:r>
      <w:fldChar w:fldCharType="end"/>
    </w:r>
  </w:p>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70</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1879"/>
        <w:tab w:val="clear" w:pos="4153"/>
      </w:tabs>
      <w:jc w:val="left"/>
    </w:pPr>
    <w:r>
      <w:rPr>
        <w:rFonts w:hint="eastAsia" w:ascii="方正大标宋简体" w:hAnsi="方正大标宋简体" w:eastAsia="方正大标宋简体" w:cs="方正大标宋简体"/>
        <w:color w:val="C00000"/>
        <w:sz w:val="32"/>
        <w:szCs w:val="32"/>
      </w:rPr>
      <w:drawing>
        <wp:anchor distT="0" distB="0" distL="114300" distR="114300" simplePos="0" relativeHeight="251659264" behindDoc="1" locked="0" layoutInCell="1" allowOverlap="1">
          <wp:simplePos x="0" y="0"/>
          <wp:positionH relativeFrom="column">
            <wp:posOffset>6350</wp:posOffset>
          </wp:positionH>
          <wp:positionV relativeFrom="paragraph">
            <wp:posOffset>10795</wp:posOffset>
          </wp:positionV>
          <wp:extent cx="291465" cy="234950"/>
          <wp:effectExtent l="19050" t="0" r="0" b="0"/>
          <wp:wrapNone/>
          <wp:docPr id="205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图片 8"/>
                  <pic:cNvPicPr>
                    <a:picLocks noChangeAspect="1" noChangeArrowheads="1"/>
                  </pic:cNvPicPr>
                </pic:nvPicPr>
                <pic:blipFill>
                  <a:blip r:embed="rId1"/>
                  <a:srcRect/>
                  <a:stretch>
                    <a:fillRect/>
                  </a:stretch>
                </pic:blipFill>
                <pic:spPr>
                  <a:xfrm>
                    <a:off x="0" y="0"/>
                    <a:ext cx="291465" cy="234950"/>
                  </a:xfrm>
                  <a:prstGeom prst="rect">
                    <a:avLst/>
                  </a:prstGeom>
                  <a:noFill/>
                  <a:ln w="9525" cmpd="sng">
                    <a:noFill/>
                    <a:miter lim="800000"/>
                    <a:headEnd/>
                    <a:tailEnd/>
                  </a:ln>
                </pic:spPr>
              </pic:pic>
            </a:graphicData>
          </a:graphic>
        </wp:anchor>
      </w:drawing>
    </w:r>
    <w:r>
      <w:rPr>
        <w:rFonts w:hint="eastAsia" w:ascii="方正大标宋简体" w:hAnsi="方正大标宋简体" w:eastAsia="方正大标宋简体" w:cs="方正大标宋简体"/>
        <w:color w:val="C00000"/>
        <w:sz w:val="32"/>
        <w:szCs w:val="32"/>
      </w:rPr>
      <w:t xml:space="preserve">   </w:t>
    </w:r>
    <w:r>
      <w:rPr>
        <w:rFonts w:hint="eastAsia" w:ascii="方正大标宋简体" w:hAnsi="方正大标宋简体" w:eastAsia="方正大标宋简体" w:cs="方正大标宋简体"/>
        <w:color w:val="C00000"/>
        <w:sz w:val="21"/>
        <w:szCs w:val="21"/>
        <w:u w:val="single"/>
      </w:rPr>
      <w:t xml:space="preserve">优引力项管UINLE </w:t>
    </w:r>
    <w:r>
      <w:rPr>
        <w:rFonts w:hint="eastAsia" w:ascii="方正大标宋简体" w:hAnsi="方正大标宋简体" w:eastAsia="方正大标宋简体" w:cs="方正大标宋简体"/>
        <w:color w:val="C00000"/>
        <w:sz w:val="32"/>
        <w:szCs w:val="32"/>
        <w:u w:val="single"/>
      </w:rPr>
      <w:t xml:space="preserve">                         </w:t>
    </w:r>
    <w:r>
      <w:rPr>
        <w:rFonts w:hint="eastAsia" w:ascii="方正大标宋简体" w:hAnsi="方正大标宋简体" w:eastAsia="方正大标宋简体" w:cs="方正大标宋简体"/>
        <w:color w:val="C00000"/>
        <w:sz w:val="21"/>
        <w:szCs w:val="21"/>
        <w:u w:val="single"/>
      </w:rPr>
      <w:t xml:space="preserve">          </w:t>
    </w:r>
    <w:r>
      <w:rPr>
        <w:rFonts w:hint="eastAsia" w:ascii="方正大标宋简体" w:hAnsi="方正大标宋简体" w:eastAsia="方正大标宋简体" w:cs="方正大标宋简体"/>
        <w:color w:val="C00000"/>
        <w:szCs w:val="18"/>
        <w:u w:val="single"/>
      </w:rPr>
      <w:t xml:space="preserve">专业高效 诚信服务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1879"/>
        <w:tab w:val="clear" w:pos="4153"/>
      </w:tabs>
      <w:jc w:val="left"/>
    </w:pPr>
    <w:r>
      <w:rPr>
        <w:rFonts w:hint="eastAsia" w:ascii="方正大标宋简体" w:hAnsi="方正大标宋简体" w:eastAsia="方正大标宋简体" w:cs="方正大标宋简体"/>
        <w:color w:val="C00000"/>
        <w:sz w:val="32"/>
        <w:szCs w:val="32"/>
      </w:rPr>
      <w:drawing>
        <wp:anchor distT="0" distB="0" distL="114300" distR="114300" simplePos="0" relativeHeight="251660288" behindDoc="1" locked="0" layoutInCell="1" allowOverlap="1">
          <wp:simplePos x="0" y="0"/>
          <wp:positionH relativeFrom="column">
            <wp:posOffset>6350</wp:posOffset>
          </wp:positionH>
          <wp:positionV relativeFrom="paragraph">
            <wp:posOffset>10795</wp:posOffset>
          </wp:positionV>
          <wp:extent cx="291465" cy="234950"/>
          <wp:effectExtent l="19050" t="0" r="0" b="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noChangeArrowheads="1"/>
                  </pic:cNvPicPr>
                </pic:nvPicPr>
                <pic:blipFill>
                  <a:blip r:embed="rId1"/>
                  <a:srcRect/>
                  <a:stretch>
                    <a:fillRect/>
                  </a:stretch>
                </pic:blipFill>
                <pic:spPr>
                  <a:xfrm>
                    <a:off x="0" y="0"/>
                    <a:ext cx="291465" cy="234950"/>
                  </a:xfrm>
                  <a:prstGeom prst="rect">
                    <a:avLst/>
                  </a:prstGeom>
                  <a:noFill/>
                  <a:ln w="9525" cmpd="sng">
                    <a:noFill/>
                    <a:miter lim="800000"/>
                    <a:headEnd/>
                    <a:tailEnd/>
                  </a:ln>
                </pic:spPr>
              </pic:pic>
            </a:graphicData>
          </a:graphic>
        </wp:anchor>
      </w:drawing>
    </w:r>
    <w:r>
      <w:rPr>
        <w:rFonts w:hint="eastAsia" w:ascii="方正大标宋简体" w:hAnsi="方正大标宋简体" w:eastAsia="方正大标宋简体" w:cs="方正大标宋简体"/>
        <w:color w:val="C00000"/>
        <w:sz w:val="32"/>
        <w:szCs w:val="32"/>
      </w:rPr>
      <w:t xml:space="preserve">   </w:t>
    </w:r>
    <w:r>
      <w:rPr>
        <w:rFonts w:hint="eastAsia" w:ascii="方正大标宋简体" w:hAnsi="方正大标宋简体" w:eastAsia="方正大标宋简体" w:cs="方正大标宋简体"/>
        <w:color w:val="C00000"/>
        <w:sz w:val="21"/>
        <w:szCs w:val="21"/>
        <w:u w:val="single"/>
      </w:rPr>
      <w:t xml:space="preserve">优引力项管UINLE </w:t>
    </w:r>
    <w:r>
      <w:rPr>
        <w:rFonts w:hint="eastAsia" w:ascii="方正大标宋简体" w:hAnsi="方正大标宋简体" w:eastAsia="方正大标宋简体" w:cs="方正大标宋简体"/>
        <w:color w:val="C00000"/>
        <w:sz w:val="32"/>
        <w:szCs w:val="32"/>
        <w:u w:val="single"/>
      </w:rPr>
      <w:t xml:space="preserve">                         </w:t>
    </w:r>
    <w:r>
      <w:rPr>
        <w:rFonts w:hint="eastAsia" w:ascii="方正大标宋简体" w:hAnsi="方正大标宋简体" w:eastAsia="方正大标宋简体" w:cs="方正大标宋简体"/>
        <w:color w:val="C00000"/>
        <w:sz w:val="21"/>
        <w:szCs w:val="21"/>
        <w:u w:val="single"/>
      </w:rPr>
      <w:t xml:space="preserve">          </w:t>
    </w:r>
    <w:r>
      <w:rPr>
        <w:rFonts w:hint="eastAsia" w:ascii="方正大标宋简体" w:hAnsi="方正大标宋简体" w:eastAsia="方正大标宋简体" w:cs="方正大标宋简体"/>
        <w:color w:val="C00000"/>
        <w:szCs w:val="18"/>
        <w:u w:val="single"/>
      </w:rPr>
      <w:t xml:space="preserve">专业高效 诚信服务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1879"/>
        <w:tab w:val="clear" w:pos="4153"/>
      </w:tabs>
      <w:jc w:val="left"/>
    </w:pPr>
    <w:r>
      <w:rPr>
        <w:rFonts w:hint="eastAsia" w:ascii="方正大标宋简体" w:hAnsi="方正大标宋简体" w:eastAsia="方正大标宋简体" w:cs="方正大标宋简体"/>
        <w:color w:val="C00000"/>
        <w:sz w:val="32"/>
        <w:szCs w:val="32"/>
      </w:rPr>
      <w:drawing>
        <wp:anchor distT="0" distB="0" distL="114300" distR="114300" simplePos="0" relativeHeight="251661312" behindDoc="1" locked="0" layoutInCell="1" allowOverlap="1">
          <wp:simplePos x="0" y="0"/>
          <wp:positionH relativeFrom="column">
            <wp:posOffset>6350</wp:posOffset>
          </wp:positionH>
          <wp:positionV relativeFrom="paragraph">
            <wp:posOffset>10795</wp:posOffset>
          </wp:positionV>
          <wp:extent cx="291465" cy="234950"/>
          <wp:effectExtent l="19050" t="0" r="0" b="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noChangeArrowheads="1"/>
                  </pic:cNvPicPr>
                </pic:nvPicPr>
                <pic:blipFill>
                  <a:blip r:embed="rId1"/>
                  <a:srcRect/>
                  <a:stretch>
                    <a:fillRect/>
                  </a:stretch>
                </pic:blipFill>
                <pic:spPr>
                  <a:xfrm>
                    <a:off x="0" y="0"/>
                    <a:ext cx="291465" cy="234950"/>
                  </a:xfrm>
                  <a:prstGeom prst="rect">
                    <a:avLst/>
                  </a:prstGeom>
                  <a:noFill/>
                  <a:ln w="9525" cmpd="sng">
                    <a:noFill/>
                    <a:miter lim="800000"/>
                    <a:headEnd/>
                    <a:tailEnd/>
                  </a:ln>
                </pic:spPr>
              </pic:pic>
            </a:graphicData>
          </a:graphic>
        </wp:anchor>
      </w:drawing>
    </w:r>
    <w:r>
      <w:rPr>
        <w:rFonts w:hint="eastAsia" w:ascii="方正大标宋简体" w:hAnsi="方正大标宋简体" w:eastAsia="方正大标宋简体" w:cs="方正大标宋简体"/>
        <w:color w:val="C00000"/>
        <w:sz w:val="32"/>
        <w:szCs w:val="32"/>
      </w:rPr>
      <w:t xml:space="preserve">   </w:t>
    </w:r>
    <w:r>
      <w:rPr>
        <w:rFonts w:hint="eastAsia" w:ascii="方正大标宋简体" w:hAnsi="方正大标宋简体" w:eastAsia="方正大标宋简体" w:cs="方正大标宋简体"/>
        <w:color w:val="C00000"/>
        <w:sz w:val="21"/>
        <w:szCs w:val="21"/>
        <w:u w:val="single"/>
      </w:rPr>
      <w:t xml:space="preserve">优引力项管UINLE </w:t>
    </w:r>
    <w:r>
      <w:rPr>
        <w:rFonts w:hint="eastAsia" w:ascii="方正大标宋简体" w:hAnsi="方正大标宋简体" w:eastAsia="方正大标宋简体" w:cs="方正大标宋简体"/>
        <w:color w:val="C00000"/>
        <w:sz w:val="32"/>
        <w:szCs w:val="32"/>
        <w:u w:val="single"/>
      </w:rPr>
      <w:t xml:space="preserve">                         </w:t>
    </w:r>
    <w:r>
      <w:rPr>
        <w:rFonts w:hint="eastAsia" w:ascii="方正大标宋简体" w:hAnsi="方正大标宋简体" w:eastAsia="方正大标宋简体" w:cs="方正大标宋简体"/>
        <w:color w:val="C00000"/>
        <w:sz w:val="21"/>
        <w:szCs w:val="21"/>
        <w:u w:val="single"/>
      </w:rPr>
      <w:t xml:space="preserve">          </w:t>
    </w:r>
    <w:r>
      <w:rPr>
        <w:rFonts w:hint="eastAsia" w:ascii="方正大标宋简体" w:hAnsi="方正大标宋简体" w:eastAsia="方正大标宋简体" w:cs="方正大标宋简体"/>
        <w:color w:val="C00000"/>
        <w:szCs w:val="18"/>
        <w:u w:val="single"/>
      </w:rPr>
      <w:t xml:space="preserve">专业高效 诚信服务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1879"/>
        <w:tab w:val="clear" w:pos="4153"/>
      </w:tabs>
      <w:jc w:val="left"/>
    </w:pPr>
    <w:r>
      <w:rPr>
        <w:rFonts w:hint="eastAsia" w:ascii="方正大标宋简体" w:hAnsi="方正大标宋简体" w:eastAsia="方正大标宋简体" w:cs="方正大标宋简体"/>
        <w:color w:val="C00000"/>
        <w:sz w:val="32"/>
        <w:szCs w:val="32"/>
      </w:rPr>
      <w:drawing>
        <wp:anchor distT="0" distB="0" distL="114300" distR="114300" simplePos="0" relativeHeight="251662336" behindDoc="1" locked="0" layoutInCell="1" allowOverlap="1">
          <wp:simplePos x="0" y="0"/>
          <wp:positionH relativeFrom="column">
            <wp:posOffset>6350</wp:posOffset>
          </wp:positionH>
          <wp:positionV relativeFrom="paragraph">
            <wp:posOffset>10795</wp:posOffset>
          </wp:positionV>
          <wp:extent cx="291465" cy="234950"/>
          <wp:effectExtent l="1905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1"/>
                  <a:srcRect/>
                  <a:stretch>
                    <a:fillRect/>
                  </a:stretch>
                </pic:blipFill>
                <pic:spPr>
                  <a:xfrm>
                    <a:off x="0" y="0"/>
                    <a:ext cx="291465" cy="234950"/>
                  </a:xfrm>
                  <a:prstGeom prst="rect">
                    <a:avLst/>
                  </a:prstGeom>
                  <a:noFill/>
                  <a:ln w="9525" cmpd="sng">
                    <a:noFill/>
                    <a:miter lim="800000"/>
                    <a:headEnd/>
                    <a:tailEnd/>
                  </a:ln>
                </pic:spPr>
              </pic:pic>
            </a:graphicData>
          </a:graphic>
        </wp:anchor>
      </w:drawing>
    </w:r>
    <w:r>
      <w:rPr>
        <w:rFonts w:hint="eastAsia" w:ascii="方正大标宋简体" w:hAnsi="方正大标宋简体" w:eastAsia="方正大标宋简体" w:cs="方正大标宋简体"/>
        <w:color w:val="C00000"/>
        <w:sz w:val="32"/>
        <w:szCs w:val="32"/>
      </w:rPr>
      <w:t xml:space="preserve">   </w:t>
    </w:r>
    <w:r>
      <w:rPr>
        <w:rFonts w:hint="eastAsia" w:ascii="方正大标宋简体" w:hAnsi="方正大标宋简体" w:eastAsia="方正大标宋简体" w:cs="方正大标宋简体"/>
        <w:color w:val="C00000"/>
        <w:sz w:val="21"/>
        <w:szCs w:val="21"/>
        <w:u w:val="single"/>
      </w:rPr>
      <w:t xml:space="preserve">优引力项管UINLE </w:t>
    </w:r>
    <w:r>
      <w:rPr>
        <w:rFonts w:hint="eastAsia" w:ascii="方正大标宋简体" w:hAnsi="方正大标宋简体" w:eastAsia="方正大标宋简体" w:cs="方正大标宋简体"/>
        <w:color w:val="C00000"/>
        <w:sz w:val="32"/>
        <w:szCs w:val="32"/>
        <w:u w:val="single"/>
      </w:rPr>
      <w:t xml:space="preserve">                         </w:t>
    </w:r>
    <w:r>
      <w:rPr>
        <w:rFonts w:hint="eastAsia" w:ascii="方正大标宋简体" w:hAnsi="方正大标宋简体" w:eastAsia="方正大标宋简体" w:cs="方正大标宋简体"/>
        <w:color w:val="C00000"/>
        <w:sz w:val="21"/>
        <w:szCs w:val="21"/>
        <w:u w:val="single"/>
      </w:rPr>
      <w:t xml:space="preserve">          </w:t>
    </w:r>
    <w:r>
      <w:rPr>
        <w:rFonts w:hint="eastAsia" w:ascii="方正大标宋简体" w:hAnsi="方正大标宋简体" w:eastAsia="方正大标宋简体" w:cs="方正大标宋简体"/>
        <w:color w:val="C00000"/>
        <w:szCs w:val="18"/>
        <w:u w:val="single"/>
      </w:rPr>
      <w:t xml:space="preserve">专业高效 诚信服务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1879"/>
        <w:tab w:val="clear" w:pos="4153"/>
      </w:tabs>
      <w:jc w:val="left"/>
    </w:pPr>
    <w:r>
      <w:rPr>
        <w:rFonts w:hint="eastAsia" w:ascii="方正大标宋简体" w:hAnsi="方正大标宋简体" w:eastAsia="方正大标宋简体" w:cs="方正大标宋简体"/>
        <w:color w:val="C00000"/>
        <w:sz w:val="32"/>
        <w:szCs w:val="32"/>
      </w:rPr>
      <w:drawing>
        <wp:anchor distT="0" distB="0" distL="114300" distR="114300" simplePos="0" relativeHeight="251663360" behindDoc="1" locked="0" layoutInCell="1" allowOverlap="1">
          <wp:simplePos x="0" y="0"/>
          <wp:positionH relativeFrom="column">
            <wp:posOffset>6350</wp:posOffset>
          </wp:positionH>
          <wp:positionV relativeFrom="paragraph">
            <wp:posOffset>10795</wp:posOffset>
          </wp:positionV>
          <wp:extent cx="291465" cy="234950"/>
          <wp:effectExtent l="19050" t="0" r="0" b="0"/>
          <wp:wrapNone/>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noChangeArrowheads="1"/>
                  </pic:cNvPicPr>
                </pic:nvPicPr>
                <pic:blipFill>
                  <a:blip r:embed="rId1"/>
                  <a:srcRect/>
                  <a:stretch>
                    <a:fillRect/>
                  </a:stretch>
                </pic:blipFill>
                <pic:spPr>
                  <a:xfrm>
                    <a:off x="0" y="0"/>
                    <a:ext cx="291465" cy="234950"/>
                  </a:xfrm>
                  <a:prstGeom prst="rect">
                    <a:avLst/>
                  </a:prstGeom>
                  <a:noFill/>
                  <a:ln w="9525" cmpd="sng">
                    <a:noFill/>
                    <a:miter lim="800000"/>
                    <a:headEnd/>
                    <a:tailEnd/>
                  </a:ln>
                </pic:spPr>
              </pic:pic>
            </a:graphicData>
          </a:graphic>
        </wp:anchor>
      </w:drawing>
    </w:r>
    <w:r>
      <w:rPr>
        <w:rFonts w:hint="eastAsia" w:ascii="方正大标宋简体" w:hAnsi="方正大标宋简体" w:eastAsia="方正大标宋简体" w:cs="方正大标宋简体"/>
        <w:color w:val="C00000"/>
        <w:sz w:val="32"/>
        <w:szCs w:val="32"/>
      </w:rPr>
      <w:t xml:space="preserve">   </w:t>
    </w:r>
    <w:r>
      <w:rPr>
        <w:rFonts w:hint="eastAsia" w:ascii="方正大标宋简体" w:hAnsi="方正大标宋简体" w:eastAsia="方正大标宋简体" w:cs="方正大标宋简体"/>
        <w:color w:val="C00000"/>
        <w:sz w:val="21"/>
        <w:szCs w:val="21"/>
        <w:u w:val="single"/>
      </w:rPr>
      <w:t xml:space="preserve">优引力项管UINLE </w:t>
    </w:r>
    <w:r>
      <w:rPr>
        <w:rFonts w:hint="eastAsia" w:ascii="方正大标宋简体" w:hAnsi="方正大标宋简体" w:eastAsia="方正大标宋简体" w:cs="方正大标宋简体"/>
        <w:color w:val="C00000"/>
        <w:sz w:val="32"/>
        <w:szCs w:val="32"/>
        <w:u w:val="single"/>
      </w:rPr>
      <w:t xml:space="preserve">                         </w:t>
    </w:r>
    <w:r>
      <w:rPr>
        <w:rFonts w:hint="eastAsia" w:ascii="方正大标宋简体" w:hAnsi="方正大标宋简体" w:eastAsia="方正大标宋简体" w:cs="方正大标宋简体"/>
        <w:color w:val="C00000"/>
        <w:sz w:val="21"/>
        <w:szCs w:val="21"/>
        <w:u w:val="single"/>
      </w:rPr>
      <w:t xml:space="preserve">          </w:t>
    </w:r>
    <w:r>
      <w:rPr>
        <w:rFonts w:hint="eastAsia" w:ascii="方正大标宋简体" w:hAnsi="方正大标宋简体" w:eastAsia="方正大标宋简体" w:cs="方正大标宋简体"/>
        <w:color w:val="C00000"/>
        <w:szCs w:val="18"/>
        <w:u w:val="single"/>
      </w:rPr>
      <w:t xml:space="preserve">专业高效 诚信服务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1879"/>
        <w:tab w:val="clear" w:pos="4153"/>
      </w:tabs>
      <w:jc w:val="left"/>
    </w:pPr>
    <w:r>
      <w:rPr>
        <w:rFonts w:hint="eastAsia" w:ascii="方正大标宋简体" w:hAnsi="方正大标宋简体" w:eastAsia="方正大标宋简体" w:cs="方正大标宋简体"/>
        <w:color w:val="C00000"/>
        <w:sz w:val="32"/>
        <w:szCs w:val="32"/>
      </w:rPr>
      <w:drawing>
        <wp:anchor distT="0" distB="0" distL="114300" distR="114300" simplePos="0" relativeHeight="251664384" behindDoc="1" locked="0" layoutInCell="1" allowOverlap="1">
          <wp:simplePos x="0" y="0"/>
          <wp:positionH relativeFrom="column">
            <wp:posOffset>6350</wp:posOffset>
          </wp:positionH>
          <wp:positionV relativeFrom="paragraph">
            <wp:posOffset>10795</wp:posOffset>
          </wp:positionV>
          <wp:extent cx="291465" cy="234950"/>
          <wp:effectExtent l="19050" t="0" r="0" b="0"/>
          <wp:wrapNone/>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noChangeArrowheads="1"/>
                  </pic:cNvPicPr>
                </pic:nvPicPr>
                <pic:blipFill>
                  <a:blip r:embed="rId1"/>
                  <a:srcRect/>
                  <a:stretch>
                    <a:fillRect/>
                  </a:stretch>
                </pic:blipFill>
                <pic:spPr>
                  <a:xfrm>
                    <a:off x="0" y="0"/>
                    <a:ext cx="291465" cy="234950"/>
                  </a:xfrm>
                  <a:prstGeom prst="rect">
                    <a:avLst/>
                  </a:prstGeom>
                  <a:noFill/>
                  <a:ln w="9525" cmpd="sng">
                    <a:noFill/>
                    <a:miter lim="800000"/>
                    <a:headEnd/>
                    <a:tailEnd/>
                  </a:ln>
                </pic:spPr>
              </pic:pic>
            </a:graphicData>
          </a:graphic>
        </wp:anchor>
      </w:drawing>
    </w:r>
    <w:r>
      <w:rPr>
        <w:rFonts w:hint="eastAsia" w:ascii="方正大标宋简体" w:hAnsi="方正大标宋简体" w:eastAsia="方正大标宋简体" w:cs="方正大标宋简体"/>
        <w:color w:val="C00000"/>
        <w:sz w:val="32"/>
        <w:szCs w:val="32"/>
      </w:rPr>
      <w:t xml:space="preserve">   </w:t>
    </w:r>
    <w:r>
      <w:rPr>
        <w:rFonts w:hint="eastAsia" w:ascii="方正大标宋简体" w:hAnsi="方正大标宋简体" w:eastAsia="方正大标宋简体" w:cs="方正大标宋简体"/>
        <w:color w:val="C00000"/>
        <w:sz w:val="21"/>
        <w:szCs w:val="21"/>
        <w:u w:val="single"/>
      </w:rPr>
      <w:t xml:space="preserve">优引力项管UINLE </w:t>
    </w:r>
    <w:r>
      <w:rPr>
        <w:rFonts w:hint="eastAsia" w:ascii="方正大标宋简体" w:hAnsi="方正大标宋简体" w:eastAsia="方正大标宋简体" w:cs="方正大标宋简体"/>
        <w:color w:val="C00000"/>
        <w:sz w:val="32"/>
        <w:szCs w:val="32"/>
        <w:u w:val="single"/>
      </w:rPr>
      <w:t xml:space="preserve">                         </w:t>
    </w:r>
    <w:r>
      <w:rPr>
        <w:rFonts w:hint="eastAsia" w:ascii="方正大标宋简体" w:hAnsi="方正大标宋简体" w:eastAsia="方正大标宋简体" w:cs="方正大标宋简体"/>
        <w:color w:val="C00000"/>
        <w:sz w:val="21"/>
        <w:szCs w:val="21"/>
        <w:u w:val="single"/>
      </w:rPr>
      <w:t xml:space="preserve">          </w:t>
    </w:r>
    <w:r>
      <w:rPr>
        <w:rFonts w:hint="eastAsia" w:ascii="方正大标宋简体" w:hAnsi="方正大标宋简体" w:eastAsia="方正大标宋简体" w:cs="方正大标宋简体"/>
        <w:color w:val="C00000"/>
        <w:szCs w:val="18"/>
        <w:u w:val="single"/>
      </w:rPr>
      <w:t xml:space="preserve">专业高效 诚信服务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1879"/>
        <w:tab w:val="clear" w:pos="4153"/>
      </w:tabs>
      <w:jc w:val="left"/>
    </w:pPr>
    <w:r>
      <w:rPr>
        <w:rFonts w:hint="eastAsia" w:ascii="方正大标宋简体" w:hAnsi="方正大标宋简体" w:eastAsia="方正大标宋简体" w:cs="方正大标宋简体"/>
        <w:color w:val="C00000"/>
        <w:sz w:val="32"/>
        <w:szCs w:val="32"/>
      </w:rPr>
      <w:drawing>
        <wp:anchor distT="0" distB="0" distL="114300" distR="114300" simplePos="0" relativeHeight="251665408" behindDoc="1" locked="0" layoutInCell="1" allowOverlap="1">
          <wp:simplePos x="0" y="0"/>
          <wp:positionH relativeFrom="column">
            <wp:posOffset>6350</wp:posOffset>
          </wp:positionH>
          <wp:positionV relativeFrom="paragraph">
            <wp:posOffset>10795</wp:posOffset>
          </wp:positionV>
          <wp:extent cx="291465" cy="234950"/>
          <wp:effectExtent l="19050" t="0" r="0" b="0"/>
          <wp:wrapNone/>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noChangeArrowheads="1"/>
                  </pic:cNvPicPr>
                </pic:nvPicPr>
                <pic:blipFill>
                  <a:blip r:embed="rId1"/>
                  <a:srcRect/>
                  <a:stretch>
                    <a:fillRect/>
                  </a:stretch>
                </pic:blipFill>
                <pic:spPr>
                  <a:xfrm>
                    <a:off x="0" y="0"/>
                    <a:ext cx="291465" cy="234950"/>
                  </a:xfrm>
                  <a:prstGeom prst="rect">
                    <a:avLst/>
                  </a:prstGeom>
                  <a:noFill/>
                  <a:ln w="9525" cmpd="sng">
                    <a:noFill/>
                    <a:miter lim="800000"/>
                    <a:headEnd/>
                    <a:tailEnd/>
                  </a:ln>
                </pic:spPr>
              </pic:pic>
            </a:graphicData>
          </a:graphic>
        </wp:anchor>
      </w:drawing>
    </w:r>
    <w:r>
      <w:rPr>
        <w:rFonts w:hint="eastAsia" w:ascii="方正大标宋简体" w:hAnsi="方正大标宋简体" w:eastAsia="方正大标宋简体" w:cs="方正大标宋简体"/>
        <w:color w:val="C00000"/>
        <w:sz w:val="32"/>
        <w:szCs w:val="32"/>
      </w:rPr>
      <w:t xml:space="preserve">   </w:t>
    </w:r>
    <w:r>
      <w:rPr>
        <w:rFonts w:hint="eastAsia" w:ascii="方正大标宋简体" w:hAnsi="方正大标宋简体" w:eastAsia="方正大标宋简体" w:cs="方正大标宋简体"/>
        <w:color w:val="C00000"/>
        <w:sz w:val="21"/>
        <w:szCs w:val="21"/>
        <w:u w:val="single"/>
      </w:rPr>
      <w:t xml:space="preserve">优引力项管UINLE </w:t>
    </w:r>
    <w:r>
      <w:rPr>
        <w:rFonts w:hint="eastAsia" w:ascii="方正大标宋简体" w:hAnsi="方正大标宋简体" w:eastAsia="方正大标宋简体" w:cs="方正大标宋简体"/>
        <w:color w:val="C00000"/>
        <w:sz w:val="32"/>
        <w:szCs w:val="32"/>
        <w:u w:val="single"/>
      </w:rPr>
      <w:t xml:space="preserve">                         </w:t>
    </w:r>
    <w:r>
      <w:rPr>
        <w:rFonts w:hint="eastAsia" w:ascii="方正大标宋简体" w:hAnsi="方正大标宋简体" w:eastAsia="方正大标宋简体" w:cs="方正大标宋简体"/>
        <w:color w:val="C00000"/>
        <w:sz w:val="21"/>
        <w:szCs w:val="21"/>
        <w:u w:val="single"/>
      </w:rPr>
      <w:t xml:space="preserve">          </w:t>
    </w:r>
    <w:r>
      <w:rPr>
        <w:rFonts w:hint="eastAsia" w:ascii="方正大标宋简体" w:hAnsi="方正大标宋简体" w:eastAsia="方正大标宋简体" w:cs="方正大标宋简体"/>
        <w:color w:val="C00000"/>
        <w:szCs w:val="18"/>
        <w:u w:val="single"/>
      </w:rPr>
      <w:t xml:space="preserve">专业高效 诚信服务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510DD"/>
    <w:multiLevelType w:val="singleLevel"/>
    <w:tmpl w:val="F9A510DD"/>
    <w:lvl w:ilvl="0" w:tentative="0">
      <w:start w:val="6"/>
      <w:numFmt w:val="chineseCounting"/>
      <w:suff w:val="nothing"/>
      <w:lvlText w:val="%1、"/>
      <w:lvlJc w:val="left"/>
      <w:rPr>
        <w:rFonts w:hint="eastAsia"/>
      </w:rPr>
    </w:lvl>
  </w:abstractNum>
  <w:abstractNum w:abstractNumId="1">
    <w:nsid w:val="18C4C086"/>
    <w:multiLevelType w:val="singleLevel"/>
    <w:tmpl w:val="18C4C086"/>
    <w:lvl w:ilvl="0" w:tentative="0">
      <w:start w:val="8"/>
      <w:numFmt w:val="chineseCounting"/>
      <w:suff w:val="nothing"/>
      <w:lvlText w:val="%1、"/>
      <w:lvlJc w:val="left"/>
      <w:rPr>
        <w:rFonts w:hint="eastAsia"/>
      </w:rPr>
    </w:lvl>
  </w:abstractNum>
  <w:abstractNum w:abstractNumId="2">
    <w:nsid w:val="3E44D78D"/>
    <w:multiLevelType w:val="singleLevel"/>
    <w:tmpl w:val="3E44D78D"/>
    <w:lvl w:ilvl="0" w:tentative="0">
      <w:start w:val="7"/>
      <w:numFmt w:val="chineseCounting"/>
      <w:suff w:val="nothing"/>
      <w:lvlText w:val="%1、"/>
      <w:lvlJc w:val="left"/>
      <w:rPr>
        <w:rFonts w:hint="eastAsia"/>
      </w:rPr>
    </w:lvl>
  </w:abstractNum>
  <w:abstractNum w:abstractNumId="3">
    <w:nsid w:val="53C0F0B3"/>
    <w:multiLevelType w:val="singleLevel"/>
    <w:tmpl w:val="53C0F0B3"/>
    <w:lvl w:ilvl="0" w:tentative="0">
      <w:start w:val="2"/>
      <w:numFmt w:val="chineseCounting"/>
      <w:suff w:val="space"/>
      <w:lvlText w:val="第%1章"/>
      <w:lvlJc w:val="left"/>
      <w:rPr>
        <w:rFonts w:hint="eastAsia"/>
      </w:rPr>
    </w:lvl>
  </w:abstractNum>
  <w:abstractNum w:abstractNumId="4">
    <w:nsid w:val="5A309634"/>
    <w:multiLevelType w:val="singleLevel"/>
    <w:tmpl w:val="5A309634"/>
    <w:lvl w:ilvl="0" w:tentative="0">
      <w:start w:val="6"/>
      <w:numFmt w:val="chineseCounting"/>
      <w:suff w:val="space"/>
      <w:lvlText w:val="第%1章"/>
      <w:lvlJc w:val="left"/>
    </w:lvl>
  </w:abstractNum>
  <w:abstractNum w:abstractNumId="5">
    <w:nsid w:val="7211100C"/>
    <w:multiLevelType w:val="singleLevel"/>
    <w:tmpl w:val="7211100C"/>
    <w:lvl w:ilvl="0" w:tentative="0">
      <w:start w:val="1"/>
      <w:numFmt w:val="decimal"/>
      <w:suff w:val="nothing"/>
      <w:lvlText w:val="%1、"/>
      <w:lvlJc w:val="left"/>
    </w:lvl>
  </w:abstractNum>
  <w:abstractNum w:abstractNumId="6">
    <w:nsid w:val="74749EA1"/>
    <w:multiLevelType w:val="singleLevel"/>
    <w:tmpl w:val="74749EA1"/>
    <w:lvl w:ilvl="0" w:tentative="0">
      <w:start w:val="1"/>
      <w:numFmt w:val="decimal"/>
      <w:lvlText w:val="%1."/>
      <w:lvlJc w:val="left"/>
      <w:pPr>
        <w:ind w:left="425" w:hanging="425"/>
      </w:pPr>
      <w:rPr>
        <w:rFonts w:hint="default"/>
      </w:rPr>
    </w:lvl>
  </w:abstractNum>
  <w:abstractNum w:abstractNumId="7">
    <w:nsid w:val="777BC582"/>
    <w:multiLevelType w:val="singleLevel"/>
    <w:tmpl w:val="777BC582"/>
    <w:lvl w:ilvl="0" w:tentative="0">
      <w:start w:val="1"/>
      <w:numFmt w:val="chineseCounting"/>
      <w:suff w:val="nothing"/>
      <w:lvlText w:val="%1、"/>
      <w:lvlJc w:val="left"/>
      <w:rPr>
        <w:rFonts w:hint="eastAsia"/>
      </w:rPr>
    </w:lvl>
  </w:abstractNum>
  <w:abstractNum w:abstractNumId="8">
    <w:nsid w:val="7EA601D7"/>
    <w:multiLevelType w:val="singleLevel"/>
    <w:tmpl w:val="7EA601D7"/>
    <w:lvl w:ilvl="0" w:tentative="0">
      <w:start w:val="2"/>
      <w:numFmt w:val="decimal"/>
      <w:suff w:val="nothing"/>
      <w:lvlText w:val="%1、"/>
      <w:lvlJc w:val="left"/>
    </w:lvl>
  </w:abstractNum>
  <w:num w:numId="1">
    <w:abstractNumId w:val="1"/>
  </w:num>
  <w:num w:numId="2">
    <w:abstractNumId w:val="3"/>
  </w:num>
  <w:num w:numId="3">
    <w:abstractNumId w:val="5"/>
  </w:num>
  <w:num w:numId="4">
    <w:abstractNumId w:val="8"/>
  </w:num>
  <w:num w:numId="5">
    <w:abstractNumId w:val="0"/>
  </w:num>
  <w:num w:numId="6">
    <w:abstractNumId w:val="2"/>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3D"/>
    <w:rsid w:val="00032D59"/>
    <w:rsid w:val="00055567"/>
    <w:rsid w:val="000708EA"/>
    <w:rsid w:val="000756D4"/>
    <w:rsid w:val="0008300F"/>
    <w:rsid w:val="00086A82"/>
    <w:rsid w:val="000A70F2"/>
    <w:rsid w:val="000C0589"/>
    <w:rsid w:val="000C6FE5"/>
    <w:rsid w:val="000C70EA"/>
    <w:rsid w:val="000E3367"/>
    <w:rsid w:val="00102A98"/>
    <w:rsid w:val="00114138"/>
    <w:rsid w:val="00117668"/>
    <w:rsid w:val="0012768E"/>
    <w:rsid w:val="00134CD6"/>
    <w:rsid w:val="00153F4C"/>
    <w:rsid w:val="001611E9"/>
    <w:rsid w:val="001632F0"/>
    <w:rsid w:val="0018748A"/>
    <w:rsid w:val="00192970"/>
    <w:rsid w:val="001A6131"/>
    <w:rsid w:val="001B21C2"/>
    <w:rsid w:val="001F3FC9"/>
    <w:rsid w:val="0020344B"/>
    <w:rsid w:val="00217A8F"/>
    <w:rsid w:val="00270EB6"/>
    <w:rsid w:val="002833F5"/>
    <w:rsid w:val="002A436A"/>
    <w:rsid w:val="002A6078"/>
    <w:rsid w:val="002B05FE"/>
    <w:rsid w:val="002C01A0"/>
    <w:rsid w:val="002C0585"/>
    <w:rsid w:val="002D5F9E"/>
    <w:rsid w:val="0031241D"/>
    <w:rsid w:val="00320FEB"/>
    <w:rsid w:val="00331B80"/>
    <w:rsid w:val="00336265"/>
    <w:rsid w:val="00375AC8"/>
    <w:rsid w:val="00397FD6"/>
    <w:rsid w:val="003B2ABB"/>
    <w:rsid w:val="003B3589"/>
    <w:rsid w:val="003F163A"/>
    <w:rsid w:val="00445E84"/>
    <w:rsid w:val="00454BBA"/>
    <w:rsid w:val="004A4931"/>
    <w:rsid w:val="004B4C52"/>
    <w:rsid w:val="004B7BFE"/>
    <w:rsid w:val="004C0A4D"/>
    <w:rsid w:val="005001E3"/>
    <w:rsid w:val="00501D37"/>
    <w:rsid w:val="0050204C"/>
    <w:rsid w:val="0050622D"/>
    <w:rsid w:val="00527B70"/>
    <w:rsid w:val="00551D96"/>
    <w:rsid w:val="0055659A"/>
    <w:rsid w:val="00557BFD"/>
    <w:rsid w:val="00564F68"/>
    <w:rsid w:val="005748B9"/>
    <w:rsid w:val="00576AE5"/>
    <w:rsid w:val="005908A2"/>
    <w:rsid w:val="005A71A7"/>
    <w:rsid w:val="005C6939"/>
    <w:rsid w:val="005C7AC6"/>
    <w:rsid w:val="005E41B2"/>
    <w:rsid w:val="00617231"/>
    <w:rsid w:val="00653848"/>
    <w:rsid w:val="006548D4"/>
    <w:rsid w:val="00655500"/>
    <w:rsid w:val="006623A5"/>
    <w:rsid w:val="006A31F7"/>
    <w:rsid w:val="006B450F"/>
    <w:rsid w:val="006B66DC"/>
    <w:rsid w:val="006C125F"/>
    <w:rsid w:val="006C1CD3"/>
    <w:rsid w:val="00727581"/>
    <w:rsid w:val="007464D0"/>
    <w:rsid w:val="007468FC"/>
    <w:rsid w:val="0075502B"/>
    <w:rsid w:val="00772EF1"/>
    <w:rsid w:val="00784CC9"/>
    <w:rsid w:val="00796E14"/>
    <w:rsid w:val="007A14C0"/>
    <w:rsid w:val="007A683D"/>
    <w:rsid w:val="007B7C6A"/>
    <w:rsid w:val="007F4CF6"/>
    <w:rsid w:val="00815251"/>
    <w:rsid w:val="00821387"/>
    <w:rsid w:val="00824F7C"/>
    <w:rsid w:val="00844A66"/>
    <w:rsid w:val="00852670"/>
    <w:rsid w:val="00855CD0"/>
    <w:rsid w:val="00867BAA"/>
    <w:rsid w:val="008732D5"/>
    <w:rsid w:val="00884719"/>
    <w:rsid w:val="00885E4A"/>
    <w:rsid w:val="00893DAE"/>
    <w:rsid w:val="008A322F"/>
    <w:rsid w:val="008B218D"/>
    <w:rsid w:val="008D53B3"/>
    <w:rsid w:val="008F0FF9"/>
    <w:rsid w:val="00905233"/>
    <w:rsid w:val="00905E71"/>
    <w:rsid w:val="00923E47"/>
    <w:rsid w:val="00925122"/>
    <w:rsid w:val="00927FD3"/>
    <w:rsid w:val="009526EE"/>
    <w:rsid w:val="00954093"/>
    <w:rsid w:val="00987F59"/>
    <w:rsid w:val="00995EA5"/>
    <w:rsid w:val="00997045"/>
    <w:rsid w:val="009A302A"/>
    <w:rsid w:val="009C39E7"/>
    <w:rsid w:val="009C74DB"/>
    <w:rsid w:val="009C772F"/>
    <w:rsid w:val="009E53FB"/>
    <w:rsid w:val="00A1161F"/>
    <w:rsid w:val="00A45347"/>
    <w:rsid w:val="00A4593D"/>
    <w:rsid w:val="00A55614"/>
    <w:rsid w:val="00A662E0"/>
    <w:rsid w:val="00A83A77"/>
    <w:rsid w:val="00A96808"/>
    <w:rsid w:val="00AA20FB"/>
    <w:rsid w:val="00AA7C75"/>
    <w:rsid w:val="00AB0362"/>
    <w:rsid w:val="00AD1F22"/>
    <w:rsid w:val="00AE141B"/>
    <w:rsid w:val="00AF390E"/>
    <w:rsid w:val="00B018FF"/>
    <w:rsid w:val="00B06BAC"/>
    <w:rsid w:val="00B344F0"/>
    <w:rsid w:val="00B3458B"/>
    <w:rsid w:val="00B37247"/>
    <w:rsid w:val="00B42921"/>
    <w:rsid w:val="00B47787"/>
    <w:rsid w:val="00B55B75"/>
    <w:rsid w:val="00B70CA1"/>
    <w:rsid w:val="00B710D0"/>
    <w:rsid w:val="00B71807"/>
    <w:rsid w:val="00B80536"/>
    <w:rsid w:val="00B92B0F"/>
    <w:rsid w:val="00B9496B"/>
    <w:rsid w:val="00BA0A30"/>
    <w:rsid w:val="00BB0104"/>
    <w:rsid w:val="00BE2661"/>
    <w:rsid w:val="00BF6873"/>
    <w:rsid w:val="00BF78E0"/>
    <w:rsid w:val="00C06829"/>
    <w:rsid w:val="00C10992"/>
    <w:rsid w:val="00C2332A"/>
    <w:rsid w:val="00C82AEE"/>
    <w:rsid w:val="00C85215"/>
    <w:rsid w:val="00CA6791"/>
    <w:rsid w:val="00CC4592"/>
    <w:rsid w:val="00CC644E"/>
    <w:rsid w:val="00CC7A77"/>
    <w:rsid w:val="00CD2ED8"/>
    <w:rsid w:val="00CD3233"/>
    <w:rsid w:val="00CF770D"/>
    <w:rsid w:val="00D011BF"/>
    <w:rsid w:val="00D04C01"/>
    <w:rsid w:val="00D20914"/>
    <w:rsid w:val="00D263E0"/>
    <w:rsid w:val="00D460D5"/>
    <w:rsid w:val="00D51ED2"/>
    <w:rsid w:val="00D5697A"/>
    <w:rsid w:val="00D715C0"/>
    <w:rsid w:val="00D74A13"/>
    <w:rsid w:val="00D74F13"/>
    <w:rsid w:val="00D805D4"/>
    <w:rsid w:val="00D83FC0"/>
    <w:rsid w:val="00D84E6D"/>
    <w:rsid w:val="00D97539"/>
    <w:rsid w:val="00DD4CCC"/>
    <w:rsid w:val="00DE7B45"/>
    <w:rsid w:val="00E01326"/>
    <w:rsid w:val="00E03AA0"/>
    <w:rsid w:val="00E061B7"/>
    <w:rsid w:val="00E27026"/>
    <w:rsid w:val="00E31C09"/>
    <w:rsid w:val="00E41696"/>
    <w:rsid w:val="00E46F42"/>
    <w:rsid w:val="00E61C7C"/>
    <w:rsid w:val="00E6529C"/>
    <w:rsid w:val="00E67B3E"/>
    <w:rsid w:val="00E67CEE"/>
    <w:rsid w:val="00E96E3F"/>
    <w:rsid w:val="00E974A7"/>
    <w:rsid w:val="00EE192F"/>
    <w:rsid w:val="00EE2044"/>
    <w:rsid w:val="00F27388"/>
    <w:rsid w:val="00F50A20"/>
    <w:rsid w:val="00F55521"/>
    <w:rsid w:val="00F60105"/>
    <w:rsid w:val="00F75689"/>
    <w:rsid w:val="00FA038C"/>
    <w:rsid w:val="00FA41A9"/>
    <w:rsid w:val="00FA63F2"/>
    <w:rsid w:val="00FC5AC5"/>
    <w:rsid w:val="00FD287D"/>
    <w:rsid w:val="00FD66A9"/>
    <w:rsid w:val="00FE186B"/>
    <w:rsid w:val="03466773"/>
    <w:rsid w:val="04BD504B"/>
    <w:rsid w:val="050E4970"/>
    <w:rsid w:val="053573BC"/>
    <w:rsid w:val="057E75E8"/>
    <w:rsid w:val="05A74776"/>
    <w:rsid w:val="065B6626"/>
    <w:rsid w:val="0662250D"/>
    <w:rsid w:val="06E241C1"/>
    <w:rsid w:val="06E75916"/>
    <w:rsid w:val="075A521A"/>
    <w:rsid w:val="083509DC"/>
    <w:rsid w:val="091631E4"/>
    <w:rsid w:val="0968446C"/>
    <w:rsid w:val="096C0442"/>
    <w:rsid w:val="09715EFA"/>
    <w:rsid w:val="09880AD8"/>
    <w:rsid w:val="0B140E5C"/>
    <w:rsid w:val="0B283148"/>
    <w:rsid w:val="0B4D3F9F"/>
    <w:rsid w:val="0BF13BD0"/>
    <w:rsid w:val="0C0674F1"/>
    <w:rsid w:val="0C450FAE"/>
    <w:rsid w:val="0CEA73DF"/>
    <w:rsid w:val="0CFD3106"/>
    <w:rsid w:val="0E1F47BE"/>
    <w:rsid w:val="0E3F4373"/>
    <w:rsid w:val="0F204EED"/>
    <w:rsid w:val="0FAB6CF6"/>
    <w:rsid w:val="1045373D"/>
    <w:rsid w:val="106B74E1"/>
    <w:rsid w:val="113E56B4"/>
    <w:rsid w:val="11751EE9"/>
    <w:rsid w:val="11A413B7"/>
    <w:rsid w:val="13F541E0"/>
    <w:rsid w:val="13FF178F"/>
    <w:rsid w:val="141A7136"/>
    <w:rsid w:val="148C271A"/>
    <w:rsid w:val="1503730D"/>
    <w:rsid w:val="151C338A"/>
    <w:rsid w:val="15546995"/>
    <w:rsid w:val="161A39EA"/>
    <w:rsid w:val="164973BC"/>
    <w:rsid w:val="167856D9"/>
    <w:rsid w:val="173D66F2"/>
    <w:rsid w:val="17DC532F"/>
    <w:rsid w:val="18FC20AF"/>
    <w:rsid w:val="19731B79"/>
    <w:rsid w:val="1A0F21AA"/>
    <w:rsid w:val="1A361C49"/>
    <w:rsid w:val="1A4D7935"/>
    <w:rsid w:val="1AF401ED"/>
    <w:rsid w:val="1AF54242"/>
    <w:rsid w:val="1B581601"/>
    <w:rsid w:val="1B5A7E00"/>
    <w:rsid w:val="1BC62435"/>
    <w:rsid w:val="1BF24592"/>
    <w:rsid w:val="1CD35B94"/>
    <w:rsid w:val="1D33777F"/>
    <w:rsid w:val="1D5F3149"/>
    <w:rsid w:val="1E5A7AAD"/>
    <w:rsid w:val="1E626810"/>
    <w:rsid w:val="1E715B93"/>
    <w:rsid w:val="1EA238A1"/>
    <w:rsid w:val="1F3A2F6E"/>
    <w:rsid w:val="2014525B"/>
    <w:rsid w:val="21BC17C7"/>
    <w:rsid w:val="21EE38EF"/>
    <w:rsid w:val="224035F5"/>
    <w:rsid w:val="238F503C"/>
    <w:rsid w:val="239B5299"/>
    <w:rsid w:val="23A27D9A"/>
    <w:rsid w:val="23EE0253"/>
    <w:rsid w:val="23FE7287"/>
    <w:rsid w:val="24246219"/>
    <w:rsid w:val="244A5764"/>
    <w:rsid w:val="24907B8E"/>
    <w:rsid w:val="24B37A79"/>
    <w:rsid w:val="24EC18B7"/>
    <w:rsid w:val="26344C72"/>
    <w:rsid w:val="26C75C91"/>
    <w:rsid w:val="27AF77E8"/>
    <w:rsid w:val="284B0CE3"/>
    <w:rsid w:val="2B0C287C"/>
    <w:rsid w:val="2B205770"/>
    <w:rsid w:val="2BB97180"/>
    <w:rsid w:val="2C00366D"/>
    <w:rsid w:val="2C432A0B"/>
    <w:rsid w:val="2C5300D5"/>
    <w:rsid w:val="2C736BC9"/>
    <w:rsid w:val="2D046563"/>
    <w:rsid w:val="2D297E24"/>
    <w:rsid w:val="2D42256E"/>
    <w:rsid w:val="2DE50909"/>
    <w:rsid w:val="2E583026"/>
    <w:rsid w:val="2E5A3EF1"/>
    <w:rsid w:val="2EE72320"/>
    <w:rsid w:val="2EE8455C"/>
    <w:rsid w:val="2EEE2753"/>
    <w:rsid w:val="2FE60929"/>
    <w:rsid w:val="2FF5305E"/>
    <w:rsid w:val="30477CB2"/>
    <w:rsid w:val="31186171"/>
    <w:rsid w:val="31274B61"/>
    <w:rsid w:val="314B29C9"/>
    <w:rsid w:val="31DF74C8"/>
    <w:rsid w:val="329D471E"/>
    <w:rsid w:val="32CD0B60"/>
    <w:rsid w:val="32FF1B2B"/>
    <w:rsid w:val="336A6D27"/>
    <w:rsid w:val="33DF7B09"/>
    <w:rsid w:val="33EB79FC"/>
    <w:rsid w:val="356A618B"/>
    <w:rsid w:val="36530971"/>
    <w:rsid w:val="36610C56"/>
    <w:rsid w:val="36AF31AC"/>
    <w:rsid w:val="36B829B3"/>
    <w:rsid w:val="37164A4E"/>
    <w:rsid w:val="37621D87"/>
    <w:rsid w:val="379B0235"/>
    <w:rsid w:val="37B07405"/>
    <w:rsid w:val="37B72942"/>
    <w:rsid w:val="37D36188"/>
    <w:rsid w:val="37E64FCC"/>
    <w:rsid w:val="38CD3906"/>
    <w:rsid w:val="38DB70E7"/>
    <w:rsid w:val="393F3379"/>
    <w:rsid w:val="39D8719A"/>
    <w:rsid w:val="3AD00D4A"/>
    <w:rsid w:val="3AD16F1E"/>
    <w:rsid w:val="3B413DD4"/>
    <w:rsid w:val="3BCE25E6"/>
    <w:rsid w:val="3C017E7B"/>
    <w:rsid w:val="3C1B106D"/>
    <w:rsid w:val="3D731356"/>
    <w:rsid w:val="3E571E98"/>
    <w:rsid w:val="3EC929AD"/>
    <w:rsid w:val="3F01587F"/>
    <w:rsid w:val="3F7B16D6"/>
    <w:rsid w:val="3FAF6638"/>
    <w:rsid w:val="40253575"/>
    <w:rsid w:val="40876F2A"/>
    <w:rsid w:val="41BF4232"/>
    <w:rsid w:val="43884673"/>
    <w:rsid w:val="43D12ED2"/>
    <w:rsid w:val="440A6E47"/>
    <w:rsid w:val="454A3668"/>
    <w:rsid w:val="45E60474"/>
    <w:rsid w:val="460F4CB8"/>
    <w:rsid w:val="460F5E3D"/>
    <w:rsid w:val="46886E13"/>
    <w:rsid w:val="46CE0949"/>
    <w:rsid w:val="475E30AF"/>
    <w:rsid w:val="475F03B5"/>
    <w:rsid w:val="478D2256"/>
    <w:rsid w:val="47944E41"/>
    <w:rsid w:val="47BA2AA2"/>
    <w:rsid w:val="482B5C12"/>
    <w:rsid w:val="48CD66D0"/>
    <w:rsid w:val="49EB0651"/>
    <w:rsid w:val="4B18487A"/>
    <w:rsid w:val="4BFB2CBA"/>
    <w:rsid w:val="4CC3250A"/>
    <w:rsid w:val="4CE6400E"/>
    <w:rsid w:val="4D205968"/>
    <w:rsid w:val="4D5670A7"/>
    <w:rsid w:val="4DC84106"/>
    <w:rsid w:val="4DF73079"/>
    <w:rsid w:val="4E205BA2"/>
    <w:rsid w:val="4E540763"/>
    <w:rsid w:val="4EA24417"/>
    <w:rsid w:val="4EA371C1"/>
    <w:rsid w:val="4F3F475B"/>
    <w:rsid w:val="4F476B25"/>
    <w:rsid w:val="4F5D7111"/>
    <w:rsid w:val="4F602EED"/>
    <w:rsid w:val="4F8E36B5"/>
    <w:rsid w:val="4FBE7130"/>
    <w:rsid w:val="5028783C"/>
    <w:rsid w:val="505F1EFD"/>
    <w:rsid w:val="513D1102"/>
    <w:rsid w:val="51524127"/>
    <w:rsid w:val="519A03E7"/>
    <w:rsid w:val="51BA5CDF"/>
    <w:rsid w:val="52357EA9"/>
    <w:rsid w:val="523978C1"/>
    <w:rsid w:val="523F0755"/>
    <w:rsid w:val="52D379D8"/>
    <w:rsid w:val="52D77594"/>
    <w:rsid w:val="52EA1475"/>
    <w:rsid w:val="53B034DF"/>
    <w:rsid w:val="54602A70"/>
    <w:rsid w:val="55E56CF8"/>
    <w:rsid w:val="563D07A6"/>
    <w:rsid w:val="56515193"/>
    <w:rsid w:val="56853466"/>
    <w:rsid w:val="56E45628"/>
    <w:rsid w:val="571425CA"/>
    <w:rsid w:val="574364C1"/>
    <w:rsid w:val="58054E92"/>
    <w:rsid w:val="58192BE5"/>
    <w:rsid w:val="58366927"/>
    <w:rsid w:val="5906529E"/>
    <w:rsid w:val="5A812E59"/>
    <w:rsid w:val="5B1B3268"/>
    <w:rsid w:val="5B68111D"/>
    <w:rsid w:val="5B842591"/>
    <w:rsid w:val="5B9C24F1"/>
    <w:rsid w:val="5BE1620B"/>
    <w:rsid w:val="5BF63735"/>
    <w:rsid w:val="5CFB033E"/>
    <w:rsid w:val="5D325C21"/>
    <w:rsid w:val="5DA937A0"/>
    <w:rsid w:val="5DC13907"/>
    <w:rsid w:val="5E601738"/>
    <w:rsid w:val="5EAD24B3"/>
    <w:rsid w:val="5F111CCC"/>
    <w:rsid w:val="5F2447E2"/>
    <w:rsid w:val="5F6E1233"/>
    <w:rsid w:val="60245BE9"/>
    <w:rsid w:val="607B0F4B"/>
    <w:rsid w:val="61885E14"/>
    <w:rsid w:val="61D640C8"/>
    <w:rsid w:val="623F5EE0"/>
    <w:rsid w:val="62427AEB"/>
    <w:rsid w:val="62B74C60"/>
    <w:rsid w:val="63245C7D"/>
    <w:rsid w:val="634C4EAC"/>
    <w:rsid w:val="6445786C"/>
    <w:rsid w:val="64AF3CA5"/>
    <w:rsid w:val="64DA7287"/>
    <w:rsid w:val="657C76B7"/>
    <w:rsid w:val="65AC726A"/>
    <w:rsid w:val="65C02314"/>
    <w:rsid w:val="664E2B45"/>
    <w:rsid w:val="678363EB"/>
    <w:rsid w:val="67842155"/>
    <w:rsid w:val="67AC14B0"/>
    <w:rsid w:val="68567627"/>
    <w:rsid w:val="69E14866"/>
    <w:rsid w:val="6A392C94"/>
    <w:rsid w:val="6ABD6F08"/>
    <w:rsid w:val="6AE55022"/>
    <w:rsid w:val="6AF847BB"/>
    <w:rsid w:val="6D32594E"/>
    <w:rsid w:val="6E303D9B"/>
    <w:rsid w:val="6E850E6D"/>
    <w:rsid w:val="6ED57412"/>
    <w:rsid w:val="6FAE50CB"/>
    <w:rsid w:val="6FEE0EBC"/>
    <w:rsid w:val="6FF313B5"/>
    <w:rsid w:val="70E104D6"/>
    <w:rsid w:val="71701813"/>
    <w:rsid w:val="71F3630E"/>
    <w:rsid w:val="72E676C5"/>
    <w:rsid w:val="72FE76AB"/>
    <w:rsid w:val="73193E76"/>
    <w:rsid w:val="73554F9F"/>
    <w:rsid w:val="73AA2969"/>
    <w:rsid w:val="74796B17"/>
    <w:rsid w:val="74A77D79"/>
    <w:rsid w:val="74BB2C8C"/>
    <w:rsid w:val="74EE2280"/>
    <w:rsid w:val="75920972"/>
    <w:rsid w:val="75C66D07"/>
    <w:rsid w:val="75FC369F"/>
    <w:rsid w:val="76C0782C"/>
    <w:rsid w:val="76FE2417"/>
    <w:rsid w:val="77AF63C2"/>
    <w:rsid w:val="788A03B7"/>
    <w:rsid w:val="788D0355"/>
    <w:rsid w:val="788F2782"/>
    <w:rsid w:val="79AC0291"/>
    <w:rsid w:val="79D85CE8"/>
    <w:rsid w:val="79E82FE6"/>
    <w:rsid w:val="79EA5D98"/>
    <w:rsid w:val="79EB5248"/>
    <w:rsid w:val="7A322C02"/>
    <w:rsid w:val="7A465828"/>
    <w:rsid w:val="7AC6627A"/>
    <w:rsid w:val="7AF65F04"/>
    <w:rsid w:val="7AF718E4"/>
    <w:rsid w:val="7B057851"/>
    <w:rsid w:val="7B860A61"/>
    <w:rsid w:val="7D3F19A5"/>
    <w:rsid w:val="7E592D8D"/>
    <w:rsid w:val="7F4108E0"/>
    <w:rsid w:val="7F8E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7"/>
    <w:basedOn w:val="1"/>
    <w:next w:val="1"/>
    <w:qFormat/>
    <w:uiPriority w:val="1"/>
    <w:pPr>
      <w:ind w:left="2041"/>
      <w:outlineLvl w:val="6"/>
    </w:pPr>
    <w:rPr>
      <w:rFonts w:ascii="仿宋" w:hAnsi="仿宋" w:eastAsia="仿宋" w:cs="仿宋"/>
      <w:b/>
      <w:bCs/>
      <w:sz w:val="24"/>
      <w:lang w:val="zh-CN" w:bidi="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toc 7"/>
    <w:basedOn w:val="1"/>
    <w:next w:val="1"/>
    <w:qFormat/>
    <w:uiPriority w:val="0"/>
    <w:pPr>
      <w:ind w:left="2520" w:leftChars="1200"/>
    </w:pPr>
  </w:style>
  <w:style w:type="paragraph" w:styleId="8">
    <w:name w:val="Normal Indent"/>
    <w:basedOn w:val="1"/>
    <w:qFormat/>
    <w:uiPriority w:val="0"/>
    <w:pPr>
      <w:ind w:firstLine="200" w:firstLineChars="200"/>
    </w:pPr>
  </w:style>
  <w:style w:type="paragraph" w:styleId="9">
    <w:name w:val="Document Map"/>
    <w:basedOn w:val="1"/>
    <w:link w:val="35"/>
    <w:qFormat/>
    <w:uiPriority w:val="0"/>
    <w:rPr>
      <w:rFonts w:ascii="宋体"/>
      <w:sz w:val="18"/>
      <w:szCs w:val="18"/>
    </w:rPr>
  </w:style>
  <w:style w:type="paragraph" w:styleId="10">
    <w:name w:val="annotation text"/>
    <w:basedOn w:val="1"/>
    <w:link w:val="36"/>
    <w:qFormat/>
    <w:uiPriority w:val="0"/>
    <w:pPr>
      <w:jc w:val="left"/>
    </w:pPr>
  </w:style>
  <w:style w:type="paragraph" w:styleId="11">
    <w:name w:val="Body Text Indent"/>
    <w:basedOn w:val="1"/>
    <w:qFormat/>
    <w:uiPriority w:val="0"/>
    <w:pPr>
      <w:ind w:firstLine="630"/>
    </w:pPr>
    <w:rPr>
      <w:sz w:val="32"/>
      <w:szCs w:val="20"/>
    </w:rPr>
  </w:style>
  <w:style w:type="paragraph" w:styleId="12">
    <w:name w:val="toc 5"/>
    <w:basedOn w:val="1"/>
    <w:next w:val="1"/>
    <w:qFormat/>
    <w:uiPriority w:val="0"/>
    <w:pPr>
      <w:ind w:left="1680" w:leftChars="800"/>
    </w:p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rPr>
  </w:style>
  <w:style w:type="paragraph" w:styleId="15">
    <w:name w:val="toc 8"/>
    <w:basedOn w:val="1"/>
    <w:next w:val="1"/>
    <w:qFormat/>
    <w:uiPriority w:val="0"/>
    <w:pPr>
      <w:ind w:left="2940" w:leftChars="1400"/>
    </w:p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40"/>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toc 6"/>
    <w:basedOn w:val="1"/>
    <w:next w:val="1"/>
    <w:qFormat/>
    <w:uiPriority w:val="0"/>
    <w:pPr>
      <w:ind w:left="2100" w:leftChars="1000"/>
    </w:p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Normal (Web)"/>
    <w:basedOn w:val="1"/>
    <w:qFormat/>
    <w:uiPriority w:val="99"/>
    <w:pPr>
      <w:widowControl/>
      <w:spacing w:before="100" w:beforeAutospacing="1" w:after="100" w:afterAutospacing="1"/>
      <w:jc w:val="left"/>
    </w:pPr>
    <w:rPr>
      <w:rFonts w:ascii="宋体"/>
      <w:kern w:val="0"/>
      <w:sz w:val="18"/>
      <w:szCs w:val="18"/>
    </w:rPr>
  </w:style>
  <w:style w:type="paragraph" w:styleId="26">
    <w:name w:val="annotation subject"/>
    <w:basedOn w:val="10"/>
    <w:next w:val="10"/>
    <w:link w:val="37"/>
    <w:qFormat/>
    <w:uiPriority w:val="0"/>
    <w:rPr>
      <w:b/>
      <w:bCs/>
    </w:rPr>
  </w:style>
  <w:style w:type="paragraph" w:styleId="27">
    <w:name w:val="Body Text First Indent"/>
    <w:basedOn w:val="2"/>
    <w:qFormat/>
    <w:uiPriority w:val="0"/>
    <w:pPr>
      <w:ind w:firstLine="420" w:firstLineChars="1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qFormat/>
    <w:uiPriority w:val="0"/>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5">
    <w:name w:val="文档结构图 Char"/>
    <w:link w:val="9"/>
    <w:qFormat/>
    <w:uiPriority w:val="0"/>
    <w:rPr>
      <w:rFonts w:ascii="宋体"/>
      <w:kern w:val="2"/>
      <w:sz w:val="18"/>
      <w:szCs w:val="18"/>
    </w:rPr>
  </w:style>
  <w:style w:type="character" w:customStyle="1" w:styleId="36">
    <w:name w:val="批注文字 Char"/>
    <w:link w:val="10"/>
    <w:qFormat/>
    <w:uiPriority w:val="0"/>
    <w:rPr>
      <w:kern w:val="2"/>
      <w:sz w:val="21"/>
      <w:szCs w:val="24"/>
    </w:rPr>
  </w:style>
  <w:style w:type="character" w:customStyle="1" w:styleId="37">
    <w:name w:val="批注主题 Char"/>
    <w:link w:val="26"/>
    <w:qFormat/>
    <w:uiPriority w:val="0"/>
    <w:rPr>
      <w:b/>
      <w:bCs/>
      <w:kern w:val="2"/>
      <w:sz w:val="21"/>
      <w:szCs w:val="24"/>
    </w:rPr>
  </w:style>
  <w:style w:type="character" w:customStyle="1" w:styleId="38">
    <w:name w:val="font111"/>
    <w:qFormat/>
    <w:uiPriority w:val="0"/>
    <w:rPr>
      <w:rFonts w:hint="default" w:ascii="Eʩ" w:hAnsi="Eʩ" w:eastAsia="Eʩ" w:cs="Eʩ"/>
      <w:color w:val="000000"/>
      <w:sz w:val="21"/>
      <w:szCs w:val="21"/>
      <w:u w:val="single"/>
    </w:rPr>
  </w:style>
  <w:style w:type="character" w:customStyle="1" w:styleId="39">
    <w:name w:val="font101"/>
    <w:qFormat/>
    <w:uiPriority w:val="0"/>
    <w:rPr>
      <w:rFonts w:hint="eastAsia" w:ascii="宋体" w:hAnsi="宋体" w:eastAsia="宋体" w:cs="宋体"/>
      <w:color w:val="000000"/>
      <w:sz w:val="21"/>
      <w:szCs w:val="21"/>
      <w:u w:val="single"/>
    </w:rPr>
  </w:style>
  <w:style w:type="character" w:customStyle="1" w:styleId="40">
    <w:name w:val="批注框文本 Char"/>
    <w:link w:val="17"/>
    <w:qFormat/>
    <w:uiPriority w:val="0"/>
    <w:rPr>
      <w:kern w:val="2"/>
      <w:sz w:val="18"/>
      <w:szCs w:val="18"/>
    </w:rPr>
  </w:style>
  <w:style w:type="character" w:customStyle="1" w:styleId="41">
    <w:name w:val="font91"/>
    <w:qFormat/>
    <w:uiPriority w:val="0"/>
    <w:rPr>
      <w:rFonts w:hint="eastAsia" w:ascii="宋体" w:hAnsi="宋体" w:eastAsia="宋体" w:cs="宋体"/>
      <w:color w:val="FF0000"/>
      <w:sz w:val="21"/>
      <w:szCs w:val="21"/>
      <w:u w:val="single"/>
    </w:rPr>
  </w:style>
  <w:style w:type="character" w:customStyle="1" w:styleId="42">
    <w:name w:val="标题 1 Char"/>
    <w:link w:val="3"/>
    <w:qFormat/>
    <w:uiPriority w:val="0"/>
    <w:rPr>
      <w:b/>
      <w:bCs/>
      <w:kern w:val="44"/>
      <w:sz w:val="44"/>
      <w:szCs w:val="44"/>
    </w:rPr>
  </w:style>
  <w:style w:type="character" w:customStyle="1" w:styleId="43">
    <w:name w:val="font01"/>
    <w:qFormat/>
    <w:uiPriority w:val="0"/>
    <w:rPr>
      <w:rFonts w:hint="eastAsia" w:ascii="宋体" w:hAnsi="宋体" w:eastAsia="宋体" w:cs="宋体"/>
      <w:color w:val="000000"/>
      <w:sz w:val="21"/>
      <w:szCs w:val="21"/>
      <w:u w:val="none"/>
    </w:rPr>
  </w:style>
  <w:style w:type="character" w:customStyle="1" w:styleId="44">
    <w:name w:val="font61"/>
    <w:qFormat/>
    <w:uiPriority w:val="0"/>
    <w:rPr>
      <w:rFonts w:hint="eastAsia" w:ascii="宋体" w:hAnsi="宋体" w:eastAsia="宋体" w:cs="宋体"/>
      <w:color w:val="000000"/>
      <w:sz w:val="22"/>
      <w:szCs w:val="22"/>
      <w:u w:val="none"/>
    </w:rPr>
  </w:style>
  <w:style w:type="character" w:customStyle="1" w:styleId="45">
    <w:name w:val="font31"/>
    <w:qFormat/>
    <w:uiPriority w:val="0"/>
    <w:rPr>
      <w:rFonts w:hint="eastAsia" w:ascii="宋体" w:hAnsi="宋体" w:eastAsia="宋体" w:cs="宋体"/>
      <w:color w:val="000000"/>
      <w:sz w:val="21"/>
      <w:szCs w:val="21"/>
      <w:u w:val="none"/>
    </w:rPr>
  </w:style>
  <w:style w:type="character" w:customStyle="1" w:styleId="46">
    <w:name w:val="font21"/>
    <w:qFormat/>
    <w:uiPriority w:val="0"/>
    <w:rPr>
      <w:rFonts w:hint="default" w:ascii="Calibri" w:hAnsi="Calibri" w:eastAsia="宋体" w:cs="Calibri"/>
      <w:color w:val="000000"/>
      <w:sz w:val="21"/>
      <w:szCs w:val="21"/>
      <w:u w:val="none"/>
    </w:rPr>
  </w:style>
  <w:style w:type="character" w:customStyle="1" w:styleId="47">
    <w:name w:val="font71"/>
    <w:qFormat/>
    <w:uiPriority w:val="0"/>
    <w:rPr>
      <w:rFonts w:hint="eastAsia" w:ascii="宋体" w:hAnsi="宋体" w:eastAsia="宋体" w:cs="宋体"/>
      <w:color w:val="000000"/>
      <w:sz w:val="22"/>
      <w:szCs w:val="22"/>
      <w:u w:val="none"/>
      <w:vertAlign w:val="superscript"/>
    </w:rPr>
  </w:style>
  <w:style w:type="paragraph" w:customStyle="1" w:styleId="48">
    <w:name w:val="正文首行缩进两字符"/>
    <w:basedOn w:val="1"/>
    <w:qFormat/>
    <w:uiPriority w:val="0"/>
    <w:pPr>
      <w:spacing w:line="360" w:lineRule="auto"/>
      <w:ind w:firstLine="200" w:firstLineChars="200"/>
    </w:pPr>
  </w:style>
  <w:style w:type="paragraph" w:customStyle="1" w:styleId="49">
    <w:name w:val="正文1"/>
    <w:qFormat/>
    <w:uiPriority w:val="99"/>
    <w:pPr>
      <w:widowControl w:val="0"/>
      <w:jc w:val="both"/>
    </w:pPr>
    <w:rPr>
      <w:rFonts w:ascii="Arial Unicode MS" w:hAnsi="Arial Unicode MS" w:eastAsia="Times New Roman" w:cs="Times New Roman"/>
      <w:color w:val="000000"/>
      <w:kern w:val="2"/>
      <w:sz w:val="21"/>
      <w:szCs w:val="21"/>
      <w:lang w:val="zh-TW" w:eastAsia="zh-TW" w:bidi="ar-SA"/>
    </w:rPr>
  </w:style>
  <w:style w:type="paragraph" w:customStyle="1" w:styleId="5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1">
    <w:name w:val="列出段落1"/>
    <w:basedOn w:val="1"/>
    <w:qFormat/>
    <w:uiPriority w:val="0"/>
    <w:pPr>
      <w:ind w:firstLine="420" w:firstLineChars="200"/>
    </w:pPr>
  </w:style>
  <w:style w:type="paragraph" w:customStyle="1" w:styleId="52">
    <w:name w:val="内容2"/>
    <w:basedOn w:val="1"/>
    <w:qFormat/>
    <w:uiPriority w:val="0"/>
    <w:pPr>
      <w:tabs>
        <w:tab w:val="left" w:pos="420"/>
        <w:tab w:val="left" w:pos="425"/>
      </w:tabs>
      <w:spacing w:after="156" w:line="400" w:lineRule="exact"/>
    </w:pPr>
    <w:rPr>
      <w:rFonts w:ascii="宋体" w:hAnsi="宋体"/>
      <w:sz w:val="24"/>
      <w:szCs w:val="20"/>
    </w:rPr>
  </w:style>
  <w:style w:type="paragraph" w:customStyle="1" w:styleId="53">
    <w:name w:val="_Style 2"/>
    <w:basedOn w:val="1"/>
    <w:qFormat/>
    <w:uiPriority w:val="0"/>
    <w:pPr>
      <w:ind w:firstLine="420" w:firstLineChars="200"/>
    </w:pPr>
    <w:rPr>
      <w:sz w:val="18"/>
      <w:szCs w:val="18"/>
    </w:rPr>
  </w:style>
  <w:style w:type="paragraph" w:customStyle="1" w:styleId="5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5">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56">
    <w:name w:val="样式 首行缩进:  2 字符"/>
    <w:basedOn w:val="1"/>
    <w:qFormat/>
    <w:uiPriority w:val="0"/>
    <w:pPr>
      <w:spacing w:line="400" w:lineRule="exact"/>
      <w:ind w:firstLine="200" w:firstLineChars="200"/>
    </w:pPr>
    <w:rPr>
      <w:rFonts w:cs="宋体"/>
      <w:sz w:val="24"/>
    </w:rPr>
  </w:style>
  <w:style w:type="character" w:customStyle="1" w:styleId="57">
    <w:name w:val="modifier"/>
    <w:basedOn w:val="30"/>
    <w:qFormat/>
    <w:uiPriority w:val="99"/>
    <w:rPr>
      <w:color w:val="FF0000"/>
    </w:rPr>
  </w:style>
  <w:style w:type="character" w:customStyle="1" w:styleId="58">
    <w:name w:val="标题 2 Char"/>
    <w:basedOn w:val="30"/>
    <w:link w:val="4"/>
    <w:qFormat/>
    <w:uiPriority w:val="0"/>
    <w:rPr>
      <w:rFonts w:ascii="Arial" w:hAnsi="Arial" w:eastAsia="黑体"/>
      <w:b/>
      <w:bCs/>
      <w:kern w:val="2"/>
      <w:sz w:val="32"/>
      <w:szCs w:val="32"/>
    </w:rPr>
  </w:style>
  <w:style w:type="table" w:customStyle="1" w:styleId="59">
    <w:name w:val="Table Normal"/>
    <w:unhideWhenUsed/>
    <w:qFormat/>
    <w:uiPriority w:val="0"/>
    <w:tblPr>
      <w:tblCellMar>
        <w:top w:w="0" w:type="dxa"/>
        <w:left w:w="0" w:type="dxa"/>
        <w:bottom w:w="0" w:type="dxa"/>
        <w:right w:w="0" w:type="dxa"/>
      </w:tblCellMar>
    </w:tblPr>
  </w:style>
  <w:style w:type="paragraph" w:styleId="60">
    <w:name w:val="List Paragraph"/>
    <w:basedOn w:val="1"/>
    <w:qFormat/>
    <w:uiPriority w:val="1"/>
    <w:pPr>
      <w:ind w:left="1194" w:firstLine="480"/>
    </w:pPr>
    <w:rPr>
      <w:rFonts w:ascii="仿宋" w:hAnsi="仿宋" w:eastAsia="仿宋" w:cs="仿宋"/>
      <w:lang w:val="zh-CN" w:bidi="zh-CN"/>
    </w:rPr>
  </w:style>
  <w:style w:type="paragraph" w:customStyle="1" w:styleId="61">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5785</Words>
  <Characters>32981</Characters>
  <Lines>274</Lines>
  <Paragraphs>77</Paragraphs>
  <TotalTime>0</TotalTime>
  <ScaleCrop>false</ScaleCrop>
  <LinksUpToDate>false</LinksUpToDate>
  <CharactersWithSpaces>38689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2021-10-26T07:36:00Z</dcterms:created>
  <dc:creator>s</dc:creator>
  <cp:lastModifiedBy>随风奔跑</cp:lastModifiedBy>
  <dcterms:modified xsi:type="dcterms:W3CDTF">2021-11-04T06:26:29Z</dcterms:modified>
  <dc:title>招标编号：xxxx [xxxx] 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E46273CE71684D79B9993D22320863A9</vt:lpwstr>
  </property>
</Properties>
</file>