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8"/>
        <w:tabs>
          <w:tab w:val="right" w:leader="dot" w:pos="9724"/>
        </w:tabs>
        <w:wordWrap/>
        <w:spacing w:before="120" w:beforeLines="50" w:line="480" w:lineRule="auto"/>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lang w:val="zh-CN"/>
        </w:rPr>
        <w:t>项目编号</w:t>
      </w:r>
      <w:bookmarkStart w:id="0" w:name="page2"/>
      <w:bookmarkEnd w:id="0"/>
      <w:r>
        <w:rPr>
          <w:rFonts w:hint="eastAsia" w:ascii="仿宋" w:hAnsi="仿宋" w:eastAsia="仿宋" w:cs="仿宋"/>
          <w:b/>
          <w:sz w:val="28"/>
          <w:szCs w:val="28"/>
          <w:highlight w:val="none"/>
          <w:lang w:val="zh-CN"/>
        </w:rPr>
        <w:t>：510182202200008</w:t>
      </w:r>
    </w:p>
    <w:p>
      <w:pPr>
        <w:rPr>
          <w:rFonts w:hint="eastAsia" w:ascii="仿宋" w:hAnsi="仿宋" w:eastAsia="仿宋" w:cs="仿宋"/>
          <w:sz w:val="24"/>
          <w:szCs w:val="24"/>
          <w:highlight w:val="none"/>
          <w:lang w:val="zh-CN"/>
        </w:rPr>
      </w:pPr>
    </w:p>
    <w:p>
      <w:pPr>
        <w:pStyle w:val="55"/>
        <w:jc w:val="center"/>
        <w:rPr>
          <w:rFonts w:hint="eastAsia" w:ascii="仿宋" w:hAnsi="仿宋" w:eastAsia="仿宋" w:cs="仿宋"/>
          <w:b/>
          <w:bCs/>
          <w:sz w:val="44"/>
          <w:szCs w:val="44"/>
          <w:highlight w:val="none"/>
          <w:lang w:eastAsia="zh-CN"/>
        </w:rPr>
      </w:pPr>
      <w:r>
        <w:rPr>
          <w:rFonts w:hint="eastAsia" w:ascii="仿宋" w:hAnsi="仿宋" w:eastAsia="仿宋" w:cs="仿宋"/>
          <w:b/>
          <w:bCs/>
          <w:sz w:val="44"/>
          <w:szCs w:val="44"/>
          <w:highlight w:val="none"/>
          <w:lang w:eastAsia="zh-CN"/>
        </w:rPr>
        <w:t>2022年彭州市中小学（幼儿园）光环境</w:t>
      </w:r>
    </w:p>
    <w:p>
      <w:pPr>
        <w:pStyle w:val="55"/>
        <w:jc w:val="center"/>
        <w:rPr>
          <w:rFonts w:hint="eastAsia" w:ascii="仿宋" w:hAnsi="仿宋" w:eastAsia="仿宋" w:cs="仿宋"/>
          <w:b/>
          <w:bCs/>
          <w:sz w:val="44"/>
          <w:szCs w:val="44"/>
          <w:highlight w:val="none"/>
          <w:lang w:eastAsia="zh-CN"/>
        </w:rPr>
      </w:pPr>
      <w:r>
        <w:rPr>
          <w:rFonts w:hint="eastAsia" w:ascii="仿宋" w:hAnsi="仿宋" w:eastAsia="仿宋" w:cs="仿宋"/>
          <w:b/>
          <w:bCs/>
          <w:sz w:val="44"/>
          <w:szCs w:val="44"/>
          <w:highlight w:val="none"/>
          <w:lang w:eastAsia="zh-CN"/>
        </w:rPr>
        <w:t>提升工程（第一批）</w:t>
      </w:r>
    </w:p>
    <w:p>
      <w:pPr>
        <w:rPr>
          <w:rFonts w:hint="eastAsia" w:ascii="仿宋" w:hAnsi="仿宋" w:eastAsia="仿宋" w:cs="仿宋"/>
          <w:b/>
          <w:bCs/>
          <w:sz w:val="44"/>
          <w:szCs w:val="44"/>
          <w:highlight w:val="none"/>
          <w:lang w:eastAsia="zh-CN"/>
        </w:rPr>
      </w:pPr>
    </w:p>
    <w:p>
      <w:pPr>
        <w:pStyle w:val="2"/>
        <w:rPr>
          <w:rFonts w:hint="eastAsia"/>
          <w:lang w:eastAsia="zh-CN"/>
        </w:rPr>
      </w:pPr>
    </w:p>
    <w:p>
      <w:pPr>
        <w:rPr>
          <w:rFonts w:hint="eastAsia"/>
        </w:rPr>
      </w:pPr>
    </w:p>
    <w:p>
      <w:pPr>
        <w:pStyle w:val="2"/>
        <w:spacing w:line="360" w:lineRule="auto"/>
        <w:jc w:val="center"/>
        <w:rPr>
          <w:rFonts w:hint="eastAsia" w:ascii="仿宋" w:hAnsi="仿宋" w:eastAsia="仿宋" w:cs="仿宋"/>
          <w:b/>
          <w:bCs/>
          <w:sz w:val="72"/>
          <w:szCs w:val="72"/>
          <w:highlight w:val="none"/>
        </w:rPr>
      </w:pPr>
      <w:r>
        <w:rPr>
          <w:rFonts w:hint="eastAsia" w:ascii="仿宋" w:hAnsi="仿宋" w:eastAsia="仿宋" w:cs="仿宋"/>
          <w:b/>
          <w:bCs/>
          <w:sz w:val="72"/>
          <w:szCs w:val="72"/>
          <w:highlight w:val="none"/>
        </w:rPr>
        <w:t>招</w:t>
      </w:r>
    </w:p>
    <w:p>
      <w:pPr>
        <w:pStyle w:val="2"/>
        <w:spacing w:line="360" w:lineRule="auto"/>
        <w:jc w:val="center"/>
        <w:rPr>
          <w:rFonts w:hint="eastAsia" w:ascii="仿宋" w:hAnsi="仿宋" w:eastAsia="仿宋" w:cs="仿宋"/>
          <w:b/>
          <w:bCs/>
          <w:sz w:val="72"/>
          <w:szCs w:val="72"/>
          <w:highlight w:val="none"/>
        </w:rPr>
      </w:pPr>
      <w:r>
        <w:rPr>
          <w:rFonts w:hint="eastAsia" w:ascii="仿宋" w:hAnsi="仿宋" w:eastAsia="仿宋" w:cs="仿宋"/>
          <w:b/>
          <w:bCs/>
          <w:sz w:val="72"/>
          <w:szCs w:val="72"/>
          <w:highlight w:val="none"/>
        </w:rPr>
        <w:t>标</w:t>
      </w:r>
    </w:p>
    <w:p>
      <w:pPr>
        <w:pStyle w:val="2"/>
        <w:spacing w:line="360" w:lineRule="auto"/>
        <w:jc w:val="center"/>
        <w:rPr>
          <w:rFonts w:hint="eastAsia" w:ascii="仿宋" w:hAnsi="仿宋" w:eastAsia="仿宋" w:cs="仿宋"/>
          <w:b/>
          <w:bCs/>
          <w:sz w:val="72"/>
          <w:szCs w:val="72"/>
          <w:highlight w:val="none"/>
        </w:rPr>
      </w:pPr>
      <w:r>
        <w:rPr>
          <w:rFonts w:hint="eastAsia" w:ascii="仿宋" w:hAnsi="仿宋" w:eastAsia="仿宋" w:cs="仿宋"/>
          <w:b/>
          <w:bCs/>
          <w:sz w:val="72"/>
          <w:szCs w:val="72"/>
          <w:highlight w:val="none"/>
        </w:rPr>
        <w:t>文</w:t>
      </w:r>
    </w:p>
    <w:p>
      <w:pPr>
        <w:pStyle w:val="2"/>
        <w:spacing w:line="360" w:lineRule="auto"/>
        <w:jc w:val="center"/>
        <w:rPr>
          <w:rFonts w:hint="eastAsia" w:ascii="仿宋" w:hAnsi="仿宋" w:eastAsia="仿宋" w:cs="仿宋"/>
          <w:b/>
          <w:bCs/>
          <w:sz w:val="72"/>
          <w:szCs w:val="72"/>
          <w:highlight w:val="none"/>
        </w:rPr>
      </w:pPr>
      <w:r>
        <w:rPr>
          <w:rFonts w:hint="eastAsia" w:ascii="仿宋" w:hAnsi="仿宋" w:eastAsia="仿宋" w:cs="仿宋"/>
          <w:b/>
          <w:bCs/>
          <w:sz w:val="72"/>
          <w:szCs w:val="72"/>
          <w:highlight w:val="none"/>
        </w:rPr>
        <w:t>件</w:t>
      </w:r>
    </w:p>
    <w:p>
      <w:pPr>
        <w:pStyle w:val="17"/>
        <w:rPr>
          <w:rFonts w:hint="eastAsia" w:ascii="仿宋" w:hAnsi="仿宋" w:eastAsia="仿宋" w:cs="仿宋"/>
          <w:b/>
          <w:bCs/>
          <w:sz w:val="72"/>
          <w:szCs w:val="72"/>
          <w:highlight w:val="none"/>
        </w:rPr>
      </w:pPr>
    </w:p>
    <w:p>
      <w:pPr>
        <w:spacing w:line="360" w:lineRule="auto"/>
        <w:jc w:val="center"/>
        <w:rPr>
          <w:rFonts w:hint="eastAsia" w:ascii="仿宋" w:hAnsi="仿宋" w:eastAsia="仿宋" w:cs="仿宋"/>
          <w:b/>
          <w:bCs/>
          <w:sz w:val="30"/>
          <w:szCs w:val="30"/>
          <w:highlight w:val="none"/>
          <w:lang w:eastAsia="zh-CN"/>
        </w:rPr>
      </w:pPr>
      <w:r>
        <w:rPr>
          <w:rFonts w:hint="eastAsia" w:ascii="仿宋" w:hAnsi="仿宋" w:eastAsia="仿宋" w:cs="仿宋"/>
          <w:b/>
          <w:bCs/>
          <w:sz w:val="30"/>
          <w:szCs w:val="30"/>
          <w:highlight w:val="none"/>
        </w:rPr>
        <w:t>采购人：</w:t>
      </w:r>
      <w:r>
        <w:rPr>
          <w:rFonts w:hint="eastAsia" w:ascii="仿宋" w:hAnsi="仿宋" w:eastAsia="仿宋" w:cs="仿宋"/>
          <w:b/>
          <w:bCs/>
          <w:sz w:val="30"/>
          <w:szCs w:val="30"/>
          <w:highlight w:val="none"/>
          <w:u w:val="single"/>
          <w:lang w:val="en-US" w:eastAsia="zh-CN" w:bidi="ar-SA"/>
        </w:rPr>
        <w:t>彭州市教育局电化教育馆</w:t>
      </w:r>
    </w:p>
    <w:p>
      <w:pPr>
        <w:pStyle w:val="17"/>
        <w:spacing w:line="480" w:lineRule="auto"/>
        <w:jc w:val="left"/>
        <w:rPr>
          <w:rFonts w:hint="eastAsia" w:ascii="仿宋" w:hAnsi="仿宋" w:eastAsia="仿宋" w:cs="仿宋"/>
          <w:b/>
          <w:bCs/>
          <w:sz w:val="30"/>
          <w:szCs w:val="30"/>
          <w:highlight w:val="none"/>
          <w:u w:val="single"/>
          <w:lang w:eastAsia="zh-CN"/>
        </w:rPr>
      </w:pPr>
      <w:r>
        <w:rPr>
          <w:rFonts w:hint="eastAsia" w:ascii="仿宋" w:hAnsi="仿宋" w:eastAsia="仿宋" w:cs="仿宋"/>
          <w:b/>
          <w:bCs/>
          <w:sz w:val="30"/>
          <w:szCs w:val="30"/>
          <w:highlight w:val="none"/>
        </w:rPr>
        <w:t>采购代理机构：</w:t>
      </w:r>
      <w:r>
        <w:rPr>
          <w:rFonts w:hint="eastAsia" w:ascii="仿宋" w:hAnsi="仿宋" w:eastAsia="仿宋" w:cs="仿宋"/>
          <w:b/>
          <w:bCs/>
          <w:sz w:val="30"/>
          <w:szCs w:val="30"/>
          <w:highlight w:val="none"/>
          <w:u w:val="single"/>
          <w:lang w:eastAsia="zh-CN"/>
        </w:rPr>
        <w:t>四川迈勋招投标代理有限公司</w:t>
      </w:r>
    </w:p>
    <w:p>
      <w:pPr>
        <w:pStyle w:val="17"/>
        <w:ind w:left="0"/>
        <w:jc w:val="center"/>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 xml:space="preserve">  共同编制</w:t>
      </w:r>
    </w:p>
    <w:p>
      <w:pPr>
        <w:rPr>
          <w:rFonts w:hint="eastAsia" w:ascii="仿宋" w:hAnsi="仿宋" w:eastAsia="仿宋" w:cs="仿宋"/>
          <w:b/>
          <w:bCs/>
          <w:sz w:val="30"/>
          <w:szCs w:val="30"/>
          <w:highlight w:val="none"/>
        </w:rPr>
      </w:pPr>
    </w:p>
    <w:p>
      <w:pPr>
        <w:pStyle w:val="2"/>
        <w:jc w:val="center"/>
        <w:rPr>
          <w:rFonts w:hint="eastAsia" w:ascii="仿宋" w:hAnsi="仿宋" w:eastAsia="仿宋" w:cs="仿宋"/>
          <w:highlight w:val="none"/>
        </w:rPr>
        <w:sectPr>
          <w:headerReference r:id="rId5" w:type="first"/>
          <w:footerReference r:id="rId7" w:type="first"/>
          <w:headerReference r:id="rId3" w:type="default"/>
          <w:headerReference r:id="rId4" w:type="even"/>
          <w:footerReference r:id="rId6" w:type="even"/>
          <w:pgSz w:w="11905" w:h="16838"/>
          <w:pgMar w:top="1440" w:right="1746" w:bottom="1440" w:left="1746" w:header="850" w:footer="992" w:gutter="0"/>
          <w:pgNumType w:fmt="decimal" w:start="1"/>
          <w:cols w:space="720" w:num="1"/>
          <w:titlePg/>
          <w:rtlGutter w:val="0"/>
          <w:docGrid w:linePitch="360" w:charSpace="0"/>
        </w:sectPr>
      </w:pPr>
      <w:r>
        <w:rPr>
          <w:rFonts w:hint="eastAsia" w:ascii="仿宋" w:hAnsi="仿宋" w:eastAsia="仿宋" w:cs="仿宋"/>
          <w:b/>
          <w:bCs/>
          <w:sz w:val="30"/>
          <w:szCs w:val="30"/>
          <w:highlight w:val="none"/>
          <w:u w:val="single"/>
        </w:rPr>
        <w:t>202</w:t>
      </w:r>
      <w:r>
        <w:rPr>
          <w:rFonts w:hint="eastAsia" w:ascii="仿宋" w:hAnsi="仿宋" w:eastAsia="仿宋" w:cs="仿宋"/>
          <w:b/>
          <w:bCs/>
          <w:sz w:val="30"/>
          <w:szCs w:val="30"/>
          <w:highlight w:val="none"/>
          <w:u w:val="single"/>
          <w:lang w:val="en-US" w:eastAsia="zh-CN"/>
        </w:rPr>
        <w:t>2</w:t>
      </w:r>
      <w:r>
        <w:rPr>
          <w:rFonts w:hint="eastAsia" w:ascii="仿宋" w:hAnsi="仿宋" w:eastAsia="仿宋" w:cs="仿宋"/>
          <w:b/>
          <w:bCs/>
          <w:sz w:val="30"/>
          <w:szCs w:val="30"/>
          <w:highlight w:val="none"/>
        </w:rPr>
        <w:t>年</w:t>
      </w:r>
      <w:r>
        <w:rPr>
          <w:rFonts w:hint="eastAsia" w:ascii="仿宋" w:hAnsi="仿宋" w:eastAsia="仿宋" w:cs="仿宋"/>
          <w:b/>
          <w:bCs/>
          <w:sz w:val="30"/>
          <w:szCs w:val="30"/>
          <w:highlight w:val="none"/>
          <w:u w:val="single"/>
        </w:rPr>
        <w:t xml:space="preserve"> </w:t>
      </w:r>
      <w:r>
        <w:rPr>
          <w:rFonts w:hint="eastAsia" w:ascii="仿宋" w:hAnsi="仿宋" w:eastAsia="仿宋" w:cs="仿宋"/>
          <w:b/>
          <w:bCs/>
          <w:sz w:val="30"/>
          <w:szCs w:val="30"/>
          <w:highlight w:val="none"/>
          <w:u w:val="single"/>
          <w:lang w:val="en-US" w:eastAsia="zh-CN"/>
        </w:rPr>
        <w:t>1</w:t>
      </w:r>
      <w:r>
        <w:rPr>
          <w:rFonts w:hint="eastAsia" w:ascii="仿宋" w:hAnsi="仿宋" w:eastAsia="仿宋" w:cs="仿宋"/>
          <w:b/>
          <w:bCs/>
          <w:sz w:val="30"/>
          <w:szCs w:val="30"/>
          <w:highlight w:val="none"/>
          <w:u w:val="single"/>
        </w:rPr>
        <w:t xml:space="preserve"> </w:t>
      </w:r>
      <w:r>
        <w:rPr>
          <w:rFonts w:hint="eastAsia" w:ascii="仿宋" w:hAnsi="仿宋" w:eastAsia="仿宋" w:cs="仿宋"/>
          <w:b/>
          <w:bCs/>
          <w:sz w:val="30"/>
          <w:szCs w:val="30"/>
          <w:highlight w:val="none"/>
        </w:rPr>
        <w:t>月</w:t>
      </w:r>
    </w:p>
    <w:p>
      <w:pPr>
        <w:spacing w:before="0" w:beforeLines="0" w:after="0" w:afterLines="0" w:line="480" w:lineRule="auto"/>
        <w:ind w:left="0" w:leftChars="0" w:right="0" w:rightChars="0" w:firstLine="0" w:firstLineChars="0"/>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目录</w:t>
      </w:r>
    </w:p>
    <w:p>
      <w:pPr>
        <w:pStyle w:val="28"/>
        <w:keepNext w:val="0"/>
        <w:keepLines w:val="0"/>
        <w:pageBreakBefore w:val="0"/>
        <w:widowControl/>
        <w:tabs>
          <w:tab w:val="right" w:leader="dot" w:pos="8413"/>
        </w:tabs>
        <w:kinsoku/>
        <w:overflowPunct/>
        <w:topLinePunct w:val="0"/>
        <w:autoSpaceDE/>
        <w:autoSpaceDN/>
        <w:bidi w:val="0"/>
        <w:adjustRightInd/>
        <w:snapToGrid w:val="0"/>
        <w:spacing w:line="48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TOC \o "1-3" \h \u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TOC \o "1-3" \h \u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_Toc6943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第一章 投标邀请</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_Toc6943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pPr>
        <w:pStyle w:val="28"/>
        <w:keepNext w:val="0"/>
        <w:keepLines w:val="0"/>
        <w:pageBreakBefore w:val="0"/>
        <w:widowControl/>
        <w:tabs>
          <w:tab w:val="right" w:leader="dot" w:pos="8413"/>
        </w:tabs>
        <w:kinsoku/>
        <w:overflowPunct/>
        <w:topLinePunct w:val="0"/>
        <w:autoSpaceDE/>
        <w:autoSpaceDN/>
        <w:bidi w:val="0"/>
        <w:adjustRightInd/>
        <w:snapToGrid w:val="0"/>
        <w:spacing w:line="48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_Toc24218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第二章 投标人须知</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_Toc24218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pPr>
        <w:pStyle w:val="28"/>
        <w:keepNext w:val="0"/>
        <w:keepLines w:val="0"/>
        <w:pageBreakBefore w:val="0"/>
        <w:widowControl/>
        <w:tabs>
          <w:tab w:val="right" w:leader="dot" w:pos="8413"/>
        </w:tabs>
        <w:kinsoku/>
        <w:overflowPunct/>
        <w:topLinePunct w:val="0"/>
        <w:autoSpaceDE/>
        <w:autoSpaceDN/>
        <w:bidi w:val="0"/>
        <w:adjustRightInd/>
        <w:snapToGrid w:val="0"/>
        <w:spacing w:line="48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_Toc3316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第三章 投标文件格式</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_Toc3316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22</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pPr>
        <w:pStyle w:val="28"/>
        <w:keepNext w:val="0"/>
        <w:keepLines w:val="0"/>
        <w:pageBreakBefore w:val="0"/>
        <w:widowControl/>
        <w:tabs>
          <w:tab w:val="right" w:leader="dot" w:pos="8413"/>
        </w:tabs>
        <w:kinsoku/>
        <w:overflowPunct/>
        <w:topLinePunct w:val="0"/>
        <w:autoSpaceDE/>
        <w:autoSpaceDN/>
        <w:bidi w:val="0"/>
        <w:adjustRightInd/>
        <w:snapToGrid w:val="0"/>
        <w:spacing w:line="48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_Toc31244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第四章 投标人的资格、资质性及其他类似效力要求</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_Toc31244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49</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pPr>
        <w:pStyle w:val="28"/>
        <w:keepNext w:val="0"/>
        <w:keepLines w:val="0"/>
        <w:pageBreakBefore w:val="0"/>
        <w:widowControl/>
        <w:tabs>
          <w:tab w:val="right" w:leader="dot" w:pos="8413"/>
        </w:tabs>
        <w:kinsoku/>
        <w:overflowPunct/>
        <w:topLinePunct w:val="0"/>
        <w:autoSpaceDE/>
        <w:autoSpaceDN/>
        <w:bidi w:val="0"/>
        <w:adjustRightInd/>
        <w:snapToGrid w:val="0"/>
        <w:spacing w:line="48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_Toc17751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第五章 投标人应当提供的资格、资质性及其他类似效力要求的相关证明材料</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_Toc17751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50</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pPr>
        <w:pStyle w:val="28"/>
        <w:keepNext w:val="0"/>
        <w:keepLines w:val="0"/>
        <w:pageBreakBefore w:val="0"/>
        <w:widowControl/>
        <w:tabs>
          <w:tab w:val="right" w:leader="dot" w:pos="8413"/>
        </w:tabs>
        <w:kinsoku/>
        <w:overflowPunct/>
        <w:topLinePunct w:val="0"/>
        <w:autoSpaceDE/>
        <w:autoSpaceDN/>
        <w:bidi w:val="0"/>
        <w:adjustRightInd/>
        <w:snapToGrid w:val="0"/>
        <w:spacing w:line="48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_Toc27596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第六章 招标项目技术、服务、政府采购合同内容条款及其他商务要求</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_Toc27596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53</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pPr>
        <w:pStyle w:val="28"/>
        <w:keepNext w:val="0"/>
        <w:keepLines w:val="0"/>
        <w:pageBreakBefore w:val="0"/>
        <w:widowControl/>
        <w:tabs>
          <w:tab w:val="right" w:leader="dot" w:pos="8413"/>
        </w:tabs>
        <w:kinsoku/>
        <w:overflowPunct/>
        <w:topLinePunct w:val="0"/>
        <w:autoSpaceDE/>
        <w:autoSpaceDN/>
        <w:bidi w:val="0"/>
        <w:adjustRightInd/>
        <w:snapToGrid w:val="0"/>
        <w:spacing w:line="48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_Toc20823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第七章 评标办法</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_Toc20823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62</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pPr>
        <w:pStyle w:val="28"/>
        <w:keepNext w:val="0"/>
        <w:keepLines w:val="0"/>
        <w:pageBreakBefore w:val="0"/>
        <w:widowControl/>
        <w:tabs>
          <w:tab w:val="right" w:leader="dot" w:pos="8413"/>
        </w:tabs>
        <w:kinsoku/>
        <w:overflowPunct/>
        <w:topLinePunct w:val="0"/>
        <w:autoSpaceDE/>
        <w:autoSpaceDN/>
        <w:bidi w:val="0"/>
        <w:adjustRightInd/>
        <w:snapToGrid w:val="0"/>
        <w:spacing w:line="48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HYPERLINK \l _Toc6929 </w:instrText>
      </w:r>
      <w:r>
        <w:rPr>
          <w:rFonts w:hint="eastAsia" w:ascii="仿宋" w:hAnsi="仿宋" w:eastAsia="仿宋" w:cs="仿宋"/>
          <w:sz w:val="24"/>
          <w:szCs w:val="24"/>
          <w:highlight w:val="none"/>
        </w:rPr>
        <w:fldChar w:fldCharType="separate"/>
      </w:r>
      <w:r>
        <w:rPr>
          <w:rFonts w:hint="eastAsia" w:ascii="仿宋" w:hAnsi="仿宋" w:eastAsia="仿宋" w:cs="仿宋"/>
          <w:bCs/>
          <w:sz w:val="24"/>
          <w:szCs w:val="24"/>
          <w:highlight w:val="none"/>
        </w:rPr>
        <w:t>第八章 政府采购合同</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_Toc6929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72</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pPr>
        <w:keepNext w:val="0"/>
        <w:keepLines w:val="0"/>
        <w:pageBreakBefore w:val="0"/>
        <w:widowControl/>
        <w:kinsoku/>
        <w:overflowPunct/>
        <w:topLinePunct w:val="0"/>
        <w:autoSpaceDE/>
        <w:autoSpaceDN/>
        <w:bidi w:val="0"/>
        <w:adjustRightInd/>
        <w:snapToGrid w:val="0"/>
        <w:spacing w:line="48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end"/>
      </w:r>
    </w:p>
    <w:p>
      <w:pPr>
        <w:spacing w:line="480" w:lineRule="auto"/>
        <w:rPr>
          <w:rFonts w:hint="eastAsia" w:ascii="仿宋" w:hAnsi="仿宋" w:eastAsia="仿宋" w:cs="仿宋"/>
          <w:highlight w:val="none"/>
        </w:rPr>
      </w:pPr>
    </w:p>
    <w:p>
      <w:pPr>
        <w:pStyle w:val="30"/>
        <w:keepNext w:val="0"/>
        <w:keepLines w:val="0"/>
        <w:pageBreakBefore w:val="0"/>
        <w:widowControl/>
        <w:tabs>
          <w:tab w:val="right" w:leader="dot" w:pos="8413"/>
        </w:tabs>
        <w:kinsoku/>
        <w:overflowPunct/>
        <w:topLinePunct w:val="0"/>
        <w:autoSpaceDE/>
        <w:autoSpaceDN/>
        <w:bidi w:val="0"/>
        <w:adjustRightInd/>
        <w:snapToGrid w:val="0"/>
        <w:spacing w:line="480" w:lineRule="auto"/>
        <w:ind w:firstLine="480" w:firstLineChars="200"/>
        <w:textAlignment w:val="auto"/>
        <w:rPr>
          <w:rFonts w:hint="eastAsia" w:ascii="仿宋" w:hAnsi="仿宋" w:eastAsia="仿宋" w:cs="仿宋"/>
          <w:sz w:val="24"/>
          <w:szCs w:val="24"/>
          <w:highlight w:val="none"/>
        </w:rPr>
      </w:pPr>
    </w:p>
    <w:p>
      <w:pPr>
        <w:keepNext w:val="0"/>
        <w:keepLines w:val="0"/>
        <w:pageBreakBefore w:val="0"/>
        <w:widowControl/>
        <w:kinsoku/>
        <w:overflowPunct/>
        <w:topLinePunct w:val="0"/>
        <w:autoSpaceDE/>
        <w:autoSpaceDN/>
        <w:bidi w:val="0"/>
        <w:adjustRightInd/>
        <w:snapToGrid w:val="0"/>
        <w:spacing w:line="48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fldChar w:fldCharType="end"/>
      </w:r>
    </w:p>
    <w:p>
      <w:pPr>
        <w:spacing w:line="380" w:lineRule="exact"/>
        <w:rPr>
          <w:rFonts w:hint="eastAsia" w:ascii="仿宋" w:hAnsi="仿宋" w:eastAsia="仿宋" w:cs="仿宋"/>
          <w:highlight w:val="none"/>
        </w:rPr>
      </w:pPr>
    </w:p>
    <w:p>
      <w:pPr>
        <w:pStyle w:val="3"/>
        <w:spacing w:before="120" w:beforeLines="50"/>
        <w:rPr>
          <w:rFonts w:hint="eastAsia" w:ascii="仿宋" w:hAnsi="仿宋" w:eastAsia="仿宋" w:cs="仿宋"/>
          <w:highlight w:val="none"/>
        </w:rPr>
      </w:pPr>
      <w:r>
        <w:rPr>
          <w:rFonts w:hint="eastAsia" w:ascii="仿宋" w:hAnsi="仿宋" w:eastAsia="仿宋" w:cs="仿宋"/>
          <w:highlight w:val="none"/>
        </w:rPr>
        <w:br w:type="page"/>
      </w:r>
      <w:bookmarkStart w:id="1" w:name="page5"/>
      <w:bookmarkEnd w:id="1"/>
      <w:bookmarkStart w:id="2" w:name="_Toc23490"/>
      <w:bookmarkStart w:id="3" w:name="_Toc21184"/>
      <w:bookmarkStart w:id="4" w:name="_Toc11651"/>
      <w:bookmarkStart w:id="5" w:name="_Toc27211"/>
      <w:bookmarkStart w:id="6" w:name="_Toc19271"/>
      <w:bookmarkStart w:id="7" w:name="_Toc6943"/>
      <w:bookmarkStart w:id="8" w:name="_Toc5004462"/>
      <w:bookmarkStart w:id="9" w:name="_Toc12265"/>
      <w:bookmarkStart w:id="10" w:name="_Toc23743"/>
      <w:bookmarkStart w:id="11" w:name="_Toc17246_WPSOffice_Level1"/>
      <w:bookmarkStart w:id="12" w:name="_Toc3330_WPSOffice_Level1"/>
      <w:bookmarkStart w:id="13" w:name="_Toc18025"/>
      <w:bookmarkStart w:id="14" w:name="_Toc28825"/>
      <w:bookmarkStart w:id="15" w:name="_Toc11946_WPSOffice_Level1"/>
      <w:bookmarkStart w:id="16" w:name="_Toc7089"/>
      <w:r>
        <w:rPr>
          <w:rFonts w:hint="eastAsia" w:ascii="仿宋" w:hAnsi="仿宋" w:eastAsia="仿宋" w:cs="仿宋"/>
          <w:highlight w:val="none"/>
        </w:rPr>
        <w:t>第一章 投标邀请</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snapToGrid w:val="0"/>
        <w:spacing w:line="480" w:lineRule="exact"/>
        <w:ind w:firstLine="420" w:firstLineChars="200"/>
        <w:rPr>
          <w:rFonts w:hint="eastAsia" w:ascii="仿宋" w:hAnsi="仿宋" w:eastAsia="仿宋" w:cs="仿宋"/>
          <w:b/>
          <w:sz w:val="21"/>
          <w:szCs w:val="21"/>
          <w:highlight w:val="none"/>
        </w:rPr>
      </w:pPr>
      <w:r>
        <w:rPr>
          <w:rFonts w:hint="eastAsia" w:ascii="仿宋" w:hAnsi="仿宋" w:eastAsia="仿宋" w:cs="仿宋"/>
          <w:b w:val="0"/>
          <w:bCs/>
          <w:sz w:val="21"/>
          <w:szCs w:val="21"/>
          <w:highlight w:val="none"/>
          <w:u w:val="single"/>
          <w:lang w:eastAsia="zh-CN"/>
        </w:rPr>
        <w:t>四川迈勋招投标代理有限公司</w:t>
      </w:r>
      <w:r>
        <w:rPr>
          <w:rFonts w:hint="eastAsia" w:ascii="仿宋" w:hAnsi="仿宋" w:eastAsia="仿宋" w:cs="仿宋"/>
          <w:b w:val="0"/>
          <w:bCs/>
          <w:sz w:val="21"/>
          <w:szCs w:val="21"/>
          <w:highlight w:val="none"/>
        </w:rPr>
        <w:t>受</w:t>
      </w:r>
      <w:r>
        <w:rPr>
          <w:rFonts w:hint="eastAsia" w:ascii="仿宋" w:hAnsi="仿宋" w:eastAsia="仿宋" w:cs="仿宋"/>
          <w:b w:val="0"/>
          <w:bCs/>
          <w:sz w:val="21"/>
          <w:szCs w:val="21"/>
          <w:highlight w:val="none"/>
          <w:u w:val="single"/>
        </w:rPr>
        <w:t xml:space="preserve"> </w:t>
      </w:r>
      <w:r>
        <w:rPr>
          <w:rFonts w:hint="eastAsia" w:ascii="仿宋" w:hAnsi="仿宋" w:eastAsia="仿宋" w:cs="仿宋"/>
          <w:b w:val="0"/>
          <w:bCs/>
          <w:sz w:val="21"/>
          <w:szCs w:val="21"/>
          <w:highlight w:val="none"/>
          <w:u w:val="single"/>
          <w:lang w:eastAsia="zh-CN"/>
        </w:rPr>
        <w:t>彭州市教育局电化教育馆</w:t>
      </w:r>
      <w:r>
        <w:rPr>
          <w:rFonts w:hint="eastAsia" w:ascii="仿宋" w:hAnsi="仿宋" w:eastAsia="仿宋" w:cs="仿宋"/>
          <w:b w:val="0"/>
          <w:bCs/>
          <w:sz w:val="21"/>
          <w:szCs w:val="21"/>
          <w:highlight w:val="none"/>
          <w:u w:val="single"/>
        </w:rPr>
        <w:t xml:space="preserve"> </w:t>
      </w:r>
      <w:r>
        <w:rPr>
          <w:rFonts w:hint="eastAsia" w:ascii="仿宋" w:hAnsi="仿宋" w:eastAsia="仿宋" w:cs="仿宋"/>
          <w:sz w:val="21"/>
          <w:szCs w:val="21"/>
          <w:highlight w:val="none"/>
        </w:rPr>
        <w:t>的委托，拟对</w:t>
      </w:r>
      <w:r>
        <w:rPr>
          <w:rFonts w:hint="eastAsia" w:ascii="仿宋" w:hAnsi="仿宋" w:eastAsia="仿宋" w:cs="仿宋"/>
          <w:b/>
          <w:sz w:val="21"/>
          <w:szCs w:val="21"/>
          <w:highlight w:val="none"/>
          <w:u w:val="single"/>
          <w:lang w:eastAsia="zh-CN"/>
        </w:rPr>
        <w:t>2022年彭州市中小学（幼儿园）光环境提升工程（第一批）</w:t>
      </w:r>
      <w:r>
        <w:rPr>
          <w:rFonts w:hint="eastAsia" w:ascii="仿宋" w:hAnsi="仿宋" w:eastAsia="仿宋" w:cs="仿宋"/>
          <w:b/>
          <w:sz w:val="21"/>
          <w:szCs w:val="21"/>
          <w:highlight w:val="none"/>
          <w:u w:val="single"/>
        </w:rPr>
        <w:t xml:space="preserve"> </w:t>
      </w:r>
      <w:r>
        <w:rPr>
          <w:rFonts w:hint="eastAsia" w:ascii="仿宋" w:hAnsi="仿宋" w:eastAsia="仿宋" w:cs="仿宋"/>
          <w:sz w:val="21"/>
          <w:szCs w:val="21"/>
          <w:highlight w:val="none"/>
        </w:rPr>
        <w:t>进行国内公开招标，兹邀请符合本次招标要求的供应商参加投标。</w:t>
      </w:r>
      <w:bookmarkStart w:id="17" w:name="_Toc23718"/>
      <w:bookmarkStart w:id="18" w:name="_Toc17995"/>
      <w:bookmarkStart w:id="19" w:name="_Toc32183"/>
      <w:bookmarkStart w:id="20" w:name="_Toc21492"/>
      <w:bookmarkStart w:id="21" w:name="_Toc3398"/>
      <w:bookmarkStart w:id="22" w:name="_Toc13312"/>
      <w:bookmarkStart w:id="23" w:name="_Toc9136"/>
      <w:bookmarkStart w:id="24" w:name="_Toc31639"/>
      <w:bookmarkStart w:id="25" w:name="_Toc20768"/>
      <w:bookmarkStart w:id="26" w:name="_Toc8937"/>
    </w:p>
    <w:p>
      <w:pPr>
        <w:tabs>
          <w:tab w:val="left" w:pos="8776"/>
        </w:tabs>
        <w:snapToGrid w:val="0"/>
        <w:spacing w:line="480" w:lineRule="exact"/>
        <w:ind w:firstLine="422" w:firstLineChars="200"/>
        <w:outlineLvl w:val="1"/>
        <w:rPr>
          <w:rFonts w:hint="eastAsia" w:ascii="仿宋" w:hAnsi="仿宋" w:eastAsia="仿宋" w:cs="仿宋"/>
          <w:bCs/>
          <w:sz w:val="21"/>
          <w:szCs w:val="21"/>
          <w:highlight w:val="none"/>
          <w:lang w:eastAsia="zh-CN"/>
        </w:rPr>
      </w:pPr>
      <w:bookmarkStart w:id="27" w:name="_Toc8075"/>
      <w:bookmarkStart w:id="28" w:name="_Toc13548"/>
      <w:bookmarkStart w:id="29" w:name="_Toc8933"/>
      <w:bookmarkStart w:id="30" w:name="_Toc25140"/>
      <w:bookmarkStart w:id="31" w:name="_Toc22260"/>
      <w:bookmarkStart w:id="32" w:name="_Toc18608"/>
      <w:r>
        <w:rPr>
          <w:rFonts w:hint="eastAsia" w:ascii="仿宋" w:hAnsi="仿宋" w:eastAsia="仿宋" w:cs="仿宋"/>
          <w:b/>
          <w:sz w:val="21"/>
          <w:szCs w:val="21"/>
          <w:highlight w:val="none"/>
        </w:rPr>
        <w:t>一、项目编号：</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Start w:id="1247" w:name="_GoBack"/>
      <w:bookmarkEnd w:id="1247"/>
      <w:r>
        <w:rPr>
          <w:rFonts w:hint="eastAsia" w:ascii="仿宋" w:hAnsi="仿宋" w:eastAsia="仿宋" w:cs="仿宋"/>
          <w:b/>
          <w:sz w:val="21"/>
          <w:szCs w:val="21"/>
          <w:highlight w:val="none"/>
        </w:rPr>
        <w:t>510182202200008</w:t>
      </w:r>
    </w:p>
    <w:p>
      <w:pPr>
        <w:snapToGrid w:val="0"/>
        <w:spacing w:line="480" w:lineRule="exact"/>
        <w:ind w:firstLine="420" w:firstLineChars="200"/>
        <w:outlineLvl w:val="1"/>
        <w:rPr>
          <w:rFonts w:hint="eastAsia" w:ascii="仿宋" w:hAnsi="仿宋" w:eastAsia="仿宋" w:cs="仿宋"/>
          <w:sz w:val="21"/>
          <w:szCs w:val="21"/>
          <w:highlight w:val="none"/>
        </w:rPr>
      </w:pPr>
      <w:bookmarkStart w:id="33" w:name="_Toc23692"/>
      <w:bookmarkStart w:id="34" w:name="_Toc16740"/>
      <w:bookmarkStart w:id="35" w:name="_Toc27198"/>
      <w:bookmarkStart w:id="36" w:name="_Toc20543"/>
      <w:bookmarkStart w:id="37" w:name="_Toc24934"/>
      <w:bookmarkStart w:id="38" w:name="_Toc13978"/>
      <w:bookmarkStart w:id="39" w:name="_Toc15996"/>
      <w:bookmarkStart w:id="40" w:name="_Toc20291"/>
      <w:bookmarkStart w:id="41" w:name="_Toc32327"/>
      <w:bookmarkStart w:id="42" w:name="_Toc8123"/>
      <w:bookmarkStart w:id="43" w:name="_Toc31910"/>
      <w:bookmarkStart w:id="44" w:name="_Toc25699"/>
      <w:bookmarkStart w:id="45" w:name="_Toc10701"/>
      <w:bookmarkStart w:id="46" w:name="_Toc27263"/>
      <w:bookmarkStart w:id="47" w:name="_Toc1851"/>
      <w:bookmarkStart w:id="48" w:name="_Toc22326"/>
      <w:r>
        <w:rPr>
          <w:rFonts w:hint="eastAsia" w:ascii="仿宋" w:hAnsi="仿宋" w:eastAsia="仿宋" w:cs="仿宋"/>
          <w:sz w:val="21"/>
          <w:szCs w:val="21"/>
          <w:highlight w:val="none"/>
        </w:rPr>
        <w:t>二、</w:t>
      </w:r>
      <w:r>
        <w:rPr>
          <w:rFonts w:hint="eastAsia" w:ascii="仿宋" w:hAnsi="仿宋" w:eastAsia="仿宋" w:cs="仿宋"/>
          <w:b/>
          <w:sz w:val="21"/>
          <w:szCs w:val="21"/>
          <w:highlight w:val="none"/>
        </w:rPr>
        <w:t>项目名称：</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cs="仿宋"/>
          <w:sz w:val="21"/>
          <w:szCs w:val="21"/>
          <w:highlight w:val="none"/>
          <w:u w:val="single"/>
          <w:lang w:eastAsia="zh-CN"/>
        </w:rPr>
        <w:t>2022年彭州市中小学（幼儿园）光环境提升工程（第一批）</w:t>
      </w:r>
    </w:p>
    <w:p>
      <w:pPr>
        <w:snapToGrid w:val="0"/>
        <w:spacing w:line="480" w:lineRule="exact"/>
        <w:ind w:firstLine="422" w:firstLineChars="200"/>
        <w:outlineLvl w:val="1"/>
        <w:rPr>
          <w:rFonts w:hint="eastAsia" w:ascii="仿宋" w:hAnsi="仿宋" w:eastAsia="仿宋" w:cs="仿宋"/>
          <w:sz w:val="21"/>
          <w:szCs w:val="21"/>
          <w:highlight w:val="none"/>
        </w:rPr>
      </w:pPr>
      <w:bookmarkStart w:id="49" w:name="_Toc10325"/>
      <w:bookmarkStart w:id="50" w:name="_Toc4092"/>
      <w:bookmarkStart w:id="51" w:name="_Toc16516"/>
      <w:bookmarkStart w:id="52" w:name="_Toc20706"/>
      <w:bookmarkStart w:id="53" w:name="_Toc24493"/>
      <w:bookmarkStart w:id="54" w:name="_Toc17560"/>
      <w:bookmarkStart w:id="55" w:name="_Toc25695"/>
      <w:bookmarkStart w:id="56" w:name="_Toc24952"/>
      <w:bookmarkStart w:id="57" w:name="_Toc15366"/>
      <w:bookmarkStart w:id="58" w:name="_Toc5818"/>
      <w:bookmarkStart w:id="59" w:name="_Toc26726"/>
      <w:bookmarkStart w:id="60" w:name="_Toc19202"/>
      <w:bookmarkStart w:id="61" w:name="_Toc496"/>
      <w:bookmarkStart w:id="62" w:name="_Toc15767"/>
      <w:bookmarkStart w:id="63" w:name="_Toc21674"/>
      <w:bookmarkStart w:id="64" w:name="_Toc6939"/>
      <w:r>
        <w:rPr>
          <w:rFonts w:hint="eastAsia" w:ascii="仿宋" w:hAnsi="仿宋" w:eastAsia="仿宋" w:cs="仿宋"/>
          <w:b/>
          <w:sz w:val="21"/>
          <w:szCs w:val="21"/>
          <w:highlight w:val="none"/>
        </w:rPr>
        <w:t>三、资金来源：</w:t>
      </w:r>
      <w:r>
        <w:rPr>
          <w:rFonts w:hint="eastAsia" w:ascii="仿宋" w:hAnsi="仿宋" w:eastAsia="仿宋" w:cs="仿宋"/>
          <w:sz w:val="21"/>
          <w:szCs w:val="21"/>
          <w:highlight w:val="none"/>
        </w:rPr>
        <w:t>财政资金</w:t>
      </w:r>
      <w:bookmarkEnd w:id="49"/>
      <w:bookmarkEnd w:id="50"/>
      <w:bookmarkEnd w:id="51"/>
      <w:bookmarkEnd w:id="52"/>
      <w:bookmarkEnd w:id="53"/>
      <w:bookmarkEnd w:id="54"/>
      <w:bookmarkEnd w:id="55"/>
      <w:bookmarkEnd w:id="56"/>
      <w:bookmarkEnd w:id="57"/>
      <w:bookmarkEnd w:id="58"/>
      <w:r>
        <w:rPr>
          <w:rFonts w:hint="eastAsia" w:ascii="仿宋" w:hAnsi="仿宋" w:eastAsia="仿宋" w:cs="仿宋"/>
          <w:sz w:val="21"/>
          <w:szCs w:val="21"/>
          <w:highlight w:val="none"/>
        </w:rPr>
        <w:t>。</w:t>
      </w:r>
      <w:bookmarkEnd w:id="59"/>
      <w:bookmarkEnd w:id="60"/>
      <w:bookmarkEnd w:id="61"/>
      <w:bookmarkEnd w:id="62"/>
      <w:bookmarkEnd w:id="63"/>
      <w:bookmarkEnd w:id="64"/>
      <w:r>
        <w:rPr>
          <w:rFonts w:hint="eastAsia" w:ascii="仿宋" w:hAnsi="仿宋" w:eastAsia="仿宋" w:cs="仿宋"/>
          <w:sz w:val="21"/>
          <w:szCs w:val="21"/>
          <w:highlight w:val="none"/>
        </w:rPr>
        <w:t xml:space="preserve"> </w:t>
      </w:r>
    </w:p>
    <w:p>
      <w:pPr>
        <w:snapToGrid w:val="0"/>
        <w:spacing w:line="480" w:lineRule="exact"/>
        <w:ind w:firstLine="422" w:firstLineChars="200"/>
        <w:outlineLvl w:val="1"/>
        <w:rPr>
          <w:rFonts w:hint="eastAsia" w:ascii="仿宋" w:hAnsi="仿宋" w:eastAsia="仿宋" w:cs="仿宋"/>
          <w:b/>
          <w:sz w:val="21"/>
          <w:szCs w:val="21"/>
          <w:highlight w:val="none"/>
        </w:rPr>
      </w:pPr>
      <w:bookmarkStart w:id="65" w:name="_Toc21577"/>
      <w:bookmarkStart w:id="66" w:name="_Toc20981"/>
      <w:bookmarkStart w:id="67" w:name="_Toc11393"/>
      <w:bookmarkStart w:id="68" w:name="_Toc9720"/>
      <w:bookmarkStart w:id="69" w:name="_Toc11511"/>
      <w:bookmarkStart w:id="70" w:name="_Toc14498"/>
      <w:bookmarkStart w:id="71" w:name="_Toc8940"/>
      <w:bookmarkStart w:id="72" w:name="_Toc14221"/>
      <w:bookmarkStart w:id="73" w:name="_Toc9739"/>
      <w:bookmarkStart w:id="74" w:name="_Toc13218"/>
      <w:bookmarkStart w:id="75" w:name="_Toc6608"/>
      <w:bookmarkStart w:id="76" w:name="_Toc13098"/>
      <w:bookmarkStart w:id="77" w:name="_Toc28551"/>
      <w:bookmarkStart w:id="78" w:name="_Toc9741"/>
      <w:bookmarkStart w:id="79" w:name="_Toc29648"/>
      <w:bookmarkStart w:id="80" w:name="_Toc4117"/>
      <w:r>
        <w:rPr>
          <w:rFonts w:hint="eastAsia" w:ascii="仿宋" w:hAnsi="仿宋" w:eastAsia="仿宋" w:cs="仿宋"/>
          <w:b/>
          <w:sz w:val="21"/>
          <w:szCs w:val="21"/>
          <w:highlight w:val="none"/>
        </w:rPr>
        <w:t>四、招标项目简介：</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tbl>
      <w:tblPr>
        <w:tblStyle w:val="38"/>
        <w:tblW w:w="8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975"/>
        <w:gridCol w:w="1056"/>
        <w:gridCol w:w="1006"/>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91"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bookmarkStart w:id="81" w:name="_Toc13588"/>
            <w:bookmarkStart w:id="82" w:name="_Toc1949"/>
            <w:bookmarkStart w:id="83" w:name="_Toc20264"/>
            <w:bookmarkStart w:id="84" w:name="_Toc30847"/>
            <w:bookmarkStart w:id="85" w:name="_Toc785"/>
            <w:bookmarkStart w:id="86" w:name="_Toc6008"/>
            <w:bookmarkStart w:id="87" w:name="_Toc17233"/>
            <w:bookmarkStart w:id="88" w:name="_Toc25406"/>
            <w:bookmarkStart w:id="89" w:name="_Toc4735"/>
            <w:bookmarkStart w:id="90" w:name="_Toc18820"/>
            <w:bookmarkStart w:id="91" w:name="_Toc19997"/>
            <w:bookmarkStart w:id="92" w:name="_Toc12120"/>
            <w:bookmarkStart w:id="93" w:name="_Toc2846"/>
            <w:bookmarkStart w:id="94" w:name="_Toc23433"/>
            <w:bookmarkStart w:id="95" w:name="_Toc1734"/>
            <w:bookmarkStart w:id="96" w:name="_Toc28443"/>
            <w:r>
              <w:rPr>
                <w:rFonts w:hint="eastAsia" w:ascii="仿宋" w:hAnsi="仿宋" w:eastAsia="仿宋" w:cs="Times New Roman"/>
                <w:color w:val="auto"/>
                <w:sz w:val="20"/>
                <w:szCs w:val="20"/>
              </w:rPr>
              <w:t>包号</w:t>
            </w:r>
          </w:p>
        </w:tc>
        <w:tc>
          <w:tcPr>
            <w:tcW w:w="3975"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学校名称</w:t>
            </w:r>
          </w:p>
        </w:tc>
        <w:tc>
          <w:tcPr>
            <w:tcW w:w="105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L</w:t>
            </w:r>
            <w:r>
              <w:rPr>
                <w:rFonts w:hint="default" w:ascii="仿宋" w:hAnsi="仿宋" w:eastAsia="仿宋" w:cs="Times New Roman"/>
                <w:color w:val="auto"/>
                <w:sz w:val="20"/>
                <w:szCs w:val="20"/>
              </w:rPr>
              <w:t>ED</w:t>
            </w:r>
            <w:r>
              <w:rPr>
                <w:rFonts w:hint="eastAsia" w:ascii="仿宋" w:hAnsi="仿宋" w:eastAsia="仿宋" w:cs="Times New Roman"/>
                <w:color w:val="auto"/>
                <w:sz w:val="20"/>
                <w:szCs w:val="20"/>
              </w:rPr>
              <w:t>教室灯（套）</w:t>
            </w:r>
          </w:p>
        </w:tc>
        <w:tc>
          <w:tcPr>
            <w:tcW w:w="100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L</w:t>
            </w:r>
            <w:r>
              <w:rPr>
                <w:rFonts w:hint="default" w:ascii="仿宋" w:hAnsi="仿宋" w:eastAsia="仿宋" w:cs="Times New Roman"/>
                <w:color w:val="auto"/>
                <w:sz w:val="20"/>
                <w:szCs w:val="20"/>
              </w:rPr>
              <w:t>ED</w:t>
            </w:r>
            <w:r>
              <w:rPr>
                <w:rFonts w:hint="eastAsia" w:ascii="仿宋" w:hAnsi="仿宋" w:eastAsia="仿宋" w:cs="Times New Roman"/>
                <w:color w:val="auto"/>
                <w:sz w:val="20"/>
                <w:szCs w:val="20"/>
              </w:rPr>
              <w:t>黑板灯（套）</w:t>
            </w:r>
          </w:p>
        </w:tc>
        <w:tc>
          <w:tcPr>
            <w:tcW w:w="1272"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最高限额（万元）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0</w:t>
            </w:r>
            <w:r>
              <w:rPr>
                <w:rFonts w:hint="default" w:ascii="仿宋" w:hAnsi="仿宋" w:eastAsia="仿宋" w:cs="Times New Roman"/>
                <w:color w:val="auto"/>
                <w:sz w:val="20"/>
                <w:szCs w:val="20"/>
              </w:rPr>
              <w:t>1包</w:t>
            </w:r>
          </w:p>
        </w:tc>
        <w:tc>
          <w:tcPr>
            <w:tcW w:w="3975"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both"/>
              <w:rPr>
                <w:rFonts w:hint="default" w:ascii="仿宋" w:hAnsi="仿宋" w:eastAsia="仿宋" w:cs="Times New Roman"/>
                <w:color w:val="auto"/>
                <w:sz w:val="20"/>
                <w:szCs w:val="20"/>
              </w:rPr>
            </w:pPr>
            <w:r>
              <w:rPr>
                <w:rFonts w:hint="eastAsia" w:ascii="仿宋" w:hAnsi="仿宋" w:eastAsia="仿宋" w:cs="Times New Roman"/>
                <w:color w:val="auto"/>
                <w:sz w:val="20"/>
                <w:szCs w:val="20"/>
              </w:rPr>
              <w:t>彭州中学、彭州市濛阳中学、成都石室白马中学、彭州一中</w:t>
            </w:r>
          </w:p>
        </w:tc>
        <w:tc>
          <w:tcPr>
            <w:tcW w:w="105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4207</w:t>
            </w:r>
          </w:p>
        </w:tc>
        <w:tc>
          <w:tcPr>
            <w:tcW w:w="100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rPr>
            </w:pPr>
            <w:r>
              <w:rPr>
                <w:rFonts w:hint="eastAsia" w:ascii="仿宋" w:hAnsi="仿宋" w:eastAsia="仿宋" w:cs="宋体"/>
                <w:color w:val="auto"/>
                <w:sz w:val="20"/>
                <w:szCs w:val="20"/>
              </w:rPr>
              <w:t>963</w:t>
            </w:r>
          </w:p>
        </w:tc>
        <w:tc>
          <w:tcPr>
            <w:tcW w:w="1272"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lang w:bidi="ar"/>
              </w:rPr>
            </w:pPr>
            <w:r>
              <w:rPr>
                <w:rFonts w:hint="eastAsia" w:ascii="仿宋" w:hAnsi="仿宋" w:eastAsia="仿宋" w:cs="宋体"/>
                <w:color w:val="auto"/>
                <w:sz w:val="20"/>
                <w:szCs w:val="20"/>
                <w:lang w:bidi="ar"/>
              </w:rPr>
              <w:t>586.1065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0</w:t>
            </w:r>
            <w:r>
              <w:rPr>
                <w:rFonts w:hint="default" w:ascii="仿宋" w:hAnsi="仿宋" w:eastAsia="仿宋" w:cs="Times New Roman"/>
                <w:color w:val="auto"/>
                <w:sz w:val="20"/>
                <w:szCs w:val="20"/>
              </w:rPr>
              <w:t>2包</w:t>
            </w:r>
          </w:p>
        </w:tc>
        <w:tc>
          <w:tcPr>
            <w:tcW w:w="3975"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both"/>
              <w:rPr>
                <w:rFonts w:hint="default" w:ascii="仿宋" w:hAnsi="仿宋" w:eastAsia="仿宋" w:cs="Times New Roman"/>
                <w:color w:val="auto"/>
                <w:sz w:val="20"/>
                <w:szCs w:val="20"/>
              </w:rPr>
            </w:pPr>
            <w:r>
              <w:rPr>
                <w:rFonts w:hint="eastAsia" w:ascii="仿宋" w:hAnsi="仿宋" w:eastAsia="仿宋" w:cs="Times New Roman"/>
                <w:color w:val="auto"/>
                <w:sz w:val="20"/>
                <w:szCs w:val="20"/>
              </w:rPr>
              <w:t>彭州市实验小学、彭州市延秀小学、彭州市天府路小学</w:t>
            </w:r>
          </w:p>
        </w:tc>
        <w:tc>
          <w:tcPr>
            <w:tcW w:w="105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3151</w:t>
            </w:r>
          </w:p>
        </w:tc>
        <w:tc>
          <w:tcPr>
            <w:tcW w:w="100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rPr>
            </w:pPr>
            <w:r>
              <w:rPr>
                <w:rFonts w:hint="eastAsia" w:ascii="仿宋" w:hAnsi="仿宋" w:eastAsia="仿宋" w:cs="宋体"/>
                <w:color w:val="auto"/>
                <w:sz w:val="20"/>
                <w:szCs w:val="20"/>
              </w:rPr>
              <w:t>879</w:t>
            </w:r>
          </w:p>
        </w:tc>
        <w:tc>
          <w:tcPr>
            <w:tcW w:w="1272"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lang w:bidi="ar"/>
              </w:rPr>
            </w:pPr>
            <w:r>
              <w:rPr>
                <w:rFonts w:hint="eastAsia" w:ascii="仿宋" w:hAnsi="仿宋" w:eastAsia="仿宋" w:cs="宋体"/>
                <w:color w:val="auto"/>
                <w:sz w:val="20"/>
                <w:szCs w:val="20"/>
                <w:lang w:bidi="ar"/>
              </w:rPr>
              <w:t>461.3705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0</w:t>
            </w:r>
            <w:r>
              <w:rPr>
                <w:rFonts w:hint="default" w:ascii="仿宋" w:hAnsi="仿宋" w:eastAsia="仿宋" w:cs="Times New Roman"/>
                <w:color w:val="auto"/>
                <w:sz w:val="20"/>
                <w:szCs w:val="20"/>
              </w:rPr>
              <w:t>3包</w:t>
            </w:r>
          </w:p>
        </w:tc>
        <w:tc>
          <w:tcPr>
            <w:tcW w:w="3975"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both"/>
              <w:rPr>
                <w:rFonts w:hint="default" w:ascii="仿宋" w:hAnsi="仿宋" w:eastAsia="仿宋" w:cs="Times New Roman"/>
                <w:color w:val="auto"/>
                <w:sz w:val="20"/>
                <w:szCs w:val="20"/>
              </w:rPr>
            </w:pPr>
            <w:r>
              <w:rPr>
                <w:rFonts w:hint="eastAsia" w:ascii="仿宋" w:hAnsi="仿宋" w:eastAsia="仿宋" w:cs="Times New Roman"/>
                <w:color w:val="auto"/>
                <w:sz w:val="20"/>
                <w:szCs w:val="20"/>
              </w:rPr>
              <w:t>成都石化工业学校、彭州市机关幼儿园、彭州市南街幼儿园、彭州市实验幼儿园、彭州市学海湖幼儿园</w:t>
            </w:r>
          </w:p>
        </w:tc>
        <w:tc>
          <w:tcPr>
            <w:tcW w:w="105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4582</w:t>
            </w:r>
          </w:p>
        </w:tc>
        <w:tc>
          <w:tcPr>
            <w:tcW w:w="100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rPr>
            </w:pPr>
            <w:r>
              <w:rPr>
                <w:rFonts w:hint="eastAsia" w:ascii="仿宋" w:hAnsi="仿宋" w:eastAsia="仿宋" w:cs="宋体"/>
                <w:color w:val="auto"/>
                <w:sz w:val="20"/>
                <w:szCs w:val="20"/>
              </w:rPr>
              <w:t>297</w:t>
            </w:r>
          </w:p>
        </w:tc>
        <w:tc>
          <w:tcPr>
            <w:tcW w:w="1272"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lang w:val="en-US" w:eastAsia="zh-CN" w:bidi="ar"/>
              </w:rPr>
            </w:pPr>
            <w:r>
              <w:rPr>
                <w:rFonts w:hint="eastAsia" w:ascii="仿宋" w:hAnsi="仿宋" w:eastAsia="仿宋" w:cs="宋体"/>
                <w:color w:val="auto"/>
                <w:sz w:val="20"/>
                <w:szCs w:val="20"/>
                <w:lang w:bidi="ar"/>
              </w:rPr>
              <w:t>569.</w:t>
            </w:r>
            <w:r>
              <w:rPr>
                <w:rFonts w:hint="eastAsia" w:ascii="仿宋" w:hAnsi="仿宋" w:eastAsia="仿宋" w:cs="宋体"/>
                <w:color w:val="auto"/>
                <w:sz w:val="20"/>
                <w:szCs w:val="20"/>
                <w:lang w:val="en-US" w:eastAsia="zh-CN" w:bidi="ar"/>
              </w:rPr>
              <w:t>4625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0</w:t>
            </w:r>
            <w:r>
              <w:rPr>
                <w:rFonts w:hint="default" w:ascii="仿宋" w:hAnsi="仿宋" w:eastAsia="仿宋" w:cs="Times New Roman"/>
                <w:color w:val="auto"/>
                <w:sz w:val="20"/>
                <w:szCs w:val="20"/>
              </w:rPr>
              <w:t>4包</w:t>
            </w:r>
          </w:p>
        </w:tc>
        <w:tc>
          <w:tcPr>
            <w:tcW w:w="3975"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both"/>
              <w:rPr>
                <w:rFonts w:hint="default" w:ascii="仿宋" w:hAnsi="仿宋" w:eastAsia="仿宋" w:cs="Times New Roman"/>
                <w:color w:val="auto"/>
                <w:sz w:val="20"/>
                <w:szCs w:val="20"/>
              </w:rPr>
            </w:pPr>
            <w:r>
              <w:rPr>
                <w:rFonts w:hint="eastAsia" w:ascii="仿宋" w:hAnsi="仿宋" w:eastAsia="仿宋" w:cs="Times New Roman"/>
                <w:color w:val="auto"/>
                <w:sz w:val="20"/>
                <w:szCs w:val="20"/>
              </w:rPr>
              <w:t>彭州市东城小学、彭州市致和小学、彭州中学附属小学、彭州一中实验学校、彭州中学实验学校、彭州市致和中学</w:t>
            </w:r>
          </w:p>
        </w:tc>
        <w:tc>
          <w:tcPr>
            <w:tcW w:w="105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2561</w:t>
            </w:r>
          </w:p>
        </w:tc>
        <w:tc>
          <w:tcPr>
            <w:tcW w:w="100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rPr>
            </w:pPr>
            <w:r>
              <w:rPr>
                <w:rFonts w:hint="eastAsia" w:ascii="仿宋" w:hAnsi="仿宋" w:eastAsia="仿宋" w:cs="宋体"/>
                <w:color w:val="auto"/>
                <w:sz w:val="20"/>
                <w:szCs w:val="20"/>
              </w:rPr>
              <w:t>654</w:t>
            </w:r>
          </w:p>
        </w:tc>
        <w:tc>
          <w:tcPr>
            <w:tcW w:w="1272"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lang w:bidi="ar"/>
              </w:rPr>
            </w:pPr>
            <w:r>
              <w:rPr>
                <w:rFonts w:hint="eastAsia" w:ascii="仿宋" w:hAnsi="仿宋" w:eastAsia="仿宋" w:cs="宋体"/>
                <w:color w:val="auto"/>
                <w:sz w:val="20"/>
                <w:szCs w:val="20"/>
                <w:lang w:bidi="ar"/>
              </w:rPr>
              <w:t>377.3325</w:t>
            </w:r>
          </w:p>
        </w:tc>
      </w:tr>
    </w:tbl>
    <w:p>
      <w:pPr>
        <w:snapToGrid w:val="0"/>
        <w:spacing w:line="480" w:lineRule="exact"/>
        <w:ind w:firstLine="422" w:firstLineChars="200"/>
        <w:outlineLvl w:val="1"/>
        <w:rPr>
          <w:rFonts w:hint="eastAsia" w:ascii="仿宋" w:hAnsi="仿宋" w:eastAsia="仿宋" w:cs="仿宋"/>
          <w:b/>
          <w:sz w:val="21"/>
          <w:szCs w:val="21"/>
          <w:highlight w:val="none"/>
        </w:rPr>
      </w:pPr>
      <w:r>
        <w:rPr>
          <w:rFonts w:hint="eastAsia" w:ascii="仿宋" w:hAnsi="仿宋" w:eastAsia="仿宋" w:cs="仿宋"/>
          <w:b/>
          <w:sz w:val="21"/>
          <w:szCs w:val="21"/>
          <w:highlight w:val="none"/>
        </w:rPr>
        <w:t>五、供应商参加本次政府采购活动应具备下列条件：</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snapToGrid w:val="0"/>
        <w:spacing w:line="480" w:lineRule="exact"/>
        <w:ind w:firstLine="422" w:firstLineChars="200"/>
        <w:rPr>
          <w:rFonts w:hint="eastAsia" w:ascii="仿宋" w:hAnsi="仿宋" w:eastAsia="仿宋" w:cs="仿宋"/>
          <w:b/>
          <w:bCs/>
          <w:sz w:val="21"/>
          <w:szCs w:val="21"/>
          <w:highlight w:val="none"/>
        </w:rPr>
      </w:pPr>
      <w:bookmarkStart w:id="97" w:name="_Toc3482"/>
      <w:bookmarkStart w:id="98" w:name="_Toc22824"/>
      <w:bookmarkStart w:id="99" w:name="_Toc3248"/>
      <w:bookmarkStart w:id="100" w:name="_Toc28495"/>
      <w:bookmarkStart w:id="101" w:name="_Toc9120"/>
      <w:r>
        <w:rPr>
          <w:rFonts w:hint="eastAsia" w:ascii="仿宋" w:hAnsi="仿宋" w:eastAsia="仿宋" w:cs="仿宋"/>
          <w:b/>
          <w:bCs/>
          <w:sz w:val="21"/>
          <w:szCs w:val="21"/>
          <w:highlight w:val="none"/>
        </w:rPr>
        <w:t>（一）符合《中华人民共和国政府采购法》第二十二条规定的条件；</w:t>
      </w:r>
    </w:p>
    <w:p>
      <w:pPr>
        <w:pStyle w:val="115"/>
        <w:snapToGrid w:val="0"/>
        <w:spacing w:line="480" w:lineRule="exact"/>
        <w:ind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1.具有独立承担民事责任的能力；</w:t>
      </w:r>
    </w:p>
    <w:p>
      <w:pPr>
        <w:pStyle w:val="115"/>
        <w:snapToGrid w:val="0"/>
        <w:spacing w:line="480" w:lineRule="exact"/>
        <w:ind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2.具有良好的商业信誉和健全的财务会计制度；</w:t>
      </w:r>
    </w:p>
    <w:p>
      <w:pPr>
        <w:pStyle w:val="115"/>
        <w:snapToGrid w:val="0"/>
        <w:spacing w:line="480" w:lineRule="exact"/>
        <w:ind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3.具有履行合同所必需的设备和专业技术能力；</w:t>
      </w:r>
    </w:p>
    <w:p>
      <w:pPr>
        <w:pStyle w:val="115"/>
        <w:snapToGrid w:val="0"/>
        <w:spacing w:line="480" w:lineRule="exact"/>
        <w:ind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4.有依法缴纳税收和社会保障资金的良好记录；</w:t>
      </w:r>
    </w:p>
    <w:p>
      <w:pPr>
        <w:pStyle w:val="115"/>
        <w:snapToGrid w:val="0"/>
        <w:spacing w:line="480" w:lineRule="exact"/>
        <w:ind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5.参加政府采购活动前三年内，在经营活动中没有重大违法记录；</w:t>
      </w:r>
    </w:p>
    <w:p>
      <w:pPr>
        <w:pStyle w:val="115"/>
        <w:snapToGrid w:val="0"/>
        <w:spacing w:line="480" w:lineRule="exact"/>
        <w:ind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6.法律、行政法规规定的其他条件。</w:t>
      </w:r>
    </w:p>
    <w:p>
      <w:pPr>
        <w:pStyle w:val="115"/>
        <w:snapToGrid w:val="0"/>
        <w:spacing w:line="480" w:lineRule="exact"/>
        <w:ind w:firstLine="422" w:firstLineChars="200"/>
        <w:rPr>
          <w:rFonts w:hint="eastAsia" w:ascii="仿宋" w:hAnsi="仿宋" w:eastAsia="仿宋" w:cs="仿宋"/>
          <w:b w:val="0"/>
          <w:bCs w:val="0"/>
          <w:sz w:val="21"/>
          <w:szCs w:val="21"/>
          <w:highlight w:val="none"/>
          <w:lang w:eastAsia="zh-CN"/>
        </w:rPr>
      </w:pPr>
      <w:r>
        <w:rPr>
          <w:rFonts w:hint="eastAsia" w:ascii="仿宋" w:hAnsi="仿宋" w:eastAsia="仿宋" w:cs="仿宋"/>
          <w:b/>
          <w:bCs/>
          <w:sz w:val="21"/>
          <w:szCs w:val="21"/>
          <w:highlight w:val="none"/>
        </w:rPr>
        <w:t>（二）</w:t>
      </w:r>
      <w:bookmarkStart w:id="102" w:name="_Toc13680"/>
      <w:bookmarkStart w:id="103" w:name="_Toc22680"/>
      <w:bookmarkStart w:id="104" w:name="_Toc6215"/>
      <w:bookmarkStart w:id="105" w:name="_Toc14993"/>
      <w:bookmarkStart w:id="106" w:name="_Toc18354"/>
      <w:bookmarkStart w:id="107" w:name="_Toc12319"/>
      <w:bookmarkStart w:id="108" w:name="_Toc13264"/>
      <w:bookmarkStart w:id="109" w:name="_Toc6249"/>
      <w:r>
        <w:rPr>
          <w:rFonts w:hint="eastAsia" w:ascii="仿宋" w:hAnsi="仿宋" w:eastAsia="仿宋" w:cs="仿宋"/>
          <w:b/>
          <w:bCs/>
          <w:caps w:val="0"/>
          <w:smallCaps w:val="0"/>
          <w:vanish w:val="0"/>
          <w:sz w:val="21"/>
          <w:szCs w:val="21"/>
          <w:highlight w:val="none"/>
        </w:rPr>
        <w:t>落实政府采购政策需满足的资格要求</w:t>
      </w:r>
      <w:r>
        <w:rPr>
          <w:rFonts w:hint="eastAsia" w:ascii="仿宋" w:hAnsi="仿宋" w:eastAsia="仿宋" w:cs="仿宋"/>
          <w:b/>
          <w:bCs/>
          <w:caps w:val="0"/>
          <w:smallCaps w:val="0"/>
          <w:vanish w:val="0"/>
          <w:sz w:val="21"/>
          <w:szCs w:val="21"/>
          <w:highlight w:val="none"/>
          <w:lang w:eastAsia="zh-CN"/>
        </w:rPr>
        <w:t>：</w:t>
      </w:r>
      <w:r>
        <w:rPr>
          <w:rFonts w:hint="eastAsia" w:ascii="仿宋" w:hAnsi="仿宋" w:eastAsia="仿宋" w:cs="仿宋"/>
          <w:b w:val="0"/>
          <w:bCs w:val="0"/>
          <w:sz w:val="21"/>
          <w:szCs w:val="21"/>
          <w:highlight w:val="none"/>
        </w:rPr>
        <w:t>本项目</w:t>
      </w:r>
      <w:r>
        <w:rPr>
          <w:rFonts w:hint="eastAsia" w:ascii="仿宋" w:hAnsi="仿宋" w:eastAsia="仿宋" w:cs="仿宋"/>
          <w:b w:val="0"/>
          <w:bCs w:val="0"/>
          <w:sz w:val="21"/>
          <w:szCs w:val="21"/>
          <w:highlight w:val="none"/>
          <w:lang w:val="en-US" w:eastAsia="zh-CN"/>
        </w:rPr>
        <w:t>非</w:t>
      </w:r>
      <w:r>
        <w:rPr>
          <w:rFonts w:hint="eastAsia" w:ascii="仿宋" w:hAnsi="仿宋" w:eastAsia="仿宋" w:cs="仿宋"/>
          <w:b w:val="0"/>
          <w:bCs w:val="0"/>
          <w:sz w:val="21"/>
          <w:szCs w:val="21"/>
          <w:highlight w:val="none"/>
        </w:rPr>
        <w:t>专门面向中小企业</w:t>
      </w:r>
      <w:r>
        <w:rPr>
          <w:rFonts w:hint="eastAsia" w:ascii="仿宋" w:hAnsi="仿宋" w:eastAsia="仿宋" w:cs="仿宋"/>
          <w:b w:val="0"/>
          <w:bCs w:val="0"/>
          <w:sz w:val="21"/>
          <w:szCs w:val="21"/>
          <w:highlight w:val="none"/>
          <w:lang w:eastAsia="zh-CN"/>
        </w:rPr>
        <w:t>。</w:t>
      </w:r>
    </w:p>
    <w:p>
      <w:pPr>
        <w:pStyle w:val="115"/>
        <w:snapToGrid w:val="0"/>
        <w:spacing w:line="480" w:lineRule="exact"/>
        <w:ind w:firstLine="422" w:firstLineChars="200"/>
        <w:rPr>
          <w:rFonts w:hint="eastAsia" w:ascii="仿宋" w:hAnsi="仿宋" w:eastAsia="仿宋" w:cs="仿宋"/>
          <w:b/>
          <w:sz w:val="21"/>
          <w:szCs w:val="21"/>
          <w:highlight w:val="none"/>
        </w:rPr>
      </w:pPr>
      <w:r>
        <w:rPr>
          <w:rFonts w:hint="eastAsia" w:ascii="仿宋" w:hAnsi="仿宋" w:eastAsia="仿宋" w:cs="仿宋"/>
          <w:b/>
          <w:bCs/>
          <w:sz w:val="21"/>
          <w:szCs w:val="21"/>
          <w:highlight w:val="none"/>
          <w:lang w:val="en-US" w:eastAsia="zh-CN"/>
        </w:rPr>
        <w:t>（三）</w:t>
      </w:r>
      <w:r>
        <w:rPr>
          <w:rFonts w:hint="eastAsia" w:ascii="仿宋" w:hAnsi="仿宋" w:eastAsia="仿宋" w:cs="仿宋"/>
          <w:b/>
          <w:sz w:val="21"/>
          <w:szCs w:val="21"/>
          <w:highlight w:val="none"/>
        </w:rPr>
        <w:t>本项目</w:t>
      </w:r>
      <w:r>
        <w:rPr>
          <w:rFonts w:hint="eastAsia" w:ascii="仿宋" w:hAnsi="仿宋" w:eastAsia="仿宋" w:cs="仿宋"/>
          <w:b/>
          <w:sz w:val="21"/>
          <w:szCs w:val="21"/>
          <w:highlight w:val="none"/>
          <w:u w:val="single"/>
        </w:rPr>
        <w:t>不接受</w:t>
      </w:r>
      <w:r>
        <w:rPr>
          <w:rFonts w:hint="eastAsia" w:ascii="仿宋" w:hAnsi="仿宋" w:eastAsia="仿宋" w:cs="仿宋"/>
          <w:b/>
          <w:sz w:val="21"/>
          <w:szCs w:val="21"/>
          <w:highlight w:val="none"/>
        </w:rPr>
        <w:t>联合体投标。</w:t>
      </w:r>
    </w:p>
    <w:p>
      <w:pPr>
        <w:spacing w:line="480" w:lineRule="exact"/>
        <w:ind w:firstLine="422" w:firstLineChars="200"/>
        <w:outlineLvl w:val="1"/>
        <w:rPr>
          <w:rFonts w:hint="eastAsia" w:ascii="仿宋" w:hAnsi="仿宋" w:eastAsia="仿宋" w:cs="仿宋"/>
          <w:b/>
          <w:sz w:val="21"/>
          <w:szCs w:val="21"/>
          <w:highlight w:val="none"/>
        </w:rPr>
      </w:pPr>
      <w:bookmarkStart w:id="110" w:name="_Toc13226"/>
      <w:bookmarkStart w:id="111" w:name="_Toc2062"/>
      <w:bookmarkStart w:id="112" w:name="_Toc17084"/>
      <w:r>
        <w:rPr>
          <w:rFonts w:hint="eastAsia" w:ascii="仿宋" w:hAnsi="仿宋" w:eastAsia="仿宋" w:cs="仿宋"/>
          <w:b/>
          <w:sz w:val="21"/>
          <w:szCs w:val="21"/>
          <w:highlight w:val="none"/>
        </w:rPr>
        <w:t>六、禁止参加本次采购活动的</w:t>
      </w:r>
      <w:bookmarkEnd w:id="97"/>
      <w:bookmarkEnd w:id="98"/>
      <w:bookmarkEnd w:id="99"/>
      <w:bookmarkEnd w:id="100"/>
      <w:bookmarkEnd w:id="101"/>
      <w:bookmarkEnd w:id="102"/>
      <w:bookmarkEnd w:id="103"/>
      <w:bookmarkEnd w:id="104"/>
      <w:bookmarkEnd w:id="105"/>
      <w:bookmarkEnd w:id="106"/>
      <w:r>
        <w:rPr>
          <w:rFonts w:hint="eastAsia" w:ascii="仿宋" w:hAnsi="仿宋" w:eastAsia="仿宋" w:cs="仿宋"/>
          <w:b/>
          <w:sz w:val="21"/>
          <w:szCs w:val="21"/>
          <w:highlight w:val="none"/>
        </w:rPr>
        <w:t>投标人</w:t>
      </w:r>
      <w:bookmarkEnd w:id="107"/>
      <w:bookmarkEnd w:id="108"/>
      <w:bookmarkEnd w:id="109"/>
      <w:bookmarkEnd w:id="110"/>
      <w:bookmarkEnd w:id="111"/>
      <w:bookmarkEnd w:id="112"/>
    </w:p>
    <w:p>
      <w:pPr>
        <w:pStyle w:val="115"/>
        <w:snapToGrid w:val="0"/>
        <w:spacing w:line="480" w:lineRule="exact"/>
        <w:ind w:firstLineChars="200"/>
        <w:rPr>
          <w:rFonts w:hint="eastAsia" w:ascii="仿宋" w:hAnsi="仿宋" w:eastAsia="仿宋" w:cs="仿宋"/>
          <w:sz w:val="21"/>
          <w:szCs w:val="21"/>
          <w:highlight w:val="none"/>
        </w:rPr>
      </w:pPr>
      <w:bookmarkStart w:id="113" w:name="PO_默认文件内容_7"/>
      <w:bookmarkStart w:id="114" w:name="_Toc22949"/>
      <w:bookmarkStart w:id="115" w:name="_Toc14064"/>
      <w:bookmarkStart w:id="116" w:name="_Toc4428"/>
      <w:bookmarkStart w:id="117" w:name="_Toc28849"/>
      <w:bookmarkStart w:id="118" w:name="_Toc10077"/>
      <w:bookmarkStart w:id="119" w:name="_Toc22654"/>
      <w:bookmarkStart w:id="120" w:name="_Toc2307"/>
      <w:bookmarkStart w:id="121" w:name="_Toc8152"/>
      <w:bookmarkStart w:id="122" w:name="_Toc16566"/>
      <w:bookmarkStart w:id="123" w:name="_Toc6606"/>
      <w:r>
        <w:rPr>
          <w:rFonts w:hint="eastAsia" w:ascii="仿宋" w:hAnsi="仿宋" w:eastAsia="仿宋" w:cs="仿宋"/>
          <w:sz w:val="21"/>
          <w:szCs w:val="21"/>
          <w:highlight w:val="none"/>
        </w:rPr>
        <w:t>1、按照《四川省公共资源交易领域严重失信联合惩戒实施办法》（川发改信用规〔2019〕405号）、《关于对政府采购领域严重违法失信主体开展联合惩戒的合作备忘录》（发改财金〔2018〕1614号）等规定，对记入诚信档案的且在有效期内的失信供应商，禁止参加本项目的采购活动。</w:t>
      </w:r>
    </w:p>
    <w:p>
      <w:pPr>
        <w:pStyle w:val="115"/>
        <w:snapToGrid w:val="0"/>
        <w:spacing w:line="480" w:lineRule="exact"/>
        <w:ind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根据《关于在政府采购活动中查询及使用信用记录有关问题的通知》（财库〔2016〕125号）的要求，采购人/采购代理机构将通过“信用中国”网站（www.creditchina.gov.cn）、“中国政府采购网”网站（www.ccgp.gov.cn）等渠道查询供应商的信用记录并保存信用记录结果网页截图，拒绝列入失信被执行人名单、重大税收违法案件当事人名单、政府采购严重违法失信行为记录名单中的供应商参加本项目的采购活动</w:t>
      </w:r>
      <w:r>
        <w:rPr>
          <w:rFonts w:hint="eastAsia" w:ascii="仿宋" w:hAnsi="仿宋" w:eastAsia="仿宋" w:cs="仿宋"/>
          <w:sz w:val="21"/>
          <w:szCs w:val="21"/>
          <w:highlight w:val="none"/>
          <w:lang w:eastAsia="zh-CN"/>
        </w:rPr>
        <w:t>（注：</w:t>
      </w:r>
      <w:r>
        <w:rPr>
          <w:rFonts w:hint="eastAsia" w:ascii="仿宋" w:hAnsi="仿宋" w:eastAsia="仿宋" w:cs="仿宋"/>
          <w:sz w:val="21"/>
          <w:szCs w:val="21"/>
          <w:highlight w:val="none"/>
        </w:rPr>
        <w:t>采购人/采购代理机构</w:t>
      </w:r>
      <w:r>
        <w:rPr>
          <w:rFonts w:hint="eastAsia" w:ascii="仿宋" w:hAnsi="仿宋" w:eastAsia="仿宋" w:cs="仿宋"/>
          <w:sz w:val="21"/>
          <w:szCs w:val="21"/>
          <w:highlight w:val="none"/>
          <w:lang w:eastAsia="zh-CN"/>
        </w:rPr>
        <w:t>在投标截止当日查询供应商的信用记录）</w:t>
      </w:r>
      <w:r>
        <w:rPr>
          <w:rFonts w:hint="eastAsia" w:ascii="仿宋" w:hAnsi="仿宋" w:eastAsia="仿宋" w:cs="仿宋"/>
          <w:sz w:val="21"/>
          <w:szCs w:val="21"/>
          <w:highlight w:val="none"/>
        </w:rPr>
        <w:t>。</w:t>
      </w:r>
    </w:p>
    <w:bookmarkEnd w:id="113"/>
    <w:p>
      <w:pPr>
        <w:snapToGrid w:val="0"/>
        <w:spacing w:line="480" w:lineRule="exact"/>
        <w:ind w:firstLine="422" w:firstLineChars="200"/>
        <w:outlineLvl w:val="1"/>
        <w:rPr>
          <w:rFonts w:hint="eastAsia" w:ascii="仿宋" w:hAnsi="仿宋" w:eastAsia="仿宋" w:cs="仿宋"/>
          <w:b/>
          <w:sz w:val="21"/>
          <w:szCs w:val="21"/>
          <w:highlight w:val="none"/>
        </w:rPr>
      </w:pPr>
      <w:bookmarkStart w:id="124" w:name="_Toc17337"/>
      <w:bookmarkStart w:id="125" w:name="_Toc18665"/>
      <w:bookmarkStart w:id="126" w:name="_Toc17476"/>
      <w:bookmarkStart w:id="127" w:name="_Toc25633"/>
      <w:bookmarkStart w:id="128" w:name="_Toc31978"/>
      <w:bookmarkStart w:id="129" w:name="_Toc10102"/>
      <w:r>
        <w:rPr>
          <w:rFonts w:hint="eastAsia" w:ascii="仿宋" w:hAnsi="仿宋" w:eastAsia="仿宋" w:cs="仿宋"/>
          <w:b/>
          <w:sz w:val="21"/>
          <w:szCs w:val="21"/>
          <w:highlight w:val="none"/>
        </w:rPr>
        <w:t>七、获取招标文件的时间、地点、方式及招标文件售价</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snapToGrid w:val="0"/>
        <w:spacing w:line="480" w:lineRule="exact"/>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（一）时间：202</w:t>
      </w:r>
      <w:r>
        <w:rPr>
          <w:rFonts w:hint="eastAsia" w:ascii="仿宋" w:hAnsi="仿宋" w:eastAsia="仿宋" w:cs="仿宋"/>
          <w:bCs/>
          <w:sz w:val="21"/>
          <w:szCs w:val="21"/>
          <w:highlight w:val="none"/>
          <w:lang w:val="en-US" w:eastAsia="zh-CN"/>
        </w:rPr>
        <w:t>2</w:t>
      </w:r>
      <w:r>
        <w:rPr>
          <w:rFonts w:hint="eastAsia" w:ascii="仿宋" w:hAnsi="仿宋" w:eastAsia="仿宋" w:cs="仿宋"/>
          <w:bCs/>
          <w:sz w:val="21"/>
          <w:szCs w:val="21"/>
          <w:highlight w:val="none"/>
        </w:rPr>
        <w:t>年</w:t>
      </w:r>
      <w:r>
        <w:rPr>
          <w:rFonts w:hint="eastAsia" w:ascii="仿宋" w:hAnsi="仿宋" w:eastAsia="仿宋" w:cs="仿宋"/>
          <w:bCs/>
          <w:sz w:val="21"/>
          <w:szCs w:val="21"/>
          <w:highlight w:val="none"/>
          <w:lang w:val="en-US" w:eastAsia="zh-CN"/>
        </w:rPr>
        <w:t>1</w:t>
      </w:r>
      <w:r>
        <w:rPr>
          <w:rFonts w:hint="eastAsia" w:ascii="仿宋" w:hAnsi="仿宋" w:eastAsia="仿宋" w:cs="仿宋"/>
          <w:bCs/>
          <w:sz w:val="21"/>
          <w:szCs w:val="21"/>
          <w:highlight w:val="none"/>
        </w:rPr>
        <w:t>月</w:t>
      </w:r>
      <w:r>
        <w:rPr>
          <w:rFonts w:hint="eastAsia" w:ascii="仿宋" w:hAnsi="仿宋" w:eastAsia="仿宋" w:cs="仿宋"/>
          <w:bCs/>
          <w:sz w:val="21"/>
          <w:szCs w:val="21"/>
          <w:highlight w:val="none"/>
          <w:lang w:val="en-US" w:eastAsia="zh-CN"/>
        </w:rPr>
        <w:t>30</w:t>
      </w:r>
      <w:r>
        <w:rPr>
          <w:rFonts w:hint="eastAsia" w:ascii="仿宋" w:hAnsi="仿宋" w:eastAsia="仿宋" w:cs="仿宋"/>
          <w:bCs/>
          <w:sz w:val="21"/>
          <w:szCs w:val="21"/>
          <w:highlight w:val="none"/>
        </w:rPr>
        <w:t>日到202</w:t>
      </w:r>
      <w:r>
        <w:rPr>
          <w:rFonts w:hint="eastAsia" w:ascii="仿宋" w:hAnsi="仿宋" w:eastAsia="仿宋" w:cs="仿宋"/>
          <w:bCs/>
          <w:sz w:val="21"/>
          <w:szCs w:val="21"/>
          <w:highlight w:val="none"/>
          <w:lang w:val="en-US" w:eastAsia="zh-CN"/>
        </w:rPr>
        <w:t>2</w:t>
      </w:r>
      <w:r>
        <w:rPr>
          <w:rFonts w:hint="eastAsia" w:ascii="仿宋" w:hAnsi="仿宋" w:eastAsia="仿宋" w:cs="仿宋"/>
          <w:bCs/>
          <w:sz w:val="21"/>
          <w:szCs w:val="21"/>
          <w:highlight w:val="none"/>
        </w:rPr>
        <w:t>年</w:t>
      </w:r>
      <w:r>
        <w:rPr>
          <w:rFonts w:hint="eastAsia" w:ascii="仿宋" w:hAnsi="仿宋" w:eastAsia="仿宋" w:cs="仿宋"/>
          <w:bCs/>
          <w:sz w:val="21"/>
          <w:szCs w:val="21"/>
          <w:highlight w:val="none"/>
          <w:lang w:val="en-US" w:eastAsia="zh-CN"/>
        </w:rPr>
        <w:t>2</w:t>
      </w:r>
      <w:r>
        <w:rPr>
          <w:rFonts w:hint="eastAsia" w:ascii="仿宋" w:hAnsi="仿宋" w:eastAsia="仿宋" w:cs="仿宋"/>
          <w:bCs/>
          <w:sz w:val="21"/>
          <w:szCs w:val="21"/>
          <w:highlight w:val="none"/>
        </w:rPr>
        <w:t>月</w:t>
      </w:r>
      <w:r>
        <w:rPr>
          <w:rFonts w:hint="eastAsia" w:ascii="仿宋" w:hAnsi="仿宋" w:eastAsia="仿宋" w:cs="仿宋"/>
          <w:bCs/>
          <w:sz w:val="21"/>
          <w:szCs w:val="21"/>
          <w:highlight w:val="none"/>
          <w:lang w:val="en-US" w:eastAsia="zh-CN"/>
        </w:rPr>
        <w:t>11</w:t>
      </w:r>
      <w:r>
        <w:rPr>
          <w:rFonts w:hint="eastAsia" w:ascii="仿宋" w:hAnsi="仿宋" w:eastAsia="仿宋" w:cs="仿宋"/>
          <w:bCs/>
          <w:sz w:val="21"/>
          <w:szCs w:val="21"/>
          <w:highlight w:val="none"/>
        </w:rPr>
        <w:t>日（北京时间，法定节假日除外）。</w:t>
      </w:r>
    </w:p>
    <w:p>
      <w:pPr>
        <w:snapToGrid w:val="0"/>
        <w:spacing w:line="480" w:lineRule="exact"/>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（二）地点：</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政府采购云平台</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网址：</w:t>
      </w:r>
      <w:r>
        <w:rPr>
          <w:rFonts w:hint="eastAsia" w:ascii="仿宋" w:hAnsi="仿宋" w:eastAsia="仿宋" w:cs="仿宋"/>
          <w:bCs/>
          <w:sz w:val="21"/>
          <w:szCs w:val="21"/>
          <w:highlight w:val="none"/>
        </w:rPr>
        <w:fldChar w:fldCharType="begin"/>
      </w:r>
      <w:r>
        <w:rPr>
          <w:rFonts w:hint="eastAsia" w:ascii="仿宋" w:hAnsi="仿宋" w:eastAsia="仿宋" w:cs="仿宋"/>
          <w:bCs/>
          <w:sz w:val="21"/>
          <w:szCs w:val="21"/>
          <w:highlight w:val="none"/>
        </w:rPr>
        <w:instrText xml:space="preserve"> HYPERLINK "https://www.zcygov.cn" </w:instrText>
      </w:r>
      <w:r>
        <w:rPr>
          <w:rFonts w:hint="eastAsia" w:ascii="仿宋" w:hAnsi="仿宋" w:eastAsia="仿宋" w:cs="仿宋"/>
          <w:bCs/>
          <w:sz w:val="21"/>
          <w:szCs w:val="21"/>
          <w:highlight w:val="none"/>
        </w:rPr>
        <w:fldChar w:fldCharType="separate"/>
      </w:r>
      <w:r>
        <w:rPr>
          <w:rFonts w:hint="eastAsia" w:ascii="仿宋" w:hAnsi="仿宋" w:eastAsia="仿宋" w:cs="仿宋"/>
          <w:bCs/>
          <w:sz w:val="21"/>
          <w:szCs w:val="21"/>
          <w:highlight w:val="none"/>
        </w:rPr>
        <w:t>https://www.zcygov.cn</w:t>
      </w:r>
      <w:r>
        <w:rPr>
          <w:rFonts w:hint="eastAsia" w:ascii="仿宋" w:hAnsi="仿宋" w:eastAsia="仿宋" w:cs="仿宋"/>
          <w:bCs/>
          <w:sz w:val="21"/>
          <w:szCs w:val="21"/>
          <w:highlight w:val="none"/>
        </w:rPr>
        <w:fldChar w:fldCharType="end"/>
      </w:r>
      <w:r>
        <w:rPr>
          <w:rFonts w:hint="eastAsia" w:ascii="仿宋" w:hAnsi="仿宋" w:eastAsia="仿宋" w:cs="仿宋"/>
          <w:bCs/>
          <w:sz w:val="21"/>
          <w:szCs w:val="21"/>
          <w:highlight w:val="none"/>
          <w:lang w:eastAsia="zh-CN"/>
        </w:rPr>
        <w:t>）。</w:t>
      </w:r>
    </w:p>
    <w:p>
      <w:pPr>
        <w:snapToGrid w:val="0"/>
        <w:spacing w:line="480" w:lineRule="exact"/>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（三）方式：</w:t>
      </w:r>
      <w:r>
        <w:rPr>
          <w:rFonts w:hint="eastAsia" w:ascii="仿宋" w:hAnsi="仿宋" w:eastAsia="仿宋" w:cs="仿宋"/>
          <w:bCs/>
          <w:sz w:val="21"/>
          <w:szCs w:val="21"/>
          <w:highlight w:val="none"/>
          <w:lang w:eastAsia="zh-CN"/>
        </w:rPr>
        <w:t>供应商从</w:t>
      </w:r>
      <w:r>
        <w:rPr>
          <w:rFonts w:hint="eastAsia" w:ascii="仿宋" w:hAnsi="仿宋" w:eastAsia="仿宋" w:cs="仿宋"/>
          <w:bCs/>
          <w:sz w:val="21"/>
          <w:szCs w:val="21"/>
          <w:highlight w:val="none"/>
        </w:rPr>
        <w:t>“政府采购云平台”获取采购文件(网址：</w:t>
      </w:r>
      <w:r>
        <w:rPr>
          <w:rFonts w:hint="eastAsia" w:ascii="仿宋" w:hAnsi="仿宋" w:eastAsia="仿宋" w:cs="仿宋"/>
          <w:bCs/>
          <w:sz w:val="21"/>
          <w:szCs w:val="21"/>
          <w:highlight w:val="none"/>
        </w:rPr>
        <w:fldChar w:fldCharType="begin"/>
      </w:r>
      <w:r>
        <w:rPr>
          <w:rFonts w:hint="eastAsia" w:ascii="仿宋" w:hAnsi="仿宋" w:eastAsia="仿宋" w:cs="仿宋"/>
          <w:bCs/>
          <w:sz w:val="21"/>
          <w:szCs w:val="21"/>
          <w:highlight w:val="none"/>
        </w:rPr>
        <w:instrText xml:space="preserve"> HYPERLINK "https://www.zcygov.cn)。登录\“政府采购云平台\”—项目采购—获取采购文件—申请获取采购文件。" </w:instrText>
      </w:r>
      <w:r>
        <w:rPr>
          <w:rFonts w:hint="eastAsia" w:ascii="仿宋" w:hAnsi="仿宋" w:eastAsia="仿宋" w:cs="仿宋"/>
          <w:bCs/>
          <w:sz w:val="21"/>
          <w:szCs w:val="21"/>
          <w:highlight w:val="none"/>
        </w:rPr>
        <w:fldChar w:fldCharType="separate"/>
      </w:r>
      <w:r>
        <w:rPr>
          <w:rFonts w:hint="eastAsia" w:ascii="仿宋" w:hAnsi="仿宋" w:eastAsia="仿宋" w:cs="仿宋"/>
          <w:bCs/>
          <w:sz w:val="21"/>
          <w:szCs w:val="21"/>
          <w:highlight w:val="none"/>
        </w:rPr>
        <w:t>https://www.zcygov.cn)。登录“政府采购云平台”—项目采购—获取采购文件—申请获取采购文件。</w:t>
      </w:r>
      <w:r>
        <w:rPr>
          <w:rFonts w:hint="eastAsia" w:ascii="仿宋" w:hAnsi="仿宋" w:eastAsia="仿宋" w:cs="仿宋"/>
          <w:bCs/>
          <w:sz w:val="21"/>
          <w:szCs w:val="21"/>
          <w:highlight w:val="none"/>
        </w:rPr>
        <w:fldChar w:fldCharType="end"/>
      </w:r>
    </w:p>
    <w:p>
      <w:pPr>
        <w:snapToGrid w:val="0"/>
        <w:spacing w:line="480" w:lineRule="exact"/>
        <w:ind w:firstLine="420" w:firstLineChars="200"/>
        <w:outlineLvl w:val="1"/>
        <w:rPr>
          <w:rFonts w:hint="eastAsia" w:ascii="仿宋" w:hAnsi="仿宋" w:eastAsia="仿宋" w:cs="仿宋"/>
          <w:b w:val="0"/>
          <w:bCs/>
          <w:sz w:val="21"/>
          <w:szCs w:val="21"/>
          <w:highlight w:val="none"/>
        </w:rPr>
      </w:pPr>
      <w:bookmarkStart w:id="130" w:name="_Toc32513"/>
      <w:bookmarkStart w:id="131" w:name="_Toc26023"/>
      <w:bookmarkStart w:id="132" w:name="_Toc27311"/>
      <w:bookmarkStart w:id="133" w:name="_Toc10559"/>
      <w:bookmarkStart w:id="134" w:name="_Toc19834"/>
      <w:bookmarkStart w:id="135" w:name="_Toc29121"/>
      <w:bookmarkStart w:id="136" w:name="_Toc31584"/>
      <w:bookmarkStart w:id="137" w:name="_Toc9008"/>
      <w:bookmarkStart w:id="138" w:name="_Toc939"/>
      <w:bookmarkStart w:id="139" w:name="_Toc28902"/>
      <w:bookmarkStart w:id="140" w:name="_Toc30545"/>
      <w:bookmarkStart w:id="141" w:name="_Toc19182"/>
      <w:bookmarkStart w:id="142" w:name="_Toc30477"/>
      <w:bookmarkStart w:id="143" w:name="_Toc10677"/>
      <w:bookmarkStart w:id="144" w:name="_Toc4108"/>
      <w:bookmarkStart w:id="145" w:name="_Toc26920"/>
      <w:r>
        <w:rPr>
          <w:rFonts w:hint="eastAsia" w:ascii="仿宋" w:hAnsi="仿宋" w:eastAsia="仿宋" w:cs="仿宋"/>
          <w:b w:val="0"/>
          <w:bCs/>
          <w:sz w:val="21"/>
          <w:szCs w:val="21"/>
          <w:highlight w:val="none"/>
        </w:rPr>
        <w:t>提示：</w:t>
      </w:r>
      <w:bookmarkEnd w:id="130"/>
    </w:p>
    <w:p>
      <w:pPr>
        <w:snapToGrid w:val="0"/>
        <w:spacing w:line="480" w:lineRule="exact"/>
        <w:ind w:firstLine="420" w:firstLineChars="200"/>
        <w:outlineLvl w:val="1"/>
        <w:rPr>
          <w:rFonts w:hint="eastAsia" w:ascii="仿宋" w:hAnsi="仿宋" w:eastAsia="仿宋" w:cs="仿宋"/>
          <w:b w:val="0"/>
          <w:bCs/>
          <w:sz w:val="21"/>
          <w:szCs w:val="21"/>
          <w:highlight w:val="none"/>
        </w:rPr>
      </w:pPr>
      <w:bookmarkStart w:id="146" w:name="_Toc8861"/>
      <w:r>
        <w:rPr>
          <w:rFonts w:hint="eastAsia" w:ascii="仿宋" w:hAnsi="仿宋" w:eastAsia="仿宋" w:cs="仿宋"/>
          <w:b w:val="0"/>
          <w:bCs/>
          <w:sz w:val="21"/>
          <w:szCs w:val="21"/>
          <w:highlight w:val="none"/>
        </w:rPr>
        <w:t>（1）本项目招标文件免费获取。</w:t>
      </w:r>
      <w:bookmarkEnd w:id="146"/>
    </w:p>
    <w:p>
      <w:pPr>
        <w:snapToGrid w:val="0"/>
        <w:spacing w:line="480" w:lineRule="exact"/>
        <w:ind w:firstLine="422" w:firstLineChars="200"/>
        <w:outlineLvl w:val="1"/>
        <w:rPr>
          <w:rFonts w:hint="eastAsia" w:ascii="仿宋" w:hAnsi="仿宋" w:eastAsia="仿宋" w:cs="仿宋"/>
          <w:b w:val="0"/>
          <w:bCs/>
          <w:sz w:val="21"/>
          <w:szCs w:val="21"/>
          <w:highlight w:val="none"/>
        </w:rPr>
      </w:pPr>
      <w:bookmarkStart w:id="147" w:name="_Toc20480"/>
      <w:r>
        <w:rPr>
          <w:rFonts w:hint="eastAsia" w:ascii="仿宋" w:hAnsi="仿宋" w:eastAsia="仿宋" w:cs="仿宋"/>
          <w:b/>
          <w:bCs w:val="0"/>
          <w:sz w:val="21"/>
          <w:szCs w:val="21"/>
          <w:highlight w:val="none"/>
        </w:rPr>
        <w:t>（2）</w:t>
      </w:r>
      <w:r>
        <w:rPr>
          <w:rFonts w:hint="eastAsia" w:ascii="仿宋" w:hAnsi="仿宋" w:eastAsia="仿宋" w:cs="仿宋"/>
          <w:b/>
          <w:bCs w:val="0"/>
          <w:sz w:val="21"/>
          <w:szCs w:val="21"/>
          <w:highlight w:val="none"/>
          <w:lang w:eastAsia="zh-CN"/>
        </w:rPr>
        <w:t>供应商</w:t>
      </w:r>
      <w:r>
        <w:rPr>
          <w:rFonts w:hint="eastAsia" w:ascii="仿宋" w:hAnsi="仿宋" w:eastAsia="仿宋" w:cs="仿宋"/>
          <w:b/>
          <w:bCs w:val="0"/>
          <w:sz w:val="21"/>
          <w:szCs w:val="21"/>
          <w:highlight w:val="none"/>
        </w:rPr>
        <w:t>只有在“政府采购云平台”完成获取招标文件申请并下载</w:t>
      </w:r>
      <w:r>
        <w:rPr>
          <w:rFonts w:hint="eastAsia" w:ascii="仿宋" w:hAnsi="仿宋" w:eastAsia="仿宋" w:cs="仿宋"/>
          <w:b/>
          <w:bCs w:val="0"/>
          <w:sz w:val="21"/>
          <w:szCs w:val="21"/>
          <w:highlight w:val="none"/>
          <w:lang w:val="en-US" w:eastAsia="zh-CN"/>
        </w:rPr>
        <w:t>招标文件</w:t>
      </w:r>
      <w:r>
        <w:rPr>
          <w:rFonts w:hint="eastAsia" w:ascii="仿宋" w:hAnsi="仿宋" w:eastAsia="仿宋" w:cs="仿宋"/>
          <w:b/>
          <w:bCs w:val="0"/>
          <w:sz w:val="21"/>
          <w:szCs w:val="21"/>
          <w:highlight w:val="none"/>
        </w:rPr>
        <w:t>后才视作依法参与本项目。如未在“政府采购云平台”内完成相关流程，引起的</w:t>
      </w:r>
      <w:r>
        <w:rPr>
          <w:rFonts w:hint="eastAsia" w:ascii="仿宋" w:hAnsi="仿宋" w:eastAsia="仿宋" w:cs="仿宋"/>
          <w:b/>
          <w:bCs w:val="0"/>
          <w:sz w:val="21"/>
          <w:szCs w:val="21"/>
          <w:highlight w:val="none"/>
          <w:lang w:eastAsia="zh-CN"/>
        </w:rPr>
        <w:t>参与采购项目（</w:t>
      </w:r>
      <w:r>
        <w:rPr>
          <w:rFonts w:hint="eastAsia" w:ascii="仿宋" w:hAnsi="仿宋" w:eastAsia="仿宋" w:cs="仿宋"/>
          <w:b/>
          <w:bCs w:val="0"/>
          <w:sz w:val="21"/>
          <w:szCs w:val="21"/>
          <w:highlight w:val="none"/>
        </w:rPr>
        <w:t>投标</w:t>
      </w:r>
      <w:r>
        <w:rPr>
          <w:rFonts w:hint="eastAsia" w:ascii="仿宋" w:hAnsi="仿宋" w:eastAsia="仿宋" w:cs="仿宋"/>
          <w:b/>
          <w:bCs w:val="0"/>
          <w:sz w:val="21"/>
          <w:szCs w:val="21"/>
          <w:highlight w:val="none"/>
          <w:lang w:eastAsia="zh-CN"/>
        </w:rPr>
        <w:t>）</w:t>
      </w:r>
      <w:r>
        <w:rPr>
          <w:rFonts w:hint="eastAsia" w:ascii="仿宋" w:hAnsi="仿宋" w:eastAsia="仿宋" w:cs="仿宋"/>
          <w:b/>
          <w:bCs w:val="0"/>
          <w:sz w:val="21"/>
          <w:szCs w:val="21"/>
          <w:highlight w:val="none"/>
        </w:rPr>
        <w:t>无效</w:t>
      </w:r>
      <w:r>
        <w:rPr>
          <w:rFonts w:hint="eastAsia" w:ascii="仿宋" w:hAnsi="仿宋" w:eastAsia="仿宋" w:cs="仿宋"/>
          <w:b/>
          <w:bCs w:val="0"/>
          <w:sz w:val="21"/>
          <w:szCs w:val="21"/>
          <w:highlight w:val="none"/>
          <w:lang w:eastAsia="zh-CN"/>
        </w:rPr>
        <w:t>相应</w:t>
      </w:r>
      <w:r>
        <w:rPr>
          <w:rFonts w:hint="eastAsia" w:ascii="仿宋" w:hAnsi="仿宋" w:eastAsia="仿宋" w:cs="仿宋"/>
          <w:b/>
          <w:bCs w:val="0"/>
          <w:sz w:val="21"/>
          <w:szCs w:val="21"/>
          <w:highlight w:val="none"/>
        </w:rPr>
        <w:t>责任自负</w:t>
      </w:r>
      <w:r>
        <w:rPr>
          <w:rFonts w:hint="eastAsia" w:ascii="仿宋" w:hAnsi="仿宋" w:eastAsia="仿宋" w:cs="仿宋"/>
          <w:b w:val="0"/>
          <w:bCs/>
          <w:sz w:val="21"/>
          <w:szCs w:val="21"/>
          <w:highlight w:val="none"/>
        </w:rPr>
        <w:t>。</w:t>
      </w:r>
      <w:bookmarkEnd w:id="147"/>
    </w:p>
    <w:p>
      <w:pPr>
        <w:snapToGrid w:val="0"/>
        <w:spacing w:line="480" w:lineRule="exact"/>
        <w:ind w:firstLine="420" w:firstLineChars="200"/>
        <w:outlineLvl w:val="1"/>
        <w:rPr>
          <w:rFonts w:hint="eastAsia" w:ascii="仿宋" w:hAnsi="仿宋" w:eastAsia="仿宋" w:cs="仿宋"/>
          <w:b w:val="0"/>
          <w:bCs/>
          <w:sz w:val="21"/>
          <w:szCs w:val="21"/>
          <w:highlight w:val="none"/>
        </w:rPr>
      </w:pPr>
      <w:bookmarkStart w:id="148" w:name="_Toc18841"/>
      <w:r>
        <w:rPr>
          <w:rFonts w:hint="eastAsia" w:ascii="仿宋" w:hAnsi="仿宋" w:eastAsia="仿宋" w:cs="仿宋"/>
          <w:b w:val="0"/>
          <w:bCs/>
          <w:sz w:val="21"/>
          <w:szCs w:val="21"/>
          <w:highlight w:val="none"/>
        </w:rPr>
        <w:t>（</w:t>
      </w:r>
      <w:r>
        <w:rPr>
          <w:rFonts w:hint="eastAsia" w:ascii="仿宋" w:hAnsi="仿宋" w:eastAsia="仿宋" w:cs="仿宋"/>
          <w:b w:val="0"/>
          <w:bCs/>
          <w:sz w:val="21"/>
          <w:szCs w:val="21"/>
          <w:highlight w:val="none"/>
          <w:lang w:val="en-US" w:eastAsia="zh-CN"/>
        </w:rPr>
        <w:t>3</w:t>
      </w:r>
      <w:r>
        <w:rPr>
          <w:rFonts w:hint="eastAsia" w:ascii="仿宋" w:hAnsi="仿宋" w:eastAsia="仿宋" w:cs="仿宋"/>
          <w:b w:val="0"/>
          <w:bCs/>
          <w:sz w:val="21"/>
          <w:szCs w:val="21"/>
          <w:highlight w:val="none"/>
        </w:rPr>
        <w:t>）政府采购云平台投标人注册地址：</w:t>
      </w:r>
      <w:r>
        <w:rPr>
          <w:rFonts w:hint="eastAsia" w:ascii="仿宋" w:hAnsi="仿宋" w:eastAsia="仿宋" w:cs="仿宋"/>
          <w:b w:val="0"/>
          <w:bCs/>
          <w:sz w:val="21"/>
          <w:szCs w:val="21"/>
          <w:highlight w:val="none"/>
        </w:rPr>
        <w:fldChar w:fldCharType="begin"/>
      </w:r>
      <w:r>
        <w:rPr>
          <w:rFonts w:hint="eastAsia" w:ascii="仿宋" w:hAnsi="仿宋" w:eastAsia="仿宋" w:cs="仿宋"/>
          <w:b w:val="0"/>
          <w:bCs/>
          <w:sz w:val="21"/>
          <w:szCs w:val="21"/>
          <w:highlight w:val="none"/>
        </w:rPr>
        <w:instrText xml:space="preserve"> HYPERLINK "https://middle.zcygov.cn/v-settle-front/registry" </w:instrText>
      </w:r>
      <w:r>
        <w:rPr>
          <w:rFonts w:hint="eastAsia" w:ascii="仿宋" w:hAnsi="仿宋" w:eastAsia="仿宋" w:cs="仿宋"/>
          <w:b w:val="0"/>
          <w:bCs/>
          <w:sz w:val="21"/>
          <w:szCs w:val="21"/>
          <w:highlight w:val="none"/>
        </w:rPr>
        <w:fldChar w:fldCharType="separate"/>
      </w:r>
      <w:r>
        <w:rPr>
          <w:rFonts w:hint="eastAsia" w:ascii="仿宋" w:hAnsi="仿宋" w:eastAsia="仿宋" w:cs="仿宋"/>
          <w:b w:val="0"/>
          <w:bCs/>
          <w:sz w:val="21"/>
          <w:szCs w:val="21"/>
          <w:highlight w:val="none"/>
        </w:rPr>
        <w:t>https://middle.zcygov.cn/v-settle-front/registry</w:t>
      </w:r>
      <w:r>
        <w:rPr>
          <w:rFonts w:hint="eastAsia" w:ascii="仿宋" w:hAnsi="仿宋" w:eastAsia="仿宋" w:cs="仿宋"/>
          <w:b w:val="0"/>
          <w:bCs/>
          <w:sz w:val="21"/>
          <w:szCs w:val="21"/>
          <w:highlight w:val="none"/>
        </w:rPr>
        <w:fldChar w:fldCharType="end"/>
      </w:r>
      <w:bookmarkEnd w:id="148"/>
    </w:p>
    <w:p>
      <w:pPr>
        <w:snapToGrid w:val="0"/>
        <w:spacing w:line="480" w:lineRule="exact"/>
        <w:ind w:firstLine="422" w:firstLineChars="200"/>
        <w:outlineLvl w:val="1"/>
        <w:rPr>
          <w:rFonts w:hint="eastAsia" w:ascii="仿宋" w:hAnsi="仿宋" w:eastAsia="仿宋" w:cs="仿宋"/>
          <w:bCs/>
          <w:sz w:val="21"/>
          <w:szCs w:val="21"/>
          <w:highlight w:val="none"/>
        </w:rPr>
      </w:pPr>
      <w:bookmarkStart w:id="149" w:name="_Toc14946"/>
      <w:r>
        <w:rPr>
          <w:rFonts w:hint="eastAsia" w:ascii="仿宋" w:hAnsi="仿宋" w:eastAsia="仿宋" w:cs="仿宋"/>
          <w:b/>
          <w:sz w:val="21"/>
          <w:szCs w:val="21"/>
          <w:highlight w:val="none"/>
        </w:rPr>
        <w:t>八、投标截止时间和开标时间：</w:t>
      </w:r>
      <w:r>
        <w:rPr>
          <w:rFonts w:hint="eastAsia" w:ascii="仿宋" w:hAnsi="仿宋" w:eastAsia="仿宋" w:cs="仿宋"/>
          <w:bCs/>
          <w:sz w:val="21"/>
          <w:szCs w:val="21"/>
          <w:highlight w:val="none"/>
        </w:rPr>
        <w:t>202</w:t>
      </w:r>
      <w:r>
        <w:rPr>
          <w:rFonts w:hint="eastAsia" w:ascii="仿宋" w:hAnsi="仿宋" w:eastAsia="仿宋" w:cs="仿宋"/>
          <w:bCs/>
          <w:sz w:val="21"/>
          <w:szCs w:val="21"/>
          <w:highlight w:val="none"/>
          <w:lang w:val="en-US" w:eastAsia="zh-CN"/>
        </w:rPr>
        <w:t>2</w:t>
      </w:r>
      <w:r>
        <w:rPr>
          <w:rFonts w:hint="eastAsia" w:ascii="仿宋" w:hAnsi="仿宋" w:eastAsia="仿宋" w:cs="仿宋"/>
          <w:bCs/>
          <w:sz w:val="21"/>
          <w:szCs w:val="21"/>
          <w:highlight w:val="none"/>
        </w:rPr>
        <w:t>年</w:t>
      </w:r>
      <w:r>
        <w:rPr>
          <w:rFonts w:hint="eastAsia" w:ascii="仿宋" w:hAnsi="仿宋" w:eastAsia="仿宋" w:cs="仿宋"/>
          <w:bCs/>
          <w:sz w:val="21"/>
          <w:szCs w:val="21"/>
          <w:highlight w:val="none"/>
          <w:lang w:val="en-US" w:eastAsia="zh-CN"/>
        </w:rPr>
        <w:t>2</w:t>
      </w:r>
      <w:r>
        <w:rPr>
          <w:rFonts w:hint="eastAsia" w:ascii="仿宋" w:hAnsi="仿宋" w:eastAsia="仿宋" w:cs="仿宋"/>
          <w:bCs/>
          <w:sz w:val="21"/>
          <w:szCs w:val="21"/>
          <w:highlight w:val="none"/>
        </w:rPr>
        <w:t>月</w:t>
      </w:r>
      <w:r>
        <w:rPr>
          <w:rFonts w:hint="eastAsia" w:ascii="仿宋" w:hAnsi="仿宋" w:eastAsia="仿宋" w:cs="仿宋"/>
          <w:bCs/>
          <w:sz w:val="21"/>
          <w:szCs w:val="21"/>
          <w:highlight w:val="none"/>
          <w:lang w:val="en-US" w:eastAsia="zh-CN"/>
        </w:rPr>
        <w:t>21</w:t>
      </w:r>
      <w:r>
        <w:rPr>
          <w:rFonts w:hint="eastAsia" w:ascii="仿宋" w:hAnsi="仿宋" w:eastAsia="仿宋" w:cs="仿宋"/>
          <w:bCs/>
          <w:sz w:val="21"/>
          <w:szCs w:val="21"/>
          <w:highlight w:val="none"/>
        </w:rPr>
        <w:t>日1</w:t>
      </w:r>
      <w:r>
        <w:rPr>
          <w:rFonts w:hint="eastAsia" w:ascii="仿宋" w:hAnsi="仿宋" w:eastAsia="仿宋" w:cs="仿宋"/>
          <w:bCs/>
          <w:sz w:val="21"/>
          <w:szCs w:val="21"/>
          <w:highlight w:val="none"/>
          <w:lang w:val="en-US" w:eastAsia="zh-CN"/>
        </w:rPr>
        <w:t>0时3</w:t>
      </w:r>
      <w:r>
        <w:rPr>
          <w:rFonts w:hint="eastAsia" w:ascii="仿宋" w:hAnsi="仿宋" w:eastAsia="仿宋" w:cs="仿宋"/>
          <w:bCs/>
          <w:sz w:val="21"/>
          <w:szCs w:val="21"/>
          <w:highlight w:val="none"/>
        </w:rPr>
        <w:t>0</w:t>
      </w:r>
      <w:r>
        <w:rPr>
          <w:rFonts w:hint="eastAsia" w:ascii="仿宋" w:hAnsi="仿宋" w:eastAsia="仿宋" w:cs="仿宋"/>
          <w:bCs/>
          <w:sz w:val="21"/>
          <w:szCs w:val="21"/>
          <w:highlight w:val="none"/>
          <w:lang w:eastAsia="zh-CN"/>
        </w:rPr>
        <w:t>分</w:t>
      </w:r>
      <w:r>
        <w:rPr>
          <w:rFonts w:hint="eastAsia" w:ascii="仿宋" w:hAnsi="仿宋" w:eastAsia="仿宋" w:cs="仿宋"/>
          <w:bCs/>
          <w:sz w:val="21"/>
          <w:szCs w:val="21"/>
          <w:highlight w:val="none"/>
        </w:rPr>
        <w:t>（北京时间）</w:t>
      </w:r>
      <w:bookmarkEnd w:id="131"/>
      <w:bookmarkEnd w:id="132"/>
      <w:bookmarkEnd w:id="133"/>
      <w:bookmarkEnd w:id="134"/>
      <w:bookmarkEnd w:id="135"/>
      <w:bookmarkEnd w:id="149"/>
    </w:p>
    <w:bookmarkEnd w:id="136"/>
    <w:bookmarkEnd w:id="137"/>
    <w:bookmarkEnd w:id="138"/>
    <w:bookmarkEnd w:id="139"/>
    <w:bookmarkEnd w:id="140"/>
    <w:bookmarkEnd w:id="141"/>
    <w:bookmarkEnd w:id="142"/>
    <w:bookmarkEnd w:id="143"/>
    <w:bookmarkEnd w:id="144"/>
    <w:bookmarkEnd w:id="145"/>
    <w:p>
      <w:pPr>
        <w:snapToGrid w:val="0"/>
        <w:spacing w:line="480" w:lineRule="exact"/>
        <w:ind w:firstLine="420" w:firstLineChars="200"/>
        <w:rPr>
          <w:rFonts w:hint="eastAsia" w:ascii="仿宋" w:hAnsi="仿宋" w:eastAsia="仿宋" w:cs="仿宋"/>
          <w:b w:val="0"/>
          <w:bCs w:val="0"/>
          <w:sz w:val="21"/>
          <w:szCs w:val="21"/>
          <w:highlight w:val="none"/>
          <w:lang w:eastAsia="zh-CN"/>
        </w:rPr>
      </w:pPr>
      <w:bookmarkStart w:id="150" w:name="_Toc12348"/>
      <w:r>
        <w:rPr>
          <w:rFonts w:hint="eastAsia" w:ascii="仿宋" w:hAnsi="仿宋" w:eastAsia="仿宋" w:cs="仿宋"/>
          <w:b w:val="0"/>
          <w:bCs w:val="0"/>
          <w:sz w:val="21"/>
          <w:szCs w:val="21"/>
          <w:highlight w:val="none"/>
        </w:rPr>
        <w:t>投标截止时间前，投标人应将投标文件递交至</w:t>
      </w:r>
      <w:r>
        <w:rPr>
          <w:rFonts w:hint="eastAsia" w:ascii="仿宋" w:hAnsi="仿宋" w:eastAsia="仿宋" w:cs="仿宋"/>
          <w:b w:val="0"/>
          <w:bCs w:val="0"/>
          <w:sz w:val="21"/>
          <w:szCs w:val="21"/>
          <w:highlight w:val="none"/>
          <w:lang w:eastAsia="zh-CN"/>
        </w:rPr>
        <w:t>：成都市高新区天府大道中段1388号美年广场D座3层305号</w:t>
      </w:r>
    </w:p>
    <w:p>
      <w:pPr>
        <w:numPr>
          <w:ilvl w:val="0"/>
          <w:numId w:val="2"/>
        </w:numPr>
        <w:snapToGrid w:val="0"/>
        <w:spacing w:line="480" w:lineRule="exact"/>
        <w:ind w:firstLine="422" w:firstLineChars="200"/>
        <w:outlineLvl w:val="1"/>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开标地点：</w:t>
      </w:r>
      <w:bookmarkEnd w:id="150"/>
      <w:bookmarkStart w:id="151" w:name="_Toc17822"/>
      <w:bookmarkStart w:id="152" w:name="_Toc3193"/>
      <w:bookmarkStart w:id="153" w:name="_Toc12501"/>
      <w:bookmarkStart w:id="154" w:name="_Toc11582"/>
      <w:bookmarkStart w:id="155" w:name="_Toc9031"/>
      <w:bookmarkStart w:id="156" w:name="_Toc19571"/>
      <w:bookmarkStart w:id="157" w:name="_Toc8522"/>
      <w:bookmarkStart w:id="158" w:name="_Toc20593"/>
      <w:bookmarkStart w:id="159" w:name="_Toc5833"/>
      <w:bookmarkStart w:id="160" w:name="_Toc924"/>
      <w:bookmarkStart w:id="161" w:name="_Toc27496"/>
      <w:bookmarkStart w:id="162" w:name="_Toc23813"/>
      <w:bookmarkStart w:id="163" w:name="_Toc4285"/>
    </w:p>
    <w:p>
      <w:pPr>
        <w:numPr>
          <w:ilvl w:val="0"/>
          <w:numId w:val="0"/>
        </w:numPr>
        <w:snapToGrid w:val="0"/>
        <w:spacing w:line="480" w:lineRule="exact"/>
        <w:ind w:firstLine="420" w:firstLineChars="200"/>
        <w:outlineLvl w:val="1"/>
        <w:rPr>
          <w:rFonts w:hint="eastAsia" w:ascii="仿宋" w:hAnsi="仿宋" w:eastAsia="仿宋" w:cs="仿宋"/>
          <w:b w:val="0"/>
          <w:bCs w:val="0"/>
          <w:sz w:val="21"/>
          <w:szCs w:val="21"/>
          <w:highlight w:val="none"/>
        </w:rPr>
      </w:pPr>
      <w:bookmarkStart w:id="164" w:name="_Toc18622"/>
      <w:r>
        <w:rPr>
          <w:rFonts w:hint="eastAsia" w:ascii="仿宋" w:hAnsi="仿宋" w:eastAsia="仿宋" w:cs="仿宋"/>
          <w:b w:val="0"/>
          <w:bCs w:val="0"/>
          <w:sz w:val="21"/>
          <w:szCs w:val="21"/>
          <w:highlight w:val="none"/>
        </w:rPr>
        <w:t>（1）本项目为</w:t>
      </w:r>
      <w:r>
        <w:rPr>
          <w:rFonts w:hint="eastAsia" w:ascii="仿宋" w:hAnsi="仿宋" w:eastAsia="仿宋" w:cs="仿宋"/>
          <w:b/>
          <w:bCs/>
          <w:sz w:val="21"/>
          <w:szCs w:val="21"/>
          <w:highlight w:val="none"/>
          <w:lang w:val="en-US" w:eastAsia="zh-CN"/>
        </w:rPr>
        <w:t>线下</w:t>
      </w:r>
      <w:r>
        <w:rPr>
          <w:rFonts w:hint="eastAsia" w:ascii="仿宋" w:hAnsi="仿宋" w:eastAsia="仿宋" w:cs="仿宋"/>
          <w:b/>
          <w:bCs/>
          <w:sz w:val="21"/>
          <w:szCs w:val="21"/>
          <w:highlight w:val="none"/>
        </w:rPr>
        <w:t>开标项目</w:t>
      </w:r>
      <w:r>
        <w:rPr>
          <w:rFonts w:hint="eastAsia" w:ascii="仿宋" w:hAnsi="仿宋" w:eastAsia="仿宋" w:cs="仿宋"/>
          <w:b w:val="0"/>
          <w:bCs w:val="0"/>
          <w:sz w:val="21"/>
          <w:szCs w:val="21"/>
          <w:highlight w:val="none"/>
        </w:rPr>
        <w:t>。</w:t>
      </w:r>
      <w:bookmarkEnd w:id="164"/>
    </w:p>
    <w:p>
      <w:pPr>
        <w:snapToGrid w:val="0"/>
        <w:spacing w:line="480" w:lineRule="exact"/>
        <w:ind w:firstLine="420" w:firstLineChars="200"/>
        <w:outlineLvl w:val="1"/>
        <w:rPr>
          <w:rFonts w:hint="eastAsia" w:ascii="仿宋" w:hAnsi="仿宋" w:eastAsia="仿宋" w:cs="仿宋"/>
          <w:b w:val="0"/>
          <w:bCs w:val="0"/>
          <w:sz w:val="21"/>
          <w:szCs w:val="21"/>
          <w:highlight w:val="none"/>
        </w:rPr>
      </w:pPr>
      <w:bookmarkStart w:id="165" w:name="_Toc22773"/>
      <w:r>
        <w:rPr>
          <w:rFonts w:hint="eastAsia" w:ascii="仿宋" w:hAnsi="仿宋" w:eastAsia="仿宋" w:cs="仿宋"/>
          <w:b w:val="0"/>
          <w:bCs w:val="0"/>
          <w:sz w:val="21"/>
          <w:szCs w:val="21"/>
          <w:highlight w:val="none"/>
        </w:rPr>
        <w:t>（2）开标地点：</w:t>
      </w:r>
      <w:r>
        <w:rPr>
          <w:rFonts w:hint="eastAsia" w:ascii="仿宋" w:hAnsi="仿宋" w:eastAsia="仿宋" w:cs="仿宋"/>
          <w:b w:val="0"/>
          <w:bCs w:val="0"/>
          <w:sz w:val="21"/>
          <w:szCs w:val="21"/>
          <w:highlight w:val="none"/>
          <w:lang w:eastAsia="zh-CN"/>
        </w:rPr>
        <w:t>成都市高新区天府大道中段1388号美年广场D座3层305号</w:t>
      </w:r>
      <w:r>
        <w:rPr>
          <w:rFonts w:hint="eastAsia" w:ascii="仿宋" w:hAnsi="仿宋" w:eastAsia="仿宋" w:cs="仿宋"/>
          <w:b w:val="0"/>
          <w:bCs w:val="0"/>
          <w:sz w:val="21"/>
          <w:szCs w:val="21"/>
          <w:highlight w:val="none"/>
        </w:rPr>
        <w:t>。</w:t>
      </w:r>
      <w:bookmarkEnd w:id="165"/>
    </w:p>
    <w:p>
      <w:pPr>
        <w:snapToGrid w:val="0"/>
        <w:spacing w:line="480" w:lineRule="exact"/>
        <w:ind w:firstLine="420" w:firstLineChars="200"/>
        <w:outlineLvl w:val="1"/>
        <w:rPr>
          <w:rFonts w:hint="eastAsia" w:ascii="仿宋" w:hAnsi="仿宋" w:eastAsia="仿宋" w:cs="仿宋"/>
          <w:b w:val="0"/>
          <w:bCs w:val="0"/>
          <w:sz w:val="21"/>
          <w:szCs w:val="21"/>
          <w:highlight w:val="none"/>
        </w:rPr>
      </w:pPr>
      <w:bookmarkStart w:id="166" w:name="_Toc843"/>
      <w:r>
        <w:rPr>
          <w:rFonts w:hint="eastAsia" w:ascii="仿宋" w:hAnsi="仿宋" w:eastAsia="仿宋" w:cs="仿宋"/>
          <w:b w:val="0"/>
          <w:bCs w:val="0"/>
          <w:sz w:val="21"/>
          <w:szCs w:val="21"/>
          <w:highlight w:val="none"/>
        </w:rPr>
        <w:t>（3）本项目</w:t>
      </w:r>
      <w:r>
        <w:rPr>
          <w:rFonts w:hint="eastAsia" w:ascii="仿宋" w:hAnsi="仿宋" w:eastAsia="仿宋" w:cs="仿宋"/>
          <w:b w:val="0"/>
          <w:bCs w:val="0"/>
          <w:sz w:val="21"/>
          <w:szCs w:val="21"/>
          <w:highlight w:val="none"/>
          <w:lang w:val="en-US" w:eastAsia="zh-CN"/>
        </w:rPr>
        <w:t>不</w:t>
      </w:r>
      <w:r>
        <w:rPr>
          <w:rFonts w:hint="eastAsia" w:ascii="仿宋" w:hAnsi="仿宋" w:eastAsia="仿宋" w:cs="仿宋"/>
          <w:b w:val="0"/>
          <w:bCs w:val="0"/>
          <w:sz w:val="21"/>
          <w:szCs w:val="21"/>
          <w:highlight w:val="none"/>
        </w:rPr>
        <w:t>接受</w:t>
      </w:r>
      <w:r>
        <w:rPr>
          <w:rFonts w:hint="eastAsia" w:ascii="仿宋" w:hAnsi="仿宋" w:eastAsia="仿宋" w:cs="仿宋"/>
          <w:b w:val="0"/>
          <w:bCs w:val="0"/>
          <w:sz w:val="21"/>
          <w:szCs w:val="21"/>
          <w:highlight w:val="none"/>
          <w:lang w:val="en-US" w:eastAsia="zh-CN"/>
        </w:rPr>
        <w:t>邮寄</w:t>
      </w:r>
      <w:r>
        <w:rPr>
          <w:rFonts w:hint="eastAsia" w:ascii="仿宋" w:hAnsi="仿宋" w:eastAsia="仿宋" w:cs="仿宋"/>
          <w:b w:val="0"/>
          <w:bCs w:val="0"/>
          <w:sz w:val="21"/>
          <w:szCs w:val="21"/>
          <w:highlight w:val="none"/>
        </w:rPr>
        <w:t>的投标文件。</w:t>
      </w:r>
      <w:bookmarkEnd w:id="166"/>
    </w:p>
    <w:p>
      <w:pPr>
        <w:snapToGrid w:val="0"/>
        <w:spacing w:line="480" w:lineRule="exact"/>
        <w:ind w:firstLine="422" w:firstLineChars="200"/>
        <w:outlineLvl w:val="1"/>
        <w:rPr>
          <w:rFonts w:hint="eastAsia" w:ascii="仿宋" w:hAnsi="仿宋" w:eastAsia="仿宋" w:cs="仿宋"/>
          <w:sz w:val="21"/>
          <w:szCs w:val="21"/>
          <w:highlight w:val="none"/>
        </w:rPr>
      </w:pPr>
      <w:bookmarkStart w:id="167" w:name="_Toc31431"/>
      <w:r>
        <w:rPr>
          <w:rFonts w:hint="eastAsia" w:ascii="仿宋" w:hAnsi="仿宋" w:eastAsia="仿宋" w:cs="仿宋"/>
          <w:b/>
          <w:sz w:val="21"/>
          <w:szCs w:val="21"/>
          <w:highlight w:val="none"/>
        </w:rPr>
        <w:t>十、采购信息发布媒体：</w:t>
      </w:r>
      <w:r>
        <w:rPr>
          <w:rFonts w:hint="eastAsia" w:ascii="仿宋" w:hAnsi="仿宋" w:eastAsia="仿宋" w:cs="仿宋"/>
          <w:sz w:val="21"/>
          <w:szCs w:val="21"/>
          <w:highlight w:val="none"/>
        </w:rPr>
        <w:t>本投标邀请在四川政府采购网以公告形式发布。</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7"/>
    </w:p>
    <w:p>
      <w:pPr>
        <w:snapToGrid w:val="0"/>
        <w:spacing w:line="480" w:lineRule="exact"/>
        <w:ind w:firstLine="422" w:firstLineChars="200"/>
        <w:outlineLvl w:val="1"/>
        <w:rPr>
          <w:rFonts w:hint="eastAsia" w:ascii="仿宋" w:hAnsi="仿宋" w:eastAsia="仿宋" w:cs="仿宋"/>
          <w:b/>
          <w:sz w:val="21"/>
          <w:szCs w:val="21"/>
          <w:highlight w:val="none"/>
        </w:rPr>
      </w:pPr>
      <w:bookmarkStart w:id="168" w:name="_Toc17142"/>
      <w:bookmarkStart w:id="169" w:name="_Toc12217"/>
      <w:bookmarkStart w:id="170" w:name="_Toc22706"/>
      <w:bookmarkStart w:id="171" w:name="_Toc29180"/>
      <w:bookmarkStart w:id="172" w:name="_Toc4112"/>
      <w:bookmarkStart w:id="173" w:name="_Toc28108"/>
      <w:bookmarkStart w:id="174" w:name="_Toc20656"/>
      <w:bookmarkStart w:id="175" w:name="_Toc23697"/>
      <w:bookmarkStart w:id="176" w:name="_Toc3656"/>
      <w:bookmarkStart w:id="177" w:name="_Toc23176"/>
      <w:bookmarkStart w:id="178" w:name="_Toc17048"/>
      <w:r>
        <w:rPr>
          <w:rFonts w:hint="eastAsia" w:ascii="仿宋" w:hAnsi="仿宋" w:eastAsia="仿宋" w:cs="仿宋"/>
          <w:b/>
          <w:sz w:val="21"/>
          <w:szCs w:val="21"/>
          <w:highlight w:val="none"/>
        </w:rPr>
        <w:t>十一、</w:t>
      </w:r>
      <w:r>
        <w:rPr>
          <w:rFonts w:hint="eastAsia" w:ascii="仿宋" w:hAnsi="仿宋" w:eastAsia="仿宋" w:cs="仿宋"/>
          <w:b/>
          <w:bCs/>
          <w:sz w:val="21"/>
          <w:szCs w:val="21"/>
          <w:highlight w:val="none"/>
        </w:rPr>
        <w:t>信用融资政策</w:t>
      </w:r>
      <w:bookmarkEnd w:id="168"/>
      <w:bookmarkEnd w:id="169"/>
      <w:bookmarkEnd w:id="170"/>
      <w:bookmarkEnd w:id="171"/>
      <w:bookmarkEnd w:id="172"/>
      <w:bookmarkEnd w:id="173"/>
      <w:bookmarkEnd w:id="174"/>
      <w:bookmarkEnd w:id="175"/>
      <w:bookmarkEnd w:id="176"/>
      <w:bookmarkEnd w:id="177"/>
      <w:bookmarkEnd w:id="178"/>
      <w:bookmarkStart w:id="179" w:name="_Toc17205"/>
      <w:bookmarkStart w:id="180" w:name="_Toc4247"/>
      <w:bookmarkStart w:id="181" w:name="_Toc8131"/>
      <w:bookmarkStart w:id="182" w:name="_Toc14131"/>
      <w:bookmarkStart w:id="183" w:name="_Toc30883"/>
      <w:bookmarkStart w:id="184" w:name="_Toc16142"/>
      <w:bookmarkStart w:id="185" w:name="_Toc24326"/>
      <w:bookmarkStart w:id="186" w:name="_Toc21953"/>
    </w:p>
    <w:p>
      <w:pPr>
        <w:snapToGrid w:val="0"/>
        <w:spacing w:line="480" w:lineRule="exact"/>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1、根据《四川省财政厅关于推进四川省政府采购供应商信用融资工作的通知》（川财采</w:t>
      </w:r>
      <w:r>
        <w:rPr>
          <w:rFonts w:hint="eastAsia" w:ascii="仿宋" w:hAnsi="仿宋" w:eastAsia="仿宋" w:cs="仿宋"/>
          <w:sz w:val="21"/>
          <w:szCs w:val="21"/>
          <w:highlight w:val="none"/>
        </w:rPr>
        <w:t>〔</w:t>
      </w:r>
      <w:r>
        <w:rPr>
          <w:rFonts w:hint="eastAsia" w:ascii="仿宋" w:hAnsi="仿宋" w:eastAsia="仿宋" w:cs="仿宋"/>
          <w:bCs/>
          <w:sz w:val="21"/>
          <w:szCs w:val="21"/>
          <w:highlight w:val="none"/>
        </w:rPr>
        <w:t>2018</w:t>
      </w:r>
      <w:r>
        <w:rPr>
          <w:rFonts w:hint="eastAsia" w:ascii="仿宋" w:hAnsi="仿宋" w:eastAsia="仿宋" w:cs="仿宋"/>
          <w:sz w:val="21"/>
          <w:szCs w:val="21"/>
          <w:highlight w:val="none"/>
        </w:rPr>
        <w:t>〕</w:t>
      </w:r>
      <w:r>
        <w:rPr>
          <w:rFonts w:hint="eastAsia" w:ascii="仿宋" w:hAnsi="仿宋" w:eastAsia="仿宋" w:cs="仿宋"/>
          <w:bCs/>
          <w:sz w:val="21"/>
          <w:szCs w:val="21"/>
          <w:highlight w:val="none"/>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snapToGrid w:val="0"/>
        <w:spacing w:line="480" w:lineRule="exact"/>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2020〕20号”）。</w:t>
      </w:r>
    </w:p>
    <w:p>
      <w:pPr>
        <w:snapToGrid w:val="0"/>
        <w:spacing w:line="480" w:lineRule="exact"/>
        <w:ind w:firstLine="422" w:firstLineChars="200"/>
        <w:outlineLvl w:val="1"/>
        <w:rPr>
          <w:rFonts w:hint="eastAsia" w:ascii="仿宋" w:hAnsi="仿宋" w:eastAsia="仿宋" w:cs="仿宋"/>
          <w:b/>
          <w:sz w:val="21"/>
          <w:szCs w:val="21"/>
          <w:highlight w:val="none"/>
        </w:rPr>
      </w:pPr>
      <w:bookmarkStart w:id="187" w:name="_Toc6073"/>
      <w:bookmarkStart w:id="188" w:name="_Toc1743"/>
      <w:bookmarkStart w:id="189" w:name="_Toc13690"/>
      <w:bookmarkStart w:id="190" w:name="_Toc8874"/>
      <w:bookmarkStart w:id="191" w:name="_Toc11161"/>
      <w:bookmarkStart w:id="192" w:name="_Toc14545"/>
      <w:r>
        <w:rPr>
          <w:rFonts w:hint="eastAsia" w:ascii="仿宋" w:hAnsi="仿宋" w:eastAsia="仿宋" w:cs="仿宋"/>
          <w:b/>
          <w:sz w:val="21"/>
          <w:szCs w:val="21"/>
          <w:highlight w:val="none"/>
        </w:rPr>
        <w:t>十二、联系方式</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pPr>
        <w:pStyle w:val="2"/>
        <w:rPr>
          <w:rFonts w:hint="eastAsia" w:ascii="仿宋" w:hAnsi="仿宋" w:eastAsia="仿宋" w:cs="仿宋"/>
          <w:highlight w:val="none"/>
        </w:rPr>
      </w:pPr>
    </w:p>
    <w:p>
      <w:pPr>
        <w:pStyle w:val="16"/>
        <w:keepNext w:val="0"/>
        <w:keepLines w:val="0"/>
        <w:pageBreakBefore w:val="0"/>
        <w:widowControl w:val="0"/>
        <w:kinsoku/>
        <w:wordWrap/>
        <w:overflowPunct/>
        <w:topLinePunct w:val="0"/>
        <w:autoSpaceDE/>
        <w:autoSpaceDN/>
        <w:bidi w:val="0"/>
        <w:adjustRightInd w:val="0"/>
        <w:snapToGrid w:val="0"/>
        <w:spacing w:after="120" w:afterLines="50" w:line="360" w:lineRule="auto"/>
        <w:ind w:firstLine="480"/>
        <w:textAlignment w:val="auto"/>
        <w:rPr>
          <w:rFonts w:hint="eastAsia" w:ascii="仿宋" w:hAnsi="仿宋" w:eastAsia="仿宋" w:cs="仿宋"/>
          <w:sz w:val="21"/>
          <w:szCs w:val="21"/>
          <w:highlight w:val="none"/>
          <w:u w:val="single"/>
          <w:lang w:val="en-US" w:eastAsia="zh-CN" w:bidi="ar-SA"/>
        </w:rPr>
      </w:pPr>
      <w:r>
        <w:rPr>
          <w:rFonts w:hint="eastAsia" w:ascii="仿宋" w:hAnsi="仿宋" w:eastAsia="仿宋" w:cs="仿宋"/>
          <w:sz w:val="21"/>
          <w:szCs w:val="21"/>
          <w:highlight w:val="none"/>
          <w:lang w:val="en-US" w:eastAsia="zh-CN" w:bidi="ar-SA"/>
        </w:rPr>
        <w:t>采 购 人：</w:t>
      </w:r>
      <w:r>
        <w:rPr>
          <w:rFonts w:hint="eastAsia" w:ascii="仿宋" w:hAnsi="仿宋" w:eastAsia="仿宋" w:cs="仿宋"/>
          <w:sz w:val="21"/>
          <w:szCs w:val="21"/>
          <w:highlight w:val="none"/>
          <w:u w:val="single"/>
          <w:lang w:val="en-US" w:eastAsia="zh-CN" w:bidi="ar-SA"/>
        </w:rPr>
        <w:t>彭州市教育局电化教育馆</w:t>
      </w:r>
    </w:p>
    <w:p>
      <w:pPr>
        <w:pStyle w:val="16"/>
        <w:keepNext w:val="0"/>
        <w:keepLines w:val="0"/>
        <w:pageBreakBefore w:val="0"/>
        <w:widowControl w:val="0"/>
        <w:kinsoku/>
        <w:wordWrap/>
        <w:overflowPunct/>
        <w:topLinePunct w:val="0"/>
        <w:autoSpaceDE/>
        <w:autoSpaceDN/>
        <w:bidi w:val="0"/>
        <w:adjustRightInd w:val="0"/>
        <w:snapToGrid w:val="0"/>
        <w:spacing w:after="120" w:afterLines="50" w:line="360" w:lineRule="auto"/>
        <w:ind w:firstLine="480"/>
        <w:textAlignment w:val="auto"/>
        <w:rPr>
          <w:rFonts w:hint="eastAsia" w:ascii="仿宋" w:hAnsi="仿宋" w:eastAsia="仿宋" w:cs="仿宋"/>
          <w:sz w:val="21"/>
          <w:szCs w:val="21"/>
          <w:highlight w:val="none"/>
          <w:u w:val="single"/>
          <w:lang w:val="en-US" w:eastAsia="zh-CN" w:bidi="ar-SA"/>
        </w:rPr>
      </w:pPr>
      <w:r>
        <w:rPr>
          <w:rFonts w:hint="eastAsia" w:ascii="仿宋" w:hAnsi="仿宋" w:eastAsia="仿宋" w:cs="仿宋"/>
          <w:sz w:val="21"/>
          <w:szCs w:val="21"/>
          <w:highlight w:val="none"/>
          <w:lang w:val="en-US" w:eastAsia="zh-CN" w:bidi="ar-SA"/>
        </w:rPr>
        <w:t>地    址：</w:t>
      </w:r>
      <w:r>
        <w:rPr>
          <w:rFonts w:hint="eastAsia" w:ascii="仿宋" w:hAnsi="仿宋" w:eastAsia="仿宋" w:cs="仿宋"/>
          <w:sz w:val="21"/>
          <w:szCs w:val="21"/>
          <w:highlight w:val="none"/>
          <w:u w:val="single"/>
          <w:lang w:val="en-US" w:eastAsia="zh-CN" w:bidi="ar-SA"/>
        </w:rPr>
        <w:t>彭州市天彭镇龙塔路47号</w:t>
      </w:r>
    </w:p>
    <w:p>
      <w:pPr>
        <w:pStyle w:val="16"/>
        <w:keepNext w:val="0"/>
        <w:keepLines w:val="0"/>
        <w:pageBreakBefore w:val="0"/>
        <w:widowControl w:val="0"/>
        <w:kinsoku/>
        <w:wordWrap/>
        <w:overflowPunct/>
        <w:topLinePunct w:val="0"/>
        <w:autoSpaceDE/>
        <w:autoSpaceDN/>
        <w:bidi w:val="0"/>
        <w:adjustRightInd w:val="0"/>
        <w:snapToGrid w:val="0"/>
        <w:spacing w:after="120" w:afterLines="50" w:line="360" w:lineRule="auto"/>
        <w:ind w:firstLine="480"/>
        <w:textAlignment w:val="auto"/>
        <w:rPr>
          <w:rFonts w:hint="eastAsia" w:ascii="仿宋" w:hAnsi="仿宋" w:eastAsia="仿宋" w:cs="仿宋"/>
          <w:sz w:val="21"/>
          <w:szCs w:val="21"/>
          <w:highlight w:val="none"/>
          <w:u w:val="single"/>
          <w:lang w:val="en-US" w:eastAsia="zh-CN" w:bidi="ar-SA"/>
        </w:rPr>
      </w:pPr>
      <w:r>
        <w:rPr>
          <w:rFonts w:hint="eastAsia" w:ascii="仿宋" w:hAnsi="仿宋" w:eastAsia="仿宋" w:cs="仿宋"/>
          <w:sz w:val="21"/>
          <w:szCs w:val="21"/>
          <w:highlight w:val="none"/>
          <w:lang w:val="en-US" w:eastAsia="zh-CN" w:bidi="ar-SA"/>
        </w:rPr>
        <w:t>联 系 人：</w:t>
      </w:r>
      <w:r>
        <w:rPr>
          <w:rFonts w:hint="eastAsia" w:ascii="仿宋" w:hAnsi="仿宋" w:eastAsia="仿宋" w:cs="仿宋"/>
          <w:sz w:val="21"/>
          <w:szCs w:val="21"/>
          <w:highlight w:val="none"/>
          <w:u w:val="single"/>
          <w:lang w:val="en-US" w:eastAsia="zh-CN" w:bidi="ar-SA"/>
        </w:rPr>
        <w:t>李老师</w:t>
      </w:r>
    </w:p>
    <w:p>
      <w:pPr>
        <w:pStyle w:val="16"/>
        <w:keepNext w:val="0"/>
        <w:keepLines w:val="0"/>
        <w:pageBreakBefore w:val="0"/>
        <w:widowControl w:val="0"/>
        <w:kinsoku/>
        <w:wordWrap/>
        <w:overflowPunct/>
        <w:topLinePunct w:val="0"/>
        <w:autoSpaceDE/>
        <w:autoSpaceDN/>
        <w:bidi w:val="0"/>
        <w:adjustRightInd w:val="0"/>
        <w:snapToGrid w:val="0"/>
        <w:spacing w:after="120" w:afterLines="50" w:line="360" w:lineRule="auto"/>
        <w:ind w:firstLine="480"/>
        <w:textAlignment w:val="auto"/>
        <w:rPr>
          <w:rFonts w:hint="eastAsia" w:ascii="仿宋" w:hAnsi="仿宋" w:eastAsia="仿宋" w:cs="仿宋"/>
          <w:sz w:val="21"/>
          <w:szCs w:val="21"/>
          <w:highlight w:val="none"/>
          <w:u w:val="single"/>
          <w:lang w:val="en-US" w:eastAsia="zh-CN" w:bidi="ar-SA"/>
        </w:rPr>
      </w:pPr>
      <w:r>
        <w:rPr>
          <w:rFonts w:hint="eastAsia" w:ascii="仿宋" w:hAnsi="仿宋" w:eastAsia="仿宋" w:cs="仿宋"/>
          <w:sz w:val="21"/>
          <w:szCs w:val="21"/>
          <w:highlight w:val="none"/>
          <w:lang w:val="en-US" w:eastAsia="zh-CN" w:bidi="ar-SA"/>
        </w:rPr>
        <w:t>联系电话：</w:t>
      </w:r>
      <w:r>
        <w:rPr>
          <w:rFonts w:hint="eastAsia" w:ascii="仿宋" w:hAnsi="仿宋" w:eastAsia="仿宋" w:cs="仿宋"/>
          <w:sz w:val="21"/>
          <w:szCs w:val="21"/>
          <w:highlight w:val="none"/>
          <w:u w:val="single"/>
          <w:lang w:val="en-US" w:eastAsia="zh-CN" w:bidi="ar-SA"/>
        </w:rPr>
        <w:t>028-83881058</w:t>
      </w:r>
    </w:p>
    <w:p>
      <w:pPr>
        <w:snapToGrid w:val="0"/>
        <w:spacing w:line="480" w:lineRule="exact"/>
        <w:ind w:firstLine="420" w:firstLineChars="200"/>
        <w:rPr>
          <w:rFonts w:hint="eastAsia" w:ascii="仿宋" w:hAnsi="仿宋" w:eastAsia="仿宋" w:cs="仿宋"/>
          <w:sz w:val="21"/>
          <w:szCs w:val="21"/>
          <w:highlight w:val="none"/>
          <w:u w:val="single"/>
          <w:lang w:eastAsia="zh-CN"/>
        </w:rPr>
      </w:pPr>
      <w:r>
        <w:rPr>
          <w:rFonts w:hint="eastAsia" w:ascii="仿宋" w:hAnsi="仿宋" w:eastAsia="仿宋" w:cs="仿宋"/>
          <w:sz w:val="21"/>
          <w:szCs w:val="21"/>
          <w:highlight w:val="none"/>
        </w:rPr>
        <w:t>代理机构：</w:t>
      </w:r>
      <w:r>
        <w:rPr>
          <w:rFonts w:hint="eastAsia" w:ascii="仿宋" w:hAnsi="仿宋" w:eastAsia="仿宋" w:cs="仿宋"/>
          <w:sz w:val="21"/>
          <w:szCs w:val="21"/>
          <w:highlight w:val="none"/>
          <w:u w:val="single"/>
          <w:lang w:eastAsia="zh-CN"/>
        </w:rPr>
        <w:t>四川迈勋招投标代理有限公司</w:t>
      </w:r>
    </w:p>
    <w:p>
      <w:pPr>
        <w:tabs>
          <w:tab w:val="left" w:pos="1180"/>
        </w:tabs>
        <w:snapToGrid w:val="0"/>
        <w:spacing w:line="480" w:lineRule="exact"/>
        <w:ind w:firstLine="420" w:firstLineChars="200"/>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地    址：</w:t>
      </w:r>
      <w:r>
        <w:rPr>
          <w:rFonts w:hint="eastAsia" w:ascii="仿宋" w:hAnsi="仿宋" w:eastAsia="仿宋" w:cs="仿宋"/>
          <w:sz w:val="21"/>
          <w:szCs w:val="21"/>
          <w:highlight w:val="none"/>
          <w:lang w:val="en-US" w:eastAsia="zh-CN"/>
        </w:rPr>
        <w:t xml:space="preserve"> </w:t>
      </w:r>
      <w:r>
        <w:rPr>
          <w:rFonts w:hint="eastAsia" w:ascii="仿宋" w:hAnsi="仿宋" w:eastAsia="仿宋" w:cs="仿宋"/>
          <w:sz w:val="21"/>
          <w:szCs w:val="21"/>
          <w:highlight w:val="none"/>
          <w:u w:val="single"/>
          <w:lang w:eastAsia="zh-CN"/>
        </w:rPr>
        <w:t>成都市高新区天府大道中段1388号美年广场D座3层305号</w:t>
      </w:r>
    </w:p>
    <w:p>
      <w:pPr>
        <w:snapToGrid w:val="0"/>
        <w:spacing w:line="480" w:lineRule="exact"/>
        <w:ind w:firstLine="420" w:firstLineChars="200"/>
        <w:rPr>
          <w:rFonts w:hint="eastAsia" w:ascii="仿宋" w:hAnsi="仿宋" w:eastAsia="仿宋" w:cs="仿宋"/>
          <w:sz w:val="21"/>
          <w:szCs w:val="21"/>
          <w:highlight w:val="none"/>
          <w:u w:val="single"/>
          <w:lang w:eastAsia="zh-CN"/>
        </w:rPr>
      </w:pPr>
      <w:r>
        <w:rPr>
          <w:rFonts w:hint="eastAsia" w:ascii="仿宋" w:hAnsi="仿宋" w:eastAsia="仿宋" w:cs="仿宋"/>
          <w:sz w:val="21"/>
          <w:szCs w:val="21"/>
          <w:highlight w:val="none"/>
        </w:rPr>
        <w:t>联 系 人：</w:t>
      </w:r>
      <w:r>
        <w:rPr>
          <w:rFonts w:hint="eastAsia" w:ascii="仿宋" w:hAnsi="仿宋" w:eastAsia="仿宋" w:cs="仿宋"/>
          <w:sz w:val="21"/>
          <w:szCs w:val="21"/>
          <w:highlight w:val="none"/>
          <w:u w:val="single"/>
          <w:lang w:eastAsia="zh-CN"/>
        </w:rPr>
        <w:t>王先生</w:t>
      </w:r>
    </w:p>
    <w:p>
      <w:pPr>
        <w:snapToGrid w:val="0"/>
        <w:spacing w:line="480" w:lineRule="exact"/>
        <w:ind w:firstLine="420" w:firstLineChars="200"/>
        <w:rPr>
          <w:rFonts w:hint="eastAsia" w:ascii="仿宋" w:hAnsi="仿宋" w:eastAsia="仿宋" w:cs="仿宋"/>
          <w:sz w:val="21"/>
          <w:szCs w:val="21"/>
          <w:highlight w:val="none"/>
          <w:u w:val="single"/>
          <w:lang w:eastAsia="zh-CN"/>
        </w:rPr>
      </w:pPr>
      <w:r>
        <w:rPr>
          <w:rFonts w:hint="eastAsia" w:ascii="仿宋" w:hAnsi="仿宋" w:eastAsia="仿宋" w:cs="仿宋"/>
          <w:sz w:val="21"/>
          <w:szCs w:val="21"/>
          <w:highlight w:val="none"/>
        </w:rPr>
        <w:t>联系电话：</w:t>
      </w:r>
      <w:r>
        <w:rPr>
          <w:rFonts w:hint="eastAsia" w:ascii="仿宋" w:hAnsi="仿宋" w:eastAsia="仿宋" w:cs="仿宋"/>
          <w:sz w:val="21"/>
          <w:szCs w:val="21"/>
          <w:highlight w:val="none"/>
          <w:u w:val="single"/>
          <w:lang w:eastAsia="zh-CN"/>
        </w:rPr>
        <w:t>028-61559156</w:t>
      </w:r>
    </w:p>
    <w:p>
      <w:pPr>
        <w:pStyle w:val="3"/>
        <w:rPr>
          <w:rFonts w:hint="eastAsia" w:ascii="仿宋" w:hAnsi="仿宋" w:eastAsia="仿宋" w:cs="仿宋"/>
          <w:highlight w:val="none"/>
        </w:rPr>
        <w:sectPr>
          <w:footerReference r:id="rId9" w:type="first"/>
          <w:footerReference r:id="rId8" w:type="default"/>
          <w:pgSz w:w="11905" w:h="16838"/>
          <w:pgMar w:top="1440" w:right="1746" w:bottom="1440" w:left="1746" w:header="850" w:footer="992" w:gutter="0"/>
          <w:pgNumType w:fmt="decimal" w:start="1"/>
          <w:cols w:space="720" w:num="1"/>
          <w:titlePg/>
          <w:rtlGutter w:val="0"/>
          <w:docGrid w:linePitch="360" w:charSpace="0"/>
        </w:sectPr>
      </w:pPr>
      <w:bookmarkStart w:id="193" w:name="_Toc5004463"/>
      <w:bookmarkStart w:id="194" w:name="_Toc3048_WPSOffice_Level1"/>
      <w:bookmarkStart w:id="195" w:name="_Toc30295"/>
      <w:bookmarkStart w:id="196" w:name="_Toc4408"/>
      <w:bookmarkStart w:id="197" w:name="_Toc6623"/>
      <w:bookmarkStart w:id="198" w:name="_Toc32593_WPSOffice_Level1"/>
      <w:bookmarkStart w:id="199" w:name="_Toc18768"/>
      <w:bookmarkStart w:id="200" w:name="_Toc32763_WPSOffice_Level1"/>
      <w:bookmarkStart w:id="201" w:name="_Toc20412"/>
      <w:bookmarkStart w:id="202" w:name="_Toc9566"/>
      <w:bookmarkStart w:id="203" w:name="_Toc49"/>
      <w:bookmarkStart w:id="204" w:name="_Toc9055"/>
    </w:p>
    <w:p>
      <w:pPr>
        <w:pStyle w:val="3"/>
        <w:spacing w:before="120" w:beforeLines="50"/>
        <w:rPr>
          <w:rFonts w:hint="eastAsia" w:ascii="仿宋" w:hAnsi="仿宋" w:eastAsia="仿宋" w:cs="仿宋"/>
          <w:highlight w:val="none"/>
        </w:rPr>
      </w:pPr>
      <w:bookmarkStart w:id="205" w:name="_Toc27329"/>
      <w:bookmarkStart w:id="206" w:name="_Toc24218"/>
      <w:bookmarkStart w:id="207" w:name="_Toc5566"/>
      <w:r>
        <w:rPr>
          <w:rFonts w:hint="eastAsia" w:ascii="仿宋" w:hAnsi="仿宋" w:eastAsia="仿宋" w:cs="仿宋"/>
          <w:highlight w:val="none"/>
        </w:rPr>
        <w:t>第二章 投标人须知</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snapToGrid w:val="0"/>
        <w:spacing w:line="360" w:lineRule="auto"/>
        <w:jc w:val="center"/>
        <w:outlineLvl w:val="1"/>
        <w:rPr>
          <w:rFonts w:hint="eastAsia" w:ascii="仿宋" w:hAnsi="仿宋" w:eastAsia="仿宋" w:cs="仿宋"/>
          <w:b/>
          <w:sz w:val="30"/>
          <w:szCs w:val="30"/>
          <w:highlight w:val="none"/>
        </w:rPr>
      </w:pPr>
      <w:bookmarkStart w:id="208" w:name="_Toc12859"/>
      <w:bookmarkStart w:id="209" w:name="_Toc2899"/>
      <w:bookmarkStart w:id="210" w:name="_Toc32396"/>
      <w:bookmarkStart w:id="211" w:name="_Toc11627"/>
      <w:bookmarkStart w:id="212" w:name="_Toc3356"/>
      <w:bookmarkStart w:id="213" w:name="_Toc10251"/>
      <w:bookmarkStart w:id="214" w:name="_Toc15671"/>
      <w:bookmarkStart w:id="215" w:name="_Toc26385"/>
      <w:bookmarkStart w:id="216" w:name="_Toc8773"/>
      <w:bookmarkStart w:id="217" w:name="_Toc12681"/>
      <w:bookmarkStart w:id="218" w:name="_Toc19643"/>
      <w:bookmarkStart w:id="219" w:name="_Toc15772"/>
      <w:r>
        <w:rPr>
          <w:rFonts w:hint="eastAsia" w:ascii="仿宋" w:hAnsi="仿宋" w:eastAsia="仿宋" w:cs="仿宋"/>
          <w:b/>
          <w:sz w:val="30"/>
          <w:szCs w:val="30"/>
          <w:highlight w:val="none"/>
        </w:rPr>
        <w:t>一、投标人须知附表</w:t>
      </w:r>
      <w:bookmarkEnd w:id="208"/>
      <w:bookmarkEnd w:id="209"/>
      <w:bookmarkEnd w:id="210"/>
      <w:bookmarkEnd w:id="211"/>
      <w:bookmarkEnd w:id="212"/>
      <w:bookmarkEnd w:id="213"/>
      <w:bookmarkEnd w:id="214"/>
      <w:bookmarkEnd w:id="215"/>
      <w:bookmarkEnd w:id="216"/>
      <w:bookmarkEnd w:id="217"/>
      <w:bookmarkEnd w:id="218"/>
      <w:bookmarkEnd w:id="219"/>
    </w:p>
    <w:tbl>
      <w:tblPr>
        <w:tblStyle w:val="37"/>
        <w:tblW w:w="9619"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0" w:type="dxa"/>
          <w:bottom w:w="0" w:type="dxa"/>
          <w:right w:w="0" w:type="dxa"/>
        </w:tblCellMar>
      </w:tblPr>
      <w:tblGrid>
        <w:gridCol w:w="737"/>
        <w:gridCol w:w="2874"/>
        <w:gridCol w:w="6008"/>
      </w:tblGrid>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b/>
                <w:sz w:val="21"/>
                <w:szCs w:val="21"/>
                <w:highlight w:val="none"/>
              </w:rPr>
            </w:pPr>
            <w:r>
              <w:rPr>
                <w:rFonts w:hint="eastAsia" w:ascii="仿宋" w:hAnsi="仿宋" w:eastAsia="仿宋" w:cs="仿宋"/>
                <w:b/>
                <w:sz w:val="21"/>
                <w:szCs w:val="21"/>
                <w:highlight w:val="none"/>
              </w:rPr>
              <w:t>序号</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条款名称</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说明和要求</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vMerge w:val="restart"/>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采购预算</w:t>
            </w:r>
          </w:p>
          <w:p>
            <w:pPr>
              <w:keepNext w:val="0"/>
              <w:keepLines w:val="0"/>
              <w:widowControl/>
              <w:suppressLineNumbers w:val="0"/>
              <w:autoSpaceDE w:val="0"/>
              <w:autoSpaceDN w:val="0"/>
              <w:snapToGrid w:val="0"/>
              <w:spacing w:before="0" w:beforeAutospacing="0" w:after="0" w:afterAutospacing="0" w:line="380" w:lineRule="exact"/>
              <w:ind w:left="0" w:right="0"/>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(实质性要求)</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both"/>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1994.</w:t>
            </w:r>
            <w:r>
              <w:rPr>
                <w:rFonts w:hint="eastAsia" w:ascii="仿宋" w:hAnsi="仿宋" w:eastAsia="仿宋" w:cs="仿宋"/>
                <w:sz w:val="21"/>
                <w:szCs w:val="21"/>
                <w:highlight w:val="none"/>
                <w:lang w:val="en-US" w:eastAsia="zh-CN"/>
              </w:rPr>
              <w:t>2720</w:t>
            </w:r>
            <w:r>
              <w:rPr>
                <w:rFonts w:hint="eastAsia" w:ascii="仿宋" w:hAnsi="仿宋" w:eastAsia="仿宋" w:cs="仿宋"/>
                <w:sz w:val="21"/>
                <w:szCs w:val="21"/>
                <w:highlight w:val="none"/>
              </w:rPr>
              <w:t>万元</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本项目共</w:t>
            </w:r>
            <w:r>
              <w:rPr>
                <w:rFonts w:hint="eastAsia" w:ascii="仿宋" w:hAnsi="仿宋" w:eastAsia="仿宋" w:cs="仿宋"/>
                <w:sz w:val="21"/>
                <w:szCs w:val="21"/>
                <w:highlight w:val="none"/>
                <w:lang w:val="en-US" w:eastAsia="zh-CN"/>
              </w:rPr>
              <w:t>四</w:t>
            </w:r>
            <w:r>
              <w:rPr>
                <w:rFonts w:hint="eastAsia" w:ascii="仿宋" w:hAnsi="仿宋" w:eastAsia="仿宋" w:cs="仿宋"/>
                <w:sz w:val="21"/>
                <w:szCs w:val="21"/>
                <w:highlight w:val="none"/>
              </w:rPr>
              <w:t>个包，01 包预算金额：586.1065万元、02 包预算金额：461.3705万元</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03包</w:t>
            </w:r>
            <w:r>
              <w:rPr>
                <w:rFonts w:hint="eastAsia" w:ascii="仿宋" w:hAnsi="仿宋" w:eastAsia="仿宋" w:cs="仿宋"/>
                <w:sz w:val="21"/>
                <w:szCs w:val="21"/>
                <w:highlight w:val="none"/>
              </w:rPr>
              <w:t>预算金额</w:t>
            </w:r>
            <w:r>
              <w:rPr>
                <w:rFonts w:hint="eastAsia" w:ascii="仿宋" w:hAnsi="仿宋" w:eastAsia="仿宋" w:cs="仿宋"/>
                <w:sz w:val="21"/>
                <w:szCs w:val="21"/>
                <w:highlight w:val="none"/>
                <w:lang w:eastAsia="zh-CN"/>
              </w:rPr>
              <w:t>：569.</w:t>
            </w:r>
            <w:r>
              <w:rPr>
                <w:rFonts w:hint="eastAsia" w:ascii="仿宋" w:hAnsi="仿宋" w:eastAsia="仿宋" w:cs="仿宋"/>
                <w:sz w:val="21"/>
                <w:szCs w:val="21"/>
                <w:highlight w:val="none"/>
                <w:lang w:val="en-US" w:eastAsia="zh-CN"/>
              </w:rPr>
              <w:t>4625万元、04包</w:t>
            </w:r>
            <w:r>
              <w:rPr>
                <w:rFonts w:hint="eastAsia" w:ascii="仿宋" w:hAnsi="仿宋" w:eastAsia="仿宋" w:cs="仿宋"/>
                <w:sz w:val="21"/>
                <w:szCs w:val="21"/>
                <w:highlight w:val="none"/>
              </w:rPr>
              <w:t>预算金额</w:t>
            </w:r>
            <w:r>
              <w:rPr>
                <w:rFonts w:hint="eastAsia" w:ascii="仿宋" w:hAnsi="仿宋" w:eastAsia="仿宋" w:cs="仿宋"/>
                <w:sz w:val="21"/>
                <w:szCs w:val="21"/>
                <w:highlight w:val="none"/>
                <w:lang w:eastAsia="zh-CN"/>
              </w:rPr>
              <w:t>：377.3325</w:t>
            </w:r>
            <w:r>
              <w:rPr>
                <w:rFonts w:hint="eastAsia" w:ascii="仿宋" w:hAnsi="仿宋" w:eastAsia="仿宋" w:cs="仿宋"/>
                <w:sz w:val="21"/>
                <w:szCs w:val="21"/>
                <w:highlight w:val="none"/>
                <w:lang w:val="en-US" w:eastAsia="zh-CN"/>
              </w:rPr>
              <w:t>万元</w:t>
            </w:r>
            <w:r>
              <w:rPr>
                <w:rFonts w:hint="eastAsia" w:ascii="仿宋" w:hAnsi="仿宋" w:eastAsia="仿宋" w:cs="仿宋"/>
                <w:sz w:val="21"/>
                <w:szCs w:val="21"/>
                <w:highlight w:val="none"/>
                <w:lang w:eastAsia="zh-CN"/>
              </w:rPr>
              <w:t>）</w:t>
            </w:r>
          </w:p>
          <w:p>
            <w:pPr>
              <w:keepNext w:val="0"/>
              <w:keepLines w:val="0"/>
              <w:widowControl/>
              <w:suppressLineNumbers w:val="0"/>
              <w:snapToGrid w:val="0"/>
              <w:spacing w:before="0" w:beforeAutospacing="0" w:after="0" w:afterAutospacing="0" w:line="380" w:lineRule="exact"/>
              <w:ind w:left="0" w:right="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注：超过采购预算的投标为无效投标。</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vMerge w:val="continue"/>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采购最高限价</w:t>
            </w:r>
          </w:p>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(实质性要求)</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both"/>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采购最高限价为</w:t>
            </w:r>
            <w:r>
              <w:rPr>
                <w:rFonts w:hint="eastAsia" w:ascii="仿宋" w:hAnsi="仿宋" w:eastAsia="仿宋" w:cs="仿宋"/>
                <w:sz w:val="21"/>
                <w:szCs w:val="21"/>
                <w:highlight w:val="none"/>
                <w:lang w:eastAsia="zh-CN"/>
              </w:rPr>
              <w:t>：</w:t>
            </w:r>
            <w:r>
              <w:rPr>
                <w:rFonts w:hint="eastAsia" w:ascii="仿宋" w:hAnsi="仿宋" w:eastAsia="仿宋" w:cs="仿宋"/>
                <w:color w:val="auto"/>
                <w:kern w:val="0"/>
                <w:sz w:val="20"/>
                <w:szCs w:val="21"/>
                <w:highlight w:val="none"/>
                <w:lang w:eastAsia="zh-CN"/>
              </w:rPr>
              <w:t>包</w:t>
            </w:r>
            <w:r>
              <w:rPr>
                <w:rFonts w:hint="eastAsia" w:ascii="仿宋" w:hAnsi="仿宋" w:eastAsia="仿宋" w:cs="仿宋"/>
                <w:color w:val="auto"/>
                <w:kern w:val="0"/>
                <w:sz w:val="20"/>
                <w:szCs w:val="21"/>
                <w:highlight w:val="none"/>
                <w:lang w:val="en-US" w:eastAsia="zh-CN"/>
              </w:rPr>
              <w:t>件</w:t>
            </w:r>
            <w:r>
              <w:rPr>
                <w:rFonts w:hint="eastAsia" w:ascii="仿宋" w:hAnsi="仿宋" w:eastAsia="仿宋" w:cs="仿宋"/>
                <w:color w:val="auto"/>
                <w:kern w:val="0"/>
                <w:sz w:val="20"/>
                <w:szCs w:val="21"/>
                <w:highlight w:val="none"/>
                <w:lang w:eastAsia="zh-CN"/>
              </w:rPr>
              <w:t>一：586.1065万元；包</w:t>
            </w:r>
            <w:r>
              <w:rPr>
                <w:rFonts w:hint="eastAsia" w:ascii="仿宋" w:hAnsi="仿宋" w:eastAsia="仿宋" w:cs="仿宋"/>
                <w:color w:val="auto"/>
                <w:kern w:val="0"/>
                <w:sz w:val="20"/>
                <w:szCs w:val="21"/>
                <w:highlight w:val="none"/>
                <w:lang w:val="en-US" w:eastAsia="zh-CN"/>
              </w:rPr>
              <w:t>件</w:t>
            </w:r>
            <w:r>
              <w:rPr>
                <w:rFonts w:hint="eastAsia" w:ascii="仿宋" w:hAnsi="仿宋" w:eastAsia="仿宋" w:cs="仿宋"/>
                <w:color w:val="auto"/>
                <w:kern w:val="0"/>
                <w:sz w:val="20"/>
                <w:szCs w:val="21"/>
                <w:highlight w:val="none"/>
                <w:lang w:eastAsia="zh-CN"/>
              </w:rPr>
              <w:t>二：461.3705万元；</w:t>
            </w:r>
            <w:r>
              <w:rPr>
                <w:rFonts w:hint="eastAsia" w:ascii="仿宋" w:hAnsi="仿宋" w:eastAsia="仿宋" w:cs="仿宋"/>
                <w:color w:val="auto"/>
                <w:kern w:val="0"/>
                <w:sz w:val="20"/>
                <w:szCs w:val="21"/>
                <w:highlight w:val="none"/>
                <w:lang w:val="en-US" w:eastAsia="zh-CN"/>
              </w:rPr>
              <w:t>包件三：569.4625</w:t>
            </w:r>
            <w:r>
              <w:rPr>
                <w:rFonts w:hint="eastAsia" w:ascii="仿宋" w:hAnsi="仿宋" w:eastAsia="仿宋" w:cs="仿宋"/>
                <w:sz w:val="21"/>
                <w:szCs w:val="21"/>
                <w:highlight w:val="none"/>
                <w:lang w:val="en-US" w:eastAsia="zh-CN"/>
              </w:rPr>
              <w:t>万元；</w:t>
            </w:r>
            <w:r>
              <w:rPr>
                <w:rFonts w:hint="eastAsia" w:ascii="仿宋" w:hAnsi="仿宋" w:eastAsia="仿宋" w:cs="仿宋"/>
                <w:color w:val="auto"/>
                <w:kern w:val="0"/>
                <w:sz w:val="20"/>
                <w:szCs w:val="21"/>
                <w:highlight w:val="none"/>
                <w:lang w:val="en-US" w:eastAsia="zh-CN"/>
              </w:rPr>
              <w:t>包件四：377.3325</w:t>
            </w:r>
            <w:r>
              <w:rPr>
                <w:rFonts w:hint="eastAsia" w:ascii="仿宋" w:hAnsi="仿宋" w:eastAsia="仿宋" w:cs="仿宋"/>
                <w:sz w:val="21"/>
                <w:szCs w:val="21"/>
                <w:highlight w:val="none"/>
                <w:lang w:val="en-US" w:eastAsia="zh-CN"/>
              </w:rPr>
              <w:t>万元</w:t>
            </w:r>
            <w:r>
              <w:rPr>
                <w:rFonts w:hint="eastAsia" w:ascii="仿宋" w:hAnsi="仿宋" w:eastAsia="仿宋" w:cs="仿宋"/>
                <w:color w:val="auto"/>
                <w:kern w:val="0"/>
                <w:sz w:val="20"/>
                <w:szCs w:val="21"/>
                <w:highlight w:val="none"/>
                <w:lang w:eastAsia="zh-CN"/>
              </w:rPr>
              <w:t>。</w:t>
            </w:r>
          </w:p>
          <w:p>
            <w:pPr>
              <w:keepNext w:val="0"/>
              <w:keepLines w:val="0"/>
              <w:widowControl/>
              <w:suppressLineNumbers w:val="0"/>
              <w:snapToGrid w:val="0"/>
              <w:spacing w:before="0" w:beforeAutospacing="0" w:after="0" w:afterAutospacing="0" w:line="380" w:lineRule="exact"/>
              <w:ind w:left="0" w:right="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注：超过最高限价的报价为无效投标。</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采购方式</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rPr>
            </w:pPr>
            <w:r>
              <w:rPr>
                <w:rFonts w:hint="eastAsia" w:ascii="仿宋" w:hAnsi="仿宋" w:eastAsia="仿宋" w:cs="仿宋"/>
                <w:sz w:val="21"/>
                <w:szCs w:val="21"/>
                <w:highlight w:val="none"/>
              </w:rPr>
              <w:t>公开招标</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评标方法</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rPr>
            </w:pPr>
            <w:r>
              <w:rPr>
                <w:rFonts w:hint="eastAsia" w:ascii="仿宋" w:hAnsi="仿宋" w:eastAsia="仿宋" w:cs="仿宋"/>
                <w:sz w:val="21"/>
                <w:szCs w:val="21"/>
                <w:highlight w:val="none"/>
              </w:rPr>
              <w:t>综合评分法</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2874"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zh-CN"/>
              </w:rPr>
              <w:t>进口产品</w:t>
            </w:r>
          </w:p>
        </w:tc>
        <w:tc>
          <w:tcPr>
            <w:tcW w:w="6008"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rPr>
            </w:pPr>
            <w:r>
              <w:rPr>
                <w:rFonts w:hint="eastAsia" w:ascii="仿宋" w:hAnsi="仿宋" w:eastAsia="仿宋" w:cs="仿宋"/>
                <w:b/>
                <w:bCs/>
                <w:sz w:val="21"/>
                <w:szCs w:val="21"/>
                <w:highlight w:val="none"/>
                <w:lang w:val="zh-CN"/>
              </w:rPr>
              <w:t>（本项目不允许采购进口产品）</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2874" w:type="dxa"/>
            <w:noWrap w:val="0"/>
            <w:tcMar>
              <w:top w:w="0" w:type="dxa"/>
              <w:left w:w="142" w:type="dxa"/>
              <w:bottom w:w="0" w:type="dxa"/>
              <w:right w:w="142" w:type="dxa"/>
            </w:tcMar>
            <w:vAlign w:val="center"/>
          </w:tcPr>
          <w:p>
            <w:pPr>
              <w:keepNext w:val="0"/>
              <w:keepLines w:val="0"/>
              <w:widowControl/>
              <w:suppressLineNumbers w:val="0"/>
              <w:autoSpaceDE w:val="0"/>
              <w:autoSpaceDN w:val="0"/>
              <w:adjustRightIn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是否专门面向中小企业的项目或专门面向小微企业采购的项目</w:t>
            </w:r>
          </w:p>
        </w:tc>
        <w:tc>
          <w:tcPr>
            <w:tcW w:w="6008" w:type="dxa"/>
            <w:noWrap w:val="0"/>
            <w:tcMar>
              <w:top w:w="0" w:type="dxa"/>
              <w:left w:w="142" w:type="dxa"/>
              <w:bottom w:w="0" w:type="dxa"/>
              <w:right w:w="142" w:type="dxa"/>
            </w:tcMar>
            <w:vAlign w:val="center"/>
          </w:tcPr>
          <w:p>
            <w:pPr>
              <w:keepNext w:val="0"/>
              <w:keepLines w:val="0"/>
              <w:widowControl/>
              <w:suppressLineNumbers w:val="0"/>
              <w:autoSpaceDE w:val="0"/>
              <w:autoSpaceDN w:val="0"/>
              <w:adjustRightInd w:val="0"/>
              <w:spacing w:before="0" w:beforeAutospacing="0" w:after="0" w:afterAutospacing="0" w:line="380" w:lineRule="exact"/>
              <w:ind w:left="0" w:right="0"/>
              <w:rPr>
                <w:rFonts w:hint="eastAsia" w:ascii="仿宋" w:hAnsi="仿宋" w:eastAsia="仿宋" w:cs="仿宋"/>
                <w:sz w:val="21"/>
                <w:szCs w:val="21"/>
                <w:highlight w:val="none"/>
              </w:rPr>
            </w:pPr>
            <w:r>
              <w:rPr>
                <w:rFonts w:hint="eastAsia" w:ascii="仿宋" w:hAnsi="仿宋" w:eastAsia="仿宋" w:cs="仿宋"/>
                <w:sz w:val="21"/>
                <w:szCs w:val="21"/>
                <w:highlight w:val="none"/>
                <w:u w:val="single"/>
                <w:lang w:eastAsia="zh-CN"/>
              </w:rPr>
              <w:t>本项目</w:t>
            </w:r>
            <w:r>
              <w:rPr>
                <w:rFonts w:hint="eastAsia" w:ascii="仿宋" w:hAnsi="仿宋" w:eastAsia="仿宋" w:cs="仿宋"/>
                <w:sz w:val="21"/>
                <w:szCs w:val="21"/>
                <w:highlight w:val="none"/>
                <w:u w:val="single"/>
                <w:lang w:val="en-US" w:eastAsia="zh-CN"/>
              </w:rPr>
              <w:t>非</w:t>
            </w:r>
            <w:r>
              <w:rPr>
                <w:rFonts w:hint="eastAsia" w:ascii="仿宋" w:hAnsi="仿宋" w:eastAsia="仿宋" w:cs="仿宋"/>
                <w:sz w:val="21"/>
                <w:szCs w:val="21"/>
                <w:highlight w:val="none"/>
                <w:u w:val="single"/>
              </w:rPr>
              <w:t>专门面向中小企业</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2874"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b/>
                <w:bCs/>
                <w:sz w:val="21"/>
                <w:szCs w:val="21"/>
                <w:highlight w:val="none"/>
                <w:lang w:val="zh-CN"/>
              </w:rPr>
            </w:pPr>
            <w:r>
              <w:rPr>
                <w:rFonts w:hint="eastAsia" w:ascii="仿宋" w:hAnsi="仿宋" w:eastAsia="仿宋" w:cs="仿宋"/>
                <w:b/>
                <w:bCs/>
                <w:sz w:val="21"/>
                <w:szCs w:val="21"/>
                <w:highlight w:val="none"/>
                <w:lang w:val="zh-CN"/>
              </w:rPr>
              <w:t>低于成本价</w:t>
            </w:r>
          </w:p>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b/>
                <w:bCs/>
                <w:sz w:val="21"/>
                <w:szCs w:val="21"/>
                <w:highlight w:val="none"/>
                <w:lang w:val="zh-CN"/>
              </w:rPr>
            </w:pPr>
            <w:r>
              <w:rPr>
                <w:rFonts w:hint="eastAsia" w:ascii="仿宋" w:hAnsi="仿宋" w:eastAsia="仿宋" w:cs="仿宋"/>
                <w:b/>
                <w:bCs/>
                <w:sz w:val="21"/>
                <w:szCs w:val="21"/>
                <w:highlight w:val="none"/>
                <w:lang w:val="zh-CN"/>
              </w:rPr>
              <w:t>不正当竞争预防措施</w:t>
            </w:r>
          </w:p>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sz w:val="21"/>
                <w:szCs w:val="21"/>
                <w:highlight w:val="none"/>
                <w:lang w:val="zh-CN"/>
              </w:rPr>
            </w:pPr>
            <w:r>
              <w:rPr>
                <w:rFonts w:hint="eastAsia" w:ascii="仿宋" w:hAnsi="仿宋" w:eastAsia="仿宋" w:cs="仿宋"/>
                <w:b/>
                <w:bCs/>
                <w:sz w:val="21"/>
                <w:szCs w:val="21"/>
                <w:highlight w:val="none"/>
                <w:lang w:val="zh-CN"/>
              </w:rPr>
              <w:t>（实质性要求）</w:t>
            </w:r>
          </w:p>
        </w:tc>
        <w:tc>
          <w:tcPr>
            <w:tcW w:w="6008"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1、评标委员会认为</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lang w:val="zh-CN"/>
              </w:rPr>
              <w:t>的报价明显低于其他通过符合性审查</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lang w:val="zh-CN"/>
              </w:rPr>
              <w:t>的报价，有可能影响产品质量或者不能诚信履约的，应当要求其在投标现场合理的时间内提供书面说明，必要时提交相关证明材料；</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lang w:val="zh-CN"/>
              </w:rPr>
              <w:t>不能证明其报价合理性的，评标委员会应当将其作为无效响应文件处理。</w:t>
            </w:r>
          </w:p>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lang w:val="zh-CN"/>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lang w:val="zh-CN"/>
              </w:rPr>
              <w:t>的书面说明材料应当按照国家财务会计制度的规定要求，逐项就</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lang w:val="zh-CN"/>
              </w:rPr>
              <w:t>提供的货物、工程和服务的主营业务成本、税金及附加、销售费用、管理费用、财务费用等成本构成事项详细陈述。</w:t>
            </w:r>
          </w:p>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2、</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lang w:val="zh-CN"/>
              </w:rPr>
              <w:t>书面说明应当签字确认或者加盖公章，否则无效。书面说明的签字确认，由其法定代表人/主要负责人/本人或者其授权代表签字确认。</w:t>
            </w:r>
          </w:p>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3、</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lang w:val="zh-CN"/>
              </w:rPr>
              <w:t>提供书面说明后，评标委员会应当结合采购项目采购需求、专业实际情况、</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lang w:val="zh-CN"/>
              </w:rPr>
              <w:t>财务状况报告、与其他</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lang w:val="zh-CN"/>
              </w:rPr>
              <w:t>比较情况等就</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lang w:val="zh-CN"/>
              </w:rPr>
              <w:t>书面说明进行审查评价。</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lang w:val="zh-CN"/>
              </w:rPr>
              <w:t>拒绝或者变相拒绝提供有效书面说明或者书面说明不能证明其报价合理性的或未在规定时间内递交有效书面说明书的，评标委员会应当将其响应文件作为无效处理。</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136" w:leftChars="-68" w:right="-92"/>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2874"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firstLine="210" w:firstLineChars="100"/>
              <w:jc w:val="center"/>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扶持不发达地区和少数民族地区企业</w:t>
            </w:r>
          </w:p>
        </w:tc>
        <w:tc>
          <w:tcPr>
            <w:tcW w:w="6008" w:type="dxa"/>
            <w:noWrap w:val="0"/>
            <w:tcMar>
              <w:top w:w="0" w:type="dxa"/>
              <w:left w:w="142" w:type="dxa"/>
              <w:bottom w:w="0" w:type="dxa"/>
              <w:right w:w="142" w:type="dxa"/>
            </w:tcMar>
            <w:vAlign w:val="top"/>
          </w:tcPr>
          <w:p>
            <w:pPr>
              <w:pStyle w:val="82"/>
              <w:keepNext w:val="0"/>
              <w:keepLines w:val="0"/>
              <w:suppressLineNumbers w:val="0"/>
              <w:spacing w:before="0" w:beforeAutospacing="0" w:after="0" w:afterAutospacing="0" w:line="380" w:lineRule="exact"/>
              <w:ind w:left="0" w:right="0" w:firstLine="210" w:firstLineChars="100"/>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在报价、服务同比条件下，优先采购不发达地区和少数民族地区企业的产品或服务。</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2874"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b/>
                <w:bCs/>
                <w:sz w:val="21"/>
                <w:szCs w:val="21"/>
                <w:highlight w:val="none"/>
                <w:lang w:val="zh-CN"/>
              </w:rPr>
            </w:pPr>
            <w:r>
              <w:rPr>
                <w:rFonts w:hint="eastAsia" w:ascii="仿宋" w:hAnsi="仿宋" w:eastAsia="仿宋" w:cs="仿宋"/>
                <w:b/>
                <w:bCs/>
                <w:sz w:val="21"/>
                <w:szCs w:val="21"/>
                <w:highlight w:val="none"/>
                <w:lang w:val="zh-CN"/>
              </w:rPr>
              <w:t>小微企业（监狱企业、残疾人福利性单位视同小微企业）价格扣除</w:t>
            </w:r>
          </w:p>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b/>
                <w:bCs/>
                <w:sz w:val="21"/>
                <w:szCs w:val="21"/>
                <w:highlight w:val="none"/>
                <w:lang w:val="zh-CN"/>
              </w:rPr>
            </w:pPr>
          </w:p>
        </w:tc>
        <w:tc>
          <w:tcPr>
            <w:tcW w:w="6008" w:type="dxa"/>
            <w:noWrap w:val="0"/>
            <w:tcMar>
              <w:top w:w="0" w:type="dxa"/>
              <w:left w:w="142" w:type="dxa"/>
              <w:bottom w:w="0" w:type="dxa"/>
              <w:right w:w="142" w:type="dxa"/>
            </w:tcMar>
            <w:vAlign w:val="top"/>
          </w:tcPr>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一、小微企业（监狱企业、残疾人福利性单位视同小微企业）价格扣除</w:t>
            </w:r>
          </w:p>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1.根据《政府采购促进中小企业发展管理办法》的通知财库〔2020〕46号的规定，对于经主管预算单位统筹后未预留份额专门面向中小企业采购的采购项目，以及预留份额项目中的非预留部分采购包，对符合规定的小微企业报价给予10%的扣除，用扣除后的价格参加评审。</w:t>
            </w:r>
          </w:p>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2.参加采购活动的监狱企业应当提供省级以上监狱管理局、戒毒管理局（含新疆生产建设兵团）出具的属于监狱企业的证明文件，未提供的，视为放弃享受小微企业报价扣除优惠政策。监狱企业属于小型、微型企业的，不重复享受政策。</w:t>
            </w:r>
          </w:p>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3.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3%的价格扣除，用扣除后的价格参加评审（</w:t>
            </w:r>
            <w:r>
              <w:rPr>
                <w:rFonts w:hint="eastAsia" w:ascii="仿宋" w:hAnsi="仿宋" w:eastAsia="仿宋" w:cs="仿宋"/>
                <w:sz w:val="21"/>
                <w:szCs w:val="21"/>
                <w:highlight w:val="none"/>
                <w:lang w:val="en-US" w:eastAsia="zh-CN"/>
              </w:rPr>
              <w:t>本项目不适用</w:t>
            </w:r>
            <w:r>
              <w:rPr>
                <w:rFonts w:hint="eastAsia" w:ascii="仿宋" w:hAnsi="仿宋" w:eastAsia="仿宋" w:cs="仿宋"/>
                <w:sz w:val="21"/>
                <w:szCs w:val="21"/>
                <w:highlight w:val="none"/>
                <w:lang w:val="zh-CN"/>
              </w:rPr>
              <w:t xml:space="preserve">）。 </w:t>
            </w:r>
          </w:p>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 xml:space="preserve">联合体各方均为小型、微型企业的，联合体视同为小型、微型企业享受规定的扶持政策。组成联合体的大中型企业和其他自然人、法人或者其他组织，与小型、微型企业之间不得存在投资关系。 </w:t>
            </w:r>
          </w:p>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4.参加政府采购活动的残疾人福利性单位应当提供《残疾人福利性单位声明函》原件，未提供的，视为放弃享受小微企业价格扣除优惠政策。</w:t>
            </w:r>
          </w:p>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5.符合中小企业划分标准的个体工商户，在政府采购活动中视同中小企业。</w:t>
            </w:r>
          </w:p>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b/>
                <w:bCs/>
                <w:sz w:val="21"/>
                <w:szCs w:val="21"/>
                <w:highlight w:val="none"/>
                <w:lang w:val="zh-CN"/>
              </w:rPr>
            </w:pPr>
            <w:r>
              <w:rPr>
                <w:rFonts w:hint="eastAsia" w:ascii="仿宋" w:hAnsi="仿宋" w:eastAsia="仿宋" w:cs="仿宋"/>
                <w:b/>
                <w:bCs/>
                <w:sz w:val="21"/>
                <w:szCs w:val="21"/>
                <w:highlight w:val="none"/>
                <w:lang w:val="zh-CN"/>
              </w:rPr>
              <w:t>注：</w:t>
            </w:r>
            <w:r>
              <w:rPr>
                <w:rFonts w:hint="eastAsia" w:ascii="仿宋" w:hAnsi="仿宋" w:eastAsia="仿宋" w:cs="仿宋"/>
                <w:b/>
                <w:bCs/>
                <w:sz w:val="21"/>
                <w:szCs w:val="21"/>
                <w:highlight w:val="none"/>
              </w:rPr>
              <w:t>1、</w:t>
            </w:r>
            <w:r>
              <w:rPr>
                <w:rFonts w:hint="eastAsia" w:ascii="仿宋" w:hAnsi="仿宋" w:eastAsia="仿宋" w:cs="仿宋"/>
                <w:b/>
                <w:bCs/>
                <w:sz w:val="21"/>
                <w:szCs w:val="21"/>
                <w:highlight w:val="none"/>
                <w:lang w:val="zh-CN"/>
              </w:rPr>
              <w:t>以上小微企业、监狱企业、残疾人福利性单位不重复</w:t>
            </w:r>
          </w:p>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rPr>
            </w:pPr>
            <w:r>
              <w:rPr>
                <w:rFonts w:hint="eastAsia" w:ascii="仿宋" w:hAnsi="仿宋" w:eastAsia="仿宋" w:cs="仿宋"/>
                <w:b/>
                <w:bCs/>
                <w:sz w:val="21"/>
                <w:szCs w:val="21"/>
                <w:highlight w:val="none"/>
                <w:lang w:val="zh-CN"/>
              </w:rPr>
              <w:t>计算。</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c>
          <w:tcPr>
            <w:tcW w:w="2874"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kern w:val="2"/>
                <w:sz w:val="21"/>
                <w:szCs w:val="21"/>
                <w:highlight w:val="none"/>
                <w:lang w:val="zh-CN"/>
              </w:rPr>
              <w:t>节能、环保及无线局域网产品政府采购政策</w:t>
            </w:r>
          </w:p>
        </w:tc>
        <w:tc>
          <w:tcPr>
            <w:tcW w:w="6008"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节能、环保政府采购政策（实质性要求） </w:t>
            </w:r>
          </w:p>
          <w:p>
            <w:pPr>
              <w:pStyle w:val="82"/>
              <w:keepNext w:val="0"/>
              <w:keepLines w:val="0"/>
              <w:numPr>
                <w:ilvl w:val="0"/>
                <w:numId w:val="3"/>
              </w:numPr>
              <w:suppressLineNumbers w:val="0"/>
              <w:spacing w:before="0" w:beforeAutospacing="0" w:after="0" w:afterAutospacing="0" w:line="380" w:lineRule="exact"/>
              <w:ind w:left="0" w:right="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节能、环保产品政府采购政策</w:t>
            </w:r>
          </w:p>
          <w:p>
            <w:pPr>
              <w:pStyle w:val="82"/>
              <w:keepNext w:val="0"/>
              <w:keepLines w:val="0"/>
              <w:numPr>
                <w:ilvl w:val="0"/>
                <w:numId w:val="0"/>
              </w:numPr>
              <w:suppressLineNumbers w:val="0"/>
              <w:spacing w:before="0" w:beforeAutospacing="0" w:after="0" w:afterAutospacing="0" w:line="380" w:lineRule="exact"/>
              <w:ind w:left="0" w:right="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本项目采购产品若属于《节能产品政府采购品目清单》范围的，投标人须提供本次投标产品的国家确定的认证机构出具的、处于有效期之内的节能产品认证证书扫描件。采购产品属于强制采购的，投标产品未提供节能产品认证证书的，投标无效；采购产品属于优先采购的，投标产品未提供节能产品认证证书的，不予认定。2.本项目采购产品若属于《环境标志产品政府采购品目清单》范围的，投标人须提供本次投标产品的国家确定的认证机构出具的、处于有效期之内的环境标志产品认证证书扫描件。投标产品获得环境标志产品认证证书的，实施优先采购。</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2874"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国家强制认证</w:t>
            </w:r>
          </w:p>
        </w:tc>
        <w:tc>
          <w:tcPr>
            <w:tcW w:w="6008"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投标产品如为国家强制性认证产品目录中公示的设备，须取得“中国强制性产品认证”证书。</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11</w:t>
            </w:r>
          </w:p>
        </w:tc>
        <w:tc>
          <w:tcPr>
            <w:tcW w:w="2874"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center"/>
              <w:rPr>
                <w:rFonts w:hint="eastAsia" w:ascii="仿宋" w:hAnsi="仿宋" w:eastAsia="仿宋" w:cs="仿宋"/>
                <w:b/>
                <w:bCs/>
                <w:sz w:val="21"/>
                <w:szCs w:val="21"/>
                <w:highlight w:val="none"/>
                <w:lang w:val="zh-CN"/>
              </w:rPr>
            </w:pPr>
            <w:r>
              <w:rPr>
                <w:rFonts w:hint="eastAsia" w:ascii="仿宋" w:hAnsi="仿宋" w:eastAsia="仿宋" w:cs="仿宋"/>
                <w:b w:val="0"/>
                <w:bCs w:val="0"/>
                <w:sz w:val="21"/>
                <w:szCs w:val="21"/>
                <w:highlight w:val="none"/>
                <w:lang w:val="zh-CN"/>
              </w:rPr>
              <w:t>绿色发展</w:t>
            </w:r>
          </w:p>
        </w:tc>
        <w:tc>
          <w:tcPr>
            <w:tcW w:w="6008"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80" w:lineRule="exact"/>
              <w:ind w:left="0" w:right="0"/>
              <w:jc w:val="both"/>
              <w:rPr>
                <w:rFonts w:hint="eastAsia" w:ascii="仿宋" w:hAnsi="仿宋" w:eastAsia="仿宋" w:cs="仿宋"/>
                <w:sz w:val="21"/>
                <w:szCs w:val="21"/>
                <w:highlight w:val="none"/>
                <w:lang w:val="en-US" w:eastAsia="zh-CN"/>
              </w:rPr>
            </w:pPr>
            <w:r>
              <w:rPr>
                <w:rFonts w:hint="eastAsia" w:ascii="仿宋" w:hAnsi="仿宋" w:eastAsia="仿宋" w:cs="仿宋"/>
                <w:b w:val="0"/>
                <w:bCs w:val="0"/>
                <w:sz w:val="21"/>
                <w:szCs w:val="21"/>
                <w:highlight w:val="none"/>
                <w:lang w:eastAsia="zh-CN"/>
              </w:rPr>
              <w:t>本项目不适用。</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12</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现场考察、标前答疑会</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rPr>
            </w:pPr>
            <w:r>
              <w:rPr>
                <w:rFonts w:hint="eastAsia" w:ascii="仿宋" w:hAnsi="仿宋" w:eastAsia="仿宋" w:cs="仿宋"/>
                <w:sz w:val="21"/>
                <w:szCs w:val="21"/>
                <w:highlight w:val="none"/>
              </w:rPr>
              <w:t>不组织</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13</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分包</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不允许</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14</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投标保证金</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rPr>
            </w:pPr>
            <w:r>
              <w:rPr>
                <w:rFonts w:hint="eastAsia" w:ascii="仿宋" w:hAnsi="仿宋" w:eastAsia="仿宋" w:cs="仿宋"/>
                <w:sz w:val="21"/>
                <w:szCs w:val="21"/>
                <w:highlight w:val="none"/>
              </w:rPr>
              <w:t>按照川财采</w:t>
            </w:r>
            <w:r>
              <w:rPr>
                <w:rFonts w:hint="eastAsia" w:ascii="仿宋" w:hAnsi="仿宋" w:eastAsia="仿宋" w:cs="仿宋"/>
                <w:sz w:val="21"/>
                <w:szCs w:val="21"/>
                <w:highlight w:val="none"/>
                <w:lang w:val="zh-CN"/>
              </w:rPr>
              <w:t>〔2020〕</w:t>
            </w:r>
            <w:r>
              <w:rPr>
                <w:rFonts w:hint="eastAsia" w:ascii="仿宋" w:hAnsi="仿宋" w:eastAsia="仿宋" w:cs="仿宋"/>
                <w:sz w:val="21"/>
                <w:szCs w:val="21"/>
                <w:highlight w:val="none"/>
              </w:rPr>
              <w:t>28号文要求，本项目不收取投标保证金。</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15</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履约保证金</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按照川财采</w:t>
            </w:r>
            <w:r>
              <w:rPr>
                <w:rFonts w:hint="eastAsia" w:ascii="仿宋" w:hAnsi="仿宋" w:eastAsia="仿宋" w:cs="仿宋"/>
                <w:sz w:val="21"/>
                <w:szCs w:val="21"/>
                <w:highlight w:val="none"/>
                <w:lang w:val="zh-CN"/>
              </w:rPr>
              <w:t>〔2020〕</w:t>
            </w:r>
            <w:r>
              <w:rPr>
                <w:rFonts w:hint="eastAsia" w:ascii="仿宋" w:hAnsi="仿宋" w:eastAsia="仿宋" w:cs="仿宋"/>
                <w:sz w:val="21"/>
                <w:szCs w:val="21"/>
                <w:highlight w:val="none"/>
              </w:rPr>
              <w:t>28号文要求，本项目不收取</w:t>
            </w:r>
            <w:r>
              <w:rPr>
                <w:rFonts w:hint="eastAsia" w:ascii="仿宋" w:hAnsi="仿宋" w:eastAsia="仿宋" w:cs="仿宋"/>
                <w:sz w:val="21"/>
                <w:szCs w:val="21"/>
                <w:highlight w:val="none"/>
                <w:lang w:eastAsia="zh-CN"/>
              </w:rPr>
              <w:t>履约</w:t>
            </w:r>
            <w:r>
              <w:rPr>
                <w:rFonts w:hint="eastAsia" w:ascii="仿宋" w:hAnsi="仿宋" w:eastAsia="仿宋" w:cs="仿宋"/>
                <w:sz w:val="21"/>
                <w:szCs w:val="21"/>
                <w:highlight w:val="none"/>
              </w:rPr>
              <w:t>保证金。</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16</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备选投标方案和报价</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rPr>
            </w:pPr>
            <w:r>
              <w:rPr>
                <w:rFonts w:hint="eastAsia" w:ascii="仿宋" w:hAnsi="仿宋" w:eastAsia="仿宋" w:cs="仿宋"/>
                <w:sz w:val="21"/>
                <w:szCs w:val="21"/>
                <w:highlight w:val="none"/>
              </w:rPr>
              <w:t>不接受</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17</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color w:val="000000"/>
                <w:sz w:val="21"/>
                <w:szCs w:val="21"/>
                <w:highlight w:val="none"/>
                <w:lang w:val="zh-CN"/>
              </w:rPr>
              <w:t>招标代理服务费</w:t>
            </w:r>
          </w:p>
        </w:tc>
        <w:tc>
          <w:tcPr>
            <w:tcW w:w="6008"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line="360" w:lineRule="auto"/>
              <w:ind w:left="0" w:right="0" w:firstLine="210" w:firstLineChars="100"/>
              <w:rPr>
                <w:rFonts w:hint="eastAsia" w:ascii="仿宋" w:hAnsi="仿宋" w:eastAsia="仿宋" w:cs="仿宋"/>
                <w:sz w:val="21"/>
                <w:szCs w:val="21"/>
                <w:lang w:val="zh-CN"/>
              </w:rPr>
            </w:pPr>
            <w:r>
              <w:rPr>
                <w:rFonts w:hint="eastAsia" w:ascii="仿宋" w:hAnsi="仿宋" w:eastAsia="仿宋" w:cs="仿宋"/>
                <w:sz w:val="21"/>
                <w:szCs w:val="21"/>
                <w:lang w:val="zh-CN"/>
              </w:rPr>
              <w:t>经与采购人协商一致，本项目</w:t>
            </w:r>
            <w:r>
              <w:rPr>
                <w:rFonts w:hint="eastAsia" w:ascii="仿宋" w:hAnsi="仿宋" w:eastAsia="仿宋" w:cs="仿宋"/>
                <w:sz w:val="21"/>
                <w:szCs w:val="21"/>
                <w:lang w:val="en-US" w:eastAsia="zh-CN"/>
              </w:rPr>
              <w:t>中标</w:t>
            </w:r>
            <w:r>
              <w:rPr>
                <w:rFonts w:hint="eastAsia" w:ascii="仿宋" w:hAnsi="仿宋" w:eastAsia="仿宋" w:cs="仿宋"/>
                <w:sz w:val="21"/>
                <w:szCs w:val="21"/>
                <w:lang w:val="zh-CN"/>
              </w:rPr>
              <w:t>服务费</w:t>
            </w:r>
            <w:r>
              <w:rPr>
                <w:rFonts w:hint="eastAsia" w:ascii="仿宋" w:hAnsi="仿宋" w:eastAsia="仿宋" w:cs="仿宋"/>
                <w:sz w:val="21"/>
                <w:szCs w:val="21"/>
                <w:lang w:val="en-US" w:eastAsia="zh-CN"/>
              </w:rPr>
              <w:t>为：01包中标服务费为：87915元（人民币捌万柒仟玖佰壹拾伍元整），02包中标服务费为：69205元（人民币陆万玖仟贰佰零伍元整）</w:t>
            </w:r>
            <w:r>
              <w:rPr>
                <w:rFonts w:hint="eastAsia" w:ascii="仿宋" w:hAnsi="仿宋" w:eastAsia="仿宋" w:cs="仿宋"/>
                <w:sz w:val="21"/>
                <w:szCs w:val="21"/>
                <w:lang w:val="zh-CN"/>
              </w:rPr>
              <w:t>，</w:t>
            </w:r>
            <w:r>
              <w:rPr>
                <w:rFonts w:hint="eastAsia" w:ascii="仿宋" w:hAnsi="仿宋" w:eastAsia="仿宋" w:cs="仿宋"/>
                <w:sz w:val="21"/>
                <w:szCs w:val="21"/>
                <w:lang w:val="en-US" w:eastAsia="zh-CN"/>
              </w:rPr>
              <w:t>03包中标服务费为：85419元（人民币捌万伍仟肆佰壹拾玖元整），04包中标服务费为：56599元（人民币伍万陆仟伍佰玖拾玖元整）</w:t>
            </w:r>
            <w:r>
              <w:rPr>
                <w:rFonts w:hint="eastAsia" w:ascii="仿宋" w:hAnsi="仿宋" w:eastAsia="仿宋" w:cs="仿宋"/>
                <w:sz w:val="21"/>
                <w:szCs w:val="21"/>
                <w:lang w:val="zh-CN"/>
              </w:rPr>
              <w:t>向</w:t>
            </w:r>
            <w:r>
              <w:rPr>
                <w:rFonts w:hint="eastAsia" w:ascii="仿宋" w:hAnsi="仿宋" w:eastAsia="仿宋" w:cs="仿宋"/>
                <w:sz w:val="21"/>
                <w:szCs w:val="21"/>
                <w:lang w:val="en-US" w:eastAsia="zh-CN"/>
              </w:rPr>
              <w:t>中标</w:t>
            </w:r>
            <w:r>
              <w:rPr>
                <w:rFonts w:hint="eastAsia" w:ascii="仿宋" w:hAnsi="仿宋" w:eastAsia="仿宋" w:cs="仿宋"/>
                <w:sz w:val="21"/>
                <w:szCs w:val="21"/>
                <w:lang w:val="zh-CN"/>
              </w:rPr>
              <w:t>人收取，由</w:t>
            </w:r>
            <w:r>
              <w:rPr>
                <w:rFonts w:hint="eastAsia" w:ascii="仿宋" w:hAnsi="仿宋" w:eastAsia="仿宋" w:cs="仿宋"/>
                <w:sz w:val="21"/>
                <w:szCs w:val="21"/>
                <w:lang w:val="en-US" w:eastAsia="zh-CN"/>
              </w:rPr>
              <w:t>中标</w:t>
            </w:r>
            <w:r>
              <w:rPr>
                <w:rFonts w:hint="eastAsia" w:ascii="仿宋" w:hAnsi="仿宋" w:eastAsia="仿宋" w:cs="仿宋"/>
                <w:sz w:val="21"/>
                <w:szCs w:val="21"/>
                <w:lang w:val="zh-CN"/>
              </w:rPr>
              <w:t>人领取成交通知书时，向采购代理机构交纳</w:t>
            </w:r>
            <w:r>
              <w:rPr>
                <w:rFonts w:hint="eastAsia" w:ascii="仿宋" w:hAnsi="仿宋" w:eastAsia="仿宋" w:cs="仿宋"/>
                <w:sz w:val="21"/>
                <w:szCs w:val="21"/>
                <w:lang w:val="en-US" w:eastAsia="zh-CN"/>
              </w:rPr>
              <w:t>中标</w:t>
            </w:r>
            <w:r>
              <w:rPr>
                <w:rFonts w:hint="eastAsia" w:ascii="仿宋" w:hAnsi="仿宋" w:eastAsia="仿宋" w:cs="仿宋"/>
                <w:sz w:val="21"/>
                <w:szCs w:val="21"/>
                <w:lang w:val="zh-CN"/>
              </w:rPr>
              <w:t>服务费。</w:t>
            </w:r>
          </w:p>
          <w:p>
            <w:pPr>
              <w:pStyle w:val="82"/>
              <w:keepNext w:val="0"/>
              <w:keepLines w:val="0"/>
              <w:suppressLineNumbers w:val="0"/>
              <w:spacing w:before="0" w:beforeAutospacing="0" w:after="0" w:afterAutospacing="0" w:line="360" w:lineRule="auto"/>
              <w:ind w:left="0" w:right="0" w:firstLine="211" w:firstLineChars="100"/>
              <w:rPr>
                <w:rFonts w:hint="eastAsia" w:ascii="仿宋" w:hAnsi="仿宋" w:eastAsia="仿宋" w:cs="仿宋"/>
                <w:b/>
                <w:bCs/>
                <w:sz w:val="21"/>
                <w:szCs w:val="21"/>
                <w:lang w:val="zh-CN"/>
              </w:rPr>
            </w:pPr>
            <w:r>
              <w:rPr>
                <w:rFonts w:hint="eastAsia" w:ascii="仿宋" w:hAnsi="仿宋" w:eastAsia="仿宋" w:cs="仿宋"/>
                <w:b/>
                <w:bCs/>
                <w:sz w:val="21"/>
                <w:szCs w:val="21"/>
                <w:lang w:val="zh-CN"/>
              </w:rPr>
              <w:t>收款单位：四川迈勋招投标代理有限公司</w:t>
            </w:r>
          </w:p>
          <w:p>
            <w:pPr>
              <w:pStyle w:val="82"/>
              <w:keepNext w:val="0"/>
              <w:keepLines w:val="0"/>
              <w:suppressLineNumbers w:val="0"/>
              <w:spacing w:before="0" w:beforeAutospacing="0" w:after="0" w:afterAutospacing="0" w:line="360" w:lineRule="auto"/>
              <w:ind w:left="0" w:right="0" w:firstLine="211" w:firstLineChars="100"/>
              <w:rPr>
                <w:rFonts w:hint="eastAsia" w:ascii="仿宋" w:hAnsi="仿宋" w:eastAsia="仿宋" w:cs="仿宋"/>
                <w:b/>
                <w:bCs/>
                <w:sz w:val="21"/>
                <w:szCs w:val="21"/>
                <w:lang w:val="zh-CN"/>
              </w:rPr>
            </w:pPr>
            <w:r>
              <w:rPr>
                <w:rFonts w:hint="eastAsia" w:ascii="仿宋" w:hAnsi="仿宋" w:eastAsia="仿宋" w:cs="仿宋"/>
                <w:b/>
                <w:bCs/>
                <w:sz w:val="21"/>
                <w:szCs w:val="21"/>
                <w:lang w:val="zh-CN"/>
              </w:rPr>
              <w:t>开 户 行：招商银行成都分行益州大道支行</w:t>
            </w:r>
          </w:p>
          <w:p>
            <w:pPr>
              <w:keepNext w:val="0"/>
              <w:keepLines w:val="0"/>
              <w:widowControl/>
              <w:suppressLineNumbers w:val="0"/>
              <w:snapToGrid w:val="0"/>
              <w:spacing w:before="0" w:beforeAutospacing="0" w:after="0" w:afterAutospacing="0" w:line="380" w:lineRule="exact"/>
              <w:ind w:left="0" w:right="0" w:firstLine="211" w:firstLineChars="100"/>
              <w:rPr>
                <w:rFonts w:hint="eastAsia" w:ascii="仿宋" w:hAnsi="仿宋" w:eastAsia="仿宋" w:cs="仿宋"/>
                <w:sz w:val="21"/>
                <w:szCs w:val="21"/>
                <w:highlight w:val="none"/>
              </w:rPr>
            </w:pPr>
            <w:r>
              <w:rPr>
                <w:rFonts w:hint="eastAsia" w:ascii="仿宋" w:hAnsi="仿宋" w:eastAsia="仿宋" w:cs="仿宋"/>
                <w:b/>
                <w:bCs/>
                <w:sz w:val="21"/>
                <w:szCs w:val="21"/>
                <w:lang w:val="zh-CN"/>
              </w:rPr>
              <w:t>银行账号：1289 1035 6010 601</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18</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评审情况的公告</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rPr>
            </w:pPr>
            <w:r>
              <w:rPr>
                <w:rFonts w:hint="eastAsia" w:ascii="仿宋" w:hAnsi="仿宋" w:eastAsia="仿宋" w:cs="仿宋"/>
                <w:sz w:val="21"/>
                <w:szCs w:val="21"/>
                <w:highlight w:val="none"/>
              </w:rPr>
              <w:t>所有</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投标文件资格性、符合性审查情况、采用综合评分法时的总得分和分项汇总得分情况、评审结果等将在</w:t>
            </w:r>
            <w:r>
              <w:rPr>
                <w:rFonts w:hint="eastAsia" w:ascii="仿宋" w:hAnsi="仿宋" w:eastAsia="仿宋" w:cs="仿宋"/>
                <w:b/>
                <w:sz w:val="21"/>
                <w:szCs w:val="21"/>
                <w:highlight w:val="none"/>
                <w:u w:val="single"/>
              </w:rPr>
              <w:t>四川政府采购网</w:t>
            </w:r>
            <w:r>
              <w:rPr>
                <w:rFonts w:hint="eastAsia" w:ascii="仿宋" w:hAnsi="仿宋" w:eastAsia="仿宋" w:cs="仿宋"/>
                <w:sz w:val="21"/>
                <w:szCs w:val="21"/>
                <w:highlight w:val="none"/>
              </w:rPr>
              <w:t>上采购结果公告附件中予以公告。</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19</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采购文件咨询</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联系人：</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u w:val="single"/>
                <w:lang w:eastAsia="zh-CN"/>
              </w:rPr>
              <w:t>王先生</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联系电话：</w:t>
            </w:r>
            <w:r>
              <w:rPr>
                <w:rFonts w:hint="eastAsia" w:ascii="仿宋" w:hAnsi="仿宋" w:eastAsia="仿宋" w:cs="仿宋"/>
                <w:sz w:val="21"/>
                <w:szCs w:val="21"/>
                <w:highlight w:val="none"/>
                <w:u w:val="single"/>
                <w:lang w:eastAsia="zh-CN"/>
              </w:rPr>
              <w:t>028-61559156</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20</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开评标工作咨询</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联系人：</w:t>
            </w:r>
            <w:r>
              <w:rPr>
                <w:rFonts w:hint="eastAsia" w:ascii="仿宋" w:hAnsi="仿宋" w:eastAsia="仿宋" w:cs="仿宋"/>
                <w:sz w:val="21"/>
                <w:szCs w:val="21"/>
                <w:highlight w:val="none"/>
                <w:u w:val="single"/>
                <w:lang w:eastAsia="zh-CN"/>
              </w:rPr>
              <w:t>王先生</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联系电话：</w:t>
            </w:r>
            <w:r>
              <w:rPr>
                <w:rFonts w:hint="eastAsia" w:ascii="仿宋" w:hAnsi="仿宋" w:eastAsia="仿宋" w:cs="仿宋"/>
                <w:sz w:val="21"/>
                <w:szCs w:val="21"/>
                <w:highlight w:val="none"/>
                <w:u w:val="single"/>
                <w:lang w:eastAsia="zh-CN"/>
              </w:rPr>
              <w:t>028-61559156</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21</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中标通知书</w:t>
            </w:r>
          </w:p>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领取</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rPr>
            </w:pPr>
            <w:r>
              <w:rPr>
                <w:rFonts w:hint="eastAsia" w:ascii="仿宋" w:hAnsi="仿宋" w:eastAsia="仿宋" w:cs="仿宋"/>
                <w:sz w:val="21"/>
                <w:szCs w:val="21"/>
                <w:highlight w:val="none"/>
                <w:lang w:val="zh-CN"/>
              </w:rPr>
              <w:t>在四川政府采购网公告中标结果同时发出中标通知书，中标供应商自行登录政府采购云平台下载中标通知书。</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22</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询问</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val="zh-CN"/>
              </w:rPr>
            </w:pPr>
            <w:r>
              <w:rPr>
                <w:rFonts w:hint="eastAsia" w:ascii="仿宋" w:hAnsi="仿宋" w:eastAsia="仿宋" w:cs="仿宋"/>
                <w:sz w:val="21"/>
                <w:szCs w:val="21"/>
                <w:highlight w:val="none"/>
              </w:rPr>
              <w:t>根据委托代理协议约定，</w:t>
            </w:r>
            <w:r>
              <w:rPr>
                <w:rFonts w:hint="eastAsia" w:ascii="仿宋" w:hAnsi="仿宋" w:eastAsia="仿宋" w:cs="仿宋"/>
                <w:sz w:val="21"/>
                <w:szCs w:val="21"/>
                <w:highlight w:val="none"/>
                <w:lang w:val="zh-CN"/>
              </w:rPr>
              <w:t>本项目采购人负责对采购文件技术参数部分、评分标准的询问和质疑答复，代理机构负责采购文件技术参数部分、评分标准以外的询问和质疑答复。</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联系人：</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u w:val="single"/>
                <w:lang w:eastAsia="zh-CN"/>
              </w:rPr>
              <w:t>王先生</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联系电话：</w:t>
            </w:r>
            <w:r>
              <w:rPr>
                <w:rFonts w:hint="eastAsia" w:ascii="仿宋" w:hAnsi="仿宋" w:eastAsia="仿宋" w:cs="仿宋"/>
                <w:sz w:val="21"/>
                <w:szCs w:val="21"/>
                <w:highlight w:val="none"/>
                <w:u w:val="single"/>
                <w:lang w:eastAsia="zh-CN"/>
              </w:rPr>
              <w:t>028-61559156</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地址：</w:t>
            </w:r>
            <w:r>
              <w:rPr>
                <w:rFonts w:hint="eastAsia" w:ascii="仿宋" w:hAnsi="仿宋" w:eastAsia="仿宋" w:cs="仿宋"/>
                <w:sz w:val="21"/>
                <w:szCs w:val="21"/>
                <w:highlight w:val="none"/>
                <w:lang w:eastAsia="zh-CN"/>
              </w:rPr>
              <w:t>成都市高新区天府大道中段1388号美年广场D座3层305号</w:t>
            </w:r>
          </w:p>
          <w:p>
            <w:pPr>
              <w:keepNext w:val="0"/>
              <w:keepLines w:val="0"/>
              <w:widowControl/>
              <w:suppressLineNumbers w:val="0"/>
              <w:snapToGrid w:val="0"/>
              <w:spacing w:before="0" w:beforeAutospacing="0" w:after="0" w:afterAutospacing="0" w:line="380" w:lineRule="exact"/>
              <w:ind w:left="0" w:right="0"/>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邮编：</w:t>
            </w:r>
            <w:r>
              <w:rPr>
                <w:rFonts w:hint="eastAsia" w:ascii="仿宋" w:hAnsi="仿宋" w:eastAsia="仿宋" w:cs="仿宋"/>
                <w:sz w:val="21"/>
                <w:szCs w:val="21"/>
                <w:highlight w:val="none"/>
                <w:u w:val="single"/>
              </w:rPr>
              <w:t>6100</w:t>
            </w:r>
            <w:r>
              <w:rPr>
                <w:rFonts w:hint="eastAsia" w:ascii="仿宋" w:hAnsi="仿宋" w:eastAsia="仿宋" w:cs="仿宋"/>
                <w:sz w:val="21"/>
                <w:szCs w:val="21"/>
                <w:highlight w:val="none"/>
                <w:u w:val="single"/>
                <w:lang w:val="en-US" w:eastAsia="zh-CN"/>
              </w:rPr>
              <w:t>00</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23</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质疑</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1.根据委托代理协议约定，本项目采购人负责对采购文件技术参数部分、评分标准的询问和质疑答复，代理机构负责采购文件技术参数部分、评分标准以外的询问和质疑答复。</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val="zh-CN" w:eastAsia="zh-CN"/>
              </w:rPr>
            </w:pPr>
            <w:r>
              <w:rPr>
                <w:rFonts w:hint="eastAsia" w:ascii="仿宋" w:hAnsi="仿宋" w:eastAsia="仿宋" w:cs="仿宋"/>
                <w:sz w:val="21"/>
                <w:szCs w:val="21"/>
                <w:highlight w:val="none"/>
                <w:lang w:val="zh-CN" w:eastAsia="zh-CN"/>
              </w:rPr>
              <w:t>2.提出质疑函的时限要求：投标人认为采购文件、采购过程、成交或者成交结果使自己的权益受到损害的，可以在知道或者应知其权益受到损害之日起7个工作日内，以书面形式向采购人、采购代理机构提出质疑，逾期提交不予受理。</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val="zh-CN" w:eastAsia="zh-CN"/>
              </w:rPr>
            </w:pPr>
            <w:r>
              <w:rPr>
                <w:rFonts w:hint="eastAsia" w:ascii="仿宋" w:hAnsi="仿宋" w:eastAsia="仿宋" w:cs="仿宋"/>
                <w:sz w:val="21"/>
                <w:szCs w:val="21"/>
                <w:highlight w:val="none"/>
                <w:lang w:val="zh-CN" w:eastAsia="zh-CN"/>
              </w:rPr>
              <w:t>3.接收质疑函的方式：投标人在法定时间内以书面形式现场提交质疑函。</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val="zh-CN" w:eastAsia="zh-CN"/>
              </w:rPr>
            </w:pPr>
            <w:r>
              <w:rPr>
                <w:rFonts w:hint="eastAsia" w:ascii="仿宋" w:hAnsi="仿宋" w:eastAsia="仿宋" w:cs="仿宋"/>
                <w:sz w:val="21"/>
                <w:szCs w:val="21"/>
                <w:highlight w:val="none"/>
                <w:lang w:val="zh-CN" w:eastAsia="zh-CN"/>
              </w:rPr>
              <w:t>4.采购文件质疑时间：购买采购文件之日起七个工作日内。</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5.采购过程质疑时间：为各采购程序环节结束之日起七个工作日内；对采购结果提出质疑时间为中标结果公告期限届满之日起七个工作日内。</w:t>
            </w:r>
          </w:p>
          <w:p>
            <w:pPr>
              <w:keepNext w:val="0"/>
              <w:keepLines w:val="0"/>
              <w:widowControl/>
              <w:suppressLineNumbers w:val="0"/>
              <w:snapToGrid w:val="0"/>
              <w:spacing w:before="0" w:beforeAutospacing="0" w:after="0" w:afterAutospacing="0" w:line="380" w:lineRule="exact"/>
              <w:ind w:left="0" w:right="0"/>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联系人：</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u w:val="single"/>
                <w:lang w:val="en-US" w:eastAsia="zh-CN"/>
              </w:rPr>
              <w:t>王先生</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联系电话：</w:t>
            </w:r>
            <w:r>
              <w:rPr>
                <w:rFonts w:hint="eastAsia" w:ascii="仿宋" w:hAnsi="仿宋" w:eastAsia="仿宋" w:cs="仿宋"/>
                <w:sz w:val="21"/>
                <w:szCs w:val="21"/>
                <w:highlight w:val="none"/>
                <w:u w:val="single"/>
                <w:lang w:eastAsia="zh-CN"/>
              </w:rPr>
              <w:t>028-61559156</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u w:val="single"/>
                <w:lang w:eastAsia="zh-CN"/>
              </w:rPr>
            </w:pPr>
            <w:r>
              <w:rPr>
                <w:rFonts w:hint="eastAsia" w:ascii="仿宋" w:hAnsi="仿宋" w:eastAsia="仿宋" w:cs="仿宋"/>
                <w:sz w:val="21"/>
                <w:szCs w:val="21"/>
                <w:highlight w:val="none"/>
              </w:rPr>
              <w:t>地址：</w:t>
            </w:r>
            <w:r>
              <w:rPr>
                <w:rFonts w:hint="eastAsia" w:ascii="仿宋" w:hAnsi="仿宋" w:eastAsia="仿宋" w:cs="仿宋"/>
                <w:sz w:val="21"/>
                <w:szCs w:val="21"/>
                <w:highlight w:val="none"/>
                <w:u w:val="single"/>
                <w:lang w:eastAsia="zh-CN"/>
              </w:rPr>
              <w:t>成都市高新区天府大道中段1388号美年广场D座3层305号</w:t>
            </w:r>
          </w:p>
          <w:p>
            <w:pPr>
              <w:keepNext w:val="0"/>
              <w:keepLines w:val="0"/>
              <w:widowControl/>
              <w:suppressLineNumbers w:val="0"/>
              <w:snapToGrid w:val="0"/>
              <w:spacing w:before="0" w:beforeAutospacing="0" w:after="0" w:afterAutospacing="0" w:line="380" w:lineRule="exact"/>
              <w:ind w:left="0" w:right="0"/>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邮编：</w:t>
            </w:r>
            <w:r>
              <w:rPr>
                <w:rFonts w:hint="eastAsia" w:ascii="仿宋" w:hAnsi="仿宋" w:eastAsia="仿宋" w:cs="仿宋"/>
                <w:sz w:val="21"/>
                <w:szCs w:val="21"/>
                <w:highlight w:val="none"/>
                <w:u w:val="single"/>
              </w:rPr>
              <w:t>6100</w:t>
            </w:r>
            <w:r>
              <w:rPr>
                <w:rFonts w:hint="eastAsia" w:ascii="仿宋" w:hAnsi="仿宋" w:eastAsia="仿宋" w:cs="仿宋"/>
                <w:sz w:val="21"/>
                <w:szCs w:val="21"/>
                <w:highlight w:val="none"/>
                <w:u w:val="single"/>
                <w:lang w:val="en-US" w:eastAsia="zh-CN"/>
              </w:rPr>
              <w:t>00</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rPr>
            </w:pPr>
            <w:r>
              <w:rPr>
                <w:rFonts w:hint="eastAsia" w:ascii="仿宋" w:hAnsi="仿宋" w:eastAsia="仿宋" w:cs="仿宋"/>
                <w:sz w:val="21"/>
                <w:szCs w:val="21"/>
                <w:highlight w:val="none"/>
              </w:rPr>
              <w:t>注：根据《中华人民共和国政府采购法》等法律法规规定，</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质疑应当有明确的请求和必要的证明材料。</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质疑不得超出采购文件、采购过程、采购结果的范围，不得进行虚假、恶意质疑，不得以质疑为手段获取不当得利、实现非法目的。</w:t>
            </w:r>
            <w:r>
              <w:rPr>
                <w:rFonts w:hint="eastAsia" w:ascii="仿宋" w:hAnsi="仿宋" w:eastAsia="仿宋" w:cs="仿宋"/>
                <w:bCs/>
                <w:sz w:val="21"/>
                <w:szCs w:val="21"/>
                <w:highlight w:val="none"/>
              </w:rPr>
              <w:t>投标人</w:t>
            </w:r>
            <w:r>
              <w:rPr>
                <w:rFonts w:hint="eastAsia" w:ascii="仿宋" w:hAnsi="仿宋" w:eastAsia="仿宋" w:cs="仿宋"/>
                <w:kern w:val="2"/>
                <w:sz w:val="21"/>
                <w:szCs w:val="21"/>
                <w:highlight w:val="none"/>
                <w:lang w:val="zh-CN"/>
              </w:rPr>
              <w:t>针对同一采购程序环节的质疑应在法定质疑期内一次性提出。</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24</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投诉</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bCs/>
                <w:sz w:val="21"/>
                <w:szCs w:val="21"/>
                <w:highlight w:val="none"/>
              </w:rPr>
            </w:pPr>
            <w:r>
              <w:rPr>
                <w:rFonts w:hint="eastAsia" w:ascii="仿宋" w:hAnsi="仿宋" w:eastAsia="仿宋" w:cs="仿宋"/>
                <w:bCs/>
                <w:sz w:val="21"/>
                <w:szCs w:val="21"/>
                <w:highlight w:val="none"/>
              </w:rPr>
              <w:t>投诉受理单位：本项目同级财政部门</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即</w:t>
            </w:r>
            <w:r>
              <w:rPr>
                <w:rFonts w:hint="eastAsia" w:ascii="仿宋" w:hAnsi="仿宋" w:eastAsia="仿宋" w:cs="仿宋"/>
                <w:bCs/>
                <w:sz w:val="21"/>
                <w:szCs w:val="21"/>
                <w:highlight w:val="none"/>
                <w:lang w:eastAsia="zh-CN"/>
              </w:rPr>
              <w:t>彭州市</w:t>
            </w:r>
            <w:r>
              <w:rPr>
                <w:rFonts w:hint="eastAsia" w:ascii="仿宋" w:hAnsi="仿宋" w:eastAsia="仿宋" w:cs="仿宋"/>
                <w:bCs/>
                <w:sz w:val="21"/>
                <w:szCs w:val="21"/>
                <w:highlight w:val="none"/>
              </w:rPr>
              <w:t>财政局；</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0"/>
                <w:szCs w:val="20"/>
                <w:lang w:val="en-US" w:eastAsia="zh-CN"/>
              </w:rPr>
            </w:pPr>
            <w:r>
              <w:rPr>
                <w:rFonts w:hint="eastAsia" w:ascii="仿宋" w:hAnsi="仿宋" w:eastAsia="仿宋" w:cs="仿宋"/>
                <w:bCs/>
                <w:sz w:val="21"/>
                <w:szCs w:val="21"/>
                <w:highlight w:val="none"/>
                <w:lang w:eastAsia="zh-CN"/>
              </w:rPr>
              <w:t>地址：彭州市牡丹大道北二段</w:t>
            </w:r>
            <w:r>
              <w:rPr>
                <w:rFonts w:hint="eastAsia" w:ascii="仿宋" w:hAnsi="仿宋" w:eastAsia="仿宋" w:cs="仿宋"/>
                <w:bCs/>
                <w:sz w:val="21"/>
                <w:szCs w:val="21"/>
                <w:highlight w:val="none"/>
                <w:lang w:val="en-US" w:eastAsia="zh-CN"/>
              </w:rPr>
              <w:t>486号。</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bCs/>
                <w:sz w:val="21"/>
                <w:szCs w:val="21"/>
                <w:highlight w:val="none"/>
                <w:lang w:eastAsia="zh-CN"/>
              </w:rPr>
            </w:pPr>
            <w:r>
              <w:rPr>
                <w:rFonts w:hint="eastAsia" w:ascii="仿宋" w:hAnsi="仿宋" w:eastAsia="仿宋" w:cs="仿宋"/>
                <w:bCs/>
                <w:sz w:val="21"/>
                <w:szCs w:val="21"/>
                <w:highlight w:val="none"/>
              </w:rPr>
              <w:t>联系电话：028-83888323。</w:t>
            </w:r>
          </w:p>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rPr>
            </w:pPr>
            <w:r>
              <w:rPr>
                <w:rFonts w:hint="eastAsia" w:ascii="仿宋" w:hAnsi="仿宋" w:eastAsia="仿宋" w:cs="仿宋"/>
                <w:sz w:val="21"/>
                <w:szCs w:val="21"/>
                <w:highlight w:val="none"/>
              </w:rPr>
              <w:t>注：</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投诉应当有明确的请求和必要的证明材料。</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投诉的事项不得超出已质疑事项的范围，</w:t>
            </w:r>
            <w:r>
              <w:rPr>
                <w:rFonts w:hint="eastAsia" w:ascii="仿宋" w:hAnsi="仿宋" w:eastAsia="仿宋" w:cs="仿宋"/>
                <w:spacing w:val="-4"/>
                <w:sz w:val="21"/>
                <w:szCs w:val="21"/>
                <w:highlight w:val="none"/>
              </w:rPr>
              <w:t>须符合《政府采购质疑和投诉办法》财政部第 94</w:t>
            </w:r>
            <w:r>
              <w:rPr>
                <w:rFonts w:hint="eastAsia" w:ascii="仿宋" w:hAnsi="仿宋" w:eastAsia="仿宋" w:cs="仿宋"/>
                <w:spacing w:val="-3"/>
                <w:sz w:val="21"/>
                <w:szCs w:val="21"/>
                <w:highlight w:val="none"/>
              </w:rPr>
              <w:t xml:space="preserve"> 号令规定</w:t>
            </w:r>
            <w:r>
              <w:rPr>
                <w:rFonts w:hint="eastAsia" w:ascii="仿宋" w:hAnsi="仿宋" w:eastAsia="仿宋" w:cs="仿宋"/>
                <w:sz w:val="21"/>
                <w:szCs w:val="21"/>
                <w:highlight w:val="none"/>
              </w:rPr>
              <w:t>。</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25</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政府采购合同公告备案</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rPr>
            </w:pPr>
            <w:r>
              <w:rPr>
                <w:rFonts w:hint="eastAsia" w:ascii="仿宋" w:hAnsi="仿宋" w:eastAsia="仿宋" w:cs="仿宋"/>
                <w:sz w:val="21"/>
                <w:szCs w:val="21"/>
                <w:highlight w:val="none"/>
              </w:rPr>
              <w:t>政府采购合同签订之日起2个工作日内，政府采购合同将在四川政府采购网公告；政府采购合同签订之日起七个工作日内，政府采购合同将向本采购项目同级财政部门备案。</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rPr>
              <w:t>26</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所属行业</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rPr>
            </w:pPr>
            <w:r>
              <w:rPr>
                <w:rFonts w:hint="eastAsia" w:ascii="仿宋" w:hAnsi="仿宋" w:eastAsia="仿宋" w:cs="仿宋"/>
                <w:sz w:val="21"/>
                <w:szCs w:val="21"/>
                <w:highlight w:val="none"/>
              </w:rPr>
              <w:t>根据工业和信息化部、国家统计局、国家发展和改革委员会、财政部《关于印发中小企业划型标准规定的通知》（工信部联企业</w:t>
            </w:r>
            <w:r>
              <w:rPr>
                <w:rFonts w:hint="eastAsia" w:ascii="仿宋" w:hAnsi="仿宋" w:eastAsia="仿宋" w:cs="仿宋"/>
                <w:sz w:val="21"/>
                <w:szCs w:val="21"/>
                <w:highlight w:val="none"/>
                <w:lang w:val="zh-CN"/>
              </w:rPr>
              <w:t>〔20</w:t>
            </w:r>
            <w:r>
              <w:rPr>
                <w:rFonts w:hint="eastAsia" w:ascii="仿宋" w:hAnsi="仿宋" w:eastAsia="仿宋" w:cs="仿宋"/>
                <w:sz w:val="21"/>
                <w:szCs w:val="21"/>
                <w:highlight w:val="none"/>
                <w:lang w:val="en-US" w:eastAsia="zh-CN"/>
              </w:rPr>
              <w:t>11</w:t>
            </w:r>
            <w:r>
              <w:rPr>
                <w:rFonts w:hint="eastAsia" w:ascii="仿宋" w:hAnsi="仿宋" w:eastAsia="仿宋" w:cs="仿宋"/>
                <w:sz w:val="21"/>
                <w:szCs w:val="21"/>
                <w:highlight w:val="none"/>
                <w:lang w:val="zh-CN"/>
              </w:rPr>
              <w:t>〕</w:t>
            </w:r>
            <w:r>
              <w:rPr>
                <w:rFonts w:hint="eastAsia" w:ascii="仿宋" w:hAnsi="仿宋" w:eastAsia="仿宋" w:cs="仿宋"/>
                <w:sz w:val="21"/>
                <w:szCs w:val="21"/>
                <w:highlight w:val="none"/>
              </w:rPr>
              <w:t>300 号）规定的划分标准划定本项目为：工业。</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27</w:t>
            </w:r>
          </w:p>
        </w:tc>
        <w:tc>
          <w:tcPr>
            <w:tcW w:w="2874"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ind w:left="96" w:leftChars="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zh-CN" w:eastAsia="zh-CN" w:bidi="ar-SA"/>
              </w:rPr>
              <w:t>推荐中标候选人（实质性要求）</w:t>
            </w:r>
          </w:p>
        </w:tc>
        <w:tc>
          <w:tcPr>
            <w:tcW w:w="6008" w:type="dxa"/>
            <w:noWrap w:val="0"/>
            <w:tcMar>
              <w:top w:w="0" w:type="dxa"/>
              <w:left w:w="142" w:type="dxa"/>
              <w:bottom w:w="0" w:type="dxa"/>
              <w:right w:w="142" w:type="dxa"/>
            </w:tcMar>
            <w:vAlign w:val="center"/>
          </w:tcPr>
          <w:p>
            <w:pPr>
              <w:pStyle w:val="82"/>
              <w:keepNext w:val="0"/>
              <w:keepLines w:val="0"/>
              <w:suppressLineNumbers w:val="0"/>
              <w:spacing w:before="0" w:beforeAutospacing="0" w:after="0" w:afterAutospacing="0"/>
              <w:ind w:left="0" w:right="0"/>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因本项目规模较大，建设时间紧急，为确保建设项目的顺利实施，因此每位供应商是兼投不兼中，即同一个供应商同时参加两个及以上包件时，最多只能成为一个包件的中标候选人。</w:t>
            </w:r>
          </w:p>
        </w:tc>
      </w:tr>
      <w:tr>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7"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28</w:t>
            </w:r>
          </w:p>
        </w:tc>
        <w:tc>
          <w:tcPr>
            <w:tcW w:w="2874"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tc>
        <w:tc>
          <w:tcPr>
            <w:tcW w:w="6008" w:type="dxa"/>
            <w:noWrap w:val="0"/>
            <w:tcMar>
              <w:top w:w="0" w:type="dxa"/>
              <w:left w:w="142" w:type="dxa"/>
              <w:bottom w:w="0" w:type="dxa"/>
              <w:right w:w="142" w:type="dxa"/>
            </w:tcMar>
            <w:vAlign w:val="center"/>
          </w:tcPr>
          <w:p>
            <w:pPr>
              <w:keepNext w:val="0"/>
              <w:keepLines w:val="0"/>
              <w:widowControl/>
              <w:suppressLineNumbers w:val="0"/>
              <w:snapToGrid w:val="0"/>
              <w:spacing w:before="0" w:beforeAutospacing="0" w:after="0" w:afterAutospacing="0" w:line="380" w:lineRule="exact"/>
              <w:ind w:left="0" w:right="0"/>
              <w:rPr>
                <w:rFonts w:hint="eastAsia" w:ascii="仿宋" w:hAnsi="仿宋" w:eastAsia="仿宋" w:cs="仿宋"/>
                <w:sz w:val="21"/>
                <w:szCs w:val="21"/>
                <w:highlight w:val="none"/>
              </w:rPr>
            </w:pPr>
            <w:r>
              <w:rPr>
                <w:rFonts w:hint="eastAsia" w:ascii="仿宋" w:hAnsi="仿宋" w:eastAsia="仿宋" w:cs="仿宋"/>
                <w:sz w:val="21"/>
                <w:szCs w:val="21"/>
                <w:highlight w:val="none"/>
              </w:rPr>
              <w:t>若招标文件中其他内容与</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须知附表内容不一致的，以</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须知附表为准。</w:t>
            </w:r>
          </w:p>
        </w:tc>
      </w:tr>
    </w:tbl>
    <w:p>
      <w:pPr>
        <w:snapToGrid w:val="0"/>
        <w:spacing w:line="360" w:lineRule="auto"/>
        <w:rPr>
          <w:rFonts w:hint="eastAsia" w:ascii="仿宋" w:hAnsi="仿宋" w:eastAsia="仿宋" w:cs="仿宋"/>
          <w:highlight w:val="none"/>
        </w:rPr>
        <w:sectPr>
          <w:pgSz w:w="11905" w:h="16838"/>
          <w:pgMar w:top="1440" w:right="1746" w:bottom="1440" w:left="1746" w:header="850" w:footer="992" w:gutter="0"/>
          <w:pgNumType w:fmt="decimal"/>
          <w:cols w:space="720" w:num="1"/>
          <w:titlePg/>
          <w:rtlGutter w:val="0"/>
          <w:docGrid w:linePitch="360" w:charSpace="0"/>
        </w:sectPr>
      </w:pPr>
      <w:bookmarkStart w:id="220" w:name="page10"/>
      <w:bookmarkEnd w:id="220"/>
      <w:bookmarkStart w:id="221" w:name="page7"/>
      <w:bookmarkEnd w:id="221"/>
      <w:bookmarkStart w:id="222" w:name="page9"/>
      <w:bookmarkEnd w:id="222"/>
    </w:p>
    <w:p>
      <w:pPr>
        <w:snapToGrid w:val="0"/>
        <w:spacing w:line="360" w:lineRule="auto"/>
        <w:rPr>
          <w:rFonts w:hint="eastAsia" w:ascii="仿宋" w:hAnsi="仿宋" w:eastAsia="仿宋" w:cs="仿宋"/>
          <w:highlight w:val="none"/>
        </w:rPr>
        <w:sectPr>
          <w:type w:val="continuous"/>
          <w:pgSz w:w="11905" w:h="16838"/>
          <w:pgMar w:top="1440" w:right="1746" w:bottom="1440" w:left="1746" w:header="850" w:footer="992" w:gutter="0"/>
          <w:pgNumType w:fmt="decimal"/>
          <w:cols w:space="720" w:num="1"/>
          <w:titlePg/>
          <w:rtlGutter w:val="0"/>
          <w:docGrid w:linePitch="360" w:charSpace="0"/>
        </w:sectPr>
      </w:pPr>
    </w:p>
    <w:p>
      <w:pPr>
        <w:snapToGrid w:val="0"/>
        <w:spacing w:line="360" w:lineRule="auto"/>
        <w:jc w:val="center"/>
        <w:outlineLvl w:val="1"/>
        <w:rPr>
          <w:rFonts w:hint="eastAsia" w:ascii="仿宋" w:hAnsi="仿宋" w:eastAsia="仿宋" w:cs="仿宋"/>
          <w:b/>
          <w:sz w:val="30"/>
          <w:szCs w:val="30"/>
          <w:highlight w:val="none"/>
        </w:rPr>
      </w:pPr>
      <w:bookmarkStart w:id="223" w:name="page11"/>
      <w:bookmarkEnd w:id="223"/>
      <w:bookmarkStart w:id="224" w:name="_Toc20276"/>
      <w:bookmarkStart w:id="225" w:name="_Toc8929"/>
      <w:bookmarkStart w:id="226" w:name="_Toc15187"/>
      <w:bookmarkStart w:id="227" w:name="_Toc12726"/>
      <w:bookmarkStart w:id="228" w:name="_Toc14891"/>
      <w:bookmarkStart w:id="229" w:name="_Toc13144"/>
      <w:bookmarkStart w:id="230" w:name="_Toc12103"/>
      <w:bookmarkStart w:id="231" w:name="_Toc7668"/>
      <w:bookmarkStart w:id="232" w:name="_Toc24809"/>
      <w:bookmarkStart w:id="233" w:name="_Toc19666"/>
      <w:bookmarkStart w:id="234" w:name="_Toc9613"/>
      <w:bookmarkStart w:id="235" w:name="_Toc31165"/>
      <w:r>
        <w:rPr>
          <w:rFonts w:hint="eastAsia" w:ascii="仿宋" w:hAnsi="仿宋" w:eastAsia="仿宋" w:cs="仿宋"/>
          <w:b/>
          <w:sz w:val="30"/>
          <w:szCs w:val="30"/>
          <w:highlight w:val="none"/>
        </w:rPr>
        <w:t>二、总 则</w:t>
      </w:r>
      <w:bookmarkEnd w:id="224"/>
      <w:bookmarkEnd w:id="225"/>
      <w:bookmarkEnd w:id="226"/>
      <w:bookmarkEnd w:id="227"/>
      <w:bookmarkEnd w:id="228"/>
      <w:bookmarkEnd w:id="229"/>
      <w:bookmarkEnd w:id="230"/>
      <w:bookmarkEnd w:id="231"/>
      <w:bookmarkEnd w:id="232"/>
      <w:bookmarkEnd w:id="233"/>
      <w:bookmarkEnd w:id="234"/>
      <w:bookmarkEnd w:id="235"/>
    </w:p>
    <w:p>
      <w:pPr>
        <w:snapToGrid w:val="0"/>
        <w:spacing w:line="400" w:lineRule="exact"/>
        <w:ind w:firstLine="422" w:firstLineChars="200"/>
        <w:outlineLvl w:val="2"/>
        <w:rPr>
          <w:rFonts w:hint="eastAsia" w:ascii="仿宋" w:hAnsi="仿宋" w:eastAsia="仿宋" w:cs="仿宋"/>
          <w:b/>
          <w:sz w:val="21"/>
          <w:szCs w:val="21"/>
          <w:highlight w:val="none"/>
        </w:rPr>
      </w:pPr>
      <w:bookmarkStart w:id="236" w:name="_Toc25990"/>
      <w:bookmarkStart w:id="237" w:name="_Toc4252"/>
      <w:bookmarkStart w:id="238" w:name="_Toc29630"/>
      <w:bookmarkStart w:id="239" w:name="_Toc22082"/>
      <w:bookmarkStart w:id="240" w:name="_Toc3692"/>
      <w:bookmarkStart w:id="241" w:name="_Toc32105"/>
      <w:bookmarkStart w:id="242" w:name="_Toc26"/>
      <w:bookmarkStart w:id="243" w:name="_Toc5766"/>
      <w:bookmarkStart w:id="244" w:name="_Toc4432"/>
      <w:bookmarkStart w:id="245" w:name="_Toc15888"/>
      <w:bookmarkStart w:id="246" w:name="_Toc24789"/>
      <w:bookmarkStart w:id="247" w:name="_Toc18209"/>
      <w:bookmarkStart w:id="248" w:name="_Toc3003"/>
      <w:bookmarkStart w:id="249" w:name="_Toc16300"/>
      <w:bookmarkStart w:id="250" w:name="_Toc20761"/>
      <w:bookmarkStart w:id="251" w:name="_Toc29970"/>
      <w:r>
        <w:rPr>
          <w:rFonts w:hint="eastAsia" w:ascii="仿宋" w:hAnsi="仿宋" w:eastAsia="仿宋" w:cs="仿宋"/>
          <w:b/>
          <w:sz w:val="21"/>
          <w:szCs w:val="21"/>
          <w:highlight w:val="none"/>
        </w:rPr>
        <w:t>1.适用范围</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1.1本招标文件仅适用于本次公开招标采购项目。</w:t>
      </w:r>
    </w:p>
    <w:p>
      <w:pPr>
        <w:snapToGrid w:val="0"/>
        <w:spacing w:line="400" w:lineRule="exact"/>
        <w:ind w:firstLine="422" w:firstLineChars="200"/>
        <w:outlineLvl w:val="2"/>
        <w:rPr>
          <w:rFonts w:hint="eastAsia" w:ascii="仿宋" w:hAnsi="仿宋" w:eastAsia="仿宋" w:cs="仿宋"/>
          <w:b/>
          <w:sz w:val="21"/>
          <w:szCs w:val="21"/>
          <w:highlight w:val="none"/>
        </w:rPr>
      </w:pPr>
      <w:bookmarkStart w:id="252" w:name="_Toc29375"/>
      <w:bookmarkStart w:id="253" w:name="_Toc19466"/>
      <w:bookmarkStart w:id="254" w:name="_Toc2519"/>
      <w:bookmarkStart w:id="255" w:name="_Toc21054"/>
      <w:bookmarkStart w:id="256" w:name="_Toc22195"/>
      <w:bookmarkStart w:id="257" w:name="_Toc12198"/>
      <w:bookmarkStart w:id="258" w:name="_Toc24049"/>
      <w:bookmarkStart w:id="259" w:name="_Toc3027"/>
      <w:bookmarkStart w:id="260" w:name="_Toc17357"/>
      <w:bookmarkStart w:id="261" w:name="_Toc19410"/>
      <w:bookmarkStart w:id="262" w:name="_Toc1266"/>
      <w:bookmarkStart w:id="263" w:name="_Toc28966"/>
      <w:bookmarkStart w:id="264" w:name="_Toc30126"/>
      <w:bookmarkStart w:id="265" w:name="_Toc29085"/>
      <w:bookmarkStart w:id="266" w:name="_Toc6311"/>
      <w:bookmarkStart w:id="267" w:name="_Toc5574"/>
      <w:r>
        <w:rPr>
          <w:rFonts w:hint="eastAsia" w:ascii="仿宋" w:hAnsi="仿宋" w:eastAsia="仿宋" w:cs="仿宋"/>
          <w:b/>
          <w:sz w:val="21"/>
          <w:szCs w:val="21"/>
          <w:highlight w:val="none"/>
        </w:rPr>
        <w:t>2.有关定义</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pPr>
        <w:tabs>
          <w:tab w:val="left" w:pos="461"/>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2.1“采购人”系指依法进行政府采购的国家机关、事业单位、团体组织。本次招标的采购人是</w:t>
      </w:r>
      <w:r>
        <w:rPr>
          <w:rFonts w:hint="eastAsia" w:ascii="仿宋" w:hAnsi="仿宋" w:eastAsia="仿宋" w:cs="仿宋"/>
          <w:b/>
          <w:sz w:val="21"/>
          <w:szCs w:val="21"/>
          <w:highlight w:val="none"/>
          <w:u w:val="single"/>
        </w:rPr>
        <w:t xml:space="preserve"> </w:t>
      </w:r>
      <w:r>
        <w:rPr>
          <w:rFonts w:hint="eastAsia" w:ascii="仿宋" w:hAnsi="仿宋" w:eastAsia="仿宋" w:cs="仿宋"/>
          <w:b/>
          <w:sz w:val="21"/>
          <w:szCs w:val="21"/>
          <w:highlight w:val="none"/>
          <w:u w:val="single"/>
          <w:lang w:eastAsia="zh-CN"/>
        </w:rPr>
        <w:t>彭州市教育局电化教育馆</w:t>
      </w:r>
      <w:r>
        <w:rPr>
          <w:rFonts w:hint="eastAsia" w:ascii="仿宋" w:hAnsi="仿宋" w:eastAsia="仿宋" w:cs="仿宋"/>
          <w:b/>
          <w:sz w:val="21"/>
          <w:szCs w:val="21"/>
          <w:highlight w:val="none"/>
          <w:u w:val="single"/>
        </w:rPr>
        <w:t xml:space="preserve"> </w:t>
      </w:r>
      <w:r>
        <w:rPr>
          <w:rFonts w:hint="eastAsia" w:ascii="仿宋" w:hAnsi="仿宋" w:eastAsia="仿宋" w:cs="仿宋"/>
          <w:sz w:val="21"/>
          <w:szCs w:val="21"/>
          <w:highlight w:val="none"/>
        </w:rPr>
        <w:t>。</w:t>
      </w:r>
    </w:p>
    <w:p>
      <w:pPr>
        <w:tabs>
          <w:tab w:val="left" w:pos="48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2.2“采购代理机构” 系指根据采购人的委托依法办理招标事宜的采购机构。本次招标的采购代理机构是</w:t>
      </w:r>
      <w:r>
        <w:rPr>
          <w:rFonts w:hint="eastAsia" w:ascii="仿宋" w:hAnsi="仿宋" w:eastAsia="仿宋" w:cs="仿宋"/>
          <w:b/>
          <w:sz w:val="21"/>
          <w:szCs w:val="21"/>
          <w:highlight w:val="none"/>
          <w:u w:val="single"/>
          <w:lang w:eastAsia="zh-CN"/>
        </w:rPr>
        <w:t>四川迈勋招投标代理有限公司</w:t>
      </w:r>
      <w:r>
        <w:rPr>
          <w:rFonts w:hint="eastAsia" w:ascii="仿宋" w:hAnsi="仿宋" w:eastAsia="仿宋" w:cs="仿宋"/>
          <w:sz w:val="21"/>
          <w:szCs w:val="21"/>
          <w:highlight w:val="none"/>
        </w:rPr>
        <w:t>。</w:t>
      </w:r>
    </w:p>
    <w:p>
      <w:pPr>
        <w:tabs>
          <w:tab w:val="left" w:pos="48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2.3“招标采购单位”系指“采购人”和“采购代理机构”的统称。</w:t>
      </w:r>
    </w:p>
    <w:p>
      <w:pPr>
        <w:tabs>
          <w:tab w:val="left" w:pos="48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2.4“供应商”或“投标人”系指购买了招标文件拟参加投标和向采购人提供服务的投标人。</w:t>
      </w:r>
    </w:p>
    <w:p>
      <w:pPr>
        <w:tabs>
          <w:tab w:val="left" w:pos="48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2.5本招标文件各部分规定的期间以时、日、月、年计算。期间开始的时和日，不计算在期间内，而从次日开始计算。期间届满的最后一天是节假日的，以节假日后的第一日为期间届满的日期。</w:t>
      </w:r>
    </w:p>
    <w:p>
      <w:pPr>
        <w:tabs>
          <w:tab w:val="left" w:pos="42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2.6本招标文件各部分规定的时间均以北京时间为准。</w:t>
      </w:r>
    </w:p>
    <w:p>
      <w:pPr>
        <w:snapToGrid w:val="0"/>
        <w:spacing w:line="400" w:lineRule="exact"/>
        <w:ind w:firstLine="422" w:firstLineChars="200"/>
        <w:outlineLvl w:val="2"/>
        <w:rPr>
          <w:rFonts w:hint="eastAsia" w:ascii="仿宋" w:hAnsi="仿宋" w:eastAsia="仿宋" w:cs="仿宋"/>
          <w:b/>
          <w:sz w:val="21"/>
          <w:szCs w:val="21"/>
          <w:highlight w:val="none"/>
        </w:rPr>
      </w:pPr>
      <w:bookmarkStart w:id="268" w:name="_Toc17279"/>
      <w:bookmarkStart w:id="269" w:name="_Toc25215"/>
      <w:bookmarkStart w:id="270" w:name="_Toc30185"/>
      <w:bookmarkStart w:id="271" w:name="_Toc14522"/>
      <w:bookmarkStart w:id="272" w:name="_Toc10461"/>
      <w:bookmarkStart w:id="273" w:name="_Toc24478"/>
      <w:bookmarkStart w:id="274" w:name="_Toc2627"/>
      <w:bookmarkStart w:id="275" w:name="_Toc14991"/>
      <w:bookmarkStart w:id="276" w:name="_Toc19764"/>
      <w:bookmarkStart w:id="277" w:name="_Toc3377"/>
      <w:bookmarkStart w:id="278" w:name="_Toc24924"/>
      <w:bookmarkStart w:id="279" w:name="_Toc12390"/>
      <w:bookmarkStart w:id="280" w:name="_Toc28786"/>
      <w:bookmarkStart w:id="281" w:name="_Toc6799"/>
      <w:bookmarkStart w:id="282" w:name="_Toc2759"/>
      <w:bookmarkStart w:id="283" w:name="_Toc17063"/>
      <w:r>
        <w:rPr>
          <w:rFonts w:hint="eastAsia" w:ascii="仿宋" w:hAnsi="仿宋" w:eastAsia="仿宋" w:cs="仿宋"/>
          <w:b/>
          <w:sz w:val="21"/>
          <w:szCs w:val="21"/>
          <w:highlight w:val="none"/>
        </w:rPr>
        <w:t>3.合格的投标人(实质性要求)</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合格的投标人应具备以下条件：</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(1)本招标文件“投标邀请”第五条规定的条件；</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(2)遵守国家有关的法律、法规、规章和其他政策制度；</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(3)向采购代理机构购买了招标文件并登记备案。</w:t>
      </w:r>
    </w:p>
    <w:p>
      <w:pPr>
        <w:snapToGrid w:val="0"/>
        <w:spacing w:line="400" w:lineRule="exact"/>
        <w:ind w:firstLine="422" w:firstLineChars="200"/>
        <w:outlineLvl w:val="2"/>
        <w:rPr>
          <w:rFonts w:hint="eastAsia" w:ascii="仿宋" w:hAnsi="仿宋" w:eastAsia="仿宋" w:cs="仿宋"/>
          <w:b/>
          <w:sz w:val="21"/>
          <w:szCs w:val="21"/>
          <w:highlight w:val="none"/>
        </w:rPr>
      </w:pPr>
      <w:bookmarkStart w:id="284" w:name="_Toc406"/>
      <w:bookmarkStart w:id="285" w:name="_Toc29595"/>
      <w:bookmarkStart w:id="286" w:name="_Toc25171"/>
      <w:bookmarkStart w:id="287" w:name="_Toc10712"/>
      <w:bookmarkStart w:id="288" w:name="_Toc4841"/>
      <w:bookmarkStart w:id="289" w:name="_Toc3778"/>
      <w:bookmarkStart w:id="290" w:name="_Toc4723"/>
      <w:bookmarkStart w:id="291" w:name="_Toc18892"/>
      <w:bookmarkStart w:id="292" w:name="_Toc5532"/>
      <w:bookmarkStart w:id="293" w:name="_Toc2622"/>
      <w:bookmarkStart w:id="294" w:name="_Toc20317"/>
      <w:bookmarkStart w:id="295" w:name="_Toc27177"/>
      <w:bookmarkStart w:id="296" w:name="_Toc27227"/>
      <w:bookmarkStart w:id="297" w:name="_Toc30121"/>
      <w:bookmarkStart w:id="298" w:name="_Toc29629"/>
      <w:bookmarkStart w:id="299" w:name="_Toc31349"/>
      <w:r>
        <w:rPr>
          <w:rFonts w:hint="eastAsia" w:ascii="仿宋" w:hAnsi="仿宋" w:eastAsia="仿宋" w:cs="仿宋"/>
          <w:b/>
          <w:sz w:val="21"/>
          <w:szCs w:val="21"/>
          <w:highlight w:val="none"/>
        </w:rPr>
        <w:t>4.投标费用(实质性要求)</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投标人参加投标的有关费用由</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自行承担。</w:t>
      </w:r>
    </w:p>
    <w:p>
      <w:pPr>
        <w:tabs>
          <w:tab w:val="left" w:pos="312"/>
        </w:tabs>
        <w:snapToGrid w:val="0"/>
        <w:spacing w:line="400" w:lineRule="exact"/>
        <w:ind w:firstLine="422" w:firstLineChars="200"/>
        <w:outlineLvl w:val="2"/>
        <w:rPr>
          <w:rFonts w:hint="eastAsia" w:ascii="仿宋" w:hAnsi="仿宋" w:eastAsia="仿宋" w:cs="仿宋"/>
          <w:b/>
          <w:sz w:val="21"/>
          <w:szCs w:val="21"/>
          <w:highlight w:val="none"/>
        </w:rPr>
      </w:pPr>
      <w:bookmarkStart w:id="300" w:name="_Toc8683"/>
      <w:bookmarkStart w:id="301" w:name="_Toc28866"/>
      <w:bookmarkStart w:id="302" w:name="_Toc25451"/>
      <w:bookmarkStart w:id="303" w:name="_Toc26983"/>
      <w:bookmarkStart w:id="304" w:name="_Toc3059"/>
      <w:bookmarkStart w:id="305" w:name="_Toc6815"/>
      <w:bookmarkStart w:id="306" w:name="_Toc22182"/>
      <w:bookmarkStart w:id="307" w:name="_Toc3968"/>
      <w:bookmarkStart w:id="308" w:name="_Toc27226"/>
      <w:bookmarkStart w:id="309" w:name="_Toc7720"/>
      <w:bookmarkStart w:id="310" w:name="_Toc10014"/>
      <w:bookmarkStart w:id="311" w:name="_Toc15105"/>
      <w:bookmarkStart w:id="312" w:name="_Toc30233"/>
      <w:bookmarkStart w:id="313" w:name="_Toc2664"/>
      <w:bookmarkStart w:id="314" w:name="_Toc11777"/>
      <w:bookmarkStart w:id="315" w:name="_Toc19811"/>
      <w:r>
        <w:rPr>
          <w:rFonts w:hint="eastAsia" w:ascii="仿宋" w:hAnsi="仿宋" w:eastAsia="仿宋" w:cs="仿宋"/>
          <w:b/>
          <w:sz w:val="21"/>
          <w:szCs w:val="21"/>
          <w:highlight w:val="none"/>
        </w:rPr>
        <w:t>5.充分、公平竞争保障措施(实质性要求)</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pPr>
        <w:pStyle w:val="155"/>
        <w:spacing w:line="400" w:lineRule="exact"/>
        <w:ind w:firstLine="422" w:firstLineChars="200"/>
        <w:rPr>
          <w:rFonts w:hint="eastAsia" w:ascii="仿宋" w:hAnsi="仿宋" w:eastAsia="仿宋" w:cs="仿宋"/>
          <w:sz w:val="21"/>
          <w:szCs w:val="21"/>
          <w:highlight w:val="none"/>
        </w:rPr>
      </w:pPr>
      <w:r>
        <w:rPr>
          <w:rFonts w:hint="eastAsia" w:ascii="仿宋" w:hAnsi="仿宋" w:eastAsia="仿宋" w:cs="仿宋"/>
          <w:b/>
          <w:sz w:val="21"/>
          <w:szCs w:val="21"/>
          <w:highlight w:val="none"/>
        </w:rPr>
        <w:t>5.1利害关系投标人处理。</w:t>
      </w:r>
      <w:r>
        <w:rPr>
          <w:rFonts w:hint="eastAsia" w:ascii="仿宋" w:hAnsi="仿宋" w:eastAsia="仿宋" w:cs="仿宋"/>
          <w:sz w:val="21"/>
          <w:szCs w:val="21"/>
          <w:highlight w:val="none"/>
        </w:rPr>
        <w:t>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snapToGrid w:val="0"/>
        <w:spacing w:line="400" w:lineRule="exact"/>
        <w:ind w:firstLine="422" w:firstLineChars="200"/>
        <w:jc w:val="both"/>
        <w:rPr>
          <w:rFonts w:hint="eastAsia" w:ascii="仿宋" w:hAnsi="仿宋" w:eastAsia="仿宋" w:cs="仿宋"/>
          <w:sz w:val="21"/>
          <w:szCs w:val="21"/>
          <w:highlight w:val="none"/>
        </w:rPr>
      </w:pPr>
      <w:r>
        <w:rPr>
          <w:rFonts w:hint="eastAsia" w:ascii="仿宋" w:hAnsi="仿宋" w:eastAsia="仿宋" w:cs="仿宋"/>
          <w:b/>
          <w:sz w:val="21"/>
          <w:szCs w:val="21"/>
          <w:highlight w:val="none"/>
        </w:rPr>
        <w:t>5.2前期参与投标人处理。</w:t>
      </w:r>
      <w:r>
        <w:rPr>
          <w:rFonts w:hint="eastAsia" w:ascii="仿宋" w:hAnsi="仿宋" w:eastAsia="仿宋" w:cs="仿宋"/>
          <w:sz w:val="21"/>
          <w:szCs w:val="21"/>
          <w:highlight w:val="none"/>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snapToGrid w:val="0"/>
        <w:spacing w:line="400" w:lineRule="exact"/>
        <w:ind w:firstLine="422" w:firstLineChars="200"/>
        <w:jc w:val="both"/>
        <w:rPr>
          <w:rFonts w:hint="eastAsia" w:ascii="仿宋" w:hAnsi="仿宋" w:eastAsia="仿宋" w:cs="仿宋"/>
          <w:sz w:val="21"/>
          <w:szCs w:val="21"/>
          <w:highlight w:val="none"/>
        </w:rPr>
      </w:pPr>
      <w:r>
        <w:rPr>
          <w:rFonts w:hint="eastAsia" w:ascii="仿宋" w:hAnsi="仿宋" w:eastAsia="仿宋" w:cs="仿宋"/>
          <w:b/>
          <w:sz w:val="21"/>
          <w:szCs w:val="21"/>
          <w:highlight w:val="none"/>
        </w:rPr>
        <w:t>5.3利害关系代理人处理。</w:t>
      </w:r>
      <w:r>
        <w:rPr>
          <w:rFonts w:hint="eastAsia" w:ascii="仿宋" w:hAnsi="仿宋" w:eastAsia="仿宋" w:cs="仿宋"/>
          <w:sz w:val="21"/>
          <w:szCs w:val="21"/>
          <w:highlight w:val="none"/>
        </w:rPr>
        <w:t>2家以上的投标人不得在同一合同项下的采购项目中，同时委托同一个自然人、同一家庭的人员、同一单位的人员作为其代理人，否则，其投标文件作为无效处理。</w:t>
      </w:r>
    </w:p>
    <w:p>
      <w:pPr>
        <w:snapToGrid w:val="0"/>
        <w:spacing w:line="400" w:lineRule="exact"/>
        <w:ind w:firstLine="422" w:firstLineChars="200"/>
        <w:jc w:val="both"/>
        <w:rPr>
          <w:rFonts w:hint="eastAsia" w:ascii="仿宋" w:hAnsi="仿宋" w:eastAsia="仿宋" w:cs="仿宋"/>
          <w:b/>
          <w:sz w:val="21"/>
          <w:szCs w:val="21"/>
          <w:highlight w:val="none"/>
        </w:rPr>
      </w:pPr>
      <w:r>
        <w:rPr>
          <w:rFonts w:hint="eastAsia" w:ascii="仿宋" w:hAnsi="仿宋" w:eastAsia="仿宋" w:cs="仿宋"/>
          <w:b/>
          <w:sz w:val="21"/>
          <w:szCs w:val="21"/>
          <w:highlight w:val="none"/>
        </w:rPr>
        <w:t>5.</w:t>
      </w:r>
      <w:r>
        <w:rPr>
          <w:rFonts w:hint="eastAsia" w:ascii="仿宋" w:hAnsi="仿宋" w:eastAsia="仿宋" w:cs="仿宋"/>
          <w:b/>
          <w:sz w:val="21"/>
          <w:szCs w:val="21"/>
          <w:highlight w:val="none"/>
          <w:lang w:val="en-US" w:eastAsia="zh-CN"/>
        </w:rPr>
        <w:t>4提供相同品牌产品处理</w:t>
      </w:r>
      <w:r>
        <w:rPr>
          <w:rFonts w:hint="eastAsia" w:ascii="仿宋" w:hAnsi="仿宋" w:eastAsia="仿宋" w:cs="仿宋"/>
          <w:b/>
          <w:sz w:val="21"/>
          <w:szCs w:val="21"/>
          <w:highlight w:val="none"/>
        </w:rPr>
        <w:t>。</w:t>
      </w:r>
    </w:p>
    <w:p>
      <w:pPr>
        <w:snapToGrid w:val="0"/>
        <w:spacing w:line="400" w:lineRule="exact"/>
        <w:ind w:firstLine="422" w:firstLineChars="200"/>
        <w:jc w:val="both"/>
        <w:rPr>
          <w:rFonts w:hint="eastAsia" w:ascii="仿宋" w:hAnsi="仿宋" w:eastAsia="仿宋" w:cs="仿宋"/>
          <w:b w:val="0"/>
          <w:bCs/>
          <w:sz w:val="21"/>
          <w:szCs w:val="21"/>
          <w:highlight w:val="none"/>
        </w:rPr>
      </w:pPr>
      <w:r>
        <w:rPr>
          <w:rFonts w:hint="eastAsia" w:ascii="仿宋" w:hAnsi="仿宋" w:eastAsia="仿宋" w:cs="仿宋"/>
          <w:b/>
          <w:bCs w:val="0"/>
          <w:sz w:val="21"/>
          <w:szCs w:val="21"/>
          <w:highlight w:val="none"/>
        </w:rPr>
        <w:t>5.</w:t>
      </w:r>
      <w:r>
        <w:rPr>
          <w:rFonts w:hint="eastAsia" w:ascii="仿宋" w:hAnsi="仿宋" w:eastAsia="仿宋" w:cs="仿宋"/>
          <w:b/>
          <w:bCs w:val="0"/>
          <w:sz w:val="21"/>
          <w:szCs w:val="21"/>
          <w:highlight w:val="none"/>
          <w:lang w:val="en-US" w:eastAsia="zh-CN"/>
        </w:rPr>
        <w:t>4</w:t>
      </w:r>
      <w:r>
        <w:rPr>
          <w:rFonts w:hint="eastAsia" w:ascii="仿宋" w:hAnsi="仿宋" w:eastAsia="仿宋" w:cs="仿宋"/>
          <w:b/>
          <w:bCs w:val="0"/>
          <w:sz w:val="21"/>
          <w:szCs w:val="21"/>
          <w:highlight w:val="none"/>
        </w:rPr>
        <w:t>.1 非单一产品采购项目中</w:t>
      </w:r>
      <w:r>
        <w:rPr>
          <w:rFonts w:hint="eastAsia" w:ascii="仿宋" w:hAnsi="仿宋" w:eastAsia="仿宋" w:cs="仿宋"/>
          <w:b/>
          <w:bCs w:val="0"/>
          <w:sz w:val="21"/>
          <w:szCs w:val="21"/>
          <w:highlight w:val="none"/>
          <w:lang w:eastAsia="zh-CN"/>
        </w:rPr>
        <w:t>。</w:t>
      </w:r>
      <w:r>
        <w:rPr>
          <w:rFonts w:hint="eastAsia" w:ascii="仿宋" w:hAnsi="仿宋" w:eastAsia="仿宋" w:cs="仿宋"/>
          <w:b w:val="0"/>
          <w:bCs/>
          <w:sz w:val="21"/>
          <w:szCs w:val="21"/>
          <w:highlight w:val="none"/>
        </w:rPr>
        <w:t>采购人根据采购项目技术构成、产品价格比重等合理确定核心产品。多家投标人提供的任一核心产品品牌相同的，视为提供相同品牌产品。</w:t>
      </w:r>
    </w:p>
    <w:p>
      <w:pPr>
        <w:snapToGrid w:val="0"/>
        <w:spacing w:line="400" w:lineRule="exact"/>
        <w:ind w:firstLine="422" w:firstLineChars="200"/>
        <w:jc w:val="both"/>
        <w:rPr>
          <w:rFonts w:hint="eastAsia" w:ascii="仿宋" w:hAnsi="仿宋" w:eastAsia="仿宋" w:cs="仿宋"/>
          <w:b/>
          <w:sz w:val="21"/>
          <w:szCs w:val="21"/>
          <w:highlight w:val="none"/>
        </w:rPr>
      </w:pPr>
      <w:r>
        <w:rPr>
          <w:rFonts w:hint="eastAsia" w:ascii="仿宋" w:hAnsi="仿宋" w:eastAsia="仿宋" w:cs="仿宋"/>
          <w:b/>
          <w:sz w:val="21"/>
          <w:szCs w:val="21"/>
          <w:highlight w:val="none"/>
        </w:rPr>
        <w:t>5.</w:t>
      </w:r>
      <w:r>
        <w:rPr>
          <w:rFonts w:hint="eastAsia" w:ascii="仿宋" w:hAnsi="仿宋" w:eastAsia="仿宋" w:cs="仿宋"/>
          <w:b/>
          <w:sz w:val="21"/>
          <w:szCs w:val="21"/>
          <w:highlight w:val="none"/>
          <w:lang w:val="en-US" w:eastAsia="zh-CN"/>
        </w:rPr>
        <w:t>4</w:t>
      </w:r>
      <w:r>
        <w:rPr>
          <w:rFonts w:hint="eastAsia" w:ascii="仿宋" w:hAnsi="仿宋" w:eastAsia="仿宋" w:cs="仿宋"/>
          <w:b/>
          <w:sz w:val="21"/>
          <w:szCs w:val="21"/>
          <w:highlight w:val="none"/>
        </w:rPr>
        <w:t>.2 采用综合评分法的采购项目。</w:t>
      </w:r>
    </w:p>
    <w:p>
      <w:pPr>
        <w:snapToGrid w:val="0"/>
        <w:spacing w:line="400" w:lineRule="exact"/>
        <w:ind w:firstLine="420" w:firstLineChars="200"/>
        <w:jc w:val="both"/>
        <w:rPr>
          <w:rFonts w:hint="eastAsia" w:ascii="仿宋" w:hAnsi="仿宋" w:eastAsia="仿宋" w:cs="仿宋"/>
          <w:b w:val="0"/>
          <w:bCs/>
          <w:sz w:val="21"/>
          <w:szCs w:val="21"/>
          <w:highlight w:val="none"/>
        </w:rPr>
      </w:pPr>
      <w:r>
        <w:rPr>
          <w:rFonts w:hint="eastAsia" w:ascii="仿宋" w:hAnsi="仿宋" w:eastAsia="仿宋" w:cs="仿宋"/>
          <w:b w:val="0"/>
          <w:bCs/>
          <w:sz w:val="21"/>
          <w:szCs w:val="21"/>
          <w:highlight w:val="none"/>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2"/>
        <w:rPr>
          <w:rFonts w:hint="eastAsia"/>
        </w:rPr>
      </w:pPr>
    </w:p>
    <w:p>
      <w:pPr>
        <w:snapToGrid w:val="0"/>
        <w:spacing w:before="240" w:beforeLines="100" w:line="400" w:lineRule="exact"/>
        <w:jc w:val="center"/>
        <w:outlineLvl w:val="1"/>
        <w:rPr>
          <w:rFonts w:hint="eastAsia" w:ascii="仿宋" w:hAnsi="仿宋" w:eastAsia="仿宋" w:cs="仿宋"/>
          <w:b/>
          <w:sz w:val="30"/>
          <w:szCs w:val="30"/>
          <w:highlight w:val="none"/>
        </w:rPr>
      </w:pPr>
      <w:bookmarkStart w:id="316" w:name="_Toc25494"/>
      <w:bookmarkStart w:id="317" w:name="_Toc7206"/>
      <w:bookmarkStart w:id="318" w:name="_Toc1511"/>
      <w:bookmarkStart w:id="319" w:name="_Toc12537"/>
      <w:bookmarkStart w:id="320" w:name="_Toc32019"/>
      <w:bookmarkStart w:id="321" w:name="_Toc27099"/>
      <w:bookmarkStart w:id="322" w:name="_Toc17241"/>
      <w:bookmarkStart w:id="323" w:name="_Toc530"/>
      <w:bookmarkStart w:id="324" w:name="_Toc2882"/>
      <w:bookmarkStart w:id="325" w:name="_Toc14811"/>
      <w:bookmarkStart w:id="326" w:name="_Toc16182"/>
      <w:bookmarkStart w:id="327" w:name="_Toc32313"/>
      <w:r>
        <w:rPr>
          <w:rFonts w:hint="eastAsia" w:ascii="仿宋" w:hAnsi="仿宋" w:eastAsia="仿宋" w:cs="仿宋"/>
          <w:b/>
          <w:sz w:val="30"/>
          <w:szCs w:val="30"/>
          <w:highlight w:val="none"/>
        </w:rPr>
        <w:t>三、招标文件</w:t>
      </w:r>
      <w:bookmarkEnd w:id="316"/>
      <w:bookmarkEnd w:id="317"/>
      <w:bookmarkEnd w:id="318"/>
      <w:bookmarkEnd w:id="319"/>
      <w:bookmarkEnd w:id="320"/>
      <w:bookmarkEnd w:id="321"/>
      <w:bookmarkEnd w:id="322"/>
      <w:bookmarkEnd w:id="323"/>
      <w:bookmarkEnd w:id="324"/>
      <w:bookmarkEnd w:id="325"/>
      <w:bookmarkEnd w:id="326"/>
      <w:bookmarkEnd w:id="327"/>
    </w:p>
    <w:p>
      <w:pPr>
        <w:snapToGrid w:val="0"/>
        <w:spacing w:line="400" w:lineRule="exact"/>
        <w:ind w:firstLine="422" w:firstLineChars="200"/>
        <w:outlineLvl w:val="2"/>
        <w:rPr>
          <w:rFonts w:hint="eastAsia" w:ascii="仿宋" w:hAnsi="仿宋" w:eastAsia="仿宋" w:cs="仿宋"/>
          <w:b/>
          <w:sz w:val="21"/>
          <w:szCs w:val="21"/>
          <w:highlight w:val="none"/>
        </w:rPr>
      </w:pPr>
      <w:bookmarkStart w:id="328" w:name="_Toc24668"/>
      <w:bookmarkStart w:id="329" w:name="_Toc21906"/>
      <w:bookmarkStart w:id="330" w:name="_Toc7255"/>
      <w:bookmarkStart w:id="331" w:name="_Toc4858"/>
      <w:bookmarkStart w:id="332" w:name="_Toc23118"/>
      <w:bookmarkStart w:id="333" w:name="_Toc19536"/>
      <w:bookmarkStart w:id="334" w:name="_Toc31496"/>
      <w:bookmarkStart w:id="335" w:name="_Toc25192"/>
      <w:bookmarkStart w:id="336" w:name="_Toc1942"/>
      <w:bookmarkStart w:id="337" w:name="_Toc32099"/>
      <w:bookmarkStart w:id="338" w:name="_Toc3985"/>
      <w:bookmarkStart w:id="339" w:name="_Toc14046"/>
      <w:bookmarkStart w:id="340" w:name="_Toc3383"/>
      <w:bookmarkStart w:id="341" w:name="_Toc2948"/>
      <w:bookmarkStart w:id="342" w:name="_Toc20567"/>
      <w:bookmarkStart w:id="343" w:name="_Toc25982"/>
      <w:r>
        <w:rPr>
          <w:rFonts w:hint="eastAsia" w:ascii="仿宋" w:hAnsi="仿宋" w:eastAsia="仿宋" w:cs="仿宋"/>
          <w:b/>
          <w:sz w:val="21"/>
          <w:szCs w:val="21"/>
          <w:highlight w:val="none"/>
        </w:rPr>
        <w:t>6.招标文件的构成</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6.1招标文件是投标人准备投标文件和参加投标的依据，同时也是评标的重要依据，具有法律文件性质。招标文件用以阐明招标项目所需的资质、技术、服务及报价等要求、招标投标程序、有关规定和注意事项以及合同主要条款等。本招标文件包括以下内容：</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（一）投标邀请；</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（二）投标人须知；</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（三）投标人的资格、资质性及其他类似效力要求；</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（四）为落实政府采购政策，采购标的需满足的要求，以及投标人须提供的证明材料；</w:t>
      </w:r>
    </w:p>
    <w:p>
      <w:pPr>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（五）投标人应当提供的资格、资质性及其他类似效力要求的相关证明材料；</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（六）招标项目技术、商务及其他要求；</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（七）评标办法；</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（八）合同主要条款。</w:t>
      </w:r>
    </w:p>
    <w:p>
      <w:pPr>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6.2投标人应认真阅读和充分理解招标文件中所有的事项、格式条款和规范要求。投标人没有对招标文件全面做出实质性响应是投标人的风险。没有按照招标文件要求作出实质性响应的投标文件将被拒绝。</w:t>
      </w:r>
    </w:p>
    <w:p>
      <w:pPr>
        <w:snapToGrid w:val="0"/>
        <w:spacing w:line="400" w:lineRule="exact"/>
        <w:ind w:firstLine="422" w:firstLineChars="200"/>
        <w:outlineLvl w:val="2"/>
        <w:rPr>
          <w:rFonts w:hint="eastAsia" w:ascii="仿宋" w:hAnsi="仿宋" w:eastAsia="仿宋" w:cs="仿宋"/>
          <w:b/>
          <w:sz w:val="21"/>
          <w:szCs w:val="21"/>
          <w:highlight w:val="none"/>
        </w:rPr>
      </w:pPr>
      <w:bookmarkStart w:id="344" w:name="_Toc27252"/>
      <w:bookmarkStart w:id="345" w:name="_Toc16666"/>
      <w:bookmarkStart w:id="346" w:name="_Toc10240"/>
      <w:bookmarkStart w:id="347" w:name="_Toc26480"/>
      <w:bookmarkStart w:id="348" w:name="_Toc31516"/>
      <w:bookmarkStart w:id="349" w:name="_Toc17239"/>
      <w:bookmarkStart w:id="350" w:name="_Toc11486"/>
      <w:bookmarkStart w:id="351" w:name="_Toc12159"/>
      <w:bookmarkStart w:id="352" w:name="_Toc7810"/>
      <w:bookmarkStart w:id="353" w:name="_Toc22046"/>
      <w:bookmarkStart w:id="354" w:name="_Toc11986"/>
      <w:bookmarkStart w:id="355" w:name="_Toc15277"/>
      <w:bookmarkStart w:id="356" w:name="_Toc17656"/>
      <w:bookmarkStart w:id="357" w:name="_Toc31206"/>
      <w:bookmarkStart w:id="358" w:name="_Toc19868"/>
      <w:bookmarkStart w:id="359" w:name="_Toc18044"/>
      <w:r>
        <w:rPr>
          <w:rFonts w:hint="eastAsia" w:ascii="仿宋" w:hAnsi="仿宋" w:eastAsia="仿宋" w:cs="仿宋"/>
          <w:b/>
          <w:sz w:val="21"/>
          <w:szCs w:val="21"/>
          <w:highlight w:val="none"/>
        </w:rPr>
        <w:t>7.招标文件的澄清和修改</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7.1招标采购单位可以依法对已发出的招标文件、投标邀请书进行必要的澄清或者修改。澄清或者修改将在四川政府采购网上以更正公告形式发布，请各投标人在开标前留意项目是否发布更正公告。更正公告的内容为招标文件、投标邀请书的组成部分。</w:t>
      </w:r>
    </w:p>
    <w:p>
      <w:pPr>
        <w:tabs>
          <w:tab w:val="left" w:pos="96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7.2招标采购单位对已发出的招标文件进行澄清或者修改，澄清或者修改的内容可能影响投标文件编制的，采购人或者采购代理机构在四川政府采购网上以更正公告形式发布，更正公告发布应当在投标截止时间至少15日前，不足上述时间日的，应当顺延提交投标文件的截止时间。</w:t>
      </w:r>
    </w:p>
    <w:p>
      <w:pPr>
        <w:tabs>
          <w:tab w:val="left" w:pos="96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7.3投标人认为需要对招标文件进行澄清或者修改的，可以以书面形式向招标采购单位构提出申请，但招标采购单位可以决定是否采纳投标人的申请事项。</w:t>
      </w:r>
    </w:p>
    <w:p>
      <w:pPr>
        <w:snapToGrid w:val="0"/>
        <w:spacing w:line="400" w:lineRule="exact"/>
        <w:ind w:firstLine="422" w:firstLineChars="200"/>
        <w:outlineLvl w:val="2"/>
        <w:rPr>
          <w:rFonts w:hint="eastAsia" w:ascii="仿宋" w:hAnsi="仿宋" w:eastAsia="仿宋" w:cs="仿宋"/>
          <w:b/>
          <w:sz w:val="21"/>
          <w:szCs w:val="21"/>
          <w:highlight w:val="none"/>
        </w:rPr>
      </w:pPr>
      <w:bookmarkStart w:id="360" w:name="_Toc17118"/>
      <w:bookmarkStart w:id="361" w:name="_Toc19344"/>
      <w:bookmarkStart w:id="362" w:name="_Toc13655"/>
      <w:bookmarkStart w:id="363" w:name="_Toc15096"/>
      <w:bookmarkStart w:id="364" w:name="_Toc22156"/>
      <w:bookmarkStart w:id="365" w:name="_Toc32761"/>
      <w:bookmarkStart w:id="366" w:name="_Toc7297"/>
      <w:bookmarkStart w:id="367" w:name="_Toc27930"/>
      <w:bookmarkStart w:id="368" w:name="_Toc23848"/>
      <w:bookmarkStart w:id="369" w:name="_Toc27320"/>
      <w:bookmarkStart w:id="370" w:name="_Toc14921"/>
      <w:bookmarkStart w:id="371" w:name="_Toc18141"/>
      <w:bookmarkStart w:id="372" w:name="_Toc4461"/>
      <w:bookmarkStart w:id="373" w:name="_Toc7358"/>
      <w:bookmarkStart w:id="374" w:name="_Toc7166"/>
      <w:bookmarkStart w:id="375" w:name="_Toc23501"/>
      <w:r>
        <w:rPr>
          <w:rFonts w:hint="eastAsia" w:ascii="仿宋" w:hAnsi="仿宋" w:eastAsia="仿宋" w:cs="仿宋"/>
          <w:b/>
          <w:sz w:val="21"/>
          <w:szCs w:val="21"/>
          <w:highlight w:val="none"/>
        </w:rPr>
        <w:t>8.答疑会和现场考察</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tabs>
          <w:tab w:val="left" w:pos="96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8.1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96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8.2投标人考察现场所发生的一切费用由</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自己承担。</w:t>
      </w:r>
    </w:p>
    <w:p>
      <w:pPr>
        <w:snapToGrid w:val="0"/>
        <w:spacing w:before="240" w:beforeLines="100" w:line="400" w:lineRule="exact"/>
        <w:jc w:val="center"/>
        <w:outlineLvl w:val="1"/>
        <w:rPr>
          <w:rFonts w:hint="eastAsia" w:ascii="仿宋" w:hAnsi="仿宋" w:eastAsia="仿宋" w:cs="仿宋"/>
          <w:b/>
          <w:sz w:val="30"/>
          <w:szCs w:val="30"/>
          <w:highlight w:val="none"/>
        </w:rPr>
      </w:pPr>
      <w:bookmarkStart w:id="376" w:name="_Toc29578"/>
      <w:bookmarkStart w:id="377" w:name="_Toc2288"/>
      <w:bookmarkStart w:id="378" w:name="_Toc26632"/>
      <w:bookmarkStart w:id="379" w:name="_Toc8847"/>
      <w:bookmarkStart w:id="380" w:name="_Toc22103"/>
      <w:bookmarkStart w:id="381" w:name="_Toc24689"/>
      <w:bookmarkStart w:id="382" w:name="_Toc19797"/>
      <w:bookmarkStart w:id="383" w:name="_Toc3665"/>
      <w:bookmarkStart w:id="384" w:name="_Toc16189"/>
      <w:bookmarkStart w:id="385" w:name="_Toc11731"/>
      <w:bookmarkStart w:id="386" w:name="_Toc18228"/>
      <w:bookmarkStart w:id="387" w:name="_Toc3929"/>
      <w:r>
        <w:rPr>
          <w:rFonts w:hint="eastAsia" w:ascii="仿宋" w:hAnsi="仿宋" w:eastAsia="仿宋" w:cs="仿宋"/>
          <w:b/>
          <w:sz w:val="30"/>
          <w:szCs w:val="30"/>
          <w:highlight w:val="none"/>
        </w:rPr>
        <w:t>四、投标文件</w:t>
      </w:r>
      <w:bookmarkEnd w:id="376"/>
      <w:bookmarkEnd w:id="377"/>
      <w:bookmarkEnd w:id="378"/>
      <w:bookmarkEnd w:id="379"/>
      <w:bookmarkEnd w:id="380"/>
      <w:bookmarkEnd w:id="381"/>
      <w:bookmarkEnd w:id="382"/>
      <w:bookmarkEnd w:id="383"/>
      <w:bookmarkEnd w:id="384"/>
      <w:bookmarkEnd w:id="385"/>
      <w:bookmarkEnd w:id="386"/>
      <w:bookmarkEnd w:id="387"/>
    </w:p>
    <w:p>
      <w:pPr>
        <w:snapToGrid w:val="0"/>
        <w:spacing w:line="400" w:lineRule="exact"/>
        <w:ind w:firstLine="422" w:firstLineChars="200"/>
        <w:outlineLvl w:val="2"/>
        <w:rPr>
          <w:rFonts w:hint="eastAsia" w:ascii="仿宋" w:hAnsi="仿宋" w:eastAsia="仿宋" w:cs="仿宋"/>
          <w:b/>
          <w:sz w:val="21"/>
          <w:szCs w:val="21"/>
          <w:highlight w:val="none"/>
        </w:rPr>
      </w:pPr>
      <w:bookmarkStart w:id="388" w:name="_Toc18012"/>
      <w:bookmarkStart w:id="389" w:name="_Toc28055"/>
      <w:bookmarkStart w:id="390" w:name="_Toc21762"/>
      <w:bookmarkStart w:id="391" w:name="_Toc17350"/>
      <w:bookmarkStart w:id="392" w:name="_Toc2957"/>
      <w:bookmarkStart w:id="393" w:name="_Toc10500"/>
      <w:bookmarkStart w:id="394" w:name="_Toc16044"/>
      <w:bookmarkStart w:id="395" w:name="_Toc5891"/>
      <w:bookmarkStart w:id="396" w:name="_Toc15987"/>
      <w:bookmarkStart w:id="397" w:name="_Toc11944"/>
      <w:bookmarkStart w:id="398" w:name="_Toc9157"/>
      <w:bookmarkStart w:id="399" w:name="_Toc3650"/>
      <w:bookmarkStart w:id="400" w:name="_Toc9395"/>
      <w:bookmarkStart w:id="401" w:name="_Toc20270"/>
      <w:bookmarkStart w:id="402" w:name="_Toc18536"/>
      <w:bookmarkStart w:id="403" w:name="_Toc3680"/>
      <w:r>
        <w:rPr>
          <w:rFonts w:hint="eastAsia" w:ascii="仿宋" w:hAnsi="仿宋" w:eastAsia="仿宋" w:cs="仿宋"/>
          <w:b/>
          <w:sz w:val="21"/>
          <w:szCs w:val="21"/>
          <w:highlight w:val="none"/>
        </w:rPr>
        <w:t>9.投标文件的语言(实质性要求)</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tabs>
          <w:tab w:val="left" w:pos="1134"/>
        </w:tabs>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9.1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投标人的法定代表人为外籍人士的，法定代表人的签字和护照除外。）</w:t>
      </w:r>
    </w:p>
    <w:p>
      <w:pPr>
        <w:tabs>
          <w:tab w:val="left" w:pos="96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9.2翻译的中文资料与外文资料如果出现差异和矛盾时，以中文为准。但不能故意错误翻译，涉嫌虚假响应的按照相关法律法规处理。</w:t>
      </w:r>
    </w:p>
    <w:p>
      <w:pPr>
        <w:snapToGrid w:val="0"/>
        <w:spacing w:line="400" w:lineRule="exact"/>
        <w:ind w:firstLine="422" w:firstLineChars="200"/>
        <w:outlineLvl w:val="2"/>
        <w:rPr>
          <w:rFonts w:hint="eastAsia" w:ascii="仿宋" w:hAnsi="仿宋" w:eastAsia="仿宋" w:cs="仿宋"/>
          <w:b/>
          <w:sz w:val="21"/>
          <w:szCs w:val="21"/>
          <w:highlight w:val="none"/>
        </w:rPr>
      </w:pPr>
      <w:bookmarkStart w:id="404" w:name="_Toc28520"/>
      <w:bookmarkStart w:id="405" w:name="_Toc31039"/>
      <w:bookmarkStart w:id="406" w:name="_Toc30398"/>
      <w:bookmarkStart w:id="407" w:name="_Toc28169"/>
      <w:bookmarkStart w:id="408" w:name="_Toc13822"/>
      <w:bookmarkStart w:id="409" w:name="_Toc1653"/>
      <w:bookmarkStart w:id="410" w:name="_Toc13716"/>
      <w:bookmarkStart w:id="411" w:name="_Toc8057"/>
      <w:bookmarkStart w:id="412" w:name="_Toc18305"/>
      <w:bookmarkStart w:id="413" w:name="_Toc13"/>
      <w:bookmarkStart w:id="414" w:name="_Toc27641"/>
      <w:bookmarkStart w:id="415" w:name="_Toc26921"/>
      <w:bookmarkStart w:id="416" w:name="_Toc6375"/>
      <w:bookmarkStart w:id="417" w:name="_Toc8093"/>
      <w:bookmarkStart w:id="418" w:name="_Toc1948"/>
      <w:bookmarkStart w:id="419" w:name="_Toc28436"/>
      <w:r>
        <w:rPr>
          <w:rFonts w:hint="eastAsia" w:ascii="仿宋" w:hAnsi="仿宋" w:eastAsia="仿宋" w:cs="仿宋"/>
          <w:b/>
          <w:sz w:val="21"/>
          <w:szCs w:val="21"/>
          <w:highlight w:val="none"/>
        </w:rPr>
        <w:t>10.计量单位(实质性要求)</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除招标文件中另有规定外，本次采购项目所有合同项下的投标均采用国家法定的计量单位。</w:t>
      </w:r>
    </w:p>
    <w:p>
      <w:pPr>
        <w:snapToGrid w:val="0"/>
        <w:spacing w:line="400" w:lineRule="exact"/>
        <w:ind w:left="480"/>
        <w:outlineLvl w:val="2"/>
        <w:rPr>
          <w:rFonts w:hint="eastAsia" w:ascii="仿宋" w:hAnsi="仿宋" w:eastAsia="仿宋" w:cs="仿宋"/>
          <w:b/>
          <w:sz w:val="21"/>
          <w:szCs w:val="21"/>
          <w:highlight w:val="none"/>
        </w:rPr>
      </w:pPr>
      <w:bookmarkStart w:id="420" w:name="_Toc20186"/>
      <w:bookmarkStart w:id="421" w:name="_Toc25141"/>
      <w:bookmarkStart w:id="422" w:name="_Toc25966"/>
      <w:bookmarkStart w:id="423" w:name="_Toc22259"/>
      <w:bookmarkStart w:id="424" w:name="_Toc3979"/>
      <w:bookmarkStart w:id="425" w:name="_Toc26938"/>
      <w:bookmarkStart w:id="426" w:name="_Toc15549"/>
      <w:bookmarkStart w:id="427" w:name="_Toc30857"/>
      <w:bookmarkStart w:id="428" w:name="_Toc10533"/>
      <w:bookmarkStart w:id="429" w:name="_Toc17831"/>
      <w:bookmarkStart w:id="430" w:name="_Toc8813"/>
      <w:bookmarkStart w:id="431" w:name="_Toc488"/>
      <w:bookmarkStart w:id="432" w:name="_Toc30840"/>
      <w:bookmarkStart w:id="433" w:name="_Toc25222"/>
      <w:bookmarkStart w:id="434" w:name="_Toc1751"/>
      <w:bookmarkStart w:id="435" w:name="_Toc30832"/>
      <w:r>
        <w:rPr>
          <w:rFonts w:hint="eastAsia" w:ascii="仿宋" w:hAnsi="仿宋" w:eastAsia="仿宋" w:cs="仿宋"/>
          <w:b/>
          <w:sz w:val="21"/>
          <w:szCs w:val="21"/>
          <w:highlight w:val="none"/>
        </w:rPr>
        <w:t>11.投标货币(实质性要求)</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pPr>
        <w:snapToGrid w:val="0"/>
        <w:spacing w:line="400" w:lineRule="exact"/>
        <w:ind w:left="500"/>
        <w:rPr>
          <w:rFonts w:hint="eastAsia" w:ascii="仿宋" w:hAnsi="仿宋" w:eastAsia="仿宋" w:cs="仿宋"/>
          <w:sz w:val="21"/>
          <w:szCs w:val="21"/>
          <w:highlight w:val="none"/>
        </w:rPr>
      </w:pPr>
      <w:r>
        <w:rPr>
          <w:rFonts w:hint="eastAsia" w:ascii="仿宋" w:hAnsi="仿宋" w:eastAsia="仿宋" w:cs="仿宋"/>
          <w:sz w:val="21"/>
          <w:szCs w:val="21"/>
          <w:highlight w:val="none"/>
        </w:rPr>
        <w:t>本次招标项目的投标均以人民币报价。</w:t>
      </w:r>
    </w:p>
    <w:p>
      <w:pPr>
        <w:snapToGrid w:val="0"/>
        <w:spacing w:line="400" w:lineRule="exact"/>
        <w:ind w:firstLine="422" w:firstLineChars="200"/>
        <w:outlineLvl w:val="2"/>
        <w:rPr>
          <w:rFonts w:hint="eastAsia" w:ascii="仿宋" w:hAnsi="仿宋" w:eastAsia="仿宋" w:cs="仿宋"/>
          <w:b/>
          <w:sz w:val="21"/>
          <w:szCs w:val="21"/>
          <w:highlight w:val="none"/>
        </w:rPr>
      </w:pPr>
      <w:bookmarkStart w:id="436" w:name="_Toc11859"/>
      <w:bookmarkStart w:id="437" w:name="_Toc1025"/>
      <w:bookmarkStart w:id="438" w:name="_Toc9307"/>
      <w:bookmarkStart w:id="439" w:name="_Toc32581"/>
      <w:bookmarkStart w:id="440" w:name="_Toc20382"/>
      <w:bookmarkStart w:id="441" w:name="_Toc31818"/>
      <w:bookmarkStart w:id="442" w:name="_Toc17615"/>
      <w:bookmarkStart w:id="443" w:name="_Toc28382"/>
      <w:bookmarkStart w:id="444" w:name="_Toc18405"/>
      <w:bookmarkStart w:id="445" w:name="_Toc25418"/>
      <w:bookmarkStart w:id="446" w:name="_Toc12393"/>
      <w:bookmarkStart w:id="447" w:name="_Toc11312"/>
      <w:bookmarkStart w:id="448" w:name="_Toc26784"/>
      <w:bookmarkStart w:id="449" w:name="_Toc11865"/>
      <w:bookmarkStart w:id="450" w:name="_Toc13166"/>
      <w:bookmarkStart w:id="451" w:name="_Toc10214"/>
      <w:r>
        <w:rPr>
          <w:rFonts w:hint="eastAsia" w:ascii="仿宋" w:hAnsi="仿宋" w:eastAsia="仿宋" w:cs="仿宋"/>
          <w:b/>
          <w:sz w:val="21"/>
          <w:szCs w:val="21"/>
          <w:highlight w:val="none"/>
        </w:rPr>
        <w:t>12.联合体投标(实质性要求)</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snapToGrid w:val="0"/>
        <w:spacing w:line="400" w:lineRule="exact"/>
        <w:ind w:left="500"/>
        <w:rPr>
          <w:rFonts w:hint="eastAsia" w:ascii="仿宋" w:hAnsi="仿宋" w:eastAsia="仿宋" w:cs="仿宋"/>
          <w:sz w:val="21"/>
          <w:szCs w:val="21"/>
          <w:highlight w:val="none"/>
        </w:rPr>
      </w:pPr>
      <w:bookmarkStart w:id="452" w:name="_Toc27098"/>
      <w:bookmarkStart w:id="453" w:name="_Toc26104"/>
      <w:bookmarkStart w:id="454" w:name="_Toc5593"/>
      <w:bookmarkStart w:id="455" w:name="_Toc15605"/>
      <w:bookmarkStart w:id="456" w:name="_Toc2410"/>
      <w:bookmarkStart w:id="457" w:name="_Toc17059"/>
      <w:bookmarkStart w:id="458" w:name="_Toc9342"/>
      <w:bookmarkStart w:id="459" w:name="_Toc16287"/>
      <w:bookmarkStart w:id="460" w:name="_Toc30482"/>
      <w:r>
        <w:rPr>
          <w:rFonts w:hint="eastAsia" w:ascii="仿宋" w:hAnsi="仿宋" w:eastAsia="仿宋" w:cs="仿宋"/>
          <w:sz w:val="21"/>
          <w:szCs w:val="21"/>
          <w:highlight w:val="none"/>
        </w:rPr>
        <w:t>本项目不接受联合体投标</w:t>
      </w:r>
    </w:p>
    <w:p>
      <w:pPr>
        <w:snapToGrid w:val="0"/>
        <w:spacing w:line="400" w:lineRule="exact"/>
        <w:ind w:firstLine="422" w:firstLineChars="200"/>
        <w:outlineLvl w:val="2"/>
        <w:rPr>
          <w:rFonts w:hint="eastAsia" w:ascii="仿宋" w:hAnsi="仿宋" w:eastAsia="仿宋" w:cs="仿宋"/>
          <w:b/>
          <w:sz w:val="21"/>
          <w:szCs w:val="21"/>
          <w:highlight w:val="none"/>
        </w:rPr>
      </w:pPr>
      <w:bookmarkStart w:id="461" w:name="_Toc18016"/>
      <w:bookmarkStart w:id="462" w:name="_Toc10860"/>
      <w:bookmarkStart w:id="463" w:name="_Toc2018"/>
      <w:bookmarkStart w:id="464" w:name="_Toc3159"/>
      <w:bookmarkStart w:id="465" w:name="_Toc29635"/>
      <w:bookmarkStart w:id="466" w:name="_Toc10962"/>
      <w:bookmarkStart w:id="467" w:name="_Toc17759"/>
      <w:r>
        <w:rPr>
          <w:rFonts w:hint="eastAsia" w:ascii="仿宋" w:hAnsi="仿宋" w:eastAsia="仿宋" w:cs="仿宋"/>
          <w:b/>
          <w:sz w:val="21"/>
          <w:szCs w:val="21"/>
          <w:highlight w:val="none"/>
        </w:rPr>
        <w:t>13.知识产权(实质性要求)</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tabs>
          <w:tab w:val="left" w:pos="108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13.1投标人应保证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tabs>
          <w:tab w:val="left" w:pos="108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13.2采购人享有本项目实施过程中产生的知识成果及知识产权。</w:t>
      </w:r>
    </w:p>
    <w:p>
      <w:pPr>
        <w:tabs>
          <w:tab w:val="left" w:pos="108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13.3投标人如欲在项目实施过程中采用自有知识成果，需在投标文件中声明，并提供相关知识产权证明文件。使用该知识成果后，</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需提供开发接口和开发手册等技术文档，并承诺提供无限期技术支持，采购人享有永久使用权。</w:t>
      </w:r>
    </w:p>
    <w:p>
      <w:pPr>
        <w:tabs>
          <w:tab w:val="left" w:pos="1063"/>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13.4如采用投标人所不拥有的知识产权，则在投标报价中必须包括合法获取该知识产权的相关费用。</w:t>
      </w:r>
    </w:p>
    <w:p>
      <w:pPr>
        <w:snapToGrid w:val="0"/>
        <w:spacing w:line="400" w:lineRule="exact"/>
        <w:ind w:firstLine="422" w:firstLineChars="200"/>
        <w:outlineLvl w:val="2"/>
        <w:rPr>
          <w:rFonts w:hint="eastAsia" w:ascii="仿宋" w:hAnsi="仿宋" w:eastAsia="仿宋" w:cs="仿宋"/>
          <w:b/>
          <w:sz w:val="21"/>
          <w:szCs w:val="21"/>
          <w:highlight w:val="none"/>
        </w:rPr>
      </w:pPr>
      <w:bookmarkStart w:id="468" w:name="_Toc5860"/>
      <w:bookmarkStart w:id="469" w:name="_Toc28494"/>
      <w:bookmarkStart w:id="470" w:name="_Toc13536"/>
      <w:bookmarkStart w:id="471" w:name="_Toc5122"/>
      <w:bookmarkStart w:id="472" w:name="_Toc32676"/>
      <w:bookmarkStart w:id="473" w:name="_Toc14446"/>
      <w:bookmarkStart w:id="474" w:name="_Toc21281"/>
      <w:bookmarkStart w:id="475" w:name="_Toc7633"/>
      <w:bookmarkStart w:id="476" w:name="_Toc3169"/>
      <w:bookmarkStart w:id="477" w:name="_Toc23271"/>
      <w:bookmarkStart w:id="478" w:name="_Toc170"/>
      <w:bookmarkStart w:id="479" w:name="_Toc27989"/>
      <w:bookmarkStart w:id="480" w:name="_Toc15587"/>
      <w:bookmarkStart w:id="481" w:name="_Toc4458"/>
      <w:bookmarkStart w:id="482" w:name="_Toc8211"/>
      <w:bookmarkStart w:id="483" w:name="_Toc26356"/>
      <w:r>
        <w:rPr>
          <w:rFonts w:hint="eastAsia" w:ascii="仿宋" w:hAnsi="仿宋" w:eastAsia="仿宋" w:cs="仿宋"/>
          <w:b/>
          <w:sz w:val="21"/>
          <w:szCs w:val="21"/>
          <w:highlight w:val="none"/>
        </w:rPr>
        <w:t>14.投标文件的组成</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pPr>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投标人应按照招标文件的规定和要求编制投标文件。投标人拟在中标后将中标项目的非主体、非关键性工作交由他人完成的，应当在投标文件中载明。投标人编写的投标文件应包括以下两部分：</w:t>
      </w:r>
    </w:p>
    <w:p>
      <w:pPr>
        <w:snapToGrid w:val="0"/>
        <w:spacing w:line="400" w:lineRule="exact"/>
        <w:ind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14.1第一部分：资格性投标文件（用于资格审查）</w:t>
      </w:r>
    </w:p>
    <w:p>
      <w:pPr>
        <w:snapToGrid w:val="0"/>
        <w:spacing w:line="400" w:lineRule="exact"/>
        <w:ind w:firstLine="420" w:firstLineChars="200"/>
        <w:rPr>
          <w:rFonts w:hint="eastAsia" w:ascii="仿宋" w:hAnsi="仿宋" w:eastAsia="仿宋" w:cs="仿宋"/>
          <w:b/>
          <w:sz w:val="21"/>
          <w:szCs w:val="21"/>
          <w:highlight w:val="none"/>
        </w:rPr>
      </w:pPr>
      <w:r>
        <w:rPr>
          <w:rFonts w:hint="eastAsia" w:ascii="仿宋" w:hAnsi="仿宋" w:eastAsia="仿宋" w:cs="仿宋"/>
          <w:bCs/>
          <w:sz w:val="21"/>
          <w:szCs w:val="21"/>
          <w:highlight w:val="none"/>
        </w:rPr>
        <w:t>按照招标文件第四、五章要求提供相关资格、资质性及其他类似效力要求的相关证明材料。</w:t>
      </w:r>
    </w:p>
    <w:p>
      <w:pPr>
        <w:snapToGrid w:val="0"/>
        <w:spacing w:line="400" w:lineRule="exact"/>
        <w:ind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14.2第二部分：其它投标文件（用于资格审查以外的评标）按照招标文件要求提供以下相关材料：</w:t>
      </w:r>
    </w:p>
    <w:p>
      <w:pPr>
        <w:snapToGrid w:val="0"/>
        <w:spacing w:line="400" w:lineRule="exact"/>
        <w:ind w:firstLine="422" w:firstLineChars="200"/>
        <w:rPr>
          <w:rFonts w:hint="eastAsia" w:ascii="仿宋" w:hAnsi="仿宋" w:eastAsia="仿宋" w:cs="仿宋"/>
          <w:sz w:val="21"/>
          <w:szCs w:val="21"/>
          <w:highlight w:val="none"/>
        </w:rPr>
      </w:pPr>
      <w:r>
        <w:rPr>
          <w:rFonts w:hint="eastAsia" w:ascii="仿宋" w:hAnsi="仿宋" w:eastAsia="仿宋" w:cs="仿宋"/>
          <w:b/>
          <w:sz w:val="21"/>
          <w:szCs w:val="21"/>
          <w:highlight w:val="none"/>
        </w:rPr>
        <w:t>14.2.1 报价部分。</w:t>
      </w:r>
      <w:r>
        <w:rPr>
          <w:rFonts w:hint="eastAsia" w:ascii="仿宋" w:hAnsi="仿宋" w:eastAsia="仿宋" w:cs="仿宋"/>
          <w:sz w:val="21"/>
          <w:szCs w:val="21"/>
          <w:highlight w:val="none"/>
        </w:rPr>
        <w:t>投标人按照以下要求填写的“开标一览表”及“分项报价明细表”（如涉及），本次招标报价要求：</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(1)投标人的报价是</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响应招标项目包要求的全部工作内容的价格体现，包括完成本项目所涉及的一切费用。（实质性要求）</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(2)投标人只允许有一个报价，并且在合同履行过程中是固定不变的，任何有选择或可调整的报价将不予接受，并按无效投标处理。（实质性要求）</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)在本次投标之前一周年内，投标人本次投标中对同一品牌同一型号相同配置的产品报价与其在中国境内其他地方的最低报价比例不得高于20%。（实质性要求</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投标时需单独提供承诺函</w:t>
      </w:r>
      <w:r>
        <w:rPr>
          <w:rFonts w:hint="eastAsia" w:ascii="仿宋" w:hAnsi="仿宋" w:eastAsia="仿宋" w:cs="仿宋"/>
          <w:sz w:val="21"/>
          <w:szCs w:val="21"/>
          <w:highlight w:val="none"/>
        </w:rPr>
        <w:t>）。</w:t>
      </w:r>
    </w:p>
    <w:p>
      <w:pPr>
        <w:pStyle w:val="2"/>
        <w:ind w:firstLine="422" w:firstLineChars="200"/>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14.2.2技术、服务部分。</w:t>
      </w:r>
    </w:p>
    <w:p>
      <w:pPr>
        <w:snapToGrid w:val="0"/>
        <w:spacing w:line="400" w:lineRule="exact"/>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投标人按照招标文件要求做出的技术、服务商务应答，主要是针对招标项目的服务要求做出的实质性响应和满足。投标人的技术、服务答应尽可能包括（包含但不限于）下列内容：</w:t>
      </w:r>
    </w:p>
    <w:p>
      <w:pPr>
        <w:snapToGrid w:val="0"/>
        <w:spacing w:line="400" w:lineRule="exact"/>
        <w:ind w:firstLine="420" w:firstLineChars="200"/>
        <w:rPr>
          <w:rFonts w:hint="eastAsia" w:ascii="仿宋" w:hAnsi="仿宋" w:eastAsia="仿宋" w:cs="仿宋"/>
          <w:bCs/>
          <w:sz w:val="21"/>
          <w:szCs w:val="21"/>
          <w:highlight w:val="none"/>
          <w:lang w:eastAsia="zh-CN"/>
        </w:rPr>
      </w:pPr>
      <w:r>
        <w:rPr>
          <w:rFonts w:hint="eastAsia" w:ascii="仿宋" w:hAnsi="仿宋" w:eastAsia="仿宋" w:cs="仿宋"/>
          <w:bCs/>
          <w:sz w:val="21"/>
          <w:szCs w:val="21"/>
          <w:highlight w:val="none"/>
        </w:rPr>
        <w:t>（1）技术、服务应答表</w:t>
      </w:r>
      <w:r>
        <w:rPr>
          <w:rFonts w:hint="eastAsia" w:ascii="仿宋" w:hAnsi="仿宋" w:eastAsia="仿宋" w:cs="仿宋"/>
          <w:bCs/>
          <w:sz w:val="21"/>
          <w:szCs w:val="21"/>
          <w:highlight w:val="none"/>
          <w:lang w:eastAsia="zh-CN"/>
        </w:rPr>
        <w:t>；</w:t>
      </w:r>
    </w:p>
    <w:p>
      <w:pPr>
        <w:snapToGrid w:val="0"/>
        <w:spacing w:line="400" w:lineRule="exact"/>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（2）服务方案；</w:t>
      </w:r>
    </w:p>
    <w:p>
      <w:pPr>
        <w:snapToGrid w:val="0"/>
        <w:spacing w:line="400" w:lineRule="exact"/>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（3）投标人本项目管理、技术、服务人员情况表；</w:t>
      </w:r>
    </w:p>
    <w:p>
      <w:pPr>
        <w:snapToGrid w:val="0"/>
        <w:spacing w:line="400" w:lineRule="exact"/>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（4）投标人认为需要提供的文件和资料。</w:t>
      </w:r>
    </w:p>
    <w:p>
      <w:pPr>
        <w:snapToGrid w:val="0"/>
        <w:spacing w:line="400" w:lineRule="exact"/>
        <w:ind w:firstLine="422" w:firstLineChars="200"/>
        <w:rPr>
          <w:rFonts w:hint="eastAsia" w:ascii="仿宋" w:hAnsi="仿宋" w:eastAsia="仿宋" w:cs="仿宋"/>
          <w:sz w:val="21"/>
          <w:szCs w:val="21"/>
          <w:highlight w:val="none"/>
        </w:rPr>
      </w:pPr>
      <w:r>
        <w:rPr>
          <w:rFonts w:hint="eastAsia" w:ascii="仿宋" w:hAnsi="仿宋" w:eastAsia="仿宋" w:cs="仿宋"/>
          <w:b/>
          <w:sz w:val="21"/>
          <w:szCs w:val="21"/>
          <w:highlight w:val="none"/>
        </w:rPr>
        <w:t>14.3商务部分。</w:t>
      </w:r>
      <w:r>
        <w:rPr>
          <w:rFonts w:hint="eastAsia" w:ascii="仿宋" w:hAnsi="仿宋" w:eastAsia="仿宋" w:cs="仿宋"/>
          <w:sz w:val="21"/>
          <w:szCs w:val="21"/>
          <w:highlight w:val="none"/>
        </w:rPr>
        <w:t>投标人按照招标文件要求提供的有关证明材料及优惠承诺；包括以下内容（如涉及）：</w:t>
      </w:r>
    </w:p>
    <w:p>
      <w:pPr>
        <w:snapToGrid w:val="0"/>
        <w:spacing w:line="400" w:lineRule="exact"/>
        <w:ind w:firstLine="420" w:firstLineChars="200"/>
        <w:rPr>
          <w:rFonts w:hint="eastAsia" w:ascii="仿宋" w:hAnsi="仿宋" w:eastAsia="仿宋" w:cs="仿宋"/>
          <w:color w:val="000000"/>
          <w:sz w:val="21"/>
          <w:szCs w:val="21"/>
          <w:highlight w:val="none"/>
        </w:rPr>
      </w:pPr>
      <w:bookmarkStart w:id="484" w:name="_Toc26961"/>
      <w:bookmarkStart w:id="485" w:name="_Toc3544"/>
      <w:bookmarkStart w:id="486" w:name="_Toc26435"/>
      <w:bookmarkStart w:id="487" w:name="_Toc20758"/>
      <w:bookmarkStart w:id="488" w:name="_Toc28235"/>
      <w:bookmarkStart w:id="489" w:name="_Toc2372"/>
      <w:bookmarkStart w:id="490" w:name="_Toc20267"/>
      <w:bookmarkStart w:id="491" w:name="_Toc511"/>
      <w:bookmarkStart w:id="492" w:name="_Toc7113"/>
      <w:bookmarkStart w:id="493" w:name="_Toc14521"/>
      <w:r>
        <w:rPr>
          <w:rFonts w:hint="eastAsia" w:ascii="仿宋" w:hAnsi="仿宋" w:eastAsia="仿宋" w:cs="仿宋"/>
          <w:color w:val="000000"/>
          <w:sz w:val="21"/>
          <w:szCs w:val="21"/>
          <w:highlight w:val="none"/>
        </w:rPr>
        <w:t>（1）投标函；</w:t>
      </w:r>
    </w:p>
    <w:p>
      <w:pPr>
        <w:snapToGrid w:val="0"/>
        <w:spacing w:line="400" w:lineRule="exact"/>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（2）承诺及声明函；</w:t>
      </w:r>
    </w:p>
    <w:p>
      <w:pPr>
        <w:snapToGrid w:val="0"/>
        <w:spacing w:line="400" w:lineRule="exact"/>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（3）商务应答表；</w:t>
      </w:r>
    </w:p>
    <w:p>
      <w:pPr>
        <w:snapToGrid w:val="0"/>
        <w:spacing w:line="400" w:lineRule="exact"/>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（4）投标人基本情况表；</w:t>
      </w:r>
    </w:p>
    <w:p>
      <w:pPr>
        <w:snapToGrid w:val="0"/>
        <w:spacing w:line="400" w:lineRule="exact"/>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w:t>
      </w:r>
      <w:r>
        <w:rPr>
          <w:rFonts w:hint="eastAsia" w:ascii="仿宋" w:hAnsi="仿宋" w:eastAsia="仿宋" w:cs="仿宋"/>
          <w:bCs/>
          <w:sz w:val="21"/>
          <w:szCs w:val="21"/>
          <w:highlight w:val="none"/>
        </w:rPr>
        <w:t>投标人</w:t>
      </w:r>
      <w:r>
        <w:rPr>
          <w:rFonts w:hint="eastAsia" w:ascii="仿宋" w:hAnsi="仿宋" w:eastAsia="仿宋" w:cs="仿宋"/>
          <w:color w:val="000000"/>
          <w:sz w:val="21"/>
          <w:szCs w:val="21"/>
          <w:highlight w:val="none"/>
        </w:rPr>
        <w:t>类似项目业绩一览表；</w:t>
      </w:r>
    </w:p>
    <w:p>
      <w:pPr>
        <w:snapToGrid w:val="0"/>
        <w:spacing w:line="400" w:lineRule="exact"/>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（6）残疾人福利性单位声明函(如涉及)；</w:t>
      </w:r>
    </w:p>
    <w:p>
      <w:pPr>
        <w:snapToGrid w:val="0"/>
        <w:spacing w:line="400" w:lineRule="exact"/>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（7）监狱企业相关证明材料(如涉及)；</w:t>
      </w:r>
    </w:p>
    <w:p>
      <w:pPr>
        <w:snapToGrid w:val="0"/>
        <w:spacing w:line="400" w:lineRule="exact"/>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（8）不发达地区和少数民族声明函（如涉及）；</w:t>
      </w:r>
    </w:p>
    <w:p>
      <w:pPr>
        <w:snapToGrid w:val="0"/>
        <w:spacing w:line="400" w:lineRule="exact"/>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9）投标人承诺给予招标采购单位的各种优惠条件(如有，优惠条件事项不能包括采购项目本身所包含的采购事项。投标人不能以“赠送、赠予”等任何名义提供服务以规避招标文件的约束。否则，投标人提供的投标文件将作为无效投标处理，即使中标也将取消中标资格)(</w:t>
      </w:r>
      <w:r>
        <w:rPr>
          <w:rFonts w:hint="eastAsia" w:ascii="仿宋" w:hAnsi="仿宋" w:eastAsia="仿宋" w:cs="仿宋"/>
          <w:color w:val="000000"/>
          <w:sz w:val="21"/>
          <w:szCs w:val="21"/>
          <w:highlight w:val="none"/>
          <w:lang w:val="en-US" w:eastAsia="zh-CN"/>
        </w:rPr>
        <w:t>实质性要求，投标时单独</w:t>
      </w:r>
      <w:r>
        <w:rPr>
          <w:rFonts w:hint="eastAsia" w:ascii="仿宋" w:hAnsi="仿宋" w:eastAsia="仿宋" w:cs="仿宋"/>
          <w:color w:val="000000"/>
          <w:sz w:val="21"/>
          <w:szCs w:val="21"/>
          <w:highlight w:val="none"/>
        </w:rPr>
        <w:t>提供承诺函)；</w:t>
      </w:r>
    </w:p>
    <w:p>
      <w:pPr>
        <w:snapToGrid w:val="0"/>
        <w:spacing w:line="400" w:lineRule="exact"/>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(10)投标人认为应当提供的其他证明材料。</w:t>
      </w:r>
    </w:p>
    <w:p>
      <w:pPr>
        <w:snapToGrid w:val="0"/>
        <w:spacing w:line="400" w:lineRule="exact"/>
        <w:ind w:firstLine="420" w:firstLineChars="200"/>
        <w:rPr>
          <w:rFonts w:hint="eastAsia" w:ascii="仿宋" w:hAnsi="仿宋" w:eastAsia="仿宋" w:cs="仿宋"/>
          <w:color w:val="000000"/>
          <w:sz w:val="21"/>
          <w:szCs w:val="21"/>
          <w:highlight w:val="none"/>
        </w:rPr>
      </w:pPr>
      <w:bookmarkStart w:id="494" w:name="_Toc17340"/>
      <w:bookmarkStart w:id="495" w:name="_Toc2357"/>
      <w:bookmarkStart w:id="496" w:name="_Toc20144"/>
      <w:bookmarkStart w:id="497" w:name="_Toc21205"/>
      <w:bookmarkStart w:id="498" w:name="_Toc12480"/>
      <w:bookmarkStart w:id="499" w:name="_Toc13026"/>
      <w:bookmarkStart w:id="500" w:name="_Toc18232"/>
      <w:bookmarkStart w:id="501" w:name="_Toc12229"/>
      <w:bookmarkStart w:id="502" w:name="_Toc4593"/>
      <w:r>
        <w:rPr>
          <w:rFonts w:hint="eastAsia" w:ascii="仿宋" w:hAnsi="仿宋" w:eastAsia="仿宋" w:cs="仿宋"/>
          <w:color w:val="000000"/>
          <w:sz w:val="21"/>
          <w:szCs w:val="21"/>
          <w:highlight w:val="none"/>
        </w:rPr>
        <w:t>注： 以上 14.1、14.2 要求提供的证明材料均需加盖投标人公章(鲜章)，若未加盖投标人公章(鲜章)的，则该证明材料涉及的评分项不予评分，涉及资格条件的评审项按未通过处理。</w:t>
      </w:r>
    </w:p>
    <w:bookmarkEnd w:id="494"/>
    <w:bookmarkEnd w:id="495"/>
    <w:bookmarkEnd w:id="496"/>
    <w:bookmarkEnd w:id="497"/>
    <w:bookmarkEnd w:id="498"/>
    <w:bookmarkEnd w:id="499"/>
    <w:bookmarkEnd w:id="500"/>
    <w:bookmarkEnd w:id="501"/>
    <w:bookmarkEnd w:id="502"/>
    <w:p>
      <w:pPr>
        <w:tabs>
          <w:tab w:val="left" w:pos="1100"/>
        </w:tabs>
        <w:snapToGrid w:val="0"/>
        <w:spacing w:line="400" w:lineRule="exact"/>
        <w:ind w:firstLine="420" w:firstLineChars="200"/>
        <w:jc w:val="both"/>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若综合评分明细表和“采购项目技术、服务、采购合同内容条款及商务要求”中需要提供的证明材料上述未提及，投标人根据综合评分明细表和“采购项目技术、服务、采购合同内容条款及商务要求”要求提供相关的证明材料。</w:t>
      </w:r>
    </w:p>
    <w:p>
      <w:pPr>
        <w:tabs>
          <w:tab w:val="left" w:pos="1100"/>
        </w:tabs>
        <w:snapToGrid w:val="0"/>
        <w:spacing w:line="400" w:lineRule="exact"/>
        <w:ind w:firstLine="420" w:firstLineChars="200"/>
        <w:jc w:val="both"/>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依法免税或不需要缴纳社会保障资金的投标人，应提供相应文件证明其依法免税或不需要缴纳社会保障资金。</w:t>
      </w:r>
    </w:p>
    <w:p>
      <w:pPr>
        <w:tabs>
          <w:tab w:val="left" w:pos="1100"/>
        </w:tabs>
        <w:snapToGrid w:val="0"/>
        <w:spacing w:line="400" w:lineRule="exact"/>
        <w:ind w:firstLine="420" w:firstLineChars="200"/>
        <w:jc w:val="both"/>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投标人在参加政府采购活动前，被纳入法院、工商行政管理部门、税务部门、银行认定的失信人名单且在有效期内，或者在前三年政府采购合同履约过程中及其他经营活动履约过程中未依法履约被有关部门处理的，不能认定为具有良好的商业信誉。若提供虚假承诺将被视为虚假响应，取消中标资格。</w:t>
      </w:r>
    </w:p>
    <w:p>
      <w:pPr>
        <w:tabs>
          <w:tab w:val="left" w:pos="1100"/>
        </w:tabs>
        <w:snapToGrid w:val="0"/>
        <w:spacing w:line="400" w:lineRule="exact"/>
        <w:ind w:firstLine="420" w:firstLineChars="200"/>
        <w:jc w:val="both"/>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重大违法记录是指投标人因违法经营受到刑事处罚或者责令停产停业、吊销许可证或者执照、较大数额罚款等行政处罚。投标人在参加政府采购活动前 3 年内因违法经营被禁止在一定</w:t>
      </w:r>
      <w:bookmarkStart w:id="503" w:name="page16"/>
      <w:bookmarkEnd w:id="503"/>
      <w:r>
        <w:rPr>
          <w:rFonts w:hint="eastAsia" w:ascii="仿宋" w:hAnsi="仿宋" w:eastAsia="仿宋" w:cs="仿宋"/>
          <w:color w:val="000000"/>
          <w:sz w:val="21"/>
          <w:szCs w:val="21"/>
          <w:highlight w:val="none"/>
        </w:rPr>
        <w:t>期限内参加政府采购活动，期限届满的，可以参加政府采购活动。</w:t>
      </w:r>
    </w:p>
    <w:p>
      <w:pPr>
        <w:tabs>
          <w:tab w:val="left" w:pos="1100"/>
        </w:tabs>
        <w:snapToGrid w:val="0"/>
        <w:spacing w:line="400" w:lineRule="exact"/>
        <w:ind w:firstLine="420" w:firstLineChars="200"/>
        <w:jc w:val="both"/>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行政处罚听证程序规定》(四川省人民政府令第 317 号)规定的行政处罚罚款听证标准金额。</w:t>
      </w:r>
    </w:p>
    <w:p>
      <w:pPr>
        <w:snapToGrid w:val="0"/>
        <w:spacing w:line="400" w:lineRule="exact"/>
        <w:ind w:firstLine="422" w:firstLineChars="200"/>
        <w:outlineLvl w:val="2"/>
        <w:rPr>
          <w:rFonts w:hint="eastAsia" w:ascii="仿宋" w:hAnsi="仿宋" w:eastAsia="仿宋" w:cs="仿宋"/>
          <w:b/>
          <w:sz w:val="21"/>
          <w:szCs w:val="21"/>
          <w:highlight w:val="none"/>
        </w:rPr>
      </w:pPr>
      <w:bookmarkStart w:id="504" w:name="_Toc28669"/>
      <w:bookmarkStart w:id="505" w:name="_Toc28718"/>
      <w:bookmarkStart w:id="506" w:name="_Toc3696"/>
      <w:bookmarkStart w:id="507" w:name="_Toc985"/>
      <w:bookmarkStart w:id="508" w:name="_Toc11196"/>
      <w:bookmarkStart w:id="509" w:name="_Toc18621"/>
      <w:r>
        <w:rPr>
          <w:rFonts w:hint="eastAsia" w:ascii="仿宋" w:hAnsi="仿宋" w:eastAsia="仿宋" w:cs="仿宋"/>
          <w:b/>
          <w:sz w:val="21"/>
          <w:szCs w:val="21"/>
          <w:highlight w:val="none"/>
        </w:rPr>
        <w:t>15.投标文件格式</w:t>
      </w:r>
      <w:bookmarkEnd w:id="484"/>
      <w:bookmarkEnd w:id="485"/>
      <w:bookmarkEnd w:id="486"/>
      <w:bookmarkEnd w:id="487"/>
      <w:bookmarkEnd w:id="488"/>
      <w:bookmarkEnd w:id="489"/>
      <w:bookmarkEnd w:id="490"/>
      <w:bookmarkEnd w:id="491"/>
      <w:bookmarkEnd w:id="492"/>
      <w:bookmarkEnd w:id="493"/>
      <w:bookmarkEnd w:id="504"/>
      <w:bookmarkEnd w:id="505"/>
      <w:bookmarkEnd w:id="506"/>
      <w:bookmarkEnd w:id="507"/>
      <w:bookmarkEnd w:id="508"/>
      <w:bookmarkEnd w:id="509"/>
    </w:p>
    <w:p>
      <w:pPr>
        <w:tabs>
          <w:tab w:val="left" w:pos="110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15.1投标人应执行招标文件第三章中规定要求。</w:t>
      </w:r>
    </w:p>
    <w:p>
      <w:pPr>
        <w:tabs>
          <w:tab w:val="left" w:pos="110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15.2对于没有格式要求的投标文件由</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自行编写。</w:t>
      </w:r>
    </w:p>
    <w:p>
      <w:pPr>
        <w:snapToGrid w:val="0"/>
        <w:spacing w:line="400" w:lineRule="exact"/>
        <w:ind w:firstLine="422" w:firstLineChars="200"/>
        <w:outlineLvl w:val="2"/>
        <w:rPr>
          <w:rFonts w:hint="eastAsia" w:ascii="仿宋" w:hAnsi="仿宋" w:eastAsia="仿宋" w:cs="仿宋"/>
          <w:b/>
          <w:color w:val="000000"/>
          <w:sz w:val="21"/>
          <w:szCs w:val="21"/>
          <w:highlight w:val="none"/>
        </w:rPr>
      </w:pPr>
      <w:bookmarkStart w:id="510" w:name="_Toc7439"/>
      <w:bookmarkStart w:id="511" w:name="_Toc31601"/>
      <w:bookmarkStart w:id="512" w:name="_Toc16759"/>
      <w:bookmarkStart w:id="513" w:name="_Toc14041"/>
      <w:bookmarkStart w:id="514" w:name="_Toc1397"/>
      <w:bookmarkStart w:id="515" w:name="_Toc21377"/>
      <w:bookmarkStart w:id="516" w:name="_Toc9003"/>
      <w:bookmarkStart w:id="517" w:name="_Toc18991"/>
      <w:bookmarkStart w:id="518" w:name="_Toc29972"/>
      <w:bookmarkStart w:id="519" w:name="_Toc7107"/>
      <w:bookmarkStart w:id="520" w:name="_Toc9682"/>
      <w:bookmarkStart w:id="521" w:name="_Toc23738"/>
      <w:bookmarkStart w:id="522" w:name="_Toc6518"/>
      <w:bookmarkStart w:id="523" w:name="_Toc9811"/>
      <w:bookmarkStart w:id="524" w:name="_Toc32509"/>
      <w:bookmarkStart w:id="525" w:name="_Toc2935"/>
      <w:bookmarkStart w:id="526" w:name="_Toc3254"/>
      <w:bookmarkStart w:id="527" w:name="_Toc25963"/>
      <w:bookmarkStart w:id="528" w:name="_Toc27759"/>
      <w:bookmarkStart w:id="529" w:name="_Toc7727"/>
      <w:bookmarkStart w:id="530" w:name="_Toc4255"/>
      <w:bookmarkStart w:id="531" w:name="_Toc4540"/>
      <w:bookmarkStart w:id="532" w:name="_Toc26398"/>
      <w:bookmarkStart w:id="533" w:name="_Toc7703"/>
      <w:bookmarkStart w:id="534" w:name="_Toc20359"/>
      <w:bookmarkStart w:id="535" w:name="_Toc16946"/>
      <w:r>
        <w:rPr>
          <w:rFonts w:hint="eastAsia" w:ascii="仿宋" w:hAnsi="仿宋" w:eastAsia="仿宋" w:cs="仿宋"/>
          <w:b/>
          <w:color w:val="000000"/>
          <w:sz w:val="21"/>
          <w:szCs w:val="21"/>
          <w:highlight w:val="none"/>
        </w:rPr>
        <w:t>16.投标保证金(实质性要求)</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snapToGrid w:val="0"/>
        <w:spacing w:line="400" w:lineRule="exact"/>
        <w:ind w:firstLine="420" w:firstLineChars="200"/>
        <w:rPr>
          <w:rFonts w:hint="eastAsia" w:ascii="仿宋" w:hAnsi="仿宋" w:eastAsia="仿宋" w:cs="仿宋"/>
          <w:bCs/>
          <w:color w:val="000000"/>
          <w:sz w:val="21"/>
          <w:szCs w:val="21"/>
          <w:highlight w:val="none"/>
        </w:rPr>
      </w:pPr>
      <w:bookmarkStart w:id="536" w:name="_Toc13269"/>
      <w:r>
        <w:rPr>
          <w:rFonts w:hint="eastAsia" w:ascii="仿宋" w:hAnsi="仿宋" w:eastAsia="仿宋" w:cs="仿宋"/>
          <w:bCs/>
          <w:color w:val="000000"/>
          <w:sz w:val="21"/>
          <w:szCs w:val="21"/>
          <w:highlight w:val="none"/>
        </w:rPr>
        <w:t>本项目不收取投标保证金。</w:t>
      </w:r>
      <w:bookmarkEnd w:id="536"/>
    </w:p>
    <w:p>
      <w:pPr>
        <w:snapToGrid w:val="0"/>
        <w:spacing w:line="400" w:lineRule="exact"/>
        <w:ind w:firstLine="422" w:firstLineChars="200"/>
        <w:outlineLvl w:val="2"/>
        <w:rPr>
          <w:rFonts w:hint="eastAsia" w:ascii="仿宋" w:hAnsi="仿宋" w:eastAsia="仿宋" w:cs="仿宋"/>
          <w:b/>
          <w:sz w:val="21"/>
          <w:szCs w:val="21"/>
          <w:highlight w:val="none"/>
        </w:rPr>
      </w:pPr>
      <w:bookmarkStart w:id="537" w:name="_Toc806"/>
      <w:bookmarkStart w:id="538" w:name="_Toc1322"/>
      <w:bookmarkStart w:id="539" w:name="_Toc18004"/>
      <w:bookmarkStart w:id="540" w:name="_Toc11711"/>
      <w:bookmarkStart w:id="541" w:name="_Toc19610"/>
      <w:bookmarkStart w:id="542" w:name="_Toc21459"/>
      <w:r>
        <w:rPr>
          <w:rFonts w:hint="eastAsia" w:ascii="仿宋" w:hAnsi="仿宋" w:eastAsia="仿宋" w:cs="仿宋"/>
          <w:b/>
          <w:sz w:val="21"/>
          <w:szCs w:val="21"/>
          <w:highlight w:val="none"/>
        </w:rPr>
        <w:t>17.投标有效期(实质性要求)</w:t>
      </w:r>
      <w:bookmarkEnd w:id="526"/>
      <w:bookmarkEnd w:id="527"/>
      <w:bookmarkEnd w:id="528"/>
      <w:bookmarkEnd w:id="529"/>
      <w:bookmarkEnd w:id="530"/>
      <w:bookmarkEnd w:id="531"/>
      <w:bookmarkEnd w:id="532"/>
      <w:bookmarkEnd w:id="533"/>
      <w:bookmarkEnd w:id="534"/>
      <w:bookmarkEnd w:id="535"/>
      <w:bookmarkEnd w:id="537"/>
      <w:bookmarkEnd w:id="538"/>
      <w:bookmarkEnd w:id="539"/>
      <w:bookmarkEnd w:id="540"/>
      <w:bookmarkEnd w:id="541"/>
      <w:bookmarkEnd w:id="542"/>
    </w:p>
    <w:p>
      <w:pPr>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17.1投标有效期为提交投标文件的截止之日起90天。投标人投标文件中必须载明投标有效期，投标文件中载明的投标有效期可以长于招标文件规定的期限，但不得短于招标文件规定的期限。否则，其投标文件将作为无效投标处理。</w:t>
      </w:r>
    </w:p>
    <w:p>
      <w:pPr>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17.2因不可抗力事件，采购人可于投标有效期届满之前与</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17.3因采购人采购需求做出必要调整，采购人可于投标有效期届满之前与</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协商延长投标有效期。投标人拒绝延长投标有效期的，不得再参与该项目后续政府采购活动，但由此给投标人造成的损失，采购人应当予以赔偿或者合理补偿。投标人同意延长投标有效期的，不能修改投标文件。</w:t>
      </w:r>
    </w:p>
    <w:p>
      <w:pPr>
        <w:snapToGrid w:val="0"/>
        <w:spacing w:line="400" w:lineRule="exact"/>
        <w:ind w:firstLine="422" w:firstLineChars="200"/>
        <w:outlineLvl w:val="2"/>
        <w:rPr>
          <w:rFonts w:hint="eastAsia" w:ascii="仿宋" w:hAnsi="仿宋" w:eastAsia="仿宋" w:cs="仿宋"/>
          <w:b/>
          <w:sz w:val="21"/>
          <w:szCs w:val="21"/>
          <w:highlight w:val="none"/>
        </w:rPr>
      </w:pPr>
      <w:bookmarkStart w:id="543" w:name="_Toc24847"/>
      <w:bookmarkStart w:id="544" w:name="_Toc5284"/>
      <w:bookmarkStart w:id="545" w:name="_Toc10046"/>
      <w:bookmarkStart w:id="546" w:name="_Toc15387"/>
      <w:bookmarkStart w:id="547" w:name="_Toc9649"/>
      <w:bookmarkStart w:id="548" w:name="_Toc5866"/>
      <w:bookmarkStart w:id="549" w:name="_Toc26511"/>
      <w:bookmarkStart w:id="550" w:name="_Toc30320"/>
      <w:bookmarkStart w:id="551" w:name="_Toc23432"/>
      <w:bookmarkStart w:id="552" w:name="_Toc27607"/>
      <w:bookmarkStart w:id="553" w:name="_Toc554"/>
      <w:bookmarkStart w:id="554" w:name="_Toc16870"/>
      <w:bookmarkStart w:id="555" w:name="_Toc30434"/>
      <w:bookmarkStart w:id="556" w:name="_Toc13422"/>
      <w:bookmarkStart w:id="557" w:name="_Toc27993"/>
      <w:bookmarkStart w:id="558" w:name="_Toc32723"/>
      <w:r>
        <w:rPr>
          <w:rFonts w:hint="eastAsia" w:ascii="仿宋" w:hAnsi="仿宋" w:eastAsia="仿宋" w:cs="仿宋"/>
          <w:b/>
          <w:sz w:val="21"/>
          <w:szCs w:val="21"/>
          <w:highlight w:val="none"/>
        </w:rPr>
        <w:t>18.</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Pr>
          <w:rFonts w:hint="eastAsia" w:ascii="仿宋" w:hAnsi="仿宋" w:eastAsia="仿宋" w:cs="仿宋"/>
          <w:b/>
          <w:sz w:val="21"/>
          <w:szCs w:val="21"/>
          <w:highlight w:val="none"/>
        </w:rPr>
        <w:t>投标文件的印制和签署</w:t>
      </w:r>
    </w:p>
    <w:p>
      <w:pPr>
        <w:tabs>
          <w:tab w:val="left" w:pos="1080"/>
        </w:tabs>
        <w:snapToGrid w:val="0"/>
        <w:spacing w:line="400" w:lineRule="exact"/>
        <w:ind w:firstLine="420" w:firstLineChars="200"/>
        <w:jc w:val="both"/>
        <w:rPr>
          <w:rFonts w:hint="eastAsia" w:ascii="仿宋" w:hAnsi="仿宋" w:eastAsia="仿宋" w:cs="仿宋"/>
          <w:b w:val="0"/>
          <w:bCs/>
          <w:sz w:val="21"/>
          <w:szCs w:val="21"/>
          <w:highlight w:val="none"/>
        </w:rPr>
      </w:pPr>
      <w:bookmarkStart w:id="559" w:name="_Toc2346"/>
      <w:bookmarkStart w:id="560" w:name="_Toc12157"/>
      <w:bookmarkStart w:id="561" w:name="_Toc32707"/>
      <w:bookmarkStart w:id="562" w:name="_Toc21646"/>
      <w:bookmarkStart w:id="563" w:name="_Toc23488"/>
      <w:bookmarkStart w:id="564" w:name="_Toc3600"/>
      <w:bookmarkStart w:id="565" w:name="_Toc8277"/>
      <w:bookmarkStart w:id="566" w:name="_Toc19748"/>
      <w:bookmarkStart w:id="567" w:name="_Toc4645"/>
      <w:bookmarkStart w:id="568" w:name="_Toc17331"/>
      <w:bookmarkStart w:id="569" w:name="_Toc1976"/>
      <w:bookmarkStart w:id="570" w:name="_Toc25552"/>
      <w:bookmarkStart w:id="571" w:name="_Toc8688"/>
      <w:bookmarkStart w:id="572" w:name="_Toc12905"/>
      <w:bookmarkStart w:id="573" w:name="_Toc27953"/>
      <w:r>
        <w:rPr>
          <w:rFonts w:hint="eastAsia" w:ascii="仿宋" w:hAnsi="仿宋" w:eastAsia="仿宋" w:cs="仿宋"/>
          <w:b w:val="0"/>
          <w:bCs/>
          <w:sz w:val="21"/>
          <w:szCs w:val="21"/>
          <w:highlight w:val="none"/>
        </w:rPr>
        <w:t>18.1投标文件分为“资格性投标文件”和“其他响应性投标文件”两部分，且该两部分应分册装订。</w:t>
      </w:r>
    </w:p>
    <w:p>
      <w:pPr>
        <w:tabs>
          <w:tab w:val="left" w:pos="1080"/>
        </w:tabs>
        <w:snapToGrid w:val="0"/>
        <w:spacing w:line="400" w:lineRule="exact"/>
        <w:ind w:firstLine="420" w:firstLineChars="200"/>
        <w:jc w:val="both"/>
        <w:rPr>
          <w:rFonts w:hint="eastAsia" w:ascii="仿宋" w:hAnsi="仿宋" w:eastAsia="仿宋" w:cs="仿宋"/>
          <w:b w:val="0"/>
          <w:bCs/>
          <w:sz w:val="21"/>
          <w:szCs w:val="21"/>
          <w:highlight w:val="none"/>
        </w:rPr>
      </w:pPr>
      <w:r>
        <w:rPr>
          <w:rFonts w:hint="eastAsia" w:ascii="仿宋" w:hAnsi="仿宋" w:eastAsia="仿宋" w:cs="仿宋"/>
          <w:b w:val="0"/>
          <w:bCs/>
          <w:sz w:val="21"/>
          <w:szCs w:val="21"/>
          <w:highlight w:val="none"/>
        </w:rPr>
        <w:t>18.2资格性投标文件正本1份副本4份，并在其封面上清楚地标明资格性投标文件、项目名称、项目编号、包件号及名称（若有）、投标人名称以及“正本”或“副本”字样。若正本和副本有不一致的内容，以正本书面投标文件为准。</w:t>
      </w:r>
    </w:p>
    <w:p>
      <w:pPr>
        <w:tabs>
          <w:tab w:val="left" w:pos="1080"/>
        </w:tabs>
        <w:snapToGrid w:val="0"/>
        <w:spacing w:line="400" w:lineRule="exact"/>
        <w:ind w:firstLine="420" w:firstLineChars="200"/>
        <w:jc w:val="both"/>
        <w:rPr>
          <w:rFonts w:hint="eastAsia" w:ascii="仿宋" w:hAnsi="仿宋" w:eastAsia="仿宋" w:cs="仿宋"/>
          <w:b w:val="0"/>
          <w:bCs/>
          <w:sz w:val="21"/>
          <w:szCs w:val="21"/>
          <w:highlight w:val="none"/>
        </w:rPr>
      </w:pPr>
      <w:r>
        <w:rPr>
          <w:rFonts w:hint="eastAsia" w:ascii="仿宋" w:hAnsi="仿宋" w:eastAsia="仿宋" w:cs="仿宋"/>
          <w:b w:val="0"/>
          <w:bCs/>
          <w:sz w:val="21"/>
          <w:szCs w:val="21"/>
          <w:highlight w:val="none"/>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pPr>
        <w:tabs>
          <w:tab w:val="left" w:pos="1080"/>
        </w:tabs>
        <w:snapToGrid w:val="0"/>
        <w:spacing w:line="400" w:lineRule="exact"/>
        <w:ind w:firstLine="420" w:firstLineChars="200"/>
        <w:jc w:val="both"/>
        <w:rPr>
          <w:rFonts w:hint="eastAsia" w:ascii="仿宋" w:hAnsi="仿宋" w:eastAsia="仿宋" w:cs="仿宋"/>
          <w:b w:val="0"/>
          <w:bCs/>
          <w:sz w:val="21"/>
          <w:szCs w:val="21"/>
          <w:highlight w:val="none"/>
        </w:rPr>
      </w:pPr>
      <w:r>
        <w:rPr>
          <w:rFonts w:hint="eastAsia" w:ascii="仿宋" w:hAnsi="仿宋" w:eastAsia="仿宋" w:cs="仿宋"/>
          <w:b w:val="0"/>
          <w:bCs/>
          <w:sz w:val="21"/>
          <w:szCs w:val="21"/>
          <w:highlight w:val="none"/>
        </w:rPr>
        <w:t>18.4“开标一览表”应编制于其他响应性投标文件正副本内，如有遗漏，将视为无效投标（实质性要求）。</w:t>
      </w:r>
    </w:p>
    <w:p>
      <w:pPr>
        <w:tabs>
          <w:tab w:val="left" w:pos="1080"/>
        </w:tabs>
        <w:snapToGrid w:val="0"/>
        <w:spacing w:line="400" w:lineRule="exact"/>
        <w:ind w:firstLine="420" w:firstLineChars="200"/>
        <w:jc w:val="both"/>
        <w:rPr>
          <w:rFonts w:hint="eastAsia" w:ascii="仿宋" w:hAnsi="仿宋" w:eastAsia="仿宋" w:cs="仿宋"/>
          <w:b w:val="0"/>
          <w:bCs/>
          <w:sz w:val="21"/>
          <w:szCs w:val="21"/>
          <w:highlight w:val="none"/>
        </w:rPr>
      </w:pPr>
      <w:r>
        <w:rPr>
          <w:rFonts w:hint="eastAsia" w:ascii="仿宋" w:hAnsi="仿宋" w:eastAsia="仿宋" w:cs="仿宋"/>
          <w:b w:val="0"/>
          <w:bCs/>
          <w:sz w:val="21"/>
          <w:szCs w:val="21"/>
          <w:highlight w:val="none"/>
        </w:rPr>
        <w:t>注：本项目不需要提供单独密封的“开标一览表”。若投标人提供有单独密封的“开标一览表”，该单独密封的“开标一览表”不作为开标、唱标及评标的依据，但投标人在规定的投标截止时间前，按招标文件要求补充、修改投标文件中“开标一览表”内容的除外。</w:t>
      </w:r>
    </w:p>
    <w:p>
      <w:pPr>
        <w:tabs>
          <w:tab w:val="left" w:pos="1080"/>
        </w:tabs>
        <w:snapToGrid w:val="0"/>
        <w:spacing w:line="400" w:lineRule="exact"/>
        <w:ind w:firstLine="420" w:firstLineChars="200"/>
        <w:jc w:val="both"/>
        <w:rPr>
          <w:rFonts w:hint="eastAsia" w:ascii="仿宋" w:hAnsi="仿宋" w:eastAsia="仿宋" w:cs="仿宋"/>
          <w:b w:val="0"/>
          <w:bCs/>
          <w:sz w:val="21"/>
          <w:szCs w:val="21"/>
          <w:highlight w:val="none"/>
        </w:rPr>
      </w:pPr>
      <w:r>
        <w:rPr>
          <w:rFonts w:hint="eastAsia" w:ascii="仿宋" w:hAnsi="仿宋" w:eastAsia="仿宋" w:cs="仿宋"/>
          <w:b w:val="0"/>
          <w:bCs/>
          <w:sz w:val="21"/>
          <w:szCs w:val="21"/>
          <w:highlight w:val="none"/>
        </w:rPr>
        <w:t>18.5 投标文件的正本和副本均需打印或用不褪色、不变质的墨水书写。投标文件副本可采用正本的复印件，提供电子文档1份采用光盘或U盘制作。</w:t>
      </w:r>
    </w:p>
    <w:p>
      <w:pPr>
        <w:tabs>
          <w:tab w:val="left" w:pos="1080"/>
        </w:tabs>
        <w:snapToGrid w:val="0"/>
        <w:spacing w:line="400" w:lineRule="exact"/>
        <w:ind w:firstLine="420" w:firstLineChars="200"/>
        <w:jc w:val="both"/>
        <w:rPr>
          <w:rFonts w:hint="eastAsia" w:ascii="仿宋" w:hAnsi="仿宋" w:eastAsia="仿宋" w:cs="仿宋"/>
          <w:b w:val="0"/>
          <w:bCs/>
          <w:sz w:val="21"/>
          <w:szCs w:val="21"/>
          <w:highlight w:val="none"/>
        </w:rPr>
      </w:pPr>
      <w:r>
        <w:rPr>
          <w:rFonts w:hint="eastAsia" w:ascii="仿宋" w:hAnsi="仿宋" w:eastAsia="仿宋" w:cs="仿宋"/>
          <w:b w:val="0"/>
          <w:bCs/>
          <w:sz w:val="21"/>
          <w:szCs w:val="21"/>
          <w:highlight w:val="none"/>
        </w:rPr>
        <w:t>18.6投标文件应由投标人的法定代表人/单位负责人或其授权代表在投标文件要求的地方签字或加盖个人印鉴，要求加盖公章的地方加盖单位公章，不得使用专用章（如经济合同章、投标专用章等）或下属单位印章代替（实质性要求）。</w:t>
      </w:r>
    </w:p>
    <w:p>
      <w:pPr>
        <w:tabs>
          <w:tab w:val="left" w:pos="1080"/>
        </w:tabs>
        <w:snapToGrid w:val="0"/>
        <w:spacing w:line="400" w:lineRule="exact"/>
        <w:ind w:firstLine="420" w:firstLineChars="200"/>
        <w:jc w:val="both"/>
        <w:rPr>
          <w:rFonts w:hint="eastAsia" w:ascii="仿宋" w:hAnsi="仿宋" w:eastAsia="仿宋" w:cs="仿宋"/>
          <w:b w:val="0"/>
          <w:bCs/>
          <w:sz w:val="21"/>
          <w:szCs w:val="21"/>
          <w:highlight w:val="none"/>
        </w:rPr>
      </w:pPr>
      <w:r>
        <w:rPr>
          <w:rFonts w:hint="eastAsia" w:ascii="仿宋" w:hAnsi="仿宋" w:eastAsia="仿宋" w:cs="仿宋"/>
          <w:b w:val="0"/>
          <w:bCs/>
          <w:sz w:val="21"/>
          <w:szCs w:val="21"/>
          <w:highlight w:val="none"/>
        </w:rPr>
        <w:t>18.7 投标文件的打印和书写应清楚工整，任何行间插字、涂改或增删，必须由投标人的法定代表人/单位负责人或其授权代表签字或盖个人印鉴。</w:t>
      </w:r>
    </w:p>
    <w:p>
      <w:pPr>
        <w:tabs>
          <w:tab w:val="left" w:pos="1080"/>
        </w:tabs>
        <w:snapToGrid w:val="0"/>
        <w:spacing w:line="400" w:lineRule="exact"/>
        <w:ind w:firstLine="420" w:firstLineChars="200"/>
        <w:jc w:val="both"/>
        <w:rPr>
          <w:rFonts w:hint="eastAsia" w:ascii="仿宋" w:hAnsi="仿宋" w:eastAsia="仿宋" w:cs="仿宋"/>
          <w:b w:val="0"/>
          <w:bCs/>
          <w:sz w:val="21"/>
          <w:szCs w:val="21"/>
          <w:highlight w:val="none"/>
        </w:rPr>
      </w:pPr>
      <w:r>
        <w:rPr>
          <w:rFonts w:hint="eastAsia" w:ascii="仿宋" w:hAnsi="仿宋" w:eastAsia="仿宋" w:cs="仿宋"/>
          <w:b w:val="0"/>
          <w:bCs/>
          <w:sz w:val="21"/>
          <w:szCs w:val="21"/>
          <w:highlight w:val="none"/>
        </w:rPr>
        <w:t>18.8 投标文件正本和副本应当采取胶装方式装订成册，不得散装或者活页装订。</w:t>
      </w:r>
    </w:p>
    <w:p>
      <w:pPr>
        <w:tabs>
          <w:tab w:val="left" w:pos="1080"/>
        </w:tabs>
        <w:snapToGrid w:val="0"/>
        <w:spacing w:line="400" w:lineRule="exact"/>
        <w:ind w:firstLine="420" w:firstLineChars="200"/>
        <w:jc w:val="both"/>
        <w:rPr>
          <w:rFonts w:hint="eastAsia" w:ascii="仿宋" w:hAnsi="仿宋" w:eastAsia="仿宋" w:cs="仿宋"/>
          <w:b w:val="0"/>
          <w:bCs/>
          <w:sz w:val="21"/>
          <w:szCs w:val="21"/>
          <w:highlight w:val="none"/>
        </w:rPr>
      </w:pPr>
      <w:r>
        <w:rPr>
          <w:rFonts w:hint="eastAsia" w:ascii="仿宋" w:hAnsi="仿宋" w:eastAsia="仿宋" w:cs="仿宋"/>
          <w:b w:val="0"/>
          <w:bCs/>
          <w:sz w:val="21"/>
          <w:szCs w:val="21"/>
          <w:highlight w:val="none"/>
        </w:rPr>
        <w:t>18.9 投标文件应根据招标文件的要求制作，签署、盖章和内容应完整。投标文件统一用A4幅面纸印制，逐页编码。本次招标要求的复印件是指对图文进行复制后的文件，包括扫描、复印、影印等方式复制的材料。</w:t>
      </w:r>
    </w:p>
    <w:p>
      <w:pPr>
        <w:tabs>
          <w:tab w:val="left" w:pos="1080"/>
        </w:tabs>
        <w:snapToGrid w:val="0"/>
        <w:spacing w:line="400" w:lineRule="exact"/>
        <w:ind w:firstLine="422" w:firstLineChars="200"/>
        <w:jc w:val="both"/>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19.投标文件的密封和标注</w:t>
      </w:r>
    </w:p>
    <w:p>
      <w:pPr>
        <w:tabs>
          <w:tab w:val="left" w:pos="1080"/>
        </w:tabs>
        <w:snapToGrid w:val="0"/>
        <w:spacing w:line="400" w:lineRule="exact"/>
        <w:ind w:firstLine="420" w:firstLineChars="200"/>
        <w:jc w:val="both"/>
        <w:rPr>
          <w:rFonts w:hint="eastAsia" w:ascii="仿宋" w:hAnsi="仿宋" w:eastAsia="仿宋" w:cs="仿宋"/>
          <w:b w:val="0"/>
          <w:bCs/>
          <w:sz w:val="21"/>
          <w:szCs w:val="21"/>
          <w:highlight w:val="none"/>
        </w:rPr>
      </w:pPr>
      <w:r>
        <w:rPr>
          <w:rFonts w:hint="eastAsia" w:ascii="仿宋" w:hAnsi="仿宋" w:eastAsia="仿宋" w:cs="仿宋"/>
          <w:b w:val="0"/>
          <w:bCs/>
          <w:sz w:val="21"/>
          <w:szCs w:val="21"/>
          <w:highlight w:val="none"/>
        </w:rPr>
        <w:t>19.1 投标人应在投标文件正本和所有副本的封面上注明投标人名称、项目编号、项目名称及分包号（如有分包）。</w:t>
      </w:r>
    </w:p>
    <w:p>
      <w:pPr>
        <w:tabs>
          <w:tab w:val="left" w:pos="1080"/>
        </w:tabs>
        <w:snapToGrid w:val="0"/>
        <w:spacing w:line="400" w:lineRule="exact"/>
        <w:ind w:firstLine="420" w:firstLineChars="200"/>
        <w:jc w:val="both"/>
        <w:rPr>
          <w:rFonts w:hint="eastAsia" w:ascii="仿宋" w:hAnsi="仿宋" w:eastAsia="仿宋" w:cs="仿宋"/>
          <w:b w:val="0"/>
          <w:bCs/>
          <w:sz w:val="21"/>
          <w:szCs w:val="21"/>
          <w:highlight w:val="none"/>
        </w:rPr>
      </w:pPr>
      <w:r>
        <w:rPr>
          <w:rFonts w:hint="eastAsia" w:ascii="仿宋" w:hAnsi="仿宋" w:eastAsia="仿宋" w:cs="仿宋"/>
          <w:b w:val="0"/>
          <w:bCs/>
          <w:sz w:val="21"/>
          <w:szCs w:val="21"/>
          <w:highlight w:val="none"/>
        </w:rPr>
        <w:t>19.2 投标文件的密封袋上应当注明投标人名称、项目编号、项目名称及分包号（如有分包）。</w:t>
      </w:r>
    </w:p>
    <w:p>
      <w:pPr>
        <w:tabs>
          <w:tab w:val="left" w:pos="1080"/>
        </w:tabs>
        <w:snapToGrid w:val="0"/>
        <w:spacing w:line="400" w:lineRule="exact"/>
        <w:ind w:firstLine="422" w:firstLineChars="200"/>
        <w:jc w:val="both"/>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20</w:t>
      </w:r>
      <w:r>
        <w:rPr>
          <w:rFonts w:hint="eastAsia" w:ascii="仿宋" w:hAnsi="仿宋" w:eastAsia="仿宋" w:cs="仿宋"/>
          <w:b/>
          <w:sz w:val="21"/>
          <w:szCs w:val="21"/>
          <w:highlight w:val="none"/>
        </w:rPr>
        <w:t>.</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Start w:id="574" w:name="_Toc21928"/>
      <w:bookmarkStart w:id="575" w:name="_Toc6414"/>
      <w:bookmarkStart w:id="576" w:name="_Toc25417"/>
      <w:bookmarkStart w:id="577" w:name="_Toc23976"/>
      <w:bookmarkStart w:id="578" w:name="_Toc13154"/>
      <w:bookmarkStart w:id="579" w:name="_Toc26002"/>
      <w:bookmarkStart w:id="580" w:name="_Toc8371"/>
      <w:bookmarkStart w:id="581" w:name="_Toc30748"/>
      <w:bookmarkStart w:id="582" w:name="_Toc13020"/>
      <w:bookmarkStart w:id="583" w:name="_Toc3695"/>
      <w:bookmarkStart w:id="584" w:name="_Toc8023"/>
      <w:bookmarkStart w:id="585" w:name="_Toc15247"/>
      <w:bookmarkStart w:id="586" w:name="_Toc5644"/>
      <w:bookmarkStart w:id="587" w:name="_Toc23597"/>
      <w:bookmarkStart w:id="588" w:name="_Toc21825"/>
      <w:r>
        <w:rPr>
          <w:rFonts w:hint="eastAsia" w:ascii="仿宋" w:hAnsi="仿宋" w:eastAsia="仿宋" w:cs="仿宋"/>
          <w:b/>
          <w:sz w:val="21"/>
          <w:szCs w:val="21"/>
          <w:highlight w:val="none"/>
        </w:rPr>
        <w:t>投标文件的递交</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pPr>
        <w:tabs>
          <w:tab w:val="left" w:pos="1003"/>
        </w:tabs>
        <w:snapToGrid w:val="0"/>
        <w:spacing w:line="400" w:lineRule="exact"/>
        <w:ind w:firstLine="420" w:firstLineChars="200"/>
        <w:jc w:val="both"/>
        <w:rPr>
          <w:rFonts w:hint="eastAsia" w:ascii="仿宋" w:hAnsi="仿宋" w:eastAsia="仿宋" w:cs="仿宋"/>
          <w:sz w:val="21"/>
          <w:szCs w:val="21"/>
          <w:highlight w:val="none"/>
        </w:rPr>
      </w:pPr>
      <w:bookmarkStart w:id="589" w:name="_Toc25918"/>
      <w:bookmarkStart w:id="590" w:name="_Toc27076"/>
      <w:bookmarkStart w:id="591" w:name="_Toc17370"/>
      <w:bookmarkStart w:id="592" w:name="_Toc20771"/>
      <w:bookmarkStart w:id="593" w:name="_Toc4035"/>
      <w:bookmarkStart w:id="594" w:name="_Toc32131"/>
      <w:bookmarkStart w:id="595" w:name="_Toc10711"/>
      <w:bookmarkStart w:id="596" w:name="_Toc5068"/>
      <w:bookmarkStart w:id="597" w:name="_Toc16458"/>
      <w:bookmarkStart w:id="598" w:name="_Toc23514"/>
      <w:bookmarkStart w:id="599" w:name="_Toc20122"/>
      <w:bookmarkStart w:id="600" w:name="_Toc32711"/>
      <w:bookmarkStart w:id="601" w:name="_Toc28604"/>
      <w:bookmarkStart w:id="602" w:name="_Toc27659"/>
      <w:bookmarkStart w:id="603" w:name="_Toc2481"/>
      <w:r>
        <w:rPr>
          <w:rFonts w:hint="eastAsia" w:ascii="仿宋" w:hAnsi="仿宋" w:eastAsia="仿宋" w:cs="仿宋"/>
          <w:sz w:val="21"/>
          <w:szCs w:val="21"/>
          <w:highlight w:val="none"/>
          <w:lang w:val="en-US" w:eastAsia="zh-CN"/>
        </w:rPr>
        <w:t>20</w:t>
      </w:r>
      <w:r>
        <w:rPr>
          <w:rFonts w:hint="eastAsia" w:ascii="仿宋" w:hAnsi="仿宋" w:eastAsia="仿宋" w:cs="仿宋"/>
          <w:sz w:val="21"/>
          <w:szCs w:val="21"/>
          <w:highlight w:val="none"/>
        </w:rPr>
        <w:t>.1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03"/>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注：投标人在递交投标文件时，请用正楷填写本招标文件“递交投标文件签收表”然后将签收表和投标文件一并递交给本招标代理机构项目工作人员。</w:t>
      </w:r>
    </w:p>
    <w:p>
      <w:pPr>
        <w:tabs>
          <w:tab w:val="left" w:pos="1003"/>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20</w:t>
      </w:r>
      <w:r>
        <w:rPr>
          <w:rFonts w:hint="eastAsia" w:ascii="仿宋" w:hAnsi="仿宋" w:eastAsia="仿宋" w:cs="仿宋"/>
          <w:sz w:val="21"/>
          <w:szCs w:val="21"/>
          <w:highlight w:val="none"/>
        </w:rPr>
        <w:t>.2投标人应充分考虑递交文件的不可预见因素，在投标截止时间后将无法递交。</w:t>
      </w:r>
    </w:p>
    <w:p>
      <w:pPr>
        <w:tabs>
          <w:tab w:val="left" w:pos="1003"/>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20</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03"/>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20</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本次招标不接收邮寄的投标文件。</w:t>
      </w:r>
    </w:p>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Pr>
        <w:tabs>
          <w:tab w:val="left" w:pos="1003"/>
        </w:tabs>
        <w:snapToGrid w:val="0"/>
        <w:spacing w:line="400" w:lineRule="exact"/>
        <w:ind w:firstLine="422" w:firstLineChars="200"/>
        <w:jc w:val="both"/>
        <w:rPr>
          <w:rFonts w:hint="eastAsia" w:ascii="仿宋" w:hAnsi="仿宋" w:eastAsia="仿宋" w:cs="仿宋"/>
          <w:b/>
          <w:bCs/>
          <w:sz w:val="21"/>
          <w:szCs w:val="21"/>
          <w:highlight w:val="none"/>
        </w:rPr>
      </w:pPr>
      <w:bookmarkStart w:id="604" w:name="_Toc205"/>
      <w:bookmarkStart w:id="605" w:name="_Toc22430"/>
      <w:bookmarkStart w:id="606" w:name="_Toc2641"/>
      <w:bookmarkStart w:id="607" w:name="_Toc17502"/>
      <w:bookmarkStart w:id="608" w:name="_Toc7400"/>
      <w:bookmarkStart w:id="609" w:name="_Toc31288"/>
      <w:bookmarkStart w:id="610" w:name="_Toc8072"/>
      <w:bookmarkStart w:id="611" w:name="_Toc7885"/>
      <w:bookmarkStart w:id="612" w:name="_Toc26991"/>
      <w:bookmarkStart w:id="613" w:name="_Toc23102"/>
      <w:bookmarkStart w:id="614" w:name="_Toc7595"/>
      <w:r>
        <w:rPr>
          <w:rFonts w:hint="eastAsia" w:ascii="仿宋" w:hAnsi="仿宋" w:eastAsia="仿宋" w:cs="仿宋"/>
          <w:b/>
          <w:bCs/>
          <w:sz w:val="21"/>
          <w:szCs w:val="21"/>
          <w:highlight w:val="none"/>
          <w:lang w:val="en-US" w:eastAsia="zh-CN"/>
        </w:rPr>
        <w:t>21</w:t>
      </w:r>
      <w:r>
        <w:rPr>
          <w:rFonts w:hint="eastAsia" w:ascii="仿宋" w:hAnsi="仿宋" w:eastAsia="仿宋" w:cs="仿宋"/>
          <w:b/>
          <w:bCs/>
          <w:sz w:val="21"/>
          <w:szCs w:val="21"/>
          <w:highlight w:val="none"/>
        </w:rPr>
        <w:t>.投标文件的补充、修改或撤回</w:t>
      </w:r>
    </w:p>
    <w:p>
      <w:pPr>
        <w:tabs>
          <w:tab w:val="left" w:pos="1003"/>
        </w:tabs>
        <w:snapToGrid w:val="0"/>
        <w:spacing w:line="400" w:lineRule="exact"/>
        <w:ind w:firstLine="420" w:firstLineChars="200"/>
        <w:jc w:val="both"/>
        <w:rPr>
          <w:rFonts w:hint="eastAsia" w:ascii="仿宋" w:hAnsi="仿宋" w:eastAsia="仿宋" w:cs="仿宋"/>
          <w:sz w:val="21"/>
          <w:szCs w:val="21"/>
          <w:highlight w:val="none"/>
        </w:rPr>
      </w:pPr>
      <w:bookmarkStart w:id="615" w:name="_Toc10737"/>
      <w:r>
        <w:rPr>
          <w:rFonts w:hint="eastAsia" w:ascii="仿宋" w:hAnsi="仿宋" w:eastAsia="仿宋" w:cs="仿宋"/>
          <w:sz w:val="21"/>
          <w:szCs w:val="21"/>
          <w:highlight w:val="none"/>
        </w:rPr>
        <w:t>21.1 投标人在递交了投标文件后，可以补充、修改或撤回其投标文件，但必须在规定的投标截止时间前，以书面形式通知采购代理机构。</w:t>
      </w:r>
    </w:p>
    <w:p>
      <w:pPr>
        <w:tabs>
          <w:tab w:val="left" w:pos="1003"/>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21.2 投标人补充、修改的内容，应由其法定代表人/单位负责人或授权代表签署并盖单位公章，并进行密封和标注。密封袋上应当注明投标人名称、项目编号、项目名称及分包号（如有分包），并在密封袋上标注“补充”、“修改”字样。</w:t>
      </w:r>
    </w:p>
    <w:p>
      <w:pPr>
        <w:tabs>
          <w:tab w:val="left" w:pos="1003"/>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21.3 在投标截止时间之后，投标人不得对其递交的投标文件做任何修改，撤回投标的，将按照有关规定进行相应处理。</w:t>
      </w:r>
    </w:p>
    <w:p>
      <w:pPr>
        <w:snapToGrid w:val="0"/>
        <w:spacing w:before="240" w:beforeLines="100" w:line="400" w:lineRule="exact"/>
        <w:jc w:val="center"/>
        <w:outlineLvl w:val="1"/>
        <w:rPr>
          <w:rFonts w:hint="eastAsia" w:ascii="仿宋" w:hAnsi="仿宋" w:eastAsia="仿宋" w:cs="仿宋"/>
          <w:b/>
          <w:sz w:val="30"/>
          <w:szCs w:val="30"/>
          <w:highlight w:val="none"/>
        </w:rPr>
      </w:pPr>
    </w:p>
    <w:p>
      <w:pPr>
        <w:snapToGrid w:val="0"/>
        <w:spacing w:before="240" w:beforeLines="100" w:line="400" w:lineRule="exact"/>
        <w:jc w:val="center"/>
        <w:outlineLvl w:val="1"/>
        <w:rPr>
          <w:rFonts w:hint="eastAsia" w:ascii="仿宋" w:hAnsi="仿宋" w:eastAsia="仿宋" w:cs="仿宋"/>
          <w:b/>
          <w:sz w:val="30"/>
          <w:szCs w:val="30"/>
          <w:highlight w:val="none"/>
        </w:rPr>
      </w:pPr>
      <w:r>
        <w:rPr>
          <w:rFonts w:hint="eastAsia" w:ascii="仿宋" w:hAnsi="仿宋" w:eastAsia="仿宋" w:cs="仿宋"/>
          <w:b/>
          <w:sz w:val="30"/>
          <w:szCs w:val="30"/>
          <w:highlight w:val="none"/>
        </w:rPr>
        <w:t>五、开标和中标</w:t>
      </w:r>
      <w:bookmarkEnd w:id="604"/>
      <w:bookmarkEnd w:id="605"/>
      <w:bookmarkEnd w:id="606"/>
      <w:bookmarkEnd w:id="607"/>
      <w:bookmarkEnd w:id="608"/>
      <w:bookmarkEnd w:id="609"/>
      <w:bookmarkEnd w:id="610"/>
      <w:bookmarkEnd w:id="611"/>
      <w:bookmarkEnd w:id="612"/>
      <w:bookmarkEnd w:id="613"/>
      <w:bookmarkEnd w:id="614"/>
      <w:bookmarkEnd w:id="615"/>
    </w:p>
    <w:p>
      <w:pPr>
        <w:pStyle w:val="5"/>
        <w:spacing w:line="400" w:lineRule="exact"/>
        <w:ind w:left="0" w:leftChars="0" w:firstLine="422" w:firstLineChars="200"/>
        <w:jc w:val="left"/>
        <w:rPr>
          <w:rFonts w:hint="eastAsia" w:ascii="仿宋" w:hAnsi="仿宋" w:eastAsia="仿宋" w:cs="仿宋"/>
          <w:b/>
          <w:bCs/>
          <w:sz w:val="21"/>
          <w:szCs w:val="21"/>
          <w:highlight w:val="none"/>
          <w:lang w:val="en-US" w:eastAsia="zh-CN" w:bidi="ar-SA"/>
        </w:rPr>
      </w:pPr>
      <w:bookmarkStart w:id="616" w:name="_Toc183682369"/>
      <w:bookmarkStart w:id="617" w:name="_Toc308164806"/>
      <w:bookmarkStart w:id="618" w:name="_Toc183582232"/>
      <w:bookmarkStart w:id="619" w:name="_Toc217446057"/>
      <w:bookmarkStart w:id="620" w:name="_Toc864"/>
      <w:bookmarkStart w:id="621" w:name="_Toc32719"/>
      <w:bookmarkStart w:id="622" w:name="_Toc32016"/>
      <w:bookmarkStart w:id="623" w:name="_Toc13980"/>
      <w:bookmarkStart w:id="624" w:name="_Toc10043"/>
      <w:bookmarkStart w:id="625" w:name="_Toc15882"/>
      <w:bookmarkStart w:id="626" w:name="_Toc15857"/>
      <w:bookmarkStart w:id="627" w:name="_Toc27585"/>
      <w:bookmarkStart w:id="628" w:name="_Toc10625"/>
      <w:bookmarkStart w:id="629" w:name="_Toc27651"/>
      <w:bookmarkStart w:id="630" w:name="_Toc11790"/>
      <w:bookmarkStart w:id="631" w:name="_Toc1130"/>
      <w:r>
        <w:rPr>
          <w:rFonts w:hint="eastAsia" w:ascii="仿宋" w:hAnsi="仿宋" w:eastAsia="仿宋" w:cs="仿宋"/>
          <w:b/>
          <w:bCs/>
          <w:sz w:val="21"/>
          <w:szCs w:val="21"/>
          <w:highlight w:val="none"/>
          <w:lang w:val="en-US" w:eastAsia="zh-CN" w:bidi="ar-SA"/>
        </w:rPr>
        <w:t>22．开标</w:t>
      </w:r>
      <w:bookmarkEnd w:id="616"/>
      <w:bookmarkEnd w:id="617"/>
      <w:bookmarkEnd w:id="618"/>
      <w:bookmarkEnd w:id="619"/>
    </w:p>
    <w:p>
      <w:pPr>
        <w:spacing w:before="120"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22.2 开标时，可根据具体情况邀请有关监督管理部门对开标活动进行现场监督。</w:t>
      </w:r>
    </w:p>
    <w:p>
      <w:pPr>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22.3 开标时，由投标人或者其推选的代表检查其自己递交的投标文件的密封情况，经确认无误后，由招标工作人员将投标人的投标文件当众拆封，并由唱标人员按照招标文件规定的内容进行宣读。</w:t>
      </w:r>
    </w:p>
    <w:p>
      <w:pPr>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22.4 投标文件中相关内容与“开标一览表”不一致的，以“开标一览表”为准。对不同文字文本投标文件的解释发生异议的，以中文文本为准。</w:t>
      </w:r>
    </w:p>
    <w:p>
      <w:pPr>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22.5 所有投标唱标完毕，如投标人代表对宣读的内容有异议的，应在获得开标会主持人同意后当场提出。如确实属于唱标人员宣读错了的，当场予以更正。</w:t>
      </w:r>
    </w:p>
    <w:p>
      <w:pPr>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22.6 投标人未参加开标的，视同认可开标结果。</w:t>
      </w:r>
    </w:p>
    <w:p>
      <w:pPr>
        <w:pStyle w:val="5"/>
        <w:spacing w:line="400" w:lineRule="exact"/>
        <w:ind w:left="0" w:leftChars="0" w:firstLine="422" w:firstLineChars="200"/>
        <w:jc w:val="left"/>
        <w:rPr>
          <w:rFonts w:hint="eastAsia" w:ascii="仿宋" w:hAnsi="仿宋" w:eastAsia="仿宋" w:cs="仿宋"/>
          <w:b/>
          <w:bCs/>
          <w:sz w:val="21"/>
          <w:szCs w:val="21"/>
          <w:highlight w:val="none"/>
          <w:lang w:val="en-US" w:eastAsia="zh-CN" w:bidi="ar-SA"/>
        </w:rPr>
      </w:pPr>
      <w:bookmarkStart w:id="632" w:name="_Toc217446058"/>
      <w:bookmarkStart w:id="633" w:name="_Toc308164807"/>
      <w:r>
        <w:rPr>
          <w:rFonts w:hint="eastAsia" w:ascii="仿宋" w:hAnsi="仿宋" w:eastAsia="仿宋" w:cs="仿宋"/>
          <w:b/>
          <w:bCs/>
          <w:sz w:val="21"/>
          <w:szCs w:val="21"/>
          <w:highlight w:val="none"/>
          <w:lang w:val="en-US" w:eastAsia="zh-CN" w:bidi="ar-SA"/>
        </w:rPr>
        <w:t>23. 开标程序</w:t>
      </w:r>
      <w:bookmarkEnd w:id="632"/>
      <w:bookmarkEnd w:id="633"/>
    </w:p>
    <w:p>
      <w:pPr>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23.1 开标会主持人按照招标文件规定的开标时间宣布开标，按照规定要求主持开标会。开标将按以下程序进行：</w:t>
      </w:r>
    </w:p>
    <w:p>
      <w:pPr>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（1）宣布开标会开始。当众宣布参加开标会主持人、唱标人、会议记录人以及根据情况邀请的现场监督人等工作人员，根据“供应商签到表”宣布参加投标的供应商名单。</w:t>
      </w:r>
    </w:p>
    <w:p>
      <w:pPr>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（2）根据投标人或者其推选的代表对投标文件密封的检查结果，当众宣布投标文件的密封情况。</w:t>
      </w:r>
    </w:p>
    <w:p>
      <w:pPr>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5"/>
        <w:spacing w:line="400" w:lineRule="exact"/>
        <w:ind w:left="0" w:leftChars="0" w:firstLine="422" w:firstLineChars="200"/>
        <w:jc w:val="left"/>
        <w:rPr>
          <w:rFonts w:hint="eastAsia" w:ascii="仿宋" w:hAnsi="仿宋" w:eastAsia="仿宋" w:cs="仿宋"/>
          <w:b/>
          <w:bCs/>
          <w:sz w:val="21"/>
          <w:szCs w:val="21"/>
          <w:highlight w:val="none"/>
          <w:lang w:val="en-US" w:eastAsia="zh-CN" w:bidi="ar-SA"/>
        </w:rPr>
      </w:pPr>
      <w:bookmarkStart w:id="634" w:name="_Toc183582238"/>
      <w:bookmarkStart w:id="635" w:name="_Toc183682375"/>
      <w:bookmarkStart w:id="636" w:name="_Toc217446063"/>
      <w:bookmarkStart w:id="637" w:name="_Toc308164809"/>
      <w:r>
        <w:rPr>
          <w:rFonts w:hint="eastAsia" w:ascii="仿宋" w:hAnsi="仿宋" w:eastAsia="仿宋" w:cs="仿宋"/>
          <w:b/>
          <w:bCs/>
          <w:sz w:val="21"/>
          <w:szCs w:val="21"/>
          <w:highlight w:val="none"/>
          <w:lang w:val="en-US" w:eastAsia="zh-CN" w:bidi="ar-SA"/>
        </w:rPr>
        <w:t>24．开评标过程存档</w:t>
      </w:r>
    </w:p>
    <w:p>
      <w:pPr>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开标和评标过程进行全过程电子监控，并将电子监控资料存储介质留存归档。</w:t>
      </w:r>
    </w:p>
    <w:p>
      <w:pPr>
        <w:pStyle w:val="5"/>
        <w:spacing w:line="400" w:lineRule="exact"/>
        <w:ind w:left="0" w:leftChars="0" w:firstLine="422" w:firstLineChars="200"/>
        <w:jc w:val="left"/>
        <w:rPr>
          <w:rFonts w:hint="eastAsia" w:ascii="仿宋" w:hAnsi="仿宋" w:eastAsia="仿宋" w:cs="仿宋"/>
          <w:b/>
          <w:bCs/>
          <w:sz w:val="21"/>
          <w:szCs w:val="21"/>
          <w:highlight w:val="none"/>
          <w:lang w:val="en-US" w:eastAsia="zh-CN" w:bidi="ar-SA"/>
        </w:rPr>
      </w:pPr>
      <w:r>
        <w:rPr>
          <w:rFonts w:hint="eastAsia" w:ascii="仿宋" w:hAnsi="仿宋" w:eastAsia="仿宋" w:cs="仿宋"/>
          <w:b/>
          <w:bCs/>
          <w:sz w:val="21"/>
          <w:szCs w:val="21"/>
          <w:highlight w:val="none"/>
          <w:lang w:val="en-US" w:eastAsia="zh-CN" w:bidi="ar-SA"/>
        </w:rPr>
        <w:t>25. 评标情况公告</w:t>
      </w:r>
    </w:p>
    <w:p>
      <w:pPr>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所有供应商投标文件资格性、符合性检查情况、采用综合评分法时的总得分和分项汇总得分情况、评标结果等将在四川政府采购网上采购结果公告栏中予以公告。</w:t>
      </w:r>
    </w:p>
    <w:p>
      <w:pPr>
        <w:pStyle w:val="5"/>
        <w:keepNext w:val="0"/>
        <w:keepLines w:val="0"/>
        <w:numPr>
          <w:ilvl w:val="0"/>
          <w:numId w:val="0"/>
        </w:numPr>
        <w:spacing w:before="0" w:after="0" w:line="400" w:lineRule="exact"/>
        <w:ind w:left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26. 采购人确定中标人过程中，发现中标候选人有下列情形之一的，应当不予确定其为中标人：</w:t>
      </w:r>
    </w:p>
    <w:p>
      <w:pPr>
        <w:spacing w:after="0"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（1）发现中标候选人存在禁止参加本项目采购活动的违法行为的；</w:t>
      </w:r>
    </w:p>
    <w:p>
      <w:pPr>
        <w:spacing w:after="0"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（2）中标候选人因不可抗力，不能继续参加政府采购活动；</w:t>
      </w:r>
    </w:p>
    <w:p>
      <w:pPr>
        <w:spacing w:after="0"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（3）中标候选人无偿赠与或者低于成本价竞争；</w:t>
      </w:r>
    </w:p>
    <w:p>
      <w:pPr>
        <w:spacing w:after="0"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（4）中标候选人提供虚假材料；</w:t>
      </w:r>
    </w:p>
    <w:p>
      <w:pPr>
        <w:spacing w:after="0"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（5）中标候选人恶意串通。</w:t>
      </w:r>
    </w:p>
    <w:p>
      <w:pPr>
        <w:pStyle w:val="5"/>
        <w:spacing w:line="400" w:lineRule="exact"/>
        <w:ind w:left="0" w:leftChars="0" w:firstLine="422" w:firstLineChars="200"/>
        <w:jc w:val="left"/>
        <w:rPr>
          <w:rFonts w:hint="eastAsia" w:ascii="仿宋" w:hAnsi="仿宋" w:eastAsia="仿宋" w:cs="仿宋"/>
          <w:b/>
          <w:bCs/>
          <w:sz w:val="21"/>
          <w:szCs w:val="21"/>
          <w:highlight w:val="none"/>
          <w:lang w:val="en-US" w:eastAsia="zh-CN" w:bidi="ar-SA"/>
        </w:rPr>
      </w:pPr>
      <w:r>
        <w:rPr>
          <w:rFonts w:hint="eastAsia" w:ascii="仿宋" w:hAnsi="仿宋" w:eastAsia="仿宋" w:cs="仿宋"/>
          <w:b/>
          <w:bCs/>
          <w:sz w:val="21"/>
          <w:szCs w:val="21"/>
          <w:highlight w:val="none"/>
          <w:lang w:val="en-US" w:eastAsia="zh-CN" w:bidi="ar-SA"/>
        </w:rPr>
        <w:t>27. 中标通知</w:t>
      </w:r>
      <w:bookmarkEnd w:id="634"/>
      <w:bookmarkEnd w:id="635"/>
      <w:r>
        <w:rPr>
          <w:rFonts w:hint="eastAsia" w:ascii="仿宋" w:hAnsi="仿宋" w:eastAsia="仿宋" w:cs="仿宋"/>
          <w:b/>
          <w:bCs/>
          <w:sz w:val="21"/>
          <w:szCs w:val="21"/>
          <w:highlight w:val="none"/>
          <w:lang w:val="en-US" w:eastAsia="zh-CN" w:bidi="ar-SA"/>
        </w:rPr>
        <w:t>书</w:t>
      </w:r>
      <w:bookmarkEnd w:id="636"/>
      <w:bookmarkEnd w:id="637"/>
    </w:p>
    <w:p>
      <w:pPr>
        <w:tabs>
          <w:tab w:val="left" w:pos="7665"/>
        </w:tabs>
        <w:spacing w:line="400" w:lineRule="exact"/>
        <w:ind w:firstLine="420" w:firstLineChars="20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27.1 中标通知书为签订政府采购合同的依据之一，是合同的有效组成部分。</w:t>
      </w:r>
    </w:p>
    <w:p>
      <w:pPr>
        <w:tabs>
          <w:tab w:val="left" w:pos="7665"/>
        </w:tabs>
        <w:spacing w:line="400" w:lineRule="exact"/>
        <w:ind w:firstLine="48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jc w:val="left"/>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snapToGrid w:val="0"/>
        <w:spacing w:before="240" w:beforeLines="100" w:line="400" w:lineRule="exact"/>
        <w:ind w:firstLine="420" w:firstLineChars="200"/>
        <w:jc w:val="left"/>
        <w:outlineLvl w:val="1"/>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bidi="ar-SA"/>
        </w:rPr>
        <w:t>27.4中标公告发出后，中标供应商自行领取中标通知书的，可凭有效身份证明证件到采购代理机构办理。（详见须知附表中联系方式）</w:t>
      </w:r>
    </w:p>
    <w:p>
      <w:pPr>
        <w:snapToGrid w:val="0"/>
        <w:spacing w:before="240" w:beforeLines="100" w:line="400" w:lineRule="exact"/>
        <w:jc w:val="center"/>
        <w:outlineLvl w:val="1"/>
        <w:rPr>
          <w:rFonts w:hint="eastAsia" w:ascii="仿宋" w:hAnsi="仿宋" w:eastAsia="仿宋" w:cs="仿宋"/>
          <w:b/>
          <w:sz w:val="30"/>
          <w:szCs w:val="30"/>
          <w:highlight w:val="none"/>
        </w:rPr>
      </w:pPr>
      <w:r>
        <w:rPr>
          <w:rFonts w:hint="eastAsia" w:ascii="仿宋" w:hAnsi="仿宋" w:eastAsia="仿宋" w:cs="仿宋"/>
          <w:b/>
          <w:sz w:val="30"/>
          <w:szCs w:val="30"/>
          <w:highlight w:val="none"/>
        </w:rPr>
        <w:t>六、签订及履行合同和验收</w:t>
      </w:r>
      <w:bookmarkEnd w:id="620"/>
      <w:bookmarkEnd w:id="621"/>
      <w:bookmarkEnd w:id="622"/>
      <w:bookmarkEnd w:id="623"/>
      <w:bookmarkEnd w:id="624"/>
      <w:bookmarkEnd w:id="625"/>
      <w:bookmarkEnd w:id="626"/>
      <w:bookmarkEnd w:id="627"/>
      <w:bookmarkEnd w:id="628"/>
      <w:bookmarkEnd w:id="629"/>
      <w:bookmarkEnd w:id="630"/>
      <w:bookmarkEnd w:id="631"/>
    </w:p>
    <w:p>
      <w:pPr>
        <w:snapToGrid w:val="0"/>
        <w:spacing w:line="400" w:lineRule="exact"/>
        <w:ind w:firstLine="422" w:firstLineChars="200"/>
        <w:outlineLvl w:val="2"/>
        <w:rPr>
          <w:rFonts w:hint="eastAsia" w:ascii="仿宋" w:hAnsi="仿宋" w:eastAsia="仿宋" w:cs="仿宋"/>
          <w:b/>
          <w:sz w:val="21"/>
          <w:szCs w:val="21"/>
          <w:highlight w:val="none"/>
        </w:rPr>
      </w:pPr>
      <w:bookmarkStart w:id="638" w:name="_Toc12383"/>
      <w:bookmarkStart w:id="639" w:name="_Toc18189"/>
      <w:bookmarkStart w:id="640" w:name="_Toc16934"/>
      <w:bookmarkStart w:id="641" w:name="_Toc9892"/>
      <w:bookmarkStart w:id="642" w:name="_Toc2262"/>
      <w:bookmarkStart w:id="643" w:name="_Toc19918"/>
      <w:bookmarkStart w:id="644" w:name="_Toc12817"/>
      <w:bookmarkStart w:id="645" w:name="_Toc21558"/>
      <w:bookmarkStart w:id="646" w:name="_Toc23091"/>
      <w:bookmarkStart w:id="647" w:name="_Toc10392"/>
      <w:bookmarkStart w:id="648" w:name="_Toc23272"/>
      <w:bookmarkStart w:id="649" w:name="_Toc3364"/>
      <w:bookmarkStart w:id="650" w:name="_Toc606"/>
      <w:bookmarkStart w:id="651" w:name="_Toc14630"/>
      <w:bookmarkStart w:id="652" w:name="_Toc16033"/>
      <w:bookmarkStart w:id="653" w:name="_Toc23167"/>
      <w:r>
        <w:rPr>
          <w:rFonts w:hint="eastAsia" w:ascii="仿宋" w:hAnsi="仿宋" w:eastAsia="仿宋" w:cs="仿宋"/>
          <w:b/>
          <w:sz w:val="21"/>
          <w:szCs w:val="21"/>
          <w:highlight w:val="none"/>
          <w:lang w:val="en-US" w:eastAsia="zh-CN"/>
        </w:rPr>
        <w:t>28</w:t>
      </w:r>
      <w:r>
        <w:rPr>
          <w:rFonts w:hint="eastAsia" w:ascii="仿宋" w:hAnsi="仿宋" w:eastAsia="仿宋" w:cs="仿宋"/>
          <w:b/>
          <w:sz w:val="21"/>
          <w:szCs w:val="21"/>
          <w:highlight w:val="none"/>
        </w:rPr>
        <w:t>.签订合同</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28</w:t>
      </w:r>
      <w:r>
        <w:rPr>
          <w:rFonts w:hint="eastAsia" w:ascii="仿宋" w:hAnsi="仿宋" w:eastAsia="仿宋" w:cs="仿宋"/>
          <w:sz w:val="21"/>
          <w:szCs w:val="21"/>
          <w:highlight w:val="none"/>
        </w:rPr>
        <w:t>.1中标人应在中标通知书发出之日起三十日内与采购人签订采购合同。由于中标人的原因逾期未与采购人签订采购合同的，将视为放弃中标，取消其中标资格并将按相关规定进行处理。</w:t>
      </w:r>
    </w:p>
    <w:p>
      <w:pPr>
        <w:tabs>
          <w:tab w:val="left" w:pos="1022"/>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rPr>
        <w:t>.2采购人不得向中标人提出任何不合理的要求，作为签订合同的条件，不得与中标人私下订立背离合同实质性内容的任何协议，所签订的合同不得对招标文件和中标人投标文件确定的事项进行修改。</w:t>
      </w:r>
    </w:p>
    <w:p>
      <w:pPr>
        <w:tabs>
          <w:tab w:val="left" w:pos="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rPr>
        <w:t>.3中标人因不可抗力原因不能履行采购合同或放弃中标的，采购人可以与排在中标人</w:t>
      </w:r>
      <w:bookmarkStart w:id="654" w:name="page21"/>
      <w:bookmarkEnd w:id="654"/>
      <w:r>
        <w:rPr>
          <w:rFonts w:hint="eastAsia" w:ascii="仿宋" w:hAnsi="仿宋" w:eastAsia="仿宋" w:cs="仿宋"/>
          <w:sz w:val="21"/>
          <w:szCs w:val="21"/>
          <w:highlight w:val="none"/>
        </w:rPr>
        <w:t>之后第一位的中标候选人签订采购合同，以此类推。</w:t>
      </w:r>
    </w:p>
    <w:p>
      <w:pPr>
        <w:snapToGrid w:val="0"/>
        <w:spacing w:line="400" w:lineRule="exact"/>
        <w:ind w:firstLine="422" w:firstLineChars="200"/>
        <w:outlineLvl w:val="2"/>
        <w:rPr>
          <w:rFonts w:hint="eastAsia" w:ascii="仿宋" w:hAnsi="仿宋" w:eastAsia="仿宋" w:cs="仿宋"/>
          <w:b/>
          <w:sz w:val="21"/>
          <w:szCs w:val="21"/>
          <w:highlight w:val="none"/>
        </w:rPr>
      </w:pPr>
      <w:bookmarkStart w:id="655" w:name="_Toc1744"/>
      <w:bookmarkStart w:id="656" w:name="_Toc8851"/>
      <w:bookmarkStart w:id="657" w:name="_Toc22095"/>
      <w:bookmarkStart w:id="658" w:name="_Toc25861"/>
      <w:bookmarkStart w:id="659" w:name="_Toc1797"/>
      <w:bookmarkStart w:id="660" w:name="_Toc20902"/>
      <w:bookmarkStart w:id="661" w:name="_Toc214"/>
      <w:bookmarkStart w:id="662" w:name="_Toc24473"/>
      <w:bookmarkStart w:id="663" w:name="_Toc13287"/>
      <w:bookmarkStart w:id="664" w:name="_Toc5196"/>
      <w:bookmarkStart w:id="665" w:name="_Toc4649"/>
      <w:bookmarkStart w:id="666" w:name="_Toc12362"/>
      <w:bookmarkStart w:id="667" w:name="_Toc15003"/>
      <w:bookmarkStart w:id="668" w:name="_Toc1755"/>
      <w:bookmarkStart w:id="669" w:name="_Toc15132"/>
      <w:bookmarkStart w:id="670" w:name="_Toc24903"/>
      <w:r>
        <w:rPr>
          <w:rFonts w:hint="eastAsia" w:ascii="仿宋" w:hAnsi="仿宋" w:eastAsia="仿宋" w:cs="仿宋"/>
          <w:b/>
          <w:sz w:val="21"/>
          <w:szCs w:val="21"/>
          <w:highlight w:val="none"/>
        </w:rPr>
        <w:t>2</w:t>
      </w:r>
      <w:r>
        <w:rPr>
          <w:rFonts w:hint="eastAsia" w:ascii="仿宋" w:hAnsi="仿宋" w:eastAsia="仿宋" w:cs="仿宋"/>
          <w:b/>
          <w:sz w:val="21"/>
          <w:szCs w:val="21"/>
          <w:highlight w:val="none"/>
          <w:lang w:val="en-US" w:eastAsia="zh-CN"/>
        </w:rPr>
        <w:t>9</w:t>
      </w:r>
      <w:r>
        <w:rPr>
          <w:rFonts w:hint="eastAsia" w:ascii="仿宋" w:hAnsi="仿宋" w:eastAsia="仿宋" w:cs="仿宋"/>
          <w:b/>
          <w:sz w:val="21"/>
          <w:szCs w:val="21"/>
          <w:highlight w:val="none"/>
        </w:rPr>
        <w:t>.合同分包(实质性要求)</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w:t>
      </w:r>
      <w:r>
        <w:rPr>
          <w:rFonts w:hint="eastAsia" w:ascii="仿宋" w:hAnsi="仿宋" w:eastAsia="仿宋" w:cs="仿宋"/>
          <w:sz w:val="21"/>
          <w:szCs w:val="21"/>
          <w:highlight w:val="none"/>
          <w:lang w:val="en-US" w:eastAsia="zh-CN"/>
        </w:rPr>
        <w:t>9</w:t>
      </w:r>
      <w:r>
        <w:rPr>
          <w:rFonts w:hint="eastAsia" w:ascii="仿宋" w:hAnsi="仿宋" w:eastAsia="仿宋" w:cs="仿宋"/>
          <w:sz w:val="21"/>
          <w:szCs w:val="21"/>
          <w:highlight w:val="none"/>
        </w:rPr>
        <w:t>.1经采购人书面同意，中标人可以依法采取分包方式履行合同。</w:t>
      </w:r>
    </w:p>
    <w:p>
      <w:pPr>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w:t>
      </w:r>
      <w:r>
        <w:rPr>
          <w:rFonts w:hint="eastAsia" w:ascii="仿宋" w:hAnsi="仿宋" w:eastAsia="仿宋" w:cs="仿宋"/>
          <w:sz w:val="21"/>
          <w:szCs w:val="21"/>
          <w:highlight w:val="none"/>
          <w:lang w:val="en-US" w:eastAsia="zh-CN"/>
        </w:rPr>
        <w:t>9</w:t>
      </w:r>
      <w:r>
        <w:rPr>
          <w:rFonts w:hint="eastAsia" w:ascii="仿宋" w:hAnsi="仿宋" w:eastAsia="仿宋" w:cs="仿宋"/>
          <w:sz w:val="21"/>
          <w:szCs w:val="21"/>
          <w:highlight w:val="none"/>
        </w:rPr>
        <w:t>.2投标人应根据招标文件规定的允许分包的内容和采购项目的实际情况，拟在中标后将中标项目的非主体、非关键性工作分包的，应当在投标文件中载明分包承担主体，分包承担主体应当具备相应资质条件且不得再次分包。</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rPr>
        <w:t>.3中小企业依据《政府采购促进中小企业发展管理办法》的通知财库〔2020〕46号、四川省财政厅 四川省经济和信息化委员会中国人民银行成都分行关于印发《四川省政府采购促进中小企业发展的若干规定》(川财采〔2016〕35 号)规定的政策获取政府采购合同后，小型、微型企业不得分包或转包给大型、中型企业，中型企业不得分包或转包给大型企业。</w:t>
      </w:r>
    </w:p>
    <w:p>
      <w:pPr>
        <w:snapToGrid w:val="0"/>
        <w:spacing w:line="400" w:lineRule="exact"/>
        <w:ind w:firstLine="422" w:firstLineChars="200"/>
        <w:outlineLvl w:val="2"/>
        <w:rPr>
          <w:rFonts w:hint="eastAsia" w:ascii="仿宋" w:hAnsi="仿宋" w:eastAsia="仿宋" w:cs="仿宋"/>
          <w:b/>
          <w:sz w:val="21"/>
          <w:szCs w:val="21"/>
          <w:highlight w:val="none"/>
        </w:rPr>
      </w:pPr>
      <w:bookmarkStart w:id="671" w:name="_Toc11747"/>
      <w:bookmarkStart w:id="672" w:name="_Toc31340"/>
      <w:bookmarkStart w:id="673" w:name="_Toc30778"/>
      <w:bookmarkStart w:id="674" w:name="_Toc17496"/>
      <w:bookmarkStart w:id="675" w:name="_Toc21298"/>
      <w:bookmarkStart w:id="676" w:name="_Toc17473"/>
      <w:bookmarkStart w:id="677" w:name="_Toc18620"/>
      <w:bookmarkStart w:id="678" w:name="_Toc18094"/>
      <w:bookmarkStart w:id="679" w:name="_Toc22145"/>
      <w:bookmarkStart w:id="680" w:name="_Toc4751"/>
      <w:bookmarkStart w:id="681" w:name="_Toc29819"/>
      <w:bookmarkStart w:id="682" w:name="_Toc16463"/>
      <w:bookmarkStart w:id="683" w:name="_Toc3108"/>
      <w:bookmarkStart w:id="684" w:name="_Toc6773"/>
      <w:bookmarkStart w:id="685" w:name="_Toc5440"/>
      <w:bookmarkStart w:id="686" w:name="_Toc13127"/>
      <w:r>
        <w:rPr>
          <w:rFonts w:hint="eastAsia" w:ascii="仿宋" w:hAnsi="仿宋" w:eastAsia="仿宋" w:cs="仿宋"/>
          <w:b/>
          <w:sz w:val="21"/>
          <w:szCs w:val="21"/>
          <w:highlight w:val="none"/>
          <w:lang w:val="en-US" w:eastAsia="zh-CN"/>
        </w:rPr>
        <w:t>30</w:t>
      </w:r>
      <w:r>
        <w:rPr>
          <w:rFonts w:hint="eastAsia" w:ascii="仿宋" w:hAnsi="仿宋" w:eastAsia="仿宋" w:cs="仿宋"/>
          <w:b/>
          <w:sz w:val="21"/>
          <w:szCs w:val="21"/>
          <w:highlight w:val="none"/>
        </w:rPr>
        <w:t>.合同转包(实质性要求)</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pPr>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中标人转包的，视同拒绝履行政府采购合同义务，将依法追究法律责任。</w:t>
      </w:r>
    </w:p>
    <w:p>
      <w:pPr>
        <w:snapToGrid w:val="0"/>
        <w:spacing w:line="400" w:lineRule="exact"/>
        <w:ind w:left="480"/>
        <w:outlineLvl w:val="2"/>
        <w:rPr>
          <w:rFonts w:hint="eastAsia" w:ascii="仿宋" w:hAnsi="仿宋" w:eastAsia="仿宋" w:cs="仿宋"/>
          <w:b/>
          <w:sz w:val="21"/>
          <w:szCs w:val="21"/>
          <w:highlight w:val="none"/>
        </w:rPr>
      </w:pPr>
      <w:bookmarkStart w:id="687" w:name="_Toc20478"/>
      <w:bookmarkStart w:id="688" w:name="_Toc5876"/>
      <w:bookmarkStart w:id="689" w:name="_Toc4417"/>
      <w:bookmarkStart w:id="690" w:name="_Toc16080"/>
      <w:bookmarkStart w:id="691" w:name="_Toc29714"/>
      <w:bookmarkStart w:id="692" w:name="_Toc32374"/>
      <w:bookmarkStart w:id="693" w:name="_Toc11038"/>
      <w:bookmarkStart w:id="694" w:name="_Toc9665"/>
      <w:bookmarkStart w:id="695" w:name="_Toc2374"/>
      <w:bookmarkStart w:id="696" w:name="_Toc30409"/>
      <w:bookmarkStart w:id="697" w:name="_Toc3031"/>
      <w:bookmarkStart w:id="698" w:name="_Toc5162"/>
      <w:bookmarkStart w:id="699" w:name="_Toc28237"/>
      <w:bookmarkStart w:id="700" w:name="_Toc1984"/>
      <w:bookmarkStart w:id="701" w:name="_Toc3726"/>
      <w:bookmarkStart w:id="702" w:name="_Toc8483"/>
      <w:r>
        <w:rPr>
          <w:rFonts w:hint="eastAsia" w:ascii="仿宋" w:hAnsi="仿宋" w:eastAsia="仿宋" w:cs="仿宋"/>
          <w:b/>
          <w:sz w:val="21"/>
          <w:szCs w:val="21"/>
          <w:highlight w:val="none"/>
          <w:lang w:val="en-US" w:eastAsia="zh-CN"/>
        </w:rPr>
        <w:t>31</w:t>
      </w:r>
      <w:r>
        <w:rPr>
          <w:rFonts w:hint="eastAsia" w:ascii="仿宋" w:hAnsi="仿宋" w:eastAsia="仿宋" w:cs="仿宋"/>
          <w:b/>
          <w:sz w:val="21"/>
          <w:szCs w:val="21"/>
          <w:highlight w:val="none"/>
        </w:rPr>
        <w:t>.补充合同</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pPr>
        <w:snapToGrid w:val="0"/>
        <w:spacing w:line="400" w:lineRule="exact"/>
        <w:ind w:right="120" w:firstLine="494"/>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采购合同履行过程中，采购人需要追加与合同标的相同的货物或者服务的，在不改变合同其他条款的前提下，可以与中标</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p>
      <w:pPr>
        <w:snapToGrid w:val="0"/>
        <w:spacing w:line="400" w:lineRule="exact"/>
        <w:ind w:firstLine="422" w:firstLineChars="200"/>
        <w:outlineLvl w:val="2"/>
        <w:rPr>
          <w:rFonts w:hint="eastAsia" w:ascii="仿宋" w:hAnsi="仿宋" w:eastAsia="仿宋" w:cs="仿宋"/>
          <w:b/>
          <w:sz w:val="21"/>
          <w:szCs w:val="21"/>
          <w:highlight w:val="none"/>
        </w:rPr>
      </w:pPr>
      <w:bookmarkStart w:id="703" w:name="_Toc6130"/>
      <w:bookmarkStart w:id="704" w:name="_Toc12858"/>
      <w:bookmarkStart w:id="705" w:name="_Toc423"/>
      <w:bookmarkStart w:id="706" w:name="_Toc2011"/>
      <w:bookmarkStart w:id="707" w:name="_Toc26840"/>
      <w:bookmarkStart w:id="708" w:name="_Toc11394"/>
      <w:bookmarkStart w:id="709" w:name="_Toc12334"/>
      <w:bookmarkStart w:id="710" w:name="_Toc31763"/>
      <w:bookmarkStart w:id="711" w:name="_Toc28413"/>
      <w:bookmarkStart w:id="712" w:name="_Toc6603"/>
      <w:bookmarkStart w:id="713" w:name="_Toc4819"/>
      <w:bookmarkStart w:id="714" w:name="_Toc26136"/>
      <w:bookmarkStart w:id="715" w:name="_Toc1898"/>
      <w:bookmarkStart w:id="716" w:name="_Toc12653"/>
      <w:bookmarkStart w:id="717" w:name="_Toc22406"/>
      <w:bookmarkStart w:id="718" w:name="_Toc30085"/>
      <w:r>
        <w:rPr>
          <w:rFonts w:hint="eastAsia" w:ascii="仿宋" w:hAnsi="仿宋" w:eastAsia="仿宋" w:cs="仿宋"/>
          <w:b/>
          <w:sz w:val="21"/>
          <w:szCs w:val="21"/>
          <w:highlight w:val="none"/>
        </w:rPr>
        <w:t>3</w:t>
      </w:r>
      <w:r>
        <w:rPr>
          <w:rFonts w:hint="eastAsia" w:ascii="仿宋" w:hAnsi="仿宋" w:eastAsia="仿宋" w:cs="仿宋"/>
          <w:b/>
          <w:sz w:val="21"/>
          <w:szCs w:val="21"/>
          <w:highlight w:val="none"/>
          <w:lang w:val="en-US" w:eastAsia="zh-CN"/>
        </w:rPr>
        <w:t>2</w:t>
      </w:r>
      <w:r>
        <w:rPr>
          <w:rFonts w:hint="eastAsia" w:ascii="仿宋" w:hAnsi="仿宋" w:eastAsia="仿宋" w:cs="仿宋"/>
          <w:b/>
          <w:sz w:val="21"/>
          <w:szCs w:val="21"/>
          <w:highlight w:val="none"/>
        </w:rPr>
        <w:t>.履约保证金</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pPr>
        <w:snapToGrid w:val="0"/>
        <w:spacing w:line="400" w:lineRule="exact"/>
        <w:ind w:firstLine="420" w:firstLineChars="200"/>
        <w:jc w:val="both"/>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3</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.1</w:t>
      </w:r>
      <w:r>
        <w:rPr>
          <w:rFonts w:hint="eastAsia" w:ascii="仿宋" w:hAnsi="仿宋" w:eastAsia="仿宋" w:cs="仿宋"/>
          <w:sz w:val="21"/>
          <w:szCs w:val="21"/>
          <w:highlight w:val="none"/>
          <w:lang w:eastAsia="zh-CN"/>
        </w:rPr>
        <w:t>本项目不收取履约保证金。</w:t>
      </w:r>
    </w:p>
    <w:p>
      <w:pPr>
        <w:snapToGrid w:val="0"/>
        <w:spacing w:line="400" w:lineRule="exact"/>
        <w:ind w:right="120" w:firstLine="494"/>
        <w:jc w:val="both"/>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3</w:t>
      </w:r>
      <w:r>
        <w:rPr>
          <w:rFonts w:hint="eastAsia" w:ascii="仿宋" w:hAnsi="仿宋" w:eastAsia="仿宋" w:cs="仿宋"/>
          <w:b/>
          <w:bCs/>
          <w:sz w:val="21"/>
          <w:szCs w:val="21"/>
          <w:highlight w:val="none"/>
          <w:lang w:val="en-US" w:eastAsia="zh-CN"/>
        </w:rPr>
        <w:t>3</w:t>
      </w:r>
      <w:r>
        <w:rPr>
          <w:rFonts w:hint="eastAsia" w:ascii="仿宋" w:hAnsi="仿宋" w:eastAsia="仿宋" w:cs="仿宋"/>
          <w:b/>
          <w:bCs/>
          <w:sz w:val="21"/>
          <w:szCs w:val="21"/>
          <w:highlight w:val="none"/>
        </w:rPr>
        <w:t>.合同公告</w:t>
      </w:r>
    </w:p>
    <w:p>
      <w:pPr>
        <w:snapToGrid w:val="0"/>
        <w:spacing w:line="400" w:lineRule="exact"/>
        <w:ind w:firstLine="420" w:firstLineChars="200"/>
        <w:outlineLvl w:val="2"/>
        <w:rPr>
          <w:rFonts w:hint="eastAsia" w:ascii="仿宋" w:hAnsi="仿宋" w:eastAsia="仿宋" w:cs="仿宋"/>
          <w:b w:val="0"/>
          <w:bCs/>
          <w:sz w:val="21"/>
          <w:szCs w:val="21"/>
          <w:highlight w:val="none"/>
        </w:rPr>
      </w:pPr>
      <w:bookmarkStart w:id="719" w:name="_Toc15071"/>
      <w:bookmarkStart w:id="720" w:name="_Toc20983"/>
      <w:bookmarkStart w:id="721" w:name="_Toc31548"/>
      <w:bookmarkStart w:id="722" w:name="_Toc28668"/>
      <w:bookmarkStart w:id="723" w:name="_Toc21498"/>
      <w:bookmarkStart w:id="724" w:name="_Toc15597"/>
      <w:bookmarkStart w:id="725" w:name="_Toc13530"/>
      <w:bookmarkStart w:id="726" w:name="_Toc29155"/>
      <w:bookmarkStart w:id="727" w:name="_Toc32743"/>
      <w:bookmarkStart w:id="728" w:name="_Toc20060"/>
      <w:bookmarkStart w:id="729" w:name="_Toc31917"/>
      <w:bookmarkStart w:id="730" w:name="_Toc25647"/>
      <w:bookmarkStart w:id="731" w:name="_Toc13080"/>
      <w:bookmarkStart w:id="732" w:name="_Toc11952"/>
      <w:bookmarkStart w:id="733" w:name="_Toc12794"/>
      <w:bookmarkStart w:id="734" w:name="_Toc19747"/>
      <w:r>
        <w:rPr>
          <w:rFonts w:hint="eastAsia" w:ascii="仿宋" w:hAnsi="仿宋" w:eastAsia="仿宋" w:cs="仿宋"/>
          <w:b w:val="0"/>
          <w:bCs/>
          <w:sz w:val="21"/>
          <w:szCs w:val="21"/>
          <w:highlight w:val="none"/>
        </w:rPr>
        <w:t>采购人应当自政府采购合同签订之日起2个工作日内，将政府采购合同在省级以上人民政府财政部门指定的媒体上公告（四川政府采购网），但政府采购合同中涉及国家秘密、商业秘密的内容除外。</w:t>
      </w:r>
      <w:bookmarkEnd w:id="719"/>
    </w:p>
    <w:p>
      <w:pPr>
        <w:snapToGrid w:val="0"/>
        <w:spacing w:line="400" w:lineRule="exact"/>
        <w:ind w:firstLine="422" w:firstLineChars="200"/>
        <w:outlineLvl w:val="2"/>
        <w:rPr>
          <w:rFonts w:hint="eastAsia" w:ascii="仿宋" w:hAnsi="仿宋" w:eastAsia="仿宋" w:cs="仿宋"/>
          <w:b/>
          <w:sz w:val="21"/>
          <w:szCs w:val="21"/>
          <w:highlight w:val="none"/>
        </w:rPr>
      </w:pPr>
      <w:bookmarkStart w:id="735" w:name="_Toc458"/>
      <w:r>
        <w:rPr>
          <w:rFonts w:hint="eastAsia" w:ascii="仿宋" w:hAnsi="仿宋" w:eastAsia="仿宋" w:cs="仿宋"/>
          <w:b/>
          <w:sz w:val="21"/>
          <w:szCs w:val="21"/>
          <w:highlight w:val="none"/>
        </w:rPr>
        <w:t>3</w:t>
      </w:r>
      <w:r>
        <w:rPr>
          <w:rFonts w:hint="eastAsia" w:ascii="仿宋" w:hAnsi="仿宋" w:eastAsia="仿宋" w:cs="仿宋"/>
          <w:b/>
          <w:sz w:val="21"/>
          <w:szCs w:val="21"/>
          <w:highlight w:val="none"/>
          <w:lang w:val="en-US" w:eastAsia="zh-CN"/>
        </w:rPr>
        <w:t>4</w:t>
      </w:r>
      <w:r>
        <w:rPr>
          <w:rFonts w:hint="eastAsia" w:ascii="仿宋" w:hAnsi="仿宋" w:eastAsia="仿宋" w:cs="仿宋"/>
          <w:b/>
          <w:sz w:val="21"/>
          <w:szCs w:val="21"/>
          <w:highlight w:val="none"/>
        </w:rPr>
        <w:t>.合同备案</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pPr>
        <w:snapToGrid w:val="0"/>
        <w:spacing w:line="400" w:lineRule="exact"/>
        <w:ind w:left="0" w:firstLine="420" w:firstLineChars="200"/>
        <w:outlineLvl w:val="2"/>
        <w:rPr>
          <w:rFonts w:hint="eastAsia" w:ascii="仿宋" w:hAnsi="仿宋" w:eastAsia="仿宋" w:cs="仿宋"/>
          <w:b w:val="0"/>
          <w:bCs/>
          <w:sz w:val="21"/>
          <w:szCs w:val="21"/>
          <w:highlight w:val="none"/>
        </w:rPr>
      </w:pPr>
      <w:bookmarkStart w:id="736" w:name="_Toc6693"/>
      <w:bookmarkStart w:id="737" w:name="_Toc32052"/>
      <w:bookmarkStart w:id="738" w:name="_Toc5730"/>
      <w:bookmarkStart w:id="739" w:name="_Toc11835"/>
      <w:bookmarkStart w:id="740" w:name="_Toc32107"/>
      <w:bookmarkStart w:id="741" w:name="_Toc20170"/>
      <w:bookmarkStart w:id="742" w:name="_Toc14312"/>
      <w:bookmarkStart w:id="743" w:name="_Toc23729"/>
      <w:bookmarkStart w:id="744" w:name="_Toc2969"/>
      <w:bookmarkStart w:id="745" w:name="_Toc31667"/>
      <w:bookmarkStart w:id="746" w:name="_Toc3839"/>
      <w:bookmarkStart w:id="747" w:name="_Toc5430"/>
      <w:bookmarkStart w:id="748" w:name="_Toc9977"/>
      <w:bookmarkStart w:id="749" w:name="_Toc16491"/>
      <w:bookmarkStart w:id="750" w:name="_Toc30794"/>
      <w:bookmarkStart w:id="751" w:name="_Toc26226"/>
      <w:r>
        <w:rPr>
          <w:rFonts w:hint="eastAsia" w:ascii="仿宋" w:hAnsi="仿宋" w:eastAsia="仿宋" w:cs="仿宋"/>
          <w:b w:val="0"/>
          <w:bCs/>
          <w:sz w:val="21"/>
          <w:szCs w:val="21"/>
          <w:highlight w:val="none"/>
        </w:rPr>
        <w:t>采购人应当将政府采购合同副本自签订之日起七个工作日内通过政采云平台报同级财政部门备案。</w:t>
      </w:r>
      <w:bookmarkEnd w:id="736"/>
    </w:p>
    <w:p>
      <w:pPr>
        <w:snapToGrid w:val="0"/>
        <w:spacing w:line="400" w:lineRule="exact"/>
        <w:ind w:left="480"/>
        <w:outlineLvl w:val="2"/>
        <w:rPr>
          <w:rFonts w:hint="eastAsia" w:ascii="仿宋" w:hAnsi="仿宋" w:eastAsia="仿宋" w:cs="仿宋"/>
          <w:b/>
          <w:sz w:val="21"/>
          <w:szCs w:val="21"/>
          <w:highlight w:val="none"/>
        </w:rPr>
      </w:pPr>
      <w:bookmarkStart w:id="752" w:name="_Toc21807"/>
      <w:r>
        <w:rPr>
          <w:rFonts w:hint="eastAsia" w:ascii="仿宋" w:hAnsi="仿宋" w:eastAsia="仿宋" w:cs="仿宋"/>
          <w:b/>
          <w:sz w:val="21"/>
          <w:szCs w:val="21"/>
          <w:highlight w:val="none"/>
        </w:rPr>
        <w:t>3</w:t>
      </w:r>
      <w:r>
        <w:rPr>
          <w:rFonts w:hint="eastAsia" w:ascii="仿宋" w:hAnsi="仿宋" w:eastAsia="仿宋" w:cs="仿宋"/>
          <w:b/>
          <w:sz w:val="21"/>
          <w:szCs w:val="21"/>
          <w:highlight w:val="none"/>
          <w:lang w:val="en-US" w:eastAsia="zh-CN"/>
        </w:rPr>
        <w:t>5</w:t>
      </w:r>
      <w:r>
        <w:rPr>
          <w:rFonts w:hint="eastAsia" w:ascii="仿宋" w:hAnsi="仿宋" w:eastAsia="仿宋" w:cs="仿宋"/>
          <w:b/>
          <w:sz w:val="21"/>
          <w:szCs w:val="21"/>
          <w:highlight w:val="none"/>
        </w:rPr>
        <w:t>.履行合同</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pPr>
        <w:tabs>
          <w:tab w:val="left" w:pos="108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3</w:t>
      </w:r>
      <w:r>
        <w:rPr>
          <w:rFonts w:hint="eastAsia" w:ascii="仿宋" w:hAnsi="仿宋" w:eastAsia="仿宋" w:cs="仿宋"/>
          <w:sz w:val="21"/>
          <w:szCs w:val="21"/>
          <w:highlight w:val="none"/>
          <w:lang w:val="en-US" w:eastAsia="zh-CN"/>
        </w:rPr>
        <w:t>5</w:t>
      </w:r>
      <w:r>
        <w:rPr>
          <w:rFonts w:hint="eastAsia" w:ascii="仿宋" w:hAnsi="仿宋" w:eastAsia="仿宋" w:cs="仿宋"/>
          <w:sz w:val="21"/>
          <w:szCs w:val="21"/>
          <w:highlight w:val="none"/>
        </w:rPr>
        <w:t>.1中标人与采购人签订合同后，合同双方应严格执行合同条款，履行合同规定的义务，保证合同的顺利完成。</w:t>
      </w:r>
    </w:p>
    <w:p>
      <w:pPr>
        <w:tabs>
          <w:tab w:val="left" w:pos="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3</w:t>
      </w:r>
      <w:r>
        <w:rPr>
          <w:rFonts w:hint="eastAsia" w:ascii="仿宋" w:hAnsi="仿宋" w:eastAsia="仿宋" w:cs="仿宋"/>
          <w:sz w:val="21"/>
          <w:szCs w:val="21"/>
          <w:highlight w:val="none"/>
          <w:lang w:val="en-US" w:eastAsia="zh-CN"/>
        </w:rPr>
        <w:t>5</w:t>
      </w:r>
      <w:r>
        <w:rPr>
          <w:rFonts w:hint="eastAsia" w:ascii="仿宋" w:hAnsi="仿宋" w:eastAsia="仿宋" w:cs="仿宋"/>
          <w:sz w:val="21"/>
          <w:szCs w:val="21"/>
          <w:highlight w:val="none"/>
        </w:rPr>
        <w:t>.2在合同履行过程中，如发生合同纠纷，合同双方应按照《</w:t>
      </w:r>
      <w:r>
        <w:rPr>
          <w:rFonts w:hint="eastAsia" w:ascii="仿宋" w:hAnsi="仿宋" w:eastAsia="仿宋" w:cs="仿宋"/>
          <w:sz w:val="21"/>
          <w:szCs w:val="21"/>
          <w:highlight w:val="none"/>
          <w:lang w:eastAsia="zh-CN"/>
        </w:rPr>
        <w:t>中华人民共和国</w:t>
      </w:r>
      <w:r>
        <w:rPr>
          <w:rFonts w:hint="eastAsia" w:ascii="仿宋" w:hAnsi="仿宋" w:eastAsia="仿宋" w:cs="仿宋"/>
          <w:sz w:val="21"/>
          <w:szCs w:val="21"/>
          <w:highlight w:val="none"/>
        </w:rPr>
        <w:t>民法典》的有关规定进行处理。</w:t>
      </w:r>
    </w:p>
    <w:p>
      <w:pPr>
        <w:snapToGrid w:val="0"/>
        <w:spacing w:line="400" w:lineRule="exact"/>
        <w:ind w:left="480"/>
        <w:outlineLvl w:val="2"/>
        <w:rPr>
          <w:rFonts w:hint="eastAsia" w:ascii="仿宋" w:hAnsi="仿宋" w:eastAsia="仿宋" w:cs="仿宋"/>
          <w:b/>
          <w:sz w:val="21"/>
          <w:szCs w:val="21"/>
          <w:highlight w:val="none"/>
        </w:rPr>
      </w:pPr>
      <w:bookmarkStart w:id="753" w:name="_Toc4293"/>
      <w:bookmarkStart w:id="754" w:name="_Toc25636"/>
      <w:bookmarkStart w:id="755" w:name="_Toc392"/>
      <w:bookmarkStart w:id="756" w:name="_Toc24"/>
      <w:bookmarkStart w:id="757" w:name="_Toc30061"/>
      <w:bookmarkStart w:id="758" w:name="_Toc9747"/>
      <w:bookmarkStart w:id="759" w:name="_Toc14604"/>
      <w:bookmarkStart w:id="760" w:name="_Toc3346"/>
      <w:bookmarkStart w:id="761" w:name="_Toc15789"/>
      <w:bookmarkStart w:id="762" w:name="_Toc645"/>
      <w:bookmarkStart w:id="763" w:name="_Toc25438"/>
      <w:bookmarkStart w:id="764" w:name="_Toc9666"/>
      <w:bookmarkStart w:id="765" w:name="_Toc17729"/>
      <w:bookmarkStart w:id="766" w:name="_Toc14118"/>
      <w:bookmarkStart w:id="767" w:name="_Toc30503"/>
      <w:bookmarkStart w:id="768" w:name="_Toc24811"/>
      <w:r>
        <w:rPr>
          <w:rFonts w:hint="eastAsia" w:ascii="仿宋" w:hAnsi="仿宋" w:eastAsia="仿宋" w:cs="仿宋"/>
          <w:b/>
          <w:sz w:val="21"/>
          <w:szCs w:val="21"/>
          <w:highlight w:val="none"/>
        </w:rPr>
        <w:t>3</w:t>
      </w:r>
      <w:r>
        <w:rPr>
          <w:rFonts w:hint="eastAsia" w:ascii="仿宋" w:hAnsi="仿宋" w:eastAsia="仿宋" w:cs="仿宋"/>
          <w:b/>
          <w:sz w:val="21"/>
          <w:szCs w:val="21"/>
          <w:highlight w:val="none"/>
          <w:lang w:val="en-US" w:eastAsia="zh-CN"/>
        </w:rPr>
        <w:t>6</w:t>
      </w:r>
      <w:r>
        <w:rPr>
          <w:rFonts w:hint="eastAsia" w:ascii="仿宋" w:hAnsi="仿宋" w:eastAsia="仿宋" w:cs="仿宋"/>
          <w:b/>
          <w:sz w:val="21"/>
          <w:szCs w:val="21"/>
          <w:highlight w:val="none"/>
        </w:rPr>
        <w:t>.验收</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pPr>
        <w:tabs>
          <w:tab w:val="left" w:pos="1022"/>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3</w:t>
      </w:r>
      <w:r>
        <w:rPr>
          <w:rFonts w:hint="eastAsia" w:ascii="仿宋" w:hAnsi="仿宋" w:eastAsia="仿宋" w:cs="仿宋"/>
          <w:sz w:val="21"/>
          <w:szCs w:val="21"/>
          <w:highlight w:val="none"/>
          <w:lang w:val="en-US" w:eastAsia="zh-CN"/>
        </w:rPr>
        <w:t>6</w:t>
      </w:r>
      <w:r>
        <w:rPr>
          <w:rFonts w:hint="eastAsia" w:ascii="仿宋" w:hAnsi="仿宋" w:eastAsia="仿宋" w:cs="仿宋"/>
          <w:sz w:val="21"/>
          <w:szCs w:val="21"/>
          <w:highlight w:val="none"/>
        </w:rPr>
        <w:t>.1本项目采购人及其委托的采购代理机构将严格按照《财政部关于进一步加强政府采购需求和履约验收管理的指导意见》(财库〔2016〕205 号)的要求进行验收。</w:t>
      </w:r>
    </w:p>
    <w:p>
      <w:pPr>
        <w:tabs>
          <w:tab w:val="left" w:pos="1022"/>
        </w:tabs>
        <w:snapToGrid w:val="0"/>
        <w:spacing w:line="400" w:lineRule="exact"/>
        <w:ind w:firstLine="420" w:firstLineChars="200"/>
        <w:jc w:val="both"/>
        <w:rPr>
          <w:rFonts w:hint="eastAsia" w:ascii="仿宋" w:hAnsi="仿宋" w:eastAsia="仿宋" w:cs="仿宋"/>
          <w:sz w:val="21"/>
          <w:szCs w:val="21"/>
          <w:highlight w:val="none"/>
        </w:rPr>
      </w:pPr>
      <w:bookmarkStart w:id="769" w:name="_Toc29882"/>
      <w:bookmarkStart w:id="770" w:name="_Toc14748"/>
      <w:bookmarkStart w:id="771" w:name="_Toc29324"/>
      <w:bookmarkStart w:id="772" w:name="_Toc21621"/>
      <w:bookmarkStart w:id="773" w:name="_Toc23100"/>
      <w:bookmarkStart w:id="774" w:name="_Toc18924"/>
      <w:bookmarkStart w:id="775" w:name="_Toc23115"/>
      <w:bookmarkStart w:id="776" w:name="_Toc32593"/>
      <w:bookmarkStart w:id="777" w:name="_Toc28287"/>
      <w:bookmarkStart w:id="778" w:name="_Toc13473"/>
      <w:bookmarkStart w:id="779" w:name="_Toc30581"/>
      <w:bookmarkStart w:id="780" w:name="_Toc10548"/>
      <w:bookmarkStart w:id="781" w:name="_Toc13296"/>
      <w:r>
        <w:rPr>
          <w:rFonts w:hint="eastAsia" w:ascii="仿宋" w:hAnsi="仿宋" w:eastAsia="仿宋" w:cs="仿宋"/>
          <w:sz w:val="21"/>
          <w:szCs w:val="21"/>
          <w:highlight w:val="none"/>
        </w:rPr>
        <w:t>3</w:t>
      </w:r>
      <w:r>
        <w:rPr>
          <w:rFonts w:hint="eastAsia" w:ascii="仿宋" w:hAnsi="仿宋" w:eastAsia="仿宋" w:cs="仿宋"/>
          <w:sz w:val="21"/>
          <w:szCs w:val="21"/>
          <w:highlight w:val="none"/>
          <w:lang w:val="en-US" w:eastAsia="zh-CN"/>
        </w:rPr>
        <w:t>6</w:t>
      </w:r>
      <w:r>
        <w:rPr>
          <w:rFonts w:hint="eastAsia" w:ascii="仿宋" w:hAnsi="仿宋" w:eastAsia="仿宋" w:cs="仿宋"/>
          <w:sz w:val="21"/>
          <w:szCs w:val="21"/>
          <w:highlight w:val="none"/>
        </w:rPr>
        <w:t>.2验收结果合格的，中标人凭验收合格证明书至履约保证金收取单位办理履约保证金的退付手续；验收结果不合格的，履约保证金将不予退还，也将不予支付采购资金，同时采购人还将呈报本项目同级财政部门按照政府采购法律法规等有关规定给予处罚。</w:t>
      </w:r>
    </w:p>
    <w:p>
      <w:pPr>
        <w:snapToGrid w:val="0"/>
        <w:spacing w:line="400" w:lineRule="exact"/>
        <w:ind w:firstLine="422" w:firstLineChars="200"/>
        <w:outlineLvl w:val="2"/>
        <w:rPr>
          <w:rFonts w:hint="eastAsia" w:ascii="仿宋" w:hAnsi="仿宋" w:eastAsia="仿宋" w:cs="仿宋"/>
          <w:b/>
          <w:sz w:val="21"/>
          <w:szCs w:val="21"/>
          <w:highlight w:val="none"/>
        </w:rPr>
      </w:pPr>
      <w:bookmarkStart w:id="782" w:name="_Toc17221"/>
      <w:bookmarkStart w:id="783" w:name="_Toc9730"/>
      <w:bookmarkStart w:id="784" w:name="_Toc18317"/>
      <w:r>
        <w:rPr>
          <w:rFonts w:hint="eastAsia" w:ascii="仿宋" w:hAnsi="仿宋" w:eastAsia="仿宋" w:cs="仿宋"/>
          <w:b/>
          <w:sz w:val="21"/>
          <w:szCs w:val="21"/>
          <w:highlight w:val="none"/>
        </w:rPr>
        <w:t>3</w:t>
      </w:r>
      <w:r>
        <w:rPr>
          <w:rFonts w:hint="eastAsia" w:ascii="仿宋" w:hAnsi="仿宋" w:eastAsia="仿宋" w:cs="仿宋"/>
          <w:b/>
          <w:sz w:val="21"/>
          <w:szCs w:val="21"/>
          <w:highlight w:val="none"/>
          <w:lang w:val="en-US" w:eastAsia="zh-CN"/>
        </w:rPr>
        <w:t>7</w:t>
      </w:r>
      <w:r>
        <w:rPr>
          <w:rFonts w:hint="eastAsia" w:ascii="仿宋" w:hAnsi="仿宋" w:eastAsia="仿宋" w:cs="仿宋"/>
          <w:b/>
          <w:sz w:val="21"/>
          <w:szCs w:val="21"/>
          <w:highlight w:val="none"/>
        </w:rPr>
        <w:t>.资金支付方式、时间、条件</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pPr>
        <w:tabs>
          <w:tab w:val="left" w:pos="1020"/>
        </w:tabs>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详见第六章、第八章相关规定。</w:t>
      </w:r>
    </w:p>
    <w:p>
      <w:pPr>
        <w:snapToGrid w:val="0"/>
        <w:spacing w:before="240" w:beforeLines="100" w:line="400" w:lineRule="exact"/>
        <w:jc w:val="center"/>
        <w:outlineLvl w:val="1"/>
        <w:rPr>
          <w:rFonts w:hint="eastAsia" w:ascii="仿宋" w:hAnsi="仿宋" w:eastAsia="仿宋" w:cs="仿宋"/>
          <w:b/>
          <w:sz w:val="30"/>
          <w:szCs w:val="30"/>
          <w:highlight w:val="none"/>
        </w:rPr>
      </w:pPr>
      <w:bookmarkStart w:id="785" w:name="_Toc27282"/>
      <w:bookmarkStart w:id="786" w:name="_Toc4529"/>
      <w:bookmarkStart w:id="787" w:name="_Toc2605"/>
      <w:bookmarkStart w:id="788" w:name="_Toc16963"/>
      <w:bookmarkStart w:id="789" w:name="_Toc9765"/>
      <w:bookmarkStart w:id="790" w:name="_Toc28234"/>
      <w:bookmarkStart w:id="791" w:name="_Toc8450"/>
      <w:bookmarkStart w:id="792" w:name="_Toc15660"/>
      <w:bookmarkStart w:id="793" w:name="_Toc29307"/>
      <w:bookmarkStart w:id="794" w:name="_Toc24801"/>
      <w:bookmarkStart w:id="795" w:name="_Toc5456"/>
      <w:bookmarkStart w:id="796" w:name="_Toc980"/>
      <w:r>
        <w:rPr>
          <w:rFonts w:hint="eastAsia" w:ascii="仿宋" w:hAnsi="仿宋" w:eastAsia="仿宋" w:cs="仿宋"/>
          <w:b/>
          <w:sz w:val="30"/>
          <w:szCs w:val="30"/>
          <w:highlight w:val="none"/>
        </w:rPr>
        <w:t>七、投标纪律要求</w:t>
      </w:r>
      <w:bookmarkEnd w:id="785"/>
      <w:bookmarkEnd w:id="786"/>
      <w:bookmarkEnd w:id="787"/>
      <w:bookmarkEnd w:id="788"/>
      <w:bookmarkEnd w:id="789"/>
      <w:bookmarkEnd w:id="790"/>
      <w:bookmarkEnd w:id="791"/>
      <w:bookmarkEnd w:id="792"/>
      <w:bookmarkEnd w:id="793"/>
      <w:bookmarkEnd w:id="794"/>
      <w:bookmarkEnd w:id="795"/>
      <w:bookmarkEnd w:id="796"/>
    </w:p>
    <w:p>
      <w:pPr>
        <w:snapToGrid w:val="0"/>
        <w:spacing w:line="400" w:lineRule="exact"/>
        <w:ind w:firstLine="422" w:firstLineChars="200"/>
        <w:outlineLvl w:val="2"/>
        <w:rPr>
          <w:rFonts w:hint="default" w:ascii="仿宋" w:hAnsi="仿宋" w:eastAsia="仿宋" w:cs="仿宋"/>
          <w:b/>
          <w:sz w:val="21"/>
          <w:szCs w:val="21"/>
          <w:highlight w:val="none"/>
          <w:lang w:val="en-US" w:eastAsia="zh-CN"/>
        </w:rPr>
      </w:pPr>
      <w:bookmarkStart w:id="797" w:name="_Toc4355"/>
      <w:bookmarkStart w:id="798" w:name="_Toc5753"/>
      <w:bookmarkStart w:id="799" w:name="_Toc14159"/>
      <w:bookmarkStart w:id="800" w:name="_Toc14889"/>
      <w:bookmarkStart w:id="801" w:name="_Toc19973"/>
      <w:bookmarkStart w:id="802" w:name="_Toc19264"/>
      <w:bookmarkStart w:id="803" w:name="_Toc30001"/>
      <w:bookmarkStart w:id="804" w:name="_Toc5504"/>
      <w:bookmarkStart w:id="805" w:name="_Toc45"/>
      <w:bookmarkStart w:id="806" w:name="_Toc20048"/>
      <w:bookmarkStart w:id="807" w:name="_Toc11381"/>
      <w:bookmarkStart w:id="808" w:name="_Toc25711"/>
      <w:bookmarkStart w:id="809" w:name="_Toc19698"/>
      <w:bookmarkStart w:id="810" w:name="_Toc1693"/>
      <w:bookmarkStart w:id="811" w:name="_Toc28314"/>
      <w:bookmarkStart w:id="812" w:name="_Toc27212"/>
      <w:r>
        <w:rPr>
          <w:rFonts w:hint="eastAsia" w:ascii="仿宋" w:hAnsi="仿宋" w:eastAsia="仿宋" w:cs="仿宋"/>
          <w:b/>
          <w:sz w:val="21"/>
          <w:szCs w:val="21"/>
          <w:highlight w:val="none"/>
        </w:rPr>
        <w:t>3</w:t>
      </w:r>
      <w:r>
        <w:rPr>
          <w:rFonts w:hint="eastAsia" w:ascii="仿宋" w:hAnsi="仿宋" w:eastAsia="仿宋" w:cs="仿宋"/>
          <w:b/>
          <w:sz w:val="21"/>
          <w:szCs w:val="21"/>
          <w:highlight w:val="none"/>
          <w:lang w:val="en-US" w:eastAsia="zh-CN"/>
        </w:rPr>
        <w:t>8</w:t>
      </w:r>
      <w:r>
        <w:rPr>
          <w:rFonts w:hint="eastAsia" w:ascii="仿宋" w:hAnsi="仿宋" w:eastAsia="仿宋" w:cs="仿宋"/>
          <w:b/>
          <w:bCs w:val="0"/>
          <w:sz w:val="21"/>
          <w:szCs w:val="21"/>
          <w:highlight w:val="none"/>
        </w:rPr>
        <w:t>.投标人不得</w:t>
      </w:r>
      <w:r>
        <w:rPr>
          <w:rFonts w:hint="eastAsia" w:ascii="仿宋" w:hAnsi="仿宋" w:eastAsia="仿宋" w:cs="仿宋"/>
          <w:b/>
          <w:sz w:val="21"/>
          <w:szCs w:val="21"/>
          <w:highlight w:val="none"/>
        </w:rPr>
        <w:t>具有的情形</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rPr>
          <w:rFonts w:hint="eastAsia" w:ascii="仿宋" w:hAnsi="仿宋" w:eastAsia="仿宋" w:cs="仿宋"/>
          <w:b/>
          <w:sz w:val="21"/>
          <w:szCs w:val="21"/>
          <w:highlight w:val="none"/>
          <w:lang w:val="en-US" w:eastAsia="zh-CN"/>
        </w:rPr>
        <w:t>(实质性要求）</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(1)提供虚假材料谋取中标；</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(2)采取不正当手段诋毁、排挤其他</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w:t>
      </w:r>
    </w:p>
    <w:p>
      <w:pPr>
        <w:snapToGrid w:val="0"/>
        <w:spacing w:line="400" w:lineRule="exact"/>
        <w:ind w:firstLine="420" w:firstLineChars="200"/>
        <w:rPr>
          <w:rFonts w:hint="eastAsia" w:ascii="仿宋" w:hAnsi="仿宋" w:eastAsia="仿宋" w:cs="仿宋"/>
          <w:sz w:val="21"/>
          <w:szCs w:val="21"/>
          <w:highlight w:val="none"/>
        </w:rPr>
      </w:pPr>
      <w:bookmarkStart w:id="813" w:name="page23"/>
      <w:bookmarkEnd w:id="813"/>
      <w:r>
        <w:rPr>
          <w:rFonts w:hint="eastAsia" w:ascii="仿宋" w:hAnsi="仿宋" w:eastAsia="仿宋" w:cs="仿宋"/>
          <w:sz w:val="21"/>
          <w:szCs w:val="21"/>
          <w:highlight w:val="none"/>
        </w:rPr>
        <w:t>(3)与招标采购单位、其他</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恶意串通；</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(4)向招标采购单位、评标委员会成员行贿或者提供其他不正当利益；</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(5)在招标过程中与招标采购单位进行协商谈判；</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(6)中标或者成交后无正当理由拒不与采购人签订政府采购合同；</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(7)未按照采购文件确定的事项签订政府采购合同；</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(8)将政府采购合同转包或者违规分包；</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(9)提供假冒伪劣产品；</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(10)擅自变更、中止或者终止政府采购合同；</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(11)拒绝有关部门的监督检查或者向监督检查部门提供虚假情况；</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(12)法律法规规定的其他情形。</w:t>
      </w:r>
    </w:p>
    <w:p>
      <w:pPr>
        <w:snapToGrid w:val="0"/>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有上述情形的，按照规定追究法律责任，具备(1)-(10)条情形之一的，同时将取消中标资格或者认定中标无效</w:t>
      </w:r>
      <w:r>
        <w:rPr>
          <w:rFonts w:hint="eastAsia" w:ascii="仿宋" w:hAnsi="仿宋" w:eastAsia="仿宋" w:cs="仿宋"/>
          <w:sz w:val="21"/>
          <w:szCs w:val="21"/>
          <w:highlight w:val="none"/>
          <w:lang w:eastAsia="zh-CN"/>
        </w:rPr>
        <w:t>（</w:t>
      </w:r>
      <w:r>
        <w:rPr>
          <w:rFonts w:hint="eastAsia" w:ascii="仿宋" w:hAnsi="仿宋" w:eastAsia="仿宋" w:cs="仿宋"/>
          <w:color w:val="000000"/>
          <w:sz w:val="21"/>
          <w:szCs w:val="21"/>
          <w:highlight w:val="none"/>
          <w:lang w:val="en-US" w:eastAsia="zh-CN"/>
        </w:rPr>
        <w:t>投标时须单独</w:t>
      </w:r>
      <w:r>
        <w:rPr>
          <w:rFonts w:hint="eastAsia" w:ascii="仿宋" w:hAnsi="仿宋" w:eastAsia="仿宋" w:cs="仿宋"/>
          <w:color w:val="000000"/>
          <w:sz w:val="21"/>
          <w:szCs w:val="21"/>
          <w:highlight w:val="none"/>
        </w:rPr>
        <w:t>提供承诺函</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p>
      <w:pPr>
        <w:snapToGrid w:val="0"/>
        <w:spacing w:before="240" w:beforeLines="100" w:line="400" w:lineRule="exact"/>
        <w:jc w:val="center"/>
        <w:outlineLvl w:val="1"/>
        <w:rPr>
          <w:rFonts w:hint="eastAsia" w:ascii="仿宋" w:hAnsi="仿宋" w:eastAsia="仿宋" w:cs="仿宋"/>
          <w:b/>
          <w:sz w:val="30"/>
          <w:szCs w:val="30"/>
          <w:highlight w:val="none"/>
        </w:rPr>
      </w:pPr>
      <w:bookmarkStart w:id="814" w:name="_Toc597"/>
      <w:bookmarkStart w:id="815" w:name="_Toc6333"/>
      <w:bookmarkStart w:id="816" w:name="_Toc18131"/>
      <w:bookmarkStart w:id="817" w:name="_Toc20073"/>
      <w:bookmarkStart w:id="818" w:name="_Toc13068"/>
      <w:bookmarkStart w:id="819" w:name="_Toc20221"/>
      <w:bookmarkStart w:id="820" w:name="_Toc12644"/>
      <w:bookmarkStart w:id="821" w:name="_Toc21243"/>
      <w:bookmarkStart w:id="822" w:name="_Toc12710"/>
      <w:bookmarkStart w:id="823" w:name="_Toc15723"/>
      <w:bookmarkStart w:id="824" w:name="_Toc7982"/>
      <w:bookmarkStart w:id="825" w:name="_Toc591"/>
      <w:r>
        <w:rPr>
          <w:rFonts w:hint="eastAsia" w:ascii="仿宋" w:hAnsi="仿宋" w:eastAsia="仿宋" w:cs="仿宋"/>
          <w:b/>
          <w:sz w:val="30"/>
          <w:szCs w:val="30"/>
          <w:highlight w:val="none"/>
        </w:rPr>
        <w:t>八、询问质疑和投诉</w:t>
      </w:r>
      <w:bookmarkEnd w:id="814"/>
      <w:bookmarkEnd w:id="815"/>
      <w:bookmarkEnd w:id="816"/>
      <w:bookmarkEnd w:id="817"/>
      <w:bookmarkEnd w:id="818"/>
      <w:bookmarkEnd w:id="819"/>
      <w:bookmarkEnd w:id="820"/>
      <w:bookmarkEnd w:id="821"/>
      <w:bookmarkEnd w:id="822"/>
      <w:bookmarkEnd w:id="823"/>
      <w:bookmarkEnd w:id="824"/>
      <w:bookmarkEnd w:id="825"/>
    </w:p>
    <w:p>
      <w:pPr>
        <w:snapToGrid w:val="0"/>
        <w:spacing w:line="400" w:lineRule="exact"/>
        <w:ind w:firstLine="420" w:firstLineChars="200"/>
        <w:jc w:val="both"/>
        <w:outlineLvl w:val="2"/>
        <w:rPr>
          <w:rFonts w:hint="eastAsia" w:ascii="仿宋" w:hAnsi="仿宋" w:eastAsia="仿宋" w:cs="仿宋"/>
          <w:sz w:val="21"/>
          <w:szCs w:val="21"/>
          <w:highlight w:val="none"/>
        </w:rPr>
      </w:pPr>
      <w:bookmarkStart w:id="826" w:name="_Toc7641"/>
      <w:bookmarkStart w:id="827" w:name="_Toc30988"/>
      <w:bookmarkStart w:id="828" w:name="_Toc31188"/>
      <w:bookmarkStart w:id="829" w:name="_Toc15264"/>
      <w:bookmarkStart w:id="830" w:name="_Toc22708"/>
      <w:bookmarkStart w:id="831" w:name="_Toc23151"/>
      <w:bookmarkStart w:id="832" w:name="_Toc29605"/>
      <w:bookmarkStart w:id="833" w:name="_Toc11787"/>
      <w:bookmarkStart w:id="834" w:name="_Toc3565"/>
      <w:bookmarkStart w:id="835" w:name="_Toc30703"/>
      <w:bookmarkStart w:id="836" w:name="_Toc29115"/>
      <w:bookmarkStart w:id="837" w:name="_Toc16292"/>
      <w:bookmarkStart w:id="838" w:name="_Toc5180"/>
      <w:bookmarkStart w:id="839" w:name="_Toc1297"/>
      <w:bookmarkStart w:id="840" w:name="_Toc16127"/>
      <w:bookmarkStart w:id="841" w:name="_Toc20910"/>
      <w:r>
        <w:rPr>
          <w:rFonts w:hint="eastAsia" w:ascii="仿宋" w:hAnsi="仿宋" w:eastAsia="仿宋" w:cs="仿宋"/>
          <w:sz w:val="21"/>
          <w:szCs w:val="21"/>
          <w:highlight w:val="none"/>
        </w:rPr>
        <w:t>3</w:t>
      </w:r>
      <w:r>
        <w:rPr>
          <w:rFonts w:hint="eastAsia" w:ascii="仿宋" w:hAnsi="仿宋" w:eastAsia="仿宋" w:cs="仿宋"/>
          <w:sz w:val="21"/>
          <w:szCs w:val="21"/>
          <w:highlight w:val="none"/>
          <w:lang w:val="en-US" w:eastAsia="zh-CN"/>
        </w:rPr>
        <w:t>9</w:t>
      </w:r>
      <w:r>
        <w:rPr>
          <w:rFonts w:hint="eastAsia" w:ascii="仿宋" w:hAnsi="仿宋" w:eastAsia="仿宋" w:cs="仿宋"/>
          <w:sz w:val="21"/>
          <w:szCs w:val="21"/>
          <w:highlight w:val="none"/>
        </w:rPr>
        <w:t>.1</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认为采购文件、采购过程和中标、成交结果使自己的权益受到损害的，可以在知道或者应知其权益受到损害之日起七个工作日内，以书面形式向采购人提出质疑，逾期提交的质疑不予受理。</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Start w:id="842" w:name="page24"/>
      <w:bookmarkEnd w:id="842"/>
    </w:p>
    <w:p>
      <w:pPr>
        <w:snapToGrid w:val="0"/>
        <w:spacing w:line="400" w:lineRule="exact"/>
        <w:ind w:firstLine="420" w:firstLineChars="200"/>
        <w:jc w:val="both"/>
        <w:outlineLvl w:val="2"/>
        <w:rPr>
          <w:rFonts w:hint="eastAsia" w:ascii="仿宋" w:hAnsi="仿宋" w:eastAsia="仿宋" w:cs="仿宋"/>
          <w:sz w:val="21"/>
          <w:szCs w:val="21"/>
          <w:highlight w:val="none"/>
        </w:rPr>
      </w:pPr>
      <w:bookmarkStart w:id="843" w:name="_Toc27891"/>
      <w:bookmarkStart w:id="844" w:name="_Toc19612"/>
      <w:bookmarkStart w:id="845" w:name="_Toc19424"/>
      <w:bookmarkStart w:id="846" w:name="_Toc21664"/>
      <w:bookmarkStart w:id="847" w:name="_Toc23702"/>
      <w:bookmarkStart w:id="848" w:name="_Toc3313"/>
      <w:bookmarkStart w:id="849" w:name="_Toc10891"/>
      <w:bookmarkStart w:id="850" w:name="_Toc23070"/>
      <w:bookmarkStart w:id="851" w:name="_Toc19718"/>
      <w:bookmarkStart w:id="852" w:name="_Toc22813"/>
      <w:bookmarkStart w:id="853" w:name="_Toc10867"/>
      <w:bookmarkStart w:id="854" w:name="_Toc8258"/>
      <w:bookmarkStart w:id="855" w:name="_Toc19189"/>
      <w:bookmarkStart w:id="856" w:name="_Toc28493"/>
      <w:bookmarkStart w:id="857" w:name="_Toc29925"/>
      <w:bookmarkStart w:id="858" w:name="_Toc7744"/>
      <w:r>
        <w:rPr>
          <w:rFonts w:hint="eastAsia" w:ascii="仿宋" w:hAnsi="仿宋" w:eastAsia="仿宋" w:cs="仿宋"/>
          <w:sz w:val="21"/>
          <w:szCs w:val="21"/>
          <w:highlight w:val="none"/>
        </w:rPr>
        <w:t>3</w:t>
      </w:r>
      <w:r>
        <w:rPr>
          <w:rFonts w:hint="eastAsia" w:ascii="仿宋" w:hAnsi="仿宋" w:eastAsia="仿宋" w:cs="仿宋"/>
          <w:sz w:val="21"/>
          <w:szCs w:val="21"/>
          <w:highlight w:val="none"/>
          <w:lang w:val="en-US" w:eastAsia="zh-CN"/>
        </w:rPr>
        <w:t>9</w:t>
      </w:r>
      <w:r>
        <w:rPr>
          <w:rFonts w:hint="eastAsia" w:ascii="仿宋" w:hAnsi="仿宋" w:eastAsia="仿宋" w:cs="仿宋"/>
          <w:sz w:val="21"/>
          <w:szCs w:val="21"/>
          <w:highlight w:val="none"/>
        </w:rPr>
        <w:t>.2询问、质疑、投诉的接收和处理严格按照《中华人民共和国政府采购法》、《中华人民共和国政府采购法实施条例》、《政府采购货物和服务招标投标管理办法》、《政府采购供应商投诉处理办法》、《财政部关于加强政府采购供应商投诉受理审查工作的通知》和《四川省政府采购供应商投诉处理工作规程》的规定办理（详细规定请在四川政府采购网政策法规模块查询）。</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pPr>
        <w:snapToGrid w:val="0"/>
        <w:spacing w:before="240" w:beforeLines="100" w:line="400" w:lineRule="exact"/>
        <w:jc w:val="center"/>
        <w:outlineLvl w:val="1"/>
        <w:rPr>
          <w:rFonts w:hint="eastAsia" w:ascii="仿宋" w:hAnsi="仿宋" w:eastAsia="仿宋" w:cs="仿宋"/>
          <w:b/>
          <w:sz w:val="30"/>
          <w:szCs w:val="30"/>
          <w:highlight w:val="none"/>
        </w:rPr>
      </w:pPr>
      <w:bookmarkStart w:id="859" w:name="page25"/>
      <w:bookmarkEnd w:id="859"/>
      <w:bookmarkStart w:id="860" w:name="_Toc24837"/>
      <w:bookmarkStart w:id="861" w:name="_Toc14433"/>
      <w:bookmarkStart w:id="862" w:name="_Toc31844"/>
      <w:bookmarkStart w:id="863" w:name="_Toc19803"/>
      <w:bookmarkStart w:id="864" w:name="_Toc22057"/>
      <w:bookmarkStart w:id="865" w:name="_Toc28253"/>
      <w:bookmarkStart w:id="866" w:name="_Toc4602"/>
      <w:bookmarkStart w:id="867" w:name="_Toc29213"/>
      <w:bookmarkStart w:id="868" w:name="_Toc12909"/>
      <w:bookmarkStart w:id="869" w:name="_Toc17877"/>
      <w:bookmarkStart w:id="870" w:name="_Toc32526"/>
      <w:bookmarkStart w:id="871" w:name="_Toc6111"/>
      <w:r>
        <w:rPr>
          <w:rFonts w:hint="eastAsia" w:ascii="仿宋" w:hAnsi="仿宋" w:eastAsia="仿宋" w:cs="仿宋"/>
          <w:b/>
          <w:sz w:val="30"/>
          <w:szCs w:val="30"/>
          <w:highlight w:val="none"/>
        </w:rPr>
        <w:t>九、串通投标的情形</w:t>
      </w:r>
      <w:bookmarkEnd w:id="860"/>
      <w:bookmarkEnd w:id="861"/>
      <w:bookmarkEnd w:id="862"/>
      <w:bookmarkEnd w:id="863"/>
      <w:bookmarkEnd w:id="864"/>
      <w:bookmarkEnd w:id="865"/>
    </w:p>
    <w:p>
      <w:pPr>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有下列情形之一的，视为</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串通投标，其投标无效。</w:t>
      </w:r>
    </w:p>
    <w:p>
      <w:pPr>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(一)不同</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的投标文件由同一单位或者个人编制；</w:t>
      </w:r>
    </w:p>
    <w:p>
      <w:pPr>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(二)不同</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委托同一单位或者个人办理投标事宜；</w:t>
      </w:r>
    </w:p>
    <w:p>
      <w:pPr>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(三)不同</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的投标文件载明的项目管理成员或者联系人员为同一人；</w:t>
      </w:r>
    </w:p>
    <w:p>
      <w:pPr>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(四)不同</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的投标文件异常一致或者投标报价呈规律性差异；</w:t>
      </w:r>
    </w:p>
    <w:p>
      <w:pPr>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(五)不同</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的投标文件相互混装；</w:t>
      </w:r>
    </w:p>
    <w:p>
      <w:pPr>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(六)不同</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的投标保证金从同一单位或者个人的账户转出。</w:t>
      </w:r>
    </w:p>
    <w:p>
      <w:pPr>
        <w:spacing w:before="240" w:beforeLines="100" w:line="400" w:lineRule="exact"/>
        <w:jc w:val="center"/>
        <w:outlineLvl w:val="1"/>
        <w:rPr>
          <w:rFonts w:hint="eastAsia" w:ascii="仿宋" w:hAnsi="仿宋" w:eastAsia="仿宋" w:cs="仿宋"/>
          <w:b/>
          <w:sz w:val="32"/>
          <w:highlight w:val="none"/>
        </w:rPr>
      </w:pPr>
      <w:bookmarkStart w:id="872" w:name="_Toc9904"/>
      <w:bookmarkStart w:id="873" w:name="_Toc2402"/>
      <w:bookmarkStart w:id="874" w:name="_Toc19724"/>
      <w:bookmarkStart w:id="875" w:name="_Toc26169"/>
      <w:r>
        <w:rPr>
          <w:rFonts w:hint="eastAsia" w:ascii="仿宋" w:hAnsi="仿宋" w:eastAsia="仿宋" w:cs="仿宋"/>
          <w:b/>
          <w:sz w:val="32"/>
          <w:highlight w:val="none"/>
        </w:rPr>
        <w:t>十、投标人信用信息查询</w:t>
      </w:r>
      <w:bookmarkEnd w:id="872"/>
      <w:bookmarkEnd w:id="873"/>
      <w:bookmarkEnd w:id="874"/>
      <w:bookmarkEnd w:id="875"/>
    </w:p>
    <w:p>
      <w:pPr>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（一）</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信用信息查询渠道</w:t>
      </w:r>
    </w:p>
    <w:p>
      <w:pPr>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“信用中国”网站(www.creditchina.gov.cn)、中国政府采购网(www.ccgp.gov.cn)等。</w:t>
      </w:r>
    </w:p>
    <w:p>
      <w:pPr>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（二）</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信用信息查询截止时点</w:t>
      </w:r>
    </w:p>
    <w:p>
      <w:pPr>
        <w:spacing w:line="40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采购人/采购代理机构</w:t>
      </w:r>
      <w:r>
        <w:rPr>
          <w:rFonts w:hint="eastAsia" w:ascii="仿宋" w:hAnsi="仿宋" w:eastAsia="仿宋" w:cs="仿宋"/>
          <w:sz w:val="21"/>
          <w:szCs w:val="21"/>
          <w:highlight w:val="none"/>
          <w:lang w:eastAsia="zh-CN"/>
        </w:rPr>
        <w:t>在投标截止当日查询供应商的信用记录</w:t>
      </w:r>
      <w:r>
        <w:rPr>
          <w:rFonts w:hint="eastAsia" w:ascii="仿宋" w:hAnsi="仿宋" w:eastAsia="仿宋" w:cs="仿宋"/>
          <w:sz w:val="21"/>
          <w:szCs w:val="21"/>
          <w:highlight w:val="none"/>
        </w:rPr>
        <w:t>。</w:t>
      </w:r>
    </w:p>
    <w:p>
      <w:pPr>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eastAsia="zh-CN"/>
        </w:rPr>
        <w:t>三</w:t>
      </w:r>
      <w:r>
        <w:rPr>
          <w:rFonts w:hint="eastAsia" w:ascii="仿宋" w:hAnsi="仿宋" w:eastAsia="仿宋" w:cs="仿宋"/>
          <w:sz w:val="21"/>
          <w:szCs w:val="21"/>
          <w:highlight w:val="none"/>
        </w:rPr>
        <w:t>）</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信用信息的使用：列入失信被执行人、重大税收违法案件当事人名单、政府采购严重违法失信行为记录名单中的</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将被拒绝参加本项目的政府采购活动。</w:t>
      </w:r>
    </w:p>
    <w:p>
      <w:pPr>
        <w:snapToGrid w:val="0"/>
        <w:spacing w:before="240" w:beforeLines="100" w:line="400" w:lineRule="exact"/>
        <w:jc w:val="center"/>
        <w:outlineLvl w:val="1"/>
        <w:rPr>
          <w:rFonts w:hint="eastAsia" w:ascii="仿宋" w:hAnsi="仿宋" w:eastAsia="仿宋" w:cs="仿宋"/>
          <w:b/>
          <w:sz w:val="30"/>
          <w:szCs w:val="30"/>
          <w:highlight w:val="none"/>
        </w:rPr>
      </w:pPr>
      <w:bookmarkStart w:id="876" w:name="_Toc23189"/>
      <w:bookmarkStart w:id="877" w:name="_Toc8580"/>
      <w:bookmarkStart w:id="878" w:name="_Toc4579"/>
      <w:bookmarkStart w:id="879" w:name="_Toc828"/>
      <w:bookmarkStart w:id="880" w:name="_Toc14261"/>
      <w:bookmarkStart w:id="881" w:name="_Toc21336"/>
      <w:r>
        <w:rPr>
          <w:rFonts w:hint="eastAsia" w:ascii="仿宋" w:hAnsi="仿宋" w:eastAsia="仿宋" w:cs="仿宋"/>
          <w:b/>
          <w:sz w:val="30"/>
          <w:szCs w:val="30"/>
          <w:highlight w:val="none"/>
        </w:rPr>
        <w:t>十一、</w:t>
      </w:r>
      <w:bookmarkEnd w:id="866"/>
      <w:bookmarkEnd w:id="867"/>
      <w:bookmarkEnd w:id="868"/>
      <w:bookmarkStart w:id="882" w:name="_Toc24919"/>
      <w:bookmarkStart w:id="883" w:name="_Toc5631"/>
      <w:bookmarkStart w:id="884" w:name="_Toc12487"/>
      <w:r>
        <w:rPr>
          <w:rFonts w:hint="eastAsia" w:ascii="仿宋" w:hAnsi="仿宋" w:eastAsia="仿宋" w:cs="仿宋"/>
          <w:b/>
          <w:sz w:val="30"/>
          <w:szCs w:val="30"/>
          <w:highlight w:val="none"/>
        </w:rPr>
        <w:t>其他</w:t>
      </w:r>
      <w:bookmarkEnd w:id="869"/>
      <w:bookmarkEnd w:id="870"/>
      <w:bookmarkEnd w:id="871"/>
      <w:bookmarkEnd w:id="876"/>
      <w:bookmarkEnd w:id="877"/>
      <w:bookmarkEnd w:id="878"/>
      <w:bookmarkEnd w:id="879"/>
      <w:bookmarkEnd w:id="880"/>
      <w:bookmarkEnd w:id="881"/>
      <w:bookmarkEnd w:id="882"/>
      <w:bookmarkEnd w:id="883"/>
      <w:bookmarkEnd w:id="884"/>
    </w:p>
    <w:p>
      <w:pPr>
        <w:snapToGrid w:val="0"/>
        <w:spacing w:line="400" w:lineRule="exact"/>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napToGrid w:val="0"/>
        <w:spacing w:line="400" w:lineRule="exact"/>
        <w:ind w:firstLine="400" w:firstLineChars="200"/>
        <w:jc w:val="both"/>
        <w:rPr>
          <w:rFonts w:hint="eastAsia" w:ascii="仿宋" w:hAnsi="仿宋" w:eastAsia="仿宋" w:cs="仿宋"/>
          <w:highlight w:val="none"/>
        </w:rPr>
      </w:pPr>
    </w:p>
    <w:p>
      <w:pPr>
        <w:pStyle w:val="2"/>
        <w:ind w:firstLine="400" w:firstLineChars="200"/>
        <w:rPr>
          <w:rFonts w:hint="eastAsia" w:eastAsia="仿宋"/>
          <w:lang w:val="en-US" w:eastAsia="zh-CN"/>
        </w:rPr>
        <w:sectPr>
          <w:pgSz w:w="11905" w:h="16838"/>
          <w:pgMar w:top="1440" w:right="1746" w:bottom="1440" w:left="1746" w:header="850" w:footer="992" w:gutter="0"/>
          <w:pgNumType w:fmt="decimal"/>
          <w:cols w:space="720" w:num="1"/>
          <w:titlePg/>
          <w:rtlGutter w:val="0"/>
          <w:docGrid w:linePitch="360" w:charSpace="0"/>
        </w:sectPr>
      </w:pPr>
      <w:r>
        <w:rPr>
          <w:rFonts w:hint="eastAsia" w:ascii="仿宋" w:hAnsi="仿宋" w:eastAsia="仿宋" w:cs="仿宋"/>
          <w:highlight w:val="none"/>
          <w:lang w:val="en-US" w:eastAsia="zh-CN"/>
        </w:rPr>
        <w:t>2、（实质性要求）国家或行业主管部门对采购产品的技术标准、质量标准和资格资质条件等有强制性规定的，必须符合其要求。</w:t>
      </w:r>
    </w:p>
    <w:p>
      <w:pPr>
        <w:snapToGrid w:val="0"/>
        <w:spacing w:line="360" w:lineRule="auto"/>
        <w:rPr>
          <w:rFonts w:hint="eastAsia" w:ascii="仿宋" w:hAnsi="仿宋" w:eastAsia="仿宋" w:cs="仿宋"/>
          <w:highlight w:val="none"/>
        </w:rPr>
        <w:sectPr>
          <w:type w:val="continuous"/>
          <w:pgSz w:w="11905" w:h="16838"/>
          <w:pgMar w:top="1440" w:right="1746" w:bottom="1440" w:left="1746" w:header="850" w:footer="992" w:gutter="0"/>
          <w:pgNumType w:fmt="decimal"/>
          <w:cols w:space="720" w:num="1"/>
          <w:titlePg/>
          <w:rtlGutter w:val="0"/>
          <w:docGrid w:linePitch="360" w:charSpace="0"/>
        </w:sectPr>
      </w:pPr>
    </w:p>
    <w:p>
      <w:pPr>
        <w:pStyle w:val="3"/>
        <w:spacing w:before="120" w:beforeLines="50"/>
        <w:rPr>
          <w:rFonts w:hint="eastAsia" w:ascii="仿宋" w:hAnsi="仿宋" w:eastAsia="仿宋" w:cs="仿宋"/>
          <w:highlight w:val="none"/>
        </w:rPr>
      </w:pPr>
      <w:bookmarkStart w:id="885" w:name="page26"/>
      <w:bookmarkEnd w:id="885"/>
      <w:bookmarkStart w:id="886" w:name="_Toc2532"/>
      <w:bookmarkStart w:id="887" w:name="_Toc3316"/>
      <w:bookmarkStart w:id="888" w:name="_Toc7294"/>
      <w:bookmarkStart w:id="889" w:name="_Toc5004464"/>
      <w:bookmarkStart w:id="890" w:name="_Toc26565_WPSOffice_Level1"/>
      <w:bookmarkStart w:id="891" w:name="_Toc23114"/>
      <w:bookmarkStart w:id="892" w:name="_Toc19857"/>
      <w:bookmarkStart w:id="893" w:name="_Toc25425"/>
      <w:bookmarkStart w:id="894" w:name="_Toc5668"/>
      <w:bookmarkStart w:id="895" w:name="_Toc10955"/>
      <w:bookmarkStart w:id="896" w:name="_Toc12631_WPSOffice_Level1"/>
      <w:bookmarkStart w:id="897" w:name="_Toc31854"/>
      <w:bookmarkStart w:id="898" w:name="_Toc6344"/>
      <w:bookmarkStart w:id="899" w:name="_Toc5423"/>
      <w:bookmarkStart w:id="900" w:name="_Toc12404_WPSOffice_Level1"/>
      <w:r>
        <w:rPr>
          <w:rFonts w:hint="eastAsia" w:ascii="仿宋" w:hAnsi="仿宋" w:eastAsia="仿宋" w:cs="仿宋"/>
          <w:highlight w:val="none"/>
        </w:rPr>
        <w:t>第三章 投标文件格式</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pPr>
        <w:snapToGrid w:val="0"/>
        <w:spacing w:line="360" w:lineRule="auto"/>
        <w:ind w:firstLine="470"/>
        <w:jc w:val="both"/>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一、本章所制投标文件格式，除格式中明确将该格式作为实质性要求的，一律不具有强制性</w:t>
      </w:r>
      <w:r>
        <w:rPr>
          <w:rFonts w:hint="eastAsia" w:ascii="仿宋" w:hAnsi="仿宋" w:eastAsia="仿宋" w:cs="仿宋"/>
          <w:sz w:val="21"/>
          <w:szCs w:val="21"/>
          <w:highlight w:val="none"/>
          <w:lang w:eastAsia="zh-CN"/>
        </w:rPr>
        <w:t>。</w:t>
      </w:r>
    </w:p>
    <w:p>
      <w:pPr>
        <w:snapToGrid w:val="0"/>
        <w:spacing w:line="360" w:lineRule="auto"/>
        <w:ind w:firstLine="47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二、本章所制投标文件格式有关表格中的备注栏，由</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根据自身投标情况作解释性说明，不作为必填项。</w:t>
      </w:r>
    </w:p>
    <w:p>
      <w:pPr>
        <w:snapToGrid w:val="0"/>
        <w:spacing w:line="360" w:lineRule="auto"/>
        <w:ind w:firstLine="47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三、第三章格式中“注”的内容，</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可自行决定是否保留在投标文件中，未保留的视为</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默认接受“注”的内容。</w:t>
      </w:r>
    </w:p>
    <w:p>
      <w:pPr>
        <w:snapToGrid w:val="0"/>
        <w:spacing w:line="360" w:lineRule="auto"/>
        <w:ind w:firstLine="470"/>
        <w:jc w:val="both"/>
        <w:rPr>
          <w:rFonts w:hint="eastAsia" w:ascii="仿宋" w:hAnsi="仿宋" w:eastAsia="仿宋" w:cs="仿宋"/>
          <w:sz w:val="24"/>
          <w:highlight w:val="none"/>
        </w:rPr>
      </w:pPr>
      <w:r>
        <w:rPr>
          <w:rFonts w:hint="eastAsia" w:ascii="仿宋" w:hAnsi="仿宋" w:eastAsia="仿宋" w:cs="仿宋"/>
          <w:sz w:val="21"/>
          <w:szCs w:val="21"/>
          <w:highlight w:val="none"/>
        </w:rPr>
        <w:t>四、本章所制投标文件格式中需要填写的相关内容事项，可能会与本采购项目无关，在不改变投标文件原义、不影响本项目采购需求的情况下，</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可以不予填写，但应当注明。</w:t>
      </w:r>
    </w:p>
    <w:p>
      <w:pPr>
        <w:snapToGrid w:val="0"/>
        <w:spacing w:line="360" w:lineRule="auto"/>
        <w:ind w:firstLine="470"/>
        <w:jc w:val="both"/>
        <w:rPr>
          <w:rFonts w:hint="eastAsia" w:ascii="仿宋" w:hAnsi="仿宋" w:eastAsia="仿宋" w:cs="仿宋"/>
          <w:highlight w:val="none"/>
        </w:rPr>
        <w:sectPr>
          <w:pgSz w:w="11905" w:h="16838"/>
          <w:pgMar w:top="1440" w:right="1746" w:bottom="1440" w:left="1746" w:header="850" w:footer="992" w:gutter="0"/>
          <w:pgNumType w:fmt="decimal"/>
          <w:cols w:space="720" w:num="1"/>
          <w:titlePg/>
          <w:rtlGutter w:val="0"/>
          <w:docGrid w:linePitch="360" w:charSpace="0"/>
        </w:sectPr>
      </w:pPr>
    </w:p>
    <w:p>
      <w:pPr>
        <w:snapToGrid w:val="0"/>
        <w:spacing w:line="360" w:lineRule="auto"/>
        <w:rPr>
          <w:rFonts w:hint="eastAsia" w:ascii="仿宋" w:hAnsi="仿宋" w:eastAsia="仿宋" w:cs="仿宋"/>
          <w:sz w:val="18"/>
          <w:highlight w:val="none"/>
        </w:rPr>
      </w:pPr>
    </w:p>
    <w:p>
      <w:pPr>
        <w:snapToGrid w:val="0"/>
        <w:spacing w:line="360" w:lineRule="auto"/>
        <w:rPr>
          <w:rFonts w:hint="eastAsia" w:ascii="仿宋" w:hAnsi="仿宋" w:eastAsia="仿宋" w:cs="仿宋"/>
          <w:highlight w:val="none"/>
        </w:rPr>
        <w:sectPr>
          <w:type w:val="continuous"/>
          <w:pgSz w:w="11905" w:h="16838"/>
          <w:pgMar w:top="1440" w:right="1746" w:bottom="1440" w:left="1746" w:header="850" w:footer="992" w:gutter="0"/>
          <w:pgNumType w:fmt="decimal"/>
          <w:cols w:space="720" w:num="1"/>
          <w:titlePg/>
          <w:rtlGutter w:val="0"/>
          <w:docGrid w:linePitch="360" w:charSpace="0"/>
        </w:sectPr>
      </w:pPr>
    </w:p>
    <w:p>
      <w:pPr>
        <w:spacing w:line="0" w:lineRule="atLeast"/>
        <w:rPr>
          <w:rFonts w:hint="eastAsia" w:ascii="仿宋" w:hAnsi="仿宋" w:eastAsia="仿宋" w:cs="仿宋"/>
          <w:sz w:val="24"/>
          <w:highlight w:val="none"/>
        </w:rPr>
      </w:pPr>
      <w:bookmarkStart w:id="901" w:name="page29"/>
      <w:bookmarkEnd w:id="901"/>
      <w:bookmarkStart w:id="902" w:name="page27"/>
      <w:bookmarkEnd w:id="902"/>
      <w:bookmarkStart w:id="903" w:name="_Toc24612"/>
      <w:bookmarkStart w:id="904" w:name="_Toc2580"/>
      <w:bookmarkStart w:id="905" w:name="_Toc20558"/>
    </w:p>
    <w:p>
      <w:pPr>
        <w:pStyle w:val="2"/>
        <w:rPr>
          <w:rFonts w:hint="eastAsia" w:ascii="仿宋" w:hAnsi="仿宋" w:eastAsia="仿宋" w:cs="仿宋"/>
          <w:highlight w:val="none"/>
        </w:rPr>
      </w:pPr>
    </w:p>
    <w:p>
      <w:pPr>
        <w:snapToGrid w:val="0"/>
        <w:spacing w:before="240" w:beforeLines="100" w:line="360" w:lineRule="auto"/>
        <w:jc w:val="center"/>
        <w:rPr>
          <w:rFonts w:hint="eastAsia" w:ascii="仿宋" w:hAnsi="仿宋" w:eastAsia="仿宋" w:cs="仿宋"/>
          <w:b/>
          <w:sz w:val="32"/>
          <w:highlight w:val="none"/>
        </w:rPr>
      </w:pPr>
      <w:bookmarkStart w:id="906" w:name="_Toc15611"/>
      <w:bookmarkStart w:id="907" w:name="_Toc8719"/>
      <w:bookmarkStart w:id="908" w:name="_Toc20777"/>
      <w:bookmarkStart w:id="909" w:name="_Toc5157"/>
      <w:bookmarkStart w:id="910" w:name="_Toc26451"/>
      <w:bookmarkStart w:id="911" w:name="_Toc11065"/>
    </w:p>
    <w:p>
      <w:pPr>
        <w:snapToGrid w:val="0"/>
        <w:spacing w:before="240" w:beforeLines="100" w:line="360" w:lineRule="auto"/>
        <w:jc w:val="center"/>
        <w:rPr>
          <w:rFonts w:hint="eastAsia" w:ascii="仿宋" w:hAnsi="仿宋" w:eastAsia="仿宋" w:cs="仿宋"/>
          <w:b/>
          <w:sz w:val="32"/>
          <w:highlight w:val="none"/>
        </w:rPr>
      </w:pPr>
    </w:p>
    <w:p>
      <w:pPr>
        <w:snapToGrid w:val="0"/>
        <w:spacing w:before="240" w:beforeLines="100" w:line="360" w:lineRule="auto"/>
        <w:jc w:val="center"/>
        <w:rPr>
          <w:rFonts w:hint="eastAsia" w:ascii="仿宋" w:hAnsi="仿宋" w:eastAsia="仿宋" w:cs="仿宋"/>
          <w:b/>
          <w:sz w:val="32"/>
          <w:highlight w:val="none"/>
        </w:rPr>
      </w:pPr>
    </w:p>
    <w:p>
      <w:pPr>
        <w:snapToGrid w:val="0"/>
        <w:spacing w:before="240" w:beforeLines="100" w:line="360" w:lineRule="auto"/>
        <w:jc w:val="center"/>
        <w:rPr>
          <w:rFonts w:hint="eastAsia" w:ascii="仿宋" w:hAnsi="仿宋" w:eastAsia="仿宋" w:cs="仿宋"/>
          <w:b/>
          <w:sz w:val="32"/>
          <w:highlight w:val="none"/>
        </w:rPr>
      </w:pPr>
    </w:p>
    <w:p>
      <w:pPr>
        <w:snapToGrid w:val="0"/>
        <w:spacing w:before="240" w:beforeLines="100" w:line="360" w:lineRule="auto"/>
        <w:jc w:val="center"/>
        <w:rPr>
          <w:rFonts w:hint="eastAsia" w:ascii="仿宋" w:hAnsi="仿宋" w:eastAsia="仿宋" w:cs="仿宋"/>
          <w:b/>
          <w:sz w:val="32"/>
          <w:highlight w:val="none"/>
        </w:rPr>
      </w:pPr>
    </w:p>
    <w:p>
      <w:pPr>
        <w:snapToGrid w:val="0"/>
        <w:spacing w:before="240" w:beforeLines="100" w:line="360" w:lineRule="auto"/>
        <w:jc w:val="center"/>
        <w:outlineLvl w:val="1"/>
        <w:rPr>
          <w:rFonts w:hint="eastAsia" w:ascii="仿宋" w:hAnsi="仿宋" w:eastAsia="仿宋" w:cs="仿宋"/>
          <w:b/>
          <w:sz w:val="32"/>
          <w:highlight w:val="none"/>
        </w:rPr>
        <w:sectPr>
          <w:pgSz w:w="11905" w:h="16838"/>
          <w:pgMar w:top="1440" w:right="1746" w:bottom="1440" w:left="1746" w:header="850" w:footer="992" w:gutter="0"/>
          <w:pgNumType w:fmt="decimal"/>
          <w:cols w:space="720" w:num="1"/>
          <w:titlePg/>
          <w:rtlGutter w:val="0"/>
          <w:docGrid w:linePitch="360" w:charSpace="0"/>
        </w:sectPr>
      </w:pPr>
      <w:bookmarkStart w:id="912" w:name="_Toc15787"/>
      <w:bookmarkStart w:id="913" w:name="_Toc5081"/>
      <w:bookmarkStart w:id="914" w:name="_Toc14898"/>
      <w:r>
        <w:rPr>
          <w:rFonts w:hint="eastAsia" w:ascii="仿宋" w:hAnsi="仿宋" w:eastAsia="仿宋" w:cs="仿宋"/>
          <w:b/>
          <w:sz w:val="32"/>
          <w:highlight w:val="none"/>
        </w:rPr>
        <w:t>第一部分 资格性投标文件</w:t>
      </w:r>
      <w:bookmarkEnd w:id="903"/>
      <w:bookmarkEnd w:id="904"/>
      <w:bookmarkEnd w:id="905"/>
      <w:bookmarkEnd w:id="906"/>
      <w:bookmarkEnd w:id="907"/>
      <w:bookmarkEnd w:id="908"/>
      <w:bookmarkEnd w:id="909"/>
      <w:bookmarkEnd w:id="910"/>
      <w:bookmarkEnd w:id="911"/>
      <w:bookmarkEnd w:id="912"/>
      <w:bookmarkEnd w:id="913"/>
      <w:bookmarkEnd w:id="914"/>
    </w:p>
    <w:p>
      <w:pPr>
        <w:spacing w:line="600" w:lineRule="auto"/>
        <w:jc w:val="center"/>
        <w:rPr>
          <w:rFonts w:hint="eastAsia" w:ascii="仿宋" w:hAnsi="仿宋" w:eastAsia="仿宋" w:cs="仿宋"/>
          <w:bCs/>
          <w:sz w:val="32"/>
          <w:highlight w:val="none"/>
        </w:rPr>
      </w:pPr>
      <w:bookmarkStart w:id="915" w:name="_Toc30187"/>
      <w:bookmarkStart w:id="916" w:name="_Toc20550"/>
      <w:bookmarkStart w:id="917" w:name="_Toc10166"/>
      <w:bookmarkStart w:id="918" w:name="_Toc20614"/>
      <w:bookmarkStart w:id="919" w:name="_Toc27277"/>
      <w:bookmarkStart w:id="920" w:name="_Toc29341"/>
      <w:bookmarkStart w:id="921" w:name="_Toc9462"/>
      <w:bookmarkStart w:id="922" w:name="_Toc14711"/>
      <w:bookmarkStart w:id="923" w:name="_Toc30318"/>
      <w:r>
        <w:rPr>
          <w:rFonts w:hint="eastAsia" w:ascii="仿宋" w:hAnsi="仿宋" w:eastAsia="仿宋" w:cs="仿宋"/>
          <w:bCs/>
          <w:sz w:val="32"/>
          <w:highlight w:val="none"/>
        </w:rPr>
        <w:t xml:space="preserve">                    项目编号：</w:t>
      </w:r>
      <w:r>
        <w:rPr>
          <w:rFonts w:hint="eastAsia" w:ascii="仿宋" w:hAnsi="仿宋" w:eastAsia="仿宋" w:cs="仿宋"/>
          <w:bCs/>
          <w:sz w:val="36"/>
          <w:szCs w:val="36"/>
          <w:highlight w:val="none"/>
          <w:u w:val="single"/>
        </w:rPr>
        <w:t xml:space="preserve">            </w:t>
      </w:r>
    </w:p>
    <w:p>
      <w:pPr>
        <w:spacing w:after="240" w:afterLines="100" w:line="600" w:lineRule="auto"/>
        <w:jc w:val="center"/>
        <w:rPr>
          <w:rFonts w:hint="eastAsia" w:ascii="仿宋" w:hAnsi="仿宋" w:eastAsia="仿宋" w:cs="仿宋"/>
          <w:b/>
          <w:sz w:val="10"/>
          <w:szCs w:val="10"/>
          <w:highlight w:val="none"/>
          <w:u w:val="single"/>
        </w:rPr>
      </w:pPr>
    </w:p>
    <w:p>
      <w:pPr>
        <w:spacing w:after="240" w:afterLines="100" w:line="600" w:lineRule="auto"/>
        <w:jc w:val="center"/>
        <w:rPr>
          <w:rFonts w:hint="eastAsia" w:ascii="仿宋" w:hAnsi="仿宋" w:eastAsia="仿宋" w:cs="仿宋"/>
          <w:highlight w:val="none"/>
          <w:lang w:val="en-US" w:eastAsia="zh-CN"/>
        </w:rPr>
      </w:pPr>
      <w:r>
        <w:rPr>
          <w:rFonts w:hint="eastAsia" w:ascii="仿宋" w:hAnsi="仿宋" w:eastAsia="仿宋" w:cs="仿宋"/>
          <w:b/>
          <w:sz w:val="52"/>
          <w:szCs w:val="52"/>
          <w:highlight w:val="none"/>
          <w:u w:val="single"/>
        </w:rPr>
        <w:t xml:space="preserve">            （项目名称）</w:t>
      </w:r>
      <w:r>
        <w:rPr>
          <w:rFonts w:hint="eastAsia" w:ascii="仿宋" w:hAnsi="仿宋" w:eastAsia="仿宋" w:cs="仿宋"/>
          <w:b/>
          <w:sz w:val="52"/>
          <w:szCs w:val="52"/>
          <w:highlight w:val="none"/>
          <w:u w:val="single"/>
          <w:lang w:val="en-US" w:eastAsia="zh-CN"/>
        </w:rPr>
        <w:t>包号：</w:t>
      </w:r>
    </w:p>
    <w:p>
      <w:pPr>
        <w:spacing w:line="600" w:lineRule="auto"/>
        <w:jc w:val="center"/>
        <w:rPr>
          <w:rFonts w:hint="eastAsia" w:ascii="仿宋" w:hAnsi="仿宋" w:eastAsia="仿宋" w:cs="仿宋"/>
          <w:b/>
          <w:sz w:val="36"/>
          <w:szCs w:val="36"/>
          <w:highlight w:val="none"/>
        </w:rPr>
      </w:pPr>
    </w:p>
    <w:p>
      <w:pPr>
        <w:spacing w:line="600" w:lineRule="auto"/>
        <w:jc w:val="center"/>
        <w:rPr>
          <w:rFonts w:hint="eastAsia" w:ascii="仿宋" w:hAnsi="仿宋" w:eastAsia="仿宋" w:cs="仿宋"/>
          <w:b/>
          <w:sz w:val="36"/>
          <w:szCs w:val="36"/>
          <w:highlight w:val="none"/>
        </w:rPr>
      </w:pPr>
    </w:p>
    <w:p>
      <w:pPr>
        <w:spacing w:line="240" w:lineRule="atLeast"/>
        <w:jc w:val="center"/>
        <w:rPr>
          <w:rFonts w:hint="eastAsia" w:ascii="仿宋" w:hAnsi="仿宋" w:eastAsia="仿宋" w:cs="仿宋"/>
          <w:b/>
          <w:sz w:val="84"/>
          <w:szCs w:val="84"/>
          <w:highlight w:val="none"/>
        </w:rPr>
      </w:pPr>
      <w:r>
        <w:rPr>
          <w:rFonts w:hint="eastAsia" w:ascii="仿宋" w:hAnsi="仿宋" w:eastAsia="仿宋" w:cs="仿宋"/>
          <w:b/>
          <w:sz w:val="84"/>
          <w:szCs w:val="84"/>
          <w:highlight w:val="none"/>
        </w:rPr>
        <w:t>资格性投标文件</w:t>
      </w:r>
    </w:p>
    <w:p>
      <w:pPr>
        <w:pStyle w:val="93"/>
        <w:numPr>
          <w:ilvl w:val="0"/>
          <w:numId w:val="0"/>
        </w:numPr>
        <w:spacing w:before="0" w:after="0" w:line="240" w:lineRule="atLeast"/>
        <w:jc w:val="center"/>
        <w:outlineLvl w:val="9"/>
        <w:rPr>
          <w:rFonts w:hint="eastAsia" w:ascii="仿宋" w:hAnsi="仿宋" w:eastAsia="仿宋" w:cs="仿宋"/>
          <w:sz w:val="28"/>
          <w:szCs w:val="28"/>
          <w:highlight w:val="none"/>
        </w:rPr>
      </w:pPr>
    </w:p>
    <w:p>
      <w:pPr>
        <w:pStyle w:val="93"/>
        <w:numPr>
          <w:ilvl w:val="0"/>
          <w:numId w:val="0"/>
        </w:numPr>
        <w:spacing w:before="0" w:after="0" w:line="240" w:lineRule="atLeast"/>
        <w:jc w:val="center"/>
        <w:outlineLvl w:val="9"/>
        <w:rPr>
          <w:rFonts w:hint="eastAsia" w:ascii="仿宋" w:hAnsi="仿宋" w:eastAsia="仿宋" w:cs="仿宋"/>
          <w:sz w:val="28"/>
          <w:szCs w:val="28"/>
          <w:highlight w:val="none"/>
        </w:rPr>
      </w:pPr>
    </w:p>
    <w:p>
      <w:pPr>
        <w:pStyle w:val="93"/>
        <w:numPr>
          <w:ilvl w:val="0"/>
          <w:numId w:val="0"/>
        </w:numPr>
        <w:spacing w:before="0" w:after="0" w:line="240" w:lineRule="atLeast"/>
        <w:jc w:val="center"/>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正本（副本）</w:t>
      </w:r>
    </w:p>
    <w:p>
      <w:pPr>
        <w:spacing w:line="360" w:lineRule="auto"/>
        <w:ind w:firstLine="2168" w:firstLineChars="600"/>
        <w:rPr>
          <w:rFonts w:hint="eastAsia" w:ascii="仿宋" w:hAnsi="仿宋" w:eastAsia="仿宋" w:cs="仿宋"/>
          <w:b/>
          <w:sz w:val="36"/>
          <w:szCs w:val="36"/>
          <w:highlight w:val="none"/>
        </w:rPr>
      </w:pPr>
    </w:p>
    <w:p>
      <w:pPr>
        <w:spacing w:line="360" w:lineRule="auto"/>
        <w:ind w:firstLine="2168" w:firstLineChars="600"/>
        <w:rPr>
          <w:rFonts w:hint="eastAsia" w:ascii="仿宋" w:hAnsi="仿宋" w:eastAsia="仿宋" w:cs="仿宋"/>
          <w:b/>
          <w:sz w:val="36"/>
          <w:szCs w:val="36"/>
          <w:highlight w:val="none"/>
        </w:rPr>
      </w:pPr>
    </w:p>
    <w:p>
      <w:pPr>
        <w:spacing w:line="480" w:lineRule="auto"/>
        <w:jc w:val="center"/>
        <w:rPr>
          <w:rFonts w:hint="eastAsia" w:ascii="仿宋" w:hAnsi="仿宋" w:eastAsia="仿宋" w:cs="仿宋"/>
          <w:bCs/>
          <w:sz w:val="36"/>
          <w:szCs w:val="36"/>
          <w:highlight w:val="none"/>
        </w:rPr>
      </w:pPr>
    </w:p>
    <w:p>
      <w:pPr>
        <w:spacing w:line="480" w:lineRule="auto"/>
        <w:jc w:val="center"/>
        <w:rPr>
          <w:rFonts w:hint="eastAsia" w:ascii="仿宋" w:hAnsi="仿宋" w:eastAsia="仿宋" w:cs="仿宋"/>
          <w:bCs/>
          <w:sz w:val="28"/>
          <w:szCs w:val="36"/>
          <w:highlight w:val="none"/>
        </w:rPr>
      </w:pPr>
      <w:r>
        <w:rPr>
          <w:rFonts w:hint="eastAsia" w:ascii="仿宋" w:hAnsi="仿宋" w:eastAsia="仿宋" w:cs="仿宋"/>
          <w:bCs/>
          <w:sz w:val="28"/>
          <w:szCs w:val="36"/>
          <w:highlight w:val="none"/>
        </w:rPr>
        <w:t>投标人名称：</w:t>
      </w:r>
      <w:r>
        <w:rPr>
          <w:rFonts w:hint="eastAsia" w:ascii="仿宋" w:hAnsi="仿宋" w:eastAsia="仿宋" w:cs="仿宋"/>
          <w:bCs/>
          <w:sz w:val="28"/>
          <w:szCs w:val="36"/>
          <w:highlight w:val="none"/>
          <w:u w:val="single"/>
        </w:rPr>
        <w:t xml:space="preserve">                 </w:t>
      </w:r>
      <w:r>
        <w:rPr>
          <w:rFonts w:hint="eastAsia" w:ascii="仿宋" w:hAnsi="仿宋" w:eastAsia="仿宋" w:cs="仿宋"/>
          <w:bCs/>
          <w:sz w:val="28"/>
          <w:szCs w:val="36"/>
          <w:highlight w:val="none"/>
        </w:rPr>
        <w:t>（盖单位章）</w:t>
      </w:r>
    </w:p>
    <w:p>
      <w:pPr>
        <w:spacing w:line="480" w:lineRule="auto"/>
        <w:jc w:val="center"/>
        <w:rPr>
          <w:rFonts w:hint="eastAsia" w:ascii="仿宋" w:hAnsi="仿宋" w:eastAsia="仿宋" w:cs="仿宋"/>
          <w:bCs/>
          <w:sz w:val="28"/>
          <w:szCs w:val="36"/>
          <w:highlight w:val="none"/>
        </w:rPr>
      </w:pPr>
      <w:r>
        <w:rPr>
          <w:rFonts w:hint="eastAsia" w:ascii="仿宋" w:hAnsi="仿宋" w:eastAsia="仿宋" w:cs="仿宋"/>
          <w:bCs/>
          <w:sz w:val="28"/>
          <w:szCs w:val="36"/>
          <w:highlight w:val="none"/>
        </w:rPr>
        <w:t>法定代表人（单位负责人）或授权代表：</w:t>
      </w:r>
      <w:r>
        <w:rPr>
          <w:rFonts w:hint="eastAsia" w:ascii="仿宋" w:hAnsi="仿宋" w:eastAsia="仿宋" w:cs="仿宋"/>
          <w:bCs/>
          <w:sz w:val="28"/>
          <w:szCs w:val="36"/>
          <w:highlight w:val="none"/>
          <w:u w:val="single"/>
        </w:rPr>
        <w:t xml:space="preserve">         </w:t>
      </w:r>
      <w:r>
        <w:rPr>
          <w:rFonts w:hint="eastAsia" w:ascii="仿宋" w:hAnsi="仿宋" w:eastAsia="仿宋" w:cs="仿宋"/>
          <w:bCs/>
          <w:sz w:val="28"/>
          <w:szCs w:val="36"/>
          <w:highlight w:val="none"/>
        </w:rPr>
        <w:t>（签字或盖章）</w:t>
      </w:r>
    </w:p>
    <w:p>
      <w:pPr>
        <w:snapToGrid w:val="0"/>
        <w:spacing w:line="480" w:lineRule="auto"/>
        <w:jc w:val="center"/>
        <w:rPr>
          <w:rFonts w:hint="eastAsia" w:ascii="仿宋" w:hAnsi="仿宋" w:eastAsia="仿宋" w:cs="仿宋"/>
          <w:bCs/>
          <w:sz w:val="24"/>
          <w:highlight w:val="none"/>
        </w:rPr>
      </w:pPr>
      <w:r>
        <w:rPr>
          <w:rFonts w:hint="eastAsia" w:ascii="仿宋" w:hAnsi="仿宋" w:eastAsia="仿宋" w:cs="仿宋"/>
          <w:bCs/>
          <w:sz w:val="28"/>
          <w:szCs w:val="36"/>
          <w:highlight w:val="none"/>
        </w:rPr>
        <w:t>投标日期：</w:t>
      </w:r>
      <w:r>
        <w:rPr>
          <w:rFonts w:hint="eastAsia" w:ascii="仿宋" w:hAnsi="仿宋" w:eastAsia="仿宋" w:cs="仿宋"/>
          <w:bCs/>
          <w:sz w:val="28"/>
          <w:szCs w:val="36"/>
          <w:highlight w:val="none"/>
          <w:u w:val="single"/>
        </w:rPr>
        <w:t xml:space="preserve">    </w:t>
      </w:r>
      <w:r>
        <w:rPr>
          <w:rFonts w:hint="eastAsia" w:ascii="仿宋" w:hAnsi="仿宋" w:eastAsia="仿宋" w:cs="仿宋"/>
          <w:bCs/>
          <w:sz w:val="28"/>
          <w:szCs w:val="36"/>
          <w:highlight w:val="none"/>
        </w:rPr>
        <w:t>年</w:t>
      </w:r>
      <w:r>
        <w:rPr>
          <w:rFonts w:hint="eastAsia" w:ascii="仿宋" w:hAnsi="仿宋" w:eastAsia="仿宋" w:cs="仿宋"/>
          <w:bCs/>
          <w:sz w:val="28"/>
          <w:szCs w:val="36"/>
          <w:highlight w:val="none"/>
          <w:u w:val="single"/>
        </w:rPr>
        <w:t xml:space="preserve">    </w:t>
      </w:r>
      <w:r>
        <w:rPr>
          <w:rFonts w:hint="eastAsia" w:ascii="仿宋" w:hAnsi="仿宋" w:eastAsia="仿宋" w:cs="仿宋"/>
          <w:bCs/>
          <w:sz w:val="28"/>
          <w:szCs w:val="36"/>
          <w:highlight w:val="none"/>
        </w:rPr>
        <w:t>月</w:t>
      </w:r>
      <w:r>
        <w:rPr>
          <w:rFonts w:hint="eastAsia" w:ascii="仿宋" w:hAnsi="仿宋" w:eastAsia="仿宋" w:cs="仿宋"/>
          <w:bCs/>
          <w:sz w:val="28"/>
          <w:szCs w:val="36"/>
          <w:highlight w:val="none"/>
          <w:u w:val="single"/>
        </w:rPr>
        <w:t xml:space="preserve">   </w:t>
      </w:r>
      <w:r>
        <w:rPr>
          <w:rFonts w:hint="eastAsia" w:ascii="仿宋" w:hAnsi="仿宋" w:eastAsia="仿宋" w:cs="仿宋"/>
          <w:bCs/>
          <w:sz w:val="28"/>
          <w:szCs w:val="36"/>
          <w:highlight w:val="none"/>
        </w:rPr>
        <w:t>日</w:t>
      </w:r>
    </w:p>
    <w:p>
      <w:pPr>
        <w:spacing w:before="240" w:beforeLines="100" w:line="360" w:lineRule="auto"/>
        <w:jc w:val="center"/>
        <w:outlineLvl w:val="1"/>
        <w:rPr>
          <w:rFonts w:hint="eastAsia" w:ascii="仿宋" w:hAnsi="仿宋" w:eastAsia="仿宋" w:cs="仿宋"/>
          <w:b/>
          <w:sz w:val="30"/>
          <w:szCs w:val="30"/>
          <w:highlight w:val="none"/>
        </w:rPr>
        <w:sectPr>
          <w:pgSz w:w="11905" w:h="16838"/>
          <w:pgMar w:top="1440" w:right="1746" w:bottom="1440" w:left="1746" w:header="850" w:footer="992" w:gutter="0"/>
          <w:pgNumType w:fmt="decimal"/>
          <w:cols w:space="720" w:num="1"/>
          <w:titlePg/>
          <w:rtlGutter w:val="0"/>
          <w:docGrid w:linePitch="360" w:charSpace="0"/>
        </w:sectPr>
      </w:pPr>
    </w:p>
    <w:p>
      <w:pPr>
        <w:spacing w:before="120" w:beforeLines="50" w:line="360" w:lineRule="auto"/>
        <w:jc w:val="center"/>
        <w:outlineLvl w:val="1"/>
        <w:rPr>
          <w:rFonts w:hint="eastAsia" w:ascii="仿宋" w:hAnsi="仿宋" w:eastAsia="仿宋" w:cs="仿宋"/>
          <w:b/>
          <w:sz w:val="30"/>
          <w:szCs w:val="30"/>
          <w:highlight w:val="none"/>
        </w:rPr>
      </w:pPr>
      <w:bookmarkStart w:id="924" w:name="_Toc6615"/>
      <w:bookmarkStart w:id="925" w:name="_Toc10331"/>
      <w:bookmarkStart w:id="926" w:name="_Toc25800"/>
      <w:bookmarkStart w:id="927" w:name="_Toc8920"/>
      <w:r>
        <w:rPr>
          <w:rFonts w:hint="eastAsia" w:ascii="仿宋" w:hAnsi="仿宋" w:eastAsia="仿宋" w:cs="仿宋"/>
          <w:b/>
          <w:sz w:val="30"/>
          <w:szCs w:val="30"/>
          <w:highlight w:val="none"/>
        </w:rPr>
        <w:t>一、法定代表人/单位负责人授权书</w:t>
      </w:r>
      <w:bookmarkEnd w:id="915"/>
      <w:bookmarkEnd w:id="916"/>
      <w:bookmarkEnd w:id="917"/>
      <w:bookmarkEnd w:id="918"/>
      <w:bookmarkEnd w:id="924"/>
      <w:bookmarkEnd w:id="925"/>
      <w:bookmarkEnd w:id="926"/>
      <w:bookmarkEnd w:id="927"/>
    </w:p>
    <w:p>
      <w:pPr>
        <w:spacing w:line="360" w:lineRule="auto"/>
        <w:rPr>
          <w:rFonts w:hint="eastAsia" w:ascii="仿宋" w:hAnsi="仿宋" w:eastAsia="仿宋" w:cs="仿宋"/>
          <w:highlight w:val="none"/>
        </w:rPr>
      </w:pPr>
    </w:p>
    <w:p>
      <w:pPr>
        <w:spacing w:line="480" w:lineRule="auto"/>
        <w:rPr>
          <w:rFonts w:hint="eastAsia" w:ascii="仿宋" w:hAnsi="仿宋" w:eastAsia="仿宋" w:cs="仿宋"/>
          <w:sz w:val="21"/>
          <w:szCs w:val="21"/>
          <w:highlight w:val="none"/>
        </w:rPr>
      </w:pPr>
      <w:r>
        <w:rPr>
          <w:rFonts w:hint="eastAsia" w:ascii="仿宋" w:hAnsi="仿宋" w:eastAsia="仿宋" w:cs="仿宋"/>
          <w:sz w:val="21"/>
          <w:szCs w:val="21"/>
          <w:highlight w:val="none"/>
          <w:u w:val="single"/>
        </w:rPr>
        <w:t xml:space="preserve">             </w:t>
      </w:r>
      <w:bookmarkStart w:id="928" w:name="_Toc4578863"/>
      <w:bookmarkStart w:id="929" w:name="_Toc5005030"/>
      <w:bookmarkStart w:id="930" w:name="_Toc4659726"/>
      <w:r>
        <w:rPr>
          <w:rFonts w:hint="eastAsia" w:ascii="仿宋" w:hAnsi="仿宋" w:eastAsia="仿宋" w:cs="仿宋"/>
          <w:sz w:val="21"/>
          <w:szCs w:val="21"/>
          <w:highlight w:val="none"/>
        </w:rPr>
        <w:t>（采购代理机构名称）：</w:t>
      </w:r>
      <w:bookmarkEnd w:id="928"/>
      <w:bookmarkEnd w:id="929"/>
      <w:bookmarkEnd w:id="930"/>
    </w:p>
    <w:p>
      <w:pPr>
        <w:wordWrap w:val="0"/>
        <w:spacing w:line="480" w:lineRule="auto"/>
        <w:ind w:firstLine="420" w:firstLineChars="200"/>
        <w:rPr>
          <w:rFonts w:hint="eastAsia" w:ascii="仿宋" w:hAnsi="仿宋" w:eastAsia="仿宋" w:cs="仿宋"/>
          <w:sz w:val="21"/>
          <w:szCs w:val="21"/>
          <w:highlight w:val="none"/>
        </w:rPr>
      </w:pPr>
      <w:bookmarkStart w:id="931" w:name="_Toc5005031"/>
      <w:bookmarkStart w:id="932" w:name="_Toc4578864"/>
      <w:bookmarkStart w:id="933" w:name="_Toc4659727"/>
      <w:r>
        <w:rPr>
          <w:rFonts w:hint="eastAsia" w:ascii="仿宋" w:hAnsi="仿宋" w:eastAsia="仿宋" w:cs="仿宋"/>
          <w:sz w:val="21"/>
          <w:szCs w:val="21"/>
          <w:highlight w:val="none"/>
        </w:rPr>
        <w:t>本授权声明：</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（法定代表人/单位负责人、职务）授权</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 xml:space="preserve">（被授权人姓名、职务）为我方 “ </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 xml:space="preserve"> ”项目（采购编号：</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lang w:val="en-US" w:eastAsia="zh-CN"/>
        </w:rPr>
        <w:t xml:space="preserve"> </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（包号）</w:t>
      </w:r>
      <w:r>
        <w:rPr>
          <w:rFonts w:hint="eastAsia" w:ascii="仿宋" w:hAnsi="仿宋" w:eastAsia="仿宋" w:cs="仿宋"/>
          <w:sz w:val="21"/>
          <w:szCs w:val="21"/>
          <w:highlight w:val="none"/>
        </w:rPr>
        <w:t>投标活动的合法代表，以我方名义全权处理该项目有关有关投标、签订合同以及执行合同等一切事宜。</w:t>
      </w:r>
      <w:bookmarkEnd w:id="931"/>
      <w:bookmarkEnd w:id="932"/>
      <w:bookmarkEnd w:id="933"/>
    </w:p>
    <w:p>
      <w:pPr>
        <w:spacing w:line="480" w:lineRule="auto"/>
        <w:ind w:firstLine="420" w:firstLineChars="200"/>
        <w:rPr>
          <w:rFonts w:hint="eastAsia" w:ascii="仿宋" w:hAnsi="仿宋" w:eastAsia="仿宋" w:cs="仿宋"/>
          <w:sz w:val="21"/>
          <w:szCs w:val="21"/>
          <w:highlight w:val="none"/>
        </w:rPr>
      </w:pPr>
      <w:bookmarkStart w:id="934" w:name="_Toc4659728"/>
      <w:bookmarkStart w:id="935" w:name="_Toc5005032"/>
      <w:bookmarkStart w:id="936" w:name="_Toc4578865"/>
      <w:r>
        <w:rPr>
          <w:rFonts w:hint="eastAsia" w:ascii="仿宋" w:hAnsi="仿宋" w:eastAsia="仿宋" w:cs="仿宋"/>
          <w:sz w:val="21"/>
          <w:szCs w:val="21"/>
          <w:highlight w:val="none"/>
        </w:rPr>
        <w:t>特此声明。</w:t>
      </w:r>
      <w:bookmarkEnd w:id="934"/>
      <w:bookmarkEnd w:id="935"/>
      <w:bookmarkEnd w:id="936"/>
    </w:p>
    <w:p>
      <w:pPr>
        <w:spacing w:line="360" w:lineRule="auto"/>
        <w:rPr>
          <w:rFonts w:hint="eastAsia" w:ascii="仿宋" w:hAnsi="仿宋" w:eastAsia="仿宋" w:cs="仿宋"/>
          <w:highlight w:val="none"/>
        </w:rPr>
      </w:pPr>
    </w:p>
    <w:p>
      <w:pPr>
        <w:spacing w:line="360" w:lineRule="auto"/>
        <w:rPr>
          <w:rFonts w:hint="eastAsia" w:ascii="仿宋" w:hAnsi="仿宋" w:eastAsia="仿宋" w:cs="仿宋"/>
          <w:highlight w:val="none"/>
        </w:rPr>
      </w:pPr>
    </w:p>
    <w:p>
      <w:pPr>
        <w:spacing w:line="480" w:lineRule="auto"/>
        <w:rPr>
          <w:rFonts w:hint="eastAsia" w:ascii="仿宋" w:hAnsi="仿宋" w:eastAsia="仿宋" w:cs="仿宋"/>
          <w:sz w:val="21"/>
          <w:szCs w:val="21"/>
          <w:highlight w:val="none"/>
        </w:rPr>
      </w:pPr>
    </w:p>
    <w:p>
      <w:pPr>
        <w:spacing w:line="480" w:lineRule="auto"/>
        <w:ind w:firstLine="3360" w:firstLineChars="1600"/>
        <w:rPr>
          <w:rFonts w:hint="eastAsia" w:ascii="仿宋" w:hAnsi="仿宋" w:eastAsia="仿宋" w:cs="仿宋"/>
          <w:sz w:val="21"/>
          <w:szCs w:val="21"/>
          <w:highlight w:val="none"/>
        </w:rPr>
      </w:pPr>
      <w:bookmarkStart w:id="937" w:name="_Toc4578866"/>
      <w:bookmarkStart w:id="938" w:name="_Toc5005033"/>
      <w:bookmarkStart w:id="939" w:name="_Toc4659729"/>
      <w:r>
        <w:rPr>
          <w:rFonts w:hint="eastAsia" w:ascii="仿宋" w:hAnsi="仿宋" w:eastAsia="仿宋" w:cs="仿宋"/>
          <w:sz w:val="21"/>
          <w:szCs w:val="21"/>
          <w:highlight w:val="none"/>
        </w:rPr>
        <w:t>法定代表人/单位负责人（签字）：</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 xml:space="preserve"> 。</w:t>
      </w:r>
      <w:bookmarkEnd w:id="937"/>
      <w:bookmarkEnd w:id="938"/>
      <w:bookmarkEnd w:id="939"/>
    </w:p>
    <w:p>
      <w:pPr>
        <w:spacing w:line="480" w:lineRule="auto"/>
        <w:ind w:firstLine="3360" w:firstLineChars="1600"/>
        <w:rPr>
          <w:rFonts w:hint="eastAsia" w:ascii="仿宋" w:hAnsi="仿宋" w:eastAsia="仿宋" w:cs="仿宋"/>
          <w:sz w:val="21"/>
          <w:szCs w:val="21"/>
          <w:highlight w:val="none"/>
        </w:rPr>
      </w:pPr>
      <w:bookmarkStart w:id="940" w:name="_Toc4659730"/>
      <w:bookmarkStart w:id="941" w:name="_Toc5005034"/>
      <w:bookmarkStart w:id="942" w:name="_Toc4578867"/>
      <w:r>
        <w:rPr>
          <w:rFonts w:hint="eastAsia" w:ascii="仿宋" w:hAnsi="仿宋" w:eastAsia="仿宋" w:cs="仿宋"/>
          <w:sz w:val="21"/>
          <w:szCs w:val="21"/>
          <w:highlight w:val="none"/>
        </w:rPr>
        <w:t>授权代表（签字）：</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 xml:space="preserve"> 。</w:t>
      </w:r>
      <w:bookmarkEnd w:id="940"/>
      <w:bookmarkEnd w:id="941"/>
      <w:bookmarkEnd w:id="942"/>
    </w:p>
    <w:p>
      <w:pPr>
        <w:spacing w:line="480" w:lineRule="auto"/>
        <w:ind w:firstLine="3360" w:firstLineChars="1600"/>
        <w:rPr>
          <w:rFonts w:hint="eastAsia" w:ascii="仿宋" w:hAnsi="仿宋" w:eastAsia="仿宋" w:cs="仿宋"/>
          <w:sz w:val="21"/>
          <w:szCs w:val="21"/>
          <w:highlight w:val="none"/>
        </w:rPr>
      </w:pPr>
      <w:bookmarkStart w:id="943" w:name="_Toc4578868"/>
      <w:bookmarkStart w:id="944" w:name="_Toc5005035"/>
      <w:bookmarkStart w:id="945" w:name="_Toc4659731"/>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（单位盖章）。</w:t>
      </w:r>
      <w:bookmarkEnd w:id="943"/>
      <w:bookmarkEnd w:id="944"/>
      <w:bookmarkEnd w:id="945"/>
    </w:p>
    <w:p>
      <w:pPr>
        <w:spacing w:line="480" w:lineRule="auto"/>
        <w:ind w:firstLine="3360" w:firstLineChars="1600"/>
        <w:rPr>
          <w:rFonts w:hint="eastAsia" w:ascii="仿宋" w:hAnsi="仿宋" w:eastAsia="仿宋" w:cs="仿宋"/>
          <w:sz w:val="21"/>
          <w:szCs w:val="21"/>
          <w:highlight w:val="none"/>
        </w:rPr>
      </w:pPr>
      <w:bookmarkStart w:id="946" w:name="_Toc4578869"/>
      <w:bookmarkStart w:id="947" w:name="_Toc4659732"/>
      <w:bookmarkStart w:id="948" w:name="_Toc5005036"/>
      <w:r>
        <w:rPr>
          <w:rFonts w:hint="eastAsia" w:ascii="仿宋" w:hAnsi="仿宋" w:eastAsia="仿宋" w:cs="仿宋"/>
          <w:sz w:val="21"/>
          <w:szCs w:val="21"/>
          <w:highlight w:val="none"/>
        </w:rPr>
        <w:t>日    期：</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w:t>
      </w:r>
      <w:bookmarkEnd w:id="946"/>
      <w:bookmarkEnd w:id="947"/>
      <w:bookmarkEnd w:id="948"/>
    </w:p>
    <w:p>
      <w:pPr>
        <w:spacing w:line="360" w:lineRule="auto"/>
        <w:rPr>
          <w:rFonts w:hint="eastAsia" w:ascii="仿宋" w:hAnsi="仿宋" w:eastAsia="仿宋" w:cs="仿宋"/>
          <w:highlight w:val="none"/>
        </w:rPr>
      </w:pPr>
      <w:bookmarkStart w:id="949" w:name="_Toc217446084"/>
    </w:p>
    <w:p>
      <w:pPr>
        <w:spacing w:line="360" w:lineRule="auto"/>
        <w:rPr>
          <w:rFonts w:hint="eastAsia" w:ascii="仿宋" w:hAnsi="仿宋" w:eastAsia="仿宋" w:cs="仿宋"/>
          <w:highlight w:val="none"/>
        </w:rPr>
      </w:pPr>
    </w:p>
    <w:p>
      <w:pPr>
        <w:spacing w:line="360" w:lineRule="auto"/>
        <w:rPr>
          <w:rFonts w:hint="eastAsia" w:ascii="仿宋" w:hAnsi="仿宋" w:eastAsia="仿宋" w:cs="仿宋"/>
          <w:highlight w:val="none"/>
        </w:rPr>
      </w:pPr>
    </w:p>
    <w:p>
      <w:pPr>
        <w:spacing w:line="360" w:lineRule="auto"/>
        <w:rPr>
          <w:rFonts w:hint="eastAsia" w:ascii="仿宋" w:hAnsi="仿宋" w:eastAsia="仿宋" w:cs="仿宋"/>
          <w:highlight w:val="none"/>
        </w:rPr>
      </w:pPr>
    </w:p>
    <w:p>
      <w:pPr>
        <w:spacing w:line="360" w:lineRule="auto"/>
        <w:ind w:left="630" w:hanging="630" w:hangingChars="350"/>
        <w:rPr>
          <w:rFonts w:hint="eastAsia" w:ascii="仿宋" w:hAnsi="仿宋" w:eastAsia="仿宋" w:cs="仿宋"/>
          <w:sz w:val="18"/>
          <w:szCs w:val="18"/>
          <w:highlight w:val="none"/>
        </w:rPr>
      </w:pPr>
      <w:r>
        <w:rPr>
          <w:rFonts w:hint="eastAsia" w:ascii="仿宋" w:hAnsi="仿宋" w:eastAsia="仿宋" w:cs="仿宋"/>
          <w:sz w:val="18"/>
          <w:szCs w:val="18"/>
          <w:highlight w:val="none"/>
        </w:rPr>
        <w:t>注：</w:t>
      </w:r>
    </w:p>
    <w:p>
      <w:pPr>
        <w:spacing w:line="360" w:lineRule="auto"/>
        <w:ind w:firstLine="360" w:firstLineChars="200"/>
        <w:rPr>
          <w:rFonts w:hint="eastAsia" w:ascii="仿宋" w:hAnsi="仿宋" w:eastAsia="仿宋" w:cs="仿宋"/>
          <w:sz w:val="18"/>
          <w:szCs w:val="18"/>
          <w:highlight w:val="none"/>
        </w:rPr>
      </w:pPr>
      <w:r>
        <w:rPr>
          <w:rFonts w:hint="eastAsia" w:ascii="仿宋" w:hAnsi="仿宋" w:eastAsia="仿宋" w:cs="仿宋"/>
          <w:sz w:val="18"/>
          <w:szCs w:val="18"/>
          <w:highlight w:val="none"/>
        </w:rPr>
        <w:t>1、投标人为法人单位时提供“法定代表人授权书”，投标人为其他组织时提供“单位负责人授权书”，投标人为自然人时提供“自然人身份证明材料”。</w:t>
      </w:r>
    </w:p>
    <w:p>
      <w:pPr>
        <w:spacing w:line="360" w:lineRule="auto"/>
        <w:ind w:firstLine="360" w:firstLineChars="200"/>
        <w:rPr>
          <w:rFonts w:hint="eastAsia" w:ascii="仿宋" w:hAnsi="仿宋" w:eastAsia="仿宋" w:cs="仿宋"/>
          <w:sz w:val="18"/>
          <w:szCs w:val="18"/>
          <w:highlight w:val="none"/>
        </w:rPr>
      </w:pPr>
      <w:r>
        <w:rPr>
          <w:rFonts w:hint="eastAsia" w:ascii="仿宋" w:hAnsi="仿宋" w:eastAsia="仿宋" w:cs="仿宋"/>
          <w:sz w:val="18"/>
          <w:szCs w:val="18"/>
          <w:highlight w:val="none"/>
        </w:rPr>
        <w:t>2、应附法定代表人/单位负责人身份证明、身份证复印件和授权代表身份证明材料复印件。</w:t>
      </w:r>
    </w:p>
    <w:p>
      <w:pPr>
        <w:spacing w:line="360" w:lineRule="auto"/>
        <w:ind w:firstLine="360" w:firstLineChars="200"/>
        <w:rPr>
          <w:rFonts w:hint="eastAsia" w:ascii="仿宋" w:hAnsi="仿宋" w:eastAsia="仿宋" w:cs="仿宋"/>
          <w:sz w:val="18"/>
          <w:szCs w:val="18"/>
          <w:highlight w:val="none"/>
        </w:rPr>
      </w:pPr>
      <w:r>
        <w:rPr>
          <w:rFonts w:hint="eastAsia" w:ascii="仿宋" w:hAnsi="仿宋" w:eastAsia="仿宋" w:cs="仿宋"/>
          <w:sz w:val="18"/>
          <w:szCs w:val="18"/>
          <w:highlight w:val="none"/>
        </w:rPr>
        <w:t>3、身份证明材料包括居民身份证或户口本或军官证或护照等。</w:t>
      </w:r>
    </w:p>
    <w:p>
      <w:pPr>
        <w:spacing w:line="360" w:lineRule="auto"/>
        <w:ind w:firstLine="360" w:firstLineChars="200"/>
        <w:rPr>
          <w:rFonts w:hint="eastAsia" w:ascii="仿宋" w:hAnsi="仿宋" w:eastAsia="仿宋" w:cs="仿宋"/>
          <w:sz w:val="18"/>
          <w:szCs w:val="18"/>
          <w:highlight w:val="none"/>
        </w:rPr>
      </w:pPr>
      <w:r>
        <w:rPr>
          <w:rFonts w:hint="eastAsia" w:ascii="仿宋" w:hAnsi="仿宋" w:eastAsia="仿宋" w:cs="仿宋"/>
          <w:sz w:val="18"/>
          <w:szCs w:val="18"/>
          <w:highlight w:val="none"/>
        </w:rPr>
        <w:t>4、身份证明材料应同时提供其在有效期的材料，如居民身份证正、反面复印件。</w:t>
      </w:r>
    </w:p>
    <w:p>
      <w:pPr>
        <w:spacing w:line="360" w:lineRule="auto"/>
        <w:ind w:firstLine="360" w:firstLineChars="200"/>
        <w:rPr>
          <w:rFonts w:hint="eastAsia" w:ascii="仿宋" w:hAnsi="仿宋" w:eastAsia="仿宋" w:cs="仿宋"/>
          <w:sz w:val="18"/>
          <w:szCs w:val="18"/>
          <w:highlight w:val="none"/>
        </w:rPr>
      </w:pPr>
      <w:r>
        <w:rPr>
          <w:rFonts w:hint="eastAsia" w:ascii="仿宋" w:hAnsi="仿宋" w:eastAsia="仿宋" w:cs="仿宋"/>
          <w:sz w:val="18"/>
          <w:szCs w:val="18"/>
          <w:highlight w:val="none"/>
        </w:rPr>
        <w:t>5、法定代表人/单位负责人不亲自投标而委托代理人投标的投标人适用。</w:t>
      </w:r>
    </w:p>
    <w:p>
      <w:pPr>
        <w:snapToGrid w:val="0"/>
        <w:spacing w:before="120" w:beforeLines="50" w:line="360" w:lineRule="auto"/>
        <w:jc w:val="center"/>
        <w:outlineLvl w:val="1"/>
        <w:rPr>
          <w:rFonts w:hint="eastAsia" w:ascii="仿宋" w:hAnsi="仿宋" w:eastAsia="仿宋" w:cs="仿宋"/>
          <w:b/>
          <w:bCs/>
          <w:sz w:val="30"/>
          <w:szCs w:val="30"/>
          <w:highlight w:val="none"/>
        </w:rPr>
      </w:pPr>
      <w:r>
        <w:rPr>
          <w:rFonts w:hint="eastAsia" w:ascii="仿宋" w:hAnsi="仿宋" w:eastAsia="仿宋" w:cs="仿宋"/>
          <w:b/>
          <w:highlight w:val="none"/>
        </w:rPr>
        <w:br w:type="page"/>
      </w:r>
      <w:bookmarkEnd w:id="949"/>
      <w:bookmarkStart w:id="950" w:name="_Toc13375"/>
      <w:bookmarkStart w:id="951" w:name="_Toc6979"/>
      <w:bookmarkStart w:id="952" w:name="_Toc15552"/>
      <w:bookmarkStart w:id="953" w:name="_Toc5005037"/>
      <w:bookmarkStart w:id="954" w:name="_Toc6489"/>
      <w:bookmarkStart w:id="955" w:name="_Toc4659733"/>
      <w:bookmarkStart w:id="956" w:name="_Toc4578870"/>
      <w:bookmarkStart w:id="957" w:name="_Toc20998"/>
      <w:bookmarkStart w:id="958" w:name="_Toc256000102"/>
      <w:bookmarkStart w:id="959" w:name="_Toc24787"/>
      <w:r>
        <w:rPr>
          <w:rFonts w:hint="eastAsia" w:ascii="仿宋" w:hAnsi="仿宋" w:eastAsia="仿宋" w:cs="仿宋"/>
          <w:b/>
          <w:bCs/>
          <w:sz w:val="30"/>
          <w:szCs w:val="30"/>
          <w:highlight w:val="none"/>
          <w:lang w:eastAsia="zh-CN"/>
        </w:rPr>
        <w:t>二</w:t>
      </w:r>
      <w:r>
        <w:rPr>
          <w:rFonts w:hint="eastAsia" w:ascii="仿宋" w:hAnsi="仿宋" w:eastAsia="仿宋" w:cs="仿宋"/>
          <w:b/>
          <w:bCs/>
          <w:sz w:val="30"/>
          <w:szCs w:val="30"/>
          <w:highlight w:val="none"/>
        </w:rPr>
        <w:t>、法定代表人/单位负责人身份证明</w:t>
      </w:r>
      <w:bookmarkEnd w:id="950"/>
      <w:bookmarkEnd w:id="951"/>
      <w:bookmarkEnd w:id="952"/>
      <w:bookmarkEnd w:id="953"/>
      <w:bookmarkEnd w:id="954"/>
      <w:bookmarkEnd w:id="955"/>
      <w:bookmarkEnd w:id="956"/>
      <w:bookmarkEnd w:id="957"/>
      <w:bookmarkEnd w:id="958"/>
      <w:bookmarkEnd w:id="959"/>
    </w:p>
    <w:p>
      <w:pPr>
        <w:spacing w:line="360" w:lineRule="auto"/>
        <w:rPr>
          <w:rFonts w:hint="eastAsia" w:ascii="仿宋" w:hAnsi="仿宋" w:eastAsia="仿宋" w:cs="仿宋"/>
          <w:sz w:val="27"/>
          <w:highlight w:val="none"/>
        </w:rPr>
      </w:pPr>
      <w:r>
        <w:rPr>
          <w:rFonts w:hint="eastAsia" w:ascii="仿宋" w:hAnsi="仿宋" w:eastAsia="仿宋" w:cs="仿宋"/>
          <w:highlight w:val="none"/>
        </w:rPr>
        <w:t xml:space="preserve">    </w:t>
      </w:r>
    </w:p>
    <w:p>
      <w:pPr>
        <w:spacing w:line="360" w:lineRule="auto"/>
        <w:rPr>
          <w:rFonts w:hint="eastAsia" w:ascii="仿宋" w:hAnsi="仿宋" w:eastAsia="仿宋" w:cs="仿宋"/>
          <w:sz w:val="21"/>
          <w:szCs w:val="21"/>
          <w:highlight w:val="none"/>
          <w:u w:val="single"/>
        </w:rPr>
      </w:pPr>
      <w:r>
        <w:rPr>
          <w:rFonts w:hint="eastAsia" w:ascii="仿宋" w:hAnsi="仿宋" w:eastAsia="仿宋" w:cs="仿宋"/>
          <w:highlight w:val="none"/>
        </w:rPr>
        <w:t xml:space="preserve">  </w:t>
      </w:r>
      <w:r>
        <w:rPr>
          <w:rFonts w:hint="eastAsia" w:ascii="仿宋" w:hAnsi="仿宋" w:eastAsia="仿宋" w:cs="仿宋"/>
          <w:szCs w:val="21"/>
          <w:highlight w:val="none"/>
        </w:rPr>
        <w:t xml:space="preserve"> </w:t>
      </w:r>
      <w:r>
        <w:rPr>
          <w:rFonts w:hint="eastAsia" w:ascii="仿宋" w:hAnsi="仿宋" w:eastAsia="仿宋" w:cs="仿宋"/>
          <w:sz w:val="21"/>
          <w:szCs w:val="21"/>
          <w:highlight w:val="none"/>
        </w:rPr>
        <w:t xml:space="preserve"> 投标人名称：  </w:t>
      </w:r>
      <w:r>
        <w:rPr>
          <w:rFonts w:hint="eastAsia" w:ascii="仿宋" w:hAnsi="仿宋" w:eastAsia="仿宋" w:cs="仿宋"/>
          <w:sz w:val="21"/>
          <w:szCs w:val="21"/>
          <w:highlight w:val="none"/>
          <w:u w:val="single"/>
        </w:rPr>
        <w:t xml:space="preserve">                   </w:t>
      </w:r>
    </w:p>
    <w:p>
      <w:pPr>
        <w:spacing w:line="360" w:lineRule="auto"/>
        <w:rPr>
          <w:rFonts w:hint="eastAsia" w:ascii="仿宋" w:hAnsi="仿宋" w:eastAsia="仿宋" w:cs="仿宋"/>
          <w:sz w:val="21"/>
          <w:szCs w:val="21"/>
          <w:highlight w:val="none"/>
          <w:u w:val="single"/>
        </w:rPr>
      </w:pPr>
      <w:r>
        <w:rPr>
          <w:rFonts w:hint="eastAsia" w:ascii="仿宋" w:hAnsi="仿宋" w:eastAsia="仿宋" w:cs="仿宋"/>
          <w:sz w:val="21"/>
          <w:szCs w:val="21"/>
          <w:highlight w:val="none"/>
        </w:rPr>
        <w:t xml:space="preserve">    单位性质： </w:t>
      </w:r>
      <w:r>
        <w:rPr>
          <w:rFonts w:hint="eastAsia" w:ascii="仿宋" w:hAnsi="仿宋" w:eastAsia="仿宋" w:cs="仿宋"/>
          <w:sz w:val="21"/>
          <w:szCs w:val="21"/>
          <w:highlight w:val="none"/>
          <w:u w:val="single"/>
        </w:rPr>
        <w:t xml:space="preserve">                     </w:t>
      </w:r>
    </w:p>
    <w:p>
      <w:pPr>
        <w:spacing w:line="360" w:lineRule="auto"/>
        <w:rPr>
          <w:rFonts w:hint="eastAsia" w:ascii="仿宋" w:hAnsi="仿宋" w:eastAsia="仿宋" w:cs="仿宋"/>
          <w:sz w:val="21"/>
          <w:szCs w:val="21"/>
          <w:highlight w:val="none"/>
          <w:u w:val="single"/>
        </w:rPr>
      </w:pPr>
      <w:r>
        <w:rPr>
          <w:rFonts w:hint="eastAsia" w:ascii="仿宋" w:hAnsi="仿宋" w:eastAsia="仿宋" w:cs="仿宋"/>
          <w:sz w:val="21"/>
          <w:szCs w:val="21"/>
          <w:highlight w:val="none"/>
        </w:rPr>
        <w:t xml:space="preserve">    地址： </w:t>
      </w:r>
      <w:r>
        <w:rPr>
          <w:rFonts w:hint="eastAsia" w:ascii="仿宋" w:hAnsi="仿宋" w:eastAsia="仿宋" w:cs="仿宋"/>
          <w:sz w:val="21"/>
          <w:szCs w:val="21"/>
          <w:highlight w:val="none"/>
          <w:u w:val="single"/>
        </w:rPr>
        <w:t xml:space="preserve">                         </w:t>
      </w:r>
    </w:p>
    <w:p>
      <w:pPr>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成立时间：_______年_______月_______日</w:t>
      </w:r>
    </w:p>
    <w:p>
      <w:pPr>
        <w:spacing w:line="360" w:lineRule="auto"/>
        <w:rPr>
          <w:rFonts w:hint="eastAsia" w:ascii="仿宋" w:hAnsi="仿宋" w:eastAsia="仿宋" w:cs="仿宋"/>
          <w:sz w:val="21"/>
          <w:szCs w:val="21"/>
          <w:highlight w:val="none"/>
          <w:u w:val="single"/>
        </w:rPr>
      </w:pPr>
      <w:r>
        <w:rPr>
          <w:rFonts w:hint="eastAsia" w:ascii="仿宋" w:hAnsi="仿宋" w:eastAsia="仿宋" w:cs="仿宋"/>
          <w:sz w:val="21"/>
          <w:szCs w:val="21"/>
          <w:highlight w:val="none"/>
        </w:rPr>
        <w:t xml:space="preserve">    经营期限：</w:t>
      </w:r>
      <w:r>
        <w:rPr>
          <w:rFonts w:hint="eastAsia" w:ascii="仿宋" w:hAnsi="仿宋" w:eastAsia="仿宋" w:cs="仿宋"/>
          <w:sz w:val="21"/>
          <w:szCs w:val="21"/>
          <w:highlight w:val="none"/>
          <w:u w:val="single"/>
        </w:rPr>
        <w:t xml:space="preserve">                          </w:t>
      </w:r>
    </w:p>
    <w:p>
      <w:pPr>
        <w:spacing w:line="360" w:lineRule="auto"/>
        <w:rPr>
          <w:rFonts w:hint="eastAsia" w:ascii="仿宋" w:hAnsi="仿宋" w:eastAsia="仿宋" w:cs="仿宋"/>
          <w:sz w:val="21"/>
          <w:szCs w:val="21"/>
          <w:highlight w:val="none"/>
        </w:rPr>
      </w:pPr>
    </w:p>
    <w:p>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姓名：_______系_______（供应商名称） 的法定代表人/单位负责人（职务：_______电话：_______）。</w:t>
      </w:r>
    </w:p>
    <w:p>
      <w:pPr>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特此证明。</w:t>
      </w:r>
    </w:p>
    <w:p>
      <w:pPr>
        <w:spacing w:line="360" w:lineRule="auto"/>
        <w:rPr>
          <w:rFonts w:hint="eastAsia" w:ascii="仿宋" w:hAnsi="仿宋" w:eastAsia="仿宋" w:cs="仿宋"/>
          <w:sz w:val="21"/>
          <w:szCs w:val="21"/>
          <w:highlight w:val="none"/>
        </w:rPr>
      </w:pPr>
    </w:p>
    <w:p>
      <w:pPr>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附：法定代表人/单位负责人身份证扫描件（复印件）</w:t>
      </w:r>
    </w:p>
    <w:p>
      <w:pPr>
        <w:spacing w:line="360" w:lineRule="auto"/>
        <w:rPr>
          <w:rFonts w:hint="eastAsia" w:ascii="仿宋" w:hAnsi="仿宋" w:eastAsia="仿宋" w:cs="仿宋"/>
          <w:sz w:val="21"/>
          <w:szCs w:val="21"/>
          <w:highlight w:val="none"/>
        </w:rPr>
      </w:pPr>
    </w:p>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 盖单位章）</w:t>
      </w:r>
    </w:p>
    <w:p>
      <w:pPr>
        <w:spacing w:line="360" w:lineRule="auto"/>
        <w:jc w:val="center"/>
        <w:rPr>
          <w:rFonts w:hint="eastAsia" w:ascii="仿宋" w:hAnsi="仿宋" w:eastAsia="仿宋" w:cs="仿宋"/>
          <w:sz w:val="21"/>
          <w:szCs w:val="21"/>
          <w:highlight w:val="none"/>
        </w:rPr>
      </w:pPr>
    </w:p>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_______年_______月_______日</w:t>
      </w:r>
    </w:p>
    <w:p>
      <w:pPr>
        <w:spacing w:line="360" w:lineRule="auto"/>
        <w:jc w:val="center"/>
        <w:rPr>
          <w:rFonts w:hint="eastAsia" w:ascii="仿宋" w:hAnsi="仿宋" w:eastAsia="仿宋" w:cs="仿宋"/>
          <w:sz w:val="24"/>
          <w:highlight w:val="none"/>
        </w:rPr>
      </w:pPr>
    </w:p>
    <w:p>
      <w:pPr>
        <w:spacing w:line="360" w:lineRule="auto"/>
        <w:rPr>
          <w:rFonts w:hint="eastAsia" w:ascii="仿宋" w:hAnsi="仿宋" w:eastAsia="仿宋" w:cs="仿宋"/>
          <w:szCs w:val="21"/>
          <w:highlight w:val="none"/>
        </w:rPr>
      </w:pPr>
    </w:p>
    <w:p>
      <w:pPr>
        <w:spacing w:line="360" w:lineRule="auto"/>
        <w:rPr>
          <w:rFonts w:hint="eastAsia" w:ascii="仿宋" w:hAnsi="仿宋" w:eastAsia="仿宋" w:cs="仿宋"/>
          <w:sz w:val="18"/>
          <w:szCs w:val="18"/>
          <w:highlight w:val="none"/>
        </w:rPr>
      </w:pPr>
      <w:r>
        <w:rPr>
          <w:rFonts w:hint="eastAsia" w:ascii="仿宋" w:hAnsi="仿宋" w:eastAsia="仿宋" w:cs="仿宋"/>
          <w:sz w:val="18"/>
          <w:szCs w:val="18"/>
          <w:highlight w:val="none"/>
        </w:rPr>
        <w:t xml:space="preserve">    注：法定代表人/单位负责人亲自投标而不委托代理人投标适用。</w:t>
      </w:r>
    </w:p>
    <w:p>
      <w:pPr>
        <w:spacing w:line="360" w:lineRule="auto"/>
        <w:jc w:val="center"/>
        <w:outlineLvl w:val="1"/>
        <w:rPr>
          <w:rFonts w:hint="eastAsia" w:ascii="仿宋" w:hAnsi="仿宋" w:eastAsia="仿宋" w:cs="仿宋"/>
          <w:b/>
          <w:bCs/>
          <w:sz w:val="30"/>
          <w:szCs w:val="30"/>
          <w:highlight w:val="none"/>
        </w:rPr>
        <w:sectPr>
          <w:pgSz w:w="11905" w:h="16838"/>
          <w:pgMar w:top="1440" w:right="1746" w:bottom="1440" w:left="1746" w:header="850" w:footer="992" w:gutter="0"/>
          <w:pgNumType w:fmt="decimal"/>
          <w:cols w:space="720" w:num="1"/>
          <w:titlePg/>
          <w:rtlGutter w:val="0"/>
          <w:docGrid w:linePitch="360" w:charSpace="0"/>
        </w:sectPr>
      </w:pPr>
    </w:p>
    <w:bookmarkEnd w:id="919"/>
    <w:bookmarkEnd w:id="920"/>
    <w:bookmarkEnd w:id="921"/>
    <w:bookmarkEnd w:id="922"/>
    <w:bookmarkEnd w:id="923"/>
    <w:p>
      <w:pPr>
        <w:spacing w:before="120" w:beforeLines="50" w:line="360" w:lineRule="auto"/>
        <w:jc w:val="center"/>
        <w:outlineLvl w:val="1"/>
        <w:rPr>
          <w:rFonts w:hint="eastAsia" w:ascii="仿宋" w:hAnsi="仿宋" w:eastAsia="仿宋" w:cs="仿宋"/>
          <w:b/>
          <w:sz w:val="30"/>
          <w:szCs w:val="30"/>
          <w:highlight w:val="none"/>
        </w:rPr>
      </w:pPr>
      <w:bookmarkStart w:id="960" w:name="_Toc26284"/>
      <w:bookmarkStart w:id="961" w:name="_Toc23737"/>
      <w:bookmarkStart w:id="962" w:name="_Toc4439"/>
      <w:bookmarkStart w:id="963" w:name="_Toc23248"/>
      <w:bookmarkStart w:id="964" w:name="_Toc12451"/>
      <w:bookmarkStart w:id="965" w:name="_Toc1183"/>
      <w:bookmarkStart w:id="966" w:name="_Toc27708"/>
      <w:bookmarkStart w:id="967" w:name="_Toc31332"/>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、承诺函</w:t>
      </w:r>
      <w:bookmarkEnd w:id="960"/>
      <w:bookmarkEnd w:id="961"/>
      <w:bookmarkEnd w:id="962"/>
      <w:bookmarkEnd w:id="963"/>
      <w:bookmarkEnd w:id="964"/>
      <w:bookmarkEnd w:id="965"/>
      <w:bookmarkEnd w:id="966"/>
      <w:bookmarkEnd w:id="967"/>
    </w:p>
    <w:p>
      <w:pPr>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（采购代理机构名称）：</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我公司作为本次采购项目的投标</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，根据招标文件要求，现郑重承诺如下：</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1．具有良好的商业信誉和健全的财务会计制度；</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2．具有履行合同所必需的设备和专业技术能力；</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3．具有依法缴纳税收和社会保障资金的良好记录；</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4．参加本次政府采购活动前三年内，在经营活动中没有重大违法记录(</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成立不足三年的，从成立之日起计算)；</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5．符合法律、行政法规规定的其他条件；</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6．如对招标文件有异议，已经在投标截止时间届满前依法进行维权救济，不存在对招标文件有异议的同时又参加投标以求侥幸中标或者为实现其他非法目的的行为。</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7．参加本次采购活动，不存在与单位负责人为同一人或者存在直接控股、管理关系的其他</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参与同一合同项下的政府采购活动的行为。</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8．参加本次采购活动前本单位未对本次采购项目提供过整体设计、规范编制或者项目管理、监理、检测等服务。</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9．参加本次采购活动，不存在和其他</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在同一合同项下的采购项目中，同时委托同一个自然人、同一家庭的人员、同一单位的人员作为代理人的行为。</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10．投标人投标截止日前未被财政部门记入诚信档案的且在有效期内的失信行为；</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 xml:space="preserve">11. </w:t>
      </w:r>
      <w:r>
        <w:rPr>
          <w:rFonts w:hint="eastAsia" w:ascii="仿宋" w:hAnsi="仿宋" w:eastAsia="仿宋" w:cs="仿宋"/>
          <w:sz w:val="21"/>
          <w:szCs w:val="21"/>
          <w:highlight w:val="none"/>
        </w:rPr>
        <w:t>投标人在投标截止日前未被工商部门、税务部门、审判机关及其他有关部门单位认定且处于有效期内的失信行为；</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 xml:space="preserve">12. </w:t>
      </w:r>
      <w:r>
        <w:rPr>
          <w:rFonts w:hint="eastAsia" w:ascii="仿宋" w:hAnsi="仿宋" w:eastAsia="仿宋" w:cs="仿宋"/>
          <w:sz w:val="21"/>
          <w:szCs w:val="21"/>
          <w:highlight w:val="none"/>
        </w:rPr>
        <w:t>投标人在参加本项目政府采购活动的前3年内，投标人及其现任法定代表人、主要负责人不得具有行贿犯罪记录。</w:t>
      </w:r>
    </w:p>
    <w:p>
      <w:pPr>
        <w:snapToGrid w:val="0"/>
        <w:spacing w:line="440" w:lineRule="exact"/>
        <w:ind w:firstLine="420" w:firstLineChars="200"/>
        <w:rPr>
          <w:rFonts w:hint="eastAsia" w:ascii="仿宋" w:hAnsi="仿宋" w:eastAsia="仿宋" w:cs="仿宋"/>
          <w:b/>
          <w:sz w:val="21"/>
          <w:szCs w:val="21"/>
          <w:highlight w:val="none"/>
        </w:rPr>
      </w:pPr>
      <w:r>
        <w:rPr>
          <w:rFonts w:hint="eastAsia" w:ascii="仿宋" w:hAnsi="仿宋" w:eastAsia="仿宋" w:cs="仿宋"/>
          <w:sz w:val="21"/>
          <w:szCs w:val="21"/>
          <w:highlight w:val="none"/>
          <w:lang w:val="en-US" w:eastAsia="zh-CN"/>
        </w:rPr>
        <w:t xml:space="preserve">13. </w:t>
      </w:r>
      <w:r>
        <w:rPr>
          <w:rFonts w:hint="eastAsia" w:ascii="仿宋" w:hAnsi="仿宋" w:eastAsia="仿宋" w:cs="仿宋"/>
          <w:sz w:val="21"/>
          <w:szCs w:val="21"/>
          <w:highlight w:val="none"/>
        </w:rPr>
        <w:t>不存在《四川省公共资源交易领域严重失信联合惩戒实施办法》（川发改信用规〔2019〕405号）、《关于对政府采购领域严重违法失信主体开展联合惩戒的合作备忘录》（发改财金〔2018〕1614号）等有关规定的记入诚信档案的失信行为。</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投标文件中提供的能够给予采购单位带来优惠、好处的任何材料资料和技术、服务、商务等响应承诺情况都是真实的、有效的、合法的。</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本公司对上述承诺的内容事项真实性、合法性负责。如经查实上述承诺的内容事项存在虚假，我公司自愿接受以提供虚假材料谋取成交所带来的所有法律责任。</w:t>
      </w:r>
    </w:p>
    <w:p>
      <w:pPr>
        <w:snapToGrid w:val="0"/>
        <w:spacing w:line="440" w:lineRule="exact"/>
        <w:ind w:firstLine="420" w:firstLineChars="200"/>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投标人名称：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(盖章)</w:t>
      </w:r>
    </w:p>
    <w:p>
      <w:pPr>
        <w:snapToGrid w:val="0"/>
        <w:spacing w:line="440" w:lineRule="exact"/>
        <w:ind w:firstLine="420" w:firstLineChars="200"/>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法定代表人/单位负责人或授权代表：</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(签字或盖章)</w:t>
      </w:r>
    </w:p>
    <w:p>
      <w:pPr>
        <w:snapToGrid w:val="0"/>
        <w:spacing w:line="440" w:lineRule="exact"/>
        <w:ind w:firstLine="420" w:firstLineChars="200"/>
        <w:jc w:val="center"/>
        <w:rPr>
          <w:rFonts w:hint="eastAsia" w:ascii="仿宋" w:hAnsi="仿宋" w:eastAsia="仿宋" w:cs="仿宋"/>
          <w:sz w:val="21"/>
          <w:szCs w:val="21"/>
          <w:highlight w:val="none"/>
          <w:u w:val="single"/>
        </w:rPr>
      </w:pPr>
      <w:r>
        <w:rPr>
          <w:rFonts w:hint="eastAsia" w:ascii="仿宋" w:hAnsi="仿宋" w:eastAsia="仿宋" w:cs="仿宋"/>
          <w:sz w:val="21"/>
          <w:szCs w:val="21"/>
          <w:highlight w:val="none"/>
        </w:rPr>
        <w:t xml:space="preserve">                                投标日期:</w:t>
      </w:r>
      <w:r>
        <w:rPr>
          <w:rFonts w:hint="eastAsia" w:ascii="仿宋" w:hAnsi="仿宋" w:eastAsia="仿宋" w:cs="仿宋"/>
          <w:sz w:val="21"/>
          <w:szCs w:val="21"/>
          <w:highlight w:val="none"/>
          <w:u w:val="single"/>
        </w:rPr>
        <w:t xml:space="preserve">            </w:t>
      </w: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35"/>
        <w:rPr>
          <w:rFonts w:hint="eastAsia" w:ascii="仿宋" w:hAnsi="仿宋" w:eastAsia="仿宋" w:cs="仿宋"/>
          <w:sz w:val="21"/>
          <w:szCs w:val="21"/>
          <w:highlight w:val="none"/>
          <w:u w:val="single"/>
        </w:rPr>
      </w:pPr>
    </w:p>
    <w:p>
      <w:pPr>
        <w:pStyle w:val="4"/>
        <w:spacing w:before="120" w:beforeLines="50" w:after="0" w:line="360" w:lineRule="auto"/>
        <w:jc w:val="center"/>
        <w:rPr>
          <w:rFonts w:hint="eastAsia" w:ascii="仿宋" w:hAnsi="仿宋" w:eastAsia="仿宋" w:cs="仿宋"/>
          <w:b/>
          <w:bCs/>
          <w:highlight w:val="none"/>
        </w:rPr>
      </w:pPr>
      <w:bookmarkStart w:id="968" w:name="_Toc3173"/>
      <w:bookmarkStart w:id="969" w:name="_Toc26722"/>
      <w:bookmarkStart w:id="970" w:name="_Toc1795"/>
      <w:bookmarkStart w:id="971" w:name="_Toc2904"/>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、投标人的资格、资质性及其他类似效力要求的相关证明材料</w:t>
      </w:r>
      <w:bookmarkEnd w:id="968"/>
      <w:bookmarkEnd w:id="969"/>
      <w:bookmarkEnd w:id="970"/>
      <w:bookmarkEnd w:id="971"/>
    </w:p>
    <w:p>
      <w:pPr>
        <w:pStyle w:val="119"/>
        <w:rPr>
          <w:rFonts w:hint="eastAsia" w:ascii="仿宋" w:hAnsi="仿宋" w:eastAsia="仿宋" w:cs="仿宋"/>
          <w:sz w:val="18"/>
          <w:szCs w:val="18"/>
          <w:highlight w:val="none"/>
        </w:rPr>
        <w:sectPr>
          <w:pgSz w:w="11905" w:h="16838"/>
          <w:pgMar w:top="1440" w:right="1746" w:bottom="1440" w:left="1746" w:header="850" w:footer="992" w:gutter="0"/>
          <w:pgNumType w:fmt="decimal"/>
          <w:cols w:space="720" w:num="1"/>
          <w:titlePg/>
          <w:rtlGutter w:val="0"/>
          <w:docGrid w:linePitch="360" w:charSpace="0"/>
        </w:sectPr>
      </w:pPr>
      <w:r>
        <w:rPr>
          <w:rFonts w:hint="eastAsia" w:ascii="仿宋" w:hAnsi="仿宋" w:eastAsia="仿宋" w:cs="仿宋"/>
          <w:bCs/>
          <w:highlight w:val="none"/>
        </w:rPr>
        <w:t>注：投标人应按招标文件第四、五章相关要求提供佐证材料，有格式要求的从其要求，无格式要求的格式自拟。</w:t>
      </w:r>
    </w:p>
    <w:p>
      <w:pPr>
        <w:pStyle w:val="93"/>
        <w:keepNext w:val="0"/>
        <w:keepLines w:val="0"/>
        <w:numPr>
          <w:ilvl w:val="0"/>
          <w:numId w:val="0"/>
        </w:numPr>
        <w:outlineLvl w:val="9"/>
        <w:rPr>
          <w:rFonts w:hint="eastAsia" w:ascii="仿宋" w:hAnsi="仿宋" w:eastAsia="仿宋" w:cs="仿宋"/>
          <w:highlight w:val="none"/>
        </w:rPr>
      </w:pPr>
      <w:bookmarkStart w:id="972" w:name="page40"/>
      <w:bookmarkEnd w:id="972"/>
    </w:p>
    <w:p>
      <w:pPr>
        <w:pStyle w:val="119"/>
        <w:rPr>
          <w:rFonts w:hint="eastAsia" w:ascii="仿宋" w:hAnsi="仿宋" w:eastAsia="仿宋" w:cs="仿宋"/>
          <w:highlight w:val="none"/>
        </w:rPr>
      </w:pPr>
    </w:p>
    <w:p>
      <w:pPr>
        <w:pStyle w:val="119"/>
        <w:rPr>
          <w:rFonts w:hint="eastAsia" w:ascii="仿宋" w:hAnsi="仿宋" w:eastAsia="仿宋" w:cs="仿宋"/>
          <w:highlight w:val="none"/>
        </w:rPr>
      </w:pPr>
    </w:p>
    <w:p>
      <w:pPr>
        <w:pStyle w:val="119"/>
        <w:rPr>
          <w:rFonts w:hint="eastAsia" w:ascii="仿宋" w:hAnsi="仿宋" w:eastAsia="仿宋" w:cs="仿宋"/>
          <w:highlight w:val="none"/>
        </w:rPr>
      </w:pPr>
    </w:p>
    <w:p>
      <w:pPr>
        <w:pStyle w:val="119"/>
        <w:rPr>
          <w:rFonts w:hint="eastAsia" w:ascii="仿宋" w:hAnsi="仿宋" w:eastAsia="仿宋" w:cs="仿宋"/>
          <w:highlight w:val="none"/>
        </w:rPr>
      </w:pPr>
    </w:p>
    <w:p>
      <w:pPr>
        <w:pStyle w:val="119"/>
        <w:rPr>
          <w:rFonts w:hint="eastAsia" w:ascii="仿宋" w:hAnsi="仿宋" w:eastAsia="仿宋" w:cs="仿宋"/>
          <w:highlight w:val="none"/>
        </w:rPr>
      </w:pPr>
    </w:p>
    <w:p>
      <w:pPr>
        <w:pStyle w:val="119"/>
        <w:rPr>
          <w:rFonts w:hint="eastAsia" w:ascii="仿宋" w:hAnsi="仿宋" w:eastAsia="仿宋" w:cs="仿宋"/>
          <w:highlight w:val="none"/>
        </w:rPr>
      </w:pPr>
    </w:p>
    <w:p>
      <w:pPr>
        <w:snapToGrid w:val="0"/>
        <w:spacing w:line="360" w:lineRule="auto"/>
        <w:jc w:val="center"/>
        <w:rPr>
          <w:rFonts w:hint="eastAsia" w:ascii="仿宋" w:hAnsi="仿宋" w:eastAsia="仿宋" w:cs="仿宋"/>
          <w:b/>
          <w:sz w:val="32"/>
          <w:highlight w:val="none"/>
        </w:rPr>
      </w:pPr>
      <w:bookmarkStart w:id="973" w:name="_Toc29228"/>
      <w:bookmarkStart w:id="974" w:name="_Toc25458"/>
      <w:bookmarkStart w:id="975" w:name="_Toc26322"/>
      <w:bookmarkStart w:id="976" w:name="_Toc2406"/>
      <w:bookmarkStart w:id="977" w:name="_Toc21899"/>
      <w:bookmarkStart w:id="978" w:name="_Toc28072"/>
    </w:p>
    <w:p>
      <w:pPr>
        <w:snapToGrid w:val="0"/>
        <w:spacing w:line="360" w:lineRule="auto"/>
        <w:jc w:val="center"/>
        <w:rPr>
          <w:rFonts w:hint="eastAsia" w:ascii="仿宋" w:hAnsi="仿宋" w:eastAsia="仿宋" w:cs="仿宋"/>
          <w:b/>
          <w:sz w:val="32"/>
          <w:highlight w:val="none"/>
        </w:rPr>
      </w:pPr>
    </w:p>
    <w:p>
      <w:pPr>
        <w:snapToGrid w:val="0"/>
        <w:spacing w:line="360" w:lineRule="auto"/>
        <w:jc w:val="center"/>
        <w:rPr>
          <w:rFonts w:hint="eastAsia" w:ascii="仿宋" w:hAnsi="仿宋" w:eastAsia="仿宋" w:cs="仿宋"/>
          <w:b/>
          <w:sz w:val="32"/>
          <w:highlight w:val="none"/>
        </w:rPr>
      </w:pPr>
    </w:p>
    <w:p>
      <w:pPr>
        <w:snapToGrid w:val="0"/>
        <w:spacing w:line="360" w:lineRule="auto"/>
        <w:jc w:val="center"/>
        <w:rPr>
          <w:rFonts w:hint="eastAsia" w:ascii="仿宋" w:hAnsi="仿宋" w:eastAsia="仿宋" w:cs="仿宋"/>
          <w:b/>
          <w:sz w:val="32"/>
          <w:highlight w:val="none"/>
        </w:rPr>
      </w:pPr>
    </w:p>
    <w:p>
      <w:pPr>
        <w:snapToGrid w:val="0"/>
        <w:spacing w:line="360" w:lineRule="auto"/>
        <w:jc w:val="center"/>
        <w:outlineLvl w:val="1"/>
        <w:rPr>
          <w:rFonts w:hint="eastAsia" w:ascii="仿宋" w:hAnsi="仿宋" w:eastAsia="仿宋" w:cs="仿宋"/>
          <w:b/>
          <w:sz w:val="32"/>
          <w:highlight w:val="none"/>
        </w:rPr>
      </w:pPr>
      <w:bookmarkStart w:id="979" w:name="_Toc32385"/>
      <w:bookmarkStart w:id="980" w:name="_Toc30176"/>
      <w:bookmarkStart w:id="981" w:name="_Toc30969"/>
      <w:r>
        <w:rPr>
          <w:rFonts w:hint="eastAsia" w:ascii="仿宋" w:hAnsi="仿宋" w:eastAsia="仿宋" w:cs="仿宋"/>
          <w:b/>
          <w:sz w:val="32"/>
          <w:highlight w:val="none"/>
        </w:rPr>
        <w:t>第二部分 其他投标文件（格式)</w:t>
      </w:r>
      <w:bookmarkEnd w:id="973"/>
      <w:bookmarkEnd w:id="974"/>
      <w:bookmarkEnd w:id="975"/>
      <w:bookmarkEnd w:id="976"/>
      <w:bookmarkEnd w:id="977"/>
      <w:bookmarkEnd w:id="978"/>
      <w:bookmarkEnd w:id="979"/>
      <w:bookmarkEnd w:id="980"/>
      <w:bookmarkEnd w:id="981"/>
    </w:p>
    <w:p>
      <w:pPr>
        <w:snapToGrid w:val="0"/>
        <w:spacing w:line="360" w:lineRule="auto"/>
        <w:rPr>
          <w:rFonts w:hint="eastAsia" w:ascii="仿宋" w:hAnsi="仿宋" w:eastAsia="仿宋" w:cs="仿宋"/>
          <w:highlight w:val="none"/>
        </w:rPr>
        <w:sectPr>
          <w:pgSz w:w="11905" w:h="16838"/>
          <w:pgMar w:top="1440" w:right="1746" w:bottom="1440" w:left="1746" w:header="850" w:footer="992" w:gutter="0"/>
          <w:pgNumType w:fmt="decimal"/>
          <w:cols w:space="720" w:num="1"/>
          <w:titlePg/>
          <w:rtlGutter w:val="0"/>
          <w:docGrid w:linePitch="360" w:charSpace="0"/>
        </w:sectPr>
      </w:pPr>
    </w:p>
    <w:p>
      <w:pPr>
        <w:spacing w:line="600" w:lineRule="auto"/>
        <w:jc w:val="center"/>
        <w:rPr>
          <w:rFonts w:hint="eastAsia" w:ascii="仿宋" w:hAnsi="仿宋" w:eastAsia="仿宋" w:cs="仿宋"/>
          <w:bCs/>
          <w:sz w:val="32"/>
          <w:highlight w:val="none"/>
        </w:rPr>
      </w:pPr>
      <w:bookmarkStart w:id="982" w:name="page41"/>
      <w:bookmarkEnd w:id="982"/>
      <w:bookmarkStart w:id="983" w:name="_Toc8209"/>
      <w:bookmarkStart w:id="984" w:name="_Toc30678"/>
      <w:bookmarkStart w:id="985" w:name="_Toc22539"/>
      <w:bookmarkStart w:id="986" w:name="_Toc20149"/>
      <w:bookmarkStart w:id="987" w:name="_Toc30974"/>
      <w:bookmarkStart w:id="988" w:name="_Toc15940"/>
      <w:r>
        <w:rPr>
          <w:rFonts w:hint="eastAsia" w:ascii="仿宋" w:hAnsi="仿宋" w:eastAsia="仿宋" w:cs="仿宋"/>
          <w:bCs/>
          <w:sz w:val="32"/>
          <w:highlight w:val="none"/>
        </w:rPr>
        <w:t xml:space="preserve">                      项目编号：</w:t>
      </w:r>
      <w:r>
        <w:rPr>
          <w:rFonts w:hint="eastAsia" w:ascii="仿宋" w:hAnsi="仿宋" w:eastAsia="仿宋" w:cs="仿宋"/>
          <w:bCs/>
          <w:sz w:val="36"/>
          <w:szCs w:val="36"/>
          <w:highlight w:val="none"/>
          <w:u w:val="single"/>
        </w:rPr>
        <w:t xml:space="preserve">            </w:t>
      </w:r>
    </w:p>
    <w:p>
      <w:pPr>
        <w:spacing w:after="240" w:afterLines="100" w:line="600" w:lineRule="auto"/>
        <w:jc w:val="center"/>
        <w:rPr>
          <w:rFonts w:hint="eastAsia" w:ascii="仿宋" w:hAnsi="仿宋" w:eastAsia="仿宋" w:cs="仿宋"/>
          <w:b/>
          <w:sz w:val="10"/>
          <w:szCs w:val="10"/>
          <w:highlight w:val="none"/>
          <w:u w:val="single"/>
        </w:rPr>
      </w:pPr>
    </w:p>
    <w:p>
      <w:pPr>
        <w:spacing w:after="240" w:afterLines="100" w:line="600" w:lineRule="auto"/>
        <w:jc w:val="center"/>
        <w:rPr>
          <w:rFonts w:hint="eastAsia" w:ascii="仿宋" w:hAnsi="仿宋" w:eastAsia="仿宋" w:cs="仿宋"/>
          <w:b/>
          <w:sz w:val="52"/>
          <w:szCs w:val="52"/>
          <w:highlight w:val="none"/>
          <w:lang w:val="en-US" w:eastAsia="zh-CN"/>
        </w:rPr>
      </w:pPr>
      <w:r>
        <w:rPr>
          <w:rFonts w:hint="eastAsia" w:ascii="仿宋" w:hAnsi="仿宋" w:eastAsia="仿宋" w:cs="仿宋"/>
          <w:b/>
          <w:sz w:val="52"/>
          <w:szCs w:val="52"/>
          <w:highlight w:val="none"/>
          <w:u w:val="single"/>
        </w:rPr>
        <w:t xml:space="preserve">            （项目名称）</w:t>
      </w:r>
      <w:r>
        <w:rPr>
          <w:rFonts w:hint="eastAsia" w:ascii="仿宋" w:hAnsi="仿宋" w:eastAsia="仿宋" w:cs="仿宋"/>
          <w:b/>
          <w:sz w:val="52"/>
          <w:szCs w:val="52"/>
          <w:highlight w:val="none"/>
          <w:u w:val="single"/>
          <w:lang w:val="en-US" w:eastAsia="zh-CN"/>
        </w:rPr>
        <w:t>包号：</w:t>
      </w:r>
    </w:p>
    <w:p>
      <w:pPr>
        <w:spacing w:line="600" w:lineRule="auto"/>
        <w:jc w:val="center"/>
        <w:rPr>
          <w:rFonts w:hint="eastAsia" w:ascii="仿宋" w:hAnsi="仿宋" w:eastAsia="仿宋" w:cs="仿宋"/>
          <w:b/>
          <w:sz w:val="36"/>
          <w:szCs w:val="36"/>
          <w:highlight w:val="none"/>
        </w:rPr>
      </w:pPr>
    </w:p>
    <w:p>
      <w:pPr>
        <w:pStyle w:val="93"/>
        <w:numPr>
          <w:ilvl w:val="0"/>
          <w:numId w:val="0"/>
        </w:numPr>
        <w:outlineLvl w:val="9"/>
        <w:rPr>
          <w:rFonts w:hint="eastAsia" w:ascii="仿宋" w:hAnsi="仿宋" w:eastAsia="仿宋" w:cs="仿宋"/>
          <w:highlight w:val="none"/>
        </w:rPr>
      </w:pPr>
    </w:p>
    <w:p>
      <w:pPr>
        <w:spacing w:line="240" w:lineRule="atLeast"/>
        <w:jc w:val="center"/>
        <w:rPr>
          <w:rFonts w:hint="eastAsia" w:ascii="仿宋" w:hAnsi="仿宋" w:eastAsia="仿宋" w:cs="仿宋"/>
          <w:b/>
          <w:sz w:val="84"/>
          <w:szCs w:val="84"/>
          <w:highlight w:val="none"/>
        </w:rPr>
      </w:pPr>
      <w:r>
        <w:rPr>
          <w:rFonts w:hint="eastAsia" w:ascii="仿宋" w:hAnsi="仿宋" w:eastAsia="仿宋" w:cs="仿宋"/>
          <w:b/>
          <w:sz w:val="84"/>
          <w:szCs w:val="84"/>
          <w:highlight w:val="none"/>
        </w:rPr>
        <w:t>其他投标文件</w:t>
      </w:r>
    </w:p>
    <w:p>
      <w:pPr>
        <w:pStyle w:val="93"/>
        <w:numPr>
          <w:ilvl w:val="4"/>
          <w:numId w:val="0"/>
        </w:numPr>
        <w:spacing w:before="0" w:after="0" w:line="240" w:lineRule="atLeast"/>
        <w:jc w:val="center"/>
        <w:outlineLvl w:val="9"/>
        <w:rPr>
          <w:rFonts w:hint="eastAsia" w:ascii="仿宋" w:hAnsi="仿宋" w:eastAsia="仿宋" w:cs="仿宋"/>
          <w:sz w:val="28"/>
          <w:szCs w:val="28"/>
          <w:highlight w:val="none"/>
        </w:rPr>
      </w:pPr>
    </w:p>
    <w:p>
      <w:pPr>
        <w:pStyle w:val="93"/>
        <w:numPr>
          <w:ilvl w:val="4"/>
          <w:numId w:val="0"/>
        </w:numPr>
        <w:spacing w:before="0" w:after="0" w:line="240" w:lineRule="atLeast"/>
        <w:jc w:val="center"/>
        <w:outlineLvl w:val="9"/>
        <w:rPr>
          <w:rFonts w:hint="eastAsia" w:ascii="仿宋" w:hAnsi="仿宋" w:eastAsia="仿宋" w:cs="仿宋"/>
          <w:sz w:val="28"/>
          <w:szCs w:val="28"/>
          <w:highlight w:val="none"/>
        </w:rPr>
      </w:pPr>
    </w:p>
    <w:p>
      <w:pPr>
        <w:pStyle w:val="93"/>
        <w:numPr>
          <w:ilvl w:val="4"/>
          <w:numId w:val="0"/>
        </w:numPr>
        <w:spacing w:before="0" w:after="0" w:line="240" w:lineRule="atLeast"/>
        <w:jc w:val="center"/>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正本（副本）</w:t>
      </w:r>
    </w:p>
    <w:p>
      <w:pPr>
        <w:spacing w:line="360" w:lineRule="auto"/>
        <w:ind w:firstLine="2168" w:firstLineChars="600"/>
        <w:rPr>
          <w:rFonts w:hint="eastAsia" w:ascii="仿宋" w:hAnsi="仿宋" w:eastAsia="仿宋" w:cs="仿宋"/>
          <w:b/>
          <w:sz w:val="36"/>
          <w:szCs w:val="36"/>
          <w:highlight w:val="none"/>
        </w:rPr>
      </w:pPr>
    </w:p>
    <w:p>
      <w:pPr>
        <w:spacing w:line="360" w:lineRule="auto"/>
        <w:ind w:firstLine="2168" w:firstLineChars="600"/>
        <w:rPr>
          <w:rFonts w:hint="eastAsia" w:ascii="仿宋" w:hAnsi="仿宋" w:eastAsia="仿宋" w:cs="仿宋"/>
          <w:b/>
          <w:sz w:val="36"/>
          <w:szCs w:val="36"/>
          <w:highlight w:val="none"/>
        </w:rPr>
      </w:pPr>
    </w:p>
    <w:p>
      <w:pPr>
        <w:spacing w:line="480" w:lineRule="auto"/>
        <w:jc w:val="center"/>
        <w:rPr>
          <w:rFonts w:hint="eastAsia" w:ascii="仿宋" w:hAnsi="仿宋" w:eastAsia="仿宋" w:cs="仿宋"/>
          <w:bCs/>
          <w:sz w:val="36"/>
          <w:szCs w:val="36"/>
          <w:highlight w:val="none"/>
        </w:rPr>
      </w:pPr>
    </w:p>
    <w:p>
      <w:pPr>
        <w:spacing w:line="480" w:lineRule="auto"/>
        <w:jc w:val="center"/>
        <w:rPr>
          <w:rFonts w:hint="eastAsia" w:ascii="仿宋" w:hAnsi="仿宋" w:eastAsia="仿宋" w:cs="仿宋"/>
          <w:b/>
          <w:bCs w:val="0"/>
          <w:sz w:val="28"/>
          <w:szCs w:val="28"/>
          <w:highlight w:val="none"/>
        </w:rPr>
      </w:pPr>
      <w:r>
        <w:rPr>
          <w:rFonts w:hint="eastAsia" w:ascii="仿宋" w:hAnsi="仿宋" w:eastAsia="仿宋" w:cs="仿宋"/>
          <w:b/>
          <w:bCs w:val="0"/>
          <w:sz w:val="28"/>
          <w:szCs w:val="28"/>
          <w:highlight w:val="none"/>
        </w:rPr>
        <w:t>投标人名称：</w:t>
      </w:r>
      <w:r>
        <w:rPr>
          <w:rFonts w:hint="eastAsia" w:ascii="仿宋" w:hAnsi="仿宋" w:eastAsia="仿宋" w:cs="仿宋"/>
          <w:b/>
          <w:bCs w:val="0"/>
          <w:sz w:val="28"/>
          <w:szCs w:val="28"/>
          <w:highlight w:val="none"/>
          <w:u w:val="single"/>
        </w:rPr>
        <w:t xml:space="preserve">                 </w:t>
      </w:r>
      <w:r>
        <w:rPr>
          <w:rFonts w:hint="eastAsia" w:ascii="仿宋" w:hAnsi="仿宋" w:eastAsia="仿宋" w:cs="仿宋"/>
          <w:b/>
          <w:bCs w:val="0"/>
          <w:sz w:val="28"/>
          <w:szCs w:val="28"/>
          <w:highlight w:val="none"/>
        </w:rPr>
        <w:t>（盖单位章）</w:t>
      </w:r>
    </w:p>
    <w:p>
      <w:pPr>
        <w:spacing w:line="480" w:lineRule="auto"/>
        <w:jc w:val="center"/>
        <w:rPr>
          <w:rFonts w:hint="eastAsia" w:ascii="仿宋" w:hAnsi="仿宋" w:eastAsia="仿宋" w:cs="仿宋"/>
          <w:b/>
          <w:bCs w:val="0"/>
          <w:sz w:val="28"/>
          <w:szCs w:val="28"/>
          <w:highlight w:val="none"/>
        </w:rPr>
      </w:pPr>
      <w:r>
        <w:rPr>
          <w:rFonts w:hint="eastAsia" w:ascii="仿宋" w:hAnsi="仿宋" w:eastAsia="仿宋" w:cs="仿宋"/>
          <w:b/>
          <w:bCs w:val="0"/>
          <w:sz w:val="28"/>
          <w:szCs w:val="28"/>
          <w:highlight w:val="none"/>
        </w:rPr>
        <w:t>法定代表人（单位负责人）或授权代表：</w:t>
      </w:r>
      <w:r>
        <w:rPr>
          <w:rFonts w:hint="eastAsia" w:ascii="仿宋" w:hAnsi="仿宋" w:eastAsia="仿宋" w:cs="仿宋"/>
          <w:b/>
          <w:bCs w:val="0"/>
          <w:sz w:val="28"/>
          <w:szCs w:val="28"/>
          <w:highlight w:val="none"/>
          <w:u w:val="single"/>
        </w:rPr>
        <w:t xml:space="preserve">        </w:t>
      </w:r>
      <w:r>
        <w:rPr>
          <w:rFonts w:hint="eastAsia" w:ascii="仿宋" w:hAnsi="仿宋" w:eastAsia="仿宋" w:cs="仿宋"/>
          <w:b/>
          <w:bCs w:val="0"/>
          <w:sz w:val="28"/>
          <w:szCs w:val="28"/>
          <w:highlight w:val="none"/>
        </w:rPr>
        <w:t>（签字或盖章）</w:t>
      </w:r>
    </w:p>
    <w:p>
      <w:pPr>
        <w:snapToGrid w:val="0"/>
        <w:spacing w:line="480" w:lineRule="auto"/>
        <w:jc w:val="center"/>
        <w:rPr>
          <w:rFonts w:hint="eastAsia" w:ascii="仿宋" w:hAnsi="仿宋" w:eastAsia="仿宋" w:cs="仿宋"/>
          <w:bCs/>
          <w:sz w:val="32"/>
          <w:highlight w:val="none"/>
        </w:rPr>
      </w:pPr>
      <w:r>
        <w:rPr>
          <w:rFonts w:hint="eastAsia" w:ascii="仿宋" w:hAnsi="仿宋" w:eastAsia="仿宋" w:cs="仿宋"/>
          <w:b/>
          <w:bCs w:val="0"/>
          <w:sz w:val="28"/>
          <w:szCs w:val="28"/>
          <w:highlight w:val="none"/>
        </w:rPr>
        <w:t>投标日期：</w:t>
      </w:r>
      <w:r>
        <w:rPr>
          <w:rFonts w:hint="eastAsia" w:ascii="仿宋" w:hAnsi="仿宋" w:eastAsia="仿宋" w:cs="仿宋"/>
          <w:b/>
          <w:bCs w:val="0"/>
          <w:sz w:val="28"/>
          <w:szCs w:val="28"/>
          <w:highlight w:val="none"/>
          <w:u w:val="single"/>
        </w:rPr>
        <w:t xml:space="preserve">    </w:t>
      </w:r>
      <w:r>
        <w:rPr>
          <w:rFonts w:hint="eastAsia" w:ascii="仿宋" w:hAnsi="仿宋" w:eastAsia="仿宋" w:cs="仿宋"/>
          <w:b/>
          <w:bCs w:val="0"/>
          <w:sz w:val="28"/>
          <w:szCs w:val="28"/>
          <w:highlight w:val="none"/>
        </w:rPr>
        <w:t>年</w:t>
      </w:r>
      <w:r>
        <w:rPr>
          <w:rFonts w:hint="eastAsia" w:ascii="仿宋" w:hAnsi="仿宋" w:eastAsia="仿宋" w:cs="仿宋"/>
          <w:b/>
          <w:bCs w:val="0"/>
          <w:sz w:val="28"/>
          <w:szCs w:val="28"/>
          <w:highlight w:val="none"/>
          <w:u w:val="single"/>
        </w:rPr>
        <w:t xml:space="preserve">    </w:t>
      </w:r>
      <w:r>
        <w:rPr>
          <w:rFonts w:hint="eastAsia" w:ascii="仿宋" w:hAnsi="仿宋" w:eastAsia="仿宋" w:cs="仿宋"/>
          <w:b/>
          <w:bCs w:val="0"/>
          <w:sz w:val="28"/>
          <w:szCs w:val="28"/>
          <w:highlight w:val="none"/>
        </w:rPr>
        <w:t>月</w:t>
      </w:r>
      <w:r>
        <w:rPr>
          <w:rFonts w:hint="eastAsia" w:ascii="仿宋" w:hAnsi="仿宋" w:eastAsia="仿宋" w:cs="仿宋"/>
          <w:b/>
          <w:bCs w:val="0"/>
          <w:sz w:val="28"/>
          <w:szCs w:val="28"/>
          <w:highlight w:val="none"/>
          <w:u w:val="single"/>
        </w:rPr>
        <w:t xml:space="preserve">   </w:t>
      </w:r>
      <w:r>
        <w:rPr>
          <w:rFonts w:hint="eastAsia" w:ascii="仿宋" w:hAnsi="仿宋" w:eastAsia="仿宋" w:cs="仿宋"/>
          <w:b/>
          <w:bCs w:val="0"/>
          <w:sz w:val="28"/>
          <w:szCs w:val="28"/>
          <w:highlight w:val="none"/>
        </w:rPr>
        <w:t>日</w:t>
      </w:r>
    </w:p>
    <w:p>
      <w:pPr>
        <w:spacing w:before="240" w:beforeLines="100" w:line="360" w:lineRule="auto"/>
        <w:jc w:val="center"/>
        <w:outlineLvl w:val="1"/>
        <w:rPr>
          <w:rFonts w:hint="eastAsia" w:ascii="仿宋" w:hAnsi="仿宋" w:eastAsia="仿宋" w:cs="仿宋"/>
          <w:b/>
          <w:sz w:val="30"/>
          <w:szCs w:val="30"/>
          <w:highlight w:val="none"/>
        </w:rPr>
        <w:sectPr>
          <w:pgSz w:w="11905" w:h="16838"/>
          <w:pgMar w:top="1440" w:right="1746" w:bottom="1440" w:left="1746" w:header="850" w:footer="992" w:gutter="0"/>
          <w:pgNumType w:fmt="decimal"/>
          <w:cols w:space="720" w:num="1"/>
          <w:titlePg/>
          <w:rtlGutter w:val="0"/>
          <w:docGrid w:linePitch="360" w:charSpace="0"/>
        </w:sectPr>
      </w:pPr>
    </w:p>
    <w:p>
      <w:pPr>
        <w:spacing w:before="120" w:beforeLines="50" w:after="240" w:afterLines="100" w:line="360" w:lineRule="atLeast"/>
        <w:jc w:val="center"/>
        <w:outlineLvl w:val="1"/>
        <w:rPr>
          <w:rFonts w:hint="eastAsia" w:ascii="仿宋" w:hAnsi="仿宋" w:eastAsia="仿宋" w:cs="仿宋"/>
          <w:sz w:val="30"/>
          <w:szCs w:val="30"/>
          <w:highlight w:val="none"/>
        </w:rPr>
      </w:pPr>
      <w:bookmarkStart w:id="989" w:name="_Toc20328"/>
      <w:bookmarkStart w:id="990" w:name="_Toc9443"/>
      <w:bookmarkStart w:id="991" w:name="_Toc14237"/>
      <w:bookmarkStart w:id="992" w:name="_Toc23890"/>
      <w:r>
        <w:rPr>
          <w:rFonts w:hint="eastAsia" w:ascii="仿宋" w:hAnsi="仿宋" w:eastAsia="仿宋" w:cs="仿宋"/>
          <w:b/>
          <w:sz w:val="30"/>
          <w:szCs w:val="30"/>
          <w:highlight w:val="none"/>
        </w:rPr>
        <w:t>一、投标函</w:t>
      </w:r>
      <w:bookmarkEnd w:id="983"/>
      <w:bookmarkEnd w:id="984"/>
      <w:bookmarkEnd w:id="985"/>
      <w:bookmarkEnd w:id="986"/>
      <w:bookmarkEnd w:id="989"/>
      <w:bookmarkEnd w:id="990"/>
      <w:bookmarkEnd w:id="991"/>
      <w:bookmarkEnd w:id="992"/>
    </w:p>
    <w:p>
      <w:pPr>
        <w:spacing w:line="480" w:lineRule="auto"/>
        <w:rPr>
          <w:rFonts w:hint="eastAsia" w:ascii="仿宋" w:hAnsi="仿宋" w:eastAsia="仿宋" w:cs="仿宋"/>
          <w:sz w:val="21"/>
          <w:szCs w:val="21"/>
          <w:highlight w:val="none"/>
        </w:rPr>
      </w:pP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（采购代理机构名称）：</w:t>
      </w:r>
    </w:p>
    <w:p>
      <w:pPr>
        <w:spacing w:line="480" w:lineRule="auto"/>
        <w:ind w:firstLine="411" w:firstLineChars="196"/>
        <w:rPr>
          <w:rFonts w:hint="eastAsia" w:ascii="仿宋" w:hAnsi="仿宋" w:eastAsia="仿宋" w:cs="仿宋"/>
          <w:sz w:val="21"/>
          <w:szCs w:val="21"/>
          <w:highlight w:val="none"/>
        </w:rPr>
      </w:pPr>
      <w:r>
        <w:rPr>
          <w:rFonts w:hint="eastAsia" w:ascii="仿宋" w:hAnsi="仿宋" w:eastAsia="仿宋" w:cs="仿宋"/>
          <w:sz w:val="21"/>
          <w:szCs w:val="21"/>
          <w:highlight w:val="none"/>
        </w:rPr>
        <w:t>我方全面研究了“</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”项目（项目编号：</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w:t>
      </w:r>
      <w:r>
        <w:rPr>
          <w:rFonts w:hint="eastAsia" w:ascii="仿宋" w:hAnsi="仿宋" w:eastAsia="仿宋" w:cs="仿宋"/>
          <w:sz w:val="21"/>
          <w:szCs w:val="21"/>
          <w:highlight w:val="none"/>
          <w:u w:val="single"/>
          <w:lang w:val="en-US" w:eastAsia="zh-CN"/>
        </w:rPr>
        <w:t xml:space="preserve">     （包号）</w:t>
      </w:r>
      <w:r>
        <w:rPr>
          <w:rFonts w:hint="eastAsia" w:ascii="仿宋" w:hAnsi="仿宋" w:eastAsia="仿宋" w:cs="仿宋"/>
          <w:sz w:val="21"/>
          <w:szCs w:val="21"/>
          <w:highlight w:val="none"/>
        </w:rPr>
        <w:t>招标文件，决定参加贵单位组织的本项目投标。我方授权</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（姓名、职务）代表我方</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（投标单位的名称）全权处理本项目投标的有关事宜。</w:t>
      </w:r>
    </w:p>
    <w:p>
      <w:pPr>
        <w:spacing w:line="480" w:lineRule="auto"/>
        <w:ind w:firstLine="411" w:firstLineChars="196"/>
        <w:rPr>
          <w:rFonts w:hint="eastAsia" w:ascii="仿宋" w:hAnsi="仿宋" w:eastAsia="仿宋" w:cs="仿宋"/>
          <w:sz w:val="21"/>
          <w:szCs w:val="21"/>
          <w:highlight w:val="none"/>
        </w:rPr>
      </w:pPr>
      <w:r>
        <w:rPr>
          <w:rFonts w:hint="eastAsia" w:ascii="仿宋" w:hAnsi="仿宋" w:eastAsia="仿宋" w:cs="仿宋"/>
          <w:sz w:val="21"/>
          <w:szCs w:val="21"/>
          <w:highlight w:val="none"/>
        </w:rPr>
        <w:t>一、我方自愿按照招标文件规定的各项要求向采购人提供所需服务和货物，总投标价为人民币</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万元。</w:t>
      </w:r>
    </w:p>
    <w:p>
      <w:pPr>
        <w:spacing w:line="480" w:lineRule="auto"/>
        <w:ind w:firstLine="411" w:firstLineChars="196"/>
        <w:rPr>
          <w:rFonts w:hint="eastAsia" w:ascii="仿宋" w:hAnsi="仿宋" w:eastAsia="仿宋" w:cs="仿宋"/>
          <w:sz w:val="21"/>
          <w:szCs w:val="21"/>
          <w:highlight w:val="none"/>
        </w:rPr>
      </w:pPr>
      <w:r>
        <w:rPr>
          <w:rFonts w:hint="eastAsia" w:ascii="仿宋" w:hAnsi="仿宋" w:eastAsia="仿宋" w:cs="仿宋"/>
          <w:sz w:val="21"/>
          <w:szCs w:val="21"/>
          <w:highlight w:val="none"/>
        </w:rPr>
        <w:t>二、一旦我方中标，我方将严格履行政府采购合同规定的责任和义务。</w:t>
      </w:r>
    </w:p>
    <w:p>
      <w:pPr>
        <w:spacing w:line="480" w:lineRule="auto"/>
        <w:ind w:firstLine="411" w:firstLineChars="196"/>
        <w:rPr>
          <w:rFonts w:hint="eastAsia" w:ascii="仿宋" w:hAnsi="仿宋" w:eastAsia="仿宋" w:cs="仿宋"/>
          <w:sz w:val="21"/>
          <w:szCs w:val="21"/>
          <w:highlight w:val="none"/>
        </w:rPr>
      </w:pPr>
      <w:r>
        <w:rPr>
          <w:rFonts w:hint="eastAsia" w:ascii="仿宋" w:hAnsi="仿宋" w:eastAsia="仿宋" w:cs="仿宋"/>
          <w:sz w:val="21"/>
          <w:szCs w:val="21"/>
          <w:highlight w:val="none"/>
        </w:rPr>
        <w:t>三、我方同意本招标文件依据《四川省公共资源交易领域严重失信联合惩戒实施办法》（川发改信用规〔2019〕405号）、《关于对政府采购领域严重违法失信主体开展联合惩戒的合作备忘录》（发改财金〔2018〕1614号）等有关规定对我方可能存在的失信行为进行的惩戒。</w:t>
      </w:r>
    </w:p>
    <w:p>
      <w:pPr>
        <w:spacing w:line="480" w:lineRule="auto"/>
        <w:ind w:firstLine="411" w:firstLineChars="196"/>
        <w:rPr>
          <w:rFonts w:hint="eastAsia" w:ascii="仿宋" w:hAnsi="仿宋" w:eastAsia="仿宋" w:cs="仿宋"/>
          <w:sz w:val="21"/>
          <w:szCs w:val="21"/>
          <w:highlight w:val="none"/>
        </w:rPr>
      </w:pPr>
      <w:r>
        <w:rPr>
          <w:rFonts w:hint="eastAsia" w:ascii="仿宋" w:hAnsi="仿宋" w:eastAsia="仿宋" w:cs="仿宋"/>
          <w:sz w:val="21"/>
          <w:szCs w:val="21"/>
          <w:highlight w:val="none"/>
        </w:rPr>
        <w:t>四、我方愿意提供贵中心可能另外要求的，与投标有关的文件资料，并保证我方已提供和将要提供的文件资料是真实、准确的。</w:t>
      </w:r>
    </w:p>
    <w:p>
      <w:pPr>
        <w:spacing w:line="480" w:lineRule="auto"/>
        <w:ind w:firstLine="411" w:firstLineChars="196"/>
        <w:jc w:val="right"/>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（单位公章）</w:t>
      </w:r>
    </w:p>
    <w:p>
      <w:pPr>
        <w:spacing w:line="480" w:lineRule="auto"/>
        <w:ind w:firstLine="411" w:firstLineChars="196"/>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法定代表人/单位负责人或授权代表（签字或加盖个人名章）：</w:t>
      </w:r>
      <w:r>
        <w:rPr>
          <w:rFonts w:hint="eastAsia" w:ascii="仿宋" w:hAnsi="仿宋" w:eastAsia="仿宋" w:cs="仿宋"/>
          <w:sz w:val="21"/>
          <w:szCs w:val="21"/>
          <w:highlight w:val="none"/>
          <w:u w:val="single"/>
        </w:rPr>
        <w:t xml:space="preserve">                </w:t>
      </w:r>
    </w:p>
    <w:p>
      <w:pPr>
        <w:spacing w:line="480" w:lineRule="auto"/>
        <w:ind w:firstLine="411" w:firstLineChars="196"/>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通讯地址：</w:t>
      </w:r>
      <w:r>
        <w:rPr>
          <w:rFonts w:hint="eastAsia" w:ascii="仿宋" w:hAnsi="仿宋" w:eastAsia="仿宋" w:cs="仿宋"/>
          <w:sz w:val="21"/>
          <w:szCs w:val="21"/>
          <w:highlight w:val="none"/>
          <w:u w:val="single"/>
        </w:rPr>
        <w:t xml:space="preserve">                    </w:t>
      </w:r>
    </w:p>
    <w:p>
      <w:pPr>
        <w:spacing w:line="480" w:lineRule="auto"/>
        <w:ind w:firstLine="411" w:firstLineChars="196"/>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邮政编码：</w:t>
      </w:r>
      <w:r>
        <w:rPr>
          <w:rFonts w:hint="eastAsia" w:ascii="仿宋" w:hAnsi="仿宋" w:eastAsia="仿宋" w:cs="仿宋"/>
          <w:sz w:val="21"/>
          <w:szCs w:val="21"/>
          <w:highlight w:val="none"/>
          <w:u w:val="single"/>
        </w:rPr>
        <w:t xml:space="preserve">                    </w:t>
      </w:r>
    </w:p>
    <w:p>
      <w:pPr>
        <w:spacing w:line="480" w:lineRule="auto"/>
        <w:ind w:firstLine="411" w:firstLineChars="196"/>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联系电话：</w:t>
      </w:r>
      <w:r>
        <w:rPr>
          <w:rFonts w:hint="eastAsia" w:ascii="仿宋" w:hAnsi="仿宋" w:eastAsia="仿宋" w:cs="仿宋"/>
          <w:sz w:val="21"/>
          <w:szCs w:val="21"/>
          <w:highlight w:val="none"/>
          <w:u w:val="single"/>
        </w:rPr>
        <w:t xml:space="preserve">                    </w:t>
      </w:r>
    </w:p>
    <w:p>
      <w:pPr>
        <w:spacing w:line="480" w:lineRule="auto"/>
        <w:ind w:firstLine="411" w:firstLineChars="196"/>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传    真：</w:t>
      </w:r>
      <w:r>
        <w:rPr>
          <w:rFonts w:hint="eastAsia" w:ascii="仿宋" w:hAnsi="仿宋" w:eastAsia="仿宋" w:cs="仿宋"/>
          <w:sz w:val="21"/>
          <w:szCs w:val="21"/>
          <w:highlight w:val="none"/>
          <w:u w:val="single"/>
        </w:rPr>
        <w:t xml:space="preserve">                    </w:t>
      </w:r>
    </w:p>
    <w:p>
      <w:pPr>
        <w:spacing w:line="480" w:lineRule="auto"/>
        <w:ind w:firstLine="411" w:firstLineChars="196"/>
        <w:jc w:val="center"/>
        <w:rPr>
          <w:rFonts w:hint="eastAsia" w:ascii="仿宋" w:hAnsi="仿宋" w:eastAsia="仿宋" w:cs="仿宋"/>
          <w:sz w:val="24"/>
          <w:highlight w:val="none"/>
        </w:rPr>
      </w:pPr>
      <w:r>
        <w:rPr>
          <w:rFonts w:hint="eastAsia" w:ascii="仿宋" w:hAnsi="仿宋" w:eastAsia="仿宋" w:cs="仿宋"/>
          <w:sz w:val="21"/>
          <w:szCs w:val="21"/>
          <w:highlight w:val="none"/>
        </w:rPr>
        <w:t xml:space="preserve">                                          投标日期：</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年</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月</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日</w:t>
      </w:r>
    </w:p>
    <w:p>
      <w:pPr>
        <w:snapToGrid w:val="0"/>
        <w:spacing w:before="240" w:beforeLines="100" w:line="360" w:lineRule="auto"/>
        <w:ind w:firstLine="562" w:firstLineChars="200"/>
        <w:jc w:val="center"/>
        <w:outlineLvl w:val="2"/>
        <w:rPr>
          <w:rFonts w:hint="eastAsia" w:ascii="仿宋" w:hAnsi="仿宋" w:eastAsia="仿宋" w:cs="仿宋"/>
          <w:b/>
          <w:bCs/>
          <w:sz w:val="28"/>
          <w:szCs w:val="28"/>
          <w:highlight w:val="none"/>
        </w:rPr>
        <w:sectPr>
          <w:pgSz w:w="11905" w:h="16838"/>
          <w:pgMar w:top="1440" w:right="1746" w:bottom="1440" w:left="1746" w:header="850" w:footer="992" w:gutter="0"/>
          <w:pgNumType w:fmt="decimal"/>
          <w:cols w:space="720" w:num="1"/>
          <w:titlePg/>
          <w:rtlGutter w:val="0"/>
          <w:docGrid w:linePitch="360" w:charSpace="0"/>
        </w:sectPr>
      </w:pPr>
    </w:p>
    <w:p>
      <w:pPr>
        <w:spacing w:before="120" w:beforeLines="50" w:line="360" w:lineRule="atLeast"/>
        <w:jc w:val="center"/>
        <w:outlineLvl w:val="1"/>
        <w:rPr>
          <w:rFonts w:hint="eastAsia" w:ascii="仿宋" w:hAnsi="仿宋" w:eastAsia="仿宋" w:cs="仿宋"/>
          <w:b/>
          <w:sz w:val="32"/>
          <w:szCs w:val="32"/>
          <w:highlight w:val="none"/>
        </w:rPr>
      </w:pPr>
      <w:bookmarkStart w:id="993" w:name="_Toc27598"/>
      <w:bookmarkStart w:id="994" w:name="_Toc4412"/>
      <w:bookmarkStart w:id="995" w:name="_Toc21423"/>
      <w:bookmarkStart w:id="996" w:name="_Toc20309"/>
      <w:bookmarkStart w:id="997" w:name="_Toc17534"/>
      <w:bookmarkStart w:id="998" w:name="_Toc23625"/>
      <w:bookmarkStart w:id="999" w:name="_Toc2762"/>
      <w:bookmarkStart w:id="1000" w:name="_Toc14707"/>
      <w:r>
        <w:rPr>
          <w:rFonts w:hint="eastAsia" w:ascii="仿宋" w:hAnsi="仿宋" w:eastAsia="仿宋" w:cs="仿宋"/>
          <w:b/>
          <w:sz w:val="32"/>
          <w:szCs w:val="32"/>
          <w:highlight w:val="none"/>
        </w:rPr>
        <w:t>二、承诺</w:t>
      </w:r>
      <w:bookmarkEnd w:id="993"/>
      <w:bookmarkEnd w:id="994"/>
      <w:r>
        <w:rPr>
          <w:rFonts w:hint="eastAsia" w:ascii="仿宋" w:hAnsi="仿宋" w:eastAsia="仿宋" w:cs="仿宋"/>
          <w:b/>
          <w:sz w:val="32"/>
          <w:szCs w:val="32"/>
          <w:highlight w:val="none"/>
        </w:rPr>
        <w:t>及声明函</w:t>
      </w:r>
      <w:bookmarkEnd w:id="995"/>
      <w:bookmarkEnd w:id="996"/>
      <w:bookmarkEnd w:id="997"/>
      <w:bookmarkEnd w:id="998"/>
      <w:bookmarkEnd w:id="999"/>
      <w:bookmarkEnd w:id="1000"/>
    </w:p>
    <w:p>
      <w:pPr>
        <w:snapToGrid w:val="0"/>
        <w:spacing w:line="38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(采购代理机构名称)：</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我公司作为本次采购项目的投标</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，根据招标文件要求，现郑重承诺及声明如下：</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1．具有良好的商业信誉和健全的财务会计制度；</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2．具有履行合同所必需的设备和专业技术能力；</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3．具有依法缴纳税收和社会保障资金的良好记录；</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4．参加本次政府采购活动前三年内，在经营活动中没有重大违法记录(</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成立不足三年的，从成立之日起计算)；</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5．符合法律、行政法规规定的其他条件；</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6．如对招标文件有异议，已经在投标截止时间届满前依法进行维权救济，不存在对招标文件有异议的同时又参加投标以求侥幸中标或者为实现其他非法目的的行为。</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7．参加本次采购活动，不存在与单位负责人为同一人或者存在直接控股、管理关系的其他</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参与同一合同项下的政府采购活动的行为。</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8．参加本次采购活动前本单位未对本次采购项目提供过整体设计、规范编制或者项目管理、监理、检测等服务。</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9．参加本次采购活动，不存在和其他</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在同一合同项下的采购项目中，同时委托同一个自然人、同一家庭的人员、同一单位的人员作为代理人的行为。</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10．投标人投标截止日前未被财政部门记入诚信档案的且在有效期内的失信行为；</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 xml:space="preserve">11. </w:t>
      </w:r>
      <w:r>
        <w:rPr>
          <w:rFonts w:hint="eastAsia" w:ascii="仿宋" w:hAnsi="仿宋" w:eastAsia="仿宋" w:cs="仿宋"/>
          <w:sz w:val="21"/>
          <w:szCs w:val="21"/>
          <w:highlight w:val="none"/>
        </w:rPr>
        <w:t>投标人在投标截止日前未被工商部门、税务部门、审判机关及其他有关部门单位认定且处于有效期内的失信行为；</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 xml:space="preserve">12. </w:t>
      </w:r>
      <w:r>
        <w:rPr>
          <w:rFonts w:hint="eastAsia" w:ascii="仿宋" w:hAnsi="仿宋" w:eastAsia="仿宋" w:cs="仿宋"/>
          <w:sz w:val="21"/>
          <w:szCs w:val="21"/>
          <w:highlight w:val="none"/>
        </w:rPr>
        <w:t>投标人在参加本项目政府采购活动的前3年内，投标人及其现任法定代表人、主要负责人不得具有行贿犯罪记录。</w:t>
      </w:r>
    </w:p>
    <w:p>
      <w:pPr>
        <w:snapToGrid w:val="0"/>
        <w:spacing w:line="440" w:lineRule="exact"/>
        <w:ind w:firstLine="420" w:firstLineChars="200"/>
        <w:rPr>
          <w:rFonts w:hint="eastAsia" w:ascii="仿宋" w:hAnsi="仿宋" w:eastAsia="仿宋" w:cs="仿宋"/>
          <w:b/>
          <w:sz w:val="21"/>
          <w:szCs w:val="21"/>
          <w:highlight w:val="none"/>
        </w:rPr>
      </w:pPr>
      <w:r>
        <w:rPr>
          <w:rFonts w:hint="eastAsia" w:ascii="仿宋" w:hAnsi="仿宋" w:eastAsia="仿宋" w:cs="仿宋"/>
          <w:sz w:val="21"/>
          <w:szCs w:val="21"/>
          <w:highlight w:val="none"/>
          <w:lang w:val="en-US" w:eastAsia="zh-CN"/>
        </w:rPr>
        <w:t xml:space="preserve">13. </w:t>
      </w:r>
      <w:r>
        <w:rPr>
          <w:rFonts w:hint="eastAsia" w:ascii="仿宋" w:hAnsi="仿宋" w:eastAsia="仿宋" w:cs="仿宋"/>
          <w:sz w:val="21"/>
          <w:szCs w:val="21"/>
          <w:highlight w:val="none"/>
        </w:rPr>
        <w:t>不存在《四川省公共资源交易领域严重失信联合惩戒实施办法》（川发改信用规〔2019〕405号）、《关于对政府采购领域严重违法失信主体开展联合惩戒的合作备忘录》（发改财金〔2018〕1614号）等有关规定的记入诚信档案的失信行为。</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投标文件中提供的能够给予采购单位带来优惠、好处的任何材料资料和技术、服务、商务等响应承诺情况都是真实的、有效的、合法的。</w:t>
      </w:r>
    </w:p>
    <w:p>
      <w:pPr>
        <w:snapToGrid w:val="0"/>
        <w:spacing w:line="44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本公司对上述承诺的内容事项真实性、合法性负责。如经查实上述承诺的内容事项存在虚假，我公司自愿接受以提供虚假材料谋取成交所带来的所有法律责任。</w:t>
      </w:r>
    </w:p>
    <w:p>
      <w:pPr>
        <w:spacing w:line="380" w:lineRule="exact"/>
        <w:ind w:firstLine="420" w:firstLineChars="200"/>
        <w:jc w:val="right"/>
        <w:rPr>
          <w:rFonts w:hint="eastAsia" w:ascii="仿宋" w:hAnsi="仿宋" w:eastAsia="仿宋" w:cs="仿宋"/>
          <w:sz w:val="21"/>
          <w:szCs w:val="21"/>
          <w:highlight w:val="none"/>
        </w:rPr>
      </w:pPr>
    </w:p>
    <w:p>
      <w:pPr>
        <w:spacing w:line="380" w:lineRule="exact"/>
        <w:ind w:firstLine="420" w:firstLineChars="200"/>
        <w:jc w:val="right"/>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（单位公章）</w:t>
      </w:r>
    </w:p>
    <w:p>
      <w:pPr>
        <w:spacing w:line="380" w:lineRule="exact"/>
        <w:ind w:firstLine="420" w:firstLineChars="20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法定代表人/单位负责人或授权代表（签字或加盖个人名章）：</w:t>
      </w:r>
      <w:r>
        <w:rPr>
          <w:rFonts w:hint="eastAsia" w:ascii="仿宋" w:hAnsi="仿宋" w:eastAsia="仿宋" w:cs="仿宋"/>
          <w:sz w:val="21"/>
          <w:szCs w:val="21"/>
          <w:highlight w:val="none"/>
          <w:u w:val="single"/>
        </w:rPr>
        <w:t xml:space="preserve">                </w:t>
      </w:r>
    </w:p>
    <w:p>
      <w:pPr>
        <w:snapToGrid w:val="0"/>
        <w:spacing w:line="380" w:lineRule="exact"/>
        <w:ind w:firstLine="420" w:firstLineChars="200"/>
        <w:jc w:val="right"/>
        <w:rPr>
          <w:rFonts w:hint="eastAsia" w:ascii="仿宋" w:hAnsi="仿宋" w:eastAsia="仿宋" w:cs="仿宋"/>
          <w:sz w:val="21"/>
          <w:szCs w:val="21"/>
          <w:highlight w:val="none"/>
        </w:rPr>
        <w:sectPr>
          <w:pgSz w:w="11905" w:h="16838"/>
          <w:pgMar w:top="1440" w:right="1746" w:bottom="1440" w:left="1746" w:header="850" w:footer="992" w:gutter="0"/>
          <w:pgNumType w:fmt="decimal"/>
          <w:cols w:space="720" w:num="1"/>
          <w:titlePg/>
          <w:rtlGutter w:val="0"/>
          <w:docGrid w:linePitch="360" w:charSpace="0"/>
        </w:sectPr>
      </w:pPr>
      <w:r>
        <w:rPr>
          <w:rFonts w:hint="eastAsia" w:ascii="仿宋" w:hAnsi="仿宋" w:eastAsia="仿宋" w:cs="仿宋"/>
          <w:sz w:val="21"/>
          <w:szCs w:val="21"/>
          <w:highlight w:val="none"/>
        </w:rPr>
        <w:t>投标日期：</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年</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月</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日</w:t>
      </w:r>
    </w:p>
    <w:bookmarkEnd w:id="987"/>
    <w:bookmarkEnd w:id="988"/>
    <w:p>
      <w:pPr>
        <w:snapToGrid w:val="0"/>
        <w:spacing w:before="240" w:beforeLines="100" w:line="360" w:lineRule="auto"/>
        <w:jc w:val="center"/>
        <w:outlineLvl w:val="1"/>
        <w:rPr>
          <w:rFonts w:hint="eastAsia" w:ascii="仿宋" w:hAnsi="仿宋" w:eastAsia="仿宋" w:cs="仿宋"/>
          <w:b/>
          <w:sz w:val="30"/>
          <w:szCs w:val="30"/>
          <w:highlight w:val="none"/>
          <w:lang w:eastAsia="zh-CN"/>
        </w:rPr>
      </w:pPr>
      <w:bookmarkStart w:id="1001" w:name="page42"/>
      <w:bookmarkEnd w:id="1001"/>
      <w:bookmarkStart w:id="1002" w:name="_Toc15213"/>
      <w:bookmarkStart w:id="1003" w:name="_Toc16767"/>
      <w:bookmarkStart w:id="1004" w:name="_Toc27044"/>
      <w:bookmarkStart w:id="1005" w:name="_Toc3723"/>
      <w:bookmarkStart w:id="1006" w:name="_Toc17561"/>
      <w:bookmarkStart w:id="1007" w:name="_Toc27983"/>
      <w:bookmarkStart w:id="1008" w:name="_Toc12253"/>
      <w:bookmarkStart w:id="1009" w:name="_Toc3749"/>
      <w:bookmarkStart w:id="1010" w:name="_Toc8966"/>
      <w:bookmarkStart w:id="1011" w:name="_Toc12812"/>
      <w:r>
        <w:rPr>
          <w:rFonts w:hint="eastAsia" w:ascii="仿宋" w:hAnsi="仿宋" w:eastAsia="仿宋" w:cs="仿宋"/>
          <w:b/>
          <w:sz w:val="30"/>
          <w:szCs w:val="30"/>
          <w:highlight w:val="none"/>
        </w:rPr>
        <w:t>三、开标一览表</w:t>
      </w:r>
      <w:bookmarkEnd w:id="1002"/>
      <w:bookmarkEnd w:id="1003"/>
      <w:bookmarkEnd w:id="1004"/>
      <w:bookmarkEnd w:id="1005"/>
      <w:bookmarkEnd w:id="1006"/>
      <w:bookmarkEnd w:id="1007"/>
      <w:bookmarkEnd w:id="1008"/>
      <w:bookmarkEnd w:id="1009"/>
      <w:bookmarkEnd w:id="1010"/>
      <w:bookmarkEnd w:id="1011"/>
      <w:r>
        <w:rPr>
          <w:rFonts w:hint="eastAsia" w:ascii="仿宋" w:hAnsi="仿宋" w:eastAsia="仿宋" w:cs="仿宋"/>
          <w:b/>
          <w:sz w:val="30"/>
          <w:szCs w:val="30"/>
          <w:highlight w:val="none"/>
          <w:lang w:eastAsia="zh-CN"/>
        </w:rPr>
        <w:t>（</w:t>
      </w:r>
      <w:r>
        <w:rPr>
          <w:rFonts w:hint="eastAsia" w:ascii="仿宋" w:hAnsi="仿宋" w:eastAsia="仿宋" w:cs="仿宋"/>
          <w:b/>
          <w:sz w:val="30"/>
          <w:szCs w:val="30"/>
          <w:highlight w:val="none"/>
          <w:lang w:val="en-US" w:eastAsia="zh-CN"/>
        </w:rPr>
        <w:t>实质性要求</w:t>
      </w:r>
      <w:r>
        <w:rPr>
          <w:rFonts w:hint="eastAsia" w:ascii="仿宋" w:hAnsi="仿宋" w:eastAsia="仿宋" w:cs="仿宋"/>
          <w:b/>
          <w:sz w:val="30"/>
          <w:szCs w:val="30"/>
          <w:highlight w:val="none"/>
          <w:lang w:eastAsia="zh-CN"/>
        </w:rPr>
        <w:t>）</w:t>
      </w:r>
    </w:p>
    <w:p>
      <w:pPr>
        <w:pStyle w:val="119"/>
        <w:spacing w:line="360" w:lineRule="auto"/>
        <w:rPr>
          <w:rFonts w:hint="eastAsia" w:ascii="仿宋" w:hAnsi="仿宋" w:eastAsia="仿宋" w:cs="仿宋"/>
          <w:highlight w:val="none"/>
          <w:lang w:val="en-US" w:eastAsia="zh-CN"/>
        </w:rPr>
      </w:pPr>
      <w:r>
        <w:rPr>
          <w:rFonts w:hint="eastAsia" w:ascii="仿宋" w:hAnsi="仿宋" w:eastAsia="仿宋" w:cs="仿宋"/>
          <w:highlight w:val="none"/>
        </w:rPr>
        <w:t>项目名称：</w:t>
      </w:r>
      <w:r>
        <w:rPr>
          <w:rFonts w:hint="eastAsia" w:ascii="仿宋" w:hAnsi="仿宋" w:eastAsia="仿宋" w:cs="仿宋"/>
          <w:bCs/>
          <w:highlight w:val="none"/>
          <w:u w:val="single"/>
        </w:rPr>
        <w:t xml:space="preserve">                    </w:t>
      </w:r>
      <w:r>
        <w:rPr>
          <w:rFonts w:hint="eastAsia" w:ascii="仿宋" w:hAnsi="仿宋" w:eastAsia="仿宋" w:cs="仿宋"/>
          <w:bCs/>
          <w:highlight w:val="none"/>
          <w:u w:val="single"/>
          <w:lang w:val="en-US" w:eastAsia="zh-CN"/>
        </w:rPr>
        <w:t>包号：</w:t>
      </w:r>
    </w:p>
    <w:p>
      <w:pPr>
        <w:pStyle w:val="119"/>
        <w:spacing w:line="360" w:lineRule="auto"/>
        <w:rPr>
          <w:rFonts w:hint="eastAsia" w:ascii="仿宋" w:hAnsi="仿宋" w:eastAsia="仿宋" w:cs="仿宋"/>
          <w:highlight w:val="none"/>
        </w:rPr>
      </w:pPr>
      <w:r>
        <w:rPr>
          <w:rFonts w:hint="eastAsia" w:ascii="仿宋" w:hAnsi="仿宋" w:eastAsia="仿宋" w:cs="仿宋"/>
          <w:highlight w:val="none"/>
        </w:rPr>
        <w:t>项目编号：</w:t>
      </w:r>
      <w:r>
        <w:rPr>
          <w:rFonts w:hint="eastAsia" w:ascii="仿宋" w:hAnsi="仿宋" w:eastAsia="仿宋" w:cs="仿宋"/>
          <w:bCs/>
          <w:highlight w:val="none"/>
          <w:u w:val="single"/>
        </w:rPr>
        <w:t xml:space="preserve">                    </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2356"/>
        <w:gridCol w:w="2547"/>
        <w:gridCol w:w="2088"/>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43" w:type="pc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1365" w:type="pc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采购</w:t>
            </w:r>
            <w:r>
              <w:rPr>
                <w:rFonts w:hint="eastAsia" w:ascii="仿宋" w:hAnsi="仿宋" w:eastAsia="仿宋" w:cs="仿宋"/>
                <w:sz w:val="21"/>
                <w:szCs w:val="21"/>
                <w:highlight w:val="none"/>
              </w:rPr>
              <w:t>内容</w:t>
            </w:r>
          </w:p>
        </w:tc>
        <w:tc>
          <w:tcPr>
            <w:tcW w:w="1476" w:type="pc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投标报价</w:t>
            </w:r>
          </w:p>
        </w:tc>
        <w:tc>
          <w:tcPr>
            <w:tcW w:w="1210" w:type="pc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交货</w:t>
            </w:r>
            <w:r>
              <w:rPr>
                <w:rFonts w:hint="eastAsia" w:ascii="仿宋" w:hAnsi="仿宋" w:eastAsia="仿宋" w:cs="仿宋"/>
                <w:sz w:val="21"/>
                <w:szCs w:val="21"/>
                <w:highlight w:val="none"/>
              </w:rPr>
              <w:t>期限</w:t>
            </w:r>
          </w:p>
        </w:tc>
        <w:tc>
          <w:tcPr>
            <w:tcW w:w="603" w:type="pct"/>
            <w:noWrap w:val="0"/>
            <w:vAlign w:val="center"/>
          </w:tcPr>
          <w:p>
            <w:pPr>
              <w:keepNext w:val="0"/>
              <w:keepLines w:val="0"/>
              <w:widowControl/>
              <w:suppressLineNumbers w:val="0"/>
              <w:spacing w:before="0" w:beforeAutospacing="0" w:after="0" w:afterAutospacing="0" w:line="360" w:lineRule="atLeast"/>
              <w:ind w:left="-8" w:leftChars="-4" w:right="0" w:firstLine="73" w:firstLineChars="3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43" w:type="pc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1365" w:type="pc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p>
        </w:tc>
        <w:tc>
          <w:tcPr>
            <w:tcW w:w="1476" w:type="pc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元</w:t>
            </w:r>
          </w:p>
        </w:tc>
        <w:tc>
          <w:tcPr>
            <w:tcW w:w="1210" w:type="pct"/>
            <w:noWrap w:val="0"/>
            <w:vAlign w:val="center"/>
          </w:tcPr>
          <w:p>
            <w:pPr>
              <w:keepNext w:val="0"/>
              <w:keepLines w:val="0"/>
              <w:widowControl/>
              <w:suppressLineNumbers w:val="0"/>
              <w:spacing w:before="0" w:beforeAutospacing="0" w:after="0" w:afterAutospacing="0" w:line="360" w:lineRule="atLeast"/>
              <w:ind w:left="0" w:right="0" w:firstLine="411" w:firstLineChars="196"/>
              <w:jc w:val="center"/>
              <w:rPr>
                <w:rFonts w:hint="eastAsia" w:ascii="仿宋" w:hAnsi="仿宋" w:eastAsia="仿宋" w:cs="仿宋"/>
                <w:sz w:val="21"/>
                <w:szCs w:val="21"/>
                <w:highlight w:val="none"/>
                <w:u w:val="single"/>
              </w:rPr>
            </w:pPr>
          </w:p>
        </w:tc>
        <w:tc>
          <w:tcPr>
            <w:tcW w:w="603" w:type="pct"/>
            <w:noWrap w:val="0"/>
            <w:vAlign w:val="center"/>
          </w:tcPr>
          <w:p>
            <w:pPr>
              <w:keepNext w:val="0"/>
              <w:keepLines w:val="0"/>
              <w:widowControl/>
              <w:suppressLineNumbers w:val="0"/>
              <w:spacing w:before="0" w:beforeAutospacing="0" w:after="0" w:afterAutospacing="0" w:line="360" w:lineRule="atLeast"/>
              <w:ind w:left="0" w:right="0"/>
              <w:rPr>
                <w:rFonts w:hint="eastAsia" w:ascii="仿宋" w:hAnsi="仿宋" w:eastAsia="仿宋" w:cs="仿宋"/>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5000" w:type="pct"/>
            <w:gridSpan w:val="5"/>
            <w:noWrap w:val="0"/>
            <w:vAlign w:val="center"/>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r>
              <w:rPr>
                <w:rFonts w:hint="eastAsia" w:ascii="仿宋" w:hAnsi="仿宋" w:eastAsia="仿宋" w:cs="仿宋"/>
                <w:sz w:val="21"/>
                <w:szCs w:val="21"/>
                <w:highlight w:val="none"/>
              </w:rPr>
              <w:t>投标总价：</w:t>
            </w:r>
            <w:r>
              <w:rPr>
                <w:rFonts w:hint="eastAsia" w:ascii="仿宋" w:hAnsi="仿宋" w:eastAsia="仿宋" w:cs="仿宋"/>
                <w:sz w:val="21"/>
                <w:szCs w:val="21"/>
                <w:highlight w:val="none"/>
                <w:lang w:eastAsia="zh-CN"/>
              </w:rPr>
              <w:t>小写：</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大写：</w:t>
            </w:r>
            <w:r>
              <w:rPr>
                <w:rFonts w:hint="eastAsia" w:ascii="仿宋" w:hAnsi="仿宋" w:eastAsia="仿宋" w:cs="仿宋"/>
                <w:sz w:val="21"/>
                <w:szCs w:val="21"/>
                <w:highlight w:val="none"/>
                <w:u w:val="single"/>
              </w:rPr>
              <w:t xml:space="preserve">                                   </w:t>
            </w:r>
          </w:p>
        </w:tc>
      </w:tr>
    </w:tbl>
    <w:p>
      <w:pPr>
        <w:spacing w:line="360" w:lineRule="atLeast"/>
        <w:rPr>
          <w:rFonts w:hint="eastAsia" w:ascii="仿宋" w:hAnsi="仿宋" w:eastAsia="仿宋" w:cs="仿宋"/>
          <w:sz w:val="24"/>
          <w:highlight w:val="none"/>
        </w:rPr>
      </w:pPr>
    </w:p>
    <w:p>
      <w:pPr>
        <w:spacing w:line="360" w:lineRule="auto"/>
        <w:ind w:firstLine="360" w:firstLineChars="200"/>
        <w:rPr>
          <w:rFonts w:hint="eastAsia" w:ascii="仿宋" w:hAnsi="仿宋" w:eastAsia="仿宋" w:cs="仿宋"/>
          <w:sz w:val="18"/>
          <w:szCs w:val="18"/>
          <w:highlight w:val="none"/>
        </w:rPr>
      </w:pPr>
      <w:r>
        <w:rPr>
          <w:rFonts w:hint="eastAsia" w:ascii="仿宋" w:hAnsi="仿宋" w:eastAsia="仿宋" w:cs="仿宋"/>
          <w:sz w:val="18"/>
          <w:szCs w:val="18"/>
          <w:highlight w:val="none"/>
        </w:rPr>
        <w:t>注：1、投标报价是履行合同的最终价格，应包括人工、保险、代理、培训、税费等实施本次采购项目的所有费用。</w:t>
      </w:r>
    </w:p>
    <w:p>
      <w:pPr>
        <w:spacing w:line="360" w:lineRule="auto"/>
        <w:ind w:firstLine="360" w:firstLineChars="200"/>
        <w:rPr>
          <w:rFonts w:hint="eastAsia" w:ascii="仿宋" w:hAnsi="仿宋" w:eastAsia="仿宋" w:cs="仿宋"/>
          <w:sz w:val="18"/>
          <w:szCs w:val="18"/>
          <w:highlight w:val="none"/>
        </w:rPr>
      </w:pPr>
      <w:r>
        <w:rPr>
          <w:rFonts w:hint="eastAsia" w:ascii="仿宋" w:hAnsi="仿宋" w:eastAsia="仿宋" w:cs="仿宋"/>
          <w:sz w:val="18"/>
          <w:szCs w:val="18"/>
          <w:highlight w:val="none"/>
        </w:rPr>
        <w:t>2、“开标一览表”为多页的，每页均需由法定代表人（单位负责人）或授权代表签字并盖投标人印章。</w:t>
      </w:r>
    </w:p>
    <w:p>
      <w:pPr>
        <w:spacing w:line="360" w:lineRule="atLeast"/>
        <w:ind w:firstLine="470" w:firstLineChars="196"/>
        <w:rPr>
          <w:rFonts w:hint="eastAsia" w:ascii="仿宋" w:hAnsi="仿宋" w:eastAsia="仿宋" w:cs="仿宋"/>
          <w:sz w:val="24"/>
          <w:highlight w:val="none"/>
        </w:rPr>
      </w:pPr>
    </w:p>
    <w:p>
      <w:pPr>
        <w:snapToGrid w:val="0"/>
        <w:spacing w:after="120" w:line="360" w:lineRule="auto"/>
        <w:ind w:firstLine="720"/>
        <w:jc w:val="right"/>
        <w:rPr>
          <w:rFonts w:hint="eastAsia" w:ascii="仿宋" w:hAnsi="仿宋" w:eastAsia="仿宋" w:cs="仿宋"/>
          <w:sz w:val="21"/>
          <w:szCs w:val="21"/>
          <w:highlight w:val="none"/>
          <w:u w:val="singl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(盖章)</w:t>
      </w:r>
    </w:p>
    <w:p>
      <w:pPr>
        <w:snapToGrid w:val="0"/>
        <w:spacing w:after="120" w:line="360" w:lineRule="auto"/>
        <w:ind w:firstLine="720"/>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法定代表人/单位负责人或授权代表：</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（签字或加盖个人名章）</w:t>
      </w:r>
    </w:p>
    <w:p>
      <w:pPr>
        <w:snapToGrid w:val="0"/>
        <w:spacing w:line="440" w:lineRule="exact"/>
        <w:ind w:firstLine="420" w:firstLineChars="200"/>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投标日期：</w:t>
      </w:r>
      <w:r>
        <w:rPr>
          <w:rFonts w:hint="eastAsia" w:ascii="仿宋" w:hAnsi="仿宋" w:eastAsia="仿宋" w:cs="仿宋"/>
          <w:i/>
          <w:sz w:val="21"/>
          <w:szCs w:val="21"/>
          <w:highlight w:val="none"/>
          <w:u w:val="single"/>
        </w:rPr>
        <w:t xml:space="preserve">    </w:t>
      </w:r>
      <w:r>
        <w:rPr>
          <w:rFonts w:hint="eastAsia" w:ascii="仿宋" w:hAnsi="仿宋" w:eastAsia="仿宋" w:cs="仿宋"/>
          <w:iCs/>
          <w:sz w:val="21"/>
          <w:szCs w:val="21"/>
          <w:highlight w:val="none"/>
        </w:rPr>
        <w:t>年</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月</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日</w:t>
      </w:r>
    </w:p>
    <w:p>
      <w:pPr>
        <w:snapToGrid w:val="0"/>
        <w:spacing w:line="360" w:lineRule="auto"/>
        <w:jc w:val="center"/>
        <w:rPr>
          <w:rFonts w:hint="eastAsia" w:ascii="仿宋" w:hAnsi="仿宋" w:eastAsia="仿宋" w:cs="仿宋"/>
          <w:sz w:val="21"/>
          <w:szCs w:val="21"/>
          <w:highlight w:val="none"/>
          <w:u w:val="single"/>
        </w:rPr>
      </w:pPr>
    </w:p>
    <w:p>
      <w:pPr>
        <w:snapToGrid w:val="0"/>
        <w:spacing w:line="360" w:lineRule="auto"/>
        <w:jc w:val="center"/>
        <w:rPr>
          <w:rFonts w:hint="eastAsia" w:ascii="仿宋" w:hAnsi="仿宋" w:eastAsia="仿宋" w:cs="仿宋"/>
          <w:sz w:val="21"/>
          <w:szCs w:val="21"/>
          <w:highlight w:val="none"/>
          <w:u w:val="single"/>
        </w:rPr>
        <w:sectPr>
          <w:pgSz w:w="11905" w:h="16838"/>
          <w:pgMar w:top="1440" w:right="1746" w:bottom="1440" w:left="1746" w:header="850" w:footer="992" w:gutter="0"/>
          <w:pgNumType w:fmt="decimal"/>
          <w:cols w:space="720" w:num="1"/>
          <w:titlePg/>
          <w:rtlGutter w:val="0"/>
          <w:docGrid w:linePitch="360" w:charSpace="0"/>
        </w:sectPr>
      </w:pPr>
    </w:p>
    <w:p>
      <w:pPr>
        <w:snapToGrid w:val="0"/>
        <w:spacing w:before="240" w:beforeLines="100" w:line="360" w:lineRule="auto"/>
        <w:jc w:val="center"/>
        <w:outlineLvl w:val="1"/>
        <w:rPr>
          <w:rFonts w:hint="eastAsia" w:ascii="仿宋" w:hAnsi="仿宋" w:eastAsia="仿宋" w:cs="仿宋"/>
          <w:b/>
          <w:sz w:val="30"/>
          <w:szCs w:val="30"/>
          <w:highlight w:val="none"/>
          <w:lang w:eastAsia="zh-CN"/>
        </w:rPr>
      </w:pPr>
      <w:bookmarkStart w:id="1012" w:name="page45"/>
      <w:bookmarkEnd w:id="1012"/>
      <w:bookmarkStart w:id="1013" w:name="_Toc12124"/>
      <w:bookmarkStart w:id="1014" w:name="_Toc10200"/>
      <w:bookmarkStart w:id="1015" w:name="_Toc21092"/>
      <w:bookmarkStart w:id="1016" w:name="_Toc13854"/>
      <w:bookmarkStart w:id="1017" w:name="_Toc1634"/>
      <w:bookmarkStart w:id="1018" w:name="_Toc17356"/>
      <w:bookmarkStart w:id="1019" w:name="_Toc26444"/>
      <w:bookmarkStart w:id="1020" w:name="_Toc23829"/>
      <w:bookmarkStart w:id="1021" w:name="_Toc28724"/>
      <w:bookmarkStart w:id="1022" w:name="_Toc19596"/>
      <w:r>
        <w:rPr>
          <w:rFonts w:hint="eastAsia" w:ascii="仿宋" w:hAnsi="仿宋" w:eastAsia="仿宋" w:cs="仿宋"/>
          <w:b/>
          <w:sz w:val="30"/>
          <w:szCs w:val="30"/>
          <w:highlight w:val="none"/>
        </w:rPr>
        <w:t>四、分项报价明细表</w:t>
      </w:r>
      <w:bookmarkEnd w:id="1013"/>
      <w:bookmarkEnd w:id="1014"/>
      <w:bookmarkEnd w:id="1015"/>
      <w:r>
        <w:rPr>
          <w:rFonts w:hint="eastAsia" w:ascii="仿宋" w:hAnsi="仿宋" w:eastAsia="仿宋" w:cs="仿宋"/>
          <w:b/>
          <w:sz w:val="30"/>
          <w:szCs w:val="30"/>
          <w:highlight w:val="none"/>
          <w:lang w:eastAsia="zh-CN"/>
        </w:rPr>
        <w:t>（</w:t>
      </w:r>
      <w:r>
        <w:rPr>
          <w:rFonts w:hint="eastAsia" w:ascii="仿宋" w:hAnsi="仿宋" w:eastAsia="仿宋" w:cs="仿宋"/>
          <w:b/>
          <w:sz w:val="30"/>
          <w:szCs w:val="30"/>
          <w:highlight w:val="none"/>
          <w:lang w:val="en-US" w:eastAsia="zh-CN"/>
        </w:rPr>
        <w:t>实质性要求</w:t>
      </w:r>
      <w:r>
        <w:rPr>
          <w:rFonts w:hint="eastAsia" w:ascii="仿宋" w:hAnsi="仿宋" w:eastAsia="仿宋" w:cs="仿宋"/>
          <w:b/>
          <w:sz w:val="30"/>
          <w:szCs w:val="30"/>
          <w:highlight w:val="none"/>
          <w:lang w:eastAsia="zh-CN"/>
        </w:rPr>
        <w:t>）</w:t>
      </w:r>
    </w:p>
    <w:p>
      <w:pPr>
        <w:adjustRightInd w:val="0"/>
        <w:spacing w:line="320" w:lineRule="exact"/>
        <w:rPr>
          <w:rFonts w:hint="eastAsia" w:ascii="仿宋" w:hAnsi="仿宋" w:eastAsia="仿宋" w:cs="仿宋"/>
          <w:szCs w:val="21"/>
          <w:highlight w:val="none"/>
        </w:rPr>
      </w:pP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1203"/>
        <w:gridCol w:w="1189"/>
        <w:gridCol w:w="1191"/>
        <w:gridCol w:w="1189"/>
        <w:gridCol w:w="1189"/>
        <w:gridCol w:w="1189"/>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8" w:hRule="exact"/>
          <w:jc w:val="center"/>
        </w:trPr>
        <w:tc>
          <w:tcPr>
            <w:tcW w:w="3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default"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标的名称</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品牌</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单价</w:t>
            </w:r>
            <w:r>
              <w:rPr>
                <w:rFonts w:hint="eastAsia" w:ascii="仿宋" w:hAnsi="仿宋" w:eastAsia="仿宋" w:cs="仿宋"/>
                <w:sz w:val="21"/>
                <w:szCs w:val="21"/>
                <w:highlight w:val="none"/>
              </w:rPr>
              <w:t>（元）</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数量</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总价</w:t>
            </w:r>
            <w:r>
              <w:rPr>
                <w:rFonts w:hint="eastAsia" w:ascii="仿宋" w:hAnsi="仿宋" w:eastAsia="仿宋" w:cs="仿宋"/>
                <w:sz w:val="21"/>
                <w:szCs w:val="21"/>
                <w:highlight w:val="none"/>
              </w:rPr>
              <w:t>（元）</w:t>
            </w: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规格型号</w:t>
            </w:r>
          </w:p>
        </w:tc>
        <w:tc>
          <w:tcPr>
            <w:tcW w:w="5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firstLine="105" w:firstLineChars="5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533"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所投产品按照采购文件逐项填写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533" w:type="pct"/>
            <w:vMerge w:val="continue"/>
            <w:tcBorders>
              <w:left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533" w:type="pct"/>
            <w:vMerge w:val="continue"/>
            <w:tcBorders>
              <w:left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533" w:type="pct"/>
            <w:vMerge w:val="continue"/>
            <w:tcBorders>
              <w:left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6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c>
          <w:tcPr>
            <w:tcW w:w="533" w:type="pct"/>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19"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合计</w:t>
            </w:r>
          </w:p>
        </w:tc>
        <w:tc>
          <w:tcPr>
            <w:tcW w:w="2068"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left"/>
              <w:rPr>
                <w:rFonts w:hint="eastAsia" w:ascii="仿宋" w:hAnsi="仿宋" w:eastAsia="仿宋" w:cs="仿宋"/>
                <w:sz w:val="21"/>
                <w:szCs w:val="21"/>
                <w:highlight w:val="none"/>
                <w:u w:val="single"/>
              </w:rPr>
            </w:pPr>
            <w:r>
              <w:rPr>
                <w:rFonts w:hint="eastAsia" w:ascii="仿宋" w:hAnsi="仿宋" w:eastAsia="仿宋" w:cs="仿宋"/>
                <w:sz w:val="21"/>
                <w:szCs w:val="21"/>
                <w:highlight w:val="none"/>
                <w:u w:val="none"/>
                <w:lang w:val="en-US" w:eastAsia="zh-CN"/>
              </w:rPr>
              <w:t>总价：          元</w:t>
            </w:r>
          </w:p>
        </w:tc>
        <w:tc>
          <w:tcPr>
            <w:tcW w:w="1912"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line="400" w:lineRule="exact"/>
              <w:ind w:left="0" w:right="0"/>
              <w:jc w:val="lef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u w:val="none"/>
                <w:lang w:val="en-US" w:eastAsia="zh-CN"/>
              </w:rPr>
              <w:t>大写（人民币）：</w:t>
            </w:r>
          </w:p>
        </w:tc>
      </w:tr>
    </w:tbl>
    <w:p>
      <w:pPr>
        <w:adjustRightInd w:val="0"/>
        <w:spacing w:line="480" w:lineRule="exact"/>
        <w:ind w:firstLine="352" w:firstLineChars="196"/>
        <w:rPr>
          <w:rFonts w:hint="eastAsia" w:ascii="仿宋" w:hAnsi="仿宋" w:eastAsia="仿宋" w:cs="仿宋"/>
          <w:sz w:val="18"/>
          <w:szCs w:val="18"/>
          <w:highlight w:val="none"/>
        </w:rPr>
      </w:pPr>
      <w:r>
        <w:rPr>
          <w:rFonts w:hint="eastAsia" w:ascii="仿宋" w:hAnsi="仿宋" w:eastAsia="仿宋" w:cs="仿宋"/>
          <w:sz w:val="18"/>
          <w:szCs w:val="18"/>
          <w:highlight w:val="none"/>
        </w:rPr>
        <w:t>注：1、投标人应按“分项报价明细表”的格式详细报出投标总价的各个组成部分的报价。</w:t>
      </w:r>
    </w:p>
    <w:p>
      <w:pPr>
        <w:adjustRightInd w:val="0"/>
        <w:spacing w:line="480" w:lineRule="exact"/>
        <w:ind w:firstLine="352" w:firstLineChars="196"/>
        <w:rPr>
          <w:rFonts w:hint="eastAsia" w:ascii="仿宋" w:hAnsi="仿宋" w:eastAsia="仿宋" w:cs="仿宋"/>
          <w:sz w:val="18"/>
          <w:szCs w:val="18"/>
          <w:highlight w:val="none"/>
        </w:rPr>
      </w:pPr>
      <w:r>
        <w:rPr>
          <w:rFonts w:hint="eastAsia" w:ascii="仿宋" w:hAnsi="仿宋" w:eastAsia="仿宋" w:cs="仿宋"/>
          <w:sz w:val="18"/>
          <w:szCs w:val="18"/>
          <w:highlight w:val="none"/>
        </w:rPr>
        <w:t xml:space="preserve">    2、“分项报价明细表”各分项报价合计应当与“开标一览表”报价合计相等。</w:t>
      </w:r>
    </w:p>
    <w:p>
      <w:pPr>
        <w:adjustRightInd w:val="0"/>
        <w:spacing w:line="480" w:lineRule="exact"/>
        <w:ind w:firstLine="352" w:firstLineChars="196"/>
        <w:rPr>
          <w:rFonts w:hint="eastAsia" w:ascii="仿宋" w:hAnsi="仿宋" w:eastAsia="仿宋" w:cs="仿宋"/>
          <w:bCs/>
          <w:spacing w:val="8"/>
          <w:sz w:val="24"/>
          <w:highlight w:val="none"/>
        </w:rPr>
      </w:pPr>
      <w:r>
        <w:rPr>
          <w:rFonts w:hint="eastAsia" w:ascii="仿宋" w:hAnsi="仿宋" w:eastAsia="仿宋" w:cs="仿宋"/>
          <w:sz w:val="18"/>
          <w:szCs w:val="18"/>
          <w:highlight w:val="none"/>
        </w:rPr>
        <w:t>3、“分项报价明细表”为多页的，每页均须加盖投标人公章和法定代表人/单位负责人或授权代表签字。</w:t>
      </w:r>
    </w:p>
    <w:p>
      <w:pPr>
        <w:adjustRightInd w:val="0"/>
        <w:spacing w:line="480" w:lineRule="exact"/>
        <w:rPr>
          <w:rFonts w:hint="eastAsia" w:ascii="仿宋" w:hAnsi="仿宋" w:eastAsia="仿宋" w:cs="仿宋"/>
          <w:bCs/>
          <w:spacing w:val="8"/>
          <w:sz w:val="24"/>
          <w:highlight w:val="none"/>
        </w:rPr>
      </w:pPr>
    </w:p>
    <w:p>
      <w:pPr>
        <w:spacing w:line="360" w:lineRule="atLeast"/>
        <w:ind w:firstLine="470" w:firstLineChars="196"/>
        <w:rPr>
          <w:rFonts w:hint="eastAsia" w:ascii="仿宋" w:hAnsi="仿宋" w:eastAsia="仿宋" w:cs="仿宋"/>
          <w:sz w:val="24"/>
          <w:highlight w:val="none"/>
        </w:rPr>
      </w:pPr>
    </w:p>
    <w:p>
      <w:pPr>
        <w:snapToGrid w:val="0"/>
        <w:spacing w:after="120" w:line="360" w:lineRule="auto"/>
        <w:ind w:firstLine="720"/>
        <w:jc w:val="right"/>
        <w:rPr>
          <w:rFonts w:hint="eastAsia" w:ascii="仿宋" w:hAnsi="仿宋" w:eastAsia="仿宋" w:cs="仿宋"/>
          <w:sz w:val="21"/>
          <w:szCs w:val="21"/>
          <w:highlight w:val="none"/>
          <w:u w:val="singl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(盖章)</w:t>
      </w:r>
    </w:p>
    <w:p>
      <w:pPr>
        <w:snapToGrid w:val="0"/>
        <w:spacing w:after="120" w:line="360" w:lineRule="auto"/>
        <w:ind w:firstLine="720"/>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法定代表人/单位负责人或授权代表：</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（签字或加盖个人名章）</w:t>
      </w:r>
    </w:p>
    <w:p>
      <w:pPr>
        <w:snapToGrid w:val="0"/>
        <w:spacing w:line="440" w:lineRule="exact"/>
        <w:ind w:firstLine="420" w:firstLineChars="200"/>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投标日期：</w:t>
      </w:r>
      <w:r>
        <w:rPr>
          <w:rFonts w:hint="eastAsia" w:ascii="仿宋" w:hAnsi="仿宋" w:eastAsia="仿宋" w:cs="仿宋"/>
          <w:i/>
          <w:sz w:val="21"/>
          <w:szCs w:val="21"/>
          <w:highlight w:val="none"/>
          <w:u w:val="single"/>
        </w:rPr>
        <w:t xml:space="preserve">    </w:t>
      </w:r>
      <w:r>
        <w:rPr>
          <w:rFonts w:hint="eastAsia" w:ascii="仿宋" w:hAnsi="仿宋" w:eastAsia="仿宋" w:cs="仿宋"/>
          <w:iCs/>
          <w:sz w:val="21"/>
          <w:szCs w:val="21"/>
          <w:highlight w:val="none"/>
        </w:rPr>
        <w:t>年</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月</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日</w:t>
      </w:r>
    </w:p>
    <w:p>
      <w:pPr>
        <w:snapToGrid w:val="0"/>
        <w:spacing w:before="240" w:beforeLines="100" w:line="360" w:lineRule="auto"/>
        <w:jc w:val="center"/>
        <w:outlineLvl w:val="1"/>
        <w:rPr>
          <w:rFonts w:hint="eastAsia" w:ascii="仿宋" w:hAnsi="仿宋" w:eastAsia="仿宋" w:cs="仿宋"/>
          <w:b/>
          <w:sz w:val="32"/>
          <w:highlight w:val="none"/>
        </w:rPr>
      </w:pPr>
      <w:r>
        <w:rPr>
          <w:rFonts w:hint="eastAsia" w:ascii="仿宋" w:hAnsi="仿宋" w:eastAsia="仿宋" w:cs="仿宋"/>
          <w:b/>
          <w:sz w:val="32"/>
          <w:highlight w:val="none"/>
        </w:rPr>
        <w:br w:type="page"/>
      </w:r>
      <w:bookmarkStart w:id="1023" w:name="_Toc27328"/>
      <w:bookmarkStart w:id="1024" w:name="_Toc32461"/>
      <w:bookmarkStart w:id="1025" w:name="_Toc28304"/>
      <w:r>
        <w:rPr>
          <w:rFonts w:hint="eastAsia" w:ascii="仿宋" w:hAnsi="仿宋" w:eastAsia="仿宋" w:cs="仿宋"/>
          <w:b/>
          <w:sz w:val="32"/>
          <w:highlight w:val="none"/>
        </w:rPr>
        <w:t>五、商务应答表</w:t>
      </w:r>
      <w:bookmarkEnd w:id="1016"/>
      <w:bookmarkEnd w:id="1017"/>
      <w:bookmarkEnd w:id="1018"/>
      <w:bookmarkEnd w:id="1019"/>
      <w:bookmarkEnd w:id="1020"/>
      <w:bookmarkEnd w:id="1021"/>
      <w:bookmarkEnd w:id="1022"/>
      <w:bookmarkEnd w:id="1023"/>
      <w:bookmarkEnd w:id="1024"/>
      <w:bookmarkEnd w:id="1025"/>
    </w:p>
    <w:p>
      <w:pPr>
        <w:snapToGrid w:val="0"/>
        <w:spacing w:line="360" w:lineRule="auto"/>
        <w:ind w:right="-68" w:firstLine="840" w:firstLineChars="400"/>
        <w:rPr>
          <w:rFonts w:hint="eastAsia" w:ascii="仿宋" w:hAnsi="仿宋" w:eastAsia="仿宋" w:cs="仿宋"/>
          <w:bCs/>
          <w:sz w:val="21"/>
          <w:szCs w:val="21"/>
          <w:highlight w:val="none"/>
          <w:u w:val="single"/>
          <w:lang w:val="en-US" w:eastAsia="zh-CN"/>
        </w:rPr>
      </w:pPr>
      <w:r>
        <w:rPr>
          <w:rFonts w:hint="eastAsia" w:ascii="仿宋" w:hAnsi="仿宋" w:eastAsia="仿宋" w:cs="仿宋"/>
          <w:bCs/>
          <w:sz w:val="21"/>
          <w:szCs w:val="21"/>
          <w:highlight w:val="none"/>
        </w:rPr>
        <w:t>项目名称：</w:t>
      </w:r>
      <w:r>
        <w:rPr>
          <w:rFonts w:hint="eastAsia" w:ascii="仿宋" w:hAnsi="仿宋" w:eastAsia="仿宋" w:cs="仿宋"/>
          <w:bCs/>
          <w:sz w:val="21"/>
          <w:szCs w:val="21"/>
          <w:highlight w:val="none"/>
          <w:u w:val="single"/>
        </w:rPr>
        <w:t xml:space="preserve">                     </w:t>
      </w:r>
      <w:r>
        <w:rPr>
          <w:rFonts w:hint="eastAsia" w:ascii="仿宋" w:hAnsi="仿宋" w:eastAsia="仿宋" w:cs="仿宋"/>
          <w:bCs/>
          <w:sz w:val="21"/>
          <w:szCs w:val="21"/>
          <w:highlight w:val="none"/>
          <w:u w:val="single"/>
          <w:lang w:val="en-US" w:eastAsia="zh-CN"/>
        </w:rPr>
        <w:t>包号：</w:t>
      </w:r>
    </w:p>
    <w:p>
      <w:pPr>
        <w:snapToGrid w:val="0"/>
        <w:spacing w:line="360" w:lineRule="auto"/>
        <w:ind w:right="-68" w:firstLine="840" w:firstLineChars="400"/>
        <w:rPr>
          <w:rFonts w:hint="eastAsia" w:ascii="仿宋" w:hAnsi="仿宋" w:eastAsia="仿宋" w:cs="仿宋"/>
          <w:bCs/>
          <w:sz w:val="21"/>
          <w:szCs w:val="21"/>
          <w:highlight w:val="none"/>
        </w:rPr>
      </w:pPr>
      <w:r>
        <w:rPr>
          <w:rFonts w:hint="eastAsia" w:ascii="仿宋" w:hAnsi="仿宋" w:eastAsia="仿宋" w:cs="仿宋"/>
          <w:bCs/>
          <w:sz w:val="21"/>
          <w:szCs w:val="21"/>
          <w:highlight w:val="none"/>
        </w:rPr>
        <w:t>项目编号：</w:t>
      </w:r>
      <w:r>
        <w:rPr>
          <w:rFonts w:hint="eastAsia" w:ascii="仿宋" w:hAnsi="仿宋" w:eastAsia="仿宋" w:cs="仿宋"/>
          <w:bCs/>
          <w:sz w:val="21"/>
          <w:szCs w:val="21"/>
          <w:highlight w:val="none"/>
          <w:u w:val="single"/>
        </w:rPr>
        <w:t xml:space="preserve">                     </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1"/>
        <w:gridCol w:w="2760"/>
        <w:gridCol w:w="2382"/>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1599"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招标要求</w:t>
            </w:r>
          </w:p>
        </w:tc>
        <w:tc>
          <w:tcPr>
            <w:tcW w:w="138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投标应答</w:t>
            </w:r>
          </w:p>
        </w:tc>
        <w:tc>
          <w:tcPr>
            <w:tcW w:w="1655"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8"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599"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38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655"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599"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38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655"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8"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599"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38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655"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8"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599"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38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655"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8"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599"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38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655"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599"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38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c>
          <w:tcPr>
            <w:tcW w:w="1655"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sz w:val="21"/>
                <w:szCs w:val="21"/>
                <w:highlight w:val="none"/>
              </w:rPr>
            </w:pPr>
          </w:p>
        </w:tc>
      </w:tr>
    </w:tbl>
    <w:p>
      <w:pPr>
        <w:snapToGrid w:val="0"/>
        <w:spacing w:line="360" w:lineRule="auto"/>
        <w:ind w:firstLine="499"/>
        <w:rPr>
          <w:rFonts w:hint="eastAsia" w:ascii="仿宋" w:hAnsi="仿宋" w:eastAsia="仿宋" w:cs="仿宋"/>
          <w:b/>
          <w:sz w:val="21"/>
          <w:szCs w:val="21"/>
          <w:highlight w:val="none"/>
        </w:rPr>
      </w:pPr>
    </w:p>
    <w:p>
      <w:pPr>
        <w:widowControl/>
        <w:spacing w:line="360" w:lineRule="atLeast"/>
        <w:ind w:left="363" w:leftChars="178" w:hanging="7" w:hangingChars="4"/>
        <w:jc w:val="left"/>
        <w:outlineLvl w:val="1"/>
        <w:rPr>
          <w:rFonts w:hint="eastAsia" w:ascii="仿宋" w:hAnsi="仿宋" w:eastAsia="仿宋" w:cs="仿宋"/>
          <w:color w:val="auto"/>
          <w:sz w:val="18"/>
          <w:szCs w:val="18"/>
          <w:highlight w:val="none"/>
        </w:rPr>
      </w:pPr>
      <w:bookmarkStart w:id="1026" w:name="_Toc13808"/>
      <w:r>
        <w:rPr>
          <w:rFonts w:hint="eastAsia" w:ascii="仿宋" w:hAnsi="仿宋" w:eastAsia="仿宋" w:cs="仿宋"/>
          <w:color w:val="auto"/>
          <w:sz w:val="18"/>
          <w:szCs w:val="18"/>
          <w:highlight w:val="none"/>
        </w:rPr>
        <w:t>注：</w:t>
      </w:r>
      <w:bookmarkEnd w:id="1026"/>
      <w:r>
        <w:rPr>
          <w:rFonts w:hint="eastAsia" w:ascii="仿宋" w:hAnsi="仿宋" w:eastAsia="仿宋" w:cs="仿宋"/>
          <w:color w:val="auto"/>
          <w:sz w:val="18"/>
          <w:szCs w:val="18"/>
          <w:highlight w:val="none"/>
        </w:rPr>
        <w:t>1. 投标人必须按照招标文件第六章 “商务要求”的全部内容在本表的“招标要求”、“投标应答”中按顺序逐条对应填写，否则视为无效投标。</w:t>
      </w:r>
    </w:p>
    <w:p>
      <w:pPr>
        <w:widowControl/>
        <w:spacing w:line="360" w:lineRule="atLeast"/>
        <w:ind w:firstLine="712" w:firstLineChars="396"/>
        <w:jc w:val="left"/>
        <w:outlineLvl w:val="1"/>
        <w:rPr>
          <w:rFonts w:hint="eastAsia" w:ascii="仿宋" w:hAnsi="仿宋" w:eastAsia="仿宋" w:cs="仿宋"/>
          <w:color w:val="auto"/>
          <w:sz w:val="18"/>
          <w:szCs w:val="18"/>
          <w:highlight w:val="none"/>
        </w:rPr>
      </w:pPr>
      <w:bookmarkStart w:id="1027" w:name="_Toc19846"/>
      <w:r>
        <w:rPr>
          <w:rFonts w:hint="eastAsia" w:ascii="仿宋" w:hAnsi="仿宋" w:eastAsia="仿宋" w:cs="仿宋"/>
          <w:color w:val="auto"/>
          <w:sz w:val="18"/>
          <w:szCs w:val="18"/>
          <w:highlight w:val="none"/>
        </w:rPr>
        <w:t>2、供应商必须据实填写，不得虚假填写，否则将取消其投标或中标资格。</w:t>
      </w:r>
      <w:bookmarkEnd w:id="1027"/>
    </w:p>
    <w:p>
      <w:pPr>
        <w:snapToGrid w:val="0"/>
        <w:spacing w:line="360" w:lineRule="auto"/>
        <w:ind w:firstLine="499"/>
        <w:rPr>
          <w:rFonts w:hint="eastAsia" w:ascii="仿宋" w:hAnsi="仿宋" w:eastAsia="仿宋" w:cs="仿宋"/>
          <w:b/>
          <w:sz w:val="18"/>
          <w:szCs w:val="18"/>
          <w:highlight w:val="none"/>
        </w:rPr>
      </w:pPr>
    </w:p>
    <w:p>
      <w:pPr>
        <w:tabs>
          <w:tab w:val="left" w:pos="3480"/>
        </w:tabs>
        <w:snapToGrid w:val="0"/>
        <w:spacing w:line="360" w:lineRule="auto"/>
        <w:rPr>
          <w:rFonts w:hint="eastAsia" w:ascii="仿宋" w:hAnsi="仿宋" w:eastAsia="仿宋" w:cs="仿宋"/>
          <w:sz w:val="21"/>
          <w:szCs w:val="21"/>
          <w:highlight w:val="none"/>
        </w:rPr>
      </w:pPr>
    </w:p>
    <w:p>
      <w:pPr>
        <w:tabs>
          <w:tab w:val="left" w:pos="3480"/>
        </w:tabs>
        <w:snapToGrid w:val="0"/>
        <w:spacing w:line="360" w:lineRule="auto"/>
        <w:rPr>
          <w:rFonts w:hint="eastAsia" w:ascii="仿宋" w:hAnsi="仿宋" w:eastAsia="仿宋" w:cs="仿宋"/>
          <w:sz w:val="21"/>
          <w:szCs w:val="21"/>
          <w:highlight w:val="none"/>
        </w:rPr>
      </w:pPr>
    </w:p>
    <w:p>
      <w:pPr>
        <w:tabs>
          <w:tab w:val="left" w:pos="3480"/>
        </w:tabs>
        <w:snapToGrid w:val="0"/>
        <w:spacing w:line="600" w:lineRule="auto"/>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投标人名称：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(盖章)</w:t>
      </w:r>
    </w:p>
    <w:p>
      <w:pPr>
        <w:tabs>
          <w:tab w:val="left" w:pos="3480"/>
          <w:tab w:val="left" w:pos="4700"/>
        </w:tabs>
        <w:snapToGrid w:val="0"/>
        <w:spacing w:line="600" w:lineRule="auto"/>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法定代表人/单位负责人或授权代表：</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(签字或盖章)</w:t>
      </w:r>
    </w:p>
    <w:p>
      <w:pPr>
        <w:snapToGrid w:val="0"/>
        <w:spacing w:line="600" w:lineRule="auto"/>
        <w:ind w:firstLine="420" w:firstLineChars="200"/>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投标日期：</w:t>
      </w:r>
      <w:r>
        <w:rPr>
          <w:rFonts w:hint="eastAsia" w:ascii="仿宋" w:hAnsi="仿宋" w:eastAsia="仿宋" w:cs="仿宋"/>
          <w:i/>
          <w:sz w:val="21"/>
          <w:szCs w:val="21"/>
          <w:highlight w:val="none"/>
          <w:u w:val="single"/>
        </w:rPr>
        <w:t xml:space="preserve">    </w:t>
      </w:r>
      <w:r>
        <w:rPr>
          <w:rFonts w:hint="eastAsia" w:ascii="仿宋" w:hAnsi="仿宋" w:eastAsia="仿宋" w:cs="仿宋"/>
          <w:iCs/>
          <w:sz w:val="21"/>
          <w:szCs w:val="21"/>
          <w:highlight w:val="none"/>
        </w:rPr>
        <w:t>年</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月</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日</w:t>
      </w:r>
    </w:p>
    <w:p>
      <w:pPr>
        <w:tabs>
          <w:tab w:val="left" w:pos="1100"/>
          <w:tab w:val="left" w:pos="1440"/>
          <w:tab w:val="left" w:pos="2660"/>
          <w:tab w:val="left" w:pos="3140"/>
          <w:tab w:val="left" w:pos="3480"/>
          <w:tab w:val="left" w:pos="4700"/>
        </w:tabs>
        <w:snapToGrid w:val="0"/>
        <w:spacing w:line="600" w:lineRule="auto"/>
        <w:jc w:val="both"/>
        <w:rPr>
          <w:rFonts w:hint="eastAsia" w:ascii="仿宋" w:hAnsi="仿宋" w:eastAsia="仿宋" w:cs="仿宋"/>
          <w:highlight w:val="none"/>
        </w:rPr>
        <w:sectPr>
          <w:pgSz w:w="11905" w:h="16838"/>
          <w:pgMar w:top="1440" w:right="1746" w:bottom="1440" w:left="1746" w:header="850" w:footer="992" w:gutter="0"/>
          <w:pgNumType w:fmt="decimal"/>
          <w:cols w:space="720" w:num="1"/>
          <w:titlePg/>
          <w:rtlGutter w:val="0"/>
          <w:docGrid w:linePitch="360" w:charSpace="0"/>
        </w:sectPr>
      </w:pPr>
    </w:p>
    <w:p>
      <w:pPr>
        <w:snapToGrid w:val="0"/>
        <w:spacing w:line="360" w:lineRule="auto"/>
        <w:rPr>
          <w:rFonts w:hint="eastAsia" w:ascii="仿宋" w:hAnsi="仿宋" w:eastAsia="仿宋" w:cs="仿宋"/>
          <w:highlight w:val="none"/>
        </w:rPr>
        <w:sectPr>
          <w:type w:val="continuous"/>
          <w:pgSz w:w="11905" w:h="16838"/>
          <w:pgMar w:top="1440" w:right="1746" w:bottom="1440" w:left="1746" w:header="850" w:footer="992" w:gutter="0"/>
          <w:pgNumType w:fmt="decimal"/>
          <w:cols w:space="720" w:num="1"/>
          <w:titlePg/>
          <w:rtlGutter w:val="0"/>
          <w:docGrid w:linePitch="360" w:charSpace="0"/>
        </w:sectPr>
      </w:pPr>
    </w:p>
    <w:p>
      <w:pPr>
        <w:snapToGrid w:val="0"/>
        <w:spacing w:before="240" w:beforeLines="100" w:line="360" w:lineRule="auto"/>
        <w:jc w:val="center"/>
        <w:outlineLvl w:val="1"/>
        <w:rPr>
          <w:rFonts w:hint="eastAsia" w:ascii="仿宋" w:hAnsi="仿宋" w:eastAsia="仿宋" w:cs="仿宋"/>
          <w:b/>
          <w:sz w:val="32"/>
          <w:highlight w:val="none"/>
        </w:rPr>
      </w:pPr>
      <w:bookmarkStart w:id="1028" w:name="page46"/>
      <w:bookmarkEnd w:id="1028"/>
      <w:bookmarkStart w:id="1029" w:name="_Toc14311"/>
      <w:bookmarkStart w:id="1030" w:name="_Toc20422"/>
      <w:bookmarkStart w:id="1031" w:name="_Toc16398"/>
      <w:bookmarkStart w:id="1032" w:name="_Toc16412"/>
      <w:bookmarkStart w:id="1033" w:name="_Toc31623"/>
      <w:bookmarkStart w:id="1034" w:name="_Toc18339"/>
      <w:bookmarkStart w:id="1035" w:name="_Toc10286"/>
      <w:bookmarkStart w:id="1036" w:name="_Toc7748"/>
      <w:bookmarkStart w:id="1037" w:name="_Toc32659"/>
      <w:bookmarkStart w:id="1038" w:name="_Toc19775"/>
      <w:r>
        <w:rPr>
          <w:rFonts w:hint="eastAsia" w:ascii="仿宋" w:hAnsi="仿宋" w:eastAsia="仿宋" w:cs="仿宋"/>
          <w:b/>
          <w:sz w:val="32"/>
          <w:highlight w:val="none"/>
        </w:rPr>
        <w:t>六、技术、服务应答表</w:t>
      </w:r>
      <w:bookmarkEnd w:id="1029"/>
      <w:bookmarkEnd w:id="1030"/>
      <w:bookmarkEnd w:id="1031"/>
      <w:bookmarkEnd w:id="1032"/>
      <w:bookmarkEnd w:id="1033"/>
      <w:bookmarkEnd w:id="1034"/>
      <w:bookmarkEnd w:id="1035"/>
      <w:bookmarkEnd w:id="1036"/>
      <w:bookmarkEnd w:id="1037"/>
      <w:bookmarkEnd w:id="1038"/>
    </w:p>
    <w:p>
      <w:pPr>
        <w:snapToGrid w:val="0"/>
        <w:spacing w:line="360" w:lineRule="auto"/>
        <w:ind w:left="102" w:right="-68" w:firstLine="630" w:firstLineChars="300"/>
        <w:rPr>
          <w:rFonts w:hint="eastAsia" w:ascii="仿宋" w:hAnsi="仿宋" w:eastAsia="仿宋" w:cs="仿宋"/>
          <w:bCs/>
          <w:sz w:val="21"/>
          <w:szCs w:val="21"/>
          <w:highlight w:val="none"/>
          <w:lang w:val="en-US" w:eastAsia="zh-CN"/>
        </w:rPr>
      </w:pPr>
      <w:r>
        <w:rPr>
          <w:rFonts w:hint="eastAsia" w:ascii="仿宋" w:hAnsi="仿宋" w:eastAsia="仿宋" w:cs="仿宋"/>
          <w:bCs/>
          <w:sz w:val="21"/>
          <w:szCs w:val="21"/>
          <w:highlight w:val="none"/>
        </w:rPr>
        <w:t>项目名称：</w:t>
      </w:r>
      <w:r>
        <w:rPr>
          <w:rFonts w:hint="eastAsia" w:ascii="仿宋" w:hAnsi="仿宋" w:eastAsia="仿宋" w:cs="仿宋"/>
          <w:bCs/>
          <w:sz w:val="21"/>
          <w:szCs w:val="21"/>
          <w:highlight w:val="none"/>
          <w:u w:val="single"/>
        </w:rPr>
        <w:t xml:space="preserve">                     </w:t>
      </w:r>
      <w:r>
        <w:rPr>
          <w:rFonts w:hint="eastAsia" w:ascii="仿宋" w:hAnsi="仿宋" w:eastAsia="仿宋" w:cs="仿宋"/>
          <w:bCs/>
          <w:sz w:val="21"/>
          <w:szCs w:val="21"/>
          <w:highlight w:val="none"/>
          <w:u w:val="single"/>
          <w:lang w:val="en-US" w:eastAsia="zh-CN"/>
        </w:rPr>
        <w:t>包号：</w:t>
      </w:r>
    </w:p>
    <w:p>
      <w:pPr>
        <w:snapToGrid w:val="0"/>
        <w:spacing w:line="360" w:lineRule="auto"/>
        <w:ind w:left="102" w:right="-68" w:firstLine="630" w:firstLineChars="300"/>
        <w:rPr>
          <w:rFonts w:hint="eastAsia" w:ascii="仿宋" w:hAnsi="仿宋" w:eastAsia="仿宋" w:cs="仿宋"/>
          <w:bCs/>
          <w:sz w:val="21"/>
          <w:szCs w:val="21"/>
          <w:highlight w:val="none"/>
        </w:rPr>
      </w:pPr>
      <w:r>
        <w:rPr>
          <w:rFonts w:hint="eastAsia" w:ascii="仿宋" w:hAnsi="仿宋" w:eastAsia="仿宋" w:cs="仿宋"/>
          <w:bCs/>
          <w:sz w:val="21"/>
          <w:szCs w:val="21"/>
          <w:highlight w:val="none"/>
        </w:rPr>
        <w:t>项目编号：</w:t>
      </w:r>
      <w:r>
        <w:rPr>
          <w:rFonts w:hint="eastAsia" w:ascii="仿宋" w:hAnsi="仿宋" w:eastAsia="仿宋" w:cs="仿宋"/>
          <w:bCs/>
          <w:sz w:val="21"/>
          <w:szCs w:val="21"/>
          <w:highlight w:val="none"/>
          <w:u w:val="single"/>
        </w:rPr>
        <w:t xml:space="preserve">                     </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2"/>
        <w:gridCol w:w="2758"/>
        <w:gridCol w:w="3082"/>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1598"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招标文件要求内容</w:t>
            </w:r>
          </w:p>
        </w:tc>
        <w:tc>
          <w:tcPr>
            <w:tcW w:w="178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投标应答</w:t>
            </w:r>
          </w:p>
        </w:tc>
        <w:tc>
          <w:tcPr>
            <w:tcW w:w="125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598"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78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25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598"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78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25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598"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78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25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598"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78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25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598"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78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25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jc w:val="center"/>
        </w:trPr>
        <w:tc>
          <w:tcPr>
            <w:tcW w:w="36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598"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78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c>
          <w:tcPr>
            <w:tcW w:w="1250"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240" w:lineRule="atLeast"/>
              <w:ind w:left="0" w:right="0"/>
              <w:jc w:val="center"/>
              <w:rPr>
                <w:rFonts w:hint="eastAsia" w:ascii="仿宋" w:hAnsi="仿宋" w:eastAsia="仿宋" w:cs="仿宋"/>
                <w:sz w:val="21"/>
                <w:szCs w:val="21"/>
                <w:highlight w:val="none"/>
              </w:rPr>
            </w:pPr>
          </w:p>
        </w:tc>
      </w:tr>
    </w:tbl>
    <w:p>
      <w:pPr>
        <w:snapToGrid w:val="0"/>
        <w:spacing w:after="120" w:line="360" w:lineRule="auto"/>
        <w:rPr>
          <w:rFonts w:hint="eastAsia" w:ascii="仿宋" w:hAnsi="仿宋" w:eastAsia="仿宋" w:cs="仿宋"/>
          <w:sz w:val="21"/>
          <w:szCs w:val="21"/>
          <w:highlight w:val="none"/>
        </w:rPr>
      </w:pPr>
    </w:p>
    <w:p>
      <w:pPr>
        <w:snapToGrid w:val="0"/>
        <w:spacing w:after="120" w:line="360" w:lineRule="auto"/>
        <w:rPr>
          <w:rFonts w:hint="eastAsia" w:ascii="仿宋" w:hAnsi="仿宋" w:eastAsia="仿宋" w:cs="仿宋"/>
          <w:sz w:val="21"/>
          <w:szCs w:val="21"/>
          <w:highlight w:val="none"/>
        </w:rPr>
      </w:pPr>
    </w:p>
    <w:p>
      <w:pPr>
        <w:spacing w:line="360" w:lineRule="atLeast"/>
        <w:ind w:firstLine="352" w:firstLineChars="196"/>
        <w:rPr>
          <w:rFonts w:hint="eastAsia" w:ascii="仿宋" w:hAnsi="仿宋" w:eastAsia="仿宋" w:cs="仿宋"/>
          <w:color w:val="auto"/>
          <w:sz w:val="18"/>
          <w:szCs w:val="18"/>
          <w:highlight w:val="none"/>
        </w:rPr>
      </w:pPr>
      <w:bookmarkStart w:id="1039" w:name="_Toc18800"/>
      <w:r>
        <w:rPr>
          <w:rFonts w:hint="eastAsia" w:ascii="仿宋" w:hAnsi="仿宋" w:eastAsia="仿宋" w:cs="仿宋"/>
          <w:color w:val="auto"/>
          <w:sz w:val="18"/>
          <w:szCs w:val="18"/>
          <w:highlight w:val="none"/>
        </w:rPr>
        <w:t>注：</w:t>
      </w:r>
      <w:bookmarkEnd w:id="1039"/>
      <w:r>
        <w:rPr>
          <w:rFonts w:hint="eastAsia" w:ascii="仿宋" w:hAnsi="仿宋" w:eastAsia="仿宋" w:cs="仿宋"/>
          <w:color w:val="auto"/>
          <w:sz w:val="18"/>
          <w:szCs w:val="18"/>
          <w:highlight w:val="none"/>
        </w:rPr>
        <w:t>1. 供应商必须把招标文件第六章技术服务要求全部列入此表。</w:t>
      </w:r>
    </w:p>
    <w:p>
      <w:pPr>
        <w:spacing w:line="360" w:lineRule="atLeast"/>
        <w:ind w:firstLine="352" w:firstLineChars="196"/>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2．按照招标项目技术要求的顺序逐条对应填写。</w:t>
      </w:r>
    </w:p>
    <w:p>
      <w:pPr>
        <w:spacing w:line="360" w:lineRule="atLeast"/>
        <w:ind w:firstLine="352" w:firstLineChars="196"/>
        <w:rPr>
          <w:rFonts w:hint="eastAsia" w:ascii="仿宋" w:hAnsi="仿宋" w:eastAsia="仿宋" w:cs="仿宋"/>
          <w:sz w:val="18"/>
          <w:szCs w:val="18"/>
          <w:highlight w:val="none"/>
        </w:rPr>
      </w:pPr>
      <w:r>
        <w:rPr>
          <w:rFonts w:hint="eastAsia" w:ascii="仿宋" w:hAnsi="仿宋" w:eastAsia="仿宋" w:cs="仿宋"/>
          <w:color w:val="auto"/>
          <w:sz w:val="18"/>
          <w:szCs w:val="18"/>
          <w:highlight w:val="none"/>
        </w:rPr>
        <w:t>3．供应商必须据实填写，不得虚假填写，否则将取消其投标或中标资格。</w:t>
      </w:r>
    </w:p>
    <w:p>
      <w:pPr>
        <w:pStyle w:val="2"/>
        <w:rPr>
          <w:rFonts w:hint="eastAsia" w:ascii="仿宋" w:hAnsi="仿宋" w:eastAsia="仿宋" w:cs="仿宋"/>
          <w:highlight w:val="none"/>
        </w:rPr>
      </w:pPr>
    </w:p>
    <w:p>
      <w:pPr>
        <w:tabs>
          <w:tab w:val="left" w:pos="3480"/>
        </w:tabs>
        <w:snapToGrid w:val="0"/>
        <w:spacing w:line="480" w:lineRule="auto"/>
        <w:jc w:val="right"/>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(盖章)</w:t>
      </w:r>
    </w:p>
    <w:p>
      <w:pPr>
        <w:tabs>
          <w:tab w:val="left" w:pos="3480"/>
        </w:tabs>
        <w:snapToGrid w:val="0"/>
        <w:spacing w:line="480" w:lineRule="auto"/>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法定代表人/单位负责人或授权代表：</w:t>
      </w:r>
      <w:r>
        <w:rPr>
          <w:rFonts w:hint="eastAsia" w:ascii="仿宋" w:hAnsi="仿宋" w:eastAsia="仿宋" w:cs="仿宋"/>
          <w:sz w:val="21"/>
          <w:szCs w:val="21"/>
          <w:highlight w:val="none"/>
          <w:u w:val="single"/>
        </w:rPr>
        <w:t xml:space="preserve">                  </w:t>
      </w:r>
      <w:r>
        <w:rPr>
          <w:rFonts w:hint="eastAsia" w:ascii="仿宋" w:hAnsi="仿宋" w:eastAsia="仿宋" w:cs="仿宋"/>
          <w:w w:val="98"/>
          <w:sz w:val="21"/>
          <w:szCs w:val="21"/>
          <w:highlight w:val="none"/>
        </w:rPr>
        <w:t>(</w:t>
      </w:r>
      <w:r>
        <w:rPr>
          <w:rFonts w:hint="eastAsia" w:ascii="仿宋" w:hAnsi="仿宋" w:eastAsia="仿宋" w:cs="仿宋"/>
          <w:sz w:val="21"/>
          <w:szCs w:val="21"/>
          <w:highlight w:val="none"/>
        </w:rPr>
        <w:t>签字或盖章)</w:t>
      </w:r>
    </w:p>
    <w:p>
      <w:pPr>
        <w:snapToGrid w:val="0"/>
        <w:spacing w:line="480" w:lineRule="auto"/>
        <w:ind w:firstLine="420" w:firstLineChars="200"/>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投标日期：</w:t>
      </w:r>
      <w:r>
        <w:rPr>
          <w:rFonts w:hint="eastAsia" w:ascii="仿宋" w:hAnsi="仿宋" w:eastAsia="仿宋" w:cs="仿宋"/>
          <w:i/>
          <w:sz w:val="21"/>
          <w:szCs w:val="21"/>
          <w:highlight w:val="none"/>
          <w:u w:val="single"/>
        </w:rPr>
        <w:t xml:space="preserve">    </w:t>
      </w:r>
      <w:r>
        <w:rPr>
          <w:rFonts w:hint="eastAsia" w:ascii="仿宋" w:hAnsi="仿宋" w:eastAsia="仿宋" w:cs="仿宋"/>
          <w:iCs/>
          <w:sz w:val="21"/>
          <w:szCs w:val="21"/>
          <w:highlight w:val="none"/>
        </w:rPr>
        <w:t>年</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月</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日</w:t>
      </w:r>
    </w:p>
    <w:p>
      <w:pPr>
        <w:tabs>
          <w:tab w:val="left" w:pos="3480"/>
        </w:tabs>
        <w:snapToGrid w:val="0"/>
        <w:spacing w:line="360" w:lineRule="auto"/>
        <w:rPr>
          <w:rFonts w:hint="eastAsia" w:ascii="仿宋" w:hAnsi="仿宋" w:eastAsia="仿宋" w:cs="仿宋"/>
          <w:highlight w:val="none"/>
        </w:rPr>
        <w:sectPr>
          <w:pgSz w:w="11905" w:h="16838"/>
          <w:pgMar w:top="1440" w:right="1746" w:bottom="1440" w:left="1746" w:header="850" w:footer="992" w:gutter="0"/>
          <w:pgNumType w:fmt="decimal"/>
          <w:cols w:space="720" w:num="1"/>
          <w:titlePg/>
          <w:rtlGutter w:val="0"/>
          <w:docGrid w:linePitch="360" w:charSpace="0"/>
        </w:sectPr>
      </w:pPr>
    </w:p>
    <w:p>
      <w:pPr>
        <w:snapToGrid w:val="0"/>
        <w:spacing w:line="360" w:lineRule="auto"/>
        <w:rPr>
          <w:rFonts w:hint="eastAsia" w:ascii="仿宋" w:hAnsi="仿宋" w:eastAsia="仿宋" w:cs="仿宋"/>
          <w:highlight w:val="none"/>
        </w:rPr>
        <w:sectPr>
          <w:type w:val="continuous"/>
          <w:pgSz w:w="11905" w:h="16838"/>
          <w:pgMar w:top="1440" w:right="1746" w:bottom="1440" w:left="1746" w:header="850" w:footer="992" w:gutter="0"/>
          <w:pgNumType w:fmt="decimal"/>
          <w:cols w:space="720" w:num="1"/>
          <w:titlePg/>
          <w:rtlGutter w:val="0"/>
          <w:docGrid w:linePitch="360" w:charSpace="0"/>
        </w:sectPr>
      </w:pPr>
    </w:p>
    <w:p>
      <w:pPr>
        <w:snapToGrid w:val="0"/>
        <w:spacing w:before="240" w:beforeLines="100" w:line="360" w:lineRule="auto"/>
        <w:jc w:val="center"/>
        <w:outlineLvl w:val="1"/>
        <w:rPr>
          <w:rFonts w:hint="eastAsia" w:ascii="仿宋" w:hAnsi="仿宋" w:eastAsia="仿宋" w:cs="仿宋"/>
          <w:sz w:val="18"/>
          <w:highlight w:val="none"/>
        </w:rPr>
      </w:pPr>
      <w:bookmarkStart w:id="1040" w:name="_Toc23761"/>
      <w:bookmarkStart w:id="1041" w:name="_Toc12345"/>
      <w:bookmarkStart w:id="1042" w:name="_Toc28477"/>
      <w:bookmarkStart w:id="1043" w:name="_Toc7243"/>
      <w:bookmarkStart w:id="1044" w:name="_Toc7948"/>
      <w:bookmarkStart w:id="1045" w:name="_Toc20672"/>
      <w:bookmarkStart w:id="1046" w:name="_Toc948"/>
      <w:bookmarkStart w:id="1047" w:name="_Toc32459"/>
      <w:r>
        <w:rPr>
          <w:rFonts w:hint="eastAsia" w:ascii="仿宋" w:hAnsi="仿宋" w:eastAsia="仿宋" w:cs="仿宋"/>
          <w:b/>
          <w:sz w:val="32"/>
          <w:highlight w:val="none"/>
        </w:rPr>
        <w:t>七、投标人基本情况表</w:t>
      </w:r>
      <w:bookmarkEnd w:id="1040"/>
      <w:bookmarkEnd w:id="1041"/>
      <w:bookmarkEnd w:id="1042"/>
      <w:bookmarkEnd w:id="1043"/>
      <w:bookmarkEnd w:id="1044"/>
      <w:bookmarkEnd w:id="1045"/>
      <w:bookmarkEnd w:id="1046"/>
      <w:bookmarkEnd w:id="1047"/>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02"/>
        <w:gridCol w:w="960"/>
        <w:gridCol w:w="1232"/>
        <w:gridCol w:w="1232"/>
        <w:gridCol w:w="1234"/>
        <w:gridCol w:w="254"/>
        <w:gridCol w:w="1110"/>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871"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p>
        </w:tc>
        <w:tc>
          <w:tcPr>
            <w:tcW w:w="4129" w:type="pct"/>
            <w:gridSpan w:val="7"/>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871"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注册地址</w:t>
            </w:r>
          </w:p>
        </w:tc>
        <w:tc>
          <w:tcPr>
            <w:tcW w:w="1984" w:type="pct"/>
            <w:gridSpan w:val="3"/>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715"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邮政编码</w:t>
            </w:r>
          </w:p>
        </w:tc>
        <w:tc>
          <w:tcPr>
            <w:tcW w:w="1430" w:type="pct"/>
            <w:gridSpan w:val="3"/>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871" w:type="pct"/>
            <w:vMerge w:val="restar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联系方式</w:t>
            </w:r>
          </w:p>
        </w:tc>
        <w:tc>
          <w:tcPr>
            <w:tcW w:w="55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联系人</w:t>
            </w:r>
          </w:p>
        </w:tc>
        <w:tc>
          <w:tcPr>
            <w:tcW w:w="1428"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715"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电话</w:t>
            </w:r>
          </w:p>
        </w:tc>
        <w:tc>
          <w:tcPr>
            <w:tcW w:w="1430" w:type="pct"/>
            <w:gridSpan w:val="3"/>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871" w:type="pct"/>
            <w:vMerge w:val="continue"/>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55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传真</w:t>
            </w:r>
          </w:p>
        </w:tc>
        <w:tc>
          <w:tcPr>
            <w:tcW w:w="1428"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715"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网址</w:t>
            </w:r>
          </w:p>
        </w:tc>
        <w:tc>
          <w:tcPr>
            <w:tcW w:w="1430" w:type="pct"/>
            <w:gridSpan w:val="3"/>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871"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组织结构</w:t>
            </w:r>
          </w:p>
        </w:tc>
        <w:tc>
          <w:tcPr>
            <w:tcW w:w="4129" w:type="pct"/>
            <w:gridSpan w:val="7"/>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871"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w:t>
            </w:r>
          </w:p>
        </w:tc>
        <w:tc>
          <w:tcPr>
            <w:tcW w:w="55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姓名</w:t>
            </w:r>
          </w:p>
        </w:tc>
        <w:tc>
          <w:tcPr>
            <w:tcW w:w="714"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714"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技术职称</w:t>
            </w:r>
          </w:p>
        </w:tc>
        <w:tc>
          <w:tcPr>
            <w:tcW w:w="862"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643"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电话</w:t>
            </w:r>
          </w:p>
        </w:tc>
        <w:tc>
          <w:tcPr>
            <w:tcW w:w="639"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871"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技术负责人</w:t>
            </w:r>
          </w:p>
        </w:tc>
        <w:tc>
          <w:tcPr>
            <w:tcW w:w="556"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姓名</w:t>
            </w:r>
          </w:p>
        </w:tc>
        <w:tc>
          <w:tcPr>
            <w:tcW w:w="714"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714"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技术职称</w:t>
            </w:r>
          </w:p>
        </w:tc>
        <w:tc>
          <w:tcPr>
            <w:tcW w:w="862"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643"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电话</w:t>
            </w:r>
          </w:p>
        </w:tc>
        <w:tc>
          <w:tcPr>
            <w:tcW w:w="639"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871"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成立时间</w:t>
            </w:r>
          </w:p>
        </w:tc>
        <w:tc>
          <w:tcPr>
            <w:tcW w:w="1984" w:type="pct"/>
            <w:gridSpan w:val="3"/>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862"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员工总人数</w:t>
            </w:r>
          </w:p>
        </w:tc>
        <w:tc>
          <w:tcPr>
            <w:tcW w:w="1283"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871"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企业资质等级</w:t>
            </w:r>
          </w:p>
        </w:tc>
        <w:tc>
          <w:tcPr>
            <w:tcW w:w="1270"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714" w:type="pct"/>
            <w:vMerge w:val="restar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其中</w:t>
            </w:r>
          </w:p>
        </w:tc>
        <w:tc>
          <w:tcPr>
            <w:tcW w:w="862"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项目经理</w:t>
            </w:r>
          </w:p>
        </w:tc>
        <w:tc>
          <w:tcPr>
            <w:tcW w:w="1283"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5" w:hRule="atLeast"/>
          <w:jc w:val="center"/>
        </w:trPr>
        <w:tc>
          <w:tcPr>
            <w:tcW w:w="871"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营业执照号/统一社会信用代码</w:t>
            </w:r>
          </w:p>
        </w:tc>
        <w:tc>
          <w:tcPr>
            <w:tcW w:w="1270"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714" w:type="pct"/>
            <w:vMerge w:val="continue"/>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862"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高级职称人员</w:t>
            </w:r>
          </w:p>
        </w:tc>
        <w:tc>
          <w:tcPr>
            <w:tcW w:w="1283"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871"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注册资金</w:t>
            </w:r>
          </w:p>
        </w:tc>
        <w:tc>
          <w:tcPr>
            <w:tcW w:w="1270"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714" w:type="pct"/>
            <w:vMerge w:val="continue"/>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862"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中级职称人员</w:t>
            </w:r>
          </w:p>
        </w:tc>
        <w:tc>
          <w:tcPr>
            <w:tcW w:w="1283"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871"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开户银行</w:t>
            </w:r>
          </w:p>
        </w:tc>
        <w:tc>
          <w:tcPr>
            <w:tcW w:w="1270"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714" w:type="pct"/>
            <w:vMerge w:val="continue"/>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862"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初级职称人员</w:t>
            </w:r>
          </w:p>
        </w:tc>
        <w:tc>
          <w:tcPr>
            <w:tcW w:w="1283"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871"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账号</w:t>
            </w:r>
          </w:p>
        </w:tc>
        <w:tc>
          <w:tcPr>
            <w:tcW w:w="1270"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714" w:type="pct"/>
            <w:vMerge w:val="continue"/>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c>
          <w:tcPr>
            <w:tcW w:w="862"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技工</w:t>
            </w:r>
          </w:p>
        </w:tc>
        <w:tc>
          <w:tcPr>
            <w:tcW w:w="1283" w:type="pct"/>
            <w:gridSpan w:val="2"/>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871" w:type="pct"/>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tc>
        <w:tc>
          <w:tcPr>
            <w:tcW w:w="4129" w:type="pct"/>
            <w:gridSpan w:val="7"/>
            <w:noWrap w:val="0"/>
            <w:tcMar>
              <w:top w:w="0" w:type="dxa"/>
              <w:left w:w="108" w:type="dxa"/>
              <w:bottom w:w="0" w:type="dxa"/>
              <w:right w:w="108" w:type="dxa"/>
            </w:tcMar>
            <w:vAlign w:val="center"/>
          </w:tcPr>
          <w:p>
            <w:pPr>
              <w:keepNext w:val="0"/>
              <w:keepLines w:val="0"/>
              <w:widowControl/>
              <w:suppressLineNumbers w:val="0"/>
              <w:snapToGrid w:val="0"/>
              <w:spacing w:before="0" w:beforeAutospacing="0" w:after="0" w:afterAutospacing="0" w:line="0" w:lineRule="atLeast"/>
              <w:ind w:left="0" w:right="0"/>
              <w:jc w:val="center"/>
              <w:rPr>
                <w:rFonts w:hint="eastAsia" w:ascii="仿宋" w:hAnsi="仿宋" w:eastAsia="仿宋" w:cs="仿宋"/>
                <w:sz w:val="21"/>
                <w:szCs w:val="21"/>
                <w:highlight w:val="none"/>
              </w:rPr>
            </w:pPr>
          </w:p>
        </w:tc>
      </w:tr>
    </w:tbl>
    <w:p>
      <w:pPr>
        <w:snapToGrid w:val="0"/>
        <w:spacing w:line="360" w:lineRule="auto"/>
        <w:rPr>
          <w:rFonts w:hint="eastAsia" w:ascii="仿宋" w:hAnsi="仿宋" w:eastAsia="仿宋" w:cs="仿宋"/>
          <w:sz w:val="18"/>
          <w:highlight w:val="none"/>
        </w:rPr>
      </w:pPr>
    </w:p>
    <w:p>
      <w:pPr>
        <w:snapToGrid w:val="0"/>
        <w:spacing w:line="360" w:lineRule="auto"/>
        <w:rPr>
          <w:rFonts w:hint="eastAsia" w:ascii="仿宋" w:hAnsi="仿宋" w:eastAsia="仿宋" w:cs="仿宋"/>
          <w:bCs/>
          <w:sz w:val="18"/>
          <w:szCs w:val="18"/>
          <w:highlight w:val="none"/>
        </w:rPr>
      </w:pPr>
      <w:bookmarkStart w:id="1048" w:name="page44"/>
      <w:bookmarkEnd w:id="1048"/>
      <w:r>
        <w:rPr>
          <w:rFonts w:hint="eastAsia" w:ascii="仿宋" w:hAnsi="仿宋" w:eastAsia="仿宋" w:cs="仿宋"/>
          <w:bCs/>
          <w:sz w:val="18"/>
          <w:szCs w:val="18"/>
          <w:highlight w:val="none"/>
        </w:rPr>
        <w:t>注：投标人根据自身实际情况填写，对不涉及的内容可填写“/”，不影响投标资质及效力。</w:t>
      </w:r>
    </w:p>
    <w:p>
      <w:pPr>
        <w:snapToGrid w:val="0"/>
        <w:spacing w:line="240" w:lineRule="atLeast"/>
        <w:ind w:firstLine="360" w:firstLineChars="200"/>
        <w:rPr>
          <w:rFonts w:hint="eastAsia" w:ascii="仿宋" w:hAnsi="仿宋" w:eastAsia="仿宋" w:cs="仿宋"/>
          <w:bCs/>
          <w:sz w:val="18"/>
          <w:szCs w:val="18"/>
          <w:highlight w:val="none"/>
        </w:rPr>
      </w:pPr>
    </w:p>
    <w:p>
      <w:pPr>
        <w:tabs>
          <w:tab w:val="left" w:pos="3480"/>
        </w:tabs>
        <w:snapToGrid w:val="0"/>
        <w:spacing w:line="360" w:lineRule="auto"/>
        <w:jc w:val="right"/>
        <w:rPr>
          <w:rFonts w:hint="eastAsia" w:ascii="仿宋" w:hAnsi="仿宋" w:eastAsia="仿宋" w:cs="仿宋"/>
          <w:sz w:val="24"/>
          <w:highlight w:val="none"/>
        </w:rPr>
      </w:pPr>
    </w:p>
    <w:p>
      <w:pPr>
        <w:tabs>
          <w:tab w:val="left" w:pos="3480"/>
        </w:tabs>
        <w:snapToGrid w:val="0"/>
        <w:spacing w:line="480" w:lineRule="auto"/>
        <w:jc w:val="right"/>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(盖章)</w:t>
      </w:r>
    </w:p>
    <w:p>
      <w:pPr>
        <w:tabs>
          <w:tab w:val="left" w:pos="3480"/>
          <w:tab w:val="left" w:pos="4700"/>
        </w:tabs>
        <w:snapToGrid w:val="0"/>
        <w:spacing w:line="480" w:lineRule="auto"/>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法定代表人/单位负责人或授权代表：</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（签字或加盖个人名章）</w:t>
      </w:r>
    </w:p>
    <w:p>
      <w:pPr>
        <w:pStyle w:val="93"/>
        <w:keepNext w:val="0"/>
        <w:keepLines w:val="0"/>
        <w:numPr>
          <w:ilvl w:val="0"/>
          <w:numId w:val="0"/>
        </w:numPr>
        <w:spacing w:before="0" w:after="0" w:line="480" w:lineRule="auto"/>
        <w:jc w:val="right"/>
        <w:outlineLvl w:val="9"/>
        <w:rPr>
          <w:rFonts w:hint="eastAsia" w:ascii="仿宋" w:hAnsi="仿宋" w:eastAsia="仿宋" w:cs="仿宋"/>
          <w:b w:val="0"/>
          <w:bCs w:val="0"/>
          <w:highlight w:val="none"/>
        </w:rPr>
        <w:sectPr>
          <w:pgSz w:w="11905" w:h="16838"/>
          <w:pgMar w:top="1440" w:right="1746" w:bottom="1440" w:left="1746" w:header="850" w:footer="992" w:gutter="0"/>
          <w:pgNumType w:fmt="decimal"/>
          <w:cols w:space="720" w:num="1"/>
          <w:titlePg/>
          <w:rtlGutter w:val="0"/>
          <w:docGrid w:linePitch="360" w:charSpace="0"/>
        </w:sectPr>
      </w:pPr>
      <w:r>
        <w:rPr>
          <w:rFonts w:hint="eastAsia" w:ascii="仿宋" w:hAnsi="仿宋" w:eastAsia="仿宋" w:cs="仿宋"/>
          <w:b w:val="0"/>
          <w:bCs w:val="0"/>
          <w:sz w:val="21"/>
          <w:szCs w:val="21"/>
          <w:highlight w:val="none"/>
        </w:rPr>
        <w:t>投标日期：</w:t>
      </w:r>
      <w:r>
        <w:rPr>
          <w:rFonts w:hint="eastAsia" w:ascii="仿宋" w:hAnsi="仿宋" w:eastAsia="仿宋" w:cs="仿宋"/>
          <w:b w:val="0"/>
          <w:bCs w:val="0"/>
          <w:i/>
          <w:sz w:val="21"/>
          <w:szCs w:val="21"/>
          <w:highlight w:val="none"/>
          <w:u w:val="single"/>
        </w:rPr>
        <w:t xml:space="preserve">    </w:t>
      </w:r>
      <w:r>
        <w:rPr>
          <w:rFonts w:hint="eastAsia" w:ascii="仿宋" w:hAnsi="仿宋" w:eastAsia="仿宋" w:cs="仿宋"/>
          <w:b w:val="0"/>
          <w:bCs w:val="0"/>
          <w:iCs/>
          <w:sz w:val="21"/>
          <w:szCs w:val="21"/>
          <w:highlight w:val="none"/>
        </w:rPr>
        <w:t>年</w:t>
      </w:r>
      <w:r>
        <w:rPr>
          <w:rFonts w:hint="eastAsia" w:ascii="仿宋" w:hAnsi="仿宋" w:eastAsia="仿宋" w:cs="仿宋"/>
          <w:b w:val="0"/>
          <w:bCs w:val="0"/>
          <w:iCs/>
          <w:sz w:val="21"/>
          <w:szCs w:val="21"/>
          <w:highlight w:val="none"/>
          <w:u w:val="single"/>
        </w:rPr>
        <w:t xml:space="preserve">    </w:t>
      </w:r>
      <w:r>
        <w:rPr>
          <w:rFonts w:hint="eastAsia" w:ascii="仿宋" w:hAnsi="仿宋" w:eastAsia="仿宋" w:cs="仿宋"/>
          <w:b w:val="0"/>
          <w:bCs w:val="0"/>
          <w:iCs/>
          <w:sz w:val="21"/>
          <w:szCs w:val="21"/>
          <w:highlight w:val="none"/>
        </w:rPr>
        <w:t>月</w:t>
      </w:r>
      <w:r>
        <w:rPr>
          <w:rFonts w:hint="eastAsia" w:ascii="仿宋" w:hAnsi="仿宋" w:eastAsia="仿宋" w:cs="仿宋"/>
          <w:b w:val="0"/>
          <w:bCs w:val="0"/>
          <w:iCs/>
          <w:sz w:val="21"/>
          <w:szCs w:val="21"/>
          <w:highlight w:val="none"/>
          <w:u w:val="single"/>
        </w:rPr>
        <w:t xml:space="preserve">    </w:t>
      </w:r>
      <w:r>
        <w:rPr>
          <w:rFonts w:hint="eastAsia" w:ascii="仿宋" w:hAnsi="仿宋" w:eastAsia="仿宋" w:cs="仿宋"/>
          <w:b w:val="0"/>
          <w:bCs w:val="0"/>
          <w:iCs/>
          <w:sz w:val="21"/>
          <w:szCs w:val="21"/>
          <w:highlight w:val="none"/>
        </w:rPr>
        <w:t>日</w:t>
      </w:r>
    </w:p>
    <w:p>
      <w:pPr>
        <w:snapToGrid w:val="0"/>
        <w:spacing w:line="360" w:lineRule="auto"/>
        <w:rPr>
          <w:rFonts w:hint="eastAsia" w:ascii="仿宋" w:hAnsi="仿宋" w:eastAsia="仿宋" w:cs="仿宋"/>
          <w:sz w:val="18"/>
          <w:highlight w:val="none"/>
        </w:rPr>
      </w:pPr>
      <w:bookmarkStart w:id="1049" w:name="page47"/>
      <w:bookmarkEnd w:id="1049"/>
    </w:p>
    <w:p>
      <w:pPr>
        <w:snapToGrid w:val="0"/>
        <w:spacing w:line="360" w:lineRule="auto"/>
        <w:rPr>
          <w:rFonts w:hint="eastAsia" w:ascii="仿宋" w:hAnsi="仿宋" w:eastAsia="仿宋" w:cs="仿宋"/>
          <w:highlight w:val="none"/>
        </w:rPr>
        <w:sectPr>
          <w:type w:val="continuous"/>
          <w:pgSz w:w="11905" w:h="16838"/>
          <w:pgMar w:top="1440" w:right="1746" w:bottom="1440" w:left="1746" w:header="850" w:footer="992" w:gutter="0"/>
          <w:pgNumType w:fmt="decimal"/>
          <w:cols w:space="720" w:num="1"/>
          <w:titlePg/>
          <w:rtlGutter w:val="0"/>
          <w:docGrid w:linePitch="360" w:charSpace="0"/>
        </w:sectPr>
      </w:pPr>
    </w:p>
    <w:p>
      <w:pPr>
        <w:spacing w:before="240" w:beforeLines="100" w:line="360" w:lineRule="atLeast"/>
        <w:jc w:val="center"/>
        <w:outlineLvl w:val="1"/>
        <w:rPr>
          <w:rFonts w:hint="eastAsia" w:ascii="仿宋" w:hAnsi="仿宋" w:eastAsia="仿宋" w:cs="仿宋"/>
          <w:b/>
          <w:sz w:val="30"/>
          <w:szCs w:val="30"/>
          <w:highlight w:val="none"/>
        </w:rPr>
      </w:pPr>
      <w:bookmarkStart w:id="1050" w:name="page48"/>
      <w:bookmarkEnd w:id="1050"/>
      <w:bookmarkStart w:id="1051" w:name="_Toc20940"/>
      <w:bookmarkStart w:id="1052" w:name="_Toc21925"/>
      <w:bookmarkStart w:id="1053" w:name="_Toc16921"/>
      <w:bookmarkStart w:id="1054" w:name="_Toc14289"/>
      <w:bookmarkStart w:id="1055" w:name="_Toc14136"/>
      <w:bookmarkStart w:id="1056" w:name="_Toc2550"/>
      <w:bookmarkStart w:id="1057" w:name="_Toc30699"/>
      <w:bookmarkStart w:id="1058" w:name="_Toc3666"/>
      <w:bookmarkStart w:id="1059" w:name="_Toc16677"/>
      <w:bookmarkStart w:id="1060" w:name="_Toc14146"/>
      <w:r>
        <w:rPr>
          <w:rFonts w:hint="eastAsia" w:ascii="仿宋" w:hAnsi="仿宋" w:eastAsia="仿宋" w:cs="仿宋"/>
          <w:b/>
          <w:sz w:val="30"/>
          <w:szCs w:val="30"/>
          <w:highlight w:val="none"/>
        </w:rPr>
        <w:t>八、投标人类似项目业绩一览表</w:t>
      </w:r>
      <w:bookmarkEnd w:id="1051"/>
      <w:bookmarkEnd w:id="1052"/>
      <w:bookmarkEnd w:id="1053"/>
      <w:bookmarkEnd w:id="1054"/>
      <w:bookmarkEnd w:id="1055"/>
      <w:bookmarkEnd w:id="1056"/>
      <w:bookmarkEnd w:id="1057"/>
      <w:bookmarkEnd w:id="1058"/>
    </w:p>
    <w:p>
      <w:pPr>
        <w:spacing w:line="360" w:lineRule="atLeast"/>
        <w:ind w:firstLine="472" w:firstLineChars="196"/>
        <w:rPr>
          <w:rFonts w:hint="eastAsia" w:ascii="仿宋" w:hAnsi="仿宋" w:eastAsia="仿宋" w:cs="仿宋"/>
          <w:b/>
          <w:sz w:val="24"/>
          <w:highlight w:val="none"/>
        </w:rPr>
      </w:pP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61"/>
        <w:gridCol w:w="1524"/>
        <w:gridCol w:w="1396"/>
        <w:gridCol w:w="1227"/>
        <w:gridCol w:w="1333"/>
        <w:gridCol w:w="1443"/>
        <w:gridCol w:w="10"/>
        <w:gridCol w:w="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47" w:type="pct"/>
            <w:tcBorders>
              <w:top w:val="single" w:color="auto" w:sz="4" w:space="0"/>
            </w:tcBorders>
            <w:noWrap w:val="0"/>
            <w:vAlign w:val="center"/>
          </w:tcPr>
          <w:p>
            <w:pPr>
              <w:keepNext w:val="0"/>
              <w:keepLines w:val="0"/>
              <w:widowControl/>
              <w:suppressLineNumbers w:val="0"/>
              <w:spacing w:before="0" w:beforeAutospacing="0" w:after="0" w:afterAutospacing="0" w:line="24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年份</w:t>
            </w:r>
          </w:p>
        </w:tc>
        <w:tc>
          <w:tcPr>
            <w:tcW w:w="894" w:type="pct"/>
            <w:noWrap w:val="0"/>
            <w:vAlign w:val="center"/>
          </w:tcPr>
          <w:p>
            <w:pPr>
              <w:keepNext w:val="0"/>
              <w:keepLines w:val="0"/>
              <w:widowControl/>
              <w:suppressLineNumbers w:val="0"/>
              <w:spacing w:before="0" w:beforeAutospacing="0" w:after="0" w:afterAutospacing="0" w:line="24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用户名称</w:t>
            </w:r>
          </w:p>
        </w:tc>
        <w:tc>
          <w:tcPr>
            <w:tcW w:w="819" w:type="pct"/>
            <w:noWrap w:val="0"/>
            <w:vAlign w:val="center"/>
          </w:tcPr>
          <w:p>
            <w:pPr>
              <w:keepNext w:val="0"/>
              <w:keepLines w:val="0"/>
              <w:widowControl/>
              <w:suppressLineNumbers w:val="0"/>
              <w:spacing w:before="0" w:beforeAutospacing="0" w:after="0" w:afterAutospacing="0" w:line="24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项目名称</w:t>
            </w:r>
          </w:p>
        </w:tc>
        <w:tc>
          <w:tcPr>
            <w:tcW w:w="720" w:type="pct"/>
            <w:noWrap w:val="0"/>
            <w:vAlign w:val="center"/>
          </w:tcPr>
          <w:p>
            <w:pPr>
              <w:keepNext w:val="0"/>
              <w:keepLines w:val="0"/>
              <w:widowControl/>
              <w:suppressLineNumbers w:val="0"/>
              <w:spacing w:before="0" w:beforeAutospacing="0" w:after="0" w:afterAutospacing="0" w:line="24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完成时间</w:t>
            </w:r>
          </w:p>
        </w:tc>
        <w:tc>
          <w:tcPr>
            <w:tcW w:w="782" w:type="pct"/>
            <w:noWrap w:val="0"/>
            <w:vAlign w:val="center"/>
          </w:tcPr>
          <w:p>
            <w:pPr>
              <w:keepNext w:val="0"/>
              <w:keepLines w:val="0"/>
              <w:widowControl/>
              <w:suppressLineNumbers w:val="0"/>
              <w:spacing w:before="0" w:beforeAutospacing="0" w:after="0" w:afterAutospacing="0" w:line="24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合同金额</w:t>
            </w:r>
          </w:p>
        </w:tc>
        <w:tc>
          <w:tcPr>
            <w:tcW w:w="853" w:type="pct"/>
            <w:gridSpan w:val="2"/>
            <w:tcBorders>
              <w:right w:val="single" w:color="auto" w:sz="4" w:space="0"/>
            </w:tcBorders>
            <w:noWrap w:val="0"/>
            <w:vAlign w:val="center"/>
          </w:tcPr>
          <w:p>
            <w:pPr>
              <w:keepNext w:val="0"/>
              <w:keepLines w:val="0"/>
              <w:widowControl/>
              <w:suppressLineNumbers w:val="0"/>
              <w:spacing w:before="0" w:beforeAutospacing="0" w:after="0" w:afterAutospacing="0" w:line="24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是否通过验收</w:t>
            </w:r>
          </w:p>
        </w:tc>
        <w:tc>
          <w:tcPr>
            <w:tcW w:w="485" w:type="pct"/>
            <w:tcBorders>
              <w:left w:val="single" w:color="auto" w:sz="4" w:space="0"/>
            </w:tcBorders>
            <w:noWrap w:val="0"/>
            <w:vAlign w:val="center"/>
          </w:tcPr>
          <w:p>
            <w:pPr>
              <w:keepNext w:val="0"/>
              <w:keepLines w:val="0"/>
              <w:widowControl/>
              <w:suppressLineNumbers w:val="0"/>
              <w:spacing w:before="0" w:beforeAutospacing="0" w:after="0" w:afterAutospacing="0" w:line="24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47"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94"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19"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20"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82"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53" w:type="pct"/>
            <w:gridSpan w:val="2"/>
            <w:tcBorders>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485" w:type="pct"/>
            <w:tcBorders>
              <w:lef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47"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94"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19"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20"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82"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53" w:type="pct"/>
            <w:gridSpan w:val="2"/>
            <w:tcBorders>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485" w:type="pct"/>
            <w:tcBorders>
              <w:lef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47"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94"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19"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20"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82"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53" w:type="pct"/>
            <w:gridSpan w:val="2"/>
            <w:tcBorders>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485" w:type="pct"/>
            <w:tcBorders>
              <w:lef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47"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94" w:type="pct"/>
            <w:tcBorders>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19" w:type="pct"/>
            <w:tcBorders>
              <w:lef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20"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82"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53" w:type="pct"/>
            <w:gridSpan w:val="2"/>
            <w:tcBorders>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485" w:type="pct"/>
            <w:tcBorders>
              <w:lef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47" w:type="pct"/>
            <w:tcBorders>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94" w:type="pc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19" w:type="pc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20" w:type="pc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82" w:type="pc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53" w:type="pct"/>
            <w:gridSpan w:val="2"/>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485" w:type="pct"/>
            <w:tcBorders>
              <w:lef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47"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94"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19"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20"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82" w:type="pct"/>
            <w:tcBorders>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47" w:type="pc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491" w:type="pct"/>
            <w:gridSpan w:val="2"/>
            <w:tcBorders>
              <w:lef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47"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94"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19"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20"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82" w:type="pct"/>
            <w:tcBorders>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47" w:type="pc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491" w:type="pct"/>
            <w:gridSpan w:val="2"/>
            <w:tcBorders>
              <w:lef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47"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94"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19"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20" w:type="pct"/>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82" w:type="pct"/>
            <w:tcBorders>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47" w:type="pc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491" w:type="pct"/>
            <w:gridSpan w:val="2"/>
            <w:tcBorders>
              <w:lef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47" w:type="pct"/>
            <w:tcBorders>
              <w:bottom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94" w:type="pct"/>
            <w:tcBorders>
              <w:bottom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19" w:type="pct"/>
            <w:tcBorders>
              <w:bottom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20" w:type="pct"/>
            <w:tcBorders>
              <w:bottom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782" w:type="pct"/>
            <w:tcBorders>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847" w:type="pct"/>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c>
          <w:tcPr>
            <w:tcW w:w="491" w:type="pct"/>
            <w:gridSpan w:val="2"/>
            <w:tcBorders>
              <w:left w:val="single" w:color="auto" w:sz="4" w:space="0"/>
              <w:bottom w:val="single" w:color="auto" w:sz="4" w:space="0"/>
            </w:tcBorders>
            <w:noWrap w:val="0"/>
            <w:vAlign w:val="center"/>
          </w:tcPr>
          <w:p>
            <w:pPr>
              <w:keepNext w:val="0"/>
              <w:keepLines w:val="0"/>
              <w:widowControl/>
              <w:suppressLineNumbers w:val="0"/>
              <w:spacing w:before="0" w:beforeAutospacing="0" w:after="0" w:afterAutospacing="0" w:line="360" w:lineRule="atLeast"/>
              <w:ind w:left="0" w:right="0" w:firstLine="470" w:firstLineChars="196"/>
              <w:rPr>
                <w:rFonts w:hint="eastAsia" w:ascii="仿宋" w:hAnsi="仿宋" w:eastAsia="仿宋" w:cs="仿宋"/>
                <w:sz w:val="24"/>
                <w:szCs w:val="20"/>
                <w:highlight w:val="none"/>
              </w:rPr>
            </w:pPr>
          </w:p>
        </w:tc>
      </w:tr>
    </w:tbl>
    <w:p>
      <w:pPr>
        <w:spacing w:line="360" w:lineRule="atLeast"/>
        <w:ind w:firstLine="470" w:firstLineChars="196"/>
        <w:rPr>
          <w:rFonts w:hint="eastAsia" w:ascii="仿宋" w:hAnsi="仿宋" w:eastAsia="仿宋" w:cs="仿宋"/>
          <w:sz w:val="24"/>
          <w:highlight w:val="none"/>
        </w:rPr>
      </w:pPr>
    </w:p>
    <w:p>
      <w:pPr>
        <w:spacing w:line="360" w:lineRule="atLeast"/>
        <w:ind w:firstLine="470" w:firstLineChars="196"/>
        <w:rPr>
          <w:rFonts w:hint="eastAsia" w:ascii="仿宋" w:hAnsi="仿宋" w:eastAsia="仿宋" w:cs="仿宋"/>
          <w:sz w:val="24"/>
          <w:highlight w:val="none"/>
        </w:rPr>
      </w:pPr>
    </w:p>
    <w:p>
      <w:pPr>
        <w:spacing w:line="360" w:lineRule="atLeast"/>
        <w:ind w:firstLine="411" w:firstLineChars="196"/>
        <w:rPr>
          <w:rFonts w:hint="eastAsia" w:ascii="仿宋" w:hAnsi="仿宋" w:eastAsia="仿宋" w:cs="仿宋"/>
          <w:sz w:val="21"/>
          <w:szCs w:val="21"/>
          <w:highlight w:val="none"/>
        </w:rPr>
      </w:pPr>
    </w:p>
    <w:p>
      <w:pPr>
        <w:tabs>
          <w:tab w:val="left" w:pos="3480"/>
        </w:tabs>
        <w:snapToGrid w:val="0"/>
        <w:spacing w:line="480" w:lineRule="auto"/>
        <w:jc w:val="right"/>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(盖章)</w:t>
      </w:r>
    </w:p>
    <w:p>
      <w:pPr>
        <w:tabs>
          <w:tab w:val="left" w:pos="3480"/>
          <w:tab w:val="left" w:pos="4700"/>
        </w:tabs>
        <w:snapToGrid w:val="0"/>
        <w:spacing w:line="480" w:lineRule="auto"/>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法定代表人/单位负责人或授权代表：</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（签字或加盖个人名章）</w:t>
      </w:r>
    </w:p>
    <w:p>
      <w:pPr>
        <w:pStyle w:val="93"/>
        <w:keepNext w:val="0"/>
        <w:keepLines w:val="0"/>
        <w:numPr>
          <w:ilvl w:val="4"/>
          <w:numId w:val="0"/>
        </w:numPr>
        <w:spacing w:before="0" w:after="0" w:line="480" w:lineRule="auto"/>
        <w:jc w:val="right"/>
        <w:outlineLvl w:val="9"/>
        <w:rPr>
          <w:rFonts w:hint="eastAsia" w:ascii="仿宋" w:hAnsi="仿宋" w:eastAsia="仿宋" w:cs="仿宋"/>
          <w:b w:val="0"/>
          <w:bCs w:val="0"/>
          <w:sz w:val="21"/>
          <w:szCs w:val="21"/>
          <w:highlight w:val="none"/>
        </w:rPr>
        <w:sectPr>
          <w:pgSz w:w="11905" w:h="16838"/>
          <w:pgMar w:top="1440" w:right="1746" w:bottom="1440" w:left="1746" w:header="850" w:footer="992" w:gutter="0"/>
          <w:pgNumType w:fmt="decimal"/>
          <w:cols w:space="720" w:num="1"/>
          <w:titlePg/>
          <w:rtlGutter w:val="0"/>
          <w:docGrid w:linePitch="360" w:charSpace="0"/>
        </w:sectPr>
      </w:pPr>
      <w:r>
        <w:rPr>
          <w:rFonts w:hint="eastAsia" w:ascii="仿宋" w:hAnsi="仿宋" w:eastAsia="仿宋" w:cs="仿宋"/>
          <w:b w:val="0"/>
          <w:bCs w:val="0"/>
          <w:sz w:val="21"/>
          <w:szCs w:val="21"/>
          <w:highlight w:val="none"/>
        </w:rPr>
        <w:t>投标日期：</w:t>
      </w:r>
      <w:r>
        <w:rPr>
          <w:rFonts w:hint="eastAsia" w:ascii="仿宋" w:hAnsi="仿宋" w:eastAsia="仿宋" w:cs="仿宋"/>
          <w:b w:val="0"/>
          <w:bCs w:val="0"/>
          <w:i/>
          <w:sz w:val="21"/>
          <w:szCs w:val="21"/>
          <w:highlight w:val="none"/>
          <w:u w:val="single"/>
        </w:rPr>
        <w:t xml:space="preserve">    </w:t>
      </w:r>
      <w:r>
        <w:rPr>
          <w:rFonts w:hint="eastAsia" w:ascii="仿宋" w:hAnsi="仿宋" w:eastAsia="仿宋" w:cs="仿宋"/>
          <w:b w:val="0"/>
          <w:bCs w:val="0"/>
          <w:iCs/>
          <w:sz w:val="21"/>
          <w:szCs w:val="21"/>
          <w:highlight w:val="none"/>
        </w:rPr>
        <w:t>年</w:t>
      </w:r>
      <w:r>
        <w:rPr>
          <w:rFonts w:hint="eastAsia" w:ascii="仿宋" w:hAnsi="仿宋" w:eastAsia="仿宋" w:cs="仿宋"/>
          <w:b w:val="0"/>
          <w:bCs w:val="0"/>
          <w:iCs/>
          <w:sz w:val="21"/>
          <w:szCs w:val="21"/>
          <w:highlight w:val="none"/>
          <w:u w:val="single"/>
        </w:rPr>
        <w:t xml:space="preserve">    </w:t>
      </w:r>
      <w:r>
        <w:rPr>
          <w:rFonts w:hint="eastAsia" w:ascii="仿宋" w:hAnsi="仿宋" w:eastAsia="仿宋" w:cs="仿宋"/>
          <w:b w:val="0"/>
          <w:bCs w:val="0"/>
          <w:iCs/>
          <w:sz w:val="21"/>
          <w:szCs w:val="21"/>
          <w:highlight w:val="none"/>
        </w:rPr>
        <w:t>月</w:t>
      </w:r>
      <w:r>
        <w:rPr>
          <w:rFonts w:hint="eastAsia" w:ascii="仿宋" w:hAnsi="仿宋" w:eastAsia="仿宋" w:cs="仿宋"/>
          <w:b w:val="0"/>
          <w:bCs w:val="0"/>
          <w:iCs/>
          <w:sz w:val="21"/>
          <w:szCs w:val="21"/>
          <w:highlight w:val="none"/>
          <w:u w:val="single"/>
        </w:rPr>
        <w:t xml:space="preserve">    </w:t>
      </w:r>
      <w:r>
        <w:rPr>
          <w:rFonts w:hint="eastAsia" w:ascii="仿宋" w:hAnsi="仿宋" w:eastAsia="仿宋" w:cs="仿宋"/>
          <w:b w:val="0"/>
          <w:bCs w:val="0"/>
          <w:iCs/>
          <w:sz w:val="21"/>
          <w:szCs w:val="21"/>
          <w:highlight w:val="none"/>
        </w:rPr>
        <w:t>日</w:t>
      </w:r>
    </w:p>
    <w:p>
      <w:pPr>
        <w:spacing w:before="240" w:beforeLines="100" w:line="360" w:lineRule="atLeast"/>
        <w:jc w:val="center"/>
        <w:outlineLvl w:val="1"/>
        <w:rPr>
          <w:rFonts w:hint="eastAsia" w:ascii="仿宋" w:hAnsi="仿宋" w:eastAsia="仿宋" w:cs="仿宋"/>
          <w:b/>
          <w:sz w:val="32"/>
          <w:szCs w:val="32"/>
          <w:highlight w:val="none"/>
        </w:rPr>
      </w:pPr>
      <w:bookmarkStart w:id="1061" w:name="_Toc28832"/>
      <w:bookmarkStart w:id="1062" w:name="_Toc12851"/>
      <w:bookmarkStart w:id="1063" w:name="_Toc26482"/>
      <w:bookmarkStart w:id="1064" w:name="_Toc3981"/>
      <w:bookmarkStart w:id="1065" w:name="_Toc12436"/>
      <w:bookmarkStart w:id="1066" w:name="_Toc8474"/>
      <w:bookmarkStart w:id="1067" w:name="_Toc18787"/>
      <w:bookmarkStart w:id="1068" w:name="_Toc32739"/>
      <w:r>
        <w:rPr>
          <w:rFonts w:hint="eastAsia" w:ascii="仿宋" w:hAnsi="仿宋" w:eastAsia="仿宋" w:cs="仿宋"/>
          <w:b/>
          <w:sz w:val="32"/>
          <w:szCs w:val="32"/>
          <w:highlight w:val="none"/>
        </w:rPr>
        <w:t>九、投标人本项目管理、技术、服务人员情况表</w:t>
      </w:r>
      <w:bookmarkEnd w:id="1061"/>
      <w:bookmarkEnd w:id="1062"/>
      <w:bookmarkEnd w:id="1063"/>
      <w:bookmarkEnd w:id="1064"/>
      <w:bookmarkEnd w:id="1065"/>
      <w:bookmarkEnd w:id="1066"/>
      <w:bookmarkEnd w:id="1067"/>
      <w:bookmarkEnd w:id="1068"/>
    </w:p>
    <w:p>
      <w:pPr>
        <w:spacing w:line="360" w:lineRule="atLeas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 xml:space="preserve"> </w:t>
      </w:r>
    </w:p>
    <w:tbl>
      <w:tblPr>
        <w:tblStyle w:val="37"/>
        <w:tblW w:w="10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067"/>
        <w:gridCol w:w="1067"/>
        <w:gridCol w:w="1067"/>
        <w:gridCol w:w="1067"/>
        <w:gridCol w:w="1125"/>
        <w:gridCol w:w="1269"/>
        <w:gridCol w:w="1120"/>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1262" w:type="dxa"/>
            <w:vMerge w:val="restar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类别</w:t>
            </w:r>
          </w:p>
        </w:tc>
        <w:tc>
          <w:tcPr>
            <w:tcW w:w="1067" w:type="dxa"/>
            <w:vMerge w:val="restar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职务</w:t>
            </w:r>
          </w:p>
        </w:tc>
        <w:tc>
          <w:tcPr>
            <w:tcW w:w="1067" w:type="dxa"/>
            <w:vMerge w:val="restar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姓名</w:t>
            </w:r>
          </w:p>
        </w:tc>
        <w:tc>
          <w:tcPr>
            <w:tcW w:w="1067" w:type="dxa"/>
            <w:vMerge w:val="restar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职称</w:t>
            </w:r>
          </w:p>
        </w:tc>
        <w:tc>
          <w:tcPr>
            <w:tcW w:w="1067" w:type="dxa"/>
            <w:vMerge w:val="restar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常住地</w:t>
            </w:r>
          </w:p>
        </w:tc>
        <w:tc>
          <w:tcPr>
            <w:tcW w:w="4486" w:type="dxa"/>
            <w:gridSpan w:val="4"/>
            <w:noWrap w:val="0"/>
            <w:vAlign w:val="center"/>
          </w:tcPr>
          <w:p>
            <w:pPr>
              <w:keepNext w:val="0"/>
              <w:keepLines w:val="0"/>
              <w:widowControl/>
              <w:suppressLineNumbers w:val="0"/>
              <w:spacing w:before="0" w:beforeAutospacing="0" w:after="0" w:afterAutospacing="0" w:line="360" w:lineRule="atLeast"/>
              <w:ind w:left="0" w:right="0" w:firstLine="411" w:firstLineChars="196"/>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126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highlight w:val="none"/>
              </w:rPr>
            </w:pPr>
          </w:p>
        </w:tc>
        <w:tc>
          <w:tcPr>
            <w:tcW w:w="1067"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highlight w:val="none"/>
              </w:rPr>
            </w:pPr>
          </w:p>
        </w:tc>
        <w:tc>
          <w:tcPr>
            <w:tcW w:w="1067"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highlight w:val="none"/>
              </w:rPr>
            </w:pPr>
          </w:p>
        </w:tc>
        <w:tc>
          <w:tcPr>
            <w:tcW w:w="1067"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highlight w:val="none"/>
              </w:rPr>
            </w:pPr>
          </w:p>
        </w:tc>
        <w:tc>
          <w:tcPr>
            <w:tcW w:w="1067"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highlight w:val="none"/>
              </w:rPr>
            </w:pPr>
          </w:p>
        </w:tc>
        <w:tc>
          <w:tcPr>
            <w:tcW w:w="1125" w:type="dxa"/>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证书</w:t>
            </w:r>
          </w:p>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名称</w:t>
            </w:r>
          </w:p>
        </w:tc>
        <w:tc>
          <w:tcPr>
            <w:tcW w:w="1269" w:type="dxa"/>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级别</w:t>
            </w:r>
          </w:p>
        </w:tc>
        <w:tc>
          <w:tcPr>
            <w:tcW w:w="1120" w:type="dxa"/>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证号</w:t>
            </w:r>
          </w:p>
        </w:tc>
        <w:tc>
          <w:tcPr>
            <w:tcW w:w="972" w:type="dxa"/>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62" w:type="dxa"/>
            <w:vMerge w:val="restar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管理</w:t>
            </w:r>
          </w:p>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人员</w:t>
            </w: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5"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269"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0"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972"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126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5"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269"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0"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972"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6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5"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269"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0"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972"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1262" w:type="dxa"/>
            <w:vMerge w:val="restar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w:t>
            </w:r>
          </w:p>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人员</w:t>
            </w: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5"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269"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0"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972"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6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5"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269"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0"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972"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1262"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5"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269"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0"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972"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262" w:type="dxa"/>
            <w:vMerge w:val="restart"/>
            <w:noWrap w:val="0"/>
            <w:vAlign w:val="center"/>
          </w:tcPr>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售后</w:t>
            </w:r>
          </w:p>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w:t>
            </w:r>
          </w:p>
          <w:p>
            <w:pPr>
              <w:keepNext w:val="0"/>
              <w:keepLines w:val="0"/>
              <w:widowControl/>
              <w:suppressLineNumbers w:val="0"/>
              <w:spacing w:before="0" w:beforeAutospacing="0" w:after="0" w:afterAutospacing="0" w:line="360" w:lineRule="atLeast"/>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人员</w:t>
            </w: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5"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269"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0"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972"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9" w:hRule="atLeast"/>
          <w:jc w:val="center"/>
        </w:trPr>
        <w:tc>
          <w:tcPr>
            <w:tcW w:w="1262" w:type="dxa"/>
            <w:vMerge w:val="continue"/>
            <w:tcBorders>
              <w:bottom w:val="single" w:color="auto" w:sz="4" w:space="0"/>
            </w:tcBorders>
            <w:noWrap w:val="0"/>
            <w:vAlign w:val="top"/>
          </w:tcPr>
          <w:p>
            <w:pPr>
              <w:keepNext w:val="0"/>
              <w:keepLines w:val="0"/>
              <w:widowControl/>
              <w:suppressLineNumbers w:val="0"/>
              <w:spacing w:before="0" w:beforeAutospacing="0" w:after="0" w:afterAutospacing="0"/>
              <w:ind w:left="0" w:right="0"/>
              <w:rPr>
                <w:rFonts w:hint="eastAsia" w:ascii="仿宋" w:hAnsi="仿宋" w:eastAsia="仿宋" w:cs="仿宋"/>
                <w:sz w:val="21"/>
                <w:szCs w:val="21"/>
                <w:highlight w:val="none"/>
              </w:rPr>
            </w:pPr>
          </w:p>
        </w:tc>
        <w:tc>
          <w:tcPr>
            <w:tcW w:w="1067" w:type="dxa"/>
            <w:tcBorders>
              <w:bottom w:val="single" w:color="auto" w:sz="4" w:space="0"/>
            </w:tcBorders>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067"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5"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269"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1120"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c>
          <w:tcPr>
            <w:tcW w:w="972" w:type="dxa"/>
            <w:noWrap w:val="0"/>
            <w:vAlign w:val="top"/>
          </w:tcPr>
          <w:p>
            <w:pPr>
              <w:keepNext w:val="0"/>
              <w:keepLines w:val="0"/>
              <w:widowControl/>
              <w:suppressLineNumbers w:val="0"/>
              <w:spacing w:before="0" w:beforeAutospacing="0" w:after="0" w:afterAutospacing="0" w:line="360" w:lineRule="atLeast"/>
              <w:ind w:left="0" w:right="0" w:firstLine="411" w:firstLineChars="196"/>
              <w:rPr>
                <w:rFonts w:hint="eastAsia" w:ascii="仿宋" w:hAnsi="仿宋" w:eastAsia="仿宋" w:cs="仿宋"/>
                <w:sz w:val="21"/>
                <w:szCs w:val="21"/>
                <w:highlight w:val="none"/>
              </w:rPr>
            </w:pPr>
          </w:p>
        </w:tc>
      </w:tr>
    </w:tbl>
    <w:p>
      <w:pPr>
        <w:spacing w:line="360" w:lineRule="atLeast"/>
        <w:ind w:firstLine="411" w:firstLineChars="196"/>
        <w:rPr>
          <w:rFonts w:hint="eastAsia" w:ascii="仿宋" w:hAnsi="仿宋" w:eastAsia="仿宋" w:cs="仿宋"/>
          <w:sz w:val="21"/>
          <w:szCs w:val="21"/>
          <w:highlight w:val="none"/>
        </w:rPr>
      </w:pPr>
    </w:p>
    <w:p>
      <w:pPr>
        <w:tabs>
          <w:tab w:val="left" w:pos="3480"/>
        </w:tabs>
        <w:snapToGrid w:val="0"/>
        <w:spacing w:line="480" w:lineRule="auto"/>
        <w:jc w:val="right"/>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(盖章)</w:t>
      </w:r>
    </w:p>
    <w:p>
      <w:pPr>
        <w:tabs>
          <w:tab w:val="left" w:pos="3480"/>
          <w:tab w:val="left" w:pos="4700"/>
        </w:tabs>
        <w:snapToGrid w:val="0"/>
        <w:spacing w:line="480" w:lineRule="auto"/>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法定代表人/单位负责人或授权代表：</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（签字或加盖个人名章）</w:t>
      </w:r>
    </w:p>
    <w:p>
      <w:pPr>
        <w:spacing w:line="360" w:lineRule="atLeast"/>
        <w:ind w:firstLine="411" w:firstLineChars="196"/>
        <w:jc w:val="right"/>
        <w:rPr>
          <w:rFonts w:hint="eastAsia" w:ascii="仿宋" w:hAnsi="仿宋" w:eastAsia="仿宋" w:cs="仿宋"/>
          <w:sz w:val="24"/>
          <w:highlight w:val="none"/>
        </w:rPr>
      </w:pPr>
      <w:r>
        <w:rPr>
          <w:rFonts w:hint="eastAsia" w:ascii="仿宋" w:hAnsi="仿宋" w:eastAsia="仿宋" w:cs="仿宋"/>
          <w:sz w:val="21"/>
          <w:szCs w:val="21"/>
          <w:highlight w:val="none"/>
        </w:rPr>
        <w:t>投标日期：</w:t>
      </w:r>
      <w:r>
        <w:rPr>
          <w:rFonts w:hint="eastAsia" w:ascii="仿宋" w:hAnsi="仿宋" w:eastAsia="仿宋" w:cs="仿宋"/>
          <w:i/>
          <w:sz w:val="21"/>
          <w:szCs w:val="21"/>
          <w:highlight w:val="none"/>
          <w:u w:val="single"/>
        </w:rPr>
        <w:t xml:space="preserve">    </w:t>
      </w:r>
      <w:r>
        <w:rPr>
          <w:rFonts w:hint="eastAsia" w:ascii="仿宋" w:hAnsi="仿宋" w:eastAsia="仿宋" w:cs="仿宋"/>
          <w:iCs/>
          <w:sz w:val="21"/>
          <w:szCs w:val="21"/>
          <w:highlight w:val="none"/>
        </w:rPr>
        <w:t>年</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月</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日</w:t>
      </w:r>
    </w:p>
    <w:p>
      <w:pPr>
        <w:snapToGrid w:val="0"/>
        <w:spacing w:line="360" w:lineRule="auto"/>
        <w:jc w:val="center"/>
        <w:rPr>
          <w:rFonts w:hint="eastAsia" w:ascii="仿宋" w:hAnsi="仿宋" w:eastAsia="仿宋" w:cs="仿宋"/>
          <w:b/>
          <w:sz w:val="30"/>
          <w:szCs w:val="30"/>
          <w:highlight w:val="none"/>
        </w:rPr>
        <w:sectPr>
          <w:pgSz w:w="11905" w:h="16838"/>
          <w:pgMar w:top="1440" w:right="1746" w:bottom="1440" w:left="1746" w:header="850" w:footer="992" w:gutter="0"/>
          <w:pgNumType w:fmt="decimal"/>
          <w:cols w:space="720" w:num="1"/>
          <w:titlePg/>
          <w:rtlGutter w:val="0"/>
          <w:docGrid w:linePitch="360" w:charSpace="0"/>
        </w:sectPr>
      </w:pPr>
    </w:p>
    <w:bookmarkEnd w:id="1059"/>
    <w:bookmarkEnd w:id="1060"/>
    <w:p>
      <w:pPr>
        <w:numPr>
          <w:ilvl w:val="0"/>
          <w:numId w:val="2"/>
        </w:numPr>
        <w:spacing w:before="240" w:beforeLines="100" w:line="360" w:lineRule="atLeast"/>
        <w:ind w:left="0" w:leftChars="0" w:firstLine="643" w:firstLineChars="200"/>
        <w:jc w:val="center"/>
        <w:outlineLvl w:val="1"/>
        <w:rPr>
          <w:rFonts w:hint="eastAsia" w:ascii="仿宋" w:hAnsi="仿宋" w:eastAsia="仿宋" w:cs="仿宋"/>
          <w:b/>
          <w:sz w:val="32"/>
          <w:szCs w:val="32"/>
          <w:highlight w:val="none"/>
        </w:rPr>
      </w:pPr>
      <w:bookmarkStart w:id="1069" w:name="_Toc27253"/>
      <w:bookmarkStart w:id="1070" w:name="_Toc8533"/>
      <w:bookmarkStart w:id="1071" w:name="_Toc25998"/>
      <w:bookmarkStart w:id="1072" w:name="_Toc32655"/>
      <w:bookmarkStart w:id="1073" w:name="_Toc26820"/>
      <w:bookmarkStart w:id="1074" w:name="_Toc8446"/>
      <w:bookmarkStart w:id="1075" w:name="_Toc5872"/>
      <w:bookmarkStart w:id="1076" w:name="_Toc5260"/>
      <w:bookmarkStart w:id="1077" w:name="_Toc6977"/>
      <w:bookmarkStart w:id="1078" w:name="_Toc16822"/>
      <w:r>
        <w:rPr>
          <w:rFonts w:hint="eastAsia" w:ascii="仿宋" w:hAnsi="仿宋" w:eastAsia="仿宋" w:cs="仿宋"/>
          <w:b/>
          <w:sz w:val="32"/>
          <w:szCs w:val="32"/>
          <w:highlight w:val="none"/>
        </w:rPr>
        <w:t>中小企业声明函</w:t>
      </w:r>
    </w:p>
    <w:p>
      <w:pPr>
        <w:pStyle w:val="55"/>
        <w:widowControl w:val="0"/>
        <w:numPr>
          <w:ilvl w:val="0"/>
          <w:numId w:val="0"/>
        </w:numPr>
        <w:autoSpaceDE w:val="0"/>
        <w:autoSpaceDN w:val="0"/>
        <w:rPr>
          <w:rFonts w:hint="eastAsia"/>
        </w:rPr>
      </w:pPr>
    </w:p>
    <w:p>
      <w:pPr>
        <w:spacing w:line="360" w:lineRule="auto"/>
        <w:ind w:firstLine="480" w:firstLineChars="200"/>
        <w:jc w:val="left"/>
        <w:rPr>
          <w:rFonts w:hint="eastAsia" w:ascii="仿宋" w:hAnsi="仿宋" w:eastAsia="仿宋" w:cs="仿宋"/>
          <w:sz w:val="24"/>
        </w:rPr>
      </w:pPr>
      <w:bookmarkStart w:id="1079" w:name="_Hlk61876952"/>
      <w:r>
        <w:rPr>
          <w:rFonts w:hint="eastAsia" w:ascii="仿宋" w:hAnsi="仿宋" w:eastAsia="仿宋" w:cs="仿宋"/>
          <w:sz w:val="24"/>
        </w:rPr>
        <w:t>本公司（联合体）郑重声明，根据《政府采购促进中小企业发展管理办法》（财库</w:t>
      </w:r>
      <w:r>
        <w:rPr>
          <w:rFonts w:hint="eastAsia" w:ascii="仿宋" w:hAnsi="仿宋" w:eastAsia="仿宋" w:cs="仿宋"/>
          <w:sz w:val="21"/>
          <w:szCs w:val="21"/>
          <w:highlight w:val="none"/>
        </w:rPr>
        <w:t>〔</w:t>
      </w:r>
      <w:r>
        <w:rPr>
          <w:rFonts w:hint="eastAsia" w:ascii="仿宋" w:hAnsi="仿宋" w:eastAsia="仿宋" w:cs="仿宋"/>
          <w:sz w:val="24"/>
        </w:rPr>
        <w:t>2020</w:t>
      </w:r>
      <w:r>
        <w:rPr>
          <w:rFonts w:hint="eastAsia" w:ascii="仿宋" w:hAnsi="仿宋" w:eastAsia="仿宋" w:cs="仿宋"/>
          <w:sz w:val="21"/>
          <w:szCs w:val="21"/>
          <w:highlight w:val="none"/>
        </w:rPr>
        <w:t>〕</w:t>
      </w:r>
      <w:r>
        <w:rPr>
          <w:rFonts w:hint="eastAsia" w:ascii="仿宋" w:hAnsi="仿宋" w:eastAsia="仿宋" w:cs="仿宋"/>
          <w:sz w:val="24"/>
        </w:rPr>
        <w:t>46 号）的规定，本公司 （联合体）参加</w:t>
      </w:r>
      <w:r>
        <w:rPr>
          <w:rFonts w:hint="eastAsia" w:ascii="仿宋" w:hAnsi="仿宋" w:eastAsia="仿宋" w:cs="仿宋"/>
          <w:sz w:val="24"/>
          <w:u w:val="single"/>
        </w:rPr>
        <w:t>（单位名称）</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 xml:space="preserve">采购活动，提 供的货物全部由符合政策要求的中小企业制造。相关企业 （含联合体中的中小企业、签订分包意向协议的中小企业） 的具体情况如下：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 xml:space="preserve"> ，属于</w:t>
      </w:r>
      <w:r>
        <w:rPr>
          <w:rFonts w:hint="eastAsia" w:ascii="仿宋" w:hAnsi="仿宋" w:eastAsia="仿宋" w:cs="仿宋"/>
          <w:sz w:val="24"/>
          <w:u w:val="single"/>
        </w:rPr>
        <w:t>（采购文件中明确的所属行业） 行业</w:t>
      </w:r>
      <w:r>
        <w:rPr>
          <w:rFonts w:hint="eastAsia" w:ascii="仿宋" w:hAnsi="仿宋" w:eastAsia="仿宋" w:cs="仿宋"/>
          <w:sz w:val="24"/>
        </w:rPr>
        <w:t>；制造商为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 xml:space="preserve">；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（采购文件中明确的所属行业） 行业</w:t>
      </w:r>
      <w:r>
        <w:rPr>
          <w:rFonts w:hint="eastAsia" w:ascii="仿宋" w:hAnsi="仿宋" w:eastAsia="仿宋" w:cs="仿宋"/>
          <w:sz w:val="24"/>
        </w:rPr>
        <w:t>；制造商为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 xml:space="preserve">；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以上企业，不属于大企业的分支机构，不存在控股股东 为大企业的情形，也不存在与大企业的负责人为同一人的情 形。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本企业对上述声明内容的真实性负责。如有虚假，将依法承担相应责任。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企业名称（盖章）： 日 期： </w:t>
      </w:r>
      <w:bookmarkEnd w:id="1079"/>
    </w:p>
    <w:p>
      <w:pPr>
        <w:spacing w:line="360" w:lineRule="auto"/>
        <w:rPr>
          <w:rFonts w:hint="eastAsia" w:ascii="仿宋" w:hAnsi="仿宋" w:eastAsia="仿宋" w:cs="仿宋"/>
          <w:sz w:val="24"/>
        </w:rPr>
      </w:pPr>
      <w:bookmarkStart w:id="1080" w:name="_Toc417911732"/>
      <w:bookmarkStart w:id="1081" w:name="_Toc419811733"/>
      <w:bookmarkStart w:id="1082" w:name="_Toc387147344"/>
      <w:bookmarkStart w:id="1083" w:name="_Toc387658050"/>
      <w:bookmarkStart w:id="1084" w:name="_Toc413748654"/>
      <w:r>
        <w:rPr>
          <w:rFonts w:hint="eastAsia" w:ascii="仿宋" w:hAnsi="仿宋" w:eastAsia="仿宋" w:cs="仿宋"/>
          <w:sz w:val="24"/>
        </w:rPr>
        <w:t>注：</w:t>
      </w:r>
    </w:p>
    <w:p>
      <w:pPr>
        <w:spacing w:line="360" w:lineRule="auto"/>
        <w:rPr>
          <w:rFonts w:hint="eastAsia" w:ascii="仿宋" w:hAnsi="仿宋" w:eastAsia="仿宋" w:cs="仿宋"/>
          <w:sz w:val="24"/>
        </w:rPr>
      </w:pPr>
      <w:r>
        <w:rPr>
          <w:rFonts w:hint="eastAsia" w:ascii="仿宋" w:hAnsi="仿宋" w:eastAsia="仿宋" w:cs="仿宋"/>
          <w:sz w:val="24"/>
        </w:rPr>
        <w:t>1.供应商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bookmarkEnd w:id="1080"/>
      <w:bookmarkEnd w:id="1081"/>
      <w:bookmarkEnd w:id="1082"/>
      <w:bookmarkEnd w:id="1083"/>
      <w:bookmarkEnd w:id="1084"/>
    </w:p>
    <w:p>
      <w:pPr>
        <w:spacing w:line="360" w:lineRule="auto"/>
        <w:rPr>
          <w:rFonts w:hint="eastAsia" w:ascii="仿宋" w:hAnsi="仿宋" w:eastAsia="仿宋" w:cs="仿宋"/>
          <w:sz w:val="24"/>
        </w:rPr>
      </w:pPr>
      <w:r>
        <w:rPr>
          <w:rFonts w:hint="eastAsia" w:ascii="仿宋" w:hAnsi="仿宋" w:eastAsia="仿宋" w:cs="仿宋"/>
          <w:sz w:val="24"/>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spacing w:line="300" w:lineRule="exact"/>
        <w:rPr>
          <w:rFonts w:hint="eastAsia" w:ascii="仿宋" w:hAnsi="仿宋" w:eastAsia="仿宋" w:cs="仿宋"/>
          <w:sz w:val="24"/>
        </w:rPr>
      </w:pPr>
      <w:r>
        <w:rPr>
          <w:rFonts w:hint="eastAsia" w:ascii="仿宋" w:hAnsi="仿宋" w:eastAsia="仿宋" w:cs="仿宋"/>
          <w:sz w:val="24"/>
        </w:rPr>
        <w:t>3.供应商为非企业单位的，可不提供此声明。</w:t>
      </w:r>
    </w:p>
    <w:p>
      <w:pPr>
        <w:spacing w:line="276" w:lineRule="auto"/>
        <w:rPr>
          <w:rFonts w:hint="eastAsia" w:ascii="仿宋" w:hAnsi="仿宋" w:eastAsia="仿宋" w:cs="仿宋"/>
          <w:spacing w:val="6"/>
          <w:sz w:val="24"/>
        </w:rPr>
      </w:pPr>
      <w:r>
        <w:rPr>
          <w:rFonts w:hint="eastAsia" w:ascii="仿宋" w:hAnsi="仿宋" w:eastAsia="仿宋" w:cs="仿宋"/>
          <w:sz w:val="24"/>
        </w:rPr>
        <w:t>4.从业人员、营业收入、资产总额填报上一年度数据，无上一年度数据的新成立企业可不填报。</w:t>
      </w:r>
    </w:p>
    <w:p>
      <w:pPr>
        <w:snapToGrid w:val="0"/>
        <w:spacing w:before="240" w:beforeLines="100" w:line="360" w:lineRule="auto"/>
        <w:jc w:val="center"/>
        <w:outlineLvl w:val="1"/>
        <w:rPr>
          <w:rFonts w:hint="eastAsia" w:ascii="仿宋" w:hAnsi="仿宋" w:eastAsia="仿宋" w:cs="仿宋"/>
          <w:b/>
          <w:sz w:val="30"/>
          <w:szCs w:val="30"/>
          <w:highlight w:val="none"/>
        </w:rPr>
      </w:pPr>
    </w:p>
    <w:p>
      <w:pPr>
        <w:snapToGrid w:val="0"/>
        <w:spacing w:before="240" w:beforeLines="100" w:line="360" w:lineRule="auto"/>
        <w:jc w:val="center"/>
        <w:outlineLvl w:val="1"/>
        <w:rPr>
          <w:rFonts w:hint="eastAsia" w:ascii="仿宋" w:hAnsi="仿宋" w:eastAsia="仿宋" w:cs="仿宋"/>
          <w:b/>
          <w:sz w:val="32"/>
          <w:highlight w:val="none"/>
        </w:rPr>
      </w:pPr>
      <w:r>
        <w:rPr>
          <w:rFonts w:hint="eastAsia" w:ascii="仿宋" w:hAnsi="仿宋" w:eastAsia="仿宋" w:cs="仿宋"/>
          <w:b/>
          <w:sz w:val="30"/>
          <w:szCs w:val="30"/>
          <w:highlight w:val="none"/>
        </w:rPr>
        <w:t>十</w:t>
      </w:r>
      <w:r>
        <w:rPr>
          <w:rFonts w:hint="eastAsia" w:ascii="仿宋" w:hAnsi="仿宋" w:eastAsia="仿宋" w:cs="仿宋"/>
          <w:b/>
          <w:sz w:val="30"/>
          <w:szCs w:val="30"/>
          <w:highlight w:val="none"/>
          <w:lang w:val="en-US" w:eastAsia="zh-CN"/>
        </w:rPr>
        <w:t>一</w:t>
      </w:r>
      <w:r>
        <w:rPr>
          <w:rFonts w:hint="eastAsia" w:ascii="仿宋" w:hAnsi="仿宋" w:eastAsia="仿宋" w:cs="仿宋"/>
          <w:b/>
          <w:sz w:val="30"/>
          <w:szCs w:val="30"/>
          <w:highlight w:val="none"/>
        </w:rPr>
        <w:t>、残疾人福利性单位声明函</w:t>
      </w:r>
      <w:bookmarkEnd w:id="1069"/>
      <w:bookmarkEnd w:id="1070"/>
      <w:bookmarkEnd w:id="1071"/>
      <w:bookmarkEnd w:id="1072"/>
      <w:r>
        <w:rPr>
          <w:rFonts w:hint="eastAsia" w:ascii="仿宋" w:hAnsi="仿宋" w:eastAsia="仿宋" w:cs="仿宋"/>
          <w:b/>
          <w:sz w:val="30"/>
          <w:szCs w:val="30"/>
          <w:highlight w:val="none"/>
        </w:rPr>
        <w:t>（如涉及）</w:t>
      </w:r>
      <w:bookmarkEnd w:id="1073"/>
      <w:bookmarkEnd w:id="1074"/>
      <w:bookmarkEnd w:id="1075"/>
      <w:bookmarkEnd w:id="1076"/>
      <w:bookmarkEnd w:id="1077"/>
      <w:bookmarkEnd w:id="1078"/>
    </w:p>
    <w:p>
      <w:pPr>
        <w:wordWrap w:val="0"/>
        <w:spacing w:line="480" w:lineRule="auto"/>
        <w:ind w:firstLine="444" w:firstLineChars="200"/>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本单位郑重声明，根据《财政部民政部中国残疾人联合会关于促进残疾人就业政府采购政策的通知》（财库</w:t>
      </w:r>
      <w:r>
        <w:rPr>
          <w:rFonts w:hint="eastAsia" w:ascii="仿宋" w:hAnsi="仿宋" w:eastAsia="仿宋" w:cs="仿宋"/>
          <w:sz w:val="21"/>
          <w:szCs w:val="21"/>
          <w:highlight w:val="none"/>
        </w:rPr>
        <w:t>〔2017〕141</w:t>
      </w:r>
      <w:r>
        <w:rPr>
          <w:rFonts w:hint="eastAsia" w:ascii="仿宋" w:hAnsi="仿宋" w:eastAsia="仿宋" w:cs="仿宋"/>
          <w:spacing w:val="6"/>
          <w:sz w:val="21"/>
          <w:szCs w:val="21"/>
          <w:highlight w:val="none"/>
        </w:rPr>
        <w:t>号）的规定，本单位为符合条件的残疾人福利性单位，且本单位参加</w:t>
      </w:r>
      <w:r>
        <w:rPr>
          <w:rFonts w:hint="eastAsia" w:ascii="仿宋" w:hAnsi="仿宋" w:eastAsia="仿宋" w:cs="仿宋"/>
          <w:sz w:val="21"/>
          <w:szCs w:val="21"/>
          <w:highlight w:val="none"/>
          <w:u w:val="single"/>
        </w:rPr>
        <w:t xml:space="preserve">             </w:t>
      </w:r>
      <w:r>
        <w:rPr>
          <w:rFonts w:hint="eastAsia" w:ascii="仿宋" w:hAnsi="仿宋" w:eastAsia="仿宋" w:cs="仿宋"/>
          <w:spacing w:val="6"/>
          <w:sz w:val="21"/>
          <w:szCs w:val="21"/>
          <w:highlight w:val="none"/>
        </w:rPr>
        <w:t>单位的</w:t>
      </w:r>
      <w:r>
        <w:rPr>
          <w:rFonts w:hint="eastAsia" w:ascii="仿宋" w:hAnsi="仿宋" w:eastAsia="仿宋" w:cs="仿宋"/>
          <w:sz w:val="21"/>
          <w:szCs w:val="21"/>
          <w:highlight w:val="none"/>
          <w:u w:val="single"/>
        </w:rPr>
        <w:t xml:space="preserve">             </w:t>
      </w:r>
      <w:r>
        <w:rPr>
          <w:rFonts w:hint="eastAsia" w:ascii="仿宋" w:hAnsi="仿宋" w:eastAsia="仿宋" w:cs="仿宋"/>
          <w:spacing w:val="6"/>
          <w:sz w:val="21"/>
          <w:szCs w:val="21"/>
          <w:highlight w:val="none"/>
        </w:rPr>
        <w:t>项目</w:t>
      </w:r>
      <w:r>
        <w:rPr>
          <w:rFonts w:hint="eastAsia" w:ascii="仿宋" w:hAnsi="仿宋" w:eastAsia="仿宋" w:cs="仿宋"/>
          <w:spacing w:val="6"/>
          <w:sz w:val="21"/>
          <w:szCs w:val="21"/>
          <w:highlight w:val="none"/>
          <w:u w:val="single"/>
          <w:lang w:val="en-US" w:eastAsia="zh-CN"/>
        </w:rPr>
        <w:t xml:space="preserve">    （包号）</w:t>
      </w:r>
      <w:r>
        <w:rPr>
          <w:rFonts w:hint="eastAsia" w:ascii="仿宋" w:hAnsi="仿宋" w:eastAsia="仿宋" w:cs="仿宋"/>
          <w:spacing w:val="6"/>
          <w:sz w:val="21"/>
          <w:szCs w:val="21"/>
          <w:highlight w:val="none"/>
        </w:rPr>
        <w:t>采购活动提供本单位制造的货物（由本单位承担工程/提供服务），或者提供其他残疾人福利性单位制造的货物（不包括使用非残疾人福利性单位注册商标的货物）。</w:t>
      </w:r>
    </w:p>
    <w:p>
      <w:pPr>
        <w:spacing w:line="480" w:lineRule="auto"/>
        <w:ind w:firstLine="444" w:firstLineChars="200"/>
        <w:rPr>
          <w:rFonts w:hint="eastAsia" w:ascii="仿宋" w:hAnsi="仿宋" w:eastAsia="仿宋" w:cs="仿宋"/>
          <w:spacing w:val="6"/>
          <w:sz w:val="21"/>
          <w:szCs w:val="21"/>
          <w:highlight w:val="none"/>
        </w:rPr>
      </w:pPr>
      <w:r>
        <w:rPr>
          <w:rFonts w:hint="eastAsia" w:ascii="仿宋" w:hAnsi="仿宋" w:eastAsia="仿宋" w:cs="仿宋"/>
          <w:spacing w:val="6"/>
          <w:sz w:val="21"/>
          <w:szCs w:val="21"/>
          <w:highlight w:val="none"/>
        </w:rPr>
        <w:t>本单位对上述声明的真实性负责。如有虚假，将依法承担相应责任。</w:t>
      </w:r>
    </w:p>
    <w:p>
      <w:pPr>
        <w:spacing w:line="480" w:lineRule="auto"/>
        <w:ind w:firstLine="444" w:firstLineChars="200"/>
        <w:rPr>
          <w:rFonts w:hint="eastAsia" w:ascii="仿宋" w:hAnsi="仿宋" w:eastAsia="仿宋" w:cs="仿宋"/>
          <w:spacing w:val="6"/>
          <w:sz w:val="21"/>
          <w:szCs w:val="21"/>
          <w:highlight w:val="none"/>
        </w:rPr>
      </w:pPr>
    </w:p>
    <w:p>
      <w:pPr>
        <w:spacing w:line="480" w:lineRule="auto"/>
        <w:ind w:firstLine="444" w:firstLineChars="200"/>
        <w:rPr>
          <w:rFonts w:hint="eastAsia" w:ascii="仿宋" w:hAnsi="仿宋" w:eastAsia="仿宋" w:cs="仿宋"/>
          <w:spacing w:val="6"/>
          <w:sz w:val="21"/>
          <w:szCs w:val="21"/>
          <w:highlight w:val="none"/>
        </w:rPr>
      </w:pPr>
    </w:p>
    <w:p>
      <w:pPr>
        <w:spacing w:line="480" w:lineRule="auto"/>
        <w:jc w:val="right"/>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（盖单位公章）</w:t>
      </w:r>
    </w:p>
    <w:p>
      <w:pPr>
        <w:spacing w:line="48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法定代表人/单位负责人或授权代表（签字或加盖个人印章）：</w:t>
      </w:r>
      <w:r>
        <w:rPr>
          <w:rFonts w:hint="eastAsia" w:ascii="仿宋" w:hAnsi="仿宋" w:eastAsia="仿宋" w:cs="仿宋"/>
          <w:sz w:val="21"/>
          <w:szCs w:val="21"/>
          <w:highlight w:val="none"/>
          <w:u w:val="single"/>
        </w:rPr>
        <w:t xml:space="preserve">                </w:t>
      </w:r>
    </w:p>
    <w:p>
      <w:pPr>
        <w:spacing w:line="480" w:lineRule="auto"/>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投标日期：</w:t>
      </w:r>
      <w:r>
        <w:rPr>
          <w:rFonts w:hint="eastAsia" w:ascii="仿宋" w:hAnsi="仿宋" w:eastAsia="仿宋" w:cs="仿宋"/>
          <w:i/>
          <w:sz w:val="21"/>
          <w:szCs w:val="21"/>
          <w:highlight w:val="none"/>
          <w:u w:val="single"/>
        </w:rPr>
        <w:t xml:space="preserve">    </w:t>
      </w:r>
      <w:r>
        <w:rPr>
          <w:rFonts w:hint="eastAsia" w:ascii="仿宋" w:hAnsi="仿宋" w:eastAsia="仿宋" w:cs="仿宋"/>
          <w:iCs/>
          <w:sz w:val="21"/>
          <w:szCs w:val="21"/>
          <w:highlight w:val="none"/>
        </w:rPr>
        <w:t>年</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月</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日</w:t>
      </w:r>
    </w:p>
    <w:p>
      <w:pPr>
        <w:spacing w:line="360" w:lineRule="auto"/>
        <w:rPr>
          <w:rFonts w:hint="eastAsia" w:ascii="仿宋" w:hAnsi="仿宋" w:eastAsia="仿宋" w:cs="仿宋"/>
          <w:sz w:val="18"/>
          <w:szCs w:val="18"/>
          <w:highlight w:val="none"/>
          <w:lang w:eastAsia="zh-CN"/>
        </w:rPr>
      </w:pPr>
      <w:r>
        <w:rPr>
          <w:rFonts w:hint="eastAsia" w:ascii="仿宋" w:hAnsi="仿宋" w:eastAsia="仿宋" w:cs="仿宋"/>
          <w:sz w:val="18"/>
          <w:szCs w:val="18"/>
          <w:highlight w:val="none"/>
        </w:rPr>
        <w:t>注：1、残疾人福利性单位视同小型、微型企业，享受预留份额、评审中价格扣除等促进中小企业发展的政府采购政策。残疾人福利性单位属于小型、微型企业的，不重复享受政策。</w:t>
      </w:r>
      <w:r>
        <w:rPr>
          <w:rFonts w:hint="eastAsia" w:ascii="仿宋" w:hAnsi="仿宋" w:eastAsia="仿宋" w:cs="仿宋"/>
          <w:sz w:val="18"/>
          <w:szCs w:val="18"/>
          <w:highlight w:val="none"/>
          <w:lang w:eastAsia="zh-CN"/>
        </w:rPr>
        <w:t>（本项目为专门面向中小企业采购，不执行价格扣除）</w:t>
      </w:r>
    </w:p>
    <w:p>
      <w:pPr>
        <w:spacing w:line="360" w:lineRule="auto"/>
        <w:rPr>
          <w:rFonts w:hint="eastAsia" w:ascii="仿宋" w:hAnsi="仿宋" w:eastAsia="仿宋" w:cs="仿宋"/>
          <w:sz w:val="18"/>
          <w:szCs w:val="18"/>
          <w:highlight w:val="none"/>
        </w:rPr>
      </w:pPr>
      <w:r>
        <w:rPr>
          <w:rFonts w:hint="eastAsia" w:ascii="仿宋" w:hAnsi="仿宋" w:eastAsia="仿宋" w:cs="仿宋"/>
          <w:sz w:val="18"/>
          <w:szCs w:val="18"/>
          <w:highlight w:val="none"/>
        </w:rPr>
        <w:t>2、投标人为非残疾人福利性单位的，可不提供此声明。</w:t>
      </w:r>
    </w:p>
    <w:p>
      <w:pPr>
        <w:pStyle w:val="4"/>
        <w:spacing w:before="120" w:beforeLines="50" w:line="360" w:lineRule="auto"/>
        <w:jc w:val="center"/>
        <w:rPr>
          <w:rFonts w:hint="eastAsia" w:ascii="仿宋" w:hAnsi="仿宋" w:eastAsia="仿宋" w:cs="仿宋"/>
          <w:highlight w:val="none"/>
        </w:rPr>
      </w:pPr>
      <w:r>
        <w:rPr>
          <w:rFonts w:hint="eastAsia" w:ascii="仿宋" w:hAnsi="仿宋" w:eastAsia="仿宋" w:cs="仿宋"/>
          <w:sz w:val="24"/>
          <w:highlight w:val="none"/>
        </w:rPr>
        <w:br w:type="page"/>
      </w:r>
      <w:bookmarkStart w:id="1085" w:name="page52"/>
      <w:bookmarkEnd w:id="1085"/>
      <w:bookmarkStart w:id="1086" w:name="_Toc4639"/>
      <w:bookmarkStart w:id="1087" w:name="_Toc31400"/>
      <w:bookmarkStart w:id="1088" w:name="_Toc10431"/>
      <w:bookmarkStart w:id="1089" w:name="_Toc508615397"/>
      <w:bookmarkStart w:id="1090" w:name="_Toc27108"/>
      <w:bookmarkStart w:id="1091" w:name="_Toc8485"/>
      <w:bookmarkStart w:id="1092" w:name="_Toc18922"/>
      <w:bookmarkStart w:id="1093" w:name="_Toc22667"/>
      <w:bookmarkStart w:id="1094" w:name="_Toc11793"/>
      <w:bookmarkStart w:id="1095" w:name="_Toc21619"/>
      <w:bookmarkStart w:id="1096" w:name="_Toc11067"/>
      <w:bookmarkStart w:id="1097" w:name="_Toc31048"/>
      <w:bookmarkStart w:id="1098" w:name="_Toc11722"/>
      <w:bookmarkStart w:id="1099" w:name="_Toc5086"/>
      <w:bookmarkStart w:id="1100" w:name="_Toc1625"/>
      <w:r>
        <w:rPr>
          <w:rFonts w:hint="eastAsia" w:ascii="仿宋" w:hAnsi="仿宋" w:eastAsia="仿宋" w:cs="仿宋"/>
          <w:b/>
          <w:sz w:val="30"/>
          <w:szCs w:val="30"/>
          <w:highlight w:val="none"/>
        </w:rPr>
        <w:t>十</w:t>
      </w:r>
      <w:r>
        <w:rPr>
          <w:rFonts w:hint="eastAsia" w:ascii="仿宋" w:hAnsi="仿宋" w:eastAsia="仿宋" w:cs="仿宋"/>
          <w:b/>
          <w:sz w:val="30"/>
          <w:szCs w:val="30"/>
          <w:highlight w:val="none"/>
          <w:lang w:val="en-US" w:eastAsia="zh-CN"/>
        </w:rPr>
        <w:t>二</w:t>
      </w:r>
      <w:r>
        <w:rPr>
          <w:rFonts w:hint="eastAsia" w:ascii="仿宋" w:hAnsi="仿宋" w:eastAsia="仿宋" w:cs="仿宋"/>
          <w:b/>
          <w:sz w:val="30"/>
          <w:szCs w:val="30"/>
          <w:highlight w:val="none"/>
        </w:rPr>
        <w:t>、监狱企业相关证明材料（如涉及）</w:t>
      </w:r>
      <w:bookmarkEnd w:id="1086"/>
      <w:bookmarkEnd w:id="1087"/>
      <w:bookmarkEnd w:id="1088"/>
      <w:bookmarkEnd w:id="1089"/>
      <w:bookmarkEnd w:id="1090"/>
      <w:bookmarkEnd w:id="1091"/>
      <w:bookmarkEnd w:id="1092"/>
      <w:bookmarkEnd w:id="1093"/>
      <w:bookmarkEnd w:id="1094"/>
      <w:bookmarkEnd w:id="1095"/>
      <w:bookmarkEnd w:id="1096"/>
      <w:bookmarkEnd w:id="1097"/>
    </w:p>
    <w:p>
      <w:pPr>
        <w:spacing w:line="360" w:lineRule="auto"/>
        <w:ind w:firstLine="400" w:firstLineChars="200"/>
        <w:rPr>
          <w:rFonts w:hint="eastAsia" w:ascii="仿宋" w:hAnsi="仿宋" w:eastAsia="仿宋" w:cs="仿宋"/>
          <w:szCs w:val="21"/>
          <w:highlight w:val="none"/>
        </w:rPr>
      </w:pPr>
      <w:r>
        <w:rPr>
          <w:rFonts w:hint="eastAsia" w:ascii="仿宋" w:hAnsi="仿宋" w:eastAsia="仿宋" w:cs="仿宋"/>
          <w:szCs w:val="21"/>
          <w:highlight w:val="none"/>
        </w:rPr>
        <w:t>说明：</w:t>
      </w:r>
    </w:p>
    <w:p>
      <w:pPr>
        <w:spacing w:line="360" w:lineRule="auto"/>
        <w:ind w:firstLine="400" w:firstLineChars="200"/>
        <w:rPr>
          <w:rFonts w:hint="eastAsia" w:ascii="仿宋" w:hAnsi="仿宋" w:eastAsia="仿宋" w:cs="仿宋"/>
          <w:szCs w:val="21"/>
          <w:highlight w:val="none"/>
        </w:rPr>
      </w:pPr>
      <w:r>
        <w:rPr>
          <w:rFonts w:hint="eastAsia" w:ascii="仿宋" w:hAnsi="仿宋" w:eastAsia="仿宋" w:cs="仿宋"/>
          <w:szCs w:val="21"/>
          <w:highlight w:val="none"/>
        </w:rPr>
        <w:t>①监狱企业参加政府采购活动时，应当提供由省级以上监狱管理局、戒毒管理局(含新疆生产建设兵团)出具的属于监狱企业的证明文件。</w:t>
      </w:r>
    </w:p>
    <w:p>
      <w:pPr>
        <w:spacing w:line="360" w:lineRule="auto"/>
        <w:ind w:firstLine="400" w:firstLineChars="200"/>
        <w:rPr>
          <w:rFonts w:hint="eastAsia" w:ascii="仿宋" w:hAnsi="仿宋" w:eastAsia="仿宋" w:cs="仿宋"/>
          <w:szCs w:val="21"/>
          <w:highlight w:val="none"/>
        </w:rPr>
      </w:pPr>
      <w:r>
        <w:rPr>
          <w:rFonts w:hint="eastAsia" w:ascii="仿宋" w:hAnsi="仿宋" w:eastAsia="仿宋" w:cs="仿宋"/>
          <w:szCs w:val="21"/>
          <w:highlight w:val="none"/>
        </w:rPr>
        <w:t>②如未提供监狱企业相关证明材料的，则监狱企业不能享受招标文件规定的价格扣除，但不影响投标人响应文件的有效性。</w:t>
      </w:r>
      <w:r>
        <w:rPr>
          <w:rFonts w:hint="eastAsia" w:ascii="仿宋" w:hAnsi="仿宋" w:eastAsia="仿宋" w:cs="仿宋"/>
          <w:szCs w:val="21"/>
          <w:highlight w:val="none"/>
          <w:lang w:eastAsia="zh-CN"/>
        </w:rPr>
        <w:t>（本项目为专门面向中小企业采购，不执行价格扣除）</w:t>
      </w:r>
    </w:p>
    <w:p>
      <w:pPr>
        <w:spacing w:line="360" w:lineRule="auto"/>
        <w:ind w:firstLine="400" w:firstLineChars="200"/>
        <w:rPr>
          <w:rFonts w:hint="eastAsia" w:ascii="仿宋" w:hAnsi="仿宋" w:eastAsia="仿宋" w:cs="仿宋"/>
          <w:szCs w:val="21"/>
          <w:highlight w:val="none"/>
        </w:rPr>
      </w:pPr>
      <w:r>
        <w:rPr>
          <w:rFonts w:hint="eastAsia" w:ascii="仿宋" w:hAnsi="仿宋" w:eastAsia="仿宋" w:cs="仿宋"/>
          <w:szCs w:val="21"/>
          <w:highlight w:val="none"/>
        </w:rPr>
        <w:t>③非监狱企业无需提供证明材料。</w:t>
      </w:r>
    </w:p>
    <w:p>
      <w:pPr>
        <w:snapToGrid w:val="0"/>
        <w:spacing w:before="240" w:beforeLines="100" w:line="360" w:lineRule="auto"/>
        <w:jc w:val="center"/>
        <w:outlineLvl w:val="1"/>
        <w:rPr>
          <w:rFonts w:hint="eastAsia" w:ascii="仿宋" w:hAnsi="仿宋" w:eastAsia="仿宋" w:cs="仿宋"/>
          <w:sz w:val="24"/>
          <w:highlight w:val="none"/>
        </w:rPr>
        <w:sectPr>
          <w:pgSz w:w="11905" w:h="16838"/>
          <w:pgMar w:top="1440" w:right="1746" w:bottom="1440" w:left="1746" w:header="850" w:footer="992" w:gutter="0"/>
          <w:pgNumType w:fmt="decimal"/>
          <w:cols w:space="720" w:num="1"/>
          <w:titlePg/>
          <w:rtlGutter w:val="0"/>
          <w:docGrid w:linePitch="360" w:charSpace="0"/>
        </w:sectPr>
      </w:pPr>
    </w:p>
    <w:p>
      <w:pPr>
        <w:snapToGrid w:val="0"/>
        <w:spacing w:before="240" w:beforeLines="100" w:line="360" w:lineRule="auto"/>
        <w:jc w:val="center"/>
        <w:outlineLvl w:val="1"/>
        <w:rPr>
          <w:rFonts w:hint="eastAsia" w:ascii="仿宋" w:hAnsi="仿宋" w:eastAsia="仿宋" w:cs="仿宋"/>
          <w:b/>
          <w:sz w:val="32"/>
          <w:highlight w:val="none"/>
        </w:rPr>
      </w:pPr>
      <w:bookmarkStart w:id="1101" w:name="_Toc22209"/>
      <w:bookmarkStart w:id="1102" w:name="_Toc21817"/>
      <w:bookmarkStart w:id="1103" w:name="_Toc9287"/>
      <w:r>
        <w:rPr>
          <w:rFonts w:hint="eastAsia" w:ascii="仿宋" w:hAnsi="仿宋" w:eastAsia="仿宋" w:cs="仿宋"/>
          <w:b/>
          <w:sz w:val="30"/>
          <w:szCs w:val="30"/>
          <w:highlight w:val="none"/>
        </w:rPr>
        <w:t>十</w:t>
      </w:r>
      <w:r>
        <w:rPr>
          <w:rFonts w:hint="eastAsia" w:ascii="仿宋" w:hAnsi="仿宋" w:eastAsia="仿宋" w:cs="仿宋"/>
          <w:b/>
          <w:sz w:val="30"/>
          <w:szCs w:val="30"/>
          <w:highlight w:val="none"/>
          <w:lang w:val="en-US" w:eastAsia="zh-CN"/>
        </w:rPr>
        <w:t>三</w:t>
      </w:r>
      <w:r>
        <w:rPr>
          <w:rFonts w:hint="eastAsia" w:ascii="仿宋" w:hAnsi="仿宋" w:eastAsia="仿宋" w:cs="仿宋"/>
          <w:b/>
          <w:sz w:val="30"/>
          <w:szCs w:val="30"/>
          <w:highlight w:val="none"/>
        </w:rPr>
        <w:t>、不发达地区和少数民族声明函（如涉及）</w:t>
      </w:r>
      <w:bookmarkEnd w:id="1098"/>
      <w:bookmarkEnd w:id="1101"/>
      <w:bookmarkEnd w:id="1102"/>
      <w:bookmarkEnd w:id="1103"/>
    </w:p>
    <w:p>
      <w:pPr>
        <w:pStyle w:val="2"/>
        <w:jc w:val="center"/>
        <w:rPr>
          <w:rFonts w:hint="eastAsia" w:ascii="仿宋" w:hAnsi="仿宋" w:eastAsia="仿宋" w:cs="仿宋"/>
          <w:highlight w:val="none"/>
        </w:rPr>
      </w:pPr>
    </w:p>
    <w:p>
      <w:pPr>
        <w:pStyle w:val="2"/>
        <w:jc w:val="center"/>
        <w:rPr>
          <w:rFonts w:hint="eastAsia" w:ascii="仿宋" w:hAnsi="仿宋" w:eastAsia="仿宋" w:cs="仿宋"/>
          <w:highlight w:val="none"/>
        </w:rPr>
      </w:pPr>
    </w:p>
    <w:p>
      <w:pPr>
        <w:pStyle w:val="2"/>
        <w:jc w:val="center"/>
        <w:rPr>
          <w:rFonts w:hint="eastAsia" w:ascii="仿宋" w:hAnsi="仿宋" w:eastAsia="仿宋" w:cs="仿宋"/>
          <w:highlight w:val="none"/>
        </w:rPr>
      </w:pPr>
    </w:p>
    <w:p>
      <w:pPr>
        <w:pStyle w:val="2"/>
        <w:jc w:val="center"/>
        <w:rPr>
          <w:rFonts w:hint="eastAsia" w:ascii="仿宋" w:hAnsi="仿宋" w:eastAsia="仿宋" w:cs="仿宋"/>
          <w:highlight w:val="none"/>
        </w:rPr>
      </w:pPr>
    </w:p>
    <w:p>
      <w:pPr>
        <w:pStyle w:val="2"/>
        <w:jc w:val="center"/>
        <w:rPr>
          <w:rFonts w:hint="eastAsia" w:ascii="仿宋" w:hAnsi="仿宋" w:eastAsia="仿宋" w:cs="仿宋"/>
          <w:highlight w:val="none"/>
        </w:rPr>
      </w:pPr>
    </w:p>
    <w:p>
      <w:pPr>
        <w:pStyle w:val="2"/>
        <w:jc w:val="center"/>
        <w:rPr>
          <w:rFonts w:hint="eastAsia" w:ascii="仿宋" w:hAnsi="仿宋" w:eastAsia="仿宋" w:cs="仿宋"/>
          <w:highlight w:val="none"/>
        </w:rPr>
      </w:pPr>
    </w:p>
    <w:p>
      <w:pPr>
        <w:pStyle w:val="2"/>
        <w:jc w:val="center"/>
        <w:rPr>
          <w:rFonts w:hint="eastAsia" w:ascii="仿宋" w:hAnsi="仿宋" w:eastAsia="仿宋" w:cs="仿宋"/>
          <w:highlight w:val="none"/>
        </w:rPr>
      </w:pPr>
    </w:p>
    <w:p>
      <w:pPr>
        <w:pStyle w:val="2"/>
        <w:jc w:val="center"/>
        <w:rPr>
          <w:rFonts w:hint="eastAsia" w:ascii="仿宋" w:hAnsi="仿宋" w:eastAsia="仿宋" w:cs="仿宋"/>
          <w:highlight w:val="none"/>
        </w:rPr>
      </w:pPr>
    </w:p>
    <w:p>
      <w:pPr>
        <w:pStyle w:val="2"/>
        <w:jc w:val="center"/>
        <w:rPr>
          <w:rFonts w:hint="eastAsia" w:ascii="仿宋" w:hAnsi="仿宋" w:eastAsia="仿宋" w:cs="仿宋"/>
          <w:highlight w:val="none"/>
        </w:rPr>
      </w:pPr>
    </w:p>
    <w:p>
      <w:pPr>
        <w:pStyle w:val="2"/>
        <w:jc w:val="center"/>
        <w:rPr>
          <w:rFonts w:hint="eastAsia" w:ascii="仿宋" w:hAnsi="仿宋" w:eastAsia="仿宋" w:cs="仿宋"/>
          <w:highlight w:val="none"/>
        </w:rPr>
      </w:pPr>
    </w:p>
    <w:p>
      <w:pPr>
        <w:pStyle w:val="2"/>
        <w:jc w:val="center"/>
        <w:rPr>
          <w:rFonts w:hint="eastAsia" w:ascii="仿宋" w:hAnsi="仿宋" w:eastAsia="仿宋" w:cs="仿宋"/>
          <w:highlight w:val="none"/>
        </w:rPr>
      </w:pPr>
      <w:r>
        <w:rPr>
          <w:rFonts w:hint="eastAsia" w:ascii="仿宋" w:hAnsi="仿宋" w:eastAsia="仿宋" w:cs="仿宋"/>
          <w:highlight w:val="none"/>
        </w:rPr>
        <w:t>（格式自拟）</w:t>
      </w:r>
    </w:p>
    <w:p>
      <w:pPr>
        <w:pStyle w:val="17"/>
        <w:rPr>
          <w:rFonts w:hint="eastAsia" w:ascii="仿宋" w:hAnsi="仿宋" w:eastAsia="仿宋" w:cs="仿宋"/>
          <w:highlight w:val="none"/>
        </w:rPr>
      </w:pPr>
    </w:p>
    <w:p>
      <w:pPr>
        <w:rPr>
          <w:rFonts w:hint="eastAsia" w:ascii="仿宋" w:hAnsi="仿宋" w:eastAsia="仿宋" w:cs="仿宋"/>
          <w:highlight w:val="none"/>
        </w:rPr>
      </w:pPr>
    </w:p>
    <w:p>
      <w:pPr>
        <w:pStyle w:val="2"/>
        <w:rPr>
          <w:rFonts w:hint="eastAsia" w:ascii="仿宋" w:hAnsi="仿宋" w:eastAsia="仿宋" w:cs="仿宋"/>
          <w:highlight w:val="none"/>
        </w:rPr>
      </w:pPr>
    </w:p>
    <w:p>
      <w:pPr>
        <w:pStyle w:val="17"/>
        <w:rPr>
          <w:rFonts w:hint="eastAsia" w:ascii="仿宋" w:hAnsi="仿宋" w:eastAsia="仿宋" w:cs="仿宋"/>
          <w:highlight w:val="none"/>
        </w:rPr>
      </w:pPr>
    </w:p>
    <w:p>
      <w:pPr>
        <w:rPr>
          <w:rFonts w:hint="eastAsia" w:ascii="仿宋" w:hAnsi="仿宋" w:eastAsia="仿宋" w:cs="仿宋"/>
          <w:highlight w:val="none"/>
        </w:rPr>
      </w:pPr>
    </w:p>
    <w:p>
      <w:pPr>
        <w:pStyle w:val="2"/>
        <w:rPr>
          <w:rFonts w:hint="eastAsia" w:ascii="仿宋" w:hAnsi="仿宋" w:eastAsia="仿宋" w:cs="仿宋"/>
          <w:highlight w:val="none"/>
        </w:rPr>
      </w:pPr>
    </w:p>
    <w:p>
      <w:pPr>
        <w:pStyle w:val="17"/>
        <w:rPr>
          <w:rFonts w:hint="eastAsia" w:ascii="仿宋" w:hAnsi="仿宋" w:eastAsia="仿宋" w:cs="仿宋"/>
          <w:highlight w:val="none"/>
        </w:rPr>
      </w:pPr>
    </w:p>
    <w:p>
      <w:pPr>
        <w:rPr>
          <w:rFonts w:hint="eastAsia" w:ascii="仿宋" w:hAnsi="仿宋" w:eastAsia="仿宋" w:cs="仿宋"/>
          <w:highlight w:val="none"/>
        </w:rPr>
      </w:pPr>
    </w:p>
    <w:p>
      <w:pPr>
        <w:pStyle w:val="2"/>
        <w:rPr>
          <w:rFonts w:hint="eastAsia" w:ascii="仿宋" w:hAnsi="仿宋" w:eastAsia="仿宋" w:cs="仿宋"/>
          <w:highlight w:val="none"/>
        </w:rPr>
      </w:pPr>
    </w:p>
    <w:p>
      <w:pPr>
        <w:pStyle w:val="17"/>
        <w:rPr>
          <w:rFonts w:hint="eastAsia" w:ascii="仿宋" w:hAnsi="仿宋" w:eastAsia="仿宋" w:cs="仿宋"/>
          <w:highlight w:val="none"/>
        </w:rPr>
      </w:pPr>
    </w:p>
    <w:p>
      <w:pPr>
        <w:rPr>
          <w:rFonts w:hint="eastAsia" w:ascii="仿宋" w:hAnsi="仿宋" w:eastAsia="仿宋" w:cs="仿宋"/>
          <w:highlight w:val="none"/>
        </w:rPr>
      </w:pPr>
    </w:p>
    <w:p>
      <w:pPr>
        <w:pStyle w:val="2"/>
        <w:rPr>
          <w:rFonts w:hint="eastAsia" w:ascii="仿宋" w:hAnsi="仿宋" w:eastAsia="仿宋" w:cs="仿宋"/>
          <w:highlight w:val="none"/>
        </w:rPr>
      </w:pPr>
    </w:p>
    <w:p>
      <w:pPr>
        <w:pStyle w:val="17"/>
        <w:rPr>
          <w:rFonts w:hint="eastAsia" w:ascii="仿宋" w:hAnsi="仿宋" w:eastAsia="仿宋" w:cs="仿宋"/>
          <w:highlight w:val="none"/>
        </w:rPr>
      </w:pPr>
    </w:p>
    <w:p>
      <w:pPr>
        <w:pStyle w:val="2"/>
        <w:rPr>
          <w:rFonts w:hint="eastAsia" w:ascii="仿宋" w:hAnsi="仿宋" w:eastAsia="仿宋" w:cs="仿宋"/>
          <w:highlight w:val="none"/>
        </w:rPr>
      </w:pPr>
    </w:p>
    <w:p>
      <w:pPr>
        <w:spacing w:line="480" w:lineRule="auto"/>
        <w:jc w:val="right"/>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（盖单位公章）</w:t>
      </w:r>
    </w:p>
    <w:p>
      <w:pPr>
        <w:spacing w:line="48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法定代表人/单位负责人或授权代表（签字或加盖个人印章）：</w:t>
      </w:r>
      <w:r>
        <w:rPr>
          <w:rFonts w:hint="eastAsia" w:ascii="仿宋" w:hAnsi="仿宋" w:eastAsia="仿宋" w:cs="仿宋"/>
          <w:sz w:val="21"/>
          <w:szCs w:val="21"/>
          <w:highlight w:val="none"/>
          <w:u w:val="single"/>
        </w:rPr>
        <w:t xml:space="preserve">                </w:t>
      </w:r>
    </w:p>
    <w:p>
      <w:pPr>
        <w:spacing w:line="480" w:lineRule="auto"/>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投标日期：</w:t>
      </w:r>
      <w:r>
        <w:rPr>
          <w:rFonts w:hint="eastAsia" w:ascii="仿宋" w:hAnsi="仿宋" w:eastAsia="仿宋" w:cs="仿宋"/>
          <w:i/>
          <w:sz w:val="21"/>
          <w:szCs w:val="21"/>
          <w:highlight w:val="none"/>
          <w:u w:val="single"/>
        </w:rPr>
        <w:t xml:space="preserve">    </w:t>
      </w:r>
      <w:r>
        <w:rPr>
          <w:rFonts w:hint="eastAsia" w:ascii="仿宋" w:hAnsi="仿宋" w:eastAsia="仿宋" w:cs="仿宋"/>
          <w:iCs/>
          <w:sz w:val="21"/>
          <w:szCs w:val="21"/>
          <w:highlight w:val="none"/>
        </w:rPr>
        <w:t>年</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月</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日</w:t>
      </w:r>
    </w:p>
    <w:p>
      <w:pPr>
        <w:pStyle w:val="17"/>
        <w:rPr>
          <w:rFonts w:hint="eastAsia" w:ascii="仿宋" w:hAnsi="仿宋" w:eastAsia="仿宋" w:cs="仿宋"/>
          <w:highlight w:val="none"/>
        </w:rPr>
      </w:pPr>
    </w:p>
    <w:p>
      <w:pPr>
        <w:rPr>
          <w:rFonts w:hint="eastAsia" w:ascii="仿宋" w:hAnsi="仿宋" w:eastAsia="仿宋" w:cs="仿宋"/>
          <w:highlight w:val="none"/>
        </w:rPr>
      </w:pPr>
    </w:p>
    <w:p>
      <w:pPr>
        <w:pStyle w:val="2"/>
        <w:rPr>
          <w:rFonts w:hint="eastAsia" w:ascii="仿宋" w:hAnsi="仿宋" w:eastAsia="仿宋" w:cs="仿宋"/>
          <w:highlight w:val="none"/>
        </w:rPr>
      </w:pPr>
    </w:p>
    <w:p>
      <w:pPr>
        <w:pStyle w:val="2"/>
        <w:rPr>
          <w:rFonts w:hint="eastAsia" w:ascii="仿宋" w:hAnsi="仿宋" w:eastAsia="仿宋" w:cs="仿宋"/>
          <w:highlight w:val="none"/>
        </w:rPr>
        <w:sectPr>
          <w:pgSz w:w="11905" w:h="16838"/>
          <w:pgMar w:top="1440" w:right="1746" w:bottom="1440" w:left="1746" w:header="850" w:footer="992" w:gutter="0"/>
          <w:pgNumType w:fmt="decimal"/>
          <w:cols w:space="720" w:num="1"/>
          <w:titlePg/>
          <w:rtlGutter w:val="0"/>
          <w:docGrid w:linePitch="360" w:charSpace="0"/>
        </w:sectPr>
      </w:pPr>
    </w:p>
    <w:p>
      <w:pPr>
        <w:snapToGrid w:val="0"/>
        <w:spacing w:before="240" w:beforeLines="100" w:line="360" w:lineRule="auto"/>
        <w:jc w:val="center"/>
        <w:outlineLvl w:val="1"/>
        <w:rPr>
          <w:rFonts w:hint="eastAsia" w:ascii="仿宋" w:hAnsi="仿宋" w:eastAsia="仿宋" w:cs="仿宋"/>
          <w:b/>
          <w:sz w:val="30"/>
          <w:szCs w:val="30"/>
          <w:highlight w:val="none"/>
        </w:rPr>
      </w:pPr>
      <w:bookmarkStart w:id="1104" w:name="_Toc19936"/>
      <w:bookmarkStart w:id="1105" w:name="_Toc30745"/>
      <w:bookmarkStart w:id="1106" w:name="_Toc8043"/>
      <w:bookmarkStart w:id="1107" w:name="_Toc20273"/>
      <w:bookmarkStart w:id="1108" w:name="_Toc6353"/>
      <w:bookmarkStart w:id="1109" w:name="_Toc21030"/>
      <w:bookmarkStart w:id="1110" w:name="_Toc11598"/>
      <w:bookmarkStart w:id="1111" w:name="_Toc2152"/>
      <w:r>
        <w:rPr>
          <w:rFonts w:hint="eastAsia" w:ascii="仿宋" w:hAnsi="仿宋" w:eastAsia="仿宋" w:cs="仿宋"/>
          <w:b/>
          <w:sz w:val="30"/>
          <w:szCs w:val="30"/>
          <w:highlight w:val="none"/>
        </w:rPr>
        <w:t>十</w:t>
      </w: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、服务方案</w:t>
      </w:r>
      <w:bookmarkEnd w:id="1099"/>
      <w:bookmarkEnd w:id="1100"/>
      <w:bookmarkEnd w:id="1104"/>
      <w:bookmarkEnd w:id="1105"/>
      <w:bookmarkEnd w:id="1106"/>
      <w:bookmarkEnd w:id="1107"/>
      <w:bookmarkEnd w:id="1108"/>
      <w:bookmarkEnd w:id="1109"/>
      <w:bookmarkEnd w:id="1110"/>
      <w:bookmarkEnd w:id="1111"/>
    </w:p>
    <w:p>
      <w:pPr>
        <w:snapToGrid w:val="0"/>
        <w:spacing w:line="360" w:lineRule="auto"/>
        <w:rPr>
          <w:rFonts w:hint="eastAsia" w:ascii="仿宋" w:hAnsi="仿宋" w:eastAsia="仿宋" w:cs="仿宋"/>
          <w:sz w:val="18"/>
          <w:highlight w:val="none"/>
        </w:rPr>
      </w:pPr>
    </w:p>
    <w:p>
      <w:pPr>
        <w:snapToGrid w:val="0"/>
        <w:spacing w:line="360" w:lineRule="auto"/>
        <w:jc w:val="center"/>
        <w:rPr>
          <w:rFonts w:hint="eastAsia" w:ascii="仿宋" w:hAnsi="仿宋" w:eastAsia="仿宋" w:cs="仿宋"/>
          <w:b/>
          <w:sz w:val="30"/>
          <w:szCs w:val="30"/>
          <w:highlight w:val="none"/>
        </w:rPr>
        <w:sectPr>
          <w:pgSz w:w="11905" w:h="16838"/>
          <w:pgMar w:top="1440" w:right="1746" w:bottom="1440" w:left="1746" w:header="850" w:footer="992" w:gutter="0"/>
          <w:pgNumType w:fmt="decimal"/>
          <w:cols w:space="720" w:num="1"/>
          <w:titlePg/>
          <w:rtlGutter w:val="0"/>
          <w:docGrid w:linePitch="360" w:charSpace="0"/>
        </w:sectPr>
      </w:pPr>
      <w:r>
        <w:rPr>
          <w:rFonts w:hint="eastAsia" w:ascii="仿宋" w:hAnsi="仿宋" w:eastAsia="仿宋" w:cs="仿宋"/>
          <w:sz w:val="21"/>
          <w:szCs w:val="21"/>
          <w:highlight w:val="none"/>
        </w:rPr>
        <w:t>(格式自拟</w:t>
      </w:r>
      <w:bookmarkStart w:id="1112" w:name="page53"/>
      <w:bookmarkEnd w:id="1112"/>
      <w:bookmarkStart w:id="1113" w:name="_Toc6406"/>
      <w:bookmarkStart w:id="1114" w:name="_Toc16029"/>
      <w:r>
        <w:rPr>
          <w:rFonts w:hint="eastAsia" w:ascii="仿宋" w:hAnsi="仿宋" w:eastAsia="仿宋" w:cs="仿宋"/>
          <w:sz w:val="21"/>
          <w:szCs w:val="21"/>
          <w:highlight w:val="none"/>
        </w:rPr>
        <w:t>)</w:t>
      </w:r>
    </w:p>
    <w:p>
      <w:pPr>
        <w:snapToGrid w:val="0"/>
        <w:spacing w:before="240" w:beforeLines="100" w:line="360" w:lineRule="auto"/>
        <w:jc w:val="center"/>
        <w:outlineLvl w:val="1"/>
        <w:rPr>
          <w:rFonts w:hint="eastAsia" w:ascii="仿宋" w:hAnsi="仿宋" w:eastAsia="仿宋" w:cs="仿宋"/>
          <w:b/>
          <w:sz w:val="32"/>
          <w:highlight w:val="none"/>
        </w:rPr>
      </w:pPr>
      <w:bookmarkStart w:id="1115" w:name="_Toc17341"/>
      <w:bookmarkStart w:id="1116" w:name="_Toc17437"/>
      <w:bookmarkStart w:id="1117" w:name="_Toc3893"/>
      <w:bookmarkStart w:id="1118" w:name="_Toc7954"/>
      <w:bookmarkStart w:id="1119" w:name="_Toc588"/>
      <w:bookmarkStart w:id="1120" w:name="_Toc15464"/>
      <w:bookmarkStart w:id="1121" w:name="_Toc9939"/>
      <w:bookmarkStart w:id="1122" w:name="_Toc18499"/>
      <w:r>
        <w:rPr>
          <w:rFonts w:hint="eastAsia" w:ascii="仿宋" w:hAnsi="仿宋" w:eastAsia="仿宋" w:cs="仿宋"/>
          <w:b/>
          <w:sz w:val="32"/>
          <w:highlight w:val="none"/>
          <w:lang w:eastAsia="zh-CN"/>
        </w:rPr>
        <w:t>十</w:t>
      </w:r>
      <w:r>
        <w:rPr>
          <w:rFonts w:hint="eastAsia" w:ascii="仿宋" w:hAnsi="仿宋" w:eastAsia="仿宋" w:cs="仿宋"/>
          <w:b/>
          <w:sz w:val="32"/>
          <w:highlight w:val="none"/>
          <w:lang w:val="en-US" w:eastAsia="zh-CN"/>
        </w:rPr>
        <w:t>五</w:t>
      </w:r>
      <w:r>
        <w:rPr>
          <w:rFonts w:hint="eastAsia" w:ascii="仿宋" w:hAnsi="仿宋" w:eastAsia="仿宋" w:cs="仿宋"/>
          <w:b/>
          <w:sz w:val="32"/>
          <w:highlight w:val="none"/>
        </w:rPr>
        <w:t>、招标代理服务费承诺函</w:t>
      </w:r>
      <w:bookmarkEnd w:id="1115"/>
      <w:bookmarkEnd w:id="1116"/>
      <w:bookmarkEnd w:id="1117"/>
      <w:bookmarkEnd w:id="1118"/>
      <w:bookmarkEnd w:id="1119"/>
      <w:bookmarkEnd w:id="1120"/>
    </w:p>
    <w:p>
      <w:pPr>
        <w:snapToGrid w:val="0"/>
        <w:spacing w:before="240" w:beforeLines="100" w:after="240" w:afterLines="100"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u w:val="single"/>
          <w:lang w:eastAsia="zh-CN"/>
        </w:rPr>
        <w:t>四川迈勋招投标代理有限公司</w:t>
      </w:r>
      <w:r>
        <w:rPr>
          <w:rFonts w:hint="eastAsia" w:ascii="仿宋" w:hAnsi="仿宋" w:eastAsia="仿宋" w:cs="仿宋"/>
          <w:sz w:val="21"/>
          <w:szCs w:val="21"/>
          <w:highlight w:val="none"/>
        </w:rPr>
        <w:t>：</w:t>
      </w:r>
    </w:p>
    <w:p>
      <w:pPr>
        <w:tabs>
          <w:tab w:val="left" w:pos="6480"/>
        </w:tabs>
        <w:snapToGrid w:val="0"/>
        <w:spacing w:line="48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我公司在贵公司代理的</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项目（项目编号：</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u w:val="none"/>
        </w:rPr>
        <w:t xml:space="preserve"> </w:t>
      </w:r>
      <w:r>
        <w:rPr>
          <w:rFonts w:hint="eastAsia" w:ascii="仿宋" w:hAnsi="仿宋" w:eastAsia="仿宋" w:cs="仿宋"/>
          <w:sz w:val="21"/>
          <w:szCs w:val="21"/>
          <w:highlight w:val="none"/>
          <w:u w:val="none"/>
          <w:lang w:val="en-US" w:eastAsia="zh-CN"/>
        </w:rPr>
        <w:t>包号：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rPr>
        <w:t>）公开招标中若获中标，我公司保证按照招标文件中招标代理服务费收取标准在领取中标通知书前以支票、银行汇票、电汇、现金或经贵公司认可的一种方式，一次性向贵公司（</w:t>
      </w:r>
      <w:r>
        <w:rPr>
          <w:rFonts w:hint="eastAsia" w:ascii="仿宋" w:hAnsi="仿宋" w:eastAsia="仿宋" w:cs="仿宋"/>
          <w:sz w:val="21"/>
          <w:szCs w:val="21"/>
          <w:highlight w:val="none"/>
          <w:lang w:eastAsia="zh-CN"/>
        </w:rPr>
        <w:t>四川迈勋招投标代理有限公司</w:t>
      </w:r>
      <w:r>
        <w:rPr>
          <w:rFonts w:hint="eastAsia" w:ascii="仿宋" w:hAnsi="仿宋" w:eastAsia="仿宋" w:cs="仿宋"/>
          <w:sz w:val="21"/>
          <w:szCs w:val="21"/>
          <w:highlight w:val="none"/>
        </w:rPr>
        <w:t>）支付本采购项目招标代理服务费。</w:t>
      </w:r>
    </w:p>
    <w:p>
      <w:pPr>
        <w:snapToGrid w:val="0"/>
        <w:spacing w:line="360" w:lineRule="auto"/>
        <w:rPr>
          <w:rFonts w:hint="eastAsia" w:ascii="仿宋" w:hAnsi="仿宋" w:eastAsia="仿宋" w:cs="仿宋"/>
          <w:sz w:val="21"/>
          <w:szCs w:val="21"/>
          <w:highlight w:val="none"/>
        </w:rPr>
      </w:pPr>
    </w:p>
    <w:p>
      <w:pPr>
        <w:snapToGrid w:val="0"/>
        <w:spacing w:line="360" w:lineRule="auto"/>
        <w:ind w:left="480"/>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特此承诺。</w:t>
      </w:r>
    </w:p>
    <w:p>
      <w:pPr>
        <w:snapToGrid w:val="0"/>
        <w:spacing w:line="360" w:lineRule="auto"/>
        <w:jc w:val="center"/>
        <w:rPr>
          <w:rFonts w:hint="eastAsia" w:ascii="仿宋" w:hAnsi="仿宋" w:eastAsia="仿宋" w:cs="仿宋"/>
          <w:b/>
          <w:sz w:val="21"/>
          <w:szCs w:val="21"/>
          <w:highlight w:val="none"/>
        </w:rPr>
      </w:pPr>
    </w:p>
    <w:p>
      <w:pPr>
        <w:pStyle w:val="2"/>
        <w:rPr>
          <w:rFonts w:hint="eastAsia" w:ascii="仿宋" w:hAnsi="仿宋" w:eastAsia="仿宋" w:cs="仿宋"/>
          <w:b/>
          <w:sz w:val="21"/>
          <w:szCs w:val="21"/>
          <w:highlight w:val="none"/>
        </w:rPr>
      </w:pPr>
    </w:p>
    <w:p>
      <w:pPr>
        <w:pStyle w:val="17"/>
        <w:rPr>
          <w:rFonts w:hint="eastAsia" w:ascii="仿宋" w:hAnsi="仿宋" w:eastAsia="仿宋" w:cs="仿宋"/>
          <w:b/>
          <w:szCs w:val="21"/>
          <w:highlight w:val="none"/>
        </w:rPr>
      </w:pPr>
    </w:p>
    <w:p>
      <w:pPr>
        <w:rPr>
          <w:rFonts w:hint="eastAsia" w:ascii="仿宋" w:hAnsi="仿宋" w:eastAsia="仿宋" w:cs="仿宋"/>
          <w:b/>
          <w:sz w:val="21"/>
          <w:szCs w:val="21"/>
          <w:highlight w:val="none"/>
        </w:rPr>
      </w:pPr>
    </w:p>
    <w:p>
      <w:pPr>
        <w:pStyle w:val="2"/>
        <w:rPr>
          <w:rFonts w:hint="eastAsia" w:ascii="仿宋" w:hAnsi="仿宋" w:eastAsia="仿宋" w:cs="仿宋"/>
          <w:b/>
          <w:sz w:val="21"/>
          <w:szCs w:val="21"/>
          <w:highlight w:val="none"/>
        </w:rPr>
      </w:pPr>
    </w:p>
    <w:p>
      <w:pPr>
        <w:spacing w:line="480" w:lineRule="auto"/>
        <w:jc w:val="right"/>
        <w:rPr>
          <w:rFonts w:hint="eastAsia" w:ascii="仿宋" w:hAnsi="仿宋" w:eastAsia="仿宋" w:cs="仿宋"/>
          <w:sz w:val="21"/>
          <w:szCs w:val="21"/>
          <w:highlight w:val="none"/>
        </w:rPr>
      </w:pP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名称：</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（盖单位公章）</w:t>
      </w:r>
    </w:p>
    <w:p>
      <w:pPr>
        <w:spacing w:line="48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法定代表人/单位负责人或授权代表（签字或加盖个人印章）：</w:t>
      </w:r>
      <w:r>
        <w:rPr>
          <w:rFonts w:hint="eastAsia" w:ascii="仿宋" w:hAnsi="仿宋" w:eastAsia="仿宋" w:cs="仿宋"/>
          <w:sz w:val="21"/>
          <w:szCs w:val="21"/>
          <w:highlight w:val="none"/>
          <w:u w:val="single"/>
        </w:rPr>
        <w:t xml:space="preserve">                </w:t>
      </w:r>
    </w:p>
    <w:p>
      <w:pPr>
        <w:spacing w:line="480" w:lineRule="auto"/>
        <w:jc w:val="right"/>
        <w:rPr>
          <w:rFonts w:hint="eastAsia" w:ascii="仿宋" w:hAnsi="仿宋" w:eastAsia="仿宋" w:cs="仿宋"/>
          <w:sz w:val="21"/>
          <w:szCs w:val="21"/>
          <w:highlight w:val="none"/>
        </w:rPr>
      </w:pPr>
      <w:r>
        <w:rPr>
          <w:rFonts w:hint="eastAsia" w:ascii="仿宋" w:hAnsi="仿宋" w:eastAsia="仿宋" w:cs="仿宋"/>
          <w:sz w:val="21"/>
          <w:szCs w:val="21"/>
          <w:highlight w:val="none"/>
        </w:rPr>
        <w:t>投标日期：</w:t>
      </w:r>
      <w:r>
        <w:rPr>
          <w:rFonts w:hint="eastAsia" w:ascii="仿宋" w:hAnsi="仿宋" w:eastAsia="仿宋" w:cs="仿宋"/>
          <w:i/>
          <w:sz w:val="21"/>
          <w:szCs w:val="21"/>
          <w:highlight w:val="none"/>
          <w:u w:val="single"/>
        </w:rPr>
        <w:t xml:space="preserve">    </w:t>
      </w:r>
      <w:r>
        <w:rPr>
          <w:rFonts w:hint="eastAsia" w:ascii="仿宋" w:hAnsi="仿宋" w:eastAsia="仿宋" w:cs="仿宋"/>
          <w:iCs/>
          <w:sz w:val="21"/>
          <w:szCs w:val="21"/>
          <w:highlight w:val="none"/>
        </w:rPr>
        <w:t>年</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月</w:t>
      </w:r>
      <w:r>
        <w:rPr>
          <w:rFonts w:hint="eastAsia" w:ascii="仿宋" w:hAnsi="仿宋" w:eastAsia="仿宋" w:cs="仿宋"/>
          <w:iCs/>
          <w:sz w:val="21"/>
          <w:szCs w:val="21"/>
          <w:highlight w:val="none"/>
          <w:u w:val="single"/>
        </w:rPr>
        <w:t xml:space="preserve">    </w:t>
      </w:r>
      <w:r>
        <w:rPr>
          <w:rFonts w:hint="eastAsia" w:ascii="仿宋" w:hAnsi="仿宋" w:eastAsia="仿宋" w:cs="仿宋"/>
          <w:iCs/>
          <w:sz w:val="21"/>
          <w:szCs w:val="21"/>
          <w:highlight w:val="none"/>
        </w:rPr>
        <w:t>日</w:t>
      </w:r>
    </w:p>
    <w:p>
      <w:pPr>
        <w:pStyle w:val="17"/>
        <w:rPr>
          <w:rFonts w:hint="eastAsia" w:ascii="仿宋" w:hAnsi="仿宋" w:eastAsia="仿宋" w:cs="仿宋"/>
          <w:szCs w:val="21"/>
          <w:highlight w:val="none"/>
        </w:rPr>
        <w:sectPr>
          <w:pgSz w:w="11905" w:h="16838"/>
          <w:pgMar w:top="1440" w:right="1746" w:bottom="1440" w:left="1746" w:header="850" w:footer="992" w:gutter="0"/>
          <w:pgNumType w:fmt="decimal"/>
          <w:cols w:space="720" w:num="1"/>
          <w:titlePg/>
          <w:rtlGutter w:val="0"/>
          <w:docGrid w:linePitch="360" w:charSpace="0"/>
        </w:sectPr>
      </w:pPr>
    </w:p>
    <w:p>
      <w:pPr>
        <w:snapToGrid w:val="0"/>
        <w:spacing w:before="240" w:beforeLines="100" w:line="360" w:lineRule="auto"/>
        <w:jc w:val="center"/>
        <w:outlineLvl w:val="1"/>
        <w:rPr>
          <w:rFonts w:hint="eastAsia" w:ascii="仿宋" w:hAnsi="仿宋" w:eastAsia="仿宋" w:cs="仿宋"/>
          <w:b/>
          <w:sz w:val="30"/>
          <w:szCs w:val="30"/>
          <w:highlight w:val="none"/>
        </w:rPr>
      </w:pPr>
      <w:bookmarkStart w:id="1123" w:name="_Toc8708"/>
      <w:bookmarkStart w:id="1124" w:name="_Toc6835"/>
      <w:bookmarkStart w:id="1125" w:name="_Toc30836"/>
      <w:bookmarkStart w:id="1126" w:name="_Toc9289"/>
      <w:bookmarkStart w:id="1127" w:name="_Toc3405"/>
      <w:bookmarkStart w:id="1128" w:name="_Toc2439"/>
      <w:r>
        <w:rPr>
          <w:rFonts w:hint="eastAsia" w:ascii="仿宋" w:hAnsi="仿宋" w:eastAsia="仿宋" w:cs="仿宋"/>
          <w:b/>
          <w:sz w:val="30"/>
          <w:szCs w:val="30"/>
          <w:highlight w:val="none"/>
        </w:rPr>
        <w:t>十</w:t>
      </w:r>
      <w:r>
        <w:rPr>
          <w:rFonts w:hint="eastAsia" w:ascii="仿宋" w:hAnsi="仿宋" w:eastAsia="仿宋" w:cs="仿宋"/>
          <w:b/>
          <w:sz w:val="30"/>
          <w:szCs w:val="30"/>
          <w:highlight w:val="none"/>
          <w:lang w:val="en-US" w:eastAsia="zh-CN"/>
        </w:rPr>
        <w:t>六</w:t>
      </w:r>
      <w:r>
        <w:rPr>
          <w:rFonts w:hint="eastAsia" w:ascii="仿宋" w:hAnsi="仿宋" w:eastAsia="仿宋" w:cs="仿宋"/>
          <w:b/>
          <w:sz w:val="30"/>
          <w:szCs w:val="30"/>
          <w:highlight w:val="none"/>
        </w:rPr>
        <w:t>、其他资料</w:t>
      </w:r>
      <w:bookmarkEnd w:id="1113"/>
      <w:bookmarkEnd w:id="1114"/>
      <w:bookmarkEnd w:id="1121"/>
      <w:bookmarkEnd w:id="1122"/>
      <w:bookmarkEnd w:id="1123"/>
      <w:bookmarkEnd w:id="1124"/>
      <w:bookmarkEnd w:id="1125"/>
      <w:bookmarkEnd w:id="1126"/>
      <w:bookmarkEnd w:id="1127"/>
      <w:bookmarkEnd w:id="1128"/>
    </w:p>
    <w:p>
      <w:pPr>
        <w:pStyle w:val="2"/>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注：</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认为需要提供的文件和资料。</w:t>
      </w:r>
    </w:p>
    <w:p>
      <w:pPr>
        <w:snapToGrid w:val="0"/>
        <w:spacing w:line="360" w:lineRule="auto"/>
        <w:outlineLvl w:val="1"/>
        <w:rPr>
          <w:rFonts w:hint="eastAsia" w:ascii="仿宋" w:hAnsi="仿宋" w:eastAsia="仿宋" w:cs="仿宋"/>
          <w:sz w:val="30"/>
          <w:szCs w:val="30"/>
          <w:highlight w:val="none"/>
        </w:rPr>
        <w:sectPr>
          <w:pgSz w:w="11905" w:h="16838"/>
          <w:pgMar w:top="1440" w:right="1746" w:bottom="1440" w:left="1746" w:header="850" w:footer="992" w:gutter="0"/>
          <w:pgNumType w:fmt="decimal"/>
          <w:cols w:space="720" w:num="1"/>
          <w:titlePg/>
          <w:rtlGutter w:val="0"/>
          <w:docGrid w:linePitch="360" w:charSpace="0"/>
        </w:sectPr>
      </w:pPr>
    </w:p>
    <w:p>
      <w:pPr>
        <w:pStyle w:val="3"/>
        <w:spacing w:before="120" w:beforeLines="50"/>
        <w:rPr>
          <w:rFonts w:hint="eastAsia" w:ascii="仿宋" w:hAnsi="仿宋" w:eastAsia="仿宋" w:cs="仿宋"/>
          <w:highlight w:val="none"/>
        </w:rPr>
      </w:pPr>
      <w:bookmarkStart w:id="1129" w:name="page54"/>
      <w:bookmarkEnd w:id="1129"/>
      <w:bookmarkStart w:id="1130" w:name="_Toc32584"/>
      <w:bookmarkStart w:id="1131" w:name="_Toc31721"/>
      <w:bookmarkStart w:id="1132" w:name="_Toc28197_WPSOffice_Level1"/>
      <w:bookmarkStart w:id="1133" w:name="_Toc10058"/>
      <w:bookmarkStart w:id="1134" w:name="_Toc30346"/>
      <w:bookmarkStart w:id="1135" w:name="_Toc9187"/>
      <w:bookmarkStart w:id="1136" w:name="_Toc28557"/>
      <w:bookmarkStart w:id="1137" w:name="_Toc17639"/>
      <w:bookmarkStart w:id="1138" w:name="_Toc10698_WPSOffice_Level1"/>
      <w:bookmarkStart w:id="1139" w:name="_Toc5004466"/>
      <w:bookmarkStart w:id="1140" w:name="_Toc21262"/>
      <w:bookmarkStart w:id="1141" w:name="_Toc15930_WPSOffice_Level1"/>
      <w:bookmarkStart w:id="1142" w:name="_Toc10574"/>
      <w:bookmarkStart w:id="1143" w:name="_Toc15867"/>
      <w:bookmarkStart w:id="1144" w:name="_Toc31244"/>
      <w:r>
        <w:rPr>
          <w:rFonts w:hint="eastAsia" w:ascii="仿宋" w:hAnsi="仿宋" w:eastAsia="仿宋" w:cs="仿宋"/>
          <w:highlight w:val="none"/>
        </w:rPr>
        <w:t>第四章 投标人的资格、资质性及其他类似效力要求</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pPr>
        <w:pStyle w:val="4"/>
        <w:keepNext w:val="0"/>
        <w:keepLines w:val="0"/>
        <w:pageBreakBefore w:val="0"/>
        <w:widowControl/>
        <w:kinsoku/>
        <w:overflowPunct/>
        <w:topLinePunct w:val="0"/>
        <w:autoSpaceDE/>
        <w:autoSpaceDN/>
        <w:bidi w:val="0"/>
        <w:adjustRightInd/>
        <w:snapToGrid w:val="0"/>
        <w:spacing w:after="0" w:line="360" w:lineRule="auto"/>
        <w:ind w:firstLine="422" w:firstLineChars="200"/>
        <w:textAlignment w:val="auto"/>
        <w:rPr>
          <w:rFonts w:hint="eastAsia" w:ascii="仿宋" w:hAnsi="仿宋" w:eastAsia="仿宋" w:cs="仿宋"/>
          <w:b/>
          <w:bCs/>
          <w:sz w:val="21"/>
          <w:szCs w:val="21"/>
          <w:highlight w:val="none"/>
        </w:rPr>
      </w:pPr>
      <w:bookmarkStart w:id="1145" w:name="_Toc8299"/>
      <w:bookmarkStart w:id="1146" w:name="_Toc501"/>
      <w:bookmarkStart w:id="1147" w:name="_Toc32431"/>
      <w:bookmarkStart w:id="1148" w:name="_Toc11146"/>
      <w:bookmarkStart w:id="1149" w:name="_Toc29245"/>
      <w:bookmarkStart w:id="1150" w:name="_Toc19829"/>
      <w:bookmarkStart w:id="1151" w:name="_Toc1229"/>
      <w:bookmarkStart w:id="1152" w:name="_Toc30500"/>
      <w:bookmarkStart w:id="1153" w:name="_Toc6429"/>
      <w:r>
        <w:rPr>
          <w:rFonts w:hint="eastAsia" w:ascii="仿宋" w:hAnsi="仿宋" w:eastAsia="仿宋" w:cs="仿宋"/>
          <w:b/>
          <w:bCs/>
          <w:sz w:val="21"/>
          <w:szCs w:val="21"/>
          <w:highlight w:val="none"/>
        </w:rPr>
        <w:t>一、投标人资格、资质性要求</w:t>
      </w:r>
      <w:bookmarkEnd w:id="1145"/>
      <w:bookmarkEnd w:id="1146"/>
      <w:bookmarkEnd w:id="1147"/>
      <w:bookmarkEnd w:id="1148"/>
      <w:bookmarkEnd w:id="1149"/>
      <w:bookmarkEnd w:id="1150"/>
      <w:bookmarkEnd w:id="1151"/>
      <w:bookmarkEnd w:id="1152"/>
      <w:bookmarkEnd w:id="1153"/>
    </w:p>
    <w:p>
      <w:pPr>
        <w:keepNext w:val="0"/>
        <w:keepLines w:val="0"/>
        <w:pageBreakBefore w:val="0"/>
        <w:widowControl/>
        <w:kinsoku/>
        <w:overflowPunct/>
        <w:topLinePunct w:val="0"/>
        <w:autoSpaceDE/>
        <w:autoSpaceDN/>
        <w:bidi w:val="0"/>
        <w:adjustRightInd/>
        <w:snapToGrid w:val="0"/>
        <w:spacing w:line="360" w:lineRule="auto"/>
        <w:ind w:firstLine="422" w:firstLineChars="200"/>
        <w:textAlignment w:val="auto"/>
        <w:rPr>
          <w:rFonts w:hint="eastAsia" w:ascii="仿宋" w:hAnsi="仿宋" w:eastAsia="仿宋" w:cs="仿宋"/>
          <w:b/>
          <w:bCs/>
          <w:sz w:val="21"/>
          <w:szCs w:val="21"/>
          <w:highlight w:val="none"/>
        </w:rPr>
      </w:pPr>
      <w:bookmarkStart w:id="1154" w:name="_Toc8282"/>
      <w:bookmarkStart w:id="1155" w:name="_Toc7446"/>
      <w:bookmarkStart w:id="1156" w:name="_Toc28389"/>
      <w:bookmarkStart w:id="1157" w:name="_Toc6578"/>
      <w:bookmarkStart w:id="1158" w:name="_Toc12347"/>
      <w:bookmarkStart w:id="1159" w:name="_Toc16558_WPSOffice_Level1"/>
      <w:bookmarkStart w:id="1160" w:name="_Toc21952_WPSOffice_Level1"/>
      <w:bookmarkStart w:id="1161" w:name="_Toc24052"/>
      <w:bookmarkStart w:id="1162" w:name="_Toc5004467"/>
      <w:r>
        <w:rPr>
          <w:rFonts w:hint="eastAsia" w:ascii="仿宋" w:hAnsi="仿宋" w:eastAsia="仿宋" w:cs="仿宋"/>
          <w:b/>
          <w:bCs/>
          <w:sz w:val="21"/>
          <w:szCs w:val="21"/>
          <w:highlight w:val="none"/>
        </w:rPr>
        <w:t>（一）符合《中华人民共和国政府采购法》第二十二条规定的条件；</w:t>
      </w:r>
    </w:p>
    <w:p>
      <w:pPr>
        <w:pStyle w:val="115"/>
        <w:keepNext w:val="0"/>
        <w:keepLines w:val="0"/>
        <w:pageBreakBefore w:val="0"/>
        <w:widowControl/>
        <w:kinsoku/>
        <w:overflowPunct/>
        <w:topLinePunct w:val="0"/>
        <w:autoSpaceDE/>
        <w:autoSpaceDN/>
        <w:bidi w:val="0"/>
        <w:adjustRightInd/>
        <w:snapToGrid w:val="0"/>
        <w:spacing w:line="360" w:lineRule="auto"/>
        <w:ind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1.具有独立承担民事责任的能力；</w:t>
      </w:r>
    </w:p>
    <w:p>
      <w:pPr>
        <w:pStyle w:val="115"/>
        <w:keepNext w:val="0"/>
        <w:keepLines w:val="0"/>
        <w:pageBreakBefore w:val="0"/>
        <w:widowControl/>
        <w:kinsoku/>
        <w:overflowPunct/>
        <w:topLinePunct w:val="0"/>
        <w:autoSpaceDE/>
        <w:autoSpaceDN/>
        <w:bidi w:val="0"/>
        <w:adjustRightInd/>
        <w:snapToGrid w:val="0"/>
        <w:spacing w:line="360" w:lineRule="auto"/>
        <w:ind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2.具有良好的商业信誉和健全的财务会计制度；</w:t>
      </w:r>
    </w:p>
    <w:p>
      <w:pPr>
        <w:pStyle w:val="115"/>
        <w:keepNext w:val="0"/>
        <w:keepLines w:val="0"/>
        <w:pageBreakBefore w:val="0"/>
        <w:widowControl/>
        <w:kinsoku/>
        <w:overflowPunct/>
        <w:topLinePunct w:val="0"/>
        <w:autoSpaceDE/>
        <w:autoSpaceDN/>
        <w:bidi w:val="0"/>
        <w:adjustRightInd/>
        <w:snapToGrid w:val="0"/>
        <w:spacing w:line="360" w:lineRule="auto"/>
        <w:ind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3.具有履行合同所必需的设备和专业技术能力；</w:t>
      </w:r>
    </w:p>
    <w:p>
      <w:pPr>
        <w:pStyle w:val="115"/>
        <w:keepNext w:val="0"/>
        <w:keepLines w:val="0"/>
        <w:pageBreakBefore w:val="0"/>
        <w:widowControl/>
        <w:kinsoku/>
        <w:overflowPunct/>
        <w:topLinePunct w:val="0"/>
        <w:autoSpaceDE/>
        <w:autoSpaceDN/>
        <w:bidi w:val="0"/>
        <w:adjustRightInd/>
        <w:snapToGrid w:val="0"/>
        <w:spacing w:line="360" w:lineRule="auto"/>
        <w:ind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4.有依法缴纳税收和社会保障资金的良好记录；</w:t>
      </w:r>
    </w:p>
    <w:p>
      <w:pPr>
        <w:pStyle w:val="115"/>
        <w:keepNext w:val="0"/>
        <w:keepLines w:val="0"/>
        <w:pageBreakBefore w:val="0"/>
        <w:widowControl/>
        <w:kinsoku/>
        <w:overflowPunct/>
        <w:topLinePunct w:val="0"/>
        <w:autoSpaceDE/>
        <w:autoSpaceDN/>
        <w:bidi w:val="0"/>
        <w:adjustRightInd/>
        <w:snapToGrid w:val="0"/>
        <w:spacing w:line="360" w:lineRule="auto"/>
        <w:ind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5.参加政府采购活动前三年内，在经营活动中没有重大违法记录；</w:t>
      </w:r>
    </w:p>
    <w:p>
      <w:pPr>
        <w:pStyle w:val="115"/>
        <w:keepNext w:val="0"/>
        <w:keepLines w:val="0"/>
        <w:pageBreakBefore w:val="0"/>
        <w:widowControl/>
        <w:kinsoku/>
        <w:overflowPunct/>
        <w:topLinePunct w:val="0"/>
        <w:autoSpaceDE/>
        <w:autoSpaceDN/>
        <w:bidi w:val="0"/>
        <w:adjustRightInd/>
        <w:snapToGrid w:val="0"/>
        <w:spacing w:line="360" w:lineRule="auto"/>
        <w:ind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6.法律、行政法规规定的其他条件。</w:t>
      </w:r>
    </w:p>
    <w:p>
      <w:pPr>
        <w:keepNext w:val="0"/>
        <w:keepLines w:val="0"/>
        <w:pageBreakBefore w:val="0"/>
        <w:widowControl/>
        <w:kinsoku/>
        <w:overflowPunct/>
        <w:topLinePunct w:val="0"/>
        <w:autoSpaceDE/>
        <w:autoSpaceDN/>
        <w:bidi w:val="0"/>
        <w:adjustRightInd/>
        <w:snapToGrid w:val="0"/>
        <w:spacing w:line="360" w:lineRule="auto"/>
        <w:ind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（二）</w:t>
      </w:r>
      <w:r>
        <w:rPr>
          <w:rFonts w:hint="eastAsia" w:ascii="仿宋" w:hAnsi="仿宋" w:eastAsia="仿宋" w:cs="仿宋"/>
          <w:b/>
          <w:sz w:val="21"/>
          <w:szCs w:val="21"/>
          <w:highlight w:val="none"/>
        </w:rPr>
        <w:t>本项目</w:t>
      </w:r>
      <w:r>
        <w:rPr>
          <w:rFonts w:hint="eastAsia" w:ascii="仿宋" w:hAnsi="仿宋" w:eastAsia="仿宋" w:cs="仿宋"/>
          <w:b/>
          <w:sz w:val="21"/>
          <w:szCs w:val="21"/>
          <w:highlight w:val="none"/>
          <w:u w:val="single"/>
        </w:rPr>
        <w:t>不接受</w:t>
      </w:r>
      <w:r>
        <w:rPr>
          <w:rFonts w:hint="eastAsia" w:ascii="仿宋" w:hAnsi="仿宋" w:eastAsia="仿宋" w:cs="仿宋"/>
          <w:b/>
          <w:sz w:val="21"/>
          <w:szCs w:val="21"/>
          <w:highlight w:val="none"/>
        </w:rPr>
        <w:t>联合体投标。</w:t>
      </w:r>
    </w:p>
    <w:p>
      <w:pPr>
        <w:keepNext w:val="0"/>
        <w:keepLines w:val="0"/>
        <w:pageBreakBefore w:val="0"/>
        <w:widowControl/>
        <w:kinsoku/>
        <w:overflowPunct/>
        <w:topLinePunct w:val="0"/>
        <w:autoSpaceDE/>
        <w:autoSpaceDN/>
        <w:bidi w:val="0"/>
        <w:adjustRightInd/>
        <w:snapToGrid w:val="0"/>
        <w:spacing w:line="360" w:lineRule="auto"/>
        <w:ind w:firstLine="422" w:firstLineChars="200"/>
        <w:textAlignment w:val="auto"/>
        <w:outlineLvl w:val="1"/>
        <w:rPr>
          <w:rFonts w:hint="eastAsia" w:ascii="仿宋" w:hAnsi="仿宋" w:eastAsia="仿宋" w:cs="仿宋"/>
          <w:b/>
          <w:bCs/>
          <w:sz w:val="21"/>
          <w:szCs w:val="21"/>
          <w:highlight w:val="none"/>
        </w:rPr>
      </w:pPr>
      <w:bookmarkStart w:id="1163" w:name="_Toc4425"/>
      <w:bookmarkStart w:id="1164" w:name="_Toc10994"/>
      <w:r>
        <w:rPr>
          <w:rFonts w:hint="eastAsia" w:ascii="仿宋" w:hAnsi="仿宋" w:eastAsia="仿宋" w:cs="仿宋"/>
          <w:b/>
          <w:bCs/>
          <w:sz w:val="21"/>
          <w:szCs w:val="21"/>
          <w:highlight w:val="none"/>
        </w:rPr>
        <w:t>二、其他类似效力要求</w:t>
      </w:r>
      <w:bookmarkEnd w:id="1154"/>
      <w:bookmarkEnd w:id="1155"/>
      <w:bookmarkEnd w:id="1156"/>
      <w:bookmarkEnd w:id="1163"/>
      <w:bookmarkEnd w:id="1164"/>
    </w:p>
    <w:p>
      <w:pPr>
        <w:keepNext w:val="0"/>
        <w:keepLines w:val="0"/>
        <w:pageBreakBefore w:val="0"/>
        <w:widowControl/>
        <w:kinsoku/>
        <w:overflowPunct/>
        <w:topLinePunct w:val="0"/>
        <w:autoSpaceDE/>
        <w:autoSpaceDN/>
        <w:bidi w:val="0"/>
        <w:adjustRightInd/>
        <w:snapToGrid w:val="0"/>
        <w:spacing w:line="360" w:lineRule="auto"/>
        <w:ind w:firstLine="420" w:firstLineChars="200"/>
        <w:jc w:val="both"/>
        <w:textAlignment w:val="auto"/>
        <w:rPr>
          <w:rFonts w:hint="eastAsia" w:ascii="仿宋" w:hAnsi="仿宋" w:eastAsia="仿宋" w:cs="仿宋"/>
          <w:sz w:val="21"/>
          <w:szCs w:val="21"/>
          <w:highlight w:val="none"/>
        </w:rPr>
      </w:pPr>
      <w:r>
        <w:rPr>
          <w:rFonts w:hint="eastAsia" w:ascii="仿宋" w:hAnsi="仿宋" w:eastAsia="仿宋" w:cs="仿宋"/>
          <w:bCs/>
          <w:sz w:val="21"/>
          <w:szCs w:val="21"/>
          <w:highlight w:val="none"/>
        </w:rPr>
        <w:t>（1）法定代表人/单位负责人身份证明（法定代表人/单位负责人投标时适用）；</w:t>
      </w:r>
    </w:p>
    <w:p>
      <w:pPr>
        <w:keepNext w:val="0"/>
        <w:keepLines w:val="0"/>
        <w:pageBreakBefore w:val="0"/>
        <w:widowControl/>
        <w:kinsoku/>
        <w:overflowPunct/>
        <w:topLinePunct w:val="0"/>
        <w:autoSpaceDE/>
        <w:autoSpaceDN/>
        <w:bidi w:val="0"/>
        <w:adjustRightInd/>
        <w:snapToGrid w:val="0"/>
        <w:spacing w:line="360" w:lineRule="auto"/>
        <w:ind w:firstLine="420" w:firstLineChars="200"/>
        <w:textAlignment w:val="auto"/>
        <w:rPr>
          <w:rFonts w:hint="eastAsia" w:ascii="仿宋" w:hAnsi="仿宋" w:eastAsia="仿宋" w:cs="仿宋"/>
          <w:bCs/>
          <w:sz w:val="21"/>
          <w:szCs w:val="21"/>
          <w:highlight w:val="none"/>
        </w:rPr>
      </w:pPr>
      <w:r>
        <w:rPr>
          <w:rFonts w:hint="eastAsia" w:ascii="仿宋" w:hAnsi="仿宋" w:eastAsia="仿宋" w:cs="仿宋"/>
          <w:bCs/>
          <w:sz w:val="21"/>
          <w:szCs w:val="21"/>
          <w:highlight w:val="none"/>
        </w:rPr>
        <w:t>（2）法定代表人/单位负责人授权委托书（授权委托人投标时适用）；</w:t>
      </w:r>
    </w:p>
    <w:p>
      <w:pPr>
        <w:pStyle w:val="126"/>
        <w:adjustRightInd w:val="0"/>
        <w:snapToGrid w:val="0"/>
        <w:spacing w:line="440" w:lineRule="exact"/>
        <w:ind w:firstLine="422" w:firstLineChars="200"/>
        <w:rPr>
          <w:rFonts w:hint="default" w:ascii="仿宋" w:hAnsi="仿宋" w:eastAsia="仿宋" w:cs="仿宋"/>
          <w:sz w:val="24"/>
          <w:highlight w:val="none"/>
          <w:lang w:val="en-US"/>
        </w:rPr>
      </w:pPr>
      <w:r>
        <w:rPr>
          <w:rFonts w:hint="eastAsia" w:ascii="仿宋" w:hAnsi="仿宋" w:eastAsia="仿宋" w:cs="仿宋"/>
          <w:b/>
          <w:bCs/>
          <w:sz w:val="21"/>
          <w:szCs w:val="21"/>
          <w:highlight w:val="none"/>
          <w:lang w:val="en-US" w:eastAsia="zh-CN" w:bidi="ar-SA"/>
        </w:rPr>
        <w:t>三、</w:t>
      </w:r>
      <w:r>
        <w:rPr>
          <w:rFonts w:hint="eastAsia" w:ascii="仿宋" w:hAnsi="仿宋" w:eastAsia="仿宋" w:cs="仿宋"/>
          <w:b/>
          <w:bCs/>
          <w:sz w:val="21"/>
          <w:szCs w:val="21"/>
          <w:highlight w:val="none"/>
          <w:lang w:val="zh-CN" w:eastAsia="zh-CN" w:bidi="ar-SA"/>
        </w:rPr>
        <w:t>落实政府采购政策需满足的资格要求：</w:t>
      </w:r>
      <w:r>
        <w:rPr>
          <w:rFonts w:hint="eastAsia" w:ascii="仿宋" w:hAnsi="仿宋" w:eastAsia="仿宋" w:cs="仿宋"/>
          <w:b/>
          <w:bCs/>
          <w:sz w:val="21"/>
          <w:szCs w:val="21"/>
          <w:highlight w:val="none"/>
          <w:lang w:val="en-US" w:eastAsia="zh-CN" w:bidi="ar-SA"/>
        </w:rPr>
        <w:t>无</w:t>
      </w:r>
    </w:p>
    <w:p>
      <w:pPr>
        <w:keepNext w:val="0"/>
        <w:keepLines w:val="0"/>
        <w:pageBreakBefore w:val="0"/>
        <w:widowControl/>
        <w:kinsoku/>
        <w:overflowPunct/>
        <w:topLinePunct w:val="0"/>
        <w:autoSpaceDE/>
        <w:autoSpaceDN/>
        <w:bidi w:val="0"/>
        <w:adjustRightInd/>
        <w:snapToGrid w:val="0"/>
        <w:spacing w:line="360" w:lineRule="auto"/>
        <w:ind w:firstLine="420" w:firstLineChars="200"/>
        <w:jc w:val="both"/>
        <w:textAlignment w:val="auto"/>
        <w:rPr>
          <w:rFonts w:hint="eastAsia" w:ascii="仿宋" w:hAnsi="仿宋" w:eastAsia="仿宋" w:cs="仿宋"/>
          <w:bCs/>
          <w:sz w:val="21"/>
          <w:szCs w:val="21"/>
          <w:highlight w:val="none"/>
          <w:lang w:eastAsia="zh-CN"/>
        </w:rPr>
      </w:pPr>
    </w:p>
    <w:p>
      <w:pPr>
        <w:spacing w:line="360" w:lineRule="exact"/>
        <w:ind w:firstLine="360" w:firstLineChars="200"/>
        <w:rPr>
          <w:rFonts w:hint="eastAsia" w:ascii="仿宋" w:hAnsi="仿宋" w:eastAsia="仿宋" w:cs="仿宋"/>
          <w:sz w:val="18"/>
          <w:szCs w:val="18"/>
          <w:highlight w:val="none"/>
        </w:rPr>
      </w:pPr>
      <w:bookmarkStart w:id="1165" w:name="_Toc18912"/>
    </w:p>
    <w:p>
      <w:pPr>
        <w:spacing w:line="360" w:lineRule="exact"/>
        <w:ind w:firstLine="360" w:firstLineChars="200"/>
        <w:rPr>
          <w:rFonts w:hint="eastAsia" w:ascii="仿宋" w:hAnsi="仿宋" w:eastAsia="仿宋" w:cs="仿宋"/>
          <w:sz w:val="18"/>
          <w:szCs w:val="18"/>
          <w:highlight w:val="none"/>
        </w:rPr>
      </w:pPr>
      <w:r>
        <w:rPr>
          <w:rFonts w:hint="eastAsia" w:ascii="仿宋" w:hAnsi="仿宋" w:eastAsia="仿宋" w:cs="仿宋"/>
          <w:sz w:val="18"/>
          <w:szCs w:val="18"/>
          <w:highlight w:val="none"/>
        </w:rPr>
        <w:t>注：1.本项目确定投标人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颁发的《四川省行政处罚听证程序规定》规定为准。</w:t>
      </w:r>
    </w:p>
    <w:p>
      <w:pPr>
        <w:widowControl w:val="0"/>
        <w:spacing w:line="360" w:lineRule="exact"/>
        <w:ind w:firstLine="360" w:firstLineChars="200"/>
        <w:rPr>
          <w:rFonts w:hint="eastAsia" w:ascii="仿宋" w:hAnsi="仿宋" w:eastAsia="仿宋" w:cs="仿宋"/>
          <w:sz w:val="18"/>
          <w:szCs w:val="18"/>
          <w:highlight w:val="none"/>
        </w:rPr>
        <w:sectPr>
          <w:pgSz w:w="11905" w:h="16838"/>
          <w:pgMar w:top="1440" w:right="1746" w:bottom="1440" w:left="1746" w:header="850" w:footer="992" w:gutter="0"/>
          <w:pgNumType w:fmt="decimal"/>
          <w:cols w:space="720" w:num="1"/>
          <w:titlePg/>
          <w:rtlGutter w:val="0"/>
          <w:docGrid w:linePitch="360" w:charSpace="0"/>
        </w:sectPr>
      </w:pPr>
      <w:r>
        <w:rPr>
          <w:rFonts w:hint="eastAsia" w:ascii="仿宋" w:hAnsi="仿宋" w:eastAsia="仿宋" w:cs="仿宋"/>
          <w:sz w:val="18"/>
          <w:szCs w:val="18"/>
          <w:highlight w:val="none"/>
        </w:rPr>
        <w:t>2.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spacing w:before="120" w:beforeLines="50"/>
        <w:rPr>
          <w:rFonts w:hint="eastAsia" w:ascii="仿宋" w:hAnsi="仿宋" w:eastAsia="仿宋" w:cs="仿宋"/>
          <w:highlight w:val="none"/>
        </w:rPr>
      </w:pPr>
      <w:bookmarkStart w:id="1166" w:name="_Toc14558"/>
      <w:bookmarkStart w:id="1167" w:name="_Toc20544"/>
      <w:bookmarkStart w:id="1168" w:name="_Toc1514"/>
      <w:bookmarkStart w:id="1169" w:name="_Toc9340_WPSOffice_Level1"/>
      <w:bookmarkStart w:id="1170" w:name="_Toc7047"/>
      <w:bookmarkStart w:id="1171" w:name="_Toc17751"/>
      <w:bookmarkStart w:id="1172" w:name="_Toc21716"/>
      <w:bookmarkStart w:id="1173" w:name="_Toc23891"/>
      <w:r>
        <w:rPr>
          <w:rFonts w:hint="eastAsia" w:ascii="仿宋" w:hAnsi="仿宋" w:eastAsia="仿宋" w:cs="仿宋"/>
          <w:szCs w:val="22"/>
          <w:highlight w:val="none"/>
        </w:rPr>
        <w:t>第五章 投标人应当提供的</w:t>
      </w:r>
      <w:r>
        <w:rPr>
          <w:rFonts w:hint="eastAsia" w:ascii="仿宋" w:hAnsi="仿宋" w:eastAsia="仿宋" w:cs="仿宋"/>
          <w:highlight w:val="none"/>
        </w:rPr>
        <w:t>资格、资质性及其他类似效力要求的相关证明材料</w:t>
      </w:r>
      <w:bookmarkEnd w:id="1157"/>
      <w:bookmarkEnd w:id="1158"/>
      <w:bookmarkEnd w:id="1159"/>
      <w:bookmarkEnd w:id="1160"/>
      <w:bookmarkEnd w:id="1161"/>
      <w:bookmarkEnd w:id="1162"/>
      <w:bookmarkEnd w:id="1165"/>
      <w:bookmarkEnd w:id="1166"/>
      <w:bookmarkEnd w:id="1167"/>
      <w:bookmarkEnd w:id="1168"/>
      <w:bookmarkEnd w:id="1169"/>
      <w:bookmarkEnd w:id="1170"/>
      <w:bookmarkEnd w:id="1171"/>
      <w:bookmarkEnd w:id="1172"/>
      <w:bookmarkEnd w:id="1173"/>
    </w:p>
    <w:p>
      <w:pPr>
        <w:spacing w:line="360" w:lineRule="auto"/>
        <w:ind w:firstLine="482" w:firstLineChars="200"/>
        <w:jc w:val="both"/>
        <w:outlineLvl w:val="1"/>
        <w:rPr>
          <w:rFonts w:hint="eastAsia" w:ascii="仿宋" w:hAnsi="仿宋" w:eastAsia="仿宋" w:cs="仿宋"/>
          <w:b/>
          <w:bCs/>
          <w:sz w:val="24"/>
          <w:szCs w:val="24"/>
          <w:highlight w:val="none"/>
        </w:rPr>
      </w:pPr>
      <w:bookmarkStart w:id="1174" w:name="_Toc20036"/>
      <w:bookmarkStart w:id="1175" w:name="_Toc11156"/>
      <w:bookmarkStart w:id="1176" w:name="_Toc27790"/>
      <w:bookmarkStart w:id="1177" w:name="_Toc335"/>
      <w:bookmarkStart w:id="1178" w:name="_Toc15245"/>
      <w:bookmarkStart w:id="1179" w:name="_Toc706"/>
      <w:bookmarkStart w:id="1180" w:name="_Toc30286"/>
      <w:bookmarkStart w:id="1181" w:name="_Toc15722"/>
      <w:r>
        <w:rPr>
          <w:rFonts w:hint="eastAsia" w:ascii="仿宋" w:hAnsi="仿宋" w:eastAsia="仿宋" w:cs="仿宋"/>
          <w:b/>
          <w:bCs/>
          <w:sz w:val="24"/>
          <w:szCs w:val="24"/>
          <w:highlight w:val="none"/>
        </w:rPr>
        <w:t>一、应当提供的投标人资格、资质性相关证明材料</w:t>
      </w:r>
      <w:bookmarkEnd w:id="1174"/>
      <w:bookmarkEnd w:id="1175"/>
      <w:bookmarkEnd w:id="1176"/>
      <w:bookmarkEnd w:id="1177"/>
      <w:bookmarkEnd w:id="1178"/>
      <w:bookmarkEnd w:id="1179"/>
      <w:bookmarkEnd w:id="1180"/>
      <w:bookmarkEnd w:id="1181"/>
    </w:p>
    <w:p>
      <w:pPr>
        <w:keepNext w:val="0"/>
        <w:keepLines w:val="0"/>
        <w:pageBreakBefore w:val="0"/>
        <w:widowControl/>
        <w:kinsoku/>
        <w:overflowPunct/>
        <w:topLinePunct w:val="0"/>
        <w:autoSpaceDE/>
        <w:autoSpaceDN/>
        <w:bidi w:val="0"/>
        <w:adjustRightInd/>
        <w:snapToGrid w:val="0"/>
        <w:spacing w:line="360" w:lineRule="auto"/>
        <w:ind w:firstLine="422" w:firstLineChars="200"/>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（一）符合《中华人民共和国政府采购法》第二十二条规定的条件；</w:t>
      </w:r>
    </w:p>
    <w:p>
      <w:pPr>
        <w:spacing w:line="360" w:lineRule="auto"/>
        <w:ind w:firstLine="422" w:firstLineChars="200"/>
        <w:jc w:val="both"/>
        <w:rPr>
          <w:rFonts w:hint="eastAsia" w:ascii="仿宋" w:hAnsi="仿宋" w:eastAsia="仿宋" w:cs="仿宋"/>
          <w:b/>
          <w:sz w:val="21"/>
          <w:szCs w:val="21"/>
          <w:highlight w:val="none"/>
        </w:rPr>
      </w:pPr>
      <w:bookmarkStart w:id="1182" w:name="_Toc13902"/>
      <w:bookmarkStart w:id="1183" w:name="_Toc8440"/>
      <w:r>
        <w:rPr>
          <w:rFonts w:hint="eastAsia" w:ascii="仿宋" w:hAnsi="仿宋" w:eastAsia="仿宋" w:cs="仿宋"/>
          <w:b/>
          <w:bCs/>
          <w:sz w:val="21"/>
          <w:szCs w:val="21"/>
          <w:highlight w:val="none"/>
          <w:lang w:val="en-US" w:eastAsia="zh-CN"/>
        </w:rPr>
        <w:t>1、</w:t>
      </w:r>
      <w:r>
        <w:rPr>
          <w:rFonts w:hint="eastAsia" w:ascii="仿宋" w:hAnsi="仿宋" w:eastAsia="仿宋" w:cs="仿宋"/>
          <w:b/>
          <w:sz w:val="21"/>
          <w:szCs w:val="21"/>
          <w:highlight w:val="none"/>
        </w:rPr>
        <w:t>具有独立承担民事责任的能力的证明材料</w:t>
      </w:r>
    </w:p>
    <w:p>
      <w:pPr>
        <w:spacing w:line="360" w:lineRule="auto"/>
        <w:ind w:firstLine="420" w:firstLineChars="200"/>
        <w:jc w:val="both"/>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1</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若为法人：提供“营业执照”副本，未换证的提供</w:t>
      </w:r>
      <w:r>
        <w:rPr>
          <w:rFonts w:hint="eastAsia" w:ascii="仿宋" w:hAnsi="仿宋" w:eastAsia="仿宋" w:cs="仿宋"/>
          <w:sz w:val="21"/>
          <w:szCs w:val="21"/>
          <w:highlight w:val="none"/>
        </w:rPr>
        <w:t>营业执照副本、组织机构代码证副本、税务登记证副本</w:t>
      </w:r>
      <w:r>
        <w:rPr>
          <w:rFonts w:hint="eastAsia" w:ascii="仿宋" w:hAnsi="仿宋" w:eastAsia="仿宋" w:cs="仿宋"/>
          <w:bCs/>
          <w:sz w:val="21"/>
          <w:szCs w:val="21"/>
          <w:highlight w:val="none"/>
        </w:rPr>
        <w:t>；</w:t>
      </w:r>
    </w:p>
    <w:p>
      <w:pPr>
        <w:spacing w:line="360" w:lineRule="auto"/>
        <w:ind w:firstLine="420" w:firstLineChars="200"/>
        <w:jc w:val="both"/>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2</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若为事业法人：提供有效的“</w:t>
      </w:r>
      <w:r>
        <w:rPr>
          <w:rFonts w:hint="eastAsia" w:ascii="仿宋" w:hAnsi="仿宋" w:eastAsia="仿宋" w:cs="仿宋"/>
          <w:sz w:val="21"/>
          <w:szCs w:val="21"/>
          <w:highlight w:val="none"/>
        </w:rPr>
        <w:t>统一社会信用代码法人登记证书</w:t>
      </w:r>
      <w:r>
        <w:rPr>
          <w:rFonts w:hint="eastAsia" w:ascii="仿宋" w:hAnsi="仿宋" w:eastAsia="仿宋" w:cs="仿宋"/>
          <w:bCs/>
          <w:sz w:val="21"/>
          <w:szCs w:val="21"/>
          <w:highlight w:val="none"/>
        </w:rPr>
        <w:t>”，未换证的提供“事业法人登记证书、组织机构代码证”；</w:t>
      </w:r>
    </w:p>
    <w:p>
      <w:pPr>
        <w:spacing w:line="360" w:lineRule="auto"/>
        <w:ind w:firstLine="420" w:firstLineChars="200"/>
        <w:jc w:val="both"/>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3</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若为其他组织：提供“对应主管部门颁发的准许执业证明文件或营业执照”；</w:t>
      </w:r>
    </w:p>
    <w:p>
      <w:pPr>
        <w:spacing w:line="360" w:lineRule="auto"/>
        <w:ind w:firstLine="420" w:firstLineChars="200"/>
        <w:jc w:val="both"/>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4</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若为自然人：提供“身份证明材料”；</w:t>
      </w:r>
    </w:p>
    <w:p>
      <w:pPr>
        <w:pStyle w:val="17"/>
        <w:spacing w:line="360" w:lineRule="auto"/>
        <w:ind w:left="0" w:firstLine="343" w:firstLineChars="190"/>
        <w:rPr>
          <w:rFonts w:hint="eastAsia" w:ascii="仿宋" w:hAnsi="仿宋" w:eastAsia="仿宋" w:cs="仿宋"/>
          <w:b/>
          <w:sz w:val="18"/>
          <w:szCs w:val="18"/>
          <w:highlight w:val="none"/>
        </w:rPr>
      </w:pPr>
      <w:r>
        <w:rPr>
          <w:rFonts w:hint="eastAsia" w:ascii="仿宋" w:hAnsi="仿宋" w:eastAsia="仿宋" w:cs="仿宋"/>
          <w:b/>
          <w:sz w:val="18"/>
          <w:szCs w:val="18"/>
          <w:highlight w:val="none"/>
        </w:rPr>
        <w:t>注：1.以上证明材料应满足此项要求：①发证机关有年检要求的，应按规定通过年检；②必须在有效期内；③复印件加盖投标人公章；</w:t>
      </w:r>
    </w:p>
    <w:p>
      <w:pPr>
        <w:pStyle w:val="17"/>
        <w:spacing w:line="360" w:lineRule="auto"/>
        <w:ind w:left="0" w:firstLine="342" w:firstLineChars="189"/>
        <w:rPr>
          <w:rFonts w:hint="eastAsia" w:ascii="仿宋" w:hAnsi="仿宋" w:eastAsia="仿宋" w:cs="仿宋"/>
          <w:b/>
          <w:sz w:val="18"/>
          <w:szCs w:val="18"/>
          <w:highlight w:val="none"/>
        </w:rPr>
      </w:pPr>
      <w:r>
        <w:rPr>
          <w:rFonts w:hint="eastAsia" w:ascii="仿宋" w:hAnsi="仿宋" w:eastAsia="仿宋" w:cs="仿宋"/>
          <w:b/>
          <w:sz w:val="18"/>
          <w:szCs w:val="18"/>
          <w:highlight w:val="none"/>
        </w:rPr>
        <w:t>2.投标人若已更换为三证合一的则提供营业执照副本复印件，事业单位提供事业单位法人证书，其他组织提供营业执照等证明文件，自然人提供身份证明均具备此条同等效力；</w:t>
      </w:r>
    </w:p>
    <w:p>
      <w:pPr>
        <w:pStyle w:val="17"/>
        <w:spacing w:line="360" w:lineRule="auto"/>
        <w:ind w:left="0" w:firstLine="343" w:firstLineChars="190"/>
        <w:rPr>
          <w:rFonts w:hint="eastAsia" w:ascii="仿宋" w:hAnsi="仿宋" w:eastAsia="仿宋" w:cs="仿宋"/>
          <w:b/>
          <w:sz w:val="18"/>
          <w:szCs w:val="18"/>
          <w:highlight w:val="none"/>
        </w:rPr>
      </w:pPr>
      <w:r>
        <w:rPr>
          <w:rFonts w:hint="eastAsia" w:ascii="仿宋" w:hAnsi="仿宋" w:eastAsia="仿宋" w:cs="仿宋"/>
          <w:b/>
          <w:sz w:val="18"/>
          <w:szCs w:val="18"/>
          <w:highlight w:val="none"/>
        </w:rPr>
        <w:t>3.根据国务院办公厅关于加快推进“多证合一”改革的指导意见（国办发【2017】41号）等政策要求，若资格要求涉及的登记、备案等有关事项和各类证照已实行多证合一导致投标人无法提供该类证明材料的，投标人须提供承诺，格式自拟。</w:t>
      </w:r>
    </w:p>
    <w:p>
      <w:pPr>
        <w:spacing w:before="120" w:beforeLines="50" w:line="360" w:lineRule="auto"/>
        <w:ind w:firstLine="422" w:firstLineChars="200"/>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2、</w:t>
      </w:r>
      <w:r>
        <w:rPr>
          <w:rFonts w:hint="eastAsia" w:ascii="仿宋" w:hAnsi="仿宋" w:eastAsia="仿宋" w:cs="仿宋"/>
          <w:b/>
          <w:bCs/>
          <w:sz w:val="21"/>
          <w:szCs w:val="21"/>
          <w:highlight w:val="none"/>
        </w:rPr>
        <w:t>具备良好商业信誉的证明材料</w:t>
      </w:r>
    </w:p>
    <w:p>
      <w:pPr>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提供承诺函（格式自拟）。</w:t>
      </w:r>
    </w:p>
    <w:p>
      <w:pPr>
        <w:pStyle w:val="2"/>
        <w:rPr>
          <w:rFonts w:hint="eastAsia"/>
        </w:rPr>
      </w:pPr>
    </w:p>
    <w:p>
      <w:pPr>
        <w:spacing w:before="120" w:beforeLines="50" w:line="360" w:lineRule="auto"/>
        <w:ind w:firstLine="422" w:firstLineChars="200"/>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3、</w:t>
      </w:r>
      <w:r>
        <w:rPr>
          <w:rFonts w:hint="eastAsia" w:ascii="仿宋" w:hAnsi="仿宋" w:eastAsia="仿宋" w:cs="仿宋"/>
          <w:b/>
          <w:bCs/>
          <w:sz w:val="21"/>
          <w:szCs w:val="21"/>
          <w:highlight w:val="none"/>
        </w:rPr>
        <w:t>具有健全的财务会计制度的证明材料</w:t>
      </w:r>
    </w:p>
    <w:p>
      <w:pPr>
        <w:spacing w:line="360" w:lineRule="auto"/>
        <w:ind w:firstLine="420" w:firstLineChars="200"/>
        <w:jc w:val="both"/>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1</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.投标人提供2019年度</w:t>
      </w:r>
      <w:r>
        <w:rPr>
          <w:rFonts w:hint="eastAsia" w:ascii="仿宋" w:hAnsi="仿宋" w:eastAsia="仿宋" w:cs="仿宋"/>
          <w:bCs/>
          <w:sz w:val="21"/>
          <w:szCs w:val="21"/>
          <w:highlight w:val="none"/>
          <w:lang w:eastAsia="zh-CN"/>
        </w:rPr>
        <w:t>或</w:t>
      </w:r>
      <w:r>
        <w:rPr>
          <w:rFonts w:hint="eastAsia" w:ascii="仿宋" w:hAnsi="仿宋" w:eastAsia="仿宋" w:cs="仿宋"/>
          <w:bCs/>
          <w:sz w:val="21"/>
          <w:szCs w:val="21"/>
          <w:highlight w:val="none"/>
          <w:lang w:val="en-US" w:eastAsia="zh-CN"/>
        </w:rPr>
        <w:t>2020年度或2021年度</w:t>
      </w:r>
      <w:r>
        <w:rPr>
          <w:rFonts w:hint="eastAsia" w:ascii="仿宋" w:hAnsi="仿宋" w:eastAsia="仿宋" w:cs="仿宋"/>
          <w:bCs/>
          <w:sz w:val="21"/>
          <w:szCs w:val="21"/>
          <w:highlight w:val="none"/>
        </w:rPr>
        <w:t>经过会计师事务所审计的有效财务报告复印件（经审计的有效财务报告应包括报告及报告中所附的完整内容，并需满足《财政部关于注册会计师在审计报告上签名盖章有关问题的通知》的要求）；</w:t>
      </w:r>
    </w:p>
    <w:p>
      <w:pPr>
        <w:spacing w:line="360" w:lineRule="auto"/>
        <w:ind w:firstLine="420" w:firstLineChars="200"/>
        <w:jc w:val="both"/>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2</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.投标人提供2019年度</w:t>
      </w:r>
      <w:r>
        <w:rPr>
          <w:rFonts w:hint="eastAsia" w:ascii="仿宋" w:hAnsi="仿宋" w:eastAsia="仿宋" w:cs="仿宋"/>
          <w:bCs/>
          <w:sz w:val="21"/>
          <w:szCs w:val="21"/>
          <w:highlight w:val="none"/>
          <w:lang w:eastAsia="zh-CN"/>
        </w:rPr>
        <w:t>或</w:t>
      </w:r>
      <w:r>
        <w:rPr>
          <w:rFonts w:hint="eastAsia" w:ascii="仿宋" w:hAnsi="仿宋" w:eastAsia="仿宋" w:cs="仿宋"/>
          <w:bCs/>
          <w:sz w:val="21"/>
          <w:szCs w:val="21"/>
          <w:highlight w:val="none"/>
          <w:lang w:val="en-US" w:eastAsia="zh-CN"/>
        </w:rPr>
        <w:t>2020年度或2021年度</w:t>
      </w:r>
      <w:r>
        <w:rPr>
          <w:rFonts w:hint="eastAsia" w:ascii="仿宋" w:hAnsi="仿宋" w:eastAsia="仿宋" w:cs="仿宋"/>
          <w:bCs/>
          <w:sz w:val="21"/>
          <w:szCs w:val="21"/>
          <w:highlight w:val="none"/>
        </w:rPr>
        <w:t>内部的财务报表复印件（至少包含资产负债表）；</w:t>
      </w:r>
    </w:p>
    <w:p>
      <w:pPr>
        <w:spacing w:line="360" w:lineRule="auto"/>
        <w:ind w:firstLine="420" w:firstLineChars="200"/>
        <w:jc w:val="both"/>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3</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.投标人提供距文件递交截止日一年内银行出具的资信证明（复印件）；</w:t>
      </w:r>
    </w:p>
    <w:p>
      <w:pPr>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4</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成立时间至递交投标文件截止时间为止不足1年的，可提供公司章程复印件；</w:t>
      </w:r>
    </w:p>
    <w:p>
      <w:pPr>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5</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.投标人为事业单位或其他组织（不具备法人条件的组织，如合伙组织、个体工商户、农村承包经营户等）或自然人时，可提供承诺函（格式自拟）。</w:t>
      </w:r>
    </w:p>
    <w:p>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注：具有健全的财务会计制度的证明材料中第1-5项具有同等的投标效力，</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可根据自身实际情况选择提供其中任意一项。</w:t>
      </w:r>
    </w:p>
    <w:p>
      <w:pPr>
        <w:spacing w:before="120" w:beforeLines="50" w:line="360" w:lineRule="auto"/>
        <w:ind w:firstLine="422" w:firstLineChars="200"/>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4、</w:t>
      </w:r>
      <w:r>
        <w:rPr>
          <w:rFonts w:hint="eastAsia" w:ascii="仿宋" w:hAnsi="仿宋" w:eastAsia="仿宋" w:cs="仿宋"/>
          <w:b/>
          <w:bCs/>
          <w:sz w:val="21"/>
          <w:szCs w:val="21"/>
          <w:highlight w:val="none"/>
        </w:rPr>
        <w:t>具有履行合同所必需的设备和专业技术能力的证明材料</w:t>
      </w:r>
    </w:p>
    <w:p>
      <w:pPr>
        <w:pStyle w:val="2"/>
        <w:spacing w:after="0" w:line="360" w:lineRule="auto"/>
        <w:ind w:firstLine="424" w:firstLineChars="202"/>
        <w:jc w:val="both"/>
        <w:rPr>
          <w:rFonts w:hint="eastAsia" w:ascii="仿宋" w:hAnsi="仿宋" w:eastAsia="仿宋" w:cs="仿宋"/>
          <w:highlight w:val="none"/>
        </w:rPr>
      </w:pP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1</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.自行提供相关证明材料；</w:t>
      </w:r>
    </w:p>
    <w:p>
      <w:pPr>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2</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.提供承诺函（格式自拟）。</w:t>
      </w:r>
    </w:p>
    <w:p>
      <w:pPr>
        <w:pStyle w:val="2"/>
        <w:spacing w:after="0" w:line="360" w:lineRule="auto"/>
        <w:ind w:firstLine="424" w:firstLineChars="202"/>
        <w:jc w:val="both"/>
        <w:rPr>
          <w:rFonts w:hint="eastAsia" w:ascii="仿宋" w:hAnsi="仿宋" w:eastAsia="仿宋" w:cs="仿宋"/>
          <w:bCs/>
          <w:sz w:val="21"/>
          <w:szCs w:val="21"/>
          <w:highlight w:val="none"/>
        </w:rPr>
      </w:pPr>
      <w:r>
        <w:rPr>
          <w:rFonts w:hint="eastAsia" w:ascii="仿宋" w:hAnsi="仿宋" w:eastAsia="仿宋" w:cs="仿宋"/>
          <w:sz w:val="21"/>
          <w:szCs w:val="21"/>
          <w:highlight w:val="none"/>
        </w:rPr>
        <w:t>注：具有履行合同所必需的设备和专业技术能力的证明材料中第1-2项具有同等的投标效力，</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可根据自身实际情况选择提供其中任意一项。</w:t>
      </w:r>
    </w:p>
    <w:p>
      <w:pPr>
        <w:spacing w:before="120" w:beforeLines="50" w:line="360" w:lineRule="auto"/>
        <w:ind w:firstLine="422" w:firstLineChars="200"/>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5、</w:t>
      </w:r>
      <w:r>
        <w:rPr>
          <w:rFonts w:hint="eastAsia" w:ascii="仿宋" w:hAnsi="仿宋" w:eastAsia="仿宋" w:cs="仿宋"/>
          <w:b/>
          <w:sz w:val="21"/>
          <w:szCs w:val="21"/>
          <w:highlight w:val="none"/>
        </w:rPr>
        <w:t>具有依法缴纳税收和社会保障资金的良好记录的证明材料</w:t>
      </w:r>
      <w:r>
        <w:rPr>
          <w:rFonts w:hint="eastAsia" w:ascii="仿宋" w:hAnsi="仿宋" w:eastAsia="仿宋" w:cs="仿宋"/>
          <w:b/>
          <w:bCs/>
          <w:sz w:val="21"/>
          <w:szCs w:val="21"/>
          <w:highlight w:val="none"/>
        </w:rPr>
        <w:t>；</w:t>
      </w:r>
    </w:p>
    <w:p>
      <w:pPr>
        <w:spacing w:line="360" w:lineRule="auto"/>
        <w:ind w:firstLine="420" w:firstLineChars="200"/>
        <w:jc w:val="both"/>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1</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.提供</w:t>
      </w:r>
      <w:r>
        <w:rPr>
          <w:rFonts w:hint="eastAsia" w:ascii="仿宋" w:hAnsi="仿宋" w:eastAsia="仿宋" w:cs="仿宋"/>
          <w:bCs/>
          <w:sz w:val="21"/>
          <w:szCs w:val="21"/>
          <w:highlight w:val="none"/>
          <w:u w:val="single"/>
        </w:rPr>
        <w:t xml:space="preserve"> 202</w:t>
      </w:r>
      <w:r>
        <w:rPr>
          <w:rFonts w:hint="eastAsia" w:ascii="仿宋" w:hAnsi="仿宋" w:eastAsia="仿宋" w:cs="仿宋"/>
          <w:bCs/>
          <w:sz w:val="21"/>
          <w:szCs w:val="21"/>
          <w:highlight w:val="none"/>
          <w:u w:val="single"/>
          <w:lang w:val="en-US" w:eastAsia="zh-CN"/>
        </w:rPr>
        <w:t>1</w:t>
      </w:r>
      <w:r>
        <w:rPr>
          <w:rFonts w:hint="eastAsia" w:ascii="仿宋" w:hAnsi="仿宋" w:eastAsia="仿宋" w:cs="仿宋"/>
          <w:bCs/>
          <w:sz w:val="21"/>
          <w:szCs w:val="21"/>
          <w:highlight w:val="none"/>
          <w:u w:val="single"/>
        </w:rPr>
        <w:t xml:space="preserve"> </w:t>
      </w:r>
      <w:r>
        <w:rPr>
          <w:rFonts w:hint="eastAsia" w:ascii="仿宋" w:hAnsi="仿宋" w:eastAsia="仿宋" w:cs="仿宋"/>
          <w:bCs/>
          <w:sz w:val="21"/>
          <w:szCs w:val="21"/>
          <w:highlight w:val="none"/>
        </w:rPr>
        <w:t>年以来</w:t>
      </w:r>
      <w:r>
        <w:rPr>
          <w:rFonts w:hint="eastAsia" w:ascii="仿宋" w:hAnsi="仿宋" w:eastAsia="仿宋" w:cs="仿宋"/>
          <w:bCs/>
          <w:sz w:val="21"/>
          <w:szCs w:val="21"/>
          <w:highlight w:val="none"/>
          <w:u w:val="single"/>
        </w:rPr>
        <w:t xml:space="preserve"> 任意</w:t>
      </w:r>
      <w:r>
        <w:rPr>
          <w:rFonts w:hint="eastAsia" w:ascii="仿宋" w:hAnsi="仿宋" w:eastAsia="仿宋" w:cs="仿宋"/>
          <w:bCs/>
          <w:sz w:val="21"/>
          <w:szCs w:val="21"/>
          <w:highlight w:val="none"/>
          <w:u w:val="single"/>
          <w:lang w:val="en-US" w:eastAsia="zh-CN"/>
        </w:rPr>
        <w:t>3</w:t>
      </w:r>
      <w:r>
        <w:rPr>
          <w:rFonts w:hint="eastAsia" w:ascii="仿宋" w:hAnsi="仿宋" w:eastAsia="仿宋" w:cs="仿宋"/>
          <w:bCs/>
          <w:sz w:val="21"/>
          <w:szCs w:val="21"/>
          <w:highlight w:val="none"/>
          <w:u w:val="single"/>
        </w:rPr>
        <w:t xml:space="preserve">个月 </w:t>
      </w:r>
      <w:r>
        <w:rPr>
          <w:rFonts w:hint="eastAsia" w:ascii="仿宋" w:hAnsi="仿宋" w:eastAsia="仿宋" w:cs="仿宋"/>
          <w:bCs/>
          <w:sz w:val="21"/>
          <w:szCs w:val="21"/>
          <w:highlight w:val="none"/>
        </w:rPr>
        <w:t>的缴纳税收和社保资金的相关证明材料复印件；</w:t>
      </w:r>
    </w:p>
    <w:p>
      <w:pPr>
        <w:pStyle w:val="2"/>
        <w:spacing w:after="0" w:line="360" w:lineRule="auto"/>
        <w:ind w:firstLine="424" w:firstLineChars="202"/>
        <w:jc w:val="both"/>
        <w:rPr>
          <w:rFonts w:hint="eastAsia" w:ascii="仿宋" w:hAnsi="仿宋" w:eastAsia="仿宋" w:cs="仿宋"/>
          <w:highlight w:val="none"/>
        </w:rPr>
      </w:pP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2</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rPr>
        <w:t>.提供承诺函（格式自拟）。</w:t>
      </w:r>
    </w:p>
    <w:p>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注：具有依法缴纳税收和社会保障资金的良好记录的证明材料中第1-2项具有同等的投标效力，</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可根据自身实际情况选择提供其中任意一项；依法免税或不需要缴纳社会保障资金的</w:t>
      </w:r>
      <w:r>
        <w:rPr>
          <w:rFonts w:hint="eastAsia" w:ascii="仿宋" w:hAnsi="仿宋" w:eastAsia="仿宋" w:cs="仿宋"/>
          <w:bCs/>
          <w:sz w:val="21"/>
          <w:szCs w:val="21"/>
          <w:highlight w:val="none"/>
        </w:rPr>
        <w:t>投标人</w:t>
      </w:r>
      <w:r>
        <w:rPr>
          <w:rFonts w:hint="eastAsia" w:ascii="仿宋" w:hAnsi="仿宋" w:eastAsia="仿宋" w:cs="仿宋"/>
          <w:sz w:val="21"/>
          <w:szCs w:val="21"/>
          <w:highlight w:val="none"/>
        </w:rPr>
        <w:t>，应提供相应文件证明其依法免税或不需要缴纳社会保障资金。</w:t>
      </w:r>
    </w:p>
    <w:p>
      <w:pPr>
        <w:spacing w:before="120" w:beforeLines="50" w:line="360" w:lineRule="exact"/>
        <w:ind w:firstLine="401" w:firstLineChars="190"/>
        <w:jc w:val="both"/>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6、</w:t>
      </w:r>
      <w:r>
        <w:rPr>
          <w:rFonts w:hint="eastAsia" w:ascii="仿宋" w:hAnsi="仿宋" w:eastAsia="仿宋" w:cs="仿宋"/>
          <w:b/>
          <w:bCs/>
          <w:sz w:val="21"/>
          <w:szCs w:val="21"/>
          <w:highlight w:val="none"/>
        </w:rPr>
        <w:t>参加本次政府采购活动前三年内，在经营活动中没有重大违法记录的证明材料</w:t>
      </w:r>
    </w:p>
    <w:p>
      <w:pPr>
        <w:spacing w:line="360" w:lineRule="exact"/>
        <w:ind w:firstLine="399" w:firstLineChars="190"/>
        <w:jc w:val="both"/>
        <w:rPr>
          <w:rFonts w:hint="eastAsia" w:ascii="仿宋" w:hAnsi="仿宋" w:eastAsia="仿宋" w:cs="仿宋"/>
          <w:bCs/>
          <w:sz w:val="21"/>
          <w:szCs w:val="21"/>
          <w:highlight w:val="none"/>
        </w:rPr>
      </w:pPr>
      <w:r>
        <w:rPr>
          <w:rFonts w:hint="eastAsia" w:ascii="仿宋" w:hAnsi="仿宋" w:eastAsia="仿宋" w:cs="仿宋"/>
          <w:bCs/>
          <w:sz w:val="21"/>
          <w:szCs w:val="21"/>
          <w:highlight w:val="none"/>
        </w:rPr>
        <w:t>提供承诺函（格式自拟）。</w:t>
      </w:r>
    </w:p>
    <w:p>
      <w:pPr>
        <w:spacing w:line="360" w:lineRule="exact"/>
        <w:ind w:firstLine="399" w:firstLineChars="19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注：成立不足三年的，从成立之日起计算。</w:t>
      </w:r>
    </w:p>
    <w:p>
      <w:pPr>
        <w:spacing w:before="120" w:beforeLines="50" w:line="360" w:lineRule="exact"/>
        <w:ind w:firstLine="401" w:firstLineChars="190"/>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en-US" w:eastAsia="zh-CN"/>
        </w:rPr>
        <w:t>7、</w:t>
      </w:r>
      <w:r>
        <w:rPr>
          <w:rFonts w:hint="eastAsia" w:ascii="仿宋" w:hAnsi="仿宋" w:eastAsia="仿宋" w:cs="仿宋"/>
          <w:b/>
          <w:bCs/>
          <w:sz w:val="21"/>
          <w:szCs w:val="21"/>
          <w:highlight w:val="none"/>
        </w:rPr>
        <w:t>具备法律、行政法规规定的其他条件的证明材料</w:t>
      </w:r>
    </w:p>
    <w:p>
      <w:pPr>
        <w:spacing w:before="120" w:beforeLines="50" w:line="360" w:lineRule="exact"/>
        <w:ind w:firstLine="399" w:firstLineChars="190"/>
        <w:rPr>
          <w:rFonts w:hint="eastAsia" w:ascii="仿宋" w:hAnsi="仿宋" w:eastAsia="仿宋" w:cs="仿宋"/>
          <w:bCs/>
          <w:sz w:val="21"/>
          <w:szCs w:val="21"/>
          <w:highlight w:val="none"/>
        </w:rPr>
      </w:pPr>
      <w:r>
        <w:rPr>
          <w:rFonts w:hint="eastAsia" w:ascii="仿宋" w:hAnsi="仿宋" w:eastAsia="仿宋" w:cs="仿宋"/>
          <w:bCs/>
          <w:sz w:val="21"/>
          <w:szCs w:val="21"/>
          <w:highlight w:val="none"/>
        </w:rPr>
        <w:t>提供承诺函（格式自拟）。</w:t>
      </w:r>
      <w:bookmarkStart w:id="1184" w:name="_Toc30065"/>
      <w:bookmarkStart w:id="1185" w:name="_Toc16509"/>
    </w:p>
    <w:p>
      <w:pPr>
        <w:pStyle w:val="2"/>
        <w:numPr>
          <w:ilvl w:val="0"/>
          <w:numId w:val="4"/>
        </w:numPr>
        <w:ind w:left="420"/>
        <w:rPr>
          <w:rFonts w:hint="eastAsia" w:ascii="仿宋" w:hAnsi="仿宋" w:eastAsia="仿宋" w:cs="仿宋"/>
          <w:b/>
          <w:sz w:val="21"/>
          <w:szCs w:val="21"/>
          <w:highlight w:val="none"/>
        </w:rPr>
      </w:pPr>
      <w:r>
        <w:rPr>
          <w:rFonts w:hint="eastAsia" w:ascii="仿宋" w:hAnsi="仿宋" w:eastAsia="仿宋" w:cs="仿宋"/>
          <w:b/>
          <w:sz w:val="21"/>
          <w:szCs w:val="21"/>
          <w:highlight w:val="none"/>
        </w:rPr>
        <w:t>本项目</w:t>
      </w:r>
      <w:r>
        <w:rPr>
          <w:rFonts w:hint="eastAsia" w:ascii="仿宋" w:hAnsi="仿宋" w:eastAsia="仿宋" w:cs="仿宋"/>
          <w:b/>
          <w:sz w:val="21"/>
          <w:szCs w:val="21"/>
          <w:highlight w:val="none"/>
          <w:u w:val="single"/>
        </w:rPr>
        <w:t>不接受</w:t>
      </w:r>
      <w:r>
        <w:rPr>
          <w:rFonts w:hint="eastAsia" w:ascii="仿宋" w:hAnsi="仿宋" w:eastAsia="仿宋" w:cs="仿宋"/>
          <w:b/>
          <w:sz w:val="21"/>
          <w:szCs w:val="21"/>
          <w:highlight w:val="none"/>
        </w:rPr>
        <w:t>联合体投标</w:t>
      </w:r>
    </w:p>
    <w:p>
      <w:pPr>
        <w:spacing w:before="120" w:beforeLines="50" w:line="360" w:lineRule="exact"/>
        <w:ind w:firstLine="399" w:firstLineChars="190"/>
        <w:rPr>
          <w:rFonts w:hint="eastAsia" w:ascii="仿宋" w:hAnsi="仿宋" w:eastAsia="仿宋" w:cs="仿宋"/>
          <w:bCs/>
          <w:sz w:val="21"/>
          <w:szCs w:val="21"/>
          <w:highlight w:val="none"/>
        </w:rPr>
      </w:pPr>
      <w:r>
        <w:rPr>
          <w:rFonts w:hint="eastAsia" w:ascii="仿宋" w:hAnsi="仿宋" w:eastAsia="仿宋" w:cs="仿宋"/>
          <w:bCs/>
          <w:sz w:val="21"/>
          <w:szCs w:val="21"/>
          <w:highlight w:val="none"/>
        </w:rPr>
        <w:t>提供承诺函（格式自拟）。</w:t>
      </w:r>
    </w:p>
    <w:p>
      <w:pPr>
        <w:numPr>
          <w:ilvl w:val="0"/>
          <w:numId w:val="0"/>
        </w:numPr>
        <w:ind w:left="420"/>
        <w:rPr>
          <w:rFonts w:hint="default"/>
          <w:lang w:val="en-US" w:eastAsia="zh-CN"/>
        </w:rPr>
      </w:pPr>
    </w:p>
    <w:p>
      <w:pPr>
        <w:spacing w:line="360" w:lineRule="exact"/>
        <w:ind w:firstLine="482" w:firstLineChars="200"/>
        <w:jc w:val="both"/>
        <w:outlineLvl w:val="1"/>
        <w:rPr>
          <w:rFonts w:hint="eastAsia" w:ascii="仿宋" w:hAnsi="仿宋" w:eastAsia="仿宋" w:cs="仿宋"/>
          <w:b/>
          <w:sz w:val="24"/>
          <w:szCs w:val="24"/>
          <w:highlight w:val="none"/>
        </w:rPr>
      </w:pPr>
      <w:bookmarkStart w:id="1186" w:name="_Toc6833"/>
      <w:bookmarkStart w:id="1187" w:name="_Toc32464"/>
      <w:r>
        <w:rPr>
          <w:rFonts w:hint="eastAsia" w:ascii="仿宋" w:hAnsi="仿宋" w:eastAsia="仿宋" w:cs="仿宋"/>
          <w:b/>
          <w:sz w:val="24"/>
          <w:szCs w:val="24"/>
          <w:highlight w:val="none"/>
        </w:rPr>
        <w:t>二、其他类似效力要求相关证明材料</w:t>
      </w:r>
      <w:bookmarkEnd w:id="1184"/>
      <w:bookmarkEnd w:id="1185"/>
      <w:bookmarkEnd w:id="1186"/>
      <w:bookmarkEnd w:id="1187"/>
    </w:p>
    <w:p>
      <w:pPr>
        <w:snapToGrid w:val="0"/>
        <w:spacing w:line="360" w:lineRule="exact"/>
        <w:ind w:firstLine="420" w:firstLineChars="200"/>
        <w:jc w:val="both"/>
        <w:rPr>
          <w:rFonts w:hint="eastAsia" w:ascii="仿宋" w:hAnsi="仿宋" w:eastAsia="仿宋" w:cs="仿宋"/>
          <w:highlight w:val="none"/>
        </w:rPr>
      </w:pPr>
      <w:r>
        <w:rPr>
          <w:rFonts w:hint="eastAsia" w:ascii="仿宋" w:hAnsi="仿宋" w:eastAsia="仿宋" w:cs="仿宋"/>
          <w:bCs/>
          <w:sz w:val="21"/>
          <w:szCs w:val="21"/>
          <w:highlight w:val="none"/>
        </w:rPr>
        <w:t>（1）法定代表人/单位负责人身份证明</w:t>
      </w:r>
      <w:r>
        <w:rPr>
          <w:rFonts w:hint="eastAsia" w:ascii="仿宋" w:hAnsi="仿宋" w:eastAsia="仿宋" w:cs="仿宋"/>
          <w:bCs/>
          <w:sz w:val="21"/>
          <w:szCs w:val="21"/>
          <w:highlight w:val="none"/>
          <w:lang w:val="en-US" w:eastAsia="zh-CN"/>
        </w:rPr>
        <w:t>书、法定代表人身份证复印件</w:t>
      </w:r>
      <w:r>
        <w:rPr>
          <w:rFonts w:hint="eastAsia" w:ascii="仿宋" w:hAnsi="仿宋" w:eastAsia="仿宋" w:cs="仿宋"/>
          <w:bCs/>
          <w:sz w:val="21"/>
          <w:szCs w:val="21"/>
          <w:highlight w:val="none"/>
        </w:rPr>
        <w:t>（法定代表人/单位负责人投标时适用）；</w:t>
      </w:r>
    </w:p>
    <w:p>
      <w:pPr>
        <w:snapToGrid w:val="0"/>
        <w:spacing w:line="360" w:lineRule="exact"/>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（2）法定代表人/单位负责人身份证明</w:t>
      </w:r>
      <w:r>
        <w:rPr>
          <w:rFonts w:hint="eastAsia" w:ascii="仿宋" w:hAnsi="仿宋" w:eastAsia="仿宋" w:cs="仿宋"/>
          <w:bCs/>
          <w:sz w:val="21"/>
          <w:szCs w:val="21"/>
          <w:highlight w:val="none"/>
          <w:lang w:val="en-US" w:eastAsia="zh-CN"/>
        </w:rPr>
        <w:t>书、</w:t>
      </w:r>
      <w:r>
        <w:rPr>
          <w:rFonts w:hint="eastAsia" w:ascii="仿宋" w:hAnsi="仿宋" w:eastAsia="仿宋" w:cs="仿宋"/>
          <w:bCs/>
          <w:sz w:val="21"/>
          <w:szCs w:val="21"/>
          <w:highlight w:val="none"/>
        </w:rPr>
        <w:t>法定代表人/单位负责人授权委托书</w:t>
      </w:r>
      <w:r>
        <w:rPr>
          <w:rFonts w:hint="eastAsia" w:ascii="仿宋" w:hAnsi="仿宋" w:eastAsia="仿宋" w:cs="仿宋"/>
          <w:bCs/>
          <w:sz w:val="21"/>
          <w:szCs w:val="21"/>
          <w:highlight w:val="none"/>
          <w:lang w:eastAsia="zh-CN"/>
        </w:rPr>
        <w:t>、</w:t>
      </w:r>
      <w:r>
        <w:rPr>
          <w:rFonts w:hint="eastAsia" w:ascii="仿宋" w:hAnsi="仿宋" w:eastAsia="仿宋" w:cs="仿宋"/>
          <w:bCs/>
          <w:sz w:val="21"/>
          <w:szCs w:val="21"/>
          <w:highlight w:val="none"/>
          <w:lang w:val="en-US" w:eastAsia="zh-CN"/>
        </w:rPr>
        <w:t>法定代表人及授权代表人身份证复印件</w:t>
      </w:r>
      <w:r>
        <w:rPr>
          <w:rFonts w:hint="eastAsia" w:ascii="仿宋" w:hAnsi="仿宋" w:eastAsia="仿宋" w:cs="仿宋"/>
          <w:bCs/>
          <w:sz w:val="21"/>
          <w:szCs w:val="21"/>
          <w:highlight w:val="none"/>
        </w:rPr>
        <w:t>（授权委托人投标时适用）；</w:t>
      </w:r>
    </w:p>
    <w:p>
      <w:pPr>
        <w:pStyle w:val="126"/>
        <w:adjustRightInd w:val="0"/>
        <w:snapToGrid w:val="0"/>
        <w:spacing w:line="440" w:lineRule="exact"/>
        <w:ind w:firstLine="422" w:firstLineChars="200"/>
        <w:rPr>
          <w:rFonts w:hint="default" w:ascii="仿宋" w:hAnsi="仿宋" w:eastAsia="仿宋" w:cs="仿宋"/>
          <w:sz w:val="24"/>
          <w:highlight w:val="none"/>
          <w:lang w:val="en-US"/>
        </w:rPr>
      </w:pPr>
      <w:r>
        <w:rPr>
          <w:rFonts w:hint="eastAsia" w:ascii="仿宋" w:hAnsi="仿宋" w:eastAsia="仿宋" w:cs="仿宋"/>
          <w:b/>
          <w:bCs/>
          <w:sz w:val="21"/>
          <w:szCs w:val="21"/>
          <w:highlight w:val="none"/>
          <w:lang w:val="en-US" w:eastAsia="zh-CN" w:bidi="ar-SA"/>
        </w:rPr>
        <w:t>三、</w:t>
      </w:r>
      <w:r>
        <w:rPr>
          <w:rFonts w:hint="eastAsia" w:ascii="仿宋" w:hAnsi="仿宋" w:eastAsia="仿宋" w:cs="仿宋"/>
          <w:b/>
          <w:bCs/>
          <w:sz w:val="21"/>
          <w:szCs w:val="21"/>
          <w:highlight w:val="none"/>
          <w:lang w:val="zh-CN" w:eastAsia="zh-CN" w:bidi="ar-SA"/>
        </w:rPr>
        <w:t>落实政府采购政策需满足的资格要求：</w:t>
      </w:r>
      <w:r>
        <w:rPr>
          <w:rFonts w:hint="eastAsia" w:ascii="仿宋" w:hAnsi="仿宋" w:eastAsia="仿宋" w:cs="仿宋"/>
          <w:b/>
          <w:bCs/>
          <w:sz w:val="21"/>
          <w:szCs w:val="21"/>
          <w:highlight w:val="none"/>
          <w:lang w:val="en-US" w:eastAsia="zh-CN" w:bidi="ar-SA"/>
        </w:rPr>
        <w:t>无</w:t>
      </w:r>
    </w:p>
    <w:bookmarkEnd w:id="1182"/>
    <w:bookmarkEnd w:id="1183"/>
    <w:p>
      <w:pPr>
        <w:widowControl w:val="0"/>
        <w:spacing w:line="360" w:lineRule="exact"/>
        <w:ind w:firstLine="420" w:firstLineChars="200"/>
        <w:rPr>
          <w:rFonts w:hint="eastAsia" w:ascii="仿宋" w:hAnsi="仿宋" w:eastAsia="仿宋" w:cs="仿宋"/>
          <w:sz w:val="21"/>
          <w:szCs w:val="21"/>
          <w:highlight w:val="none"/>
        </w:rPr>
      </w:pPr>
    </w:p>
    <w:p>
      <w:pPr>
        <w:widowControl w:val="0"/>
        <w:spacing w:line="360" w:lineRule="exact"/>
        <w:ind w:firstLine="360" w:firstLineChars="200"/>
        <w:rPr>
          <w:rFonts w:hint="eastAsia" w:ascii="仿宋" w:hAnsi="仿宋" w:eastAsia="仿宋" w:cs="仿宋"/>
          <w:sz w:val="18"/>
          <w:szCs w:val="18"/>
          <w:highlight w:val="none"/>
        </w:rPr>
      </w:pPr>
    </w:p>
    <w:p>
      <w:pPr>
        <w:widowControl w:val="0"/>
        <w:spacing w:line="360" w:lineRule="exact"/>
        <w:ind w:firstLine="360" w:firstLineChars="200"/>
        <w:rPr>
          <w:rFonts w:hint="eastAsia" w:ascii="仿宋" w:hAnsi="仿宋" w:eastAsia="仿宋" w:cs="仿宋"/>
          <w:sz w:val="18"/>
          <w:szCs w:val="18"/>
          <w:highlight w:val="none"/>
        </w:rPr>
      </w:pPr>
      <w:r>
        <w:rPr>
          <w:rFonts w:hint="eastAsia" w:ascii="仿宋" w:hAnsi="仿宋" w:eastAsia="仿宋" w:cs="仿宋"/>
          <w:sz w:val="18"/>
          <w:szCs w:val="18"/>
          <w:highlight w:val="none"/>
        </w:rPr>
        <w:t>注：1.本章要求提供的相关证明材料应当与第四章的规定要求对应，除投标人自愿以外，不能要求投标人提供额外的证明材料。如果要求提供额外的证明材料，投标人有权拒绝提供，且不影响响应文件的有效性和完整性。</w:t>
      </w:r>
    </w:p>
    <w:p>
      <w:pPr>
        <w:autoSpaceDE w:val="0"/>
        <w:autoSpaceDN w:val="0"/>
        <w:snapToGrid w:val="0"/>
        <w:spacing w:line="360" w:lineRule="exact"/>
        <w:ind w:firstLine="424" w:firstLineChars="236"/>
        <w:rPr>
          <w:rFonts w:hint="eastAsia" w:ascii="仿宋" w:hAnsi="仿宋" w:eastAsia="仿宋" w:cs="仿宋"/>
          <w:sz w:val="18"/>
          <w:szCs w:val="18"/>
          <w:highlight w:val="none"/>
        </w:rPr>
      </w:pPr>
      <w:r>
        <w:rPr>
          <w:rFonts w:hint="eastAsia" w:ascii="仿宋" w:hAnsi="仿宋" w:eastAsia="仿宋" w:cs="仿宋"/>
          <w:sz w:val="18"/>
          <w:szCs w:val="18"/>
          <w:highlight w:val="none"/>
        </w:rPr>
        <w:t>2.本章要求提供的相关证明材料应当结合采购项目具体情况和投标人的组织机构性质确定，不得一概而论。</w:t>
      </w:r>
    </w:p>
    <w:p>
      <w:pPr>
        <w:widowControl w:val="0"/>
        <w:spacing w:line="360" w:lineRule="exact"/>
        <w:ind w:firstLine="426" w:firstLineChars="236"/>
        <w:rPr>
          <w:rFonts w:hint="default" w:ascii="仿宋" w:hAnsi="仿宋" w:eastAsia="仿宋" w:cs="仿宋"/>
          <w:highlight w:val="none"/>
          <w:lang w:val="en-US" w:eastAsia="zh-CN"/>
        </w:rPr>
      </w:pPr>
      <w:r>
        <w:rPr>
          <w:rFonts w:hint="eastAsia" w:ascii="仿宋" w:hAnsi="仿宋" w:eastAsia="仿宋" w:cs="仿宋"/>
          <w:b/>
          <w:sz w:val="18"/>
          <w:szCs w:val="18"/>
          <w:highlight w:val="none"/>
        </w:rPr>
        <w:t>3.投标人若未将用于资格审查的证明材料装订入资格性投标文件的，视为未提供相应资格证明材料，资格审查将不予通过。</w:t>
      </w:r>
      <w:r>
        <w:rPr>
          <w:rFonts w:hint="eastAsia" w:ascii="仿宋" w:hAnsi="仿宋" w:eastAsia="仿宋" w:cs="仿宋"/>
          <w:b/>
          <w:sz w:val="18"/>
          <w:szCs w:val="18"/>
          <w:highlight w:val="none"/>
          <w:lang w:val="en-US" w:eastAsia="zh-CN"/>
        </w:rPr>
        <w:t>以上证明材料均需加盖投标人公章，否则视为无效。</w:t>
      </w:r>
    </w:p>
    <w:p>
      <w:pPr>
        <w:autoSpaceDE w:val="0"/>
        <w:autoSpaceDN w:val="0"/>
        <w:snapToGrid w:val="0"/>
        <w:spacing w:line="360" w:lineRule="auto"/>
        <w:ind w:firstLine="482"/>
        <w:rPr>
          <w:rFonts w:hint="eastAsia" w:ascii="仿宋" w:hAnsi="仿宋" w:eastAsia="仿宋" w:cs="仿宋"/>
          <w:bCs/>
          <w:sz w:val="18"/>
          <w:szCs w:val="18"/>
          <w:highlight w:val="none"/>
        </w:rPr>
        <w:sectPr>
          <w:pgSz w:w="11905" w:h="16838"/>
          <w:pgMar w:top="1440" w:right="1746" w:bottom="1440" w:left="1746" w:header="850" w:footer="992" w:gutter="0"/>
          <w:pgNumType w:fmt="decimal"/>
          <w:cols w:space="720" w:num="1"/>
          <w:titlePg/>
          <w:rtlGutter w:val="0"/>
          <w:docGrid w:linePitch="360" w:charSpace="0"/>
        </w:sectPr>
      </w:pPr>
    </w:p>
    <w:p>
      <w:pPr>
        <w:pStyle w:val="3"/>
        <w:numPr>
          <w:ilvl w:val="0"/>
          <w:numId w:val="5"/>
        </w:numPr>
        <w:spacing w:before="120" w:beforeLines="50" w:after="120" w:afterLines="50"/>
        <w:jc w:val="center"/>
        <w:rPr>
          <w:rFonts w:hint="eastAsia" w:ascii="仿宋" w:hAnsi="仿宋" w:eastAsia="仿宋" w:cs="仿宋"/>
          <w:highlight w:val="none"/>
        </w:rPr>
      </w:pPr>
      <w:bookmarkStart w:id="1188" w:name="page57"/>
      <w:bookmarkEnd w:id="1188"/>
      <w:bookmarkStart w:id="1189" w:name="_Toc16528"/>
      <w:bookmarkStart w:id="1190" w:name="_Toc21582"/>
      <w:bookmarkStart w:id="1191" w:name="_Toc27596"/>
      <w:r>
        <w:rPr>
          <w:rFonts w:hint="eastAsia" w:ascii="仿宋" w:hAnsi="仿宋" w:eastAsia="仿宋" w:cs="仿宋"/>
          <w:highlight w:val="none"/>
        </w:rPr>
        <w:t>招标项目技术、服务、政府采购合同内容条款及</w:t>
      </w:r>
    </w:p>
    <w:p>
      <w:pPr>
        <w:pStyle w:val="3"/>
        <w:numPr>
          <w:ilvl w:val="0"/>
          <w:numId w:val="0"/>
        </w:numPr>
        <w:spacing w:before="120" w:beforeLines="50" w:after="120" w:afterLines="50"/>
        <w:jc w:val="center"/>
        <w:rPr>
          <w:rFonts w:hint="eastAsia" w:ascii="仿宋" w:hAnsi="仿宋" w:eastAsia="仿宋" w:cs="仿宋"/>
          <w:highlight w:val="none"/>
        </w:rPr>
      </w:pPr>
      <w:r>
        <w:rPr>
          <w:rFonts w:hint="eastAsia" w:ascii="仿宋" w:hAnsi="仿宋" w:eastAsia="仿宋" w:cs="仿宋"/>
          <w:highlight w:val="none"/>
        </w:rPr>
        <w:t>其他商务要求</w:t>
      </w:r>
      <w:bookmarkEnd w:id="1189"/>
      <w:bookmarkEnd w:id="1190"/>
      <w:bookmarkEnd w:id="1191"/>
    </w:p>
    <w:p>
      <w:pPr>
        <w:jc w:val="center"/>
        <w:rPr>
          <w:rFonts w:hint="eastAsia" w:ascii="仿宋" w:hAnsi="仿宋" w:eastAsia="仿宋" w:cs="仿宋"/>
          <w:b/>
          <w:bCs/>
          <w:color w:val="auto"/>
          <w:highlight w:val="none"/>
          <w:lang w:eastAsia="zh-CN"/>
        </w:rPr>
      </w:pPr>
      <w:r>
        <w:rPr>
          <w:rFonts w:hint="eastAsia" w:ascii="仿宋" w:hAnsi="仿宋" w:eastAsia="仿宋" w:cs="仿宋"/>
          <w:b/>
          <w:bCs/>
          <w:color w:val="auto"/>
          <w:sz w:val="24"/>
          <w:szCs w:val="24"/>
          <w:highlight w:val="none"/>
          <w:lang w:eastAsia="zh-CN"/>
        </w:rPr>
        <w:t>注：带</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eastAsia="zh-CN"/>
        </w:rPr>
        <w:t>条款为实质性要求，不允许有偏离，如偏离将作为无效标处理。</w:t>
      </w:r>
    </w:p>
    <w:p>
      <w:pPr>
        <w:numPr>
          <w:ilvl w:val="0"/>
          <w:numId w:val="0"/>
        </w:numPr>
        <w:rPr>
          <w:rFonts w:hint="eastAsia" w:ascii="仿宋" w:hAnsi="仿宋" w:eastAsia="仿宋" w:cs="仿宋"/>
          <w:highlight w:val="none"/>
        </w:rPr>
      </w:pPr>
    </w:p>
    <w:p>
      <w:pPr>
        <w:pStyle w:val="4"/>
        <w:spacing w:line="400" w:lineRule="exact"/>
        <w:ind w:firstLine="236" w:firstLineChars="98"/>
        <w:rPr>
          <w:rFonts w:ascii="仿宋" w:hAnsi="仿宋" w:eastAsia="仿宋" w:cs="仿宋"/>
          <w:b/>
          <w:bCs/>
          <w:color w:val="auto"/>
          <w:sz w:val="24"/>
          <w:szCs w:val="24"/>
        </w:rPr>
      </w:pPr>
      <w:r>
        <w:rPr>
          <w:rFonts w:hint="eastAsia" w:ascii="仿宋" w:hAnsi="仿宋" w:eastAsia="仿宋" w:cs="仿宋"/>
          <w:b/>
          <w:bCs/>
          <w:color w:val="auto"/>
          <w:sz w:val="24"/>
          <w:szCs w:val="24"/>
        </w:rPr>
        <w:t>一、本项目“技术、服务要求”</w:t>
      </w:r>
    </w:p>
    <w:p>
      <w:pPr>
        <w:pStyle w:val="13"/>
        <w:spacing w:line="400" w:lineRule="exact"/>
        <w:ind w:left="0" w:leftChars="0" w:firstLine="0" w:firstLineChars="0"/>
        <w:rPr>
          <w:rFonts w:ascii="仿宋" w:hAnsi="仿宋" w:eastAsia="仿宋"/>
          <w:bCs/>
          <w:color w:val="auto"/>
          <w:sz w:val="24"/>
        </w:rPr>
      </w:pPr>
      <w:bookmarkStart w:id="1192" w:name="_Toc217446095"/>
      <w:r>
        <w:rPr>
          <w:rFonts w:hint="eastAsia" w:ascii="仿宋" w:hAnsi="仿宋" w:eastAsia="仿宋"/>
          <w:b/>
          <w:bCs/>
          <w:color w:val="auto"/>
          <w:sz w:val="24"/>
          <w:szCs w:val="24"/>
        </w:rPr>
        <w:t>*</w:t>
      </w:r>
      <w:r>
        <w:rPr>
          <w:rFonts w:ascii="仿宋" w:hAnsi="仿宋" w:eastAsia="仿宋"/>
          <w:bCs/>
          <w:color w:val="auto"/>
          <w:sz w:val="24"/>
        </w:rPr>
        <w:t>（一）</w:t>
      </w:r>
      <w:r>
        <w:rPr>
          <w:rFonts w:hint="eastAsia" w:ascii="仿宋" w:hAnsi="仿宋" w:eastAsia="仿宋"/>
          <w:bCs/>
          <w:color w:val="auto"/>
          <w:sz w:val="24"/>
        </w:rPr>
        <w:t>.项目</w:t>
      </w:r>
      <w:r>
        <w:rPr>
          <w:rFonts w:ascii="仿宋" w:hAnsi="仿宋" w:eastAsia="仿宋"/>
          <w:bCs/>
          <w:color w:val="auto"/>
          <w:sz w:val="24"/>
        </w:rPr>
        <w:t>概况</w:t>
      </w:r>
      <w:r>
        <w:rPr>
          <w:rFonts w:hint="eastAsia" w:ascii="仿宋" w:hAnsi="仿宋" w:eastAsia="仿宋"/>
          <w:bCs/>
          <w:color w:val="auto"/>
          <w:sz w:val="24"/>
        </w:rPr>
        <w:t>：</w:t>
      </w:r>
    </w:p>
    <w:p>
      <w:pPr>
        <w:pStyle w:val="13"/>
        <w:spacing w:line="400" w:lineRule="exact"/>
        <w:ind w:left="0" w:leftChars="0" w:firstLine="0" w:firstLineChars="0"/>
        <w:rPr>
          <w:rFonts w:ascii="仿宋" w:hAnsi="仿宋" w:eastAsia="仿宋"/>
          <w:bCs/>
          <w:color w:val="auto"/>
          <w:sz w:val="24"/>
        </w:rPr>
      </w:pPr>
      <w:r>
        <w:rPr>
          <w:rFonts w:hint="eastAsia" w:ascii="仿宋" w:hAnsi="仿宋" w:eastAsia="仿宋"/>
          <w:bCs/>
          <w:color w:val="auto"/>
          <w:sz w:val="24"/>
        </w:rPr>
        <w:t>1.本项目4个包，采购智慧灯光提升工程设备一批。</w:t>
      </w:r>
    </w:p>
    <w:tbl>
      <w:tblPr>
        <w:tblStyle w:val="38"/>
        <w:tblW w:w="8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975"/>
        <w:gridCol w:w="1056"/>
        <w:gridCol w:w="1006"/>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91"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包号</w:t>
            </w:r>
          </w:p>
        </w:tc>
        <w:tc>
          <w:tcPr>
            <w:tcW w:w="3975"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学校名称</w:t>
            </w:r>
          </w:p>
        </w:tc>
        <w:tc>
          <w:tcPr>
            <w:tcW w:w="105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L</w:t>
            </w:r>
            <w:r>
              <w:rPr>
                <w:rFonts w:hint="default" w:ascii="仿宋" w:hAnsi="仿宋" w:eastAsia="仿宋" w:cs="Times New Roman"/>
                <w:color w:val="auto"/>
                <w:sz w:val="20"/>
                <w:szCs w:val="20"/>
              </w:rPr>
              <w:t>ED</w:t>
            </w:r>
            <w:r>
              <w:rPr>
                <w:rFonts w:hint="eastAsia" w:ascii="仿宋" w:hAnsi="仿宋" w:eastAsia="仿宋" w:cs="Times New Roman"/>
                <w:color w:val="auto"/>
                <w:sz w:val="20"/>
                <w:szCs w:val="20"/>
              </w:rPr>
              <w:t>教室灯（套）</w:t>
            </w:r>
          </w:p>
        </w:tc>
        <w:tc>
          <w:tcPr>
            <w:tcW w:w="100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L</w:t>
            </w:r>
            <w:r>
              <w:rPr>
                <w:rFonts w:hint="default" w:ascii="仿宋" w:hAnsi="仿宋" w:eastAsia="仿宋" w:cs="Times New Roman"/>
                <w:color w:val="auto"/>
                <w:sz w:val="20"/>
                <w:szCs w:val="20"/>
              </w:rPr>
              <w:t>ED</w:t>
            </w:r>
            <w:r>
              <w:rPr>
                <w:rFonts w:hint="eastAsia" w:ascii="仿宋" w:hAnsi="仿宋" w:eastAsia="仿宋" w:cs="Times New Roman"/>
                <w:color w:val="auto"/>
                <w:sz w:val="20"/>
                <w:szCs w:val="20"/>
              </w:rPr>
              <w:t>黑板灯（套）</w:t>
            </w:r>
          </w:p>
        </w:tc>
        <w:tc>
          <w:tcPr>
            <w:tcW w:w="1272"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最高限额（万元）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0</w:t>
            </w:r>
            <w:r>
              <w:rPr>
                <w:rFonts w:hint="default" w:ascii="仿宋" w:hAnsi="仿宋" w:eastAsia="仿宋" w:cs="Times New Roman"/>
                <w:color w:val="auto"/>
                <w:sz w:val="20"/>
                <w:szCs w:val="20"/>
              </w:rPr>
              <w:t>1包</w:t>
            </w:r>
          </w:p>
        </w:tc>
        <w:tc>
          <w:tcPr>
            <w:tcW w:w="3975"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both"/>
              <w:rPr>
                <w:rFonts w:hint="default" w:ascii="仿宋" w:hAnsi="仿宋" w:eastAsia="仿宋" w:cs="Times New Roman"/>
                <w:color w:val="auto"/>
                <w:sz w:val="20"/>
                <w:szCs w:val="20"/>
              </w:rPr>
            </w:pPr>
            <w:r>
              <w:rPr>
                <w:rFonts w:hint="eastAsia" w:ascii="仿宋" w:hAnsi="仿宋" w:eastAsia="仿宋" w:cs="Times New Roman"/>
                <w:color w:val="auto"/>
                <w:sz w:val="20"/>
                <w:szCs w:val="20"/>
              </w:rPr>
              <w:t>彭州中学、彭州市濛阳中学、成都石室白马中学、彭州一中</w:t>
            </w:r>
          </w:p>
        </w:tc>
        <w:tc>
          <w:tcPr>
            <w:tcW w:w="105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4207</w:t>
            </w:r>
          </w:p>
        </w:tc>
        <w:tc>
          <w:tcPr>
            <w:tcW w:w="100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rPr>
            </w:pPr>
            <w:r>
              <w:rPr>
                <w:rFonts w:hint="eastAsia" w:ascii="仿宋" w:hAnsi="仿宋" w:eastAsia="仿宋" w:cs="宋体"/>
                <w:color w:val="auto"/>
                <w:sz w:val="20"/>
                <w:szCs w:val="20"/>
              </w:rPr>
              <w:t>963</w:t>
            </w:r>
          </w:p>
        </w:tc>
        <w:tc>
          <w:tcPr>
            <w:tcW w:w="1272"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lang w:bidi="ar"/>
              </w:rPr>
            </w:pPr>
            <w:r>
              <w:rPr>
                <w:rFonts w:hint="eastAsia" w:ascii="仿宋" w:hAnsi="仿宋" w:eastAsia="仿宋" w:cs="宋体"/>
                <w:color w:val="auto"/>
                <w:sz w:val="20"/>
                <w:szCs w:val="20"/>
                <w:lang w:bidi="ar"/>
              </w:rPr>
              <w:t>586.1065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0</w:t>
            </w:r>
            <w:r>
              <w:rPr>
                <w:rFonts w:hint="default" w:ascii="仿宋" w:hAnsi="仿宋" w:eastAsia="仿宋" w:cs="Times New Roman"/>
                <w:color w:val="auto"/>
                <w:sz w:val="20"/>
                <w:szCs w:val="20"/>
              </w:rPr>
              <w:t>2包</w:t>
            </w:r>
          </w:p>
        </w:tc>
        <w:tc>
          <w:tcPr>
            <w:tcW w:w="3975"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both"/>
              <w:rPr>
                <w:rFonts w:hint="default" w:ascii="仿宋" w:hAnsi="仿宋" w:eastAsia="仿宋" w:cs="Times New Roman"/>
                <w:color w:val="auto"/>
                <w:sz w:val="20"/>
                <w:szCs w:val="20"/>
              </w:rPr>
            </w:pPr>
            <w:r>
              <w:rPr>
                <w:rFonts w:hint="eastAsia" w:ascii="仿宋" w:hAnsi="仿宋" w:eastAsia="仿宋" w:cs="Times New Roman"/>
                <w:color w:val="auto"/>
                <w:sz w:val="20"/>
                <w:szCs w:val="20"/>
              </w:rPr>
              <w:t>彭州市实验小学、彭州市延秀小学、彭州市天府路小学</w:t>
            </w:r>
          </w:p>
        </w:tc>
        <w:tc>
          <w:tcPr>
            <w:tcW w:w="105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3151</w:t>
            </w:r>
          </w:p>
        </w:tc>
        <w:tc>
          <w:tcPr>
            <w:tcW w:w="100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rPr>
            </w:pPr>
            <w:r>
              <w:rPr>
                <w:rFonts w:hint="eastAsia" w:ascii="仿宋" w:hAnsi="仿宋" w:eastAsia="仿宋" w:cs="宋体"/>
                <w:color w:val="auto"/>
                <w:sz w:val="20"/>
                <w:szCs w:val="20"/>
              </w:rPr>
              <w:t>879</w:t>
            </w:r>
          </w:p>
        </w:tc>
        <w:tc>
          <w:tcPr>
            <w:tcW w:w="1272"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lang w:bidi="ar"/>
              </w:rPr>
            </w:pPr>
            <w:r>
              <w:rPr>
                <w:rFonts w:hint="eastAsia" w:ascii="仿宋" w:hAnsi="仿宋" w:eastAsia="仿宋" w:cs="宋体"/>
                <w:color w:val="auto"/>
                <w:sz w:val="20"/>
                <w:szCs w:val="20"/>
                <w:lang w:bidi="ar"/>
              </w:rPr>
              <w:t>461.3705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0</w:t>
            </w:r>
            <w:r>
              <w:rPr>
                <w:rFonts w:hint="default" w:ascii="仿宋" w:hAnsi="仿宋" w:eastAsia="仿宋" w:cs="Times New Roman"/>
                <w:color w:val="auto"/>
                <w:sz w:val="20"/>
                <w:szCs w:val="20"/>
              </w:rPr>
              <w:t>3包</w:t>
            </w:r>
          </w:p>
        </w:tc>
        <w:tc>
          <w:tcPr>
            <w:tcW w:w="3975"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both"/>
              <w:rPr>
                <w:rFonts w:hint="default" w:ascii="仿宋" w:hAnsi="仿宋" w:eastAsia="仿宋" w:cs="Times New Roman"/>
                <w:color w:val="auto"/>
                <w:sz w:val="20"/>
                <w:szCs w:val="20"/>
              </w:rPr>
            </w:pPr>
            <w:r>
              <w:rPr>
                <w:rFonts w:hint="eastAsia" w:ascii="仿宋" w:hAnsi="仿宋" w:eastAsia="仿宋" w:cs="Times New Roman"/>
                <w:color w:val="auto"/>
                <w:sz w:val="20"/>
                <w:szCs w:val="20"/>
              </w:rPr>
              <w:t>成都石化工业学校、彭州市机关幼儿园、彭州市南街幼儿园、彭州市实验幼儿园、彭州市学海湖幼儿园</w:t>
            </w:r>
          </w:p>
        </w:tc>
        <w:tc>
          <w:tcPr>
            <w:tcW w:w="105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4582</w:t>
            </w:r>
          </w:p>
        </w:tc>
        <w:tc>
          <w:tcPr>
            <w:tcW w:w="100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rPr>
            </w:pPr>
            <w:r>
              <w:rPr>
                <w:rFonts w:hint="eastAsia" w:ascii="仿宋" w:hAnsi="仿宋" w:eastAsia="仿宋" w:cs="宋体"/>
                <w:color w:val="auto"/>
                <w:sz w:val="20"/>
                <w:szCs w:val="20"/>
              </w:rPr>
              <w:t>297</w:t>
            </w:r>
          </w:p>
        </w:tc>
        <w:tc>
          <w:tcPr>
            <w:tcW w:w="1272"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lang w:val="en-US" w:eastAsia="zh-CN" w:bidi="ar"/>
              </w:rPr>
            </w:pPr>
            <w:r>
              <w:rPr>
                <w:rFonts w:hint="eastAsia" w:ascii="仿宋" w:hAnsi="仿宋" w:eastAsia="仿宋" w:cs="宋体"/>
                <w:color w:val="auto"/>
                <w:sz w:val="20"/>
                <w:szCs w:val="20"/>
                <w:lang w:bidi="ar"/>
              </w:rPr>
              <w:t>569.</w:t>
            </w:r>
            <w:r>
              <w:rPr>
                <w:rFonts w:hint="eastAsia" w:ascii="仿宋" w:hAnsi="仿宋" w:eastAsia="仿宋" w:cs="宋体"/>
                <w:color w:val="auto"/>
                <w:sz w:val="20"/>
                <w:szCs w:val="20"/>
                <w:lang w:val="en-US" w:eastAsia="zh-CN" w:bidi="ar"/>
              </w:rPr>
              <w:t>4625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1"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0</w:t>
            </w:r>
            <w:r>
              <w:rPr>
                <w:rFonts w:hint="default" w:ascii="仿宋" w:hAnsi="仿宋" w:eastAsia="仿宋" w:cs="Times New Roman"/>
                <w:color w:val="auto"/>
                <w:sz w:val="20"/>
                <w:szCs w:val="20"/>
              </w:rPr>
              <w:t>4包</w:t>
            </w:r>
          </w:p>
        </w:tc>
        <w:tc>
          <w:tcPr>
            <w:tcW w:w="3975"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both"/>
              <w:rPr>
                <w:rFonts w:hint="default" w:ascii="仿宋" w:hAnsi="仿宋" w:eastAsia="仿宋" w:cs="Times New Roman"/>
                <w:color w:val="auto"/>
                <w:sz w:val="20"/>
                <w:szCs w:val="20"/>
              </w:rPr>
            </w:pPr>
            <w:r>
              <w:rPr>
                <w:rFonts w:hint="eastAsia" w:ascii="仿宋" w:hAnsi="仿宋" w:eastAsia="仿宋" w:cs="Times New Roman"/>
                <w:color w:val="auto"/>
                <w:sz w:val="20"/>
                <w:szCs w:val="20"/>
              </w:rPr>
              <w:t>彭州市东城小学、彭州市致和小学、彭州中学附属小学、彭州一中实验学校、彭州中学实验学校、彭州市致和中学</w:t>
            </w:r>
          </w:p>
        </w:tc>
        <w:tc>
          <w:tcPr>
            <w:tcW w:w="105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2561</w:t>
            </w:r>
          </w:p>
        </w:tc>
        <w:tc>
          <w:tcPr>
            <w:tcW w:w="1006"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rPr>
            </w:pPr>
            <w:r>
              <w:rPr>
                <w:rFonts w:hint="eastAsia" w:ascii="仿宋" w:hAnsi="仿宋" w:eastAsia="仿宋" w:cs="宋体"/>
                <w:color w:val="auto"/>
                <w:sz w:val="20"/>
                <w:szCs w:val="20"/>
              </w:rPr>
              <w:t>654</w:t>
            </w:r>
          </w:p>
        </w:tc>
        <w:tc>
          <w:tcPr>
            <w:tcW w:w="1272" w:type="dxa"/>
            <w:noWrap w:val="0"/>
            <w:vAlign w:val="center"/>
          </w:tcPr>
          <w:p>
            <w:pPr>
              <w:keepNext w:val="0"/>
              <w:keepLines w:val="0"/>
              <w:widowControl/>
              <w:suppressLineNumbers w:val="0"/>
              <w:autoSpaceDE/>
              <w:autoSpaceDN/>
              <w:spacing w:before="0" w:beforeAutospacing="0" w:after="0" w:afterAutospacing="0" w:line="240" w:lineRule="auto"/>
              <w:ind w:left="0" w:right="0" w:firstLine="0"/>
              <w:jc w:val="center"/>
              <w:textAlignment w:val="center"/>
              <w:rPr>
                <w:rFonts w:hint="default" w:ascii="仿宋" w:hAnsi="仿宋" w:eastAsia="仿宋" w:cs="宋体"/>
                <w:color w:val="auto"/>
                <w:sz w:val="20"/>
                <w:szCs w:val="20"/>
                <w:lang w:bidi="ar"/>
              </w:rPr>
            </w:pPr>
            <w:r>
              <w:rPr>
                <w:rFonts w:hint="eastAsia" w:ascii="仿宋" w:hAnsi="仿宋" w:eastAsia="仿宋" w:cs="宋体"/>
                <w:color w:val="auto"/>
                <w:sz w:val="20"/>
                <w:szCs w:val="20"/>
                <w:lang w:bidi="ar"/>
              </w:rPr>
              <w:t>377.3325</w:t>
            </w:r>
          </w:p>
        </w:tc>
      </w:tr>
    </w:tbl>
    <w:p>
      <w:pPr>
        <w:pStyle w:val="13"/>
        <w:spacing w:line="400" w:lineRule="exact"/>
        <w:ind w:left="0" w:leftChars="0" w:firstLine="0" w:firstLineChars="0"/>
        <w:rPr>
          <w:rFonts w:ascii="仿宋" w:hAnsi="仿宋" w:eastAsia="仿宋"/>
          <w:bCs/>
          <w:color w:val="auto"/>
          <w:sz w:val="24"/>
        </w:rPr>
      </w:pPr>
      <w:r>
        <w:rPr>
          <w:rFonts w:hint="eastAsia" w:ascii="仿宋" w:hAnsi="仿宋" w:eastAsia="仿宋"/>
          <w:bCs/>
          <w:color w:val="auto"/>
          <w:sz w:val="24"/>
        </w:rPr>
        <w:t>2.为有效改善学校教学场所采光和照明质量，协同构建儿童青少年近视防控体系，根据《成都市教育局等三部门关于印发成都市中小学（幼儿园）光环境提升工程实施方案的通知》（成教办〔2021〕10号）文件要求，我市对全市部分公办中小学校(幼儿园)主要教学场室(教室、功能室、图书阅览室)进行改善提升，使全市中小学校(幼儿园)教育教学主要场室采光和照明符合国家标准，切实改善提升学校学习环境。</w:t>
      </w:r>
    </w:p>
    <w:p/>
    <w:p>
      <w:pPr>
        <w:pStyle w:val="4"/>
        <w:spacing w:line="240" w:lineRule="auto"/>
        <w:ind w:firstLine="236" w:firstLineChars="98"/>
        <w:rPr>
          <w:rFonts w:ascii="仿宋" w:hAnsi="仿宋" w:eastAsia="仿宋"/>
          <w:b/>
          <w:bCs/>
          <w:color w:val="auto"/>
          <w:sz w:val="24"/>
          <w:szCs w:val="24"/>
        </w:rPr>
      </w:pPr>
      <w:r>
        <w:rPr>
          <w:rFonts w:hint="eastAsia" w:ascii="仿宋" w:hAnsi="仿宋" w:eastAsia="仿宋"/>
          <w:b/>
          <w:bCs/>
          <w:color w:val="auto"/>
          <w:sz w:val="24"/>
          <w:szCs w:val="24"/>
        </w:rPr>
        <w:t>*二.商务要求</w:t>
      </w:r>
    </w:p>
    <w:p>
      <w:pPr>
        <w:pStyle w:val="13"/>
        <w:ind w:left="0" w:leftChars="0" w:firstLine="0" w:firstLineChars="0"/>
        <w:rPr>
          <w:rFonts w:ascii="仿宋" w:hAnsi="仿宋" w:eastAsia="仿宋"/>
          <w:bCs/>
          <w:color w:val="auto"/>
          <w:sz w:val="24"/>
        </w:rPr>
      </w:pPr>
      <w:r>
        <w:rPr>
          <w:rFonts w:hint="eastAsia" w:ascii="仿宋" w:hAnsi="仿宋" w:eastAsia="仿宋"/>
          <w:bCs/>
          <w:color w:val="auto"/>
          <w:sz w:val="24"/>
        </w:rPr>
        <w:t>（一）交货时间及地点</w:t>
      </w:r>
    </w:p>
    <w:p>
      <w:pPr>
        <w:pStyle w:val="119"/>
        <w:wordWrap w:val="0"/>
        <w:topLinePunct/>
        <w:spacing w:line="240" w:lineRule="auto"/>
        <w:ind w:firstLine="240" w:firstLineChars="100"/>
        <w:rPr>
          <w:rFonts w:ascii="仿宋" w:hAnsi="仿宋" w:eastAsia="仿宋" w:cs="仿宋"/>
          <w:kern w:val="2"/>
          <w:sz w:val="24"/>
          <w:szCs w:val="24"/>
        </w:rPr>
      </w:pPr>
      <w:r>
        <w:rPr>
          <w:rFonts w:hint="eastAsia" w:ascii="仿宋" w:hAnsi="仿宋" w:eastAsia="仿宋" w:cs="仿宋"/>
          <w:kern w:val="2"/>
          <w:sz w:val="24"/>
          <w:szCs w:val="24"/>
        </w:rPr>
        <w:t>1、交货及安装时间：中标方在政府采购合同生效之日起40天内且在3月25日前完成供货安装。</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 xml:space="preserve">安装需分五个阶段： </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第一阶段：中标人现场踏勘，进行安装履约方案设计。</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第二阶段：按照标准，完成场室安装。</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第三阶段：完成安装、调试后中标人应自查/自检。</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第四阶段：学校实际使用不低于1</w:t>
      </w:r>
      <w:r>
        <w:rPr>
          <w:rFonts w:ascii="仿宋" w:hAnsi="仿宋" w:eastAsia="仿宋" w:cs="仿宋"/>
          <w:kern w:val="2"/>
          <w:sz w:val="24"/>
          <w:szCs w:val="24"/>
        </w:rPr>
        <w:t>5天后完成初检。</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第五阶段：初检合格后由采购人委托具有相应检测资格的第三方检测机构随机抽取数量不低于10%的建设场室进行检测，检测合格后进行最终验收。</w:t>
      </w:r>
    </w:p>
    <w:p>
      <w:pPr>
        <w:pStyle w:val="119"/>
        <w:wordWrap w:val="0"/>
        <w:topLinePunct/>
        <w:spacing w:line="240" w:lineRule="auto"/>
        <w:ind w:firstLine="480" w:firstLineChars="200"/>
        <w:rPr>
          <w:rFonts w:ascii="仿宋" w:hAnsi="仿宋" w:eastAsia="仿宋" w:cs="仿宋"/>
          <w:kern w:val="2"/>
          <w:sz w:val="24"/>
          <w:szCs w:val="24"/>
        </w:rPr>
      </w:pPr>
    </w:p>
    <w:p>
      <w:pPr>
        <w:pStyle w:val="119"/>
        <w:wordWrap w:val="0"/>
        <w:topLinePunct/>
        <w:spacing w:line="240" w:lineRule="auto"/>
        <w:ind w:firstLine="480" w:firstLineChars="200"/>
        <w:rPr>
          <w:rFonts w:hint="eastAsia" w:ascii="仿宋" w:hAnsi="仿宋" w:eastAsia="仿宋" w:cs="仿宋"/>
          <w:kern w:val="2"/>
          <w:sz w:val="24"/>
          <w:szCs w:val="24"/>
        </w:rPr>
      </w:pPr>
      <w:r>
        <w:rPr>
          <w:rFonts w:ascii="仿宋" w:hAnsi="仿宋" w:eastAsia="仿宋" w:cs="仿宋"/>
          <w:kern w:val="2"/>
          <w:sz w:val="24"/>
          <w:szCs w:val="24"/>
        </w:rPr>
        <w:t>2.</w:t>
      </w:r>
      <w:r>
        <w:rPr>
          <w:rFonts w:hint="eastAsia" w:ascii="仿宋" w:hAnsi="仿宋" w:eastAsia="仿宋" w:cs="仿宋"/>
          <w:kern w:val="2"/>
          <w:sz w:val="24"/>
          <w:szCs w:val="24"/>
        </w:rPr>
        <w:t>交货地点:参考各包件分布学校，具体实施地点以采购人最终指定为准。</w:t>
      </w:r>
    </w:p>
    <w:p>
      <w:pPr>
        <w:pStyle w:val="119"/>
        <w:wordWrap w:val="0"/>
        <w:topLinePunct/>
        <w:spacing w:line="240" w:lineRule="auto"/>
        <w:ind w:firstLine="480" w:firstLineChars="200"/>
        <w:rPr>
          <w:rFonts w:hint="eastAsia" w:ascii="仿宋" w:hAnsi="仿宋" w:eastAsia="仿宋" w:cs="仿宋"/>
          <w:kern w:val="2"/>
          <w:sz w:val="24"/>
          <w:szCs w:val="24"/>
        </w:rPr>
      </w:pPr>
    </w:p>
    <w:p>
      <w:pPr>
        <w:pStyle w:val="13"/>
        <w:ind w:left="0" w:leftChars="0" w:firstLine="0" w:firstLineChars="0"/>
        <w:rPr>
          <w:rFonts w:ascii="仿宋" w:hAnsi="仿宋" w:eastAsia="仿宋"/>
          <w:bCs/>
          <w:color w:val="auto"/>
          <w:sz w:val="24"/>
        </w:rPr>
      </w:pPr>
      <w:r>
        <w:rPr>
          <w:rFonts w:hint="eastAsia" w:ascii="仿宋" w:hAnsi="仿宋" w:eastAsia="仿宋"/>
          <w:bCs/>
          <w:color w:val="auto"/>
          <w:sz w:val="24"/>
        </w:rPr>
        <w:t>（二）付款方法和条件：</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1、合同签订后支付30%</w:t>
      </w:r>
      <w:r>
        <w:rPr>
          <w:rFonts w:hint="eastAsia" w:ascii="仿宋" w:hAnsi="仿宋" w:eastAsia="仿宋" w:cs="仿宋"/>
          <w:kern w:val="2"/>
          <w:sz w:val="24"/>
          <w:szCs w:val="24"/>
          <w:lang w:val="en-US" w:eastAsia="zh-CN"/>
        </w:rPr>
        <w:t>预付款；完成安装调试，</w:t>
      </w:r>
      <w:r>
        <w:rPr>
          <w:rFonts w:hint="eastAsia" w:ascii="仿宋" w:hAnsi="仿宋" w:eastAsia="仿宋" w:cs="仿宋"/>
          <w:kern w:val="2"/>
          <w:sz w:val="24"/>
          <w:szCs w:val="24"/>
        </w:rPr>
        <w:t>使用单位进行初检，初验合格后支付30%</w:t>
      </w:r>
      <w:r>
        <w:rPr>
          <w:rFonts w:hint="eastAsia" w:ascii="仿宋" w:hAnsi="仿宋" w:eastAsia="仿宋" w:cs="仿宋"/>
          <w:kern w:val="2"/>
          <w:sz w:val="24"/>
          <w:szCs w:val="24"/>
          <w:lang w:eastAsia="zh-CN"/>
        </w:rPr>
        <w:t>；</w:t>
      </w:r>
      <w:r>
        <w:rPr>
          <w:rFonts w:hint="eastAsia" w:ascii="仿宋" w:hAnsi="仿宋" w:eastAsia="仿宋" w:cs="仿宋"/>
          <w:kern w:val="2"/>
          <w:sz w:val="24"/>
          <w:szCs w:val="24"/>
        </w:rPr>
        <w:t>项目验收合格后支付40%。</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2.本项目的报价包括为完成质保期内所有服务内容而产生直接或间接的任何费用，在质保期内，采购人将不再为中标人支付任何费用。</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3.因教学场室实际情况，各包件的设备数量在实际</w:t>
      </w:r>
      <w:r>
        <w:rPr>
          <w:rFonts w:hint="eastAsia" w:ascii="仿宋" w:hAnsi="仿宋" w:eastAsia="仿宋" w:cs="仿宋"/>
          <w:kern w:val="2"/>
          <w:sz w:val="24"/>
          <w:szCs w:val="24"/>
          <w:lang w:val="en-US" w:eastAsia="zh-CN"/>
        </w:rPr>
        <w:t>安装</w:t>
      </w:r>
      <w:r>
        <w:rPr>
          <w:rFonts w:hint="eastAsia" w:ascii="仿宋" w:hAnsi="仿宋" w:eastAsia="仿宋" w:cs="仿宋"/>
          <w:kern w:val="2"/>
          <w:sz w:val="24"/>
          <w:szCs w:val="24"/>
        </w:rPr>
        <w:t>过程中可能</w:t>
      </w:r>
      <w:r>
        <w:rPr>
          <w:rFonts w:hint="eastAsia" w:ascii="仿宋" w:hAnsi="仿宋" w:eastAsia="仿宋" w:cs="仿宋"/>
          <w:kern w:val="2"/>
          <w:sz w:val="24"/>
          <w:szCs w:val="24"/>
          <w:lang w:val="en-US" w:eastAsia="zh-CN"/>
        </w:rPr>
        <w:t>调整变化</w:t>
      </w:r>
      <w:r>
        <w:rPr>
          <w:rFonts w:hint="eastAsia" w:ascii="仿宋" w:hAnsi="仿宋" w:eastAsia="仿宋" w:cs="仿宋"/>
          <w:kern w:val="2"/>
          <w:sz w:val="24"/>
          <w:szCs w:val="24"/>
        </w:rPr>
        <w:t>等情况，最终结算价格以实际</w:t>
      </w:r>
      <w:r>
        <w:rPr>
          <w:rFonts w:hint="eastAsia" w:ascii="仿宋" w:hAnsi="仿宋" w:eastAsia="仿宋" w:cs="仿宋"/>
          <w:kern w:val="2"/>
          <w:sz w:val="24"/>
          <w:szCs w:val="24"/>
          <w:lang w:val="en-US" w:eastAsia="zh-CN"/>
        </w:rPr>
        <w:t>安装数量</w:t>
      </w:r>
      <w:r>
        <w:rPr>
          <w:rFonts w:hint="eastAsia" w:ascii="仿宋" w:hAnsi="仿宋" w:eastAsia="仿宋" w:cs="仿宋"/>
          <w:kern w:val="2"/>
          <w:sz w:val="24"/>
          <w:szCs w:val="24"/>
        </w:rPr>
        <w:t>为准。</w:t>
      </w:r>
    </w:p>
    <w:p>
      <w:pPr>
        <w:pStyle w:val="13"/>
        <w:ind w:left="0" w:leftChars="0" w:firstLine="0" w:firstLineChars="0"/>
        <w:rPr>
          <w:rFonts w:hint="eastAsia" w:ascii="仿宋" w:hAnsi="仿宋" w:eastAsia="仿宋"/>
          <w:bCs/>
          <w:color w:val="auto"/>
          <w:sz w:val="24"/>
        </w:rPr>
      </w:pPr>
    </w:p>
    <w:p>
      <w:pPr>
        <w:pStyle w:val="13"/>
        <w:ind w:left="0" w:leftChars="0" w:firstLine="0" w:firstLineChars="0"/>
        <w:rPr>
          <w:rFonts w:ascii="仿宋" w:hAnsi="仿宋" w:eastAsia="仿宋"/>
          <w:bCs/>
          <w:color w:val="auto"/>
          <w:sz w:val="24"/>
        </w:rPr>
      </w:pPr>
      <w:r>
        <w:rPr>
          <w:rFonts w:hint="eastAsia" w:ascii="仿宋" w:hAnsi="仿宋" w:eastAsia="仿宋"/>
          <w:bCs/>
          <w:color w:val="auto"/>
          <w:sz w:val="24"/>
        </w:rPr>
        <w:t>（三）售后服务</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1.质保期：供应商需提供不少于三年的质保期（从验收合格之日算起）</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2.质保期内出现质量问题，中标人在接到通知后1小时内作出处理意见，如需现场处理应于24小时内响应到场，48小时内完成维修或更换，并承担修理调换的费用。</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3.中标人提供7X24小时的技术支持，在各施工学校、幼儿园灯光各改造场室醒目位置张贴标识，备注项目名称、建设单位、售后服务联系方式、质保期限等信息。使用寿命期内，中标人应能保证使用方更换到原厂的零部件，确保设备的正常使用。</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4.质保期内，中标人应定期对产品进行日常维护保养，至少每季度到用户现场进行现场巡检和调研,及时跟踪产品使用及质量的变化情况:更换损坏、有缺陷的光源或灯具。当光源或灯其因光衰不能满足要求时，应及时更新光源或灯具，消除设备(系统)运行(使用)故障及安全隐患，确保学校教育教学工作正常开展。</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5.质保期内，中标人每学年至少一次，委托具有相应检测资格的第三方检测机构抽检每所建设校点1间教室，检测指标至少包括：①课桌面维持平均照度；②黑板面维持平均照度；③课桌面照度均匀度；④黑板面照度均匀度；⑤照明功率密度；⑥统一眩光值；⑦频闪等指标。抽检情况须书面告知学校。质保期内抽检不合格，须进行全面检测和整改。质保期内的检测费用均由中标人承担。</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6.质保期内，教室光环境均应达到国家标准。质保期内，非人为因素而出现的质量问题，中标人负责包修、包换，承担一切费用。质保期内，人为因素、自然因素(如火灾等)造成的损坏中标人进行维修时，仅收成本费。</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7.质保期内中标人负责所有因设备质量问题而产生的费用，</w:t>
      </w:r>
      <w:r>
        <w:rPr>
          <w:rFonts w:hint="eastAsia" w:ascii="仿宋" w:hAnsi="仿宋" w:eastAsia="仿宋" w:cs="仿宋"/>
          <w:kern w:val="2"/>
          <w:sz w:val="24"/>
          <w:szCs w:val="24"/>
          <w:lang w:val="en-US" w:eastAsia="zh-CN"/>
        </w:rPr>
        <w:t>投标人的投标报价应包含质保期内的</w:t>
      </w:r>
      <w:r>
        <w:rPr>
          <w:rFonts w:hint="eastAsia" w:ascii="仿宋" w:hAnsi="仿宋" w:eastAsia="仿宋" w:cs="仿宋"/>
          <w:kern w:val="2"/>
          <w:sz w:val="24"/>
          <w:szCs w:val="24"/>
        </w:rPr>
        <w:t>所有服务</w:t>
      </w:r>
      <w:r>
        <w:rPr>
          <w:rFonts w:hint="eastAsia" w:ascii="仿宋" w:hAnsi="仿宋" w:eastAsia="仿宋" w:cs="仿宋"/>
          <w:kern w:val="2"/>
          <w:sz w:val="24"/>
          <w:szCs w:val="24"/>
          <w:lang w:val="en-US" w:eastAsia="zh-CN"/>
        </w:rPr>
        <w:t>费用</w:t>
      </w:r>
      <w:r>
        <w:rPr>
          <w:rFonts w:hint="eastAsia" w:ascii="仿宋" w:hAnsi="仿宋" w:eastAsia="仿宋" w:cs="仿宋"/>
          <w:kern w:val="2"/>
          <w:sz w:val="24"/>
          <w:szCs w:val="24"/>
        </w:rPr>
        <w:t>。质保期满前一个月，中标人负责一次全面的检查、维护，并出具正式报告，如发现潜在问题，应负责排除</w:t>
      </w:r>
      <w:r>
        <w:rPr>
          <w:rFonts w:hint="eastAsia" w:ascii="仿宋" w:hAnsi="仿宋" w:eastAsia="仿宋" w:cs="仿宋"/>
          <w:kern w:val="2"/>
          <w:sz w:val="24"/>
          <w:szCs w:val="24"/>
          <w:lang w:val="en-US" w:eastAsia="zh-CN"/>
        </w:rPr>
        <w:t>，此项费用由中标人负担</w:t>
      </w:r>
      <w:r>
        <w:rPr>
          <w:rFonts w:hint="eastAsia" w:ascii="仿宋" w:hAnsi="仿宋" w:eastAsia="仿宋" w:cs="仿宋"/>
          <w:kern w:val="2"/>
          <w:sz w:val="24"/>
          <w:szCs w:val="24"/>
        </w:rPr>
        <w:t>。</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8.质保期届满后，设备非因采购人过错出现质量问题，中标人仍应按前款约定上门维修或更换，采购人应承担材料费，其他费用由中标人承担。</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9.中标人应有完善的技术支持与服务体系，专人负责与采购人联系售后服务事宜。</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10.零配件供应:中标人应保证设备停产后的备件供应</w:t>
      </w:r>
      <w:r>
        <w:rPr>
          <w:rFonts w:hint="eastAsia" w:ascii="仿宋" w:hAnsi="仿宋" w:eastAsia="仿宋" w:cs="仿宋"/>
          <w:kern w:val="2"/>
          <w:sz w:val="24"/>
          <w:szCs w:val="24"/>
          <w:lang w:val="en-US" w:eastAsia="zh-CN"/>
        </w:rPr>
        <w:t>不低于</w:t>
      </w:r>
      <w:r>
        <w:rPr>
          <w:rFonts w:hint="eastAsia" w:ascii="仿宋" w:hAnsi="仿宋" w:eastAsia="仿宋" w:cs="仿宋"/>
          <w:kern w:val="2"/>
          <w:sz w:val="24"/>
          <w:szCs w:val="24"/>
        </w:rPr>
        <w:t>6年，质保期满后以优惠的价格提供该设备所需的维修零配件。</w:t>
      </w:r>
    </w:p>
    <w:p>
      <w:pPr>
        <w:pStyle w:val="13"/>
        <w:ind w:left="0" w:leftChars="0" w:firstLine="0" w:firstLineChars="0"/>
        <w:rPr>
          <w:rFonts w:hint="eastAsia" w:ascii="仿宋" w:hAnsi="仿宋" w:eastAsia="仿宋"/>
          <w:bCs/>
          <w:color w:val="auto"/>
          <w:sz w:val="24"/>
        </w:rPr>
      </w:pPr>
    </w:p>
    <w:p>
      <w:pPr>
        <w:pStyle w:val="13"/>
        <w:ind w:left="0" w:leftChars="0" w:firstLine="0" w:firstLineChars="0"/>
        <w:rPr>
          <w:rFonts w:hint="eastAsia" w:ascii="仿宋" w:hAnsi="仿宋" w:eastAsia="仿宋"/>
          <w:bCs/>
          <w:color w:val="auto"/>
          <w:sz w:val="24"/>
        </w:rPr>
      </w:pPr>
    </w:p>
    <w:p>
      <w:pPr>
        <w:rPr>
          <w:rFonts w:hint="eastAsia" w:ascii="仿宋" w:hAnsi="仿宋" w:eastAsia="仿宋"/>
          <w:bCs/>
          <w:color w:val="auto"/>
          <w:sz w:val="24"/>
        </w:rPr>
      </w:pPr>
    </w:p>
    <w:p>
      <w:pPr>
        <w:pStyle w:val="2"/>
        <w:rPr>
          <w:rFonts w:hint="eastAsia"/>
        </w:rPr>
      </w:pPr>
    </w:p>
    <w:p>
      <w:pPr>
        <w:pStyle w:val="13"/>
        <w:ind w:left="0" w:leftChars="0" w:firstLine="0" w:firstLineChars="0"/>
        <w:rPr>
          <w:rFonts w:ascii="仿宋" w:hAnsi="仿宋" w:eastAsia="仿宋"/>
          <w:bCs/>
          <w:color w:val="auto"/>
          <w:sz w:val="24"/>
        </w:rPr>
      </w:pPr>
      <w:r>
        <w:rPr>
          <w:rFonts w:hint="eastAsia" w:ascii="仿宋" w:hAnsi="仿宋" w:eastAsia="仿宋"/>
          <w:bCs/>
          <w:color w:val="auto"/>
          <w:sz w:val="24"/>
        </w:rPr>
        <w:t>（四）验收方法及标准</w:t>
      </w:r>
    </w:p>
    <w:p>
      <w:pPr>
        <w:pStyle w:val="119"/>
        <w:wordWrap w:val="0"/>
        <w:topLinePunct/>
        <w:spacing w:line="240" w:lineRule="auto"/>
        <w:ind w:firstLine="480" w:firstLineChars="200"/>
        <w:rPr>
          <w:rFonts w:ascii="仿宋" w:hAnsi="仿宋" w:eastAsia="仿宋" w:cs="仿宋"/>
          <w:kern w:val="2"/>
          <w:sz w:val="24"/>
          <w:szCs w:val="24"/>
        </w:rPr>
      </w:pPr>
      <w:r>
        <w:rPr>
          <w:rFonts w:ascii="仿宋" w:hAnsi="仿宋" w:eastAsia="仿宋" w:cs="仿宋"/>
          <w:kern w:val="2"/>
          <w:sz w:val="24"/>
          <w:szCs w:val="24"/>
        </w:rPr>
        <w:t>1.</w:t>
      </w:r>
      <w:r>
        <w:rPr>
          <w:rFonts w:hint="eastAsia" w:ascii="仿宋" w:hAnsi="仿宋" w:eastAsia="仿宋" w:cs="仿宋"/>
          <w:kern w:val="2"/>
          <w:sz w:val="24"/>
          <w:szCs w:val="24"/>
        </w:rPr>
        <w:t>验收标准：严格按照《财政部关于进一步加强政府采购需求和履约验收管理的指导意见》（财库〔2016〕205号）要求、采购文件的质量要求和技术指标、供应商的投标文件及承诺以及合同约定标准进行验收。</w:t>
      </w:r>
    </w:p>
    <w:p>
      <w:pPr>
        <w:pStyle w:val="119"/>
        <w:wordWrap w:val="0"/>
        <w:topLinePunct/>
        <w:spacing w:line="240" w:lineRule="auto"/>
        <w:ind w:firstLine="480" w:firstLineChars="200"/>
        <w:rPr>
          <w:rFonts w:ascii="仿宋" w:hAnsi="仿宋" w:eastAsia="仿宋" w:cs="仿宋"/>
          <w:kern w:val="2"/>
          <w:sz w:val="24"/>
          <w:szCs w:val="24"/>
        </w:rPr>
      </w:pPr>
      <w:r>
        <w:rPr>
          <w:rFonts w:ascii="仿宋" w:hAnsi="仿宋" w:eastAsia="仿宋" w:cs="仿宋"/>
          <w:kern w:val="2"/>
          <w:sz w:val="24"/>
          <w:szCs w:val="24"/>
        </w:rPr>
        <w:t>2.</w:t>
      </w:r>
      <w:r>
        <w:rPr>
          <w:rFonts w:hint="eastAsia" w:ascii="仿宋" w:hAnsi="仿宋" w:eastAsia="仿宋" w:cs="仿宋"/>
          <w:kern w:val="2"/>
          <w:sz w:val="24"/>
          <w:szCs w:val="24"/>
        </w:rPr>
        <w:t>验收方法</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2.</w:t>
      </w:r>
      <w:r>
        <w:rPr>
          <w:rFonts w:ascii="仿宋" w:hAnsi="仿宋" w:eastAsia="仿宋" w:cs="仿宋"/>
          <w:kern w:val="2"/>
          <w:sz w:val="24"/>
          <w:szCs w:val="24"/>
        </w:rPr>
        <w:t>1</w:t>
      </w:r>
      <w:r>
        <w:rPr>
          <w:rFonts w:hint="eastAsia" w:ascii="仿宋" w:hAnsi="仿宋" w:eastAsia="仿宋" w:cs="仿宋"/>
          <w:kern w:val="2"/>
          <w:sz w:val="24"/>
          <w:szCs w:val="24"/>
        </w:rPr>
        <w:t>项目安装调试完成后，供应商需自查后由采购人委托具有相应检测资格的第三方检测机构进行抽检、出具验收结论的顺序开展验收。自检自测、抽查检测、项目验收等过程中发现问题应限时整改，直至合格。</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2.</w:t>
      </w:r>
      <w:r>
        <w:rPr>
          <w:rFonts w:ascii="仿宋" w:hAnsi="仿宋" w:eastAsia="仿宋" w:cs="仿宋"/>
          <w:kern w:val="2"/>
          <w:sz w:val="24"/>
          <w:szCs w:val="24"/>
        </w:rPr>
        <w:t>2</w:t>
      </w:r>
      <w:r>
        <w:rPr>
          <w:rFonts w:hint="eastAsia" w:ascii="仿宋" w:hAnsi="仿宋" w:eastAsia="仿宋" w:cs="仿宋"/>
          <w:kern w:val="2"/>
          <w:sz w:val="24"/>
          <w:szCs w:val="24"/>
        </w:rPr>
        <w:t>本项目安装调试全部完成后，由采购人委托具有检测资质的第三方检测机构按照国家标准、招标文件要求的技术标准、中标人的投标文件的技术响应进行检测。随机抽取不低于该包件教室总数的10%，抽测应兼顾同一项目中的不同学校以及同一学校的不同类型的教室，并出具检测报告。检测指标至少包括：①课桌面维持平均照度，②黑板面维持平均照度，③课桌面照度均匀度，④黑板面照度均匀度，⑤照明功率密度，⑥统一眩光值，⑦频闪。检测不符合要求的视为验收不合格。</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2.</w:t>
      </w:r>
      <w:r>
        <w:rPr>
          <w:rFonts w:ascii="仿宋" w:hAnsi="仿宋" w:eastAsia="仿宋" w:cs="仿宋"/>
          <w:kern w:val="2"/>
          <w:sz w:val="24"/>
          <w:szCs w:val="24"/>
        </w:rPr>
        <w:t>3如</w:t>
      </w:r>
      <w:r>
        <w:rPr>
          <w:rFonts w:hint="eastAsia" w:ascii="仿宋" w:hAnsi="仿宋" w:eastAsia="仿宋" w:cs="仿宋"/>
          <w:kern w:val="2"/>
          <w:sz w:val="24"/>
          <w:szCs w:val="24"/>
        </w:rPr>
        <w:t>验收不合格，中标人须在15天内完成全面整改，并委托具有检测资质的第三方检测机构检测抽测场室比例不低于各包件场室总数的20%，并提供整改后质量检测合格报告。不合格继续按以上方式整改，每整改一次，检测抽测比例增加10%。整改合格后采购人组织其他人员进行整改后的验收。整改后，采购人委托的专业检测机构进行的检测费用，由中标人负责支付。</w:t>
      </w:r>
    </w:p>
    <w:p>
      <w:pPr>
        <w:pStyle w:val="119"/>
        <w:wordWrap w:val="0"/>
        <w:topLinePunct/>
        <w:spacing w:line="240" w:lineRule="auto"/>
        <w:ind w:firstLine="480" w:firstLineChars="200"/>
        <w:rPr>
          <w:rFonts w:ascii="仿宋" w:hAnsi="仿宋" w:eastAsia="仿宋" w:cs="仿宋"/>
          <w:kern w:val="2"/>
          <w:sz w:val="24"/>
          <w:szCs w:val="24"/>
        </w:rPr>
      </w:pPr>
      <w:r>
        <w:rPr>
          <w:rFonts w:ascii="仿宋" w:hAnsi="仿宋" w:eastAsia="仿宋" w:cs="仿宋"/>
          <w:kern w:val="2"/>
          <w:sz w:val="24"/>
          <w:szCs w:val="24"/>
        </w:rPr>
        <w:t>3.</w:t>
      </w:r>
      <w:r>
        <w:rPr>
          <w:rFonts w:hint="eastAsia" w:ascii="仿宋" w:hAnsi="仿宋" w:eastAsia="仿宋" w:cs="仿宋"/>
          <w:kern w:val="2"/>
          <w:sz w:val="24"/>
          <w:szCs w:val="24"/>
        </w:rPr>
        <w:t>其他验收要求</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3.</w:t>
      </w:r>
      <w:r>
        <w:rPr>
          <w:rFonts w:ascii="仿宋" w:hAnsi="仿宋" w:eastAsia="仿宋" w:cs="仿宋"/>
          <w:kern w:val="2"/>
          <w:sz w:val="24"/>
          <w:szCs w:val="24"/>
        </w:rPr>
        <w:t>1</w:t>
      </w:r>
      <w:r>
        <w:rPr>
          <w:rFonts w:hint="eastAsia" w:ascii="仿宋" w:hAnsi="仿宋" w:eastAsia="仿宋" w:cs="仿宋"/>
          <w:kern w:val="2"/>
          <w:sz w:val="24"/>
          <w:szCs w:val="24"/>
        </w:rPr>
        <w:t>验收前中标人需提供配置设备产品合格证明材料。</w:t>
      </w:r>
    </w:p>
    <w:p>
      <w:pPr>
        <w:pStyle w:val="119"/>
        <w:wordWrap w:val="0"/>
        <w:topLinePunct/>
        <w:spacing w:line="24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3.</w:t>
      </w:r>
      <w:r>
        <w:rPr>
          <w:rFonts w:ascii="仿宋" w:hAnsi="仿宋" w:eastAsia="仿宋" w:cs="仿宋"/>
          <w:kern w:val="2"/>
          <w:sz w:val="24"/>
          <w:szCs w:val="24"/>
        </w:rPr>
        <w:t>2</w:t>
      </w:r>
      <w:r>
        <w:rPr>
          <w:rFonts w:hint="eastAsia" w:ascii="仿宋" w:hAnsi="仿宋" w:eastAsia="仿宋" w:cs="仿宋"/>
          <w:kern w:val="2"/>
          <w:sz w:val="24"/>
          <w:szCs w:val="24"/>
        </w:rPr>
        <w:t>验收前中标人需提供配置设备安装规范性证明材料。</w:t>
      </w:r>
    </w:p>
    <w:p>
      <w:pPr>
        <w:pStyle w:val="119"/>
        <w:wordWrap w:val="0"/>
        <w:topLinePunct/>
        <w:spacing w:line="24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rPr>
        <w:t>3.</w:t>
      </w:r>
      <w:r>
        <w:rPr>
          <w:rFonts w:ascii="仿宋" w:hAnsi="仿宋" w:eastAsia="仿宋" w:cs="仿宋"/>
          <w:kern w:val="2"/>
          <w:sz w:val="24"/>
          <w:szCs w:val="24"/>
        </w:rPr>
        <w:t>3</w:t>
      </w:r>
      <w:r>
        <w:rPr>
          <w:rFonts w:hint="eastAsia" w:ascii="仿宋" w:hAnsi="仿宋" w:eastAsia="仿宋" w:cs="仿宋"/>
          <w:kern w:val="2"/>
          <w:sz w:val="24"/>
          <w:szCs w:val="24"/>
        </w:rPr>
        <w:t>验收前中标人需提供其它与教室视觉环境建设有关的材料。</w:t>
      </w:r>
    </w:p>
    <w:p>
      <w:pPr>
        <w:pStyle w:val="119"/>
        <w:wordWrap w:val="0"/>
        <w:topLinePunct/>
        <w:spacing w:line="240" w:lineRule="auto"/>
        <w:ind w:firstLine="480" w:firstLineChars="200"/>
        <w:rPr>
          <w:rFonts w:hint="eastAsia" w:ascii="仿宋" w:hAnsi="仿宋" w:eastAsia="仿宋" w:cs="仿宋"/>
          <w:kern w:val="2"/>
          <w:sz w:val="24"/>
          <w:szCs w:val="24"/>
        </w:rPr>
      </w:pPr>
    </w:p>
    <w:p>
      <w:pPr>
        <w:pStyle w:val="4"/>
        <w:spacing w:line="240" w:lineRule="auto"/>
        <w:ind w:firstLine="236" w:firstLineChars="98"/>
        <w:rPr>
          <w:rFonts w:ascii="仿宋" w:hAnsi="仿宋" w:eastAsia="仿宋"/>
          <w:b/>
          <w:bCs/>
          <w:color w:val="auto"/>
          <w:sz w:val="24"/>
          <w:szCs w:val="24"/>
        </w:rPr>
      </w:pPr>
      <w:r>
        <w:rPr>
          <w:rFonts w:hint="eastAsia" w:ascii="仿宋" w:hAnsi="仿宋" w:eastAsia="仿宋"/>
          <w:b/>
          <w:bCs/>
          <w:color w:val="auto"/>
          <w:sz w:val="24"/>
          <w:szCs w:val="24"/>
        </w:rPr>
        <w:t>三.技术、服务要求</w:t>
      </w:r>
      <w:bookmarkEnd w:id="1192"/>
    </w:p>
    <w:p>
      <w:pPr>
        <w:pStyle w:val="13"/>
        <w:ind w:left="0" w:leftChars="0" w:firstLine="0" w:firstLineChars="0"/>
        <w:outlineLvl w:val="1"/>
        <w:rPr>
          <w:rFonts w:ascii="仿宋" w:hAnsi="仿宋" w:eastAsia="仿宋"/>
          <w:bCs/>
          <w:color w:val="auto"/>
          <w:sz w:val="24"/>
        </w:rPr>
      </w:pPr>
      <w:r>
        <w:rPr>
          <w:rFonts w:hint="eastAsia" w:ascii="仿宋" w:hAnsi="仿宋" w:eastAsia="仿宋"/>
          <w:bCs/>
          <w:color w:val="auto"/>
          <w:sz w:val="24"/>
        </w:rPr>
        <w:t>*</w:t>
      </w:r>
      <w:r>
        <w:rPr>
          <w:rFonts w:ascii="仿宋" w:hAnsi="仿宋" w:eastAsia="仿宋"/>
          <w:bCs/>
          <w:color w:val="auto"/>
          <w:sz w:val="24"/>
        </w:rPr>
        <w:t>（一）建设标准</w:t>
      </w:r>
    </w:p>
    <w:p>
      <w:pPr>
        <w:pStyle w:val="13"/>
        <w:ind w:left="0" w:leftChars="0" w:firstLine="0" w:firstLineChars="0"/>
        <w:rPr>
          <w:rFonts w:ascii="仿宋" w:hAnsi="仿宋" w:eastAsia="仿宋"/>
          <w:bCs/>
          <w:color w:val="auto"/>
          <w:sz w:val="24"/>
        </w:rPr>
      </w:pPr>
      <w:r>
        <w:rPr>
          <w:rFonts w:hint="eastAsia" w:ascii="仿宋" w:hAnsi="仿宋" w:eastAsia="仿宋"/>
          <w:bCs/>
          <w:color w:val="auto"/>
          <w:sz w:val="24"/>
        </w:rPr>
        <w:t>1、</w:t>
      </w:r>
      <w:r>
        <w:rPr>
          <w:rFonts w:hint="eastAsia" w:ascii="仿宋" w:hAnsi="仿宋" w:eastAsia="仿宋"/>
          <w:bCs/>
          <w:color w:val="auto"/>
          <w:sz w:val="24"/>
          <w:lang w:val="en-US" w:eastAsia="zh-CN"/>
        </w:rPr>
        <w:t>符合</w:t>
      </w:r>
      <w:r>
        <w:rPr>
          <w:rFonts w:hint="eastAsia" w:ascii="仿宋" w:hAnsi="仿宋" w:eastAsia="仿宋"/>
          <w:bCs/>
          <w:color w:val="auto"/>
          <w:sz w:val="24"/>
        </w:rPr>
        <w:t>相关规范</w:t>
      </w:r>
      <w:r>
        <w:rPr>
          <w:rFonts w:ascii="仿宋" w:hAnsi="仿宋" w:eastAsia="仿宋"/>
          <w:bCs/>
          <w:color w:val="auto"/>
          <w:sz w:val="24"/>
        </w:rPr>
        <w:t>《中小学校设计规范》(GB50099-2011)、《城市普通中小学校舍建设标准》(建标〔2002〕102号)、《农村普通中小学校建设标准》(建标109-2008)、《中小学校教室采光和照明卫生标准》(GB7793-2010)、《儿童青少年学习用品近视防控卫生要求》(GB40070-2021)、《中小学校普通教室照明设计安装卫生要求》(GB/T36876-2018)、《中小学教室照明技术规范》(T/JY BZ 005-2020) 、</w:t>
      </w:r>
      <w:r>
        <w:rPr>
          <w:rFonts w:hint="eastAsia" w:ascii="仿宋" w:hAnsi="仿宋" w:eastAsia="仿宋"/>
          <w:bCs/>
          <w:color w:val="auto"/>
          <w:sz w:val="24"/>
        </w:rPr>
        <w:t>《电气照明和类似设备的无线点骚扰特性的限制和测量方法》GB/T17743、《教室照明环境评价和评级规范》T/CIC 203—2021 《中小学教室照明技术规范》T/JYBZ 005-2018、</w:t>
      </w:r>
      <w:r>
        <w:rPr>
          <w:rFonts w:ascii="仿宋" w:hAnsi="仿宋" w:eastAsia="仿宋"/>
          <w:bCs/>
          <w:color w:val="auto"/>
          <w:sz w:val="24"/>
        </w:rPr>
        <w:t>《国家学校体育卫生条件试行基本标准》(教体艺〔2008〕5号)等有关国家、行业标准规范(包括替代标准)</w:t>
      </w:r>
      <w:r>
        <w:rPr>
          <w:rFonts w:hint="eastAsia" w:ascii="仿宋" w:hAnsi="仿宋" w:eastAsia="仿宋"/>
          <w:bCs/>
          <w:color w:val="auto"/>
          <w:sz w:val="24"/>
          <w:lang w:eastAsia="zh-CN"/>
        </w:rPr>
        <w:t>；</w:t>
      </w:r>
      <w:r>
        <w:rPr>
          <w:rFonts w:hint="eastAsia" w:ascii="仿宋" w:hAnsi="仿宋" w:eastAsia="仿宋"/>
          <w:bCs/>
          <w:color w:val="auto"/>
          <w:sz w:val="24"/>
          <w:lang w:val="en-US" w:eastAsia="zh-CN"/>
        </w:rPr>
        <w:t>国家、行业若有最新标准的按最新标准执行（</w:t>
      </w:r>
      <w:r>
        <w:rPr>
          <w:rFonts w:hint="eastAsia" w:ascii="仿宋" w:hAnsi="仿宋" w:eastAsia="仿宋" w:cs="仿宋"/>
          <w:color w:val="000000"/>
          <w:sz w:val="21"/>
          <w:szCs w:val="21"/>
          <w:highlight w:val="none"/>
          <w:lang w:val="en-US" w:eastAsia="zh-CN"/>
        </w:rPr>
        <w:t>投标时须单独</w:t>
      </w:r>
      <w:r>
        <w:rPr>
          <w:rFonts w:hint="eastAsia" w:ascii="仿宋" w:hAnsi="仿宋" w:eastAsia="仿宋" w:cs="仿宋"/>
          <w:color w:val="000000"/>
          <w:sz w:val="21"/>
          <w:szCs w:val="21"/>
          <w:highlight w:val="none"/>
        </w:rPr>
        <w:t>提供承诺函</w:t>
      </w:r>
      <w:r>
        <w:rPr>
          <w:rFonts w:hint="eastAsia" w:ascii="仿宋" w:hAnsi="仿宋" w:eastAsia="仿宋"/>
          <w:bCs/>
          <w:color w:val="auto"/>
          <w:sz w:val="24"/>
          <w:lang w:val="en-US" w:eastAsia="zh-CN"/>
        </w:rPr>
        <w:t>）</w:t>
      </w:r>
      <w:r>
        <w:rPr>
          <w:rFonts w:hint="eastAsia" w:ascii="仿宋" w:hAnsi="仿宋" w:eastAsia="仿宋"/>
          <w:bCs/>
          <w:color w:val="auto"/>
          <w:sz w:val="24"/>
        </w:rPr>
        <w:t>。</w:t>
      </w:r>
    </w:p>
    <w:p>
      <w:pPr>
        <w:pStyle w:val="13"/>
        <w:ind w:left="0" w:leftChars="0" w:firstLine="0" w:firstLineChars="0"/>
        <w:rPr>
          <w:rFonts w:ascii="仿宋" w:hAnsi="仿宋" w:eastAsia="仿宋"/>
          <w:bCs/>
          <w:color w:val="auto"/>
          <w:sz w:val="24"/>
        </w:rPr>
      </w:pPr>
      <w:r>
        <w:rPr>
          <w:rFonts w:hint="eastAsia" w:ascii="仿宋" w:hAnsi="仿宋" w:eastAsia="仿宋"/>
          <w:bCs/>
          <w:color w:val="auto"/>
          <w:sz w:val="24"/>
        </w:rPr>
        <w:t xml:space="preserve">2、智能教室功能需求教室环境智能化控制是未来教室的组成部分，通过对环境的感知和控制改善教学环境，提高学习效率，让课堂变得简单、高效、智能，有助于开发学生自主思考与学习能力。 </w:t>
      </w:r>
    </w:p>
    <w:p>
      <w:pPr>
        <w:pStyle w:val="13"/>
        <w:ind w:left="0" w:leftChars="0" w:firstLine="0" w:firstLineChars="0"/>
        <w:rPr>
          <w:rFonts w:ascii="仿宋" w:hAnsi="仿宋" w:eastAsia="仿宋"/>
          <w:bCs/>
          <w:color w:val="auto"/>
          <w:sz w:val="24"/>
        </w:rPr>
      </w:pPr>
      <w:r>
        <w:rPr>
          <w:rFonts w:hint="eastAsia" w:ascii="仿宋" w:hAnsi="仿宋" w:eastAsia="仿宋"/>
          <w:bCs/>
          <w:color w:val="auto"/>
          <w:sz w:val="24"/>
        </w:rPr>
        <w:t>1）教室智慧光环境系统主要由灯具、中心控制器、智能面板、智能控制单元、网络控制器、应急开关及智慧灯光管理平台构成。为确保光环境系统稳定性，采用自组网技术，无需网关即可实现设备之间的自动连接，局域网单IP组网数量不少于1000；具备网络自愈能力，任何一个节点设备拥塞或故障时，信号可以自动跳选其它节点，保障数据传输配置。</w:t>
      </w:r>
    </w:p>
    <w:p>
      <w:pPr>
        <w:pStyle w:val="13"/>
        <w:ind w:left="0" w:leftChars="0" w:firstLine="0" w:firstLineChars="0"/>
        <w:rPr>
          <w:rFonts w:ascii="仿宋" w:hAnsi="仿宋" w:eastAsia="仿宋"/>
          <w:bCs/>
          <w:color w:val="auto"/>
          <w:sz w:val="24"/>
        </w:rPr>
      </w:pPr>
      <w:r>
        <w:rPr>
          <w:rFonts w:hint="eastAsia" w:ascii="仿宋" w:hAnsi="仿宋" w:eastAsia="仿宋"/>
          <w:bCs/>
          <w:color w:val="auto"/>
          <w:sz w:val="24"/>
        </w:rPr>
        <w:t>2）各校智慧灯光系统建成后能对全市所有学校灯的开关状态、当前使用灯光教室数量、用电量、故障报修等信息通过市级平台实时在线进行查看，并能和我市智慧校园平台实现无缝连接（</w:t>
      </w:r>
      <w:r>
        <w:rPr>
          <w:rFonts w:hint="eastAsia" w:ascii="仿宋" w:hAnsi="仿宋" w:eastAsia="仿宋" w:cs="仿宋"/>
          <w:color w:val="000000"/>
          <w:sz w:val="21"/>
          <w:szCs w:val="21"/>
          <w:highlight w:val="none"/>
          <w:lang w:val="en-US" w:eastAsia="zh-CN"/>
        </w:rPr>
        <w:t>投标时须单独</w:t>
      </w:r>
      <w:r>
        <w:rPr>
          <w:rFonts w:hint="eastAsia" w:ascii="仿宋" w:hAnsi="仿宋" w:eastAsia="仿宋" w:cs="仿宋"/>
          <w:color w:val="000000"/>
          <w:sz w:val="21"/>
          <w:szCs w:val="21"/>
          <w:highlight w:val="none"/>
        </w:rPr>
        <w:t>提供承诺函</w:t>
      </w:r>
      <w:r>
        <w:rPr>
          <w:rFonts w:hint="eastAsia" w:ascii="仿宋" w:hAnsi="仿宋" w:eastAsia="仿宋"/>
          <w:bCs/>
          <w:color w:val="auto"/>
          <w:sz w:val="24"/>
        </w:rPr>
        <w:t>）。</w:t>
      </w:r>
    </w:p>
    <w:p>
      <w:pPr>
        <w:pStyle w:val="13"/>
        <w:ind w:firstLine="199" w:firstLineChars="83"/>
        <w:rPr>
          <w:rFonts w:ascii="仿宋" w:hAnsi="仿宋" w:eastAsia="仿宋"/>
          <w:bCs/>
          <w:color w:val="auto"/>
          <w:sz w:val="24"/>
        </w:rPr>
      </w:pPr>
    </w:p>
    <w:p>
      <w:pPr>
        <w:pStyle w:val="13"/>
        <w:ind w:left="0" w:leftChars="0" w:firstLine="0" w:firstLineChars="0"/>
        <w:rPr>
          <w:rFonts w:ascii="仿宋" w:hAnsi="仿宋" w:eastAsia="仿宋"/>
          <w:bCs/>
          <w:color w:val="auto"/>
          <w:sz w:val="24"/>
        </w:rPr>
      </w:pPr>
      <w:r>
        <w:rPr>
          <w:rFonts w:hint="eastAsia" w:ascii="仿宋" w:hAnsi="仿宋" w:eastAsia="仿宋"/>
          <w:bCs/>
          <w:color w:val="auto"/>
          <w:sz w:val="24"/>
        </w:rPr>
        <w:t>*（二）质量标准</w:t>
      </w:r>
    </w:p>
    <w:p>
      <w:pPr>
        <w:pStyle w:val="13"/>
        <w:ind w:left="0" w:leftChars="0" w:firstLine="0" w:firstLineChars="0"/>
        <w:rPr>
          <w:rFonts w:ascii="仿宋" w:hAnsi="仿宋" w:eastAsia="仿宋"/>
          <w:bCs/>
          <w:color w:val="auto"/>
          <w:sz w:val="24"/>
        </w:rPr>
      </w:pPr>
      <w:r>
        <w:rPr>
          <w:rFonts w:hint="eastAsia" w:ascii="仿宋" w:hAnsi="仿宋" w:eastAsia="仿宋"/>
          <w:bCs/>
          <w:color w:val="auto"/>
          <w:sz w:val="24"/>
        </w:rPr>
        <w:t>经改善提升后，学校教学场室的室内光环境指标达到国家标准，指标如下：</w:t>
      </w:r>
    </w:p>
    <w:p>
      <w:pPr>
        <w:pStyle w:val="13"/>
        <w:spacing w:line="400" w:lineRule="exact"/>
        <w:ind w:left="0" w:leftChars="0" w:firstLine="0" w:firstLineChars="0"/>
        <w:jc w:val="both"/>
        <w:rPr>
          <w:rFonts w:ascii="仿宋" w:hAnsi="仿宋" w:eastAsia="仿宋"/>
          <w:bCs/>
          <w:color w:val="auto"/>
          <w:sz w:val="24"/>
        </w:rPr>
      </w:pPr>
      <w:r>
        <w:rPr>
          <w:rFonts w:ascii="仿宋" w:hAnsi="仿宋" w:eastAsia="仿宋"/>
          <w:bCs/>
          <w:color w:val="auto"/>
          <w:sz w:val="24"/>
        </w:rPr>
        <w:t>教室照明标准限表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9"/>
        <w:gridCol w:w="1184"/>
        <w:gridCol w:w="1462"/>
        <w:gridCol w:w="1298"/>
        <w:gridCol w:w="1153"/>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房间或场所</w:t>
            </w:r>
          </w:p>
        </w:tc>
        <w:tc>
          <w:tcPr>
            <w:tcW w:w="686"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参考平面</w:t>
            </w:r>
          </w:p>
        </w:tc>
        <w:tc>
          <w:tcPr>
            <w:tcW w:w="84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维持平均照度(lx)</w:t>
            </w:r>
          </w:p>
        </w:tc>
        <w:tc>
          <w:tcPr>
            <w:tcW w:w="752"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统一眩光值UGR</w:t>
            </w:r>
          </w:p>
        </w:tc>
        <w:tc>
          <w:tcPr>
            <w:tcW w:w="668"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显色指数</w:t>
            </w:r>
          </w:p>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Ra</w:t>
            </w:r>
          </w:p>
        </w:tc>
        <w:tc>
          <w:tcPr>
            <w:tcW w:w="69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均匀度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普通教室、音乐教室、舞蹈教室、劳技教室、合班教室、史地教室、科课桌面技活动室、阶梯教室、心理辅导室、卫生保健室等</w:t>
            </w:r>
          </w:p>
        </w:tc>
        <w:tc>
          <w:tcPr>
            <w:tcW w:w="686"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课桌面</w:t>
            </w:r>
          </w:p>
        </w:tc>
        <w:tc>
          <w:tcPr>
            <w:tcW w:w="84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≥300</w:t>
            </w:r>
          </w:p>
        </w:tc>
        <w:tc>
          <w:tcPr>
            <w:tcW w:w="752"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≤16</w:t>
            </w:r>
          </w:p>
        </w:tc>
        <w:tc>
          <w:tcPr>
            <w:tcW w:w="668"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≥80</w:t>
            </w:r>
          </w:p>
        </w:tc>
        <w:tc>
          <w:tcPr>
            <w:tcW w:w="69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美术教室</w:t>
            </w:r>
          </w:p>
        </w:tc>
        <w:tc>
          <w:tcPr>
            <w:tcW w:w="686"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课桌面</w:t>
            </w:r>
          </w:p>
        </w:tc>
        <w:tc>
          <w:tcPr>
            <w:tcW w:w="84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≥500</w:t>
            </w:r>
          </w:p>
        </w:tc>
        <w:tc>
          <w:tcPr>
            <w:tcW w:w="752"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≤16</w:t>
            </w:r>
          </w:p>
        </w:tc>
        <w:tc>
          <w:tcPr>
            <w:tcW w:w="668"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≥90</w:t>
            </w:r>
          </w:p>
        </w:tc>
        <w:tc>
          <w:tcPr>
            <w:tcW w:w="69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阅览室(阅览用图书室)</w:t>
            </w:r>
          </w:p>
        </w:tc>
        <w:tc>
          <w:tcPr>
            <w:tcW w:w="686"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课桌面</w:t>
            </w:r>
          </w:p>
        </w:tc>
        <w:tc>
          <w:tcPr>
            <w:tcW w:w="84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≥300</w:t>
            </w:r>
          </w:p>
        </w:tc>
        <w:tc>
          <w:tcPr>
            <w:tcW w:w="752"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≤16</w:t>
            </w:r>
          </w:p>
        </w:tc>
        <w:tc>
          <w:tcPr>
            <w:tcW w:w="668"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≥80</w:t>
            </w:r>
          </w:p>
        </w:tc>
        <w:tc>
          <w:tcPr>
            <w:tcW w:w="69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计算机教室、电子阅览室(电子信息机房）</w:t>
            </w:r>
          </w:p>
        </w:tc>
        <w:tc>
          <w:tcPr>
            <w:tcW w:w="686"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机台面</w:t>
            </w:r>
          </w:p>
        </w:tc>
        <w:tc>
          <w:tcPr>
            <w:tcW w:w="84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≥500</w:t>
            </w:r>
          </w:p>
        </w:tc>
        <w:tc>
          <w:tcPr>
            <w:tcW w:w="752"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≤16</w:t>
            </w:r>
          </w:p>
        </w:tc>
        <w:tc>
          <w:tcPr>
            <w:tcW w:w="668"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≥80</w:t>
            </w:r>
          </w:p>
        </w:tc>
        <w:tc>
          <w:tcPr>
            <w:tcW w:w="69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实验室</w:t>
            </w:r>
          </w:p>
        </w:tc>
        <w:tc>
          <w:tcPr>
            <w:tcW w:w="686"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实验桌面</w:t>
            </w:r>
          </w:p>
        </w:tc>
        <w:tc>
          <w:tcPr>
            <w:tcW w:w="84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≥500</w:t>
            </w:r>
          </w:p>
        </w:tc>
        <w:tc>
          <w:tcPr>
            <w:tcW w:w="752"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≤16</w:t>
            </w:r>
          </w:p>
        </w:tc>
        <w:tc>
          <w:tcPr>
            <w:tcW w:w="668"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≥80</w:t>
            </w:r>
          </w:p>
        </w:tc>
        <w:tc>
          <w:tcPr>
            <w:tcW w:w="69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黑板（书写板）</w:t>
            </w:r>
          </w:p>
        </w:tc>
        <w:tc>
          <w:tcPr>
            <w:tcW w:w="686"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黑板面</w:t>
            </w:r>
          </w:p>
        </w:tc>
        <w:tc>
          <w:tcPr>
            <w:tcW w:w="84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≥500</w:t>
            </w:r>
          </w:p>
        </w:tc>
        <w:tc>
          <w:tcPr>
            <w:tcW w:w="752"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w:t>
            </w:r>
          </w:p>
        </w:tc>
        <w:tc>
          <w:tcPr>
            <w:tcW w:w="668"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≥80</w:t>
            </w:r>
          </w:p>
        </w:tc>
        <w:tc>
          <w:tcPr>
            <w:tcW w:w="697" w:type="pct"/>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pPr>
              <w:keepNext w:val="0"/>
              <w:keepLines w:val="0"/>
              <w:widowControl w:val="0"/>
              <w:suppressLineNumbers w:val="0"/>
              <w:autoSpaceDE/>
              <w:autoSpaceDN/>
              <w:spacing w:before="0" w:beforeAutospacing="0" w:after="0" w:afterAutospacing="0" w:line="360" w:lineRule="exact"/>
              <w:ind w:left="0" w:right="0" w:firstLine="0"/>
              <w:jc w:val="center"/>
              <w:rPr>
                <w:rStyle w:val="161"/>
                <w:rFonts w:hint="default" w:ascii="仿宋" w:hAnsi="仿宋" w:eastAsia="仿宋" w:cs="宋体"/>
                <w:color w:val="auto"/>
                <w:sz w:val="20"/>
                <w:szCs w:val="20"/>
              </w:rPr>
            </w:pPr>
            <w:r>
              <w:rPr>
                <w:rStyle w:val="161"/>
                <w:rFonts w:hint="eastAsia" w:ascii="仿宋" w:hAnsi="仿宋" w:eastAsia="仿宋" w:cs="宋体"/>
                <w:color w:val="auto"/>
                <w:sz w:val="20"/>
                <w:szCs w:val="20"/>
              </w:rPr>
              <w:t>注：照明设计计算照度时，其维护系数均取0.8。</w:t>
            </w:r>
          </w:p>
        </w:tc>
      </w:tr>
    </w:tbl>
    <w:p>
      <w:pPr>
        <w:pStyle w:val="13"/>
        <w:spacing w:line="400" w:lineRule="exact"/>
        <w:ind w:left="0" w:leftChars="0" w:firstLine="0" w:firstLineChars="0"/>
        <w:outlineLvl w:val="1"/>
        <w:rPr>
          <w:rFonts w:ascii="仿宋" w:hAnsi="仿宋" w:eastAsia="仿宋"/>
          <w:bCs/>
          <w:color w:val="auto"/>
          <w:sz w:val="24"/>
        </w:rPr>
      </w:pPr>
    </w:p>
    <w:p>
      <w:pPr>
        <w:pStyle w:val="13"/>
        <w:spacing w:line="400" w:lineRule="exact"/>
        <w:ind w:left="0" w:leftChars="0" w:firstLine="0" w:firstLineChars="0"/>
        <w:outlineLvl w:val="1"/>
        <w:rPr>
          <w:rFonts w:ascii="仿宋" w:hAnsi="仿宋" w:eastAsia="仿宋"/>
          <w:bCs/>
          <w:color w:val="auto"/>
          <w:sz w:val="24"/>
        </w:rPr>
      </w:pPr>
      <w:r>
        <w:rPr>
          <w:rFonts w:ascii="仿宋" w:hAnsi="仿宋" w:eastAsia="仿宋"/>
          <w:bCs/>
          <w:color w:val="auto"/>
          <w:sz w:val="24"/>
        </w:rPr>
        <w:t>（</w:t>
      </w:r>
      <w:r>
        <w:rPr>
          <w:rFonts w:hint="eastAsia" w:ascii="仿宋" w:hAnsi="仿宋" w:eastAsia="仿宋"/>
          <w:bCs/>
          <w:color w:val="auto"/>
          <w:sz w:val="24"/>
        </w:rPr>
        <w:t>三</w:t>
      </w:r>
      <w:r>
        <w:rPr>
          <w:rFonts w:ascii="仿宋" w:hAnsi="仿宋" w:eastAsia="仿宋"/>
          <w:bCs/>
          <w:color w:val="auto"/>
          <w:sz w:val="24"/>
        </w:rPr>
        <w:t>）</w:t>
      </w:r>
      <w:r>
        <w:rPr>
          <w:rFonts w:hint="eastAsia" w:ascii="仿宋" w:hAnsi="仿宋" w:eastAsia="仿宋"/>
          <w:bCs/>
          <w:color w:val="auto"/>
          <w:sz w:val="24"/>
        </w:rPr>
        <w:t>设备技术参数表</w:t>
      </w:r>
    </w:p>
    <w:tbl>
      <w:tblPr>
        <w:tblStyle w:val="37"/>
        <w:tblW w:w="9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155"/>
        <w:gridCol w:w="5688"/>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bookmarkStart w:id="1193" w:name="_Hlk94187021"/>
            <w:r>
              <w:rPr>
                <w:rFonts w:hint="default" w:ascii="仿宋" w:hAnsi="仿宋" w:eastAsia="仿宋" w:cs="Times New Roman"/>
                <w:b/>
                <w:bCs/>
                <w:color w:val="auto"/>
                <w:sz w:val="20"/>
                <w:szCs w:val="20"/>
              </w:rPr>
              <w:t>序号</w:t>
            </w:r>
          </w:p>
        </w:tc>
        <w:tc>
          <w:tcPr>
            <w:tcW w:w="1155"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default" w:ascii="仿宋" w:hAnsi="仿宋" w:eastAsia="仿宋" w:cs="Times New Roman"/>
                <w:b/>
                <w:bCs/>
                <w:color w:val="auto"/>
                <w:sz w:val="20"/>
                <w:szCs w:val="20"/>
              </w:rPr>
              <w:t>产品名称</w:t>
            </w:r>
          </w:p>
        </w:tc>
        <w:tc>
          <w:tcPr>
            <w:tcW w:w="5688"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default" w:ascii="仿宋" w:hAnsi="仿宋" w:eastAsia="仿宋" w:cs="Times New Roman"/>
                <w:b/>
                <w:bCs/>
                <w:color w:val="auto"/>
                <w:sz w:val="20"/>
                <w:szCs w:val="20"/>
              </w:rPr>
              <w:t>技术参数</w:t>
            </w:r>
            <w:r>
              <w:rPr>
                <w:rFonts w:hint="eastAsia" w:ascii="仿宋" w:hAnsi="仿宋" w:eastAsia="仿宋" w:cs="Times New Roman"/>
                <w:b/>
                <w:bCs/>
                <w:color w:val="auto"/>
                <w:sz w:val="20"/>
                <w:szCs w:val="20"/>
              </w:rPr>
              <w:t>及要求</w:t>
            </w:r>
          </w:p>
        </w:tc>
        <w:tc>
          <w:tcPr>
            <w:tcW w:w="1747"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default" w:ascii="仿宋" w:hAnsi="仿宋" w:eastAsia="仿宋" w:cs="Times New Roman"/>
                <w:b/>
                <w:bCs/>
                <w:color w:val="auto"/>
                <w:sz w:val="20"/>
                <w:szCs w:val="20"/>
              </w:rPr>
              <w:t>数量</w:t>
            </w:r>
            <w:r>
              <w:rPr>
                <w:rFonts w:hint="eastAsia" w:ascii="仿宋" w:hAnsi="仿宋" w:eastAsia="仿宋" w:cs="Times New Roman"/>
                <w:b/>
                <w:bCs/>
                <w:color w:val="auto"/>
                <w:sz w:val="20"/>
                <w:szCs w:val="2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default" w:ascii="仿宋" w:hAnsi="仿宋" w:eastAsia="仿宋" w:cs="Times New Roman"/>
                <w:b/>
                <w:bCs/>
                <w:color w:val="auto"/>
                <w:sz w:val="20"/>
                <w:szCs w:val="20"/>
              </w:rPr>
              <w:t>1</w:t>
            </w:r>
          </w:p>
        </w:tc>
        <w:tc>
          <w:tcPr>
            <w:tcW w:w="1155" w:type="dxa"/>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智慧灯光管理平台</w:t>
            </w:r>
          </w:p>
        </w:tc>
        <w:tc>
          <w:tcPr>
            <w:tcW w:w="5688" w:type="dxa"/>
            <w:noWrap w:val="0"/>
            <w:vAlign w:val="top"/>
          </w:tcPr>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1、教室智慧光环境融合智能终端，工业级无风扇设计，性能不低于：Intel Core i5/16GB/512G</w:t>
            </w:r>
            <w:r>
              <w:rPr>
                <w:rFonts w:hint="default" w:ascii="仿宋" w:hAnsi="仿宋" w:eastAsia="仿宋" w:cs="Times New Roman"/>
                <w:color w:val="auto"/>
                <w:sz w:val="20"/>
                <w:szCs w:val="20"/>
              </w:rPr>
              <w:t>B*2</w:t>
            </w:r>
            <w:r>
              <w:rPr>
                <w:rFonts w:hint="eastAsia" w:ascii="仿宋" w:hAnsi="仿宋" w:eastAsia="仿宋" w:cs="Times New Roman"/>
                <w:color w:val="auto"/>
                <w:sz w:val="20"/>
                <w:szCs w:val="20"/>
              </w:rPr>
              <w:t>，双千兆网卡，2.4G/5.8G双频wifi，wifi+</w:t>
            </w:r>
            <w:r>
              <w:rPr>
                <w:rFonts w:hint="default" w:ascii="仿宋" w:hAnsi="仿宋" w:eastAsia="仿宋" w:cs="Times New Roman"/>
                <w:color w:val="auto"/>
                <w:sz w:val="20"/>
                <w:szCs w:val="20"/>
              </w:rPr>
              <w:t>4G</w:t>
            </w:r>
            <w:r>
              <w:rPr>
                <w:rFonts w:hint="eastAsia" w:ascii="仿宋" w:hAnsi="仿宋" w:eastAsia="仿宋" w:cs="Times New Roman"/>
                <w:color w:val="auto"/>
                <w:sz w:val="20"/>
                <w:szCs w:val="20"/>
              </w:rPr>
              <w:t>全网通模块，带USB接口及视频输出接口；</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2、B/S架构，MQTT物联网标准通讯协议，支持VLAN跨网段数据通讯；</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default" w:ascii="仿宋" w:hAnsi="仿宋" w:eastAsia="仿宋" w:cs="Times New Roman"/>
                <w:color w:val="auto"/>
                <w:sz w:val="20"/>
                <w:szCs w:val="20"/>
              </w:rPr>
              <w:t>3</w:t>
            </w:r>
            <w:r>
              <w:rPr>
                <w:rFonts w:hint="eastAsia" w:ascii="仿宋" w:hAnsi="仿宋" w:eastAsia="仿宋" w:cs="Times New Roman"/>
                <w:color w:val="auto"/>
                <w:sz w:val="20"/>
                <w:szCs w:val="20"/>
              </w:rPr>
              <w:t>、支持总校/分校/教学楼/教室多级结构；</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default" w:ascii="仿宋" w:hAnsi="仿宋" w:eastAsia="仿宋" w:cs="Times New Roman"/>
                <w:color w:val="auto"/>
                <w:sz w:val="20"/>
                <w:szCs w:val="20"/>
              </w:rPr>
              <w:t>4</w:t>
            </w:r>
            <w:r>
              <w:rPr>
                <w:rFonts w:hint="eastAsia" w:ascii="仿宋" w:hAnsi="仿宋" w:eastAsia="仿宋" w:cs="Times New Roman"/>
                <w:color w:val="auto"/>
                <w:sz w:val="20"/>
                <w:szCs w:val="20"/>
              </w:rPr>
              <w:t>、支持对用户的管理，支持授权不同的角色相对应的管理权限；</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default" w:ascii="仿宋" w:hAnsi="仿宋" w:eastAsia="仿宋" w:cs="Times New Roman"/>
                <w:color w:val="auto"/>
                <w:sz w:val="20"/>
                <w:szCs w:val="20"/>
              </w:rPr>
              <w:t>5</w:t>
            </w:r>
            <w:r>
              <w:rPr>
                <w:rFonts w:hint="eastAsia" w:ascii="仿宋" w:hAnsi="仿宋" w:eastAsia="仿宋" w:cs="Times New Roman"/>
                <w:color w:val="auto"/>
                <w:sz w:val="20"/>
                <w:szCs w:val="20"/>
              </w:rPr>
              <w:t>、主动收集设备在线状态，设备执行状态，能耗数据；</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default" w:ascii="仿宋" w:hAnsi="仿宋" w:eastAsia="仿宋" w:cs="Times New Roman"/>
                <w:color w:val="auto"/>
                <w:sz w:val="20"/>
                <w:szCs w:val="20"/>
              </w:rPr>
              <w:t>6</w:t>
            </w:r>
            <w:r>
              <w:rPr>
                <w:rFonts w:hint="eastAsia" w:ascii="仿宋" w:hAnsi="仿宋" w:eastAsia="仿宋" w:cs="Times New Roman"/>
                <w:color w:val="auto"/>
                <w:sz w:val="20"/>
                <w:szCs w:val="20"/>
              </w:rPr>
              <w:t>、云+端设计：提供云平台配置教室控制模块的教室信息、设备信息、灯光绑定、灯光场景、灯光联动事件等数据信息，同时同步数据到本地，外网中断或本地信息丢失，可及时恢复，平台自动识别下发适配数据，无需重新配置，不影响灯光系统正常管理；</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7、配置数据，</w:t>
            </w:r>
            <w:r>
              <w:rPr>
                <w:rFonts w:hint="eastAsia" w:ascii="仿宋" w:hAnsi="仿宋" w:eastAsia="仿宋" w:cs="Times New Roman"/>
                <w:color w:val="auto"/>
                <w:sz w:val="20"/>
                <w:szCs w:val="20"/>
              </w:rPr>
              <w:t>运维</w:t>
            </w:r>
            <w:r>
              <w:rPr>
                <w:rFonts w:hint="default" w:ascii="仿宋" w:hAnsi="仿宋" w:eastAsia="仿宋" w:cs="Times New Roman"/>
                <w:color w:val="auto"/>
                <w:sz w:val="20"/>
                <w:szCs w:val="20"/>
              </w:rPr>
              <w:t>数据</w:t>
            </w:r>
            <w:r>
              <w:rPr>
                <w:rFonts w:hint="eastAsia" w:ascii="仿宋" w:hAnsi="仿宋" w:eastAsia="仿宋" w:cs="Times New Roman"/>
                <w:color w:val="auto"/>
                <w:sz w:val="20"/>
                <w:szCs w:val="20"/>
              </w:rPr>
              <w:t>多</w:t>
            </w:r>
            <w:r>
              <w:rPr>
                <w:rFonts w:hint="default" w:ascii="仿宋" w:hAnsi="仿宋" w:eastAsia="仿宋" w:cs="Times New Roman"/>
                <w:color w:val="auto"/>
                <w:sz w:val="20"/>
                <w:szCs w:val="20"/>
              </w:rPr>
              <w:t>级备份，任何一端</w:t>
            </w:r>
            <w:r>
              <w:rPr>
                <w:rFonts w:hint="eastAsia" w:ascii="仿宋" w:hAnsi="仿宋" w:eastAsia="仿宋" w:cs="Times New Roman"/>
                <w:color w:val="auto"/>
                <w:sz w:val="20"/>
                <w:szCs w:val="20"/>
              </w:rPr>
              <w:t>故障时都</w:t>
            </w:r>
            <w:r>
              <w:rPr>
                <w:rFonts w:hint="default" w:ascii="仿宋" w:hAnsi="仿宋" w:eastAsia="仿宋" w:cs="Times New Roman"/>
                <w:color w:val="auto"/>
                <w:sz w:val="20"/>
                <w:szCs w:val="20"/>
              </w:rPr>
              <w:t>可在恢复故障后自动同</w:t>
            </w:r>
            <w:r>
              <w:rPr>
                <w:rFonts w:hint="eastAsia" w:ascii="仿宋" w:hAnsi="仿宋" w:eastAsia="仿宋" w:cs="Times New Roman"/>
                <w:color w:val="auto"/>
                <w:sz w:val="20"/>
                <w:szCs w:val="20"/>
              </w:rPr>
              <w:t>步</w:t>
            </w:r>
            <w:r>
              <w:rPr>
                <w:rFonts w:hint="default" w:ascii="仿宋" w:hAnsi="仿宋" w:eastAsia="仿宋" w:cs="Times New Roman"/>
                <w:color w:val="auto"/>
                <w:sz w:val="20"/>
                <w:szCs w:val="20"/>
              </w:rPr>
              <w:t>，确保</w:t>
            </w:r>
            <w:r>
              <w:rPr>
                <w:rFonts w:hint="eastAsia" w:ascii="仿宋" w:hAnsi="仿宋" w:eastAsia="仿宋" w:cs="Times New Roman"/>
                <w:color w:val="auto"/>
                <w:sz w:val="20"/>
                <w:szCs w:val="20"/>
              </w:rPr>
              <w:t>校</w:t>
            </w:r>
            <w:r>
              <w:rPr>
                <w:rFonts w:hint="default" w:ascii="仿宋" w:hAnsi="仿宋" w:eastAsia="仿宋" w:cs="Times New Roman"/>
                <w:color w:val="auto"/>
                <w:sz w:val="20"/>
                <w:szCs w:val="20"/>
              </w:rPr>
              <w:t>级数据</w:t>
            </w:r>
            <w:r>
              <w:rPr>
                <w:rFonts w:hint="eastAsia" w:ascii="仿宋" w:hAnsi="仿宋" w:eastAsia="仿宋" w:cs="Times New Roman"/>
                <w:color w:val="auto"/>
                <w:sz w:val="20"/>
                <w:szCs w:val="20"/>
              </w:rPr>
              <w:t>安</w:t>
            </w:r>
            <w:r>
              <w:rPr>
                <w:rFonts w:hint="default" w:ascii="仿宋" w:hAnsi="仿宋" w:eastAsia="仿宋" w:cs="Times New Roman"/>
                <w:color w:val="auto"/>
                <w:sz w:val="20"/>
                <w:szCs w:val="20"/>
              </w:rPr>
              <w:t>全</w:t>
            </w:r>
            <w:r>
              <w:rPr>
                <w:rFonts w:hint="eastAsia" w:ascii="仿宋" w:hAnsi="仿宋" w:eastAsia="仿宋" w:cs="Times New Roman"/>
                <w:color w:val="auto"/>
                <w:sz w:val="20"/>
                <w:szCs w:val="20"/>
              </w:rPr>
              <w:t>；（提供软件功能截图加盖投标人公章（鲜章））</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8</w:t>
            </w:r>
            <w:r>
              <w:rPr>
                <w:rFonts w:hint="eastAsia" w:ascii="仿宋" w:hAnsi="仿宋" w:eastAsia="仿宋" w:cs="Times New Roman"/>
                <w:color w:val="auto"/>
                <w:sz w:val="20"/>
                <w:szCs w:val="20"/>
              </w:rPr>
              <w:t>、具有教室能耗监控管理功能，能够对教室的所有设备整体能耗进行实时监控，统计，学校能耗数据能被上级平台管理；（提供软件功能截图加盖投标人公章（鲜章））</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9</w:t>
            </w:r>
            <w:r>
              <w:rPr>
                <w:rFonts w:hint="eastAsia" w:ascii="仿宋" w:hAnsi="仿宋" w:eastAsia="仿宋" w:cs="Times New Roman"/>
                <w:color w:val="auto"/>
                <w:sz w:val="20"/>
                <w:szCs w:val="20"/>
              </w:rPr>
              <w:t>、提供标准数据接口API，包括教室总数、在线总数、使用总数、灯光总数、运行总数、实时功耗、累计用电量，提供两级物联网大数据平台，实现数据汇总、展示、分析。（提供软件功能截图加盖投标人公章（鲜章））</w:t>
            </w:r>
          </w:p>
        </w:tc>
        <w:tc>
          <w:tcPr>
            <w:tcW w:w="1747"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包1（4</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包2（3</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包3（5</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包4（6</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default" w:ascii="仿宋" w:hAnsi="仿宋" w:eastAsia="仿宋" w:cs="Times New Roman"/>
                <w:b/>
                <w:bCs/>
                <w:color w:val="auto"/>
                <w:sz w:val="20"/>
                <w:szCs w:val="20"/>
              </w:rPr>
              <w:t>2</w:t>
            </w:r>
          </w:p>
        </w:tc>
        <w:tc>
          <w:tcPr>
            <w:tcW w:w="1155" w:type="dxa"/>
            <w:noWrap w:val="0"/>
            <w:vAlign w:val="center"/>
          </w:tcPr>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中心控制器</w:t>
            </w:r>
          </w:p>
        </w:tc>
        <w:tc>
          <w:tcPr>
            <w:tcW w:w="5688" w:type="dxa"/>
            <w:noWrap w:val="0"/>
            <w:vAlign w:val="top"/>
          </w:tcPr>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含固定式控制台和移动式手持配置终端各一</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固定式控制台要求：</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1、落地式钢制结构，≥2</w:t>
            </w:r>
            <w:r>
              <w:rPr>
                <w:rFonts w:hint="default" w:ascii="仿宋" w:hAnsi="仿宋" w:eastAsia="仿宋" w:cs="Times New Roman"/>
                <w:color w:val="auto"/>
                <w:sz w:val="20"/>
                <w:szCs w:val="20"/>
              </w:rPr>
              <w:t>1</w:t>
            </w:r>
            <w:r>
              <w:rPr>
                <w:rFonts w:hint="eastAsia" w:ascii="仿宋" w:hAnsi="仿宋" w:eastAsia="仿宋" w:cs="Times New Roman"/>
                <w:color w:val="auto"/>
                <w:sz w:val="20"/>
                <w:szCs w:val="20"/>
              </w:rPr>
              <w:t>英寸电容式触摸显示屏，软硬一体化设计；</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2、支持对教室内灯光全开/全关、分组开关、场景切换的远程控制和实时监控在线状态、开关状态；</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default" w:ascii="仿宋" w:hAnsi="仿宋" w:eastAsia="仿宋" w:cs="Times New Roman"/>
                <w:color w:val="auto"/>
                <w:sz w:val="20"/>
                <w:szCs w:val="20"/>
              </w:rPr>
              <w:t>3</w:t>
            </w:r>
            <w:r>
              <w:rPr>
                <w:rFonts w:hint="eastAsia" w:ascii="仿宋" w:hAnsi="仿宋" w:eastAsia="仿宋" w:cs="Times New Roman"/>
                <w:color w:val="auto"/>
                <w:sz w:val="20"/>
                <w:szCs w:val="20"/>
              </w:rPr>
              <w:t>、可定制界面，支持不同时间维度的数据查看，显示能耗变化趋势，可按时间、日期查看灯光系统的数据记录，数据可视化，显示电压、电流、功率、电量、操作日志等数据；</w:t>
            </w:r>
          </w:p>
          <w:p>
            <w:pPr>
              <w:keepNext w:val="0"/>
              <w:keepLines w:val="0"/>
              <w:widowControl/>
              <w:suppressLineNumbers w:val="0"/>
              <w:spacing w:before="0" w:beforeAutospacing="0" w:after="0" w:afterAutospacing="0"/>
              <w:ind w:left="0" w:right="0"/>
              <w:rPr>
                <w:rFonts w:hint="default"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移动式手持配置终端要求：</w:t>
            </w:r>
          </w:p>
          <w:p>
            <w:pPr>
              <w:keepNext w:val="0"/>
              <w:keepLines w:val="0"/>
              <w:widowControl/>
              <w:suppressLineNumbers w:val="0"/>
              <w:spacing w:before="0" w:beforeAutospacing="0" w:after="0" w:afterAutospacing="0"/>
              <w:ind w:left="0" w:right="0"/>
              <w:rPr>
                <w:rFonts w:hint="default" w:ascii="仿宋_GB2312" w:hAnsi="仿宋_GB2312" w:eastAsia="仿宋_GB2312" w:cs="仿宋_GB2312"/>
                <w:color w:val="auto"/>
                <w:sz w:val="20"/>
                <w:szCs w:val="20"/>
              </w:rPr>
            </w:pPr>
            <w:r>
              <w:rPr>
                <w:rFonts w:hint="default" w:ascii="仿宋_GB2312" w:hAnsi="仿宋_GB2312" w:eastAsia="仿宋_GB2312" w:cs="仿宋_GB2312"/>
                <w:color w:val="auto"/>
                <w:sz w:val="20"/>
                <w:szCs w:val="20"/>
              </w:rPr>
              <w:t>4</w:t>
            </w:r>
            <w:r>
              <w:rPr>
                <w:rFonts w:hint="eastAsia" w:ascii="仿宋_GB2312" w:hAnsi="仿宋_GB2312" w:eastAsia="仿宋_GB2312" w:cs="仿宋_GB2312"/>
                <w:color w:val="auto"/>
                <w:sz w:val="20"/>
                <w:szCs w:val="20"/>
              </w:rPr>
              <w:t>、支持学校教室灯光配置，可对教室结构按照实际结构与班级匹配，如设备出现故障，只需更换相应设备即可；</w:t>
            </w:r>
          </w:p>
          <w:p>
            <w:pPr>
              <w:keepNext w:val="0"/>
              <w:keepLines w:val="0"/>
              <w:widowControl/>
              <w:suppressLineNumbers w:val="0"/>
              <w:spacing w:before="0" w:beforeAutospacing="0" w:after="0" w:afterAutospacing="0"/>
              <w:ind w:left="0" w:right="0"/>
              <w:rPr>
                <w:rFonts w:hint="default" w:ascii="仿宋_GB2312" w:hAnsi="仿宋_GB2312" w:eastAsia="仿宋_GB2312" w:cs="仿宋_GB2312"/>
                <w:color w:val="auto"/>
                <w:sz w:val="20"/>
                <w:szCs w:val="20"/>
              </w:rPr>
            </w:pPr>
            <w:r>
              <w:rPr>
                <w:rFonts w:hint="default" w:ascii="仿宋_GB2312" w:hAnsi="仿宋_GB2312" w:eastAsia="仿宋_GB2312" w:cs="仿宋_GB2312"/>
                <w:color w:val="auto"/>
                <w:sz w:val="20"/>
                <w:szCs w:val="20"/>
              </w:rPr>
              <w:t>5</w:t>
            </w:r>
            <w:r>
              <w:rPr>
                <w:rFonts w:hint="eastAsia" w:ascii="仿宋_GB2312" w:hAnsi="仿宋_GB2312" w:eastAsia="仿宋_GB2312" w:cs="仿宋_GB2312"/>
                <w:color w:val="auto"/>
                <w:sz w:val="20"/>
                <w:szCs w:val="20"/>
              </w:rPr>
              <w:t>、具有自定义场景模式功能，支持自定义多种场景，支持一键远程场景切换，根据设置的场景模式实现自动灯光控制等操作；</w:t>
            </w:r>
          </w:p>
          <w:p>
            <w:pPr>
              <w:keepNext w:val="0"/>
              <w:keepLines w:val="0"/>
              <w:widowControl/>
              <w:suppressLineNumbers w:val="0"/>
              <w:spacing w:before="0" w:beforeAutospacing="0" w:after="0" w:afterAutospacing="0"/>
              <w:ind w:left="0" w:right="0"/>
              <w:rPr>
                <w:rFonts w:hint="default" w:ascii="仿宋_GB2312" w:hAnsi="仿宋_GB2312" w:eastAsia="仿宋_GB2312" w:cs="仿宋_GB2312"/>
                <w:color w:val="auto"/>
                <w:sz w:val="20"/>
                <w:szCs w:val="20"/>
              </w:rPr>
            </w:pPr>
            <w:r>
              <w:rPr>
                <w:rFonts w:hint="default" w:ascii="仿宋_GB2312" w:hAnsi="仿宋_GB2312" w:eastAsia="仿宋_GB2312" w:cs="仿宋_GB2312"/>
                <w:color w:val="auto"/>
                <w:sz w:val="20"/>
                <w:szCs w:val="20"/>
              </w:rPr>
              <w:t>6</w:t>
            </w:r>
            <w:r>
              <w:rPr>
                <w:rFonts w:hint="eastAsia" w:ascii="仿宋_GB2312" w:hAnsi="仿宋_GB2312" w:eastAsia="仿宋_GB2312" w:cs="仿宋_GB2312"/>
                <w:color w:val="auto"/>
                <w:sz w:val="20"/>
                <w:szCs w:val="20"/>
              </w:rPr>
              <w:t>、可根据校园建筑结构查看所有建筑、楼层、单间教室的能源使用及告警情况；</w:t>
            </w:r>
          </w:p>
          <w:p>
            <w:pPr>
              <w:keepNext w:val="0"/>
              <w:keepLines w:val="0"/>
              <w:widowControl/>
              <w:suppressLineNumbers w:val="0"/>
              <w:spacing w:before="0" w:beforeAutospacing="0" w:after="0" w:afterAutospacing="0"/>
              <w:ind w:left="0" w:right="0"/>
              <w:rPr>
                <w:rFonts w:hint="default"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设备故障（及断电）分级报修提醒；中心控制器本地语音提示，本地语音报警输出功率≥30W；中心控制器可将报警信息通过短信形式下发到设备管理员指定手机；报修超时未处理可形成报表推送至校级告警界面；</w:t>
            </w:r>
          </w:p>
          <w:p>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0"/>
                <w:szCs w:val="20"/>
              </w:rPr>
            </w:pPr>
            <w:r>
              <w:rPr>
                <w:rFonts w:hint="eastAsia" w:ascii="仿宋_GB2312" w:hAnsi="仿宋_GB2312" w:eastAsia="仿宋_GB2312" w:cs="仿宋_GB2312"/>
                <w:color w:val="auto"/>
                <w:sz w:val="20"/>
                <w:szCs w:val="20"/>
              </w:rPr>
              <w:t>8、提供系统自动定时运行配置，可根据课表事件编辑灯光定时事件，直接下发到教室设备，实现断网自动运行的功能。</w:t>
            </w:r>
          </w:p>
        </w:tc>
        <w:tc>
          <w:tcPr>
            <w:tcW w:w="1747"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包1（4</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包2（5</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firstLine="201" w:firstLineChars="100"/>
              <w:contextualSpacing/>
              <w:jc w:val="both"/>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包3（20</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包4（6</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default" w:ascii="仿宋" w:hAnsi="仿宋" w:eastAsia="仿宋" w:cs="Times New Roman"/>
                <w:b/>
                <w:bCs/>
                <w:color w:val="auto"/>
                <w:sz w:val="20"/>
                <w:szCs w:val="20"/>
              </w:rPr>
              <w:t>3</w:t>
            </w:r>
          </w:p>
        </w:tc>
        <w:tc>
          <w:tcPr>
            <w:tcW w:w="1155" w:type="dxa"/>
            <w:noWrap w:val="0"/>
            <w:vAlign w:val="center"/>
          </w:tcPr>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L</w:t>
            </w:r>
            <w:r>
              <w:rPr>
                <w:rFonts w:hint="default" w:ascii="仿宋" w:hAnsi="仿宋" w:eastAsia="仿宋" w:cs="Times New Roman"/>
                <w:color w:val="auto"/>
                <w:sz w:val="20"/>
                <w:szCs w:val="20"/>
              </w:rPr>
              <w:t>ED教室 灯（</w:t>
            </w:r>
            <w:r>
              <w:rPr>
                <w:rFonts w:hint="eastAsia" w:ascii="仿宋" w:hAnsi="仿宋" w:eastAsia="仿宋" w:cs="Times New Roman"/>
                <w:color w:val="auto"/>
                <w:sz w:val="20"/>
                <w:szCs w:val="20"/>
              </w:rPr>
              <w:t>核心产品）</w:t>
            </w:r>
          </w:p>
        </w:tc>
        <w:tc>
          <w:tcPr>
            <w:tcW w:w="5688" w:type="dxa"/>
            <w:noWrap w:val="0"/>
            <w:vAlign w:val="top"/>
          </w:tcPr>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default" w:ascii="仿宋" w:hAnsi="仿宋" w:eastAsia="仿宋" w:cs="Times New Roman"/>
                <w:color w:val="auto"/>
                <w:sz w:val="20"/>
                <w:szCs w:val="20"/>
              </w:rPr>
              <w:t>1</w:t>
            </w:r>
            <w:r>
              <w:rPr>
                <w:rFonts w:hint="eastAsia" w:ascii="仿宋" w:hAnsi="仿宋" w:eastAsia="仿宋" w:cs="Times New Roman"/>
                <w:color w:val="auto"/>
                <w:sz w:val="20"/>
                <w:szCs w:val="20"/>
              </w:rPr>
              <w:t>、一体式</w:t>
            </w:r>
            <w:r>
              <w:rPr>
                <w:rFonts w:hint="default" w:ascii="仿宋" w:hAnsi="仿宋" w:eastAsia="仿宋" w:cs="Times New Roman"/>
                <w:color w:val="auto"/>
                <w:sz w:val="20"/>
                <w:szCs w:val="20"/>
              </w:rPr>
              <w:t>LED</w:t>
            </w:r>
            <w:r>
              <w:rPr>
                <w:rFonts w:hint="eastAsia" w:ascii="仿宋" w:hAnsi="仿宋" w:eastAsia="仿宋" w:cs="Times New Roman"/>
                <w:color w:val="auto"/>
                <w:sz w:val="20"/>
                <w:szCs w:val="20"/>
              </w:rPr>
              <w:t>灯具；尺寸长度≥</w:t>
            </w:r>
            <w:r>
              <w:rPr>
                <w:rFonts w:hint="default" w:ascii="仿宋" w:hAnsi="仿宋" w:eastAsia="仿宋" w:cs="Times New Roman"/>
                <w:color w:val="auto"/>
                <w:sz w:val="20"/>
                <w:szCs w:val="20"/>
              </w:rPr>
              <w:t>1200mm</w:t>
            </w:r>
            <w:r>
              <w:rPr>
                <w:rFonts w:hint="eastAsia" w:ascii="仿宋" w:hAnsi="仿宋" w:eastAsia="仿宋" w:cs="Times New Roman"/>
                <w:color w:val="auto"/>
                <w:sz w:val="20"/>
                <w:szCs w:val="20"/>
              </w:rPr>
              <w:t>；灯具壳体边框采用≥</w:t>
            </w:r>
            <w:r>
              <w:rPr>
                <w:rFonts w:hint="default" w:ascii="仿宋" w:hAnsi="仿宋" w:eastAsia="仿宋" w:cs="Times New Roman"/>
                <w:color w:val="auto"/>
                <w:sz w:val="20"/>
                <w:szCs w:val="20"/>
              </w:rPr>
              <w:t>0.4mm</w:t>
            </w:r>
            <w:r>
              <w:rPr>
                <w:rFonts w:hint="eastAsia" w:ascii="仿宋" w:hAnsi="仿宋" w:eastAsia="仿宋" w:cs="Times New Roman"/>
                <w:color w:val="auto"/>
                <w:sz w:val="20"/>
                <w:szCs w:val="20"/>
              </w:rPr>
              <w:t>铝型材等轻型、坚固金属材料，并经氧化处理，无毛刺，具备防锈功能；</w:t>
            </w:r>
          </w:p>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eastAsia" w:ascii="仿宋_GB2312" w:hAnsi="仿宋_GB2312" w:eastAsia="仿宋_GB2312" w:cs="仿宋_GB2312"/>
                <w:color w:val="auto"/>
                <w:sz w:val="20"/>
                <w:szCs w:val="20"/>
              </w:rPr>
              <w:t>▲</w:t>
            </w:r>
            <w:r>
              <w:rPr>
                <w:rFonts w:hint="default" w:ascii="仿宋" w:hAnsi="仿宋" w:eastAsia="仿宋" w:cs="Times New Roman"/>
                <w:color w:val="auto"/>
                <w:sz w:val="20"/>
                <w:szCs w:val="20"/>
              </w:rPr>
              <w:t>2</w:t>
            </w:r>
            <w:r>
              <w:rPr>
                <w:rFonts w:hint="eastAsia" w:ascii="仿宋" w:hAnsi="仿宋" w:eastAsia="仿宋" w:cs="Times New Roman"/>
                <w:color w:val="auto"/>
                <w:sz w:val="20"/>
                <w:szCs w:val="20"/>
              </w:rPr>
              <w:t>、照明功率密度≤</w:t>
            </w:r>
            <w:r>
              <w:rPr>
                <w:rFonts w:hint="default" w:ascii="仿宋" w:hAnsi="仿宋" w:eastAsia="仿宋" w:cs="Times New Roman"/>
                <w:color w:val="auto"/>
                <w:sz w:val="20"/>
                <w:szCs w:val="20"/>
              </w:rPr>
              <w:t>9W/</w:t>
            </w:r>
            <w:r>
              <w:rPr>
                <w:rFonts w:hint="eastAsia" w:ascii="仿宋" w:hAnsi="仿宋" w:eastAsia="仿宋" w:cs="Times New Roman"/>
                <w:color w:val="auto"/>
                <w:sz w:val="20"/>
                <w:szCs w:val="20"/>
              </w:rPr>
              <w:t>㎡，寿命≥</w:t>
            </w:r>
            <w:r>
              <w:rPr>
                <w:rFonts w:hint="default" w:ascii="仿宋" w:hAnsi="仿宋" w:eastAsia="仿宋" w:cs="Times New Roman"/>
                <w:color w:val="auto"/>
                <w:sz w:val="20"/>
                <w:szCs w:val="20"/>
              </w:rPr>
              <w:t>50000</w:t>
            </w:r>
            <w:r>
              <w:rPr>
                <w:rFonts w:hint="eastAsia" w:ascii="仿宋" w:hAnsi="仿宋" w:eastAsia="仿宋" w:cs="Times New Roman"/>
                <w:color w:val="auto"/>
                <w:sz w:val="20"/>
                <w:szCs w:val="20"/>
              </w:rPr>
              <w:t>小时，维持平均照度≥</w:t>
            </w:r>
            <w:r>
              <w:rPr>
                <w:rFonts w:hint="default" w:ascii="仿宋" w:hAnsi="仿宋" w:eastAsia="仿宋" w:cs="Times New Roman"/>
                <w:color w:val="auto"/>
                <w:sz w:val="20"/>
                <w:szCs w:val="20"/>
              </w:rPr>
              <w:t>300lx</w:t>
            </w:r>
            <w:r>
              <w:rPr>
                <w:rFonts w:hint="eastAsia" w:ascii="仿宋" w:hAnsi="仿宋" w:eastAsia="仿宋" w:cs="Times New Roman"/>
                <w:color w:val="auto"/>
                <w:sz w:val="20"/>
                <w:szCs w:val="20"/>
              </w:rPr>
              <w:t>，均匀度≥</w:t>
            </w:r>
            <w:r>
              <w:rPr>
                <w:rFonts w:hint="default" w:ascii="仿宋" w:hAnsi="仿宋" w:eastAsia="仿宋" w:cs="Times New Roman"/>
                <w:color w:val="auto"/>
                <w:sz w:val="20"/>
                <w:szCs w:val="20"/>
              </w:rPr>
              <w:t>0.7</w:t>
            </w:r>
            <w:r>
              <w:rPr>
                <w:rFonts w:hint="eastAsia" w:ascii="仿宋" w:hAnsi="仿宋" w:eastAsia="仿宋" w:cs="Times New Roman"/>
                <w:color w:val="auto"/>
                <w:sz w:val="20"/>
                <w:szCs w:val="20"/>
              </w:rPr>
              <w:t>，统一眩光值≤</w:t>
            </w:r>
            <w:r>
              <w:rPr>
                <w:rFonts w:hint="default" w:ascii="仿宋" w:hAnsi="仿宋" w:eastAsia="仿宋" w:cs="Times New Roman"/>
                <w:color w:val="auto"/>
                <w:sz w:val="20"/>
                <w:szCs w:val="20"/>
              </w:rPr>
              <w:t>16</w:t>
            </w:r>
            <w:r>
              <w:rPr>
                <w:rFonts w:hint="eastAsia" w:ascii="仿宋" w:hAnsi="仿宋" w:eastAsia="仿宋" w:cs="Times New Roman"/>
                <w:color w:val="auto"/>
                <w:sz w:val="20"/>
                <w:szCs w:val="20"/>
              </w:rPr>
              <w:t>；</w:t>
            </w:r>
          </w:p>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default" w:ascii="仿宋" w:hAnsi="仿宋" w:eastAsia="仿宋" w:cs="Times New Roman"/>
                <w:color w:val="auto"/>
                <w:sz w:val="20"/>
                <w:szCs w:val="20"/>
              </w:rPr>
              <w:t>3</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LED</w:t>
            </w:r>
            <w:r>
              <w:rPr>
                <w:rFonts w:hint="eastAsia" w:ascii="仿宋" w:hAnsi="仿宋" w:eastAsia="仿宋" w:cs="Times New Roman"/>
                <w:color w:val="auto"/>
                <w:sz w:val="20"/>
                <w:szCs w:val="20"/>
              </w:rPr>
              <w:t>教室灯色温满足</w:t>
            </w:r>
            <w:r>
              <w:rPr>
                <w:rFonts w:hint="default" w:ascii="仿宋" w:hAnsi="仿宋" w:eastAsia="仿宋" w:cs="Times New Roman"/>
                <w:color w:val="auto"/>
                <w:sz w:val="20"/>
                <w:szCs w:val="20"/>
              </w:rPr>
              <w:t>3300K—5300K</w:t>
            </w:r>
            <w:r>
              <w:rPr>
                <w:rFonts w:hint="eastAsia" w:ascii="仿宋" w:hAnsi="仿宋" w:eastAsia="仿宋" w:cs="Times New Roman"/>
                <w:color w:val="auto"/>
                <w:sz w:val="20"/>
                <w:szCs w:val="20"/>
              </w:rPr>
              <w:t>，显色指数满足</w:t>
            </w:r>
            <w:r>
              <w:rPr>
                <w:rFonts w:hint="default" w:ascii="仿宋" w:hAnsi="仿宋" w:eastAsia="仿宋" w:cs="Times New Roman"/>
                <w:color w:val="auto"/>
                <w:sz w:val="20"/>
                <w:szCs w:val="20"/>
              </w:rPr>
              <w:t>Ra</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80</w:t>
            </w:r>
            <w:r>
              <w:rPr>
                <w:rFonts w:hint="eastAsia" w:ascii="仿宋" w:hAnsi="仿宋" w:eastAsia="仿宋" w:cs="Times New Roman"/>
                <w:color w:val="auto"/>
                <w:sz w:val="20"/>
                <w:szCs w:val="20"/>
              </w:rPr>
              <w:t>；</w:t>
            </w:r>
          </w:p>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default" w:ascii="仿宋" w:hAnsi="仿宋" w:eastAsia="仿宋" w:cs="Times New Roman"/>
                <w:color w:val="auto"/>
                <w:sz w:val="20"/>
                <w:szCs w:val="20"/>
              </w:rPr>
              <w:t>4</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LED</w:t>
            </w:r>
            <w:r>
              <w:rPr>
                <w:rFonts w:hint="eastAsia" w:ascii="仿宋" w:hAnsi="仿宋" w:eastAsia="仿宋" w:cs="Times New Roman"/>
                <w:color w:val="auto"/>
                <w:sz w:val="20"/>
                <w:szCs w:val="20"/>
              </w:rPr>
              <w:t>教室灯频闪质量特征认证结果为无显著影响或无频闪危害；</w:t>
            </w:r>
          </w:p>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default" w:ascii="仿宋" w:hAnsi="仿宋" w:eastAsia="仿宋" w:cs="Times New Roman"/>
                <w:color w:val="auto"/>
                <w:sz w:val="20"/>
                <w:szCs w:val="20"/>
              </w:rPr>
              <w:t>5</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LED</w:t>
            </w:r>
            <w:r>
              <w:rPr>
                <w:rFonts w:hint="eastAsia" w:ascii="仿宋" w:hAnsi="仿宋" w:eastAsia="仿宋" w:cs="Times New Roman"/>
                <w:color w:val="auto"/>
                <w:sz w:val="20"/>
                <w:szCs w:val="20"/>
              </w:rPr>
              <w:t>教室灯蓝光危害等级为</w:t>
            </w:r>
            <w:r>
              <w:rPr>
                <w:rFonts w:hint="default" w:ascii="仿宋" w:hAnsi="仿宋" w:eastAsia="仿宋" w:cs="Times New Roman"/>
                <w:color w:val="auto"/>
                <w:sz w:val="20"/>
                <w:szCs w:val="20"/>
              </w:rPr>
              <w:t>RG0</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0</w:t>
            </w:r>
            <w:r>
              <w:rPr>
                <w:rFonts w:hint="eastAsia" w:ascii="仿宋" w:hAnsi="仿宋" w:eastAsia="仿宋" w:cs="Times New Roman"/>
                <w:color w:val="auto"/>
                <w:sz w:val="20"/>
                <w:szCs w:val="20"/>
              </w:rPr>
              <w:t>类危险）；</w:t>
            </w:r>
          </w:p>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default" w:ascii="仿宋" w:hAnsi="仿宋" w:eastAsia="仿宋" w:cs="Times New Roman"/>
                <w:color w:val="auto"/>
                <w:sz w:val="20"/>
                <w:szCs w:val="20"/>
              </w:rPr>
              <w:t>6</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LED</w:t>
            </w:r>
            <w:r>
              <w:rPr>
                <w:rFonts w:hint="eastAsia" w:ascii="仿宋" w:hAnsi="仿宋" w:eastAsia="仿宋" w:cs="Times New Roman"/>
                <w:color w:val="auto"/>
                <w:sz w:val="20"/>
                <w:szCs w:val="20"/>
              </w:rPr>
              <w:t>教室灯密封防尘满足</w:t>
            </w:r>
            <w:r>
              <w:rPr>
                <w:rFonts w:hint="default" w:ascii="仿宋" w:hAnsi="仿宋" w:eastAsia="仿宋" w:cs="Times New Roman"/>
                <w:color w:val="auto"/>
                <w:sz w:val="20"/>
                <w:szCs w:val="20"/>
              </w:rPr>
              <w:t>IP40</w:t>
            </w:r>
            <w:r>
              <w:rPr>
                <w:rFonts w:hint="eastAsia" w:ascii="仿宋" w:hAnsi="仿宋" w:eastAsia="仿宋" w:cs="Times New Roman"/>
                <w:color w:val="auto"/>
                <w:sz w:val="20"/>
                <w:szCs w:val="20"/>
              </w:rPr>
              <w:t>或以上等级要求；</w:t>
            </w:r>
          </w:p>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default" w:ascii="仿宋" w:hAnsi="仿宋" w:eastAsia="仿宋" w:cs="Times New Roman"/>
                <w:color w:val="auto"/>
                <w:sz w:val="20"/>
                <w:szCs w:val="20"/>
              </w:rPr>
              <w:t>7</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LED</w:t>
            </w:r>
            <w:r>
              <w:rPr>
                <w:rFonts w:hint="eastAsia" w:ascii="仿宋" w:hAnsi="仿宋" w:eastAsia="仿宋" w:cs="Times New Roman"/>
                <w:color w:val="auto"/>
                <w:sz w:val="20"/>
                <w:szCs w:val="20"/>
              </w:rPr>
              <w:t>教室灯通过教室优质照明光环境认证，提供第三方认证机构出具的认证证书复印件并加盖投标人公章（鲜章）。</w:t>
            </w:r>
          </w:p>
          <w:p>
            <w:pPr>
              <w:keepNext w:val="0"/>
              <w:keepLines w:val="0"/>
              <w:widowControl w:val="0"/>
              <w:suppressLineNumbers w:val="0"/>
              <w:kinsoku/>
              <w:autoSpaceDE/>
              <w:autoSpaceDN/>
              <w:adjustRightInd/>
              <w:snapToGrid/>
              <w:spacing w:before="0" w:beforeAutospacing="0" w:after="0" w:afterAutospacing="0"/>
              <w:ind w:left="0" w:right="0"/>
              <w:textAlignment w:val="auto"/>
              <w:rPr>
                <w:rFonts w:hint="default" w:ascii="仿宋" w:hAnsi="仿宋" w:eastAsia="仿宋" w:cs="Times New Roman"/>
                <w:color w:val="auto"/>
                <w:sz w:val="20"/>
                <w:szCs w:val="20"/>
              </w:rPr>
            </w:pPr>
            <w:r>
              <w:rPr>
                <w:rFonts w:hint="eastAsia" w:ascii="仿宋" w:hAnsi="仿宋" w:eastAsia="仿宋" w:cs="Times New Roman"/>
                <w:color w:val="auto"/>
                <w:sz w:val="20"/>
                <w:szCs w:val="20"/>
              </w:rPr>
              <w:t>说明：第</w:t>
            </w:r>
            <w:r>
              <w:rPr>
                <w:rFonts w:hint="default" w:ascii="仿宋" w:hAnsi="仿宋" w:eastAsia="仿宋" w:cs="Times New Roman"/>
                <w:color w:val="auto"/>
                <w:sz w:val="20"/>
                <w:szCs w:val="20"/>
              </w:rPr>
              <w:t>2</w:t>
            </w:r>
            <w:r>
              <w:rPr>
                <w:rFonts w:hint="eastAsia" w:ascii="仿宋" w:hAnsi="仿宋" w:eastAsia="仿宋" w:cs="Times New Roman"/>
                <w:color w:val="auto"/>
                <w:sz w:val="20"/>
                <w:szCs w:val="20"/>
              </w:rPr>
              <w:t>至</w:t>
            </w:r>
            <w:r>
              <w:rPr>
                <w:rFonts w:hint="default" w:ascii="仿宋" w:hAnsi="仿宋" w:eastAsia="仿宋" w:cs="Times New Roman"/>
                <w:color w:val="auto"/>
                <w:sz w:val="20"/>
                <w:szCs w:val="20"/>
              </w:rPr>
              <w:t>6</w:t>
            </w:r>
            <w:r>
              <w:rPr>
                <w:rFonts w:hint="eastAsia" w:ascii="仿宋" w:hAnsi="仿宋" w:eastAsia="仿宋" w:cs="Times New Roman"/>
                <w:color w:val="auto"/>
                <w:sz w:val="20"/>
                <w:szCs w:val="20"/>
              </w:rPr>
              <w:t>项技术参数需提供带有</w:t>
            </w:r>
            <w:r>
              <w:rPr>
                <w:rFonts w:hint="default" w:ascii="仿宋" w:hAnsi="仿宋" w:eastAsia="仿宋" w:cs="Times New Roman"/>
                <w:color w:val="auto"/>
                <w:sz w:val="20"/>
                <w:szCs w:val="20"/>
              </w:rPr>
              <w:t>CMA</w:t>
            </w:r>
            <w:r>
              <w:rPr>
                <w:rFonts w:hint="eastAsia" w:ascii="仿宋" w:hAnsi="仿宋" w:eastAsia="仿宋" w:cs="Times New Roman"/>
                <w:color w:val="auto"/>
                <w:sz w:val="20"/>
                <w:szCs w:val="20"/>
              </w:rPr>
              <w:t>及</w:t>
            </w:r>
            <w:r>
              <w:rPr>
                <w:rFonts w:hint="default" w:ascii="仿宋" w:hAnsi="仿宋" w:eastAsia="仿宋" w:cs="Times New Roman"/>
                <w:color w:val="auto"/>
                <w:sz w:val="20"/>
                <w:szCs w:val="20"/>
              </w:rPr>
              <w:t>CNAS</w:t>
            </w:r>
            <w:r>
              <w:rPr>
                <w:rFonts w:hint="eastAsia" w:ascii="仿宋" w:hAnsi="仿宋" w:eastAsia="仿宋" w:cs="Times New Roman"/>
                <w:color w:val="auto"/>
                <w:sz w:val="20"/>
                <w:szCs w:val="20"/>
              </w:rPr>
              <w:t>标志的第三方检测机构</w:t>
            </w:r>
            <w:r>
              <w:rPr>
                <w:rFonts w:hint="eastAsia" w:ascii="仿宋" w:hAnsi="仿宋" w:eastAsia="仿宋" w:cs="Times New Roman"/>
                <w:color w:val="auto"/>
                <w:sz w:val="20"/>
                <w:szCs w:val="20"/>
                <w:lang w:val="en-US" w:eastAsia="zh-CN"/>
              </w:rPr>
              <w:t>出具的</w:t>
            </w:r>
            <w:r>
              <w:rPr>
                <w:rFonts w:hint="eastAsia" w:ascii="仿宋" w:hAnsi="仿宋" w:eastAsia="仿宋" w:cs="Times New Roman"/>
                <w:color w:val="auto"/>
                <w:sz w:val="20"/>
                <w:szCs w:val="20"/>
              </w:rPr>
              <w:t>完整检测报告复印件加盖投标人公章（鲜章）。</w:t>
            </w:r>
          </w:p>
        </w:tc>
        <w:tc>
          <w:tcPr>
            <w:tcW w:w="1747"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包1（4</w:t>
            </w:r>
            <w:r>
              <w:rPr>
                <w:rFonts w:hint="eastAsia" w:ascii="仿宋" w:hAnsi="仿宋" w:eastAsia="仿宋" w:cs="Times New Roman"/>
                <w:b/>
                <w:bCs/>
                <w:color w:val="auto"/>
                <w:sz w:val="20"/>
                <w:szCs w:val="20"/>
                <w:lang w:val="en-US" w:eastAsia="zh-CN"/>
              </w:rPr>
              <w:t>2</w:t>
            </w:r>
            <w:r>
              <w:rPr>
                <w:rFonts w:hint="eastAsia" w:ascii="仿宋" w:hAnsi="仿宋" w:eastAsia="仿宋" w:cs="Times New Roman"/>
                <w:b/>
                <w:bCs/>
                <w:color w:val="auto"/>
                <w:sz w:val="20"/>
                <w:szCs w:val="20"/>
              </w:rPr>
              <w:t>07</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包2（3151</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）包3（4582</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）包4（2561</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default" w:ascii="仿宋" w:hAnsi="仿宋" w:eastAsia="仿宋" w:cs="Times New Roman"/>
                <w:b/>
                <w:bCs/>
                <w:color w:val="auto"/>
                <w:sz w:val="20"/>
                <w:szCs w:val="20"/>
              </w:rPr>
              <w:t>4</w:t>
            </w:r>
          </w:p>
        </w:tc>
        <w:tc>
          <w:tcPr>
            <w:tcW w:w="1155" w:type="dxa"/>
            <w:noWrap w:val="0"/>
            <w:vAlign w:val="center"/>
          </w:tcPr>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L</w:t>
            </w:r>
            <w:r>
              <w:rPr>
                <w:rFonts w:hint="default" w:ascii="仿宋" w:hAnsi="仿宋" w:eastAsia="仿宋" w:cs="Times New Roman"/>
                <w:color w:val="auto"/>
                <w:sz w:val="20"/>
                <w:szCs w:val="20"/>
              </w:rPr>
              <w:t>ED</w:t>
            </w:r>
            <w:r>
              <w:rPr>
                <w:rFonts w:hint="eastAsia" w:ascii="仿宋" w:hAnsi="仿宋" w:eastAsia="仿宋" w:cs="Times New Roman"/>
                <w:color w:val="auto"/>
                <w:sz w:val="20"/>
                <w:szCs w:val="20"/>
              </w:rPr>
              <w:t>黑板</w:t>
            </w:r>
            <w:r>
              <w:rPr>
                <w:rFonts w:hint="default" w:ascii="仿宋" w:hAnsi="仿宋" w:eastAsia="仿宋" w:cs="Times New Roman"/>
                <w:color w:val="auto"/>
                <w:sz w:val="20"/>
                <w:szCs w:val="20"/>
              </w:rPr>
              <w:t>灯</w:t>
            </w:r>
          </w:p>
        </w:tc>
        <w:tc>
          <w:tcPr>
            <w:tcW w:w="5688" w:type="dxa"/>
            <w:noWrap w:val="0"/>
            <w:vAlign w:val="top"/>
          </w:tcPr>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default" w:ascii="仿宋" w:hAnsi="仿宋" w:eastAsia="仿宋" w:cs="Times New Roman"/>
                <w:color w:val="auto"/>
                <w:sz w:val="20"/>
                <w:szCs w:val="20"/>
              </w:rPr>
              <w:t>1</w:t>
            </w:r>
            <w:r>
              <w:rPr>
                <w:rFonts w:hint="eastAsia" w:ascii="仿宋" w:hAnsi="仿宋" w:eastAsia="仿宋" w:cs="Times New Roman"/>
                <w:color w:val="auto"/>
                <w:sz w:val="20"/>
                <w:szCs w:val="20"/>
              </w:rPr>
              <w:t>、一体式</w:t>
            </w:r>
            <w:r>
              <w:rPr>
                <w:rFonts w:hint="default" w:ascii="仿宋" w:hAnsi="仿宋" w:eastAsia="仿宋" w:cs="Times New Roman"/>
                <w:color w:val="auto"/>
                <w:sz w:val="20"/>
                <w:szCs w:val="20"/>
              </w:rPr>
              <w:t>LED</w:t>
            </w:r>
            <w:r>
              <w:rPr>
                <w:rFonts w:hint="eastAsia" w:ascii="仿宋" w:hAnsi="仿宋" w:eastAsia="仿宋" w:cs="Times New Roman"/>
                <w:color w:val="auto"/>
                <w:sz w:val="20"/>
                <w:szCs w:val="20"/>
              </w:rPr>
              <w:t>灯具，尺寸长度≥</w:t>
            </w:r>
            <w:r>
              <w:rPr>
                <w:rFonts w:hint="default" w:ascii="仿宋" w:hAnsi="仿宋" w:eastAsia="仿宋" w:cs="Times New Roman"/>
                <w:color w:val="auto"/>
                <w:sz w:val="20"/>
                <w:szCs w:val="20"/>
              </w:rPr>
              <w:t>1200mm</w:t>
            </w:r>
            <w:r>
              <w:rPr>
                <w:rFonts w:hint="eastAsia" w:ascii="仿宋" w:hAnsi="仿宋" w:eastAsia="仿宋" w:cs="Times New Roman"/>
                <w:color w:val="auto"/>
                <w:sz w:val="20"/>
                <w:szCs w:val="20"/>
              </w:rPr>
              <w:t>；灯具的壳体边框应采用≥</w:t>
            </w:r>
            <w:r>
              <w:rPr>
                <w:rFonts w:hint="default" w:ascii="仿宋" w:hAnsi="仿宋" w:eastAsia="仿宋" w:cs="Times New Roman"/>
                <w:color w:val="auto"/>
                <w:sz w:val="20"/>
                <w:szCs w:val="20"/>
              </w:rPr>
              <w:t>0.4mm</w:t>
            </w:r>
            <w:r>
              <w:rPr>
                <w:rFonts w:hint="eastAsia" w:ascii="仿宋" w:hAnsi="仿宋" w:eastAsia="仿宋" w:cs="Times New Roman"/>
                <w:color w:val="auto"/>
                <w:sz w:val="20"/>
                <w:szCs w:val="20"/>
              </w:rPr>
              <w:t>铝型材等轻型、坚固金属材料，并经氧化处理，无毛刺，具备防锈功能；</w:t>
            </w:r>
          </w:p>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2</w:t>
            </w:r>
            <w:r>
              <w:rPr>
                <w:rFonts w:hint="eastAsia" w:ascii="仿宋" w:hAnsi="仿宋" w:eastAsia="仿宋" w:cs="Times New Roman"/>
                <w:color w:val="auto"/>
                <w:sz w:val="20"/>
                <w:szCs w:val="20"/>
              </w:rPr>
              <w:t>、寿命≥</w:t>
            </w:r>
            <w:r>
              <w:rPr>
                <w:rFonts w:hint="default" w:ascii="仿宋" w:hAnsi="仿宋" w:eastAsia="仿宋" w:cs="Times New Roman"/>
                <w:color w:val="auto"/>
                <w:sz w:val="20"/>
                <w:szCs w:val="20"/>
              </w:rPr>
              <w:t>50000</w:t>
            </w:r>
            <w:r>
              <w:rPr>
                <w:rFonts w:hint="eastAsia" w:ascii="仿宋" w:hAnsi="仿宋" w:eastAsia="仿宋" w:cs="Times New Roman"/>
                <w:color w:val="auto"/>
                <w:sz w:val="20"/>
                <w:szCs w:val="20"/>
              </w:rPr>
              <w:t>小时，维持平均照度≥</w:t>
            </w:r>
            <w:r>
              <w:rPr>
                <w:rFonts w:hint="default" w:ascii="仿宋" w:hAnsi="仿宋" w:eastAsia="仿宋" w:cs="Times New Roman"/>
                <w:color w:val="auto"/>
                <w:sz w:val="20"/>
                <w:szCs w:val="20"/>
              </w:rPr>
              <w:t>500lx</w:t>
            </w:r>
            <w:r>
              <w:rPr>
                <w:rFonts w:hint="eastAsia" w:ascii="仿宋" w:hAnsi="仿宋" w:eastAsia="仿宋" w:cs="Times New Roman"/>
                <w:color w:val="auto"/>
                <w:sz w:val="20"/>
                <w:szCs w:val="20"/>
              </w:rPr>
              <w:t>，均匀度≥</w:t>
            </w:r>
            <w:r>
              <w:rPr>
                <w:rFonts w:hint="default" w:ascii="仿宋" w:hAnsi="仿宋" w:eastAsia="仿宋" w:cs="Times New Roman"/>
                <w:color w:val="auto"/>
                <w:sz w:val="20"/>
                <w:szCs w:val="20"/>
              </w:rPr>
              <w:t>0.8</w:t>
            </w:r>
            <w:r>
              <w:rPr>
                <w:rFonts w:hint="eastAsia" w:ascii="仿宋" w:hAnsi="仿宋" w:eastAsia="仿宋" w:cs="Times New Roman"/>
                <w:color w:val="auto"/>
                <w:sz w:val="20"/>
                <w:szCs w:val="20"/>
              </w:rPr>
              <w:t>；</w:t>
            </w:r>
          </w:p>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default" w:ascii="仿宋" w:hAnsi="仿宋" w:eastAsia="仿宋" w:cs="Times New Roman"/>
                <w:color w:val="auto"/>
                <w:sz w:val="20"/>
                <w:szCs w:val="20"/>
              </w:rPr>
              <w:t>3</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LED</w:t>
            </w:r>
            <w:r>
              <w:rPr>
                <w:rFonts w:hint="eastAsia" w:ascii="仿宋" w:hAnsi="仿宋" w:eastAsia="仿宋" w:cs="Times New Roman"/>
                <w:color w:val="auto"/>
                <w:sz w:val="20"/>
                <w:szCs w:val="20"/>
              </w:rPr>
              <w:t>黑板灯色温满足</w:t>
            </w:r>
            <w:r>
              <w:rPr>
                <w:rFonts w:hint="default" w:ascii="仿宋" w:hAnsi="仿宋" w:eastAsia="仿宋" w:cs="Times New Roman"/>
                <w:color w:val="auto"/>
                <w:sz w:val="20"/>
                <w:szCs w:val="20"/>
              </w:rPr>
              <w:t>3300-5300K</w:t>
            </w:r>
            <w:r>
              <w:rPr>
                <w:rFonts w:hint="eastAsia" w:ascii="仿宋" w:hAnsi="仿宋" w:eastAsia="仿宋" w:cs="Times New Roman"/>
                <w:color w:val="auto"/>
                <w:sz w:val="20"/>
                <w:szCs w:val="20"/>
              </w:rPr>
              <w:t>，显色满足</w:t>
            </w:r>
            <w:r>
              <w:rPr>
                <w:rFonts w:hint="default" w:ascii="仿宋" w:hAnsi="仿宋" w:eastAsia="仿宋" w:cs="Times New Roman"/>
                <w:color w:val="auto"/>
                <w:sz w:val="20"/>
                <w:szCs w:val="20"/>
              </w:rPr>
              <w:t>Ra</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80</w:t>
            </w:r>
            <w:r>
              <w:rPr>
                <w:rFonts w:hint="eastAsia" w:ascii="仿宋" w:hAnsi="仿宋" w:eastAsia="仿宋" w:cs="Times New Roman"/>
                <w:color w:val="auto"/>
                <w:sz w:val="20"/>
                <w:szCs w:val="20"/>
              </w:rPr>
              <w:t>；</w:t>
            </w:r>
          </w:p>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default" w:ascii="仿宋" w:hAnsi="仿宋" w:eastAsia="仿宋" w:cs="Times New Roman"/>
                <w:color w:val="auto"/>
                <w:sz w:val="20"/>
                <w:szCs w:val="20"/>
              </w:rPr>
              <w:t>4</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LED</w:t>
            </w:r>
            <w:r>
              <w:rPr>
                <w:rFonts w:hint="eastAsia" w:ascii="仿宋" w:hAnsi="仿宋" w:eastAsia="仿宋" w:cs="Times New Roman"/>
                <w:color w:val="auto"/>
                <w:sz w:val="20"/>
                <w:szCs w:val="20"/>
              </w:rPr>
              <w:t>黑板灯频闪质量特征认证结果为无显著影响或无频闪危害；</w:t>
            </w:r>
          </w:p>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default" w:ascii="仿宋" w:hAnsi="仿宋" w:eastAsia="仿宋" w:cs="Times New Roman"/>
                <w:color w:val="auto"/>
                <w:sz w:val="20"/>
                <w:szCs w:val="20"/>
              </w:rPr>
              <w:t>5</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LED</w:t>
            </w:r>
            <w:r>
              <w:rPr>
                <w:rFonts w:hint="eastAsia" w:ascii="仿宋" w:hAnsi="仿宋" w:eastAsia="仿宋" w:cs="Times New Roman"/>
                <w:color w:val="auto"/>
                <w:sz w:val="20"/>
                <w:szCs w:val="20"/>
              </w:rPr>
              <w:t>黑板灯蓝光危害等级为</w:t>
            </w:r>
            <w:r>
              <w:rPr>
                <w:rFonts w:hint="default" w:ascii="仿宋" w:hAnsi="仿宋" w:eastAsia="仿宋" w:cs="Times New Roman"/>
                <w:color w:val="auto"/>
                <w:sz w:val="20"/>
                <w:szCs w:val="20"/>
              </w:rPr>
              <w:t>RG0</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0</w:t>
            </w:r>
            <w:r>
              <w:rPr>
                <w:rFonts w:hint="eastAsia" w:ascii="仿宋" w:hAnsi="仿宋" w:eastAsia="仿宋" w:cs="Times New Roman"/>
                <w:color w:val="auto"/>
                <w:sz w:val="20"/>
                <w:szCs w:val="20"/>
              </w:rPr>
              <w:t>类危险）；</w:t>
            </w:r>
          </w:p>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default" w:ascii="仿宋" w:hAnsi="仿宋" w:eastAsia="仿宋" w:cs="Times New Roman"/>
                <w:color w:val="auto"/>
                <w:sz w:val="20"/>
                <w:szCs w:val="20"/>
              </w:rPr>
              <w:t>6</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LED</w:t>
            </w:r>
            <w:r>
              <w:rPr>
                <w:rFonts w:hint="eastAsia" w:ascii="仿宋" w:hAnsi="仿宋" w:eastAsia="仿宋" w:cs="Times New Roman"/>
                <w:color w:val="auto"/>
                <w:sz w:val="20"/>
                <w:szCs w:val="20"/>
              </w:rPr>
              <w:t>黑板灯密封防尘满足</w:t>
            </w:r>
            <w:r>
              <w:rPr>
                <w:rFonts w:hint="default" w:ascii="仿宋" w:hAnsi="仿宋" w:eastAsia="仿宋" w:cs="Times New Roman"/>
                <w:color w:val="auto"/>
                <w:sz w:val="20"/>
                <w:szCs w:val="20"/>
              </w:rPr>
              <w:t>IP40</w:t>
            </w:r>
            <w:r>
              <w:rPr>
                <w:rFonts w:hint="eastAsia" w:ascii="仿宋" w:hAnsi="仿宋" w:eastAsia="仿宋" w:cs="Times New Roman"/>
                <w:color w:val="auto"/>
                <w:sz w:val="20"/>
                <w:szCs w:val="20"/>
              </w:rPr>
              <w:t>或以上等级要求；</w:t>
            </w:r>
          </w:p>
          <w:p>
            <w:pPr>
              <w:keepNext w:val="0"/>
              <w:keepLines w:val="0"/>
              <w:widowControl/>
              <w:suppressLineNumbers w:val="0"/>
              <w:spacing w:before="0" w:beforeAutospacing="0" w:after="0" w:afterAutospacing="0"/>
              <w:ind w:left="0" w:right="0"/>
              <w:contextualSpacing/>
              <w:rPr>
                <w:rFonts w:hint="default" w:ascii="仿宋" w:hAnsi="仿宋" w:eastAsia="仿宋" w:cs="Times New Roman"/>
                <w:color w:val="auto"/>
                <w:sz w:val="20"/>
                <w:szCs w:val="20"/>
              </w:rPr>
            </w:pPr>
            <w:r>
              <w:rPr>
                <w:rFonts w:hint="default" w:ascii="仿宋" w:hAnsi="仿宋" w:eastAsia="仿宋" w:cs="Times New Roman"/>
                <w:color w:val="auto"/>
                <w:sz w:val="20"/>
                <w:szCs w:val="20"/>
              </w:rPr>
              <w:t>7</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LED</w:t>
            </w:r>
            <w:r>
              <w:rPr>
                <w:rFonts w:hint="eastAsia" w:ascii="仿宋" w:hAnsi="仿宋" w:eastAsia="仿宋" w:cs="Times New Roman"/>
                <w:color w:val="auto"/>
                <w:sz w:val="20"/>
                <w:szCs w:val="20"/>
              </w:rPr>
              <w:t>黑板灯通过教室优质照明光环境认证，提供国家认可的第三方认证机构出具的认证证书复印件并加盖投标人公章（鲜章）。</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说明：第</w:t>
            </w:r>
            <w:r>
              <w:rPr>
                <w:rFonts w:hint="default" w:ascii="仿宋" w:hAnsi="仿宋" w:eastAsia="仿宋" w:cs="Times New Roman"/>
                <w:color w:val="auto"/>
                <w:sz w:val="20"/>
                <w:szCs w:val="20"/>
              </w:rPr>
              <w:t>2</w:t>
            </w:r>
            <w:r>
              <w:rPr>
                <w:rFonts w:hint="eastAsia" w:ascii="仿宋" w:hAnsi="仿宋" w:eastAsia="仿宋" w:cs="Times New Roman"/>
                <w:color w:val="auto"/>
                <w:sz w:val="20"/>
                <w:szCs w:val="20"/>
              </w:rPr>
              <w:t>至</w:t>
            </w:r>
            <w:r>
              <w:rPr>
                <w:rFonts w:hint="default" w:ascii="仿宋" w:hAnsi="仿宋" w:eastAsia="仿宋" w:cs="Times New Roman"/>
                <w:color w:val="auto"/>
                <w:sz w:val="20"/>
                <w:szCs w:val="20"/>
              </w:rPr>
              <w:t>6</w:t>
            </w:r>
            <w:r>
              <w:rPr>
                <w:rFonts w:hint="eastAsia" w:ascii="仿宋" w:hAnsi="仿宋" w:eastAsia="仿宋" w:cs="Times New Roman"/>
                <w:color w:val="auto"/>
                <w:sz w:val="20"/>
                <w:szCs w:val="20"/>
              </w:rPr>
              <w:t>项技术参数需提供带有</w:t>
            </w:r>
            <w:r>
              <w:rPr>
                <w:rFonts w:hint="default" w:ascii="仿宋" w:hAnsi="仿宋" w:eastAsia="仿宋" w:cs="Times New Roman"/>
                <w:color w:val="auto"/>
                <w:sz w:val="20"/>
                <w:szCs w:val="20"/>
              </w:rPr>
              <w:t>CMA</w:t>
            </w:r>
            <w:r>
              <w:rPr>
                <w:rFonts w:hint="eastAsia" w:ascii="仿宋" w:hAnsi="仿宋" w:eastAsia="仿宋" w:cs="Times New Roman"/>
                <w:color w:val="auto"/>
                <w:sz w:val="20"/>
                <w:szCs w:val="20"/>
              </w:rPr>
              <w:t>及</w:t>
            </w:r>
            <w:r>
              <w:rPr>
                <w:rFonts w:hint="default" w:ascii="仿宋" w:hAnsi="仿宋" w:eastAsia="仿宋" w:cs="Times New Roman"/>
                <w:color w:val="auto"/>
                <w:sz w:val="20"/>
                <w:szCs w:val="20"/>
              </w:rPr>
              <w:t>CNAS</w:t>
            </w:r>
            <w:r>
              <w:rPr>
                <w:rFonts w:hint="eastAsia" w:ascii="仿宋" w:hAnsi="仿宋" w:eastAsia="仿宋" w:cs="Times New Roman"/>
                <w:color w:val="auto"/>
                <w:sz w:val="20"/>
                <w:szCs w:val="20"/>
              </w:rPr>
              <w:t>标志的第三方检测机构</w:t>
            </w:r>
            <w:r>
              <w:rPr>
                <w:rFonts w:hint="eastAsia" w:ascii="仿宋" w:hAnsi="仿宋" w:eastAsia="仿宋" w:cs="Times New Roman"/>
                <w:color w:val="auto"/>
                <w:sz w:val="20"/>
                <w:szCs w:val="20"/>
                <w:lang w:val="en-US" w:eastAsia="zh-CN"/>
              </w:rPr>
              <w:t>出具的</w:t>
            </w:r>
            <w:r>
              <w:rPr>
                <w:rFonts w:hint="eastAsia" w:ascii="仿宋" w:hAnsi="仿宋" w:eastAsia="仿宋" w:cs="Times New Roman"/>
                <w:color w:val="auto"/>
                <w:sz w:val="20"/>
                <w:szCs w:val="20"/>
              </w:rPr>
              <w:t>完整检测报告复印件加盖投标人公章（鲜章）。</w:t>
            </w:r>
          </w:p>
        </w:tc>
        <w:tc>
          <w:tcPr>
            <w:tcW w:w="1747" w:type="dxa"/>
            <w:noWrap w:val="0"/>
            <w:vAlign w:val="center"/>
          </w:tcPr>
          <w:p>
            <w:pPr>
              <w:keepNext w:val="0"/>
              <w:keepLines w:val="0"/>
              <w:widowControl/>
              <w:suppressLineNumbers w:val="0"/>
              <w:spacing w:before="0" w:beforeAutospacing="0" w:after="0" w:afterAutospacing="0"/>
              <w:ind w:left="0" w:right="0"/>
              <w:contextualSpacing/>
              <w:jc w:val="both"/>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包1（963</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both"/>
              <w:rPr>
                <w:rFonts w:hint="eastAsia" w:ascii="仿宋" w:hAnsi="仿宋" w:eastAsia="仿宋" w:cs="Times New Roman"/>
                <w:b/>
                <w:bCs/>
                <w:color w:val="auto"/>
                <w:sz w:val="20"/>
                <w:szCs w:val="20"/>
              </w:rPr>
            </w:pPr>
            <w:r>
              <w:rPr>
                <w:rFonts w:hint="eastAsia" w:ascii="仿宋" w:hAnsi="仿宋" w:eastAsia="仿宋" w:cs="Times New Roman"/>
                <w:b/>
                <w:bCs/>
                <w:color w:val="auto"/>
                <w:sz w:val="20"/>
                <w:szCs w:val="20"/>
              </w:rPr>
              <w:t>包2（879</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both"/>
              <w:rPr>
                <w:rFonts w:hint="eastAsia" w:ascii="仿宋" w:hAnsi="仿宋" w:eastAsia="仿宋" w:cs="Times New Roman"/>
                <w:b/>
                <w:bCs/>
                <w:color w:val="auto"/>
                <w:sz w:val="20"/>
                <w:szCs w:val="20"/>
              </w:rPr>
            </w:pPr>
            <w:r>
              <w:rPr>
                <w:rFonts w:hint="eastAsia" w:ascii="仿宋" w:hAnsi="仿宋" w:eastAsia="仿宋" w:cs="Times New Roman"/>
                <w:b/>
                <w:bCs/>
                <w:color w:val="auto"/>
                <w:sz w:val="20"/>
                <w:szCs w:val="20"/>
              </w:rPr>
              <w:t>包3（297</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包4（654</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default" w:ascii="仿宋" w:hAnsi="仿宋" w:eastAsia="仿宋" w:cs="Times New Roman"/>
                <w:b/>
                <w:bCs/>
                <w:color w:val="auto"/>
                <w:sz w:val="20"/>
                <w:szCs w:val="20"/>
              </w:rPr>
              <w:t>5</w:t>
            </w:r>
          </w:p>
        </w:tc>
        <w:tc>
          <w:tcPr>
            <w:tcW w:w="1155" w:type="dxa"/>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智能面板</w:t>
            </w:r>
          </w:p>
        </w:tc>
        <w:tc>
          <w:tcPr>
            <w:tcW w:w="5688" w:type="dxa"/>
            <w:noWrap w:val="0"/>
            <w:vAlign w:val="top"/>
          </w:tcPr>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1、六键LED背光触摸86式标准设计，面板采用2.5D钢化玻璃玻璃面板，防水、防刮、标准图案清晰易懂，灯位指示可以在任何光线下进行操控，全黑条件下可辨识；</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2、可编程：≥4M flash闪存，支持≥2</w:t>
            </w:r>
            <w:r>
              <w:rPr>
                <w:rFonts w:hint="default" w:ascii="仿宋" w:hAnsi="仿宋" w:eastAsia="仿宋" w:cs="Times New Roman"/>
                <w:color w:val="auto"/>
                <w:sz w:val="20"/>
                <w:szCs w:val="20"/>
              </w:rPr>
              <w:t>0</w:t>
            </w:r>
            <w:r>
              <w:rPr>
                <w:rFonts w:hint="eastAsia" w:ascii="仿宋" w:hAnsi="仿宋" w:eastAsia="仿宋" w:cs="Times New Roman"/>
                <w:color w:val="auto"/>
                <w:sz w:val="20"/>
                <w:szCs w:val="20"/>
              </w:rPr>
              <w:t>组场景、2</w:t>
            </w:r>
            <w:r>
              <w:rPr>
                <w:rFonts w:hint="default" w:ascii="仿宋" w:hAnsi="仿宋" w:eastAsia="仿宋" w:cs="Times New Roman"/>
                <w:color w:val="auto"/>
                <w:sz w:val="20"/>
                <w:szCs w:val="20"/>
              </w:rPr>
              <w:t>0</w:t>
            </w:r>
            <w:r>
              <w:rPr>
                <w:rFonts w:hint="eastAsia" w:ascii="仿宋" w:hAnsi="仿宋" w:eastAsia="仿宋" w:cs="Times New Roman"/>
                <w:color w:val="auto"/>
                <w:sz w:val="20"/>
                <w:szCs w:val="20"/>
              </w:rPr>
              <w:t>个本地事件，中英文场景名称存储，支持定时及</w:t>
            </w:r>
            <w:r>
              <w:rPr>
                <w:rFonts w:hint="default" w:ascii="仿宋" w:hAnsi="仿宋" w:eastAsia="仿宋" w:cs="Times New Roman"/>
                <w:color w:val="auto"/>
                <w:sz w:val="20"/>
                <w:szCs w:val="20"/>
              </w:rPr>
              <w:t>远程禁用面板</w:t>
            </w:r>
            <w:r>
              <w:rPr>
                <w:rFonts w:hint="eastAsia" w:ascii="仿宋" w:hAnsi="仿宋" w:eastAsia="仿宋" w:cs="Times New Roman"/>
                <w:color w:val="auto"/>
                <w:sz w:val="20"/>
                <w:szCs w:val="20"/>
              </w:rPr>
              <w:t>按</w:t>
            </w:r>
            <w:r>
              <w:rPr>
                <w:rFonts w:hint="default" w:ascii="仿宋" w:hAnsi="仿宋" w:eastAsia="仿宋" w:cs="Times New Roman"/>
                <w:color w:val="auto"/>
                <w:sz w:val="20"/>
                <w:szCs w:val="20"/>
              </w:rPr>
              <w:t>键</w:t>
            </w:r>
            <w:r>
              <w:rPr>
                <w:rFonts w:hint="eastAsia" w:ascii="仿宋" w:hAnsi="仿宋" w:eastAsia="仿宋" w:cs="Times New Roman"/>
                <w:color w:val="auto"/>
                <w:sz w:val="20"/>
                <w:szCs w:val="20"/>
              </w:rPr>
              <w:t>；</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3、2.4G无线连接，支持MQTT、HTTP、UDP数据通讯，可以实现单节点运行；</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default" w:ascii="仿宋" w:hAnsi="仿宋" w:eastAsia="仿宋" w:cs="Times New Roman"/>
                <w:color w:val="auto"/>
                <w:sz w:val="20"/>
                <w:szCs w:val="20"/>
              </w:rPr>
              <w:t>4</w:t>
            </w:r>
            <w:r>
              <w:rPr>
                <w:rFonts w:hint="eastAsia" w:ascii="仿宋" w:hAnsi="仿宋" w:eastAsia="仿宋" w:cs="Times New Roman"/>
                <w:color w:val="auto"/>
                <w:sz w:val="20"/>
                <w:szCs w:val="20"/>
              </w:rPr>
              <w:t>、提供六种标准情景模式：上课、下课、投影、书写、自习、节能，可自定义其它情景模式，可以定时执行开关灯或场景指令，支持一键切换、快速部署；</w:t>
            </w:r>
          </w:p>
          <w:p>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0"/>
                <w:szCs w:val="20"/>
              </w:rPr>
            </w:pPr>
            <w:r>
              <w:rPr>
                <w:rFonts w:hint="eastAsia" w:ascii="仿宋" w:hAnsi="仿宋" w:eastAsia="仿宋" w:cs="Times New Roman"/>
                <w:color w:val="auto"/>
                <w:sz w:val="20"/>
                <w:szCs w:val="20"/>
              </w:rPr>
              <w:t>5、设备功耗：≤1.0W。</w:t>
            </w:r>
          </w:p>
        </w:tc>
        <w:tc>
          <w:tcPr>
            <w:tcW w:w="1747"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包1（327</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eastAsia" w:ascii="仿宋" w:hAnsi="仿宋" w:eastAsia="仿宋" w:cs="Times New Roman"/>
                <w:b/>
                <w:bCs/>
                <w:color w:val="auto"/>
                <w:sz w:val="20"/>
                <w:szCs w:val="20"/>
              </w:rPr>
            </w:pPr>
            <w:r>
              <w:rPr>
                <w:rFonts w:hint="eastAsia" w:ascii="仿宋" w:hAnsi="仿宋" w:eastAsia="仿宋" w:cs="Times New Roman"/>
                <w:b/>
                <w:bCs/>
                <w:color w:val="auto"/>
                <w:sz w:val="20"/>
                <w:szCs w:val="20"/>
              </w:rPr>
              <w:t>包2（299</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eastAsia" w:ascii="仿宋" w:hAnsi="仿宋" w:eastAsia="仿宋" w:cs="Times New Roman"/>
                <w:b/>
                <w:bCs/>
                <w:color w:val="auto"/>
                <w:sz w:val="20"/>
                <w:szCs w:val="20"/>
              </w:rPr>
            </w:pPr>
            <w:r>
              <w:rPr>
                <w:rFonts w:hint="eastAsia" w:ascii="仿宋" w:hAnsi="仿宋" w:eastAsia="仿宋" w:cs="Times New Roman"/>
                <w:b/>
                <w:bCs/>
                <w:color w:val="auto"/>
                <w:sz w:val="20"/>
                <w:szCs w:val="20"/>
              </w:rPr>
              <w:t>包3（354</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包4（220</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default" w:ascii="仿宋" w:hAnsi="仿宋" w:eastAsia="仿宋" w:cs="Times New Roman"/>
                <w:b/>
                <w:bCs/>
                <w:color w:val="auto"/>
                <w:sz w:val="20"/>
                <w:szCs w:val="20"/>
              </w:rPr>
              <w:t>6</w:t>
            </w:r>
          </w:p>
        </w:tc>
        <w:tc>
          <w:tcPr>
            <w:tcW w:w="1155" w:type="dxa"/>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智能控制单元</w:t>
            </w:r>
          </w:p>
        </w:tc>
        <w:tc>
          <w:tcPr>
            <w:tcW w:w="5688" w:type="dxa"/>
            <w:noWrap w:val="0"/>
            <w:vAlign w:val="top"/>
          </w:tcPr>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1、壳体材料：ABS工程塑料阻燃材质；</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2、2.4G无线连接，IEE802.11 b/g/n通讯协议，支持MQTT、HTTP、UDP数据通讯，可以实现单节点运行，每个节点设备可以通过网络跟服务器直接通讯；</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微软雅黑" w:hAnsi="微软雅黑" w:eastAsia="微软雅黑" w:cs="微软雅黑"/>
                <w:color w:val="auto"/>
                <w:sz w:val="20"/>
                <w:szCs w:val="20"/>
              </w:rPr>
              <w:t>▲</w:t>
            </w:r>
            <w:r>
              <w:rPr>
                <w:rFonts w:hint="eastAsia" w:ascii="仿宋" w:hAnsi="仿宋" w:eastAsia="仿宋" w:cs="Times New Roman"/>
                <w:color w:val="auto"/>
                <w:sz w:val="20"/>
                <w:szCs w:val="20"/>
              </w:rPr>
              <w:t>3、可编程：≥4M flash闪存，支持</w:t>
            </w:r>
            <w:r>
              <w:rPr>
                <w:rFonts w:hint="default" w:ascii="仿宋" w:hAnsi="仿宋" w:eastAsia="仿宋" w:cs="Times New Roman"/>
                <w:color w:val="auto"/>
                <w:sz w:val="20"/>
                <w:szCs w:val="20"/>
              </w:rPr>
              <w:t>定时</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分组</w:t>
            </w:r>
            <w:r>
              <w:rPr>
                <w:rFonts w:hint="eastAsia" w:ascii="仿宋" w:hAnsi="仿宋" w:eastAsia="仿宋" w:cs="Times New Roman"/>
                <w:color w:val="auto"/>
                <w:sz w:val="20"/>
                <w:szCs w:val="20"/>
              </w:rPr>
              <w:t>自定义</w:t>
            </w:r>
            <w:r>
              <w:rPr>
                <w:rFonts w:hint="default" w:ascii="仿宋" w:hAnsi="仿宋" w:eastAsia="仿宋" w:cs="Times New Roman"/>
                <w:color w:val="auto"/>
                <w:sz w:val="20"/>
                <w:szCs w:val="20"/>
              </w:rPr>
              <w:t>设置，</w:t>
            </w:r>
            <w:r>
              <w:rPr>
                <w:rFonts w:hint="eastAsia" w:ascii="仿宋" w:hAnsi="仿宋" w:eastAsia="仿宋" w:cs="Times New Roman"/>
                <w:color w:val="auto"/>
                <w:sz w:val="20"/>
                <w:szCs w:val="20"/>
              </w:rPr>
              <w:t>支持场景存储，无需网络支持，也可以执行自定义场景指令</w:t>
            </w:r>
            <w:r>
              <w:rPr>
                <w:rFonts w:hint="default" w:ascii="仿宋" w:hAnsi="仿宋" w:eastAsia="仿宋" w:cs="Times New Roman"/>
                <w:color w:val="auto"/>
                <w:sz w:val="20"/>
                <w:szCs w:val="20"/>
              </w:rPr>
              <w:t>；</w:t>
            </w:r>
            <w:r>
              <w:rPr>
                <w:rFonts w:hint="eastAsia" w:ascii="仿宋" w:hAnsi="仿宋" w:eastAsia="仿宋" w:cs="Times New Roman"/>
                <w:color w:val="auto"/>
                <w:sz w:val="20"/>
                <w:szCs w:val="20"/>
              </w:rPr>
              <w:t>（提供软件功能截图加盖投标人公章（鲜章））</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微软雅黑" w:hAnsi="微软雅黑" w:eastAsia="微软雅黑" w:cs="微软雅黑"/>
                <w:color w:val="auto"/>
                <w:sz w:val="20"/>
                <w:szCs w:val="20"/>
              </w:rPr>
              <w:t>▲</w:t>
            </w:r>
            <w:r>
              <w:rPr>
                <w:rFonts w:hint="default" w:ascii="仿宋" w:hAnsi="仿宋" w:eastAsia="仿宋" w:cs="Times New Roman"/>
                <w:color w:val="auto"/>
                <w:sz w:val="20"/>
                <w:szCs w:val="20"/>
              </w:rPr>
              <w:t>4</w:t>
            </w:r>
            <w:r>
              <w:rPr>
                <w:rFonts w:hint="eastAsia" w:ascii="仿宋" w:hAnsi="仿宋" w:eastAsia="仿宋" w:cs="Times New Roman"/>
                <w:color w:val="auto"/>
                <w:sz w:val="20"/>
                <w:szCs w:val="20"/>
              </w:rPr>
              <w:t>、计量功能：历史能耗数据</w:t>
            </w:r>
            <w:r>
              <w:rPr>
                <w:rFonts w:hint="default" w:ascii="仿宋" w:hAnsi="仿宋" w:eastAsia="仿宋" w:cs="Times New Roman"/>
                <w:color w:val="auto"/>
                <w:sz w:val="20"/>
                <w:szCs w:val="20"/>
              </w:rPr>
              <w:t>存储</w:t>
            </w:r>
            <w:r>
              <w:rPr>
                <w:rFonts w:hint="eastAsia" w:ascii="仿宋" w:hAnsi="仿宋" w:eastAsia="仿宋" w:cs="Times New Roman"/>
                <w:color w:val="auto"/>
                <w:sz w:val="20"/>
                <w:szCs w:val="20"/>
              </w:rPr>
              <w:t>在本地，能被服务</w:t>
            </w:r>
            <w:r>
              <w:rPr>
                <w:rFonts w:hint="default" w:ascii="仿宋" w:hAnsi="仿宋" w:eastAsia="仿宋" w:cs="Times New Roman"/>
                <w:color w:val="auto"/>
                <w:sz w:val="20"/>
                <w:szCs w:val="20"/>
              </w:rPr>
              <w:t>器直接</w:t>
            </w:r>
            <w:r>
              <w:rPr>
                <w:rFonts w:hint="eastAsia" w:ascii="仿宋" w:hAnsi="仿宋" w:eastAsia="仿宋" w:cs="Times New Roman"/>
                <w:color w:val="auto"/>
                <w:sz w:val="20"/>
                <w:szCs w:val="20"/>
              </w:rPr>
              <w:t>获取调用；（提供软件功能截图加盖投标人公章（鲜章））</w:t>
            </w:r>
          </w:p>
          <w:p>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0"/>
                <w:szCs w:val="20"/>
              </w:rPr>
            </w:pPr>
            <w:r>
              <w:rPr>
                <w:rFonts w:hint="default" w:ascii="仿宋" w:hAnsi="仿宋" w:eastAsia="仿宋" w:cs="Times New Roman"/>
                <w:color w:val="auto"/>
                <w:sz w:val="20"/>
                <w:szCs w:val="20"/>
              </w:rPr>
              <w:t>5</w:t>
            </w:r>
            <w:r>
              <w:rPr>
                <w:rFonts w:hint="eastAsia" w:ascii="仿宋" w:hAnsi="仿宋" w:eastAsia="仿宋" w:cs="Times New Roman"/>
                <w:color w:val="auto"/>
                <w:sz w:val="20"/>
                <w:szCs w:val="20"/>
              </w:rPr>
              <w:t>、负载功率不低于2000W，设备功耗≤1.0W。</w:t>
            </w:r>
          </w:p>
        </w:tc>
        <w:tc>
          <w:tcPr>
            <w:tcW w:w="1747"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包1（5170</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包2（4030</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）包3（4879</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）包4（3215</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default" w:ascii="仿宋" w:hAnsi="仿宋" w:eastAsia="仿宋" w:cs="Times New Roman"/>
                <w:b/>
                <w:bCs/>
                <w:color w:val="auto"/>
                <w:sz w:val="20"/>
                <w:szCs w:val="20"/>
              </w:rPr>
              <w:t>7</w:t>
            </w:r>
          </w:p>
        </w:tc>
        <w:tc>
          <w:tcPr>
            <w:tcW w:w="1155" w:type="dxa"/>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网络控制器</w:t>
            </w:r>
          </w:p>
        </w:tc>
        <w:tc>
          <w:tcPr>
            <w:tcW w:w="5688" w:type="dxa"/>
            <w:noWrap w:val="0"/>
            <w:vAlign w:val="center"/>
          </w:tcPr>
          <w:p>
            <w:pPr>
              <w:keepNext w:val="0"/>
              <w:keepLines w:val="0"/>
              <w:widowControl/>
              <w:suppressLineNumbers w:val="0"/>
              <w:spacing w:before="0" w:beforeAutospacing="0" w:after="0" w:afterAutospacing="0"/>
              <w:ind w:left="0" w:right="0"/>
              <w:jc w:val="both"/>
              <w:rPr>
                <w:rFonts w:hint="default" w:ascii="仿宋" w:hAnsi="仿宋" w:eastAsia="仿宋" w:cs="Times New Roman"/>
                <w:color w:val="auto"/>
                <w:sz w:val="20"/>
                <w:szCs w:val="20"/>
              </w:rPr>
            </w:pPr>
            <w:r>
              <w:rPr>
                <w:rFonts w:hint="eastAsia" w:ascii="仿宋" w:hAnsi="仿宋" w:eastAsia="仿宋" w:cs="Times New Roman"/>
                <w:color w:val="auto"/>
                <w:sz w:val="20"/>
                <w:szCs w:val="20"/>
              </w:rPr>
              <w:t>1、路由/交换/中继/无线AP一体式设计；R</w:t>
            </w:r>
            <w:r>
              <w:rPr>
                <w:rFonts w:hint="default" w:ascii="仿宋" w:hAnsi="仿宋" w:eastAsia="仿宋" w:cs="Times New Roman"/>
                <w:color w:val="auto"/>
                <w:sz w:val="20"/>
                <w:szCs w:val="20"/>
              </w:rPr>
              <w:t>J45</w:t>
            </w:r>
            <w:r>
              <w:rPr>
                <w:rFonts w:hint="eastAsia" w:ascii="仿宋" w:hAnsi="仿宋" w:eastAsia="仿宋" w:cs="Times New Roman"/>
                <w:color w:val="auto"/>
                <w:sz w:val="20"/>
                <w:szCs w:val="20"/>
              </w:rPr>
              <w:t>单进双出；</w:t>
            </w:r>
          </w:p>
          <w:p>
            <w:pPr>
              <w:keepNext w:val="0"/>
              <w:keepLines w:val="0"/>
              <w:widowControl/>
              <w:suppressLineNumbers w:val="0"/>
              <w:spacing w:before="0" w:beforeAutospacing="0" w:after="0" w:afterAutospacing="0"/>
              <w:ind w:left="0" w:right="0"/>
              <w:jc w:val="both"/>
              <w:rPr>
                <w:rFonts w:hint="default" w:ascii="仿宋" w:hAnsi="仿宋" w:eastAsia="仿宋" w:cs="Times New Roman"/>
                <w:color w:val="auto"/>
                <w:sz w:val="20"/>
                <w:szCs w:val="20"/>
              </w:rPr>
            </w:pPr>
            <w:r>
              <w:rPr>
                <w:rFonts w:hint="default" w:ascii="仿宋" w:hAnsi="仿宋" w:eastAsia="仿宋" w:cs="Times New Roman"/>
                <w:color w:val="auto"/>
                <w:sz w:val="20"/>
                <w:szCs w:val="20"/>
              </w:rPr>
              <w:t>2</w:t>
            </w:r>
            <w:r>
              <w:rPr>
                <w:rFonts w:hint="eastAsia" w:ascii="仿宋" w:hAnsi="仿宋" w:eastAsia="仿宋" w:cs="Times New Roman"/>
                <w:color w:val="auto"/>
                <w:sz w:val="20"/>
                <w:szCs w:val="20"/>
              </w:rPr>
              <w:t>、支持IEE802.11 b/g/n通讯协议，150Mbps传输速率；</w:t>
            </w:r>
          </w:p>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0"/>
                <w:szCs w:val="20"/>
              </w:rPr>
            </w:pPr>
            <w:r>
              <w:rPr>
                <w:rFonts w:hint="default" w:ascii="仿宋" w:hAnsi="仿宋" w:eastAsia="仿宋" w:cs="Times New Roman"/>
                <w:color w:val="auto"/>
                <w:sz w:val="20"/>
                <w:szCs w:val="20"/>
              </w:rPr>
              <w:t>3</w:t>
            </w:r>
            <w:r>
              <w:rPr>
                <w:rFonts w:hint="eastAsia" w:ascii="仿宋" w:hAnsi="仿宋" w:eastAsia="仿宋" w:cs="Times New Roman"/>
                <w:color w:val="auto"/>
                <w:sz w:val="20"/>
                <w:szCs w:val="20"/>
              </w:rPr>
              <w:t>、支持SSID中文名称，支持SSID隐藏，支持 WEB 远程固件升级。</w:t>
            </w:r>
          </w:p>
        </w:tc>
        <w:tc>
          <w:tcPr>
            <w:tcW w:w="1747"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包1（327</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eastAsia" w:ascii="仿宋" w:hAnsi="仿宋" w:eastAsia="仿宋" w:cs="Times New Roman"/>
                <w:b/>
                <w:bCs/>
                <w:color w:val="auto"/>
                <w:sz w:val="20"/>
                <w:szCs w:val="20"/>
              </w:rPr>
            </w:pPr>
            <w:r>
              <w:rPr>
                <w:rFonts w:hint="eastAsia" w:ascii="仿宋" w:hAnsi="仿宋" w:eastAsia="仿宋" w:cs="Times New Roman"/>
                <w:b/>
                <w:bCs/>
                <w:color w:val="auto"/>
                <w:sz w:val="20"/>
                <w:szCs w:val="20"/>
              </w:rPr>
              <w:t>包2（299</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eastAsia" w:ascii="仿宋" w:hAnsi="仿宋" w:eastAsia="仿宋" w:cs="Times New Roman"/>
                <w:b/>
                <w:bCs/>
                <w:color w:val="auto"/>
                <w:sz w:val="20"/>
                <w:szCs w:val="20"/>
              </w:rPr>
            </w:pPr>
            <w:r>
              <w:rPr>
                <w:rFonts w:hint="eastAsia" w:ascii="仿宋" w:hAnsi="仿宋" w:eastAsia="仿宋" w:cs="Times New Roman"/>
                <w:b/>
                <w:bCs/>
                <w:color w:val="auto"/>
                <w:sz w:val="20"/>
                <w:szCs w:val="20"/>
              </w:rPr>
              <w:t>包3（354</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包4（220</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default" w:ascii="仿宋" w:hAnsi="仿宋" w:eastAsia="仿宋" w:cs="Times New Roman"/>
                <w:b/>
                <w:bCs/>
                <w:color w:val="auto"/>
                <w:sz w:val="20"/>
                <w:szCs w:val="20"/>
              </w:rPr>
              <w:t>8</w:t>
            </w:r>
          </w:p>
        </w:tc>
        <w:tc>
          <w:tcPr>
            <w:tcW w:w="1155" w:type="dxa"/>
            <w:noWrap w:val="0"/>
            <w:vAlign w:val="center"/>
          </w:tcPr>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应急开关</w:t>
            </w:r>
          </w:p>
        </w:tc>
        <w:tc>
          <w:tcPr>
            <w:tcW w:w="5688" w:type="dxa"/>
            <w:noWrap w:val="0"/>
            <w:vAlign w:val="center"/>
          </w:tcPr>
          <w:p>
            <w:pPr>
              <w:pStyle w:val="141"/>
              <w:keepNext w:val="0"/>
              <w:keepLines w:val="0"/>
              <w:widowControl/>
              <w:suppressLineNumbers w:val="0"/>
              <w:spacing w:before="0" w:beforeAutospacing="0" w:after="0" w:afterAutospacing="0"/>
              <w:ind w:left="0" w:right="0" w:firstLine="0" w:firstLineChars="0"/>
              <w:jc w:val="left"/>
              <w:rPr>
                <w:rFonts w:hint="default" w:ascii="仿宋" w:hAnsi="仿宋" w:eastAsia="仿宋" w:cs="Times New Roman"/>
                <w:color w:val="auto"/>
                <w:szCs w:val="20"/>
              </w:rPr>
            </w:pPr>
            <w:r>
              <w:rPr>
                <w:rFonts w:hint="eastAsia" w:ascii="仿宋" w:hAnsi="仿宋" w:eastAsia="仿宋" w:cs="Times New Roman"/>
                <w:color w:val="auto"/>
                <w:kern w:val="2"/>
                <w:szCs w:val="20"/>
              </w:rPr>
              <w:t>1、国标86设计，保护式锁定设计，</w:t>
            </w:r>
            <w:r>
              <w:rPr>
                <w:rFonts w:hint="eastAsia" w:ascii="仿宋" w:hAnsi="仿宋" w:eastAsia="仿宋" w:cs="Times New Roman"/>
                <w:color w:val="auto"/>
                <w:szCs w:val="20"/>
              </w:rPr>
              <w:t>可选单、双、三路控制；</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2、智能面板发生故障时，能实现非智能控制的应急照明，不影响灯光的使用。</w:t>
            </w:r>
          </w:p>
        </w:tc>
        <w:tc>
          <w:tcPr>
            <w:tcW w:w="1747"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包1（327</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eastAsia" w:ascii="仿宋" w:hAnsi="仿宋" w:eastAsia="仿宋" w:cs="Times New Roman"/>
                <w:b/>
                <w:bCs/>
                <w:color w:val="auto"/>
                <w:sz w:val="20"/>
                <w:szCs w:val="20"/>
              </w:rPr>
            </w:pPr>
            <w:r>
              <w:rPr>
                <w:rFonts w:hint="eastAsia" w:ascii="仿宋" w:hAnsi="仿宋" w:eastAsia="仿宋" w:cs="Times New Roman"/>
                <w:b/>
                <w:bCs/>
                <w:color w:val="auto"/>
                <w:sz w:val="20"/>
                <w:szCs w:val="20"/>
              </w:rPr>
              <w:t>包2（299</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eastAsia" w:ascii="仿宋" w:hAnsi="仿宋" w:eastAsia="仿宋" w:cs="Times New Roman"/>
                <w:b/>
                <w:bCs/>
                <w:color w:val="auto"/>
                <w:sz w:val="20"/>
                <w:szCs w:val="20"/>
              </w:rPr>
            </w:pPr>
            <w:r>
              <w:rPr>
                <w:rFonts w:hint="eastAsia" w:ascii="仿宋" w:hAnsi="仿宋" w:eastAsia="仿宋" w:cs="Times New Roman"/>
                <w:b/>
                <w:bCs/>
                <w:color w:val="auto"/>
                <w:sz w:val="20"/>
                <w:szCs w:val="20"/>
              </w:rPr>
              <w:t>包3（354</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包4（220</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default" w:ascii="仿宋" w:hAnsi="仿宋" w:eastAsia="仿宋" w:cs="Times New Roman"/>
                <w:b/>
                <w:bCs/>
                <w:color w:val="auto"/>
                <w:sz w:val="20"/>
                <w:szCs w:val="20"/>
              </w:rPr>
              <w:t>9</w:t>
            </w:r>
          </w:p>
        </w:tc>
        <w:tc>
          <w:tcPr>
            <w:tcW w:w="1155" w:type="dxa"/>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Times New Roman"/>
                <w:color w:val="auto"/>
                <w:sz w:val="20"/>
                <w:szCs w:val="20"/>
              </w:rPr>
            </w:pPr>
            <w:r>
              <w:rPr>
                <w:rFonts w:hint="eastAsia" w:ascii="仿宋" w:hAnsi="仿宋" w:eastAsia="仿宋" w:cs="Times New Roman"/>
                <w:color w:val="auto"/>
                <w:sz w:val="20"/>
                <w:szCs w:val="20"/>
              </w:rPr>
              <w:t>线路施工及</w:t>
            </w:r>
            <w:r>
              <w:rPr>
                <w:rFonts w:hint="default" w:ascii="仿宋" w:hAnsi="仿宋" w:eastAsia="仿宋" w:cs="Times New Roman"/>
                <w:color w:val="auto"/>
                <w:sz w:val="20"/>
                <w:szCs w:val="20"/>
              </w:rPr>
              <w:t>数据集成</w:t>
            </w:r>
          </w:p>
        </w:tc>
        <w:tc>
          <w:tcPr>
            <w:tcW w:w="5688" w:type="dxa"/>
            <w:noWrap w:val="0"/>
            <w:vAlign w:val="center"/>
          </w:tcPr>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1、提供国标辅材,如：</w:t>
            </w:r>
            <w:r>
              <w:rPr>
                <w:rFonts w:hint="default" w:ascii="仿宋" w:hAnsi="仿宋" w:eastAsia="仿宋" w:cs="Times New Roman"/>
                <w:color w:val="auto"/>
                <w:sz w:val="20"/>
                <w:szCs w:val="20"/>
              </w:rPr>
              <w:t>BVR 1.5</w:t>
            </w:r>
            <w:r>
              <w:rPr>
                <w:rFonts w:hint="eastAsia" w:ascii="仿宋" w:hAnsi="仿宋" w:eastAsia="仿宋" w:cs="Times New Roman"/>
                <w:color w:val="auto"/>
                <w:sz w:val="20"/>
                <w:szCs w:val="20"/>
              </w:rPr>
              <w:t>mm</w:t>
            </w:r>
            <w:r>
              <w:rPr>
                <w:rFonts w:hint="eastAsia" w:ascii="Calibri" w:hAnsi="Calibri" w:eastAsia="仿宋" w:cs="Calibri"/>
                <w:color w:val="auto"/>
                <w:sz w:val="20"/>
                <w:szCs w:val="20"/>
              </w:rPr>
              <w:t>²</w:t>
            </w:r>
            <w:r>
              <w:rPr>
                <w:rFonts w:hint="eastAsia" w:ascii="仿宋" w:hAnsi="仿宋" w:eastAsia="仿宋" w:cs="Times New Roman"/>
                <w:color w:val="auto"/>
                <w:sz w:val="20"/>
                <w:szCs w:val="20"/>
              </w:rPr>
              <w:t>、</w:t>
            </w:r>
            <w:r>
              <w:rPr>
                <w:rFonts w:hint="default" w:ascii="仿宋" w:hAnsi="仿宋" w:eastAsia="仿宋" w:cs="Times New Roman"/>
                <w:color w:val="auto"/>
                <w:sz w:val="20"/>
                <w:szCs w:val="20"/>
              </w:rPr>
              <w:t>RVV2*0.75mm</w:t>
            </w:r>
            <w:r>
              <w:rPr>
                <w:rFonts w:hint="eastAsia" w:ascii="Calibri" w:hAnsi="Calibri" w:eastAsia="仿宋" w:cs="Calibri"/>
                <w:color w:val="auto"/>
                <w:sz w:val="20"/>
                <w:szCs w:val="20"/>
              </w:rPr>
              <w:t>²</w:t>
            </w:r>
            <w:r>
              <w:rPr>
                <w:rFonts w:hint="default" w:ascii="仿宋" w:hAnsi="仿宋" w:eastAsia="仿宋" w:cs="Times New Roman"/>
                <w:color w:val="auto"/>
                <w:sz w:val="20"/>
                <w:szCs w:val="20"/>
              </w:rPr>
              <w:t>电源线、PVC线管</w:t>
            </w:r>
            <w:r>
              <w:rPr>
                <w:rFonts w:hint="eastAsia" w:ascii="仿宋" w:hAnsi="仿宋" w:eastAsia="仿宋" w:cs="Times New Roman"/>
                <w:color w:val="auto"/>
                <w:sz w:val="20"/>
                <w:szCs w:val="20"/>
              </w:rPr>
              <w:t>或线槽，</w:t>
            </w:r>
            <w:r>
              <w:rPr>
                <w:rFonts w:hint="default" w:ascii="仿宋" w:hAnsi="仿宋" w:eastAsia="仿宋" w:cs="Times New Roman"/>
                <w:color w:val="auto"/>
                <w:sz w:val="20"/>
                <w:szCs w:val="20"/>
              </w:rPr>
              <w:t>其他辅材满足 1 间教室安装需要；</w:t>
            </w:r>
          </w:p>
          <w:p>
            <w:pPr>
              <w:keepNext w:val="0"/>
              <w:keepLines w:val="0"/>
              <w:widowControl/>
              <w:suppressLineNumbers w:val="0"/>
              <w:spacing w:before="0" w:beforeAutospacing="0" w:after="0" w:afterAutospacing="0"/>
              <w:ind w:left="0" w:right="0"/>
              <w:rPr>
                <w:rFonts w:hint="default" w:ascii="仿宋" w:hAnsi="仿宋" w:eastAsia="仿宋" w:cs="Times New Roman"/>
                <w:color w:val="auto"/>
                <w:sz w:val="20"/>
                <w:szCs w:val="20"/>
              </w:rPr>
            </w:pPr>
            <w:r>
              <w:rPr>
                <w:rFonts w:hint="eastAsia" w:ascii="仿宋" w:hAnsi="仿宋" w:eastAsia="仿宋" w:cs="Times New Roman"/>
                <w:color w:val="auto"/>
                <w:sz w:val="20"/>
                <w:szCs w:val="20"/>
              </w:rPr>
              <w:t>2、</w:t>
            </w:r>
            <w:r>
              <w:rPr>
                <w:rFonts w:hint="default" w:ascii="仿宋" w:hAnsi="仿宋" w:eastAsia="仿宋" w:cs="Times New Roman"/>
                <w:color w:val="auto"/>
                <w:sz w:val="20"/>
                <w:szCs w:val="20"/>
              </w:rPr>
              <w:t>将教室的智能控制</w:t>
            </w:r>
            <w:r>
              <w:rPr>
                <w:rFonts w:hint="eastAsia" w:ascii="仿宋" w:hAnsi="仿宋" w:eastAsia="仿宋" w:cs="Times New Roman"/>
                <w:color w:val="auto"/>
                <w:sz w:val="20"/>
                <w:szCs w:val="20"/>
              </w:rPr>
              <w:t>单元</w:t>
            </w:r>
            <w:r>
              <w:rPr>
                <w:rFonts w:hint="default" w:ascii="仿宋" w:hAnsi="仿宋" w:eastAsia="仿宋" w:cs="Times New Roman"/>
                <w:color w:val="auto"/>
                <w:sz w:val="20"/>
                <w:szCs w:val="20"/>
              </w:rPr>
              <w:t>及所管理的设备对接至智慧</w:t>
            </w:r>
            <w:r>
              <w:rPr>
                <w:rFonts w:hint="eastAsia" w:ascii="仿宋" w:hAnsi="仿宋" w:eastAsia="仿宋" w:cs="Times New Roman"/>
                <w:color w:val="auto"/>
                <w:sz w:val="20"/>
                <w:szCs w:val="20"/>
              </w:rPr>
              <w:t>灯光管理</w:t>
            </w:r>
            <w:r>
              <w:rPr>
                <w:rFonts w:hint="default" w:ascii="仿宋" w:hAnsi="仿宋" w:eastAsia="仿宋" w:cs="Times New Roman"/>
                <w:color w:val="auto"/>
                <w:sz w:val="20"/>
                <w:szCs w:val="20"/>
              </w:rPr>
              <w:t>平台；</w:t>
            </w:r>
          </w:p>
        </w:tc>
        <w:tc>
          <w:tcPr>
            <w:tcW w:w="1747" w:type="dxa"/>
            <w:noWrap w:val="0"/>
            <w:vAlign w:val="center"/>
          </w:tcPr>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包1（327</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eastAsia" w:ascii="仿宋" w:hAnsi="仿宋" w:eastAsia="仿宋" w:cs="Times New Roman"/>
                <w:b/>
                <w:bCs/>
                <w:color w:val="auto"/>
                <w:sz w:val="20"/>
                <w:szCs w:val="20"/>
              </w:rPr>
            </w:pPr>
            <w:r>
              <w:rPr>
                <w:rFonts w:hint="eastAsia" w:ascii="仿宋" w:hAnsi="仿宋" w:eastAsia="仿宋" w:cs="Times New Roman"/>
                <w:b/>
                <w:bCs/>
                <w:color w:val="auto"/>
                <w:sz w:val="20"/>
                <w:szCs w:val="20"/>
              </w:rPr>
              <w:t>包2（299</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eastAsia" w:ascii="仿宋" w:hAnsi="仿宋" w:eastAsia="仿宋" w:cs="Times New Roman"/>
                <w:b/>
                <w:bCs/>
                <w:color w:val="auto"/>
                <w:sz w:val="20"/>
                <w:szCs w:val="20"/>
              </w:rPr>
            </w:pPr>
            <w:r>
              <w:rPr>
                <w:rFonts w:hint="eastAsia" w:ascii="仿宋" w:hAnsi="仿宋" w:eastAsia="仿宋" w:cs="Times New Roman"/>
                <w:b/>
                <w:bCs/>
                <w:color w:val="auto"/>
                <w:sz w:val="20"/>
                <w:szCs w:val="20"/>
              </w:rPr>
              <w:t>包3（354</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p>
            <w:pPr>
              <w:keepNext w:val="0"/>
              <w:keepLines w:val="0"/>
              <w:widowControl/>
              <w:suppressLineNumbers w:val="0"/>
              <w:spacing w:before="0" w:beforeAutospacing="0" w:after="0" w:afterAutospacing="0"/>
              <w:ind w:left="0" w:right="0"/>
              <w:contextualSpacing/>
              <w:jc w:val="center"/>
              <w:rPr>
                <w:rFonts w:hint="default" w:ascii="仿宋" w:hAnsi="仿宋" w:eastAsia="仿宋" w:cs="Times New Roman"/>
                <w:b/>
                <w:bCs/>
                <w:color w:val="auto"/>
                <w:sz w:val="20"/>
                <w:szCs w:val="20"/>
              </w:rPr>
            </w:pPr>
            <w:r>
              <w:rPr>
                <w:rFonts w:hint="eastAsia" w:ascii="仿宋" w:hAnsi="仿宋" w:eastAsia="仿宋" w:cs="Times New Roman"/>
                <w:b/>
                <w:bCs/>
                <w:color w:val="auto"/>
                <w:sz w:val="20"/>
                <w:szCs w:val="20"/>
              </w:rPr>
              <w:t>包4（220</w:t>
            </w:r>
            <w:r>
              <w:rPr>
                <w:rFonts w:hint="eastAsia" w:ascii="仿宋" w:hAnsi="仿宋" w:eastAsia="仿宋" w:cs="Times New Roman"/>
                <w:b/>
                <w:bCs/>
                <w:color w:val="auto"/>
                <w:sz w:val="20"/>
                <w:szCs w:val="20"/>
                <w:lang w:val="en-US" w:eastAsia="zh-CN"/>
              </w:rPr>
              <w:t>套</w:t>
            </w:r>
            <w:r>
              <w:rPr>
                <w:rFonts w:hint="eastAsia" w:ascii="仿宋" w:hAnsi="仿宋" w:eastAsia="仿宋" w:cs="Times New Roman"/>
                <w:b/>
                <w:bCs/>
                <w:color w:val="auto"/>
                <w:sz w:val="20"/>
                <w:szCs w:val="20"/>
              </w:rPr>
              <w:t>）</w:t>
            </w:r>
          </w:p>
        </w:tc>
      </w:tr>
      <w:bookmarkEnd w:id="1193"/>
    </w:tbl>
    <w:p>
      <w:pPr>
        <w:pStyle w:val="13"/>
        <w:spacing w:line="400" w:lineRule="exact"/>
        <w:ind w:left="0" w:leftChars="0" w:firstLine="0" w:firstLineChars="0"/>
        <w:outlineLvl w:val="1"/>
        <w:rPr>
          <w:rFonts w:hint="eastAsia" w:ascii="仿宋" w:hAnsi="仿宋" w:eastAsia="仿宋"/>
          <w:color w:val="auto"/>
        </w:rPr>
      </w:pPr>
      <w:r>
        <w:rPr>
          <w:rFonts w:hint="eastAsia" w:ascii="仿宋" w:hAnsi="仿宋" w:eastAsia="仿宋"/>
          <w:color w:val="auto"/>
        </w:rPr>
        <w:t>注:中标后签订合同前提供灯具CCC认证证书及国家强制性产品认证试验报告的原件</w:t>
      </w:r>
      <w:r>
        <w:rPr>
          <w:rFonts w:hint="eastAsia" w:ascii="仿宋" w:hAnsi="仿宋" w:eastAsia="仿宋"/>
          <w:color w:val="auto"/>
          <w:lang w:eastAsia="zh-CN"/>
        </w:rPr>
        <w:t>（</w:t>
      </w:r>
      <w:r>
        <w:rPr>
          <w:rFonts w:hint="eastAsia" w:ascii="仿宋" w:hAnsi="仿宋" w:eastAsia="仿宋"/>
          <w:color w:val="auto"/>
          <w:lang w:val="en-US" w:eastAsia="zh-CN"/>
        </w:rPr>
        <w:t>提供承诺函</w:t>
      </w:r>
      <w:r>
        <w:rPr>
          <w:rFonts w:hint="eastAsia" w:ascii="仿宋" w:hAnsi="仿宋" w:eastAsia="仿宋"/>
          <w:color w:val="auto"/>
          <w:lang w:eastAsia="zh-CN"/>
        </w:rPr>
        <w:t>）</w:t>
      </w:r>
      <w:r>
        <w:rPr>
          <w:rFonts w:hint="eastAsia" w:ascii="仿宋" w:hAnsi="仿宋" w:eastAsia="仿宋"/>
          <w:color w:val="auto"/>
        </w:rPr>
        <w:t>。</w:t>
      </w:r>
    </w:p>
    <w:p>
      <w:pPr>
        <w:ind w:firstLine="200" w:firstLineChars="100"/>
        <w:rPr>
          <w:rFonts w:hint="default" w:eastAsia="仿宋"/>
          <w:lang w:val="en-US" w:eastAsia="zh-CN"/>
        </w:rPr>
      </w:pPr>
    </w:p>
    <w:p>
      <w:pPr>
        <w:pStyle w:val="13"/>
        <w:spacing w:line="400" w:lineRule="exact"/>
        <w:ind w:left="0" w:leftChars="0" w:firstLine="0" w:firstLineChars="0"/>
        <w:outlineLvl w:val="1"/>
        <w:rPr>
          <w:rFonts w:ascii="仿宋" w:hAnsi="仿宋" w:eastAsia="仿宋"/>
          <w:bCs/>
          <w:color w:val="auto"/>
          <w:sz w:val="24"/>
        </w:rPr>
      </w:pPr>
    </w:p>
    <w:p>
      <w:pPr>
        <w:pStyle w:val="13"/>
        <w:spacing w:line="400" w:lineRule="exact"/>
        <w:ind w:left="0" w:leftChars="0" w:firstLine="0" w:firstLineChars="0"/>
        <w:outlineLvl w:val="1"/>
        <w:rPr>
          <w:rFonts w:ascii="仿宋" w:hAnsi="仿宋" w:eastAsia="仿宋"/>
          <w:bCs/>
          <w:color w:val="auto"/>
          <w:sz w:val="24"/>
        </w:rPr>
      </w:pPr>
    </w:p>
    <w:p>
      <w:pPr>
        <w:pStyle w:val="13"/>
        <w:spacing w:line="400" w:lineRule="exact"/>
        <w:ind w:left="0" w:leftChars="0" w:firstLine="0" w:firstLineChars="0"/>
        <w:outlineLvl w:val="1"/>
        <w:rPr>
          <w:rFonts w:ascii="仿宋" w:hAnsi="仿宋" w:eastAsia="仿宋"/>
          <w:bCs/>
          <w:color w:val="auto"/>
          <w:sz w:val="24"/>
        </w:rPr>
      </w:pPr>
      <w:r>
        <w:rPr>
          <w:rFonts w:ascii="仿宋" w:hAnsi="仿宋" w:eastAsia="仿宋"/>
          <w:bCs/>
          <w:color w:val="auto"/>
          <w:sz w:val="24"/>
        </w:rPr>
        <w:t>*</w:t>
      </w:r>
      <w:r>
        <w:rPr>
          <w:rFonts w:hint="eastAsia" w:ascii="仿宋" w:hAnsi="仿宋" w:eastAsia="仿宋"/>
          <w:bCs/>
          <w:color w:val="auto"/>
          <w:sz w:val="24"/>
        </w:rPr>
        <w:t>（四）基本安装要求：</w:t>
      </w:r>
    </w:p>
    <w:p>
      <w:pPr>
        <w:pStyle w:val="13"/>
        <w:spacing w:line="400" w:lineRule="exact"/>
        <w:ind w:left="0" w:leftChars="0" w:firstLine="0" w:firstLineChars="0"/>
        <w:rPr>
          <w:rFonts w:ascii="仿宋" w:hAnsi="仿宋" w:eastAsia="仿宋"/>
          <w:bCs/>
          <w:color w:val="auto"/>
          <w:sz w:val="24"/>
        </w:rPr>
      </w:pPr>
      <w:r>
        <w:rPr>
          <w:rFonts w:hint="eastAsia" w:ascii="仿宋" w:hAnsi="仿宋" w:eastAsia="仿宋"/>
          <w:bCs/>
          <w:color w:val="auto"/>
          <w:sz w:val="24"/>
        </w:rPr>
        <w:t>1.基本安装要求</w:t>
      </w:r>
    </w:p>
    <w:p>
      <w:pPr>
        <w:pStyle w:val="13"/>
        <w:spacing w:line="400" w:lineRule="exact"/>
        <w:ind w:left="0" w:leftChars="0" w:firstLine="240" w:firstLineChars="100"/>
        <w:rPr>
          <w:rFonts w:ascii="仿宋" w:hAnsi="仿宋" w:eastAsia="仿宋"/>
          <w:bCs/>
          <w:color w:val="auto"/>
          <w:sz w:val="24"/>
        </w:rPr>
      </w:pPr>
      <w:r>
        <w:rPr>
          <w:rFonts w:ascii="仿宋" w:hAnsi="仿宋" w:eastAsia="仿宋"/>
          <w:bCs/>
          <w:color w:val="auto"/>
          <w:sz w:val="24"/>
        </w:rPr>
        <w:t>1</w:t>
      </w:r>
      <w:r>
        <w:rPr>
          <w:rFonts w:hint="eastAsia" w:ascii="仿宋" w:hAnsi="仿宋" w:eastAsia="仿宋"/>
          <w:bCs/>
          <w:color w:val="auto"/>
          <w:sz w:val="24"/>
        </w:rPr>
        <w:t>.1</w:t>
      </w:r>
      <w:r>
        <w:rPr>
          <w:rFonts w:ascii="仿宋" w:hAnsi="仿宋" w:eastAsia="仿宋"/>
          <w:bCs/>
          <w:color w:val="auto"/>
          <w:sz w:val="24"/>
        </w:rPr>
        <w:t>.</w:t>
      </w:r>
      <w:r>
        <w:rPr>
          <w:rFonts w:hint="eastAsia" w:ascii="仿宋" w:hAnsi="仿宋" w:eastAsia="仿宋"/>
          <w:bCs/>
          <w:color w:val="auto"/>
          <w:sz w:val="24"/>
        </w:rPr>
        <w:t>中标人提供的货物是合格全新产品，符合国家质量标准（应将高温红色预警等极端气候因素考虑在内），货物为原装，开箱检验时应完好，无破损，产品表面无划伤、无碰撞伤，外观清洁，配置与装箱清单相符，有使用说明书、检验合格证、保修卡及其它配套资料等。</w:t>
      </w:r>
    </w:p>
    <w:p>
      <w:pPr>
        <w:pStyle w:val="13"/>
        <w:spacing w:line="400" w:lineRule="exact"/>
        <w:ind w:left="0" w:leftChars="0" w:firstLine="240" w:firstLineChars="100"/>
        <w:rPr>
          <w:rFonts w:ascii="仿宋" w:hAnsi="仿宋" w:eastAsia="仿宋"/>
          <w:bCs/>
          <w:color w:val="auto"/>
          <w:sz w:val="24"/>
        </w:rPr>
      </w:pPr>
      <w:r>
        <w:rPr>
          <w:rFonts w:hint="eastAsia" w:ascii="仿宋" w:hAnsi="仿宋" w:eastAsia="仿宋"/>
          <w:bCs/>
          <w:color w:val="auto"/>
          <w:sz w:val="24"/>
        </w:rPr>
        <w:t>1.</w:t>
      </w:r>
      <w:r>
        <w:rPr>
          <w:rFonts w:ascii="仿宋" w:hAnsi="仿宋" w:eastAsia="仿宋"/>
          <w:bCs/>
          <w:color w:val="auto"/>
          <w:sz w:val="24"/>
        </w:rPr>
        <w:t>2.</w:t>
      </w:r>
      <w:r>
        <w:rPr>
          <w:rFonts w:hint="eastAsia" w:ascii="仿宋" w:hAnsi="仿宋" w:eastAsia="仿宋"/>
          <w:bCs/>
          <w:color w:val="auto"/>
          <w:sz w:val="24"/>
        </w:rPr>
        <w:t>本项目安装包括包含旧灯具拆除、清运、规范处理、灯具拆除墙面的处理和恢复，遮挡灯具的电扇拆除及移装。灯光所连局域网的打通、新灯具安装所需的材料费、搬运费、安装费、调试费等费用，以及所必须的管线敷设等。</w:t>
      </w:r>
    </w:p>
    <w:p>
      <w:pPr>
        <w:pStyle w:val="13"/>
        <w:spacing w:line="400" w:lineRule="exact"/>
        <w:ind w:left="0" w:leftChars="0" w:firstLine="240" w:firstLineChars="100"/>
        <w:rPr>
          <w:rFonts w:ascii="仿宋" w:hAnsi="仿宋" w:eastAsia="仿宋"/>
          <w:bCs/>
          <w:color w:val="auto"/>
          <w:sz w:val="24"/>
        </w:rPr>
      </w:pPr>
      <w:r>
        <w:rPr>
          <w:rFonts w:hint="eastAsia" w:ascii="仿宋" w:hAnsi="仿宋" w:eastAsia="仿宋"/>
          <w:bCs/>
          <w:color w:val="auto"/>
          <w:sz w:val="24"/>
        </w:rPr>
        <w:t>1.3</w:t>
      </w:r>
      <w:r>
        <w:rPr>
          <w:rFonts w:ascii="仿宋" w:hAnsi="仿宋" w:eastAsia="仿宋"/>
          <w:bCs/>
          <w:color w:val="auto"/>
          <w:sz w:val="24"/>
        </w:rPr>
        <w:t>.</w:t>
      </w:r>
      <w:r>
        <w:rPr>
          <w:rFonts w:hint="eastAsia" w:ascii="仿宋" w:hAnsi="仿宋" w:eastAsia="仿宋"/>
          <w:bCs/>
          <w:color w:val="auto"/>
          <w:sz w:val="24"/>
        </w:rPr>
        <w:t>供应商负责设备的运输、货到现场的卸货安装调试、负责与本项目有关的所有的运输、人力及搬运（含二次搬运）。</w:t>
      </w:r>
    </w:p>
    <w:p>
      <w:pPr>
        <w:pStyle w:val="13"/>
        <w:spacing w:line="400" w:lineRule="exact"/>
        <w:ind w:left="0" w:leftChars="0" w:firstLine="240" w:firstLineChars="100"/>
        <w:rPr>
          <w:rFonts w:ascii="仿宋" w:hAnsi="仿宋" w:eastAsia="仿宋"/>
          <w:bCs/>
          <w:color w:val="auto"/>
          <w:sz w:val="24"/>
        </w:rPr>
      </w:pPr>
      <w:r>
        <w:rPr>
          <w:rFonts w:hint="eastAsia" w:ascii="仿宋" w:hAnsi="仿宋" w:eastAsia="仿宋"/>
          <w:bCs/>
          <w:color w:val="auto"/>
          <w:sz w:val="24"/>
        </w:rPr>
        <w:t>1.4.灯具及其附件应安装齐全，并无损伤、变形、涂层剥落和灯罩破裂等缺陷；灯具接线牢固、接触良好；开关面板及接线盒盒体安装完整、无破损变形，零件齐全；墙面明线安装中导管管径大小和接线盒孔径相匹配，导管和接线盒连接紧密。</w:t>
      </w:r>
    </w:p>
    <w:p>
      <w:pPr>
        <w:pStyle w:val="13"/>
        <w:spacing w:line="400" w:lineRule="exact"/>
        <w:ind w:left="0" w:leftChars="0" w:firstLine="240" w:firstLineChars="100"/>
        <w:rPr>
          <w:rFonts w:ascii="仿宋" w:hAnsi="仿宋" w:eastAsia="仿宋"/>
          <w:bCs/>
          <w:color w:val="auto"/>
          <w:sz w:val="24"/>
        </w:rPr>
      </w:pPr>
      <w:r>
        <w:rPr>
          <w:rFonts w:hint="eastAsia" w:ascii="仿宋" w:hAnsi="仿宋" w:eastAsia="仿宋"/>
          <w:bCs/>
          <w:color w:val="auto"/>
          <w:sz w:val="24"/>
        </w:rPr>
        <w:t>1.5.设备清单中未列明的管材、开关、电缆、辅</w:t>
      </w:r>
      <w:r>
        <w:rPr>
          <w:rFonts w:hint="eastAsia" w:ascii="仿宋" w:hAnsi="仿宋" w:eastAsia="仿宋"/>
          <w:bCs/>
          <w:color w:val="auto"/>
          <w:sz w:val="24"/>
          <w:lang w:val="en-US" w:eastAsia="zh-CN"/>
        </w:rPr>
        <w:t>材</w:t>
      </w:r>
      <w:r>
        <w:rPr>
          <w:rFonts w:hint="eastAsia" w:ascii="仿宋" w:hAnsi="仿宋" w:eastAsia="仿宋"/>
          <w:bCs/>
          <w:color w:val="auto"/>
          <w:sz w:val="24"/>
        </w:rPr>
        <w:t>皆包含在本次</w:t>
      </w:r>
      <w:r>
        <w:rPr>
          <w:rFonts w:hint="eastAsia" w:ascii="仿宋" w:hAnsi="仿宋" w:eastAsia="仿宋"/>
          <w:bCs/>
          <w:color w:val="auto"/>
          <w:sz w:val="24"/>
          <w:lang w:val="en-US" w:eastAsia="zh-CN"/>
        </w:rPr>
        <w:t>各项</w:t>
      </w:r>
      <w:r>
        <w:rPr>
          <w:rFonts w:hint="eastAsia" w:ascii="仿宋" w:hAnsi="仿宋" w:eastAsia="仿宋"/>
          <w:bCs/>
          <w:color w:val="auto"/>
          <w:sz w:val="24"/>
        </w:rPr>
        <w:t>报价中，不再另行计费。</w:t>
      </w:r>
    </w:p>
    <w:p>
      <w:pPr>
        <w:pStyle w:val="13"/>
        <w:spacing w:line="400" w:lineRule="exact"/>
        <w:ind w:left="0" w:leftChars="0" w:firstLine="240" w:firstLineChars="100"/>
        <w:outlineLvl w:val="1"/>
        <w:rPr>
          <w:rFonts w:ascii="仿宋" w:hAnsi="仿宋" w:eastAsia="仿宋"/>
          <w:bCs/>
          <w:color w:val="auto"/>
          <w:sz w:val="24"/>
        </w:rPr>
      </w:pPr>
      <w:r>
        <w:rPr>
          <w:rFonts w:hint="eastAsia" w:ascii="仿宋" w:hAnsi="仿宋" w:eastAsia="仿宋"/>
          <w:bCs/>
          <w:color w:val="auto"/>
          <w:sz w:val="24"/>
        </w:rPr>
        <w:t>2.教室灯安装要求</w:t>
      </w:r>
    </w:p>
    <w:p>
      <w:pPr>
        <w:pStyle w:val="13"/>
        <w:spacing w:line="400" w:lineRule="exact"/>
        <w:ind w:left="0" w:leftChars="0" w:firstLine="240" w:firstLineChars="100"/>
        <w:outlineLvl w:val="1"/>
        <w:rPr>
          <w:rFonts w:ascii="仿宋" w:hAnsi="仿宋" w:eastAsia="仿宋"/>
          <w:bCs/>
          <w:color w:val="auto"/>
          <w:sz w:val="24"/>
        </w:rPr>
      </w:pPr>
      <w:r>
        <w:rPr>
          <w:rFonts w:hint="eastAsia" w:ascii="仿宋" w:hAnsi="仿宋" w:eastAsia="仿宋"/>
          <w:bCs/>
          <w:color w:val="auto"/>
          <w:sz w:val="24"/>
        </w:rPr>
        <w:t>2.1应根据场室(教室、功能室、阅览室等)实际情况，选择内嵌或吊杆安装的方式，采用吊杆方式时，吊杆应与灯面垂直，不得倾斜。照明灯具距教室参考平面的最低悬挂高度不应低于1.70m；</w:t>
      </w:r>
    </w:p>
    <w:p>
      <w:pPr>
        <w:rPr>
          <w:color w:val="auto"/>
        </w:rPr>
      </w:pPr>
      <w:r>
        <w:rPr>
          <w:color w:val="auto"/>
        </w:rPr>
        <w:drawing>
          <wp:anchor distT="0" distB="0" distL="114300" distR="114300" simplePos="0" relativeHeight="251659264" behindDoc="0" locked="0" layoutInCell="1" allowOverlap="1">
            <wp:simplePos x="0" y="0"/>
            <wp:positionH relativeFrom="column">
              <wp:posOffset>123825</wp:posOffset>
            </wp:positionH>
            <wp:positionV relativeFrom="paragraph">
              <wp:posOffset>92075</wp:posOffset>
            </wp:positionV>
            <wp:extent cx="3609975" cy="1628775"/>
            <wp:effectExtent l="0" t="0" r="9525"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3609975" cy="1628775"/>
                    </a:xfrm>
                    <a:prstGeom prst="rect">
                      <a:avLst/>
                    </a:prstGeom>
                    <a:noFill/>
                    <a:ln>
                      <a:noFill/>
                    </a:ln>
                  </pic:spPr>
                </pic:pic>
              </a:graphicData>
            </a:graphic>
          </wp:anchor>
        </w:drawing>
      </w:r>
    </w:p>
    <w:p>
      <w:pPr>
        <w:rPr>
          <w:color w:val="auto"/>
        </w:rPr>
      </w:pPr>
    </w:p>
    <w:p>
      <w:pPr>
        <w:rPr>
          <w:color w:val="auto"/>
        </w:rPr>
      </w:pPr>
    </w:p>
    <w:p>
      <w:pPr>
        <w:rPr>
          <w:color w:val="auto"/>
        </w:rPr>
      </w:pPr>
    </w:p>
    <w:p>
      <w:pPr>
        <w:rPr>
          <w:color w:val="auto"/>
        </w:rPr>
      </w:pPr>
    </w:p>
    <w:p>
      <w:pPr>
        <w:rPr>
          <w:color w:val="auto"/>
        </w:rPr>
      </w:pPr>
    </w:p>
    <w:p>
      <w:pPr>
        <w:rPr>
          <w:rFonts w:eastAsia="宋体"/>
          <w:color w:val="auto"/>
        </w:rPr>
      </w:pPr>
    </w:p>
    <w:p>
      <w:pPr>
        <w:pStyle w:val="2"/>
        <w:rPr>
          <w:rFonts w:eastAsia="宋体"/>
          <w:color w:val="auto"/>
        </w:rPr>
      </w:pPr>
    </w:p>
    <w:p>
      <w:pPr>
        <w:rPr>
          <w:rFonts w:eastAsia="宋体"/>
          <w:color w:val="auto"/>
        </w:rPr>
      </w:pPr>
    </w:p>
    <w:p>
      <w:pPr>
        <w:pStyle w:val="2"/>
        <w:rPr>
          <w:rFonts w:eastAsia="宋体"/>
          <w:color w:val="auto"/>
        </w:rPr>
      </w:pPr>
    </w:p>
    <w:p>
      <w:pPr>
        <w:rPr>
          <w:rFonts w:eastAsia="宋体"/>
          <w:color w:val="auto"/>
        </w:rPr>
      </w:pPr>
    </w:p>
    <w:p>
      <w:pPr>
        <w:pStyle w:val="13"/>
        <w:spacing w:line="400" w:lineRule="exact"/>
        <w:ind w:left="0" w:leftChars="0" w:firstLine="240" w:firstLineChars="100"/>
        <w:outlineLvl w:val="1"/>
        <w:rPr>
          <w:rFonts w:hint="eastAsia" w:ascii="仿宋" w:hAnsi="仿宋" w:eastAsia="仿宋"/>
          <w:bCs/>
          <w:color w:val="auto"/>
          <w:sz w:val="24"/>
        </w:rPr>
      </w:pPr>
    </w:p>
    <w:p>
      <w:pPr>
        <w:pStyle w:val="13"/>
        <w:spacing w:line="400" w:lineRule="exact"/>
        <w:ind w:left="0" w:leftChars="0" w:firstLine="240" w:firstLineChars="100"/>
        <w:outlineLvl w:val="1"/>
        <w:rPr>
          <w:rFonts w:hint="eastAsia" w:ascii="仿宋" w:hAnsi="仿宋" w:eastAsia="仿宋"/>
          <w:bCs/>
          <w:color w:val="auto"/>
          <w:sz w:val="24"/>
        </w:rPr>
      </w:pPr>
    </w:p>
    <w:p>
      <w:pPr>
        <w:pStyle w:val="13"/>
        <w:spacing w:line="400" w:lineRule="exact"/>
        <w:ind w:left="0" w:leftChars="0" w:firstLine="240" w:firstLineChars="100"/>
        <w:outlineLvl w:val="1"/>
        <w:rPr>
          <w:rFonts w:hint="eastAsia" w:ascii="仿宋" w:hAnsi="仿宋" w:eastAsia="仿宋"/>
          <w:bCs/>
          <w:color w:val="auto"/>
          <w:sz w:val="24"/>
        </w:rPr>
      </w:pPr>
    </w:p>
    <w:p>
      <w:pPr>
        <w:pStyle w:val="13"/>
        <w:spacing w:line="400" w:lineRule="exact"/>
        <w:ind w:left="0" w:leftChars="0" w:firstLine="240" w:firstLineChars="100"/>
        <w:outlineLvl w:val="1"/>
        <w:rPr>
          <w:rFonts w:hint="eastAsia" w:ascii="仿宋" w:hAnsi="仿宋" w:eastAsia="仿宋"/>
          <w:bCs/>
          <w:color w:val="auto"/>
          <w:sz w:val="24"/>
        </w:rPr>
      </w:pPr>
    </w:p>
    <w:p>
      <w:pPr>
        <w:pStyle w:val="13"/>
        <w:spacing w:line="400" w:lineRule="exact"/>
        <w:ind w:left="0" w:leftChars="0" w:firstLine="240" w:firstLineChars="100"/>
        <w:outlineLvl w:val="1"/>
        <w:rPr>
          <w:rFonts w:hint="eastAsia" w:ascii="仿宋" w:hAnsi="仿宋" w:eastAsia="仿宋"/>
          <w:bCs/>
          <w:color w:val="auto"/>
          <w:sz w:val="24"/>
        </w:rPr>
      </w:pPr>
    </w:p>
    <w:p>
      <w:pPr>
        <w:pStyle w:val="13"/>
        <w:spacing w:line="400" w:lineRule="exact"/>
        <w:ind w:left="0" w:leftChars="0" w:firstLine="240" w:firstLineChars="100"/>
        <w:outlineLvl w:val="1"/>
        <w:rPr>
          <w:rFonts w:hint="eastAsia" w:ascii="仿宋" w:hAnsi="仿宋" w:eastAsia="仿宋"/>
          <w:bCs/>
          <w:color w:val="auto"/>
          <w:sz w:val="24"/>
        </w:rPr>
      </w:pPr>
    </w:p>
    <w:p>
      <w:pPr>
        <w:pStyle w:val="13"/>
        <w:spacing w:line="400" w:lineRule="exact"/>
        <w:ind w:left="0" w:leftChars="0" w:firstLine="240" w:firstLineChars="100"/>
        <w:outlineLvl w:val="1"/>
        <w:rPr>
          <w:rFonts w:ascii="仿宋" w:hAnsi="仿宋" w:eastAsia="仿宋"/>
          <w:bCs/>
          <w:color w:val="auto"/>
          <w:sz w:val="24"/>
        </w:rPr>
      </w:pPr>
      <w:r>
        <w:rPr>
          <w:rFonts w:hint="eastAsia" w:ascii="仿宋" w:hAnsi="仿宋" w:eastAsia="仿宋"/>
          <w:bCs/>
          <w:color w:val="auto"/>
          <w:sz w:val="24"/>
        </w:rPr>
        <w:t>2.2教室灯具排列采用其长轴垂直于黑板面布置；</w:t>
      </w:r>
    </w:p>
    <w:p>
      <w:pPr>
        <w:ind w:firstLine="240" w:firstLineChars="100"/>
        <w:rPr>
          <w:rFonts w:hint="eastAsia" w:ascii="仿宋" w:hAnsi="仿宋" w:eastAsia="仿宋" w:cs="Times New Roman"/>
          <w:bCs/>
          <w:color w:val="auto"/>
          <w:sz w:val="24"/>
          <w:lang w:val="en-US" w:eastAsia="zh-CN" w:bidi="ar-SA"/>
        </w:rPr>
      </w:pPr>
      <w:r>
        <w:rPr>
          <w:rFonts w:hint="eastAsia" w:ascii="仿宋" w:hAnsi="仿宋" w:eastAsia="仿宋" w:cs="Times New Roman"/>
          <w:bCs/>
          <w:color w:val="auto"/>
          <w:sz w:val="24"/>
          <w:lang w:val="en-US" w:eastAsia="zh-CN" w:bidi="ar-SA"/>
        </w:rPr>
        <w:drawing>
          <wp:anchor distT="0" distB="0" distL="114300" distR="114300" simplePos="0" relativeHeight="251660288" behindDoc="0" locked="0" layoutInCell="1" allowOverlap="1">
            <wp:simplePos x="0" y="0"/>
            <wp:positionH relativeFrom="column">
              <wp:posOffset>410845</wp:posOffset>
            </wp:positionH>
            <wp:positionV relativeFrom="paragraph">
              <wp:posOffset>230505</wp:posOffset>
            </wp:positionV>
            <wp:extent cx="2917190" cy="3186430"/>
            <wp:effectExtent l="0" t="0" r="3810" b="127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2917190" cy="3186430"/>
                    </a:xfrm>
                    <a:prstGeom prst="rect">
                      <a:avLst/>
                    </a:prstGeom>
                    <a:noFill/>
                    <a:ln>
                      <a:noFill/>
                    </a:ln>
                  </pic:spPr>
                </pic:pic>
              </a:graphicData>
            </a:graphic>
          </wp:anchor>
        </w:drawing>
      </w:r>
      <w:r>
        <w:rPr>
          <w:rFonts w:hint="eastAsia" w:ascii="仿宋" w:hAnsi="仿宋" w:eastAsia="仿宋" w:cs="Times New Roman"/>
          <w:bCs/>
          <w:color w:val="auto"/>
          <w:sz w:val="24"/>
          <w:lang w:val="en-US" w:eastAsia="zh-CN" w:bidi="ar-SA"/>
        </w:rPr>
        <w:t>2.3 阶梯教室，前排灯不应对后排学生产生直接眩光；</w:t>
      </w:r>
    </w:p>
    <w:p>
      <w:pPr>
        <w:pStyle w:val="13"/>
        <w:spacing w:line="400" w:lineRule="exact"/>
        <w:ind w:left="0" w:leftChars="0" w:firstLine="240" w:firstLineChars="100"/>
        <w:outlineLvl w:val="1"/>
        <w:rPr>
          <w:rFonts w:ascii="仿宋" w:hAnsi="仿宋" w:eastAsia="仿宋"/>
          <w:bCs/>
          <w:color w:val="auto"/>
          <w:sz w:val="24"/>
        </w:rPr>
      </w:pPr>
      <w:r>
        <w:rPr>
          <w:rFonts w:hint="eastAsia" w:ascii="仿宋" w:hAnsi="仿宋" w:eastAsia="仿宋"/>
          <w:bCs/>
          <w:color w:val="auto"/>
          <w:sz w:val="24"/>
        </w:rPr>
        <w:t>2.4教室安装有风扇，灯具出光面宜低于风扇，且应使用刚性安装(灯具出光面水平横向距离风扇叶片25cm以上除外)；</w:t>
      </w:r>
    </w:p>
    <w:p>
      <w:pPr>
        <w:pStyle w:val="13"/>
        <w:spacing w:line="400" w:lineRule="exact"/>
        <w:ind w:left="0" w:leftChars="0" w:firstLine="240" w:firstLineChars="100"/>
        <w:outlineLvl w:val="1"/>
        <w:rPr>
          <w:rFonts w:ascii="仿宋" w:hAnsi="仿宋" w:eastAsia="仿宋"/>
          <w:bCs/>
          <w:color w:val="auto"/>
          <w:sz w:val="24"/>
        </w:rPr>
      </w:pPr>
      <w:r>
        <w:rPr>
          <w:rFonts w:hint="eastAsia" w:ascii="仿宋" w:hAnsi="仿宋" w:eastAsia="仿宋"/>
          <w:bCs/>
          <w:color w:val="auto"/>
          <w:sz w:val="24"/>
        </w:rPr>
        <w:t>2.5线路须穿管或线槽保护，不得有裸露电线。</w:t>
      </w:r>
    </w:p>
    <w:p>
      <w:pPr>
        <w:pStyle w:val="13"/>
        <w:spacing w:line="400" w:lineRule="exact"/>
        <w:ind w:left="0" w:leftChars="0" w:firstLine="0" w:firstLineChars="0"/>
        <w:outlineLvl w:val="1"/>
        <w:rPr>
          <w:rFonts w:ascii="仿宋" w:hAnsi="仿宋" w:eastAsia="仿宋"/>
          <w:bCs/>
          <w:color w:val="auto"/>
          <w:sz w:val="24"/>
        </w:rPr>
      </w:pPr>
      <w:r>
        <w:rPr>
          <w:rFonts w:hint="eastAsia" w:ascii="仿宋" w:hAnsi="仿宋" w:eastAsia="仿宋"/>
          <w:bCs/>
          <w:color w:val="auto"/>
          <w:sz w:val="24"/>
        </w:rPr>
        <w:t>3.黑板灯安装要求</w:t>
      </w:r>
    </w:p>
    <w:p>
      <w:pPr>
        <w:pStyle w:val="13"/>
        <w:spacing w:line="400" w:lineRule="exact"/>
        <w:ind w:left="0" w:leftChars="0" w:firstLine="240" w:firstLineChars="100"/>
        <w:outlineLvl w:val="1"/>
        <w:rPr>
          <w:rFonts w:ascii="仿宋" w:hAnsi="仿宋" w:eastAsia="仿宋"/>
          <w:bCs/>
          <w:color w:val="auto"/>
          <w:sz w:val="24"/>
        </w:rPr>
      </w:pPr>
      <w:r>
        <w:rPr>
          <w:rFonts w:hint="eastAsia" w:ascii="仿宋" w:hAnsi="仿宋" w:eastAsia="仿宋"/>
          <w:bCs/>
          <w:color w:val="auto"/>
          <w:sz w:val="24"/>
        </w:rPr>
        <w:t>3.1采用吊杆安装方式，灯具平行于黑板安装，建议灯具距黑板平行间d=700mm-1000mm，距黑板上缘垂直距离h=100mm-200mm，或</w:t>
      </w:r>
      <w:r>
        <w:rPr>
          <w:rFonts w:ascii="仿宋" w:hAnsi="仿宋" w:eastAsia="仿宋"/>
          <w:bCs/>
          <w:color w:val="auto"/>
          <w:sz w:val="24"/>
        </w:rPr>
        <w:t>根据现场情况的其他安装尺寸</w:t>
      </w:r>
      <w:r>
        <w:rPr>
          <w:rFonts w:hint="eastAsia" w:ascii="仿宋" w:hAnsi="仿宋" w:eastAsia="仿宋"/>
          <w:bCs/>
          <w:color w:val="auto"/>
          <w:sz w:val="24"/>
        </w:rPr>
        <w:t>，以避免黑板灯具遮挡投影仪或对授课老师产生直接眩光。</w:t>
      </w:r>
    </w:p>
    <w:p>
      <w:pPr>
        <w:pStyle w:val="13"/>
        <w:spacing w:line="400" w:lineRule="exact"/>
        <w:ind w:left="0" w:leftChars="0" w:firstLine="240" w:firstLineChars="100"/>
        <w:outlineLvl w:val="1"/>
        <w:rPr>
          <w:rFonts w:ascii="仿宋" w:hAnsi="仿宋" w:eastAsia="仿宋"/>
          <w:bCs/>
          <w:color w:val="auto"/>
          <w:sz w:val="24"/>
        </w:rPr>
      </w:pPr>
      <w:r>
        <w:rPr>
          <w:rFonts w:hint="eastAsia" w:ascii="仿宋" w:hAnsi="仿宋" w:eastAsia="仿宋"/>
          <w:bCs/>
          <w:color w:val="auto"/>
          <w:sz w:val="24"/>
        </w:rPr>
        <w:t>3.2黑板照明灯具的投射角，安装高度应可调节以满足黑板不同照明要求。投射角及高度双向调节可以满足有(无)电子白板(或投影仪)等视觉显示终端不同教室的黑板照明要求。</w:t>
      </w:r>
    </w:p>
    <w:p>
      <w:pPr>
        <w:pStyle w:val="13"/>
        <w:spacing w:line="400" w:lineRule="exact"/>
        <w:ind w:left="0" w:leftChars="0" w:firstLine="240" w:firstLineChars="100"/>
        <w:outlineLvl w:val="1"/>
        <w:rPr>
          <w:rFonts w:ascii="仿宋" w:hAnsi="仿宋" w:eastAsia="仿宋"/>
          <w:bCs/>
          <w:color w:val="auto"/>
          <w:sz w:val="24"/>
        </w:rPr>
      </w:pPr>
      <w:r>
        <w:rPr>
          <w:rFonts w:hint="eastAsia" w:ascii="仿宋" w:hAnsi="仿宋" w:eastAsia="仿宋"/>
          <w:bCs/>
          <w:color w:val="auto"/>
          <w:sz w:val="24"/>
        </w:rPr>
        <w:t>3.3线路须穿管或线槽保护，不得有裸露电线。</w:t>
      </w:r>
    </w:p>
    <w:p>
      <w:pPr>
        <w:pStyle w:val="13"/>
        <w:spacing w:line="400" w:lineRule="exact"/>
        <w:ind w:left="0" w:leftChars="0" w:firstLine="0" w:firstLineChars="0"/>
        <w:outlineLvl w:val="1"/>
        <w:rPr>
          <w:rFonts w:ascii="仿宋" w:hAnsi="仿宋" w:eastAsia="仿宋"/>
          <w:bCs/>
          <w:color w:val="auto"/>
          <w:sz w:val="24"/>
        </w:rPr>
      </w:pPr>
      <w:r>
        <w:rPr>
          <w:rFonts w:hint="eastAsia" w:ascii="仿宋" w:hAnsi="仿宋" w:eastAsia="仿宋"/>
          <w:bCs/>
          <w:color w:val="auto"/>
          <w:sz w:val="24"/>
        </w:rPr>
        <w:t>4.照明控制及安装要求</w:t>
      </w:r>
    </w:p>
    <w:p>
      <w:pPr>
        <w:pStyle w:val="13"/>
        <w:spacing w:line="400" w:lineRule="exact"/>
        <w:ind w:left="0" w:leftChars="0" w:firstLine="240" w:firstLineChars="100"/>
        <w:outlineLvl w:val="1"/>
        <w:rPr>
          <w:rFonts w:ascii="仿宋" w:hAnsi="仿宋" w:eastAsia="仿宋"/>
          <w:bCs/>
          <w:color w:val="auto"/>
          <w:sz w:val="24"/>
        </w:rPr>
      </w:pPr>
      <w:r>
        <w:rPr>
          <w:rFonts w:hint="eastAsia" w:ascii="仿宋" w:hAnsi="仿宋" w:eastAsia="仿宋"/>
          <w:bCs/>
          <w:color w:val="auto"/>
          <w:sz w:val="24"/>
        </w:rPr>
        <w:t>4.1教室照明控制应符合GB50034-2013《建筑照明设计标准》、GB50099-2011《中小学校设计规范》、GB50303-2015《建筑电气工程施工质量验收规范》规定。</w:t>
      </w:r>
    </w:p>
    <w:p>
      <w:pPr>
        <w:pStyle w:val="13"/>
        <w:spacing w:line="400" w:lineRule="exact"/>
        <w:ind w:left="0" w:leftChars="0" w:firstLine="240" w:firstLineChars="100"/>
        <w:outlineLvl w:val="1"/>
        <w:rPr>
          <w:rFonts w:ascii="仿宋" w:hAnsi="仿宋" w:eastAsia="仿宋"/>
          <w:bCs/>
          <w:color w:val="auto"/>
          <w:sz w:val="24"/>
        </w:rPr>
      </w:pPr>
      <w:r>
        <w:rPr>
          <w:rFonts w:hint="eastAsia" w:ascii="仿宋" w:hAnsi="仿宋" w:eastAsia="仿宋"/>
          <w:bCs/>
          <w:color w:val="auto"/>
          <w:sz w:val="24"/>
        </w:rPr>
        <w:t>4.2按教室功能设置照明情况和教室工作模式（如上课模式、投影模式、课间模式、考试模式等）。</w:t>
      </w:r>
    </w:p>
    <w:p>
      <w:pPr>
        <w:pStyle w:val="13"/>
        <w:spacing w:line="400" w:lineRule="exact"/>
        <w:ind w:left="0" w:leftChars="0" w:firstLine="240" w:firstLineChars="100"/>
        <w:outlineLvl w:val="1"/>
        <w:rPr>
          <w:rFonts w:ascii="仿宋" w:hAnsi="仿宋" w:eastAsia="仿宋"/>
          <w:bCs/>
          <w:color w:val="auto"/>
          <w:sz w:val="24"/>
        </w:rPr>
      </w:pPr>
      <w:r>
        <w:rPr>
          <w:rFonts w:hint="eastAsia" w:ascii="仿宋" w:hAnsi="仿宋" w:eastAsia="仿宋"/>
          <w:bCs/>
          <w:color w:val="auto"/>
          <w:sz w:val="24"/>
        </w:rPr>
        <w:t>4.3线路须穿管或线槽保护，不得有裸露电线。教室照明系统供电线路设计、线缆选型、施工安装等不得存有安全隐患。并且所使用的材料必须符合本招标文件要求和国家相关标准的规定。</w:t>
      </w:r>
    </w:p>
    <w:p>
      <w:pPr>
        <w:pStyle w:val="13"/>
        <w:spacing w:line="400" w:lineRule="exact"/>
        <w:ind w:left="0" w:leftChars="0" w:firstLine="240" w:firstLineChars="100"/>
        <w:outlineLvl w:val="1"/>
        <w:rPr>
          <w:rFonts w:ascii="仿宋" w:hAnsi="仿宋" w:eastAsia="仿宋"/>
          <w:bCs/>
          <w:color w:val="auto"/>
          <w:sz w:val="24"/>
        </w:rPr>
      </w:pPr>
      <w:r>
        <w:rPr>
          <w:rFonts w:hint="eastAsia" w:ascii="仿宋" w:hAnsi="仿宋" w:eastAsia="仿宋"/>
          <w:bCs/>
          <w:color w:val="auto"/>
          <w:sz w:val="24"/>
        </w:rPr>
        <w:t>4.</w:t>
      </w:r>
      <w:r>
        <w:rPr>
          <w:rFonts w:ascii="仿宋" w:hAnsi="仿宋" w:eastAsia="仿宋"/>
          <w:bCs/>
          <w:color w:val="auto"/>
          <w:sz w:val="24"/>
        </w:rPr>
        <w:t>4</w:t>
      </w:r>
      <w:r>
        <w:rPr>
          <w:rFonts w:hint="eastAsia" w:ascii="仿宋" w:hAnsi="仿宋" w:eastAsia="仿宋"/>
          <w:bCs/>
          <w:color w:val="auto"/>
          <w:sz w:val="24"/>
        </w:rPr>
        <w:t>通电试运行。灯具安装完毕后应通电试运行。检查灯具内光源运行是否正常，黑板灯投射方向及角度是否正确，灯具运行完好率应达到100%。</w:t>
      </w:r>
    </w:p>
    <w:p>
      <w:pPr>
        <w:pStyle w:val="13"/>
        <w:spacing w:line="400" w:lineRule="exact"/>
        <w:ind w:left="0" w:leftChars="0" w:firstLine="0" w:firstLineChars="0"/>
        <w:outlineLvl w:val="1"/>
        <w:rPr>
          <w:rFonts w:ascii="仿宋" w:hAnsi="仿宋" w:eastAsia="仿宋"/>
          <w:color w:val="auto"/>
          <w:sz w:val="24"/>
        </w:rPr>
      </w:pPr>
      <w:r>
        <w:rPr>
          <w:rFonts w:hint="eastAsia" w:ascii="仿宋" w:hAnsi="仿宋" w:eastAsia="仿宋"/>
          <w:bCs/>
          <w:color w:val="auto"/>
          <w:sz w:val="24"/>
        </w:rPr>
        <w:t xml:space="preserve">（五）投标设计方案要求 </w:t>
      </w:r>
    </w:p>
    <w:p>
      <w:pPr>
        <w:spacing w:line="400" w:lineRule="exact"/>
        <w:ind w:left="200" w:leftChars="100" w:firstLine="240" w:firstLineChars="100"/>
        <w:rPr>
          <w:rFonts w:ascii="仿宋" w:hAnsi="仿宋" w:eastAsia="仿宋"/>
          <w:color w:val="auto"/>
          <w:sz w:val="24"/>
        </w:rPr>
      </w:pPr>
      <w:r>
        <w:rPr>
          <w:rFonts w:hint="eastAsia" w:ascii="仿宋" w:hAnsi="仿宋" w:eastAsia="仿宋"/>
          <w:color w:val="auto"/>
          <w:sz w:val="24"/>
        </w:rPr>
        <w:t>1.教室数据采集，至少包含教室空间数据测量、课桌面照度数据采集、黑板数据照度采集等指标和过程资料。</w:t>
      </w:r>
    </w:p>
    <w:p>
      <w:pPr>
        <w:spacing w:line="400" w:lineRule="exact"/>
        <w:ind w:left="200" w:leftChars="100" w:firstLine="240" w:firstLineChars="100"/>
        <w:rPr>
          <w:rFonts w:ascii="仿宋" w:hAnsi="仿宋" w:eastAsia="仿宋"/>
          <w:color w:val="auto"/>
          <w:sz w:val="24"/>
        </w:rPr>
      </w:pPr>
      <w:r>
        <w:rPr>
          <w:rFonts w:hint="eastAsia" w:ascii="仿宋" w:hAnsi="仿宋" w:eastAsia="仿宋"/>
          <w:color w:val="auto"/>
          <w:sz w:val="24"/>
        </w:rPr>
        <w:t>2.专业光学照明设计，至少包含模拟效果图、等照度图、点照度图、伪色图。健康照明环境设计，至少包含学校整体布局图、楼层布局图、教室布局图。（注：因本项目时间紧、任务重，且受疫情影响，项目现场投标人自行踏勘及结合以往同类项目经验）</w:t>
      </w:r>
    </w:p>
    <w:p>
      <w:pPr>
        <w:spacing w:line="400" w:lineRule="exact"/>
        <w:ind w:left="200" w:leftChars="100" w:firstLine="240" w:firstLineChars="100"/>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.方案设计应充分考虑节能、环保、健康及国家标准。</w:t>
      </w:r>
    </w:p>
    <w:p>
      <w:pPr>
        <w:spacing w:line="400" w:lineRule="exact"/>
        <w:ind w:left="200" w:leftChars="100" w:firstLine="240" w:firstLineChars="100"/>
        <w:rPr>
          <w:rFonts w:ascii="仿宋" w:hAnsi="仿宋" w:eastAsia="仿宋"/>
          <w:color w:val="auto"/>
          <w:sz w:val="24"/>
        </w:rPr>
      </w:pPr>
      <w:r>
        <w:rPr>
          <w:rFonts w:ascii="仿宋" w:hAnsi="仿宋" w:eastAsia="仿宋"/>
          <w:color w:val="auto"/>
          <w:sz w:val="24"/>
        </w:rPr>
        <w:t>4</w:t>
      </w:r>
      <w:r>
        <w:rPr>
          <w:rFonts w:hint="eastAsia" w:ascii="仿宋" w:hAnsi="仿宋" w:eastAsia="仿宋"/>
          <w:color w:val="auto"/>
          <w:sz w:val="24"/>
        </w:rPr>
        <w:t>.投标人对所提供的设施设备，向用户进行技术培训，培训内容包括运行操作、维修保养及设备简易故障的判别、排除。</w:t>
      </w:r>
    </w:p>
    <w:p>
      <w:pPr>
        <w:spacing w:line="400" w:lineRule="exact"/>
        <w:ind w:left="200" w:leftChars="100" w:firstLine="240" w:firstLineChars="100"/>
        <w:rPr>
          <w:rFonts w:ascii="仿宋" w:hAnsi="仿宋" w:eastAsia="仿宋"/>
          <w:color w:val="auto"/>
          <w:sz w:val="24"/>
        </w:rPr>
      </w:pPr>
      <w:r>
        <w:rPr>
          <w:rFonts w:ascii="仿宋" w:hAnsi="仿宋" w:eastAsia="仿宋"/>
          <w:color w:val="auto"/>
          <w:sz w:val="24"/>
        </w:rPr>
        <w:t>5</w:t>
      </w:r>
      <w:r>
        <w:rPr>
          <w:rFonts w:hint="eastAsia" w:ascii="仿宋" w:hAnsi="仿宋" w:eastAsia="仿宋"/>
          <w:color w:val="auto"/>
          <w:sz w:val="24"/>
        </w:rPr>
        <w:t>.本项目实施过程中的人身安全、财产安全由投标人负责，采购人不承担任何经济和法律责任。</w:t>
      </w:r>
    </w:p>
    <w:p>
      <w:pPr>
        <w:numPr>
          <w:ilvl w:val="0"/>
          <w:numId w:val="0"/>
        </w:numPr>
        <w:rPr>
          <w:rFonts w:hint="eastAsia" w:ascii="仿宋" w:hAnsi="仿宋" w:eastAsia="仿宋" w:cs="仿宋"/>
          <w:highlight w:val="none"/>
        </w:rPr>
      </w:pPr>
      <w:r>
        <w:rPr>
          <w:rFonts w:hint="eastAsia" w:ascii="仿宋" w:hAnsi="仿宋" w:eastAsia="仿宋"/>
          <w:color w:val="auto"/>
          <w:sz w:val="24"/>
        </w:rPr>
        <w:t xml:space="preserve"> </w:t>
      </w:r>
      <w:r>
        <w:rPr>
          <w:rFonts w:hint="eastAsia" w:ascii="仿宋" w:hAnsi="仿宋" w:eastAsia="仿宋"/>
          <w:color w:val="auto"/>
          <w:sz w:val="24"/>
          <w:lang w:val="en-US" w:eastAsia="zh-CN"/>
        </w:rPr>
        <w:t xml:space="preserve"> </w:t>
      </w:r>
      <w:r>
        <w:rPr>
          <w:rFonts w:ascii="仿宋" w:hAnsi="仿宋" w:eastAsia="仿宋"/>
          <w:color w:val="auto"/>
          <w:sz w:val="24"/>
        </w:rPr>
        <w:t xml:space="preserve"> 6</w:t>
      </w:r>
      <w:r>
        <w:rPr>
          <w:rFonts w:hint="eastAsia" w:ascii="仿宋" w:hAnsi="仿宋" w:eastAsia="仿宋"/>
          <w:color w:val="auto"/>
          <w:sz w:val="24"/>
        </w:rPr>
        <w:t>.投标人需考虑各类教室的而积差异，造成设计及安装要求的难度，不确定因素，此项目在教学期间安装设计原则：①必须保证学生、老师的人身安全；②不能影响学校正常的教学工作，较大噪声的安装必须安排在下课时间或周末进行，同时也不能对周边的居民造成不良的影响；③安装人员不能在校内现场居住，同时在安装期间未经学校允许不得进入校园的非安装区域；④安装期间做好疫情防控工作。</w:t>
      </w:r>
    </w:p>
    <w:p>
      <w:pPr>
        <w:pStyle w:val="3"/>
        <w:spacing w:before="120" w:beforeLines="50"/>
        <w:rPr>
          <w:rFonts w:hint="eastAsia" w:ascii="仿宋" w:hAnsi="仿宋" w:eastAsia="仿宋" w:cs="仿宋"/>
          <w:highlight w:val="none"/>
        </w:rPr>
      </w:pPr>
      <w:bookmarkStart w:id="1194" w:name="_Toc25083"/>
      <w:bookmarkStart w:id="1195" w:name="_Toc20823"/>
      <w:bookmarkStart w:id="1196" w:name="_Toc17032"/>
      <w:bookmarkStart w:id="1197" w:name="_Toc32726"/>
      <w:bookmarkStart w:id="1198" w:name="_Toc22492"/>
      <w:bookmarkStart w:id="1199" w:name="_Toc18778"/>
      <w:bookmarkStart w:id="1200" w:name="_Toc14974"/>
      <w:bookmarkStart w:id="1201" w:name="_Toc2774"/>
      <w:bookmarkStart w:id="1202" w:name="_Toc2221_WPSOffice_Level1"/>
      <w:bookmarkStart w:id="1203" w:name="_Toc6463"/>
      <w:bookmarkStart w:id="1204" w:name="_Toc4829_WPSOffice_Level1"/>
      <w:bookmarkStart w:id="1205" w:name="_Toc21260"/>
      <w:bookmarkStart w:id="1206" w:name="_Toc32700_WPSOffice_Level1"/>
      <w:bookmarkStart w:id="1207" w:name="_Toc5004469"/>
      <w:bookmarkStart w:id="1208" w:name="_Toc31995"/>
      <w:r>
        <w:rPr>
          <w:rFonts w:hint="eastAsia" w:ascii="仿宋" w:hAnsi="仿宋" w:eastAsia="仿宋" w:cs="仿宋"/>
          <w:highlight w:val="none"/>
        </w:rPr>
        <w:br w:type="page"/>
      </w:r>
      <w:r>
        <w:rPr>
          <w:rFonts w:hint="eastAsia" w:ascii="仿宋" w:hAnsi="仿宋" w:eastAsia="仿宋" w:cs="仿宋"/>
          <w:highlight w:val="none"/>
        </w:rPr>
        <w:t>第七章 评标办法</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pPr>
        <w:pStyle w:val="4"/>
        <w:rPr>
          <w:rFonts w:hint="eastAsia" w:ascii="仿宋" w:hAnsi="仿宋" w:eastAsia="仿宋" w:cs="仿宋"/>
          <w:sz w:val="22"/>
          <w:szCs w:val="22"/>
        </w:rPr>
      </w:pPr>
      <w:bookmarkStart w:id="1209" w:name="_Toc22516"/>
      <w:r>
        <w:rPr>
          <w:rFonts w:hint="eastAsia" w:ascii="仿宋" w:hAnsi="仿宋" w:eastAsia="仿宋" w:cs="仿宋"/>
          <w:sz w:val="22"/>
          <w:szCs w:val="22"/>
        </w:rPr>
        <w:t>1. 总则</w:t>
      </w:r>
      <w:bookmarkEnd w:id="1209"/>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1.1 根据《中华人民共和国政府采购法》、《中华人民共和国政府采购法实施条例》、《政府采购货物和服务招标投标管理办法》等法律制度，结合采购项目特点制定本评标办法。</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1.2 公开招标采购项目开标结束后，采购人或者采购代理机构应当依法对投标人的资格进行审查。依据法律法规和本招标文件的规定，对投标文件是否按照规定要求提供资格性证明材料、是否按照规定交纳投标保证金，以确定投标供应商是否具备投标资格。</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合格投标人不足三家的，不得评标。</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评标工作由采购代理机构负责组织，具体评标事务由采购代理机构依法组建的评标委员会负责。评标委员会由采购人代表和有关技术、经济、法律等方面的专家组成。</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1.3 评标工作应遵循公平、公正、科学及择优的原则，并以相同的评标程序和标准对待所有的投标人。</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1.4 评标委员会按照招标文件规定的评标方法和标准进行评标，并独立履行下列职责：</w:t>
      </w:r>
    </w:p>
    <w:p>
      <w:pPr>
        <w:spacing w:line="400" w:lineRule="exact"/>
        <w:ind w:firstLine="440" w:firstLineChars="200"/>
        <w:rPr>
          <w:rFonts w:hint="eastAsia" w:ascii="仿宋" w:hAnsi="仿宋" w:eastAsia="仿宋" w:cs="仿宋"/>
          <w:sz w:val="22"/>
          <w:szCs w:val="18"/>
        </w:rPr>
      </w:pPr>
      <w:bookmarkStart w:id="1210" w:name="_Toc217446098"/>
      <w:r>
        <w:rPr>
          <w:rFonts w:hint="eastAsia" w:ascii="仿宋" w:hAnsi="仿宋" w:eastAsia="仿宋" w:cs="仿宋"/>
          <w:sz w:val="22"/>
          <w:szCs w:val="18"/>
        </w:rPr>
        <w:t>（一）熟悉和理解招标文件；</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（二）审查供应商（已通过资格审查）的投标文件是否满足招标文件要求，并作出评价；</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（三）根据需要要求招标采购单位对招标文件作出解释；根据需要要求供应商对投标文件有关事项作出澄清、说明或者更正；</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（四）推荐中标候选供应商，或者受采购人委托确定中标供应商；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（五）起草评标报告并进行签署；</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（六）向招标采购单位、财政部门或者其他监督部门报告非法干预评标工作的行为；</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（七）法律、法规和规章规定的其他职责。</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1.5 评标过程独立、保密。投标人非法干预评标过程的行为将导致其投标文件作为无效处理。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1.6 评标委员会评价投标文件的响应性，对于投标人而言，除评标委员会要求其澄清、说明或者更正而提供的资料外，仅依据投标文件本身的内容，不寻求其他外部证据。</w:t>
      </w:r>
    </w:p>
    <w:p>
      <w:pPr>
        <w:pStyle w:val="4"/>
        <w:rPr>
          <w:rFonts w:hint="eastAsia" w:ascii="仿宋" w:hAnsi="仿宋" w:eastAsia="仿宋" w:cs="仿宋"/>
          <w:sz w:val="22"/>
          <w:szCs w:val="22"/>
        </w:rPr>
      </w:pPr>
      <w:bookmarkStart w:id="1211" w:name="_Toc22807"/>
      <w:r>
        <w:rPr>
          <w:rFonts w:hint="eastAsia" w:ascii="仿宋" w:hAnsi="仿宋" w:eastAsia="仿宋" w:cs="仿宋"/>
          <w:sz w:val="22"/>
          <w:szCs w:val="22"/>
        </w:rPr>
        <w:t>2. 评标</w:t>
      </w:r>
      <w:bookmarkEnd w:id="1210"/>
      <w:r>
        <w:rPr>
          <w:rFonts w:hint="eastAsia" w:ascii="仿宋" w:hAnsi="仿宋" w:eastAsia="仿宋" w:cs="仿宋"/>
          <w:sz w:val="22"/>
          <w:szCs w:val="22"/>
        </w:rPr>
        <w:t>方法</w:t>
      </w:r>
      <w:bookmarkEnd w:id="1211"/>
    </w:p>
    <w:p>
      <w:pPr>
        <w:spacing w:line="360" w:lineRule="auto"/>
        <w:ind w:firstLine="440" w:firstLineChars="200"/>
        <w:rPr>
          <w:rFonts w:hint="eastAsia" w:ascii="仿宋" w:hAnsi="仿宋" w:eastAsia="仿宋" w:cs="仿宋"/>
          <w:sz w:val="22"/>
          <w:szCs w:val="18"/>
        </w:rPr>
      </w:pPr>
      <w:bookmarkStart w:id="1212" w:name="_Toc217446103"/>
      <w:r>
        <w:rPr>
          <w:rFonts w:hint="eastAsia" w:ascii="仿宋" w:hAnsi="仿宋" w:eastAsia="仿宋" w:cs="仿宋"/>
          <w:sz w:val="22"/>
          <w:szCs w:val="18"/>
        </w:rPr>
        <w:t>2.1本项目评标方法为：</w:t>
      </w:r>
      <w:r>
        <w:rPr>
          <w:rFonts w:hint="eastAsia" w:ascii="仿宋" w:hAnsi="仿宋" w:eastAsia="仿宋" w:cs="仿宋"/>
          <w:b/>
          <w:bCs/>
          <w:sz w:val="22"/>
          <w:szCs w:val="18"/>
        </w:rPr>
        <w:t>综合评分法</w:t>
      </w:r>
      <w:r>
        <w:rPr>
          <w:rFonts w:hint="eastAsia" w:ascii="仿宋" w:hAnsi="仿宋" w:eastAsia="仿宋" w:cs="仿宋"/>
          <w:sz w:val="22"/>
          <w:szCs w:val="18"/>
        </w:rPr>
        <w:t>。</w:t>
      </w:r>
    </w:p>
    <w:p>
      <w:pPr>
        <w:pStyle w:val="4"/>
        <w:numPr>
          <w:ilvl w:val="0"/>
          <w:numId w:val="6"/>
        </w:numPr>
        <w:rPr>
          <w:rFonts w:hint="eastAsia" w:ascii="仿宋" w:hAnsi="仿宋" w:eastAsia="仿宋" w:cs="仿宋"/>
          <w:sz w:val="22"/>
          <w:szCs w:val="22"/>
        </w:rPr>
      </w:pPr>
      <w:r>
        <w:rPr>
          <w:rFonts w:hint="eastAsia" w:ascii="仿宋" w:hAnsi="仿宋" w:eastAsia="仿宋" w:cs="仿宋"/>
          <w:sz w:val="22"/>
          <w:szCs w:val="22"/>
        </w:rPr>
        <w:t xml:space="preserve"> </w:t>
      </w:r>
      <w:bookmarkStart w:id="1213" w:name="_Toc29868"/>
      <w:r>
        <w:rPr>
          <w:rFonts w:hint="eastAsia" w:ascii="仿宋" w:hAnsi="仿宋" w:eastAsia="仿宋" w:cs="仿宋"/>
          <w:sz w:val="22"/>
          <w:szCs w:val="22"/>
        </w:rPr>
        <w:t>评标程序</w:t>
      </w:r>
      <w:bookmarkEnd w:id="1213"/>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3.1熟悉和理解招标文件和停止评标。</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3.1.2评标委员会熟悉和理解招标文件以及评标过程中，发现本招标文件有下列情形之一的，评标委员会应当停止评标：</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（1）招标文件的规定存在歧义、重大缺陷的；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（2）招标文件明显以不合理条件对供应商实行差别待遇或者歧视待遇的；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（3）采购项目属于国家规定的优先、强制采购范围，但是招标文件未依法体现优先、强制采购相关规定的；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（4）采购项目属于政府采购促进中小企业发展的范围，但是招标文件未依法体现促进中小企业发展相关规定的；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（5）招标文件规定的评标方法是综合评分法、最低评标价法之外的评标方法，或者虽然名称为综合评分法、最低评标价法，但实际上不符合国家规定；</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（6）招标文件将投标人的资格条件列为评分因素的；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（7）招标文件有违反国家其他有关强制性规定的情形。</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3.2符合性检查。</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3.2.2投标文件有下列情形的，本项目不作为实质性要求进行规定，即不作为符合性审查事项，不得作为无效投标处理：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（一）存在个别地方（不超过2个）没有法定代表人/单位负责人签字，但有法定代表人/单位负责人的个人印鉴或者有效授权代理人签字的；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（二）除招标文件明确要求加盖单位(法人)公章的以外，其他地方以相关专用章加盖的；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（三）以骑缝章的形式代替投标文件内容逐页盖章的（但是骑缝章模糊不清，印章名称无法辨认的除外）；</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（四）其他不影响采购项目实质性要求的情形。</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3.2.3除政府采购法律制度规定的情形外，本项目投标人或者其投标文件有下列情形之一的，作为无效投标处理：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（一）投标文件正副本数量不足的；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（二）投标文件组成明显不符合招标文件的规定要求，影响评标委员会评判的；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（三）投标文件语言、计量单位、报价货币、知识产权、投标有效期等不符合招标文件的规定，影响评标委员会评判的；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（四）投标报价不符合招标文件规定的采购预算或限价或其他报价规定的；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（五）商务、技术、服务应答内容没有完全响应招标文件的实质性要求的；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（六）未载明或者载明的招标项目履约时间、方式、数量及其他政府采购合同实质性内容与招标文件要求不一致，且招标采购单位无法接受的。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（七）投标文件未按招标文件要求签署、盖章的（本章3.2.2规定的例外情形除外）；</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（八）没有完全响应招标文件的其他实质性要求或属于招标文件中投标无效情形的。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3.3比较与评价。按招标文件中规定的评标方法和标准，对未作无效投标处理的投标文件进行技术、服务、商务等方面评估，综合比较与评价。</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3.4复核。评分汇总结束后，评标委员会应当进行复核，特别要对拟推荐为中标候选供应商的、报价最低的、投标文件被认定为无效的进行重点复核。</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3.5推荐中标候选供应商。中标候选供应商应当排序。评标委员会按照从01包到04包的顺序进行中标候选供应商的推荐，推荐基本原则：评标委员会在推荐02包及以后各包的中标候选供应商时，该包的中标候选供应商中不能包括已推荐的各包的第一中标候选人。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3.6出具评标报告。评标委员会推荐中标候选供应商后，应当向招标采购单位出具评标报告。评标报告应当包括下列内容：</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（一）招标公告刊登的媒体名称、开标日期和地点；</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（二）获取招标文件的投标人名单和评标委员会成员名单；</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（三）评标方法和标准；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（四）开标记录和评标情况及说明，包括无效投标人名单及原因；</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（五）评标结果和中标候选供应商排序表；</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（六）评标委员会授标建议；</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（七）报价最高的投标人为中标候选人的，评标委员会应当对其报价的合理性予以特别说明。</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3.8供应商应当书面澄清、说明或者更正。</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（一）按财政部规定应当在评标时不予承认的投标文件内容事项；</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（二）投标文件中已经明确的内容事项；</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3.8.4 本项目采购过程中，投标文件报价出现前后不一致的，按照下列规定修正：</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（一）投标文件中开标一览表（报价表）内容与投标文件中相应内容不一致的，以开标一览表（报价表）为准；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（二）大写金额和小写金额不一致的，以大写金额为准；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（三）单价金额小数点或者百分比有明显错位的，以开标一览表的总价为准，并修改单价；</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（四）总价金额与按单价汇总金额不一致的，以单价金额计算结果为准。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同时出现两种以上不一致的，按照前款规定的顺序修正。修正后的报价按照本章3.8.1-3.8.3的规定经投标人确认后产生约束力，投标人不确认的，其投标无效。</w:t>
      </w:r>
    </w:p>
    <w:p>
      <w:pPr>
        <w:spacing w:line="400" w:lineRule="exact"/>
        <w:ind w:firstLine="442" w:firstLineChars="200"/>
        <w:rPr>
          <w:rFonts w:hint="eastAsia" w:ascii="仿宋" w:hAnsi="仿宋" w:eastAsia="仿宋" w:cs="仿宋"/>
          <w:b/>
          <w:sz w:val="22"/>
          <w:szCs w:val="18"/>
        </w:rPr>
      </w:pPr>
      <w:r>
        <w:rPr>
          <w:rFonts w:hint="eastAsia" w:ascii="仿宋" w:hAnsi="仿宋" w:eastAsia="仿宋" w:cs="仿宋"/>
          <w:b/>
          <w:sz w:val="22"/>
          <w:szCs w:val="18"/>
        </w:rPr>
        <w:t>注：评标委员会当积极履行澄清、说明或者更正的职责，不得滥用权力。供应商的投标文件应当要求澄清、说明或者更正的，不得未经澄清、说明或者更正而直接作无效投标处理。</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3.10招标采购单位现场复核评标结果。</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（一）分值汇总计算错误的；</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（二）分项评分超出评分标准范围的；</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（三）客观评分不一致的；</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（四）经评标委员会认定评分畸高畸低的。</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3.10.2有下列情形之一的，不得修改评标结果或者重新评审：</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（一）招标采购单位现场复核时，复核工作人员数量不足的；</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（二）招标采购单位现场复核时，没有采购监督人员现场监督的；</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（三）招标采购单位现场复核内容超出规定范围的；</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（四）招标采购单位未提供书面建议的。</w:t>
      </w:r>
    </w:p>
    <w:p>
      <w:pPr>
        <w:pStyle w:val="4"/>
        <w:rPr>
          <w:rFonts w:hint="eastAsia" w:ascii="仿宋" w:hAnsi="仿宋" w:eastAsia="仿宋" w:cs="仿宋"/>
          <w:sz w:val="22"/>
          <w:szCs w:val="22"/>
        </w:rPr>
      </w:pPr>
      <w:bookmarkStart w:id="1214" w:name="_Toc8229"/>
      <w:r>
        <w:rPr>
          <w:rFonts w:hint="eastAsia" w:ascii="仿宋" w:hAnsi="仿宋" w:eastAsia="仿宋" w:cs="仿宋"/>
          <w:sz w:val="22"/>
          <w:szCs w:val="22"/>
        </w:rPr>
        <w:t>4. 评标细则及标准</w:t>
      </w:r>
      <w:bookmarkEnd w:id="1212"/>
      <w:bookmarkEnd w:id="1214"/>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4.1本项目采用综合评分法，评分因素详见综合评分明细表。</w:t>
      </w:r>
    </w:p>
    <w:p>
      <w:pPr>
        <w:pStyle w:val="82"/>
        <w:ind w:firstLine="440" w:firstLineChars="200"/>
        <w:jc w:val="both"/>
        <w:rPr>
          <w:rFonts w:hint="eastAsia" w:ascii="仿宋" w:hAnsi="仿宋" w:eastAsia="仿宋" w:cs="仿宋"/>
          <w:sz w:val="22"/>
          <w:szCs w:val="22"/>
        </w:rPr>
      </w:pPr>
      <w:r>
        <w:rPr>
          <w:rFonts w:hint="eastAsia" w:ascii="仿宋" w:hAnsi="仿宋" w:eastAsia="仿宋" w:cs="仿宋"/>
          <w:sz w:val="22"/>
          <w:szCs w:val="22"/>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6"/>
        <w:tabs>
          <w:tab w:val="left" w:pos="600"/>
        </w:tabs>
        <w:spacing w:line="400" w:lineRule="exact"/>
        <w:ind w:firstLine="440" w:firstLineChars="200"/>
        <w:rPr>
          <w:rFonts w:hint="eastAsia" w:ascii="仿宋" w:hAnsi="仿宋" w:eastAsia="仿宋" w:cs="仿宋"/>
          <w:sz w:val="22"/>
          <w:szCs w:val="22"/>
        </w:rPr>
      </w:pPr>
      <w:r>
        <w:rPr>
          <w:rFonts w:hint="eastAsia" w:ascii="仿宋" w:hAnsi="仿宋" w:eastAsia="仿宋" w:cs="仿宋"/>
          <w:sz w:val="22"/>
          <w:szCs w:val="22"/>
        </w:rPr>
        <w:t>4.3综合评分明细表</w:t>
      </w:r>
    </w:p>
    <w:p>
      <w:pPr>
        <w:pStyle w:val="16"/>
        <w:tabs>
          <w:tab w:val="left" w:pos="600"/>
        </w:tabs>
        <w:spacing w:line="400" w:lineRule="exact"/>
        <w:ind w:firstLine="440" w:firstLineChars="200"/>
        <w:rPr>
          <w:rFonts w:hint="eastAsia" w:ascii="仿宋" w:hAnsi="仿宋" w:eastAsia="仿宋" w:cs="仿宋"/>
          <w:sz w:val="22"/>
          <w:szCs w:val="22"/>
        </w:rPr>
      </w:pPr>
      <w:r>
        <w:rPr>
          <w:rFonts w:hint="eastAsia" w:ascii="仿宋" w:hAnsi="仿宋" w:eastAsia="仿宋" w:cs="仿宋"/>
          <w:sz w:val="22"/>
          <w:szCs w:val="22"/>
        </w:rPr>
        <w:t>4.3.1综合评分明细表的制定以科学合理、降低评委会自由裁量权为原则。</w:t>
      </w:r>
    </w:p>
    <w:p>
      <w:pPr>
        <w:widowControl/>
        <w:ind w:firstLine="440" w:firstLineChars="200"/>
        <w:jc w:val="left"/>
        <w:rPr>
          <w:rFonts w:hint="eastAsia" w:ascii="仿宋" w:hAnsi="仿宋" w:eastAsia="仿宋" w:cs="仿宋"/>
          <w:sz w:val="22"/>
          <w:szCs w:val="18"/>
        </w:rPr>
      </w:pPr>
      <w:r>
        <w:rPr>
          <w:rFonts w:hint="eastAsia" w:ascii="仿宋" w:hAnsi="仿宋" w:eastAsia="仿宋" w:cs="仿宋"/>
          <w:sz w:val="22"/>
          <w:szCs w:val="18"/>
        </w:rPr>
        <w:t>4.3.2 综合评分明细表按须知表中的相关要求进行价格调整，再参与价格分评审。</w:t>
      </w:r>
    </w:p>
    <w:p>
      <w:pPr>
        <w:pStyle w:val="16"/>
        <w:tabs>
          <w:tab w:val="left" w:pos="600"/>
        </w:tabs>
        <w:spacing w:line="400" w:lineRule="exact"/>
        <w:ind w:firstLine="440" w:firstLineChars="200"/>
        <w:rPr>
          <w:rFonts w:hint="eastAsia" w:ascii="仿宋" w:hAnsi="仿宋" w:eastAsia="仿宋" w:cs="仿宋"/>
          <w:sz w:val="22"/>
          <w:szCs w:val="22"/>
        </w:rPr>
      </w:pPr>
      <w:r>
        <w:rPr>
          <w:rFonts w:hint="eastAsia" w:ascii="仿宋" w:hAnsi="仿宋" w:eastAsia="仿宋" w:cs="仿宋"/>
          <w:sz w:val="22"/>
          <w:szCs w:val="22"/>
        </w:rPr>
        <w:t>4.3.3综合评分明细表</w:t>
      </w:r>
    </w:p>
    <w:p>
      <w:pPr>
        <w:pStyle w:val="16"/>
        <w:tabs>
          <w:tab w:val="left" w:pos="600"/>
        </w:tabs>
        <w:spacing w:line="400" w:lineRule="exact"/>
        <w:ind w:firstLine="440" w:firstLineChars="200"/>
        <w:rPr>
          <w:rFonts w:hint="eastAsia" w:ascii="仿宋" w:hAnsi="仿宋" w:eastAsia="仿宋" w:cs="仿宋"/>
          <w:sz w:val="22"/>
          <w:szCs w:val="22"/>
        </w:rPr>
      </w:pPr>
    </w:p>
    <w:p>
      <w:pPr>
        <w:pStyle w:val="16"/>
        <w:tabs>
          <w:tab w:val="left" w:pos="600"/>
        </w:tabs>
        <w:spacing w:line="400" w:lineRule="exact"/>
        <w:ind w:firstLine="440" w:firstLineChars="200"/>
        <w:rPr>
          <w:rFonts w:hint="eastAsia" w:ascii="仿宋" w:hAnsi="仿宋" w:eastAsia="仿宋" w:cs="仿宋"/>
          <w:sz w:val="22"/>
          <w:szCs w:val="22"/>
        </w:rPr>
      </w:pPr>
    </w:p>
    <w:p>
      <w:pPr>
        <w:jc w:val="left"/>
        <w:rPr>
          <w:rFonts w:hint="default" w:eastAsia="仿宋"/>
          <w:b/>
          <w:bCs/>
          <w:sz w:val="24"/>
          <w:szCs w:val="24"/>
          <w:lang w:val="en-US" w:eastAsia="zh-CN"/>
        </w:rPr>
      </w:pPr>
      <w:r>
        <w:rPr>
          <w:rFonts w:hint="eastAsia" w:ascii="仿宋" w:hAnsi="仿宋" w:eastAsia="仿宋"/>
          <w:b/>
          <w:bCs/>
          <w:sz w:val="24"/>
          <w:szCs w:val="24"/>
        </w:rPr>
        <w:t>综合评分表</w:t>
      </w:r>
    </w:p>
    <w:tbl>
      <w:tblPr>
        <w:tblStyle w:val="37"/>
        <w:tblpPr w:leftFromText="180" w:rightFromText="180" w:vertAnchor="text" w:horzAnchor="page" w:tblpX="1417" w:tblpY="181"/>
        <w:tblOverlap w:val="never"/>
        <w:tblW w:w="52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121"/>
        <w:gridCol w:w="962"/>
        <w:gridCol w:w="5011"/>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75"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序号</w:t>
            </w:r>
          </w:p>
        </w:tc>
        <w:tc>
          <w:tcPr>
            <w:tcW w:w="624"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评分因素</w:t>
            </w:r>
          </w:p>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及权重</w:t>
            </w:r>
          </w:p>
        </w:tc>
        <w:tc>
          <w:tcPr>
            <w:tcW w:w="535"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分　值</w:t>
            </w:r>
          </w:p>
        </w:tc>
        <w:tc>
          <w:tcPr>
            <w:tcW w:w="2788"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评分标准</w:t>
            </w:r>
          </w:p>
        </w:tc>
        <w:tc>
          <w:tcPr>
            <w:tcW w:w="675"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75"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1</w:t>
            </w:r>
          </w:p>
        </w:tc>
        <w:tc>
          <w:tcPr>
            <w:tcW w:w="624"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报价</w:t>
            </w:r>
          </w:p>
        </w:tc>
        <w:tc>
          <w:tcPr>
            <w:tcW w:w="535"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default" w:ascii="仿宋" w:hAnsi="仿宋" w:eastAsia="仿宋" w:cs="宋体"/>
                <w:color w:val="auto"/>
                <w:sz w:val="20"/>
                <w:szCs w:val="20"/>
              </w:rPr>
              <w:t>30</w:t>
            </w:r>
            <w:r>
              <w:rPr>
                <w:rFonts w:hint="eastAsia" w:ascii="仿宋" w:hAnsi="仿宋" w:eastAsia="仿宋" w:cs="宋体"/>
                <w:color w:val="auto"/>
                <w:sz w:val="20"/>
                <w:szCs w:val="20"/>
              </w:rPr>
              <w:t>分</w:t>
            </w:r>
          </w:p>
        </w:tc>
        <w:tc>
          <w:tcPr>
            <w:tcW w:w="2788"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 xml:space="preserve">满足招标文件要求且投标价格最低的报价为基准价，其价格分为满分。其他供应商的价格分统一按照下列公式计算：报价得分=(基准价／报价)* </w:t>
            </w:r>
            <w:r>
              <w:rPr>
                <w:rFonts w:hint="default" w:ascii="仿宋" w:hAnsi="仿宋" w:eastAsia="仿宋" w:cs="宋体"/>
                <w:color w:val="auto"/>
                <w:sz w:val="20"/>
                <w:szCs w:val="20"/>
              </w:rPr>
              <w:t>30</w:t>
            </w:r>
            <w:r>
              <w:rPr>
                <w:rFonts w:hint="eastAsia" w:ascii="仿宋" w:hAnsi="仿宋" w:eastAsia="仿宋" w:cs="宋体"/>
                <w:color w:val="auto"/>
                <w:sz w:val="20"/>
                <w:szCs w:val="20"/>
              </w:rPr>
              <w:t>%*100</w:t>
            </w:r>
          </w:p>
        </w:tc>
        <w:tc>
          <w:tcPr>
            <w:tcW w:w="675"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75"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2</w:t>
            </w:r>
          </w:p>
        </w:tc>
        <w:tc>
          <w:tcPr>
            <w:tcW w:w="624"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技术参数及要求</w:t>
            </w:r>
          </w:p>
        </w:tc>
        <w:tc>
          <w:tcPr>
            <w:tcW w:w="535"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default" w:ascii="仿宋" w:hAnsi="仿宋" w:eastAsia="仿宋" w:cs="宋体"/>
                <w:color w:val="auto"/>
                <w:sz w:val="20"/>
                <w:szCs w:val="20"/>
              </w:rPr>
              <w:t>1</w:t>
            </w:r>
            <w:r>
              <w:rPr>
                <w:rFonts w:hint="eastAsia" w:ascii="仿宋" w:hAnsi="仿宋" w:eastAsia="仿宋" w:cs="宋体"/>
                <w:color w:val="auto"/>
                <w:sz w:val="20"/>
                <w:szCs w:val="20"/>
                <w:lang w:val="en-US" w:eastAsia="zh-CN"/>
              </w:rPr>
              <w:t>1</w:t>
            </w:r>
            <w:r>
              <w:rPr>
                <w:rFonts w:hint="eastAsia" w:ascii="仿宋" w:hAnsi="仿宋" w:eastAsia="仿宋" w:cs="宋体"/>
                <w:color w:val="auto"/>
                <w:sz w:val="20"/>
                <w:szCs w:val="20"/>
              </w:rPr>
              <w:t>分</w:t>
            </w:r>
          </w:p>
        </w:tc>
        <w:tc>
          <w:tcPr>
            <w:tcW w:w="2788"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完全满足招标文件第六章“设备技术参数表”中技术参数及要求的得</w:t>
            </w:r>
            <w:r>
              <w:rPr>
                <w:rFonts w:hint="default" w:ascii="仿宋" w:hAnsi="仿宋" w:eastAsia="仿宋" w:cs="宋体"/>
                <w:color w:val="auto"/>
                <w:sz w:val="20"/>
                <w:szCs w:val="20"/>
              </w:rPr>
              <w:t>1</w:t>
            </w:r>
            <w:r>
              <w:rPr>
                <w:rFonts w:hint="eastAsia" w:ascii="仿宋" w:hAnsi="仿宋" w:eastAsia="仿宋" w:cs="宋体"/>
                <w:color w:val="auto"/>
                <w:sz w:val="20"/>
                <w:szCs w:val="20"/>
                <w:lang w:val="en-US" w:eastAsia="zh-CN"/>
              </w:rPr>
              <w:t>1</w:t>
            </w:r>
            <w:r>
              <w:rPr>
                <w:rFonts w:hint="default" w:ascii="仿宋" w:hAnsi="仿宋" w:eastAsia="仿宋" w:cs="宋体"/>
                <w:color w:val="auto"/>
                <w:sz w:val="20"/>
                <w:szCs w:val="20"/>
              </w:rPr>
              <w:t>分</w:t>
            </w:r>
            <w:r>
              <w:rPr>
                <w:rFonts w:hint="eastAsia" w:ascii="仿宋" w:hAnsi="仿宋" w:eastAsia="仿宋" w:cs="宋体"/>
                <w:color w:val="auto"/>
                <w:sz w:val="20"/>
                <w:szCs w:val="20"/>
              </w:rPr>
              <w:t>；不满足未标注“</w:t>
            </w:r>
            <w:r>
              <w:rPr>
                <w:rFonts w:hint="eastAsia" w:ascii="等线" w:hAnsi="等线" w:eastAsia="等线" w:cs="宋体"/>
                <w:color w:val="auto"/>
                <w:sz w:val="20"/>
                <w:szCs w:val="20"/>
              </w:rPr>
              <w:t>▲</w:t>
            </w:r>
            <w:r>
              <w:rPr>
                <w:rFonts w:hint="eastAsia" w:ascii="仿宋" w:hAnsi="仿宋" w:eastAsia="仿宋" w:cs="宋体"/>
                <w:color w:val="auto"/>
                <w:sz w:val="20"/>
                <w:szCs w:val="20"/>
              </w:rPr>
              <w:t>”的条款（共</w:t>
            </w:r>
            <w:r>
              <w:rPr>
                <w:rFonts w:hint="default" w:ascii="仿宋" w:hAnsi="仿宋" w:eastAsia="仿宋" w:cs="宋体"/>
                <w:color w:val="auto"/>
                <w:sz w:val="20"/>
                <w:szCs w:val="20"/>
              </w:rPr>
              <w:t>40</w:t>
            </w:r>
            <w:r>
              <w:rPr>
                <w:rFonts w:hint="eastAsia" w:ascii="仿宋" w:hAnsi="仿宋" w:eastAsia="仿宋" w:cs="宋体"/>
                <w:color w:val="auto"/>
                <w:sz w:val="20"/>
                <w:szCs w:val="20"/>
              </w:rPr>
              <w:t>条），每条扣0</w:t>
            </w:r>
            <w:r>
              <w:rPr>
                <w:rFonts w:hint="default" w:ascii="仿宋" w:hAnsi="仿宋" w:eastAsia="仿宋" w:cs="宋体"/>
                <w:color w:val="auto"/>
                <w:sz w:val="20"/>
                <w:szCs w:val="20"/>
              </w:rPr>
              <w:t>.</w:t>
            </w:r>
            <w:r>
              <w:rPr>
                <w:rFonts w:hint="eastAsia" w:ascii="仿宋" w:hAnsi="仿宋" w:eastAsia="仿宋" w:cs="宋体"/>
                <w:color w:val="auto"/>
                <w:sz w:val="20"/>
                <w:szCs w:val="20"/>
                <w:lang w:val="en-US" w:eastAsia="zh-CN"/>
              </w:rPr>
              <w:t>1</w:t>
            </w:r>
            <w:r>
              <w:rPr>
                <w:rFonts w:hint="eastAsia" w:ascii="仿宋" w:hAnsi="仿宋" w:eastAsia="仿宋" w:cs="宋体"/>
                <w:color w:val="auto"/>
                <w:sz w:val="20"/>
                <w:szCs w:val="20"/>
              </w:rPr>
              <w:t>分，扣完</w:t>
            </w:r>
            <w:r>
              <w:rPr>
                <w:rFonts w:hint="eastAsia" w:ascii="仿宋" w:hAnsi="仿宋" w:eastAsia="仿宋" w:cs="宋体"/>
                <w:color w:val="auto"/>
                <w:sz w:val="20"/>
                <w:szCs w:val="20"/>
                <w:lang w:val="en-US" w:eastAsia="zh-CN"/>
              </w:rPr>
              <w:t>4</w:t>
            </w:r>
            <w:r>
              <w:rPr>
                <w:rFonts w:hint="eastAsia" w:ascii="仿宋" w:hAnsi="仿宋" w:eastAsia="仿宋" w:cs="宋体"/>
                <w:color w:val="auto"/>
                <w:sz w:val="20"/>
                <w:szCs w:val="20"/>
              </w:rPr>
              <w:t>分为止；不满足标注“</w:t>
            </w:r>
            <w:r>
              <w:rPr>
                <w:rFonts w:hint="eastAsia" w:ascii="等线" w:hAnsi="等线" w:eastAsia="等线" w:cs="宋体"/>
                <w:color w:val="auto"/>
                <w:sz w:val="20"/>
                <w:szCs w:val="20"/>
              </w:rPr>
              <w:t>▲</w:t>
            </w:r>
            <w:r>
              <w:rPr>
                <w:rFonts w:hint="eastAsia" w:ascii="仿宋" w:hAnsi="仿宋" w:eastAsia="仿宋" w:cs="宋体"/>
                <w:color w:val="auto"/>
                <w:sz w:val="20"/>
                <w:szCs w:val="20"/>
              </w:rPr>
              <w:t>”的条款（共</w:t>
            </w:r>
            <w:r>
              <w:rPr>
                <w:rFonts w:hint="default" w:ascii="仿宋" w:hAnsi="仿宋" w:eastAsia="仿宋" w:cs="宋体"/>
                <w:color w:val="auto"/>
                <w:sz w:val="20"/>
                <w:szCs w:val="20"/>
              </w:rPr>
              <w:t>7</w:t>
            </w:r>
            <w:r>
              <w:rPr>
                <w:rFonts w:hint="eastAsia" w:ascii="仿宋" w:hAnsi="仿宋" w:eastAsia="仿宋" w:cs="宋体"/>
                <w:color w:val="auto"/>
                <w:sz w:val="20"/>
                <w:szCs w:val="20"/>
              </w:rPr>
              <w:t>条），每条扣</w:t>
            </w:r>
            <w:r>
              <w:rPr>
                <w:rFonts w:hint="default" w:ascii="仿宋" w:hAnsi="仿宋" w:eastAsia="仿宋" w:cs="宋体"/>
                <w:color w:val="auto"/>
                <w:sz w:val="20"/>
                <w:szCs w:val="20"/>
              </w:rPr>
              <w:t>1</w:t>
            </w:r>
            <w:r>
              <w:rPr>
                <w:rFonts w:hint="eastAsia" w:ascii="仿宋" w:hAnsi="仿宋" w:eastAsia="仿宋" w:cs="宋体"/>
                <w:color w:val="auto"/>
                <w:sz w:val="20"/>
                <w:szCs w:val="20"/>
              </w:rPr>
              <w:t>分，扣完</w:t>
            </w:r>
            <w:r>
              <w:rPr>
                <w:rFonts w:hint="default" w:ascii="仿宋" w:hAnsi="仿宋" w:eastAsia="仿宋" w:cs="宋体"/>
                <w:color w:val="auto"/>
                <w:sz w:val="20"/>
                <w:szCs w:val="20"/>
              </w:rPr>
              <w:t>7</w:t>
            </w:r>
            <w:r>
              <w:rPr>
                <w:rFonts w:hint="eastAsia" w:ascii="仿宋" w:hAnsi="仿宋" w:eastAsia="仿宋" w:cs="宋体"/>
                <w:color w:val="auto"/>
                <w:sz w:val="20"/>
                <w:szCs w:val="20"/>
              </w:rPr>
              <w:t>分为止；</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说明：</w:t>
            </w:r>
            <w:r>
              <w:rPr>
                <w:rFonts w:hint="default" w:ascii="仿宋" w:hAnsi="仿宋" w:eastAsia="仿宋" w:cs="宋体"/>
                <w:color w:val="auto"/>
                <w:sz w:val="20"/>
                <w:szCs w:val="20"/>
              </w:rPr>
              <w:t>招标文件第六章“</w:t>
            </w:r>
            <w:r>
              <w:rPr>
                <w:rFonts w:hint="eastAsia" w:ascii="仿宋" w:hAnsi="仿宋" w:eastAsia="仿宋" w:cs="宋体"/>
                <w:color w:val="auto"/>
                <w:sz w:val="20"/>
                <w:szCs w:val="20"/>
              </w:rPr>
              <w:t>设备技术参数表</w:t>
            </w:r>
            <w:r>
              <w:rPr>
                <w:rFonts w:hint="default" w:ascii="仿宋" w:hAnsi="仿宋" w:eastAsia="仿宋" w:cs="宋体"/>
                <w:color w:val="auto"/>
                <w:sz w:val="20"/>
                <w:szCs w:val="20"/>
              </w:rPr>
              <w:t>”中有明确规定，则按照规定提供技术参数及要求的佐证材料，否则不予认定。</w:t>
            </w:r>
          </w:p>
        </w:tc>
        <w:tc>
          <w:tcPr>
            <w:tcW w:w="675"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75"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default" w:ascii="仿宋" w:hAnsi="仿宋" w:eastAsia="仿宋" w:cs="宋体"/>
                <w:color w:val="auto"/>
                <w:sz w:val="20"/>
                <w:szCs w:val="20"/>
              </w:rPr>
              <w:t>3</w:t>
            </w:r>
          </w:p>
        </w:tc>
        <w:tc>
          <w:tcPr>
            <w:tcW w:w="624"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产品综合实力</w:t>
            </w:r>
          </w:p>
        </w:tc>
        <w:tc>
          <w:tcPr>
            <w:tcW w:w="535"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lang w:val="en-US" w:eastAsia="zh-CN"/>
              </w:rPr>
              <w:t>11</w:t>
            </w:r>
            <w:r>
              <w:rPr>
                <w:rFonts w:hint="eastAsia" w:ascii="仿宋" w:hAnsi="仿宋" w:eastAsia="仿宋" w:cs="宋体"/>
                <w:color w:val="auto"/>
                <w:sz w:val="20"/>
                <w:szCs w:val="20"/>
              </w:rPr>
              <w:t>分</w:t>
            </w:r>
          </w:p>
        </w:tc>
        <w:tc>
          <w:tcPr>
            <w:tcW w:w="2788"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default" w:ascii="仿宋" w:hAnsi="仿宋" w:eastAsia="仿宋" w:cs="宋体"/>
                <w:color w:val="auto"/>
                <w:sz w:val="20"/>
                <w:szCs w:val="20"/>
              </w:rPr>
              <w:t>1</w:t>
            </w:r>
            <w:r>
              <w:rPr>
                <w:rFonts w:hint="eastAsia" w:ascii="仿宋" w:hAnsi="仿宋" w:eastAsia="仿宋" w:cs="宋体"/>
                <w:color w:val="auto"/>
                <w:sz w:val="20"/>
                <w:szCs w:val="20"/>
              </w:rPr>
              <w:t>、所投LED教室灯视觉健康舒适度（VICO）≤2，提供国家认可的第三方检测机构出具封面带有CMA标志的完整检测报告复印件加盖投标人公章（鲜章）得</w:t>
            </w:r>
            <w:r>
              <w:rPr>
                <w:rFonts w:hint="eastAsia" w:ascii="仿宋" w:hAnsi="仿宋" w:eastAsia="仿宋" w:cs="宋体"/>
                <w:color w:val="auto"/>
                <w:sz w:val="20"/>
                <w:szCs w:val="20"/>
                <w:lang w:val="en-US" w:eastAsia="zh-CN"/>
              </w:rPr>
              <w:t>2</w:t>
            </w:r>
            <w:r>
              <w:rPr>
                <w:rFonts w:hint="eastAsia" w:ascii="仿宋" w:hAnsi="仿宋" w:eastAsia="仿宋" w:cs="宋体"/>
                <w:color w:val="auto"/>
                <w:sz w:val="20"/>
                <w:szCs w:val="20"/>
              </w:rPr>
              <w:t>分，</w:t>
            </w:r>
            <w:r>
              <w:rPr>
                <w:rFonts w:hint="default" w:ascii="仿宋" w:hAnsi="仿宋" w:eastAsia="仿宋" w:cs="宋体"/>
                <w:color w:val="auto"/>
                <w:sz w:val="20"/>
                <w:szCs w:val="20"/>
              </w:rPr>
              <w:t>未</w:t>
            </w:r>
            <w:r>
              <w:rPr>
                <w:rFonts w:hint="eastAsia" w:ascii="仿宋" w:hAnsi="仿宋" w:eastAsia="仿宋" w:cs="宋体"/>
                <w:color w:val="auto"/>
                <w:sz w:val="20"/>
                <w:szCs w:val="20"/>
              </w:rPr>
              <w:t>提供不得分。</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default" w:ascii="仿宋" w:hAnsi="仿宋" w:eastAsia="仿宋" w:cs="宋体"/>
                <w:color w:val="auto"/>
                <w:sz w:val="20"/>
                <w:szCs w:val="20"/>
              </w:rPr>
              <w:t>2</w:t>
            </w:r>
            <w:r>
              <w:rPr>
                <w:rFonts w:hint="eastAsia" w:ascii="仿宋" w:hAnsi="仿宋" w:eastAsia="仿宋" w:cs="宋体"/>
                <w:color w:val="auto"/>
                <w:sz w:val="20"/>
                <w:szCs w:val="20"/>
              </w:rPr>
              <w:t>、所投</w:t>
            </w:r>
            <w:r>
              <w:rPr>
                <w:rFonts w:hint="eastAsia" w:ascii="仿宋" w:hAnsi="仿宋" w:eastAsia="仿宋" w:cs="Times New Roman"/>
                <w:color w:val="auto"/>
                <w:sz w:val="20"/>
                <w:szCs w:val="20"/>
              </w:rPr>
              <w:t>L</w:t>
            </w:r>
            <w:r>
              <w:rPr>
                <w:rFonts w:hint="default" w:ascii="仿宋" w:hAnsi="仿宋" w:eastAsia="仿宋" w:cs="Times New Roman"/>
                <w:color w:val="auto"/>
                <w:sz w:val="20"/>
                <w:szCs w:val="20"/>
              </w:rPr>
              <w:t>ED</w:t>
            </w:r>
            <w:r>
              <w:rPr>
                <w:rFonts w:hint="eastAsia" w:ascii="仿宋" w:hAnsi="仿宋" w:eastAsia="仿宋" w:cs="Times New Roman"/>
                <w:color w:val="auto"/>
                <w:sz w:val="20"/>
                <w:szCs w:val="20"/>
              </w:rPr>
              <w:t>黑板</w:t>
            </w:r>
            <w:r>
              <w:rPr>
                <w:rFonts w:hint="default" w:ascii="仿宋" w:hAnsi="仿宋" w:eastAsia="仿宋" w:cs="Times New Roman"/>
                <w:color w:val="auto"/>
                <w:sz w:val="20"/>
                <w:szCs w:val="20"/>
              </w:rPr>
              <w:t>灯</w:t>
            </w:r>
            <w:r>
              <w:rPr>
                <w:rFonts w:hint="eastAsia" w:ascii="仿宋" w:hAnsi="仿宋" w:eastAsia="仿宋" w:cs="宋体"/>
                <w:color w:val="auto"/>
                <w:sz w:val="20"/>
                <w:szCs w:val="20"/>
              </w:rPr>
              <w:t>视觉健康舒适度（VICO）≤2，提供国家认可的第三方检测机构出具封面带有CMA标志的完整检测报告复印件加盖投标人公章（鲜章）得</w:t>
            </w:r>
            <w:r>
              <w:rPr>
                <w:rFonts w:hint="eastAsia" w:ascii="仿宋" w:hAnsi="仿宋" w:eastAsia="仿宋" w:cs="宋体"/>
                <w:color w:val="auto"/>
                <w:sz w:val="20"/>
                <w:szCs w:val="20"/>
                <w:lang w:val="en-US" w:eastAsia="zh-CN"/>
              </w:rPr>
              <w:t>2</w:t>
            </w:r>
            <w:r>
              <w:rPr>
                <w:rFonts w:hint="eastAsia" w:ascii="仿宋" w:hAnsi="仿宋" w:eastAsia="仿宋" w:cs="宋体"/>
                <w:color w:val="auto"/>
                <w:sz w:val="20"/>
                <w:szCs w:val="20"/>
              </w:rPr>
              <w:t>分，</w:t>
            </w:r>
            <w:r>
              <w:rPr>
                <w:rFonts w:hint="default" w:ascii="仿宋" w:hAnsi="仿宋" w:eastAsia="仿宋" w:cs="宋体"/>
                <w:color w:val="auto"/>
                <w:sz w:val="20"/>
                <w:szCs w:val="20"/>
              </w:rPr>
              <w:t>未</w:t>
            </w:r>
            <w:r>
              <w:rPr>
                <w:rFonts w:hint="eastAsia" w:ascii="仿宋" w:hAnsi="仿宋" w:eastAsia="仿宋" w:cs="宋体"/>
                <w:color w:val="auto"/>
                <w:sz w:val="20"/>
                <w:szCs w:val="20"/>
              </w:rPr>
              <w:t>提供不得分。</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default" w:ascii="仿宋" w:hAnsi="仿宋" w:eastAsia="仿宋" w:cs="宋体"/>
                <w:color w:val="auto"/>
                <w:sz w:val="20"/>
                <w:szCs w:val="20"/>
              </w:rPr>
              <w:t>3</w:t>
            </w:r>
            <w:r>
              <w:rPr>
                <w:rFonts w:hint="eastAsia" w:ascii="仿宋" w:hAnsi="仿宋" w:eastAsia="仿宋" w:cs="宋体"/>
                <w:color w:val="auto"/>
                <w:sz w:val="20"/>
                <w:szCs w:val="20"/>
              </w:rPr>
              <w:t>、所投L</w:t>
            </w:r>
            <w:r>
              <w:rPr>
                <w:rFonts w:hint="default" w:ascii="仿宋" w:hAnsi="仿宋" w:eastAsia="仿宋" w:cs="宋体"/>
                <w:color w:val="auto"/>
                <w:sz w:val="20"/>
                <w:szCs w:val="20"/>
              </w:rPr>
              <w:t>ED教室灯</w:t>
            </w:r>
            <w:r>
              <w:rPr>
                <w:rFonts w:hint="eastAsia" w:ascii="仿宋" w:hAnsi="仿宋" w:eastAsia="仿宋" w:cs="宋体"/>
                <w:color w:val="auto"/>
                <w:sz w:val="20"/>
                <w:szCs w:val="20"/>
              </w:rPr>
              <w:t>的光通维持率能达到：①在</w:t>
            </w:r>
            <w:r>
              <w:rPr>
                <w:rFonts w:hint="default" w:ascii="仿宋" w:hAnsi="仿宋" w:eastAsia="仿宋" w:cs="宋体"/>
                <w:color w:val="auto"/>
                <w:sz w:val="20"/>
                <w:szCs w:val="20"/>
              </w:rPr>
              <w:t>0小时(不含</w:t>
            </w:r>
            <w:r>
              <w:rPr>
                <w:rFonts w:hint="eastAsia" w:ascii="仿宋" w:hAnsi="仿宋" w:eastAsia="仿宋" w:cs="宋体"/>
                <w:color w:val="auto"/>
                <w:sz w:val="20"/>
                <w:szCs w:val="20"/>
              </w:rPr>
              <w:t>)—</w:t>
            </w:r>
            <w:r>
              <w:rPr>
                <w:rFonts w:hint="default" w:ascii="仿宋" w:hAnsi="仿宋" w:eastAsia="仿宋" w:cs="宋体"/>
                <w:color w:val="auto"/>
                <w:sz w:val="20"/>
                <w:szCs w:val="20"/>
              </w:rPr>
              <w:t>10000</w:t>
            </w:r>
            <w:r>
              <w:rPr>
                <w:rFonts w:hint="eastAsia" w:ascii="仿宋" w:hAnsi="仿宋" w:eastAsia="仿宋" w:cs="宋体"/>
                <w:color w:val="auto"/>
                <w:sz w:val="20"/>
                <w:szCs w:val="20"/>
              </w:rPr>
              <w:t>（含）小时期间，光通维持率≥9</w:t>
            </w:r>
            <w:r>
              <w:rPr>
                <w:rFonts w:hint="default" w:ascii="仿宋" w:hAnsi="仿宋" w:eastAsia="仿宋" w:cs="宋体"/>
                <w:color w:val="auto"/>
                <w:sz w:val="20"/>
                <w:szCs w:val="20"/>
              </w:rPr>
              <w:t>8</w:t>
            </w:r>
            <w:r>
              <w:rPr>
                <w:rFonts w:hint="eastAsia" w:ascii="仿宋" w:hAnsi="仿宋" w:eastAsia="仿宋" w:cs="宋体"/>
                <w:color w:val="auto"/>
                <w:sz w:val="20"/>
                <w:szCs w:val="20"/>
              </w:rPr>
              <w:t>%的，得</w:t>
            </w:r>
            <w:r>
              <w:rPr>
                <w:rFonts w:hint="default" w:ascii="仿宋" w:hAnsi="仿宋" w:eastAsia="仿宋" w:cs="宋体"/>
                <w:color w:val="auto"/>
                <w:sz w:val="20"/>
                <w:szCs w:val="20"/>
              </w:rPr>
              <w:t>0.5</w:t>
            </w:r>
            <w:r>
              <w:rPr>
                <w:rFonts w:hint="eastAsia" w:ascii="仿宋" w:hAnsi="仿宋" w:eastAsia="仿宋" w:cs="宋体"/>
                <w:color w:val="auto"/>
                <w:sz w:val="20"/>
                <w:szCs w:val="20"/>
              </w:rPr>
              <w:t>分；②在1</w:t>
            </w:r>
            <w:r>
              <w:rPr>
                <w:rFonts w:hint="default" w:ascii="仿宋" w:hAnsi="仿宋" w:eastAsia="仿宋" w:cs="宋体"/>
                <w:color w:val="auto"/>
                <w:sz w:val="20"/>
                <w:szCs w:val="20"/>
              </w:rPr>
              <w:t>0000小时(不含</w:t>
            </w:r>
            <w:r>
              <w:rPr>
                <w:rFonts w:hint="eastAsia" w:ascii="仿宋" w:hAnsi="仿宋" w:eastAsia="仿宋" w:cs="宋体"/>
                <w:color w:val="auto"/>
                <w:sz w:val="20"/>
                <w:szCs w:val="20"/>
              </w:rPr>
              <w:t>)—2</w:t>
            </w:r>
            <w:r>
              <w:rPr>
                <w:rFonts w:hint="default" w:ascii="仿宋" w:hAnsi="仿宋" w:eastAsia="仿宋" w:cs="宋体"/>
                <w:color w:val="auto"/>
                <w:sz w:val="20"/>
                <w:szCs w:val="20"/>
              </w:rPr>
              <w:t>0000</w:t>
            </w:r>
            <w:r>
              <w:rPr>
                <w:rFonts w:hint="eastAsia" w:ascii="仿宋" w:hAnsi="仿宋" w:eastAsia="仿宋" w:cs="宋体"/>
                <w:color w:val="auto"/>
                <w:sz w:val="20"/>
                <w:szCs w:val="20"/>
              </w:rPr>
              <w:t>（不含）</w:t>
            </w:r>
            <w:r>
              <w:rPr>
                <w:rFonts w:hint="default" w:ascii="仿宋" w:hAnsi="仿宋" w:eastAsia="仿宋" w:cs="宋体"/>
                <w:color w:val="auto"/>
                <w:sz w:val="20"/>
                <w:szCs w:val="20"/>
              </w:rPr>
              <w:t>小时</w:t>
            </w:r>
            <w:r>
              <w:rPr>
                <w:rFonts w:hint="eastAsia" w:ascii="仿宋" w:hAnsi="仿宋" w:eastAsia="仿宋" w:cs="宋体"/>
                <w:color w:val="auto"/>
                <w:sz w:val="20"/>
                <w:szCs w:val="20"/>
              </w:rPr>
              <w:t>光通维持率≥9</w:t>
            </w:r>
            <w:r>
              <w:rPr>
                <w:rFonts w:hint="default" w:ascii="仿宋" w:hAnsi="仿宋" w:eastAsia="仿宋" w:cs="宋体"/>
                <w:color w:val="auto"/>
                <w:sz w:val="20"/>
                <w:szCs w:val="20"/>
              </w:rPr>
              <w:t>5</w:t>
            </w:r>
            <w:r>
              <w:rPr>
                <w:rFonts w:hint="eastAsia" w:ascii="仿宋" w:hAnsi="仿宋" w:eastAsia="仿宋" w:cs="宋体"/>
                <w:color w:val="auto"/>
                <w:sz w:val="20"/>
                <w:szCs w:val="20"/>
              </w:rPr>
              <w:t>%的，得</w:t>
            </w:r>
            <w:r>
              <w:rPr>
                <w:rFonts w:hint="default" w:ascii="仿宋" w:hAnsi="仿宋" w:eastAsia="仿宋" w:cs="宋体"/>
                <w:color w:val="auto"/>
                <w:sz w:val="20"/>
                <w:szCs w:val="20"/>
              </w:rPr>
              <w:t>1</w:t>
            </w:r>
            <w:r>
              <w:rPr>
                <w:rFonts w:hint="eastAsia" w:ascii="仿宋" w:hAnsi="仿宋" w:eastAsia="仿宋" w:cs="宋体"/>
                <w:color w:val="auto"/>
                <w:sz w:val="20"/>
                <w:szCs w:val="20"/>
              </w:rPr>
              <w:t>分；③在2</w:t>
            </w:r>
            <w:r>
              <w:rPr>
                <w:rFonts w:hint="default" w:ascii="仿宋" w:hAnsi="仿宋" w:eastAsia="仿宋" w:cs="宋体"/>
                <w:color w:val="auto"/>
                <w:sz w:val="20"/>
                <w:szCs w:val="20"/>
              </w:rPr>
              <w:t>0000小时</w:t>
            </w:r>
            <w:r>
              <w:rPr>
                <w:rFonts w:hint="eastAsia" w:ascii="仿宋" w:hAnsi="仿宋" w:eastAsia="仿宋" w:cs="宋体"/>
                <w:color w:val="auto"/>
                <w:sz w:val="20"/>
                <w:szCs w:val="20"/>
              </w:rPr>
              <w:t>（含）以上光通维持率≥9</w:t>
            </w:r>
            <w:r>
              <w:rPr>
                <w:rFonts w:hint="default" w:ascii="仿宋" w:hAnsi="仿宋" w:eastAsia="仿宋" w:cs="宋体"/>
                <w:color w:val="auto"/>
                <w:sz w:val="20"/>
                <w:szCs w:val="20"/>
              </w:rPr>
              <w:t>5</w:t>
            </w:r>
            <w:r>
              <w:rPr>
                <w:rFonts w:hint="eastAsia" w:ascii="仿宋" w:hAnsi="仿宋" w:eastAsia="仿宋" w:cs="宋体"/>
                <w:color w:val="auto"/>
                <w:sz w:val="20"/>
                <w:szCs w:val="20"/>
              </w:rPr>
              <w:t>%的，得</w:t>
            </w:r>
            <w:r>
              <w:rPr>
                <w:rFonts w:hint="eastAsia" w:ascii="仿宋" w:hAnsi="仿宋" w:eastAsia="仿宋" w:cs="宋体"/>
                <w:color w:val="auto"/>
                <w:sz w:val="20"/>
                <w:szCs w:val="20"/>
                <w:lang w:val="en-US" w:eastAsia="zh-CN"/>
              </w:rPr>
              <w:t>3</w:t>
            </w:r>
            <w:r>
              <w:rPr>
                <w:rFonts w:hint="eastAsia" w:ascii="仿宋" w:hAnsi="仿宋" w:eastAsia="仿宋" w:cs="宋体"/>
                <w:color w:val="auto"/>
                <w:sz w:val="20"/>
                <w:szCs w:val="20"/>
              </w:rPr>
              <w:t>分；</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default" w:ascii="仿宋" w:hAnsi="仿宋" w:eastAsia="仿宋" w:cs="宋体"/>
                <w:color w:val="auto"/>
                <w:sz w:val="20"/>
                <w:szCs w:val="20"/>
              </w:rPr>
              <w:t>说明：提供国家认可的第三方检测机构出具封面带有CMA及CNAS标志的完整检测报告复印件</w:t>
            </w:r>
            <w:r>
              <w:rPr>
                <w:rFonts w:hint="eastAsia" w:ascii="仿宋" w:hAnsi="仿宋" w:eastAsia="仿宋" w:cs="宋体"/>
                <w:color w:val="auto"/>
                <w:sz w:val="20"/>
                <w:szCs w:val="20"/>
              </w:rPr>
              <w:t>加盖投标人公章（鲜章）</w:t>
            </w:r>
            <w:r>
              <w:rPr>
                <w:rFonts w:hint="default" w:ascii="仿宋" w:hAnsi="仿宋" w:eastAsia="仿宋" w:cs="宋体"/>
                <w:color w:val="auto"/>
                <w:sz w:val="20"/>
                <w:szCs w:val="20"/>
              </w:rPr>
              <w:t>，未提供不得分</w:t>
            </w:r>
            <w:r>
              <w:rPr>
                <w:rFonts w:hint="eastAsia" w:ascii="仿宋" w:hAnsi="仿宋" w:eastAsia="仿宋" w:cs="宋体"/>
                <w:color w:val="auto"/>
                <w:sz w:val="20"/>
                <w:szCs w:val="20"/>
              </w:rPr>
              <w:t>。</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default" w:ascii="仿宋" w:hAnsi="仿宋" w:eastAsia="仿宋" w:cs="宋体"/>
                <w:color w:val="auto"/>
                <w:sz w:val="20"/>
                <w:szCs w:val="20"/>
              </w:rPr>
              <w:t>4</w:t>
            </w:r>
            <w:r>
              <w:rPr>
                <w:rFonts w:hint="eastAsia" w:ascii="仿宋" w:hAnsi="仿宋" w:eastAsia="仿宋" w:cs="宋体"/>
                <w:color w:val="auto"/>
                <w:sz w:val="20"/>
                <w:szCs w:val="20"/>
              </w:rPr>
              <w:t>、所投L</w:t>
            </w:r>
            <w:r>
              <w:rPr>
                <w:rFonts w:hint="default" w:ascii="仿宋" w:hAnsi="仿宋" w:eastAsia="仿宋" w:cs="宋体"/>
                <w:color w:val="auto"/>
                <w:sz w:val="20"/>
                <w:szCs w:val="20"/>
              </w:rPr>
              <w:t>ED教室灯</w:t>
            </w:r>
            <w:r>
              <w:rPr>
                <w:rFonts w:hint="eastAsia" w:ascii="仿宋" w:hAnsi="仿宋" w:eastAsia="仿宋" w:cs="宋体"/>
                <w:color w:val="auto"/>
                <w:sz w:val="20"/>
                <w:szCs w:val="20"/>
              </w:rPr>
              <w:t>的</w:t>
            </w:r>
            <w:r>
              <w:rPr>
                <w:rFonts w:hint="default" w:ascii="仿宋" w:hAnsi="仿宋" w:eastAsia="仿宋" w:cs="宋体"/>
                <w:color w:val="auto"/>
                <w:sz w:val="20"/>
                <w:szCs w:val="20"/>
              </w:rPr>
              <w:t>显色指数</w:t>
            </w:r>
            <w:r>
              <w:rPr>
                <w:rFonts w:hint="eastAsia" w:ascii="仿宋" w:hAnsi="仿宋" w:eastAsia="仿宋" w:cs="宋体"/>
                <w:color w:val="auto"/>
                <w:sz w:val="20"/>
                <w:szCs w:val="20"/>
              </w:rPr>
              <w:t>能达到：①在</w:t>
            </w:r>
            <w:r>
              <w:rPr>
                <w:rFonts w:hint="default" w:ascii="仿宋" w:hAnsi="仿宋" w:eastAsia="仿宋" w:cs="宋体"/>
                <w:color w:val="auto"/>
                <w:sz w:val="20"/>
                <w:szCs w:val="20"/>
              </w:rPr>
              <w:t>0小时(不含</w:t>
            </w:r>
            <w:r>
              <w:rPr>
                <w:rFonts w:hint="eastAsia" w:ascii="仿宋" w:hAnsi="仿宋" w:eastAsia="仿宋" w:cs="宋体"/>
                <w:color w:val="auto"/>
                <w:sz w:val="20"/>
                <w:szCs w:val="20"/>
              </w:rPr>
              <w:t>)—</w:t>
            </w:r>
            <w:r>
              <w:rPr>
                <w:rFonts w:hint="default" w:ascii="仿宋" w:hAnsi="仿宋" w:eastAsia="仿宋" w:cs="宋体"/>
                <w:color w:val="auto"/>
                <w:sz w:val="20"/>
                <w:szCs w:val="20"/>
              </w:rPr>
              <w:t>10000</w:t>
            </w:r>
            <w:r>
              <w:rPr>
                <w:rFonts w:hint="eastAsia" w:ascii="仿宋" w:hAnsi="仿宋" w:eastAsia="仿宋" w:cs="宋体"/>
                <w:color w:val="auto"/>
                <w:sz w:val="20"/>
                <w:szCs w:val="20"/>
              </w:rPr>
              <w:t>（含）小时期间，Ra≥90的，得</w:t>
            </w:r>
            <w:r>
              <w:rPr>
                <w:rFonts w:hint="default" w:ascii="仿宋" w:hAnsi="仿宋" w:eastAsia="仿宋" w:cs="宋体"/>
                <w:color w:val="auto"/>
                <w:sz w:val="20"/>
                <w:szCs w:val="20"/>
              </w:rPr>
              <w:t>0.5</w:t>
            </w:r>
            <w:r>
              <w:rPr>
                <w:rFonts w:hint="eastAsia" w:ascii="仿宋" w:hAnsi="仿宋" w:eastAsia="仿宋" w:cs="宋体"/>
                <w:color w:val="auto"/>
                <w:sz w:val="20"/>
                <w:szCs w:val="20"/>
              </w:rPr>
              <w:t>分；②在</w:t>
            </w:r>
            <w:r>
              <w:rPr>
                <w:rFonts w:hint="default" w:ascii="仿宋" w:hAnsi="仿宋" w:eastAsia="仿宋" w:cs="宋体"/>
                <w:color w:val="auto"/>
                <w:sz w:val="20"/>
                <w:szCs w:val="20"/>
              </w:rPr>
              <w:t>10000小时</w:t>
            </w:r>
            <w:r>
              <w:rPr>
                <w:rFonts w:hint="eastAsia" w:ascii="仿宋" w:hAnsi="仿宋" w:eastAsia="仿宋" w:cs="宋体"/>
                <w:color w:val="auto"/>
                <w:sz w:val="20"/>
                <w:szCs w:val="20"/>
              </w:rPr>
              <w:t>的基础上，每增加2</w:t>
            </w:r>
            <w:r>
              <w:rPr>
                <w:rFonts w:hint="default" w:ascii="仿宋" w:hAnsi="仿宋" w:eastAsia="仿宋" w:cs="宋体"/>
                <w:color w:val="auto"/>
                <w:sz w:val="20"/>
                <w:szCs w:val="20"/>
              </w:rPr>
              <w:t>500</w:t>
            </w:r>
            <w:r>
              <w:rPr>
                <w:rFonts w:hint="eastAsia" w:ascii="仿宋" w:hAnsi="仿宋" w:eastAsia="仿宋" w:cs="宋体"/>
                <w:color w:val="auto"/>
                <w:sz w:val="20"/>
                <w:szCs w:val="20"/>
              </w:rPr>
              <w:t>小时的，且</w:t>
            </w:r>
            <w:r>
              <w:rPr>
                <w:rFonts w:hint="default" w:ascii="仿宋" w:hAnsi="仿宋" w:eastAsia="仿宋" w:cs="宋体"/>
                <w:color w:val="auto"/>
                <w:sz w:val="20"/>
                <w:szCs w:val="20"/>
              </w:rPr>
              <w:t>显色指数</w:t>
            </w:r>
            <w:r>
              <w:rPr>
                <w:rFonts w:hint="eastAsia" w:ascii="仿宋" w:hAnsi="仿宋" w:eastAsia="仿宋" w:cs="宋体"/>
                <w:color w:val="auto"/>
                <w:sz w:val="20"/>
                <w:szCs w:val="20"/>
              </w:rPr>
              <w:t>Ra≥90</w:t>
            </w:r>
            <w:r>
              <w:rPr>
                <w:rFonts w:hint="default" w:ascii="仿宋" w:hAnsi="仿宋" w:eastAsia="仿宋" w:cs="宋体"/>
                <w:color w:val="auto"/>
                <w:sz w:val="20"/>
                <w:szCs w:val="20"/>
              </w:rPr>
              <w:t>的</w:t>
            </w:r>
            <w:r>
              <w:rPr>
                <w:rFonts w:hint="eastAsia" w:ascii="仿宋" w:hAnsi="仿宋" w:eastAsia="仿宋" w:cs="宋体"/>
                <w:color w:val="auto"/>
                <w:sz w:val="20"/>
                <w:szCs w:val="20"/>
              </w:rPr>
              <w:t>，</w:t>
            </w:r>
            <w:r>
              <w:rPr>
                <w:rFonts w:hint="default" w:ascii="仿宋" w:hAnsi="仿宋" w:eastAsia="仿宋" w:cs="宋体"/>
                <w:color w:val="auto"/>
                <w:sz w:val="20"/>
                <w:szCs w:val="20"/>
              </w:rPr>
              <w:t>加0.5</w:t>
            </w:r>
            <w:r>
              <w:rPr>
                <w:rFonts w:hint="eastAsia" w:ascii="仿宋" w:hAnsi="仿宋" w:eastAsia="仿宋" w:cs="宋体"/>
                <w:color w:val="auto"/>
                <w:sz w:val="20"/>
                <w:szCs w:val="20"/>
              </w:rPr>
              <w:t>分，此项最多得</w:t>
            </w:r>
            <w:r>
              <w:rPr>
                <w:rFonts w:hint="default" w:ascii="仿宋" w:hAnsi="仿宋" w:eastAsia="仿宋" w:cs="宋体"/>
                <w:color w:val="auto"/>
                <w:sz w:val="20"/>
                <w:szCs w:val="20"/>
              </w:rPr>
              <w:t>2</w:t>
            </w:r>
            <w:r>
              <w:rPr>
                <w:rFonts w:hint="eastAsia" w:ascii="仿宋" w:hAnsi="仿宋" w:eastAsia="仿宋" w:cs="宋体"/>
                <w:color w:val="auto"/>
                <w:sz w:val="20"/>
                <w:szCs w:val="20"/>
                <w:lang w:val="en-US" w:eastAsia="zh-CN"/>
              </w:rPr>
              <w:t>.5</w:t>
            </w:r>
            <w:r>
              <w:rPr>
                <w:rFonts w:hint="eastAsia" w:ascii="仿宋" w:hAnsi="仿宋" w:eastAsia="仿宋" w:cs="宋体"/>
                <w:color w:val="auto"/>
                <w:sz w:val="20"/>
                <w:szCs w:val="20"/>
              </w:rPr>
              <w:t>分。</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说明：①</w:t>
            </w:r>
            <w:r>
              <w:rPr>
                <w:rFonts w:hint="default" w:ascii="仿宋" w:hAnsi="仿宋" w:eastAsia="仿宋" w:cs="宋体"/>
                <w:color w:val="auto"/>
                <w:sz w:val="20"/>
                <w:szCs w:val="20"/>
              </w:rPr>
              <w:t>提供国家认可的第三方检测机构出具封面带有CMA及CNAS标志的完整检测报告复印件</w:t>
            </w:r>
            <w:r>
              <w:rPr>
                <w:rFonts w:hint="eastAsia" w:ascii="仿宋" w:hAnsi="仿宋" w:eastAsia="仿宋" w:cs="宋体"/>
                <w:color w:val="auto"/>
                <w:sz w:val="20"/>
                <w:szCs w:val="20"/>
              </w:rPr>
              <w:t>加盖投标人公章（鲜章）</w:t>
            </w:r>
            <w:r>
              <w:rPr>
                <w:rFonts w:hint="default" w:ascii="仿宋" w:hAnsi="仿宋" w:eastAsia="仿宋" w:cs="宋体"/>
                <w:color w:val="auto"/>
                <w:sz w:val="20"/>
                <w:szCs w:val="20"/>
              </w:rPr>
              <w:t>，未提供不得分</w:t>
            </w:r>
            <w:r>
              <w:rPr>
                <w:rFonts w:hint="eastAsia" w:ascii="仿宋" w:hAnsi="仿宋" w:eastAsia="仿宋" w:cs="宋体"/>
                <w:color w:val="auto"/>
                <w:sz w:val="20"/>
                <w:szCs w:val="20"/>
              </w:rPr>
              <w:t>，</w:t>
            </w:r>
            <w:r>
              <w:rPr>
                <w:rFonts w:hint="default" w:ascii="仿宋" w:hAnsi="仿宋" w:eastAsia="仿宋" w:cs="宋体"/>
                <w:color w:val="auto"/>
                <w:sz w:val="20"/>
                <w:szCs w:val="20"/>
              </w:rPr>
              <w:t>未提供不得分；</w:t>
            </w:r>
            <w:r>
              <w:rPr>
                <w:rFonts w:hint="eastAsia" w:ascii="仿宋" w:hAnsi="仿宋" w:eastAsia="仿宋" w:cs="宋体"/>
                <w:color w:val="auto"/>
                <w:sz w:val="20"/>
                <w:szCs w:val="20"/>
              </w:rPr>
              <w:t>②不足2</w:t>
            </w:r>
            <w:r>
              <w:rPr>
                <w:rFonts w:hint="default" w:ascii="仿宋" w:hAnsi="仿宋" w:eastAsia="仿宋" w:cs="宋体"/>
                <w:color w:val="auto"/>
                <w:sz w:val="20"/>
                <w:szCs w:val="20"/>
              </w:rPr>
              <w:t>500</w:t>
            </w:r>
            <w:r>
              <w:rPr>
                <w:rFonts w:hint="eastAsia" w:ascii="仿宋" w:hAnsi="仿宋" w:eastAsia="仿宋" w:cs="宋体"/>
                <w:color w:val="auto"/>
                <w:sz w:val="20"/>
                <w:szCs w:val="20"/>
              </w:rPr>
              <w:t>个小时的，按</w:t>
            </w:r>
            <w:r>
              <w:rPr>
                <w:rFonts w:hint="default" w:ascii="仿宋" w:hAnsi="仿宋" w:eastAsia="仿宋" w:cs="宋体"/>
                <w:color w:val="auto"/>
                <w:sz w:val="20"/>
                <w:szCs w:val="20"/>
              </w:rPr>
              <w:t>2500</w:t>
            </w:r>
            <w:r>
              <w:rPr>
                <w:rFonts w:hint="eastAsia" w:ascii="仿宋" w:hAnsi="仿宋" w:eastAsia="仿宋" w:cs="宋体"/>
                <w:color w:val="auto"/>
                <w:sz w:val="20"/>
                <w:szCs w:val="20"/>
              </w:rPr>
              <w:t>个小时计算，如：</w:t>
            </w:r>
            <w:r>
              <w:rPr>
                <w:rFonts w:hint="default" w:ascii="仿宋" w:hAnsi="仿宋" w:eastAsia="仿宋" w:cs="宋体"/>
                <w:color w:val="auto"/>
                <w:sz w:val="20"/>
                <w:szCs w:val="20"/>
              </w:rPr>
              <w:t>1600</w:t>
            </w:r>
            <w:r>
              <w:rPr>
                <w:rFonts w:hint="eastAsia" w:ascii="仿宋" w:hAnsi="仿宋" w:eastAsia="仿宋" w:cs="宋体"/>
                <w:color w:val="auto"/>
                <w:sz w:val="20"/>
                <w:szCs w:val="20"/>
              </w:rPr>
              <w:t>小时，视为2</w:t>
            </w:r>
            <w:r>
              <w:rPr>
                <w:rFonts w:hint="default" w:ascii="仿宋" w:hAnsi="仿宋" w:eastAsia="仿宋" w:cs="宋体"/>
                <w:color w:val="auto"/>
                <w:sz w:val="20"/>
                <w:szCs w:val="20"/>
              </w:rPr>
              <w:t>500</w:t>
            </w:r>
            <w:r>
              <w:rPr>
                <w:rFonts w:hint="eastAsia" w:ascii="仿宋" w:hAnsi="仿宋" w:eastAsia="仿宋" w:cs="宋体"/>
                <w:color w:val="auto"/>
                <w:sz w:val="20"/>
                <w:szCs w:val="20"/>
              </w:rPr>
              <w:t>小时，进行计算。</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5、</w:t>
            </w:r>
            <w:r>
              <w:rPr>
                <w:rFonts w:hint="default" w:ascii="仿宋" w:hAnsi="仿宋" w:eastAsia="仿宋" w:cs="宋体"/>
                <w:color w:val="auto"/>
                <w:sz w:val="20"/>
                <w:szCs w:val="20"/>
              </w:rPr>
              <w:t>所投智慧灯光管理平台具有智慧环境管理软件著作权证书，中心控制器具有智能电源配置管理软件著作权证书、智能面板具有智能控制应用软件著作权证书，每提供1个证书复印件加盖投标人公章（鲜章）得0.5分，共1.5分。</w:t>
            </w:r>
          </w:p>
        </w:tc>
        <w:tc>
          <w:tcPr>
            <w:tcW w:w="675"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75" w:type="pct"/>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宋体"/>
                <w:color w:val="auto"/>
                <w:sz w:val="20"/>
                <w:szCs w:val="20"/>
                <w:lang w:eastAsia="zh-CN"/>
              </w:rPr>
            </w:pPr>
            <w:r>
              <w:rPr>
                <w:rFonts w:hint="eastAsia" w:ascii="仿宋" w:hAnsi="仿宋" w:eastAsia="仿宋" w:cs="宋体"/>
                <w:color w:val="auto"/>
                <w:sz w:val="20"/>
                <w:szCs w:val="20"/>
                <w:lang w:val="en-US" w:eastAsia="zh-CN"/>
              </w:rPr>
              <w:t>4</w:t>
            </w:r>
          </w:p>
        </w:tc>
        <w:tc>
          <w:tcPr>
            <w:tcW w:w="624"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履约能力</w:t>
            </w:r>
          </w:p>
        </w:tc>
        <w:tc>
          <w:tcPr>
            <w:tcW w:w="535"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default" w:ascii="仿宋" w:hAnsi="仿宋" w:eastAsia="仿宋" w:cs="宋体"/>
                <w:color w:val="auto"/>
                <w:sz w:val="20"/>
                <w:szCs w:val="20"/>
              </w:rPr>
              <w:t>2</w:t>
            </w:r>
            <w:r>
              <w:rPr>
                <w:rFonts w:hint="eastAsia" w:ascii="仿宋" w:hAnsi="仿宋" w:eastAsia="仿宋" w:cs="宋体"/>
                <w:color w:val="auto"/>
                <w:sz w:val="20"/>
                <w:szCs w:val="20"/>
              </w:rPr>
              <w:t>分</w:t>
            </w:r>
          </w:p>
        </w:tc>
        <w:tc>
          <w:tcPr>
            <w:tcW w:w="2788"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投标人每提供一份带有CMA及CNAS标志的对一间教室（教室不能是同一间）光环境改造的</w:t>
            </w:r>
            <w:r>
              <w:rPr>
                <w:rFonts w:hint="default" w:ascii="仿宋" w:hAnsi="仿宋" w:eastAsia="仿宋" w:cs="宋体"/>
                <w:color w:val="auto"/>
                <w:sz w:val="20"/>
                <w:szCs w:val="20"/>
              </w:rPr>
              <w:t>检测合格报告</w:t>
            </w:r>
            <w:r>
              <w:rPr>
                <w:rFonts w:hint="eastAsia" w:ascii="仿宋" w:hAnsi="仿宋" w:eastAsia="仿宋" w:cs="宋体"/>
                <w:color w:val="auto"/>
                <w:sz w:val="20"/>
                <w:szCs w:val="20"/>
              </w:rPr>
              <w:t>的，</w:t>
            </w:r>
            <w:r>
              <w:rPr>
                <w:rFonts w:hint="default" w:ascii="仿宋" w:hAnsi="仿宋" w:eastAsia="仿宋" w:cs="宋体"/>
                <w:color w:val="auto"/>
                <w:sz w:val="20"/>
                <w:szCs w:val="20"/>
              </w:rPr>
              <w:t>得</w:t>
            </w:r>
            <w:r>
              <w:rPr>
                <w:rFonts w:hint="eastAsia" w:ascii="仿宋" w:hAnsi="仿宋" w:eastAsia="仿宋" w:cs="宋体"/>
                <w:color w:val="auto"/>
                <w:sz w:val="20"/>
                <w:szCs w:val="20"/>
              </w:rPr>
              <w:t>0.</w:t>
            </w:r>
            <w:r>
              <w:rPr>
                <w:rFonts w:hint="default" w:ascii="仿宋" w:hAnsi="仿宋" w:eastAsia="仿宋" w:cs="宋体"/>
                <w:color w:val="auto"/>
                <w:sz w:val="20"/>
                <w:szCs w:val="20"/>
              </w:rPr>
              <w:t>1</w:t>
            </w:r>
            <w:r>
              <w:rPr>
                <w:rFonts w:hint="eastAsia" w:ascii="仿宋" w:hAnsi="仿宋" w:eastAsia="仿宋" w:cs="宋体"/>
                <w:color w:val="auto"/>
                <w:sz w:val="20"/>
                <w:szCs w:val="20"/>
              </w:rPr>
              <w:t>分，最多得</w:t>
            </w:r>
            <w:r>
              <w:rPr>
                <w:rFonts w:hint="default" w:ascii="仿宋" w:hAnsi="仿宋" w:eastAsia="仿宋" w:cs="宋体"/>
                <w:color w:val="auto"/>
                <w:sz w:val="20"/>
                <w:szCs w:val="20"/>
              </w:rPr>
              <w:t>2</w:t>
            </w:r>
            <w:r>
              <w:rPr>
                <w:rFonts w:hint="eastAsia" w:ascii="仿宋" w:hAnsi="仿宋" w:eastAsia="仿宋" w:cs="宋体"/>
                <w:color w:val="auto"/>
                <w:sz w:val="20"/>
                <w:szCs w:val="20"/>
              </w:rPr>
              <w:t>分。</w:t>
            </w:r>
            <w:r>
              <w:rPr>
                <w:rFonts w:hint="default" w:ascii="仿宋" w:hAnsi="仿宋" w:eastAsia="仿宋" w:cs="宋体"/>
                <w:color w:val="auto"/>
                <w:sz w:val="20"/>
                <w:szCs w:val="20"/>
              </w:rPr>
              <w:br w:type="textWrapping"/>
            </w:r>
            <w:r>
              <w:rPr>
                <w:rFonts w:hint="eastAsia" w:ascii="仿宋" w:hAnsi="仿宋" w:eastAsia="仿宋" w:cs="宋体"/>
                <w:color w:val="auto"/>
                <w:sz w:val="20"/>
                <w:szCs w:val="20"/>
              </w:rPr>
              <w:t>说明：①提供带有CMA及CNAS标志的第三方检测机构出具</w:t>
            </w:r>
            <w:r>
              <w:rPr>
                <w:rFonts w:hint="eastAsia" w:ascii="仿宋" w:hAnsi="仿宋" w:eastAsia="仿宋" w:cs="宋体"/>
                <w:color w:val="auto"/>
                <w:sz w:val="20"/>
                <w:szCs w:val="20"/>
                <w:lang w:val="en-US" w:eastAsia="zh-CN"/>
              </w:rPr>
              <w:t>的</w:t>
            </w:r>
            <w:r>
              <w:rPr>
                <w:rFonts w:hint="eastAsia" w:ascii="仿宋" w:hAnsi="仿宋" w:eastAsia="仿宋" w:cs="宋体"/>
                <w:color w:val="auto"/>
                <w:sz w:val="20"/>
                <w:szCs w:val="20"/>
              </w:rPr>
              <w:t>完整检测报告复印件，并加盖投标人公章（鲜章）；</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②检测报告的综合判定原则为：</w:t>
            </w:r>
            <w:r>
              <w:rPr>
                <w:rFonts w:hint="default" w:ascii="仿宋" w:hAnsi="仿宋" w:eastAsia="仿宋" w:cs="宋体"/>
                <w:color w:val="auto"/>
                <w:sz w:val="20"/>
                <w:szCs w:val="20"/>
              </w:rPr>
              <w:t>GB/T 36876-2018《中小学校普通教室照明设计安装卫生要求》或T/JYBZ 005-2020《中小学教室照明技术规范》，</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③</w:t>
            </w:r>
            <w:r>
              <w:rPr>
                <w:rFonts w:hint="default" w:ascii="仿宋" w:hAnsi="仿宋" w:eastAsia="仿宋" w:cs="宋体"/>
                <w:color w:val="auto"/>
                <w:sz w:val="20"/>
                <w:szCs w:val="20"/>
              </w:rPr>
              <w:t>检测指标至少包括</w:t>
            </w:r>
            <w:r>
              <w:rPr>
                <w:rFonts w:hint="eastAsia" w:ascii="仿宋" w:hAnsi="仿宋" w:eastAsia="仿宋" w:cs="宋体"/>
                <w:color w:val="auto"/>
                <w:sz w:val="20"/>
                <w:szCs w:val="20"/>
              </w:rPr>
              <w:t>：3</w:t>
            </w:r>
            <w:r>
              <w:rPr>
                <w:rFonts w:hint="default" w:ascii="仿宋" w:hAnsi="仿宋" w:eastAsia="仿宋" w:cs="宋体"/>
                <w:color w:val="auto"/>
                <w:sz w:val="20"/>
                <w:szCs w:val="20"/>
              </w:rPr>
              <w:t>.1.课桌面维持平均照度</w:t>
            </w:r>
            <w:r>
              <w:rPr>
                <w:rFonts w:hint="eastAsia" w:ascii="仿宋" w:hAnsi="仿宋" w:eastAsia="仿宋" w:cs="宋体"/>
                <w:color w:val="auto"/>
                <w:sz w:val="20"/>
                <w:szCs w:val="20"/>
              </w:rPr>
              <w:t>；3</w:t>
            </w:r>
            <w:r>
              <w:rPr>
                <w:rFonts w:hint="default" w:ascii="仿宋" w:hAnsi="仿宋" w:eastAsia="仿宋" w:cs="宋体"/>
                <w:color w:val="auto"/>
                <w:sz w:val="20"/>
                <w:szCs w:val="20"/>
              </w:rPr>
              <w:t>.2.黑板面维持平均照度</w:t>
            </w:r>
            <w:r>
              <w:rPr>
                <w:rFonts w:hint="eastAsia" w:ascii="仿宋" w:hAnsi="仿宋" w:eastAsia="仿宋" w:cs="宋体"/>
                <w:color w:val="auto"/>
                <w:sz w:val="20"/>
                <w:szCs w:val="20"/>
              </w:rPr>
              <w:t>；3</w:t>
            </w:r>
            <w:r>
              <w:rPr>
                <w:rFonts w:hint="default" w:ascii="仿宋" w:hAnsi="仿宋" w:eastAsia="仿宋" w:cs="宋体"/>
                <w:color w:val="auto"/>
                <w:sz w:val="20"/>
                <w:szCs w:val="20"/>
              </w:rPr>
              <w:t>.3.课桌面均匀度</w:t>
            </w:r>
            <w:r>
              <w:rPr>
                <w:rFonts w:hint="eastAsia" w:ascii="仿宋" w:hAnsi="仿宋" w:eastAsia="仿宋" w:cs="宋体"/>
                <w:color w:val="auto"/>
                <w:sz w:val="20"/>
                <w:szCs w:val="20"/>
              </w:rPr>
              <w:t>；3</w:t>
            </w:r>
            <w:r>
              <w:rPr>
                <w:rFonts w:hint="default" w:ascii="仿宋" w:hAnsi="仿宋" w:eastAsia="仿宋" w:cs="宋体"/>
                <w:color w:val="auto"/>
                <w:sz w:val="20"/>
                <w:szCs w:val="20"/>
              </w:rPr>
              <w:t>.4.黑板面均匀度</w:t>
            </w:r>
            <w:r>
              <w:rPr>
                <w:rFonts w:hint="eastAsia" w:ascii="仿宋" w:hAnsi="仿宋" w:eastAsia="仿宋" w:cs="宋体"/>
                <w:color w:val="auto"/>
                <w:sz w:val="20"/>
                <w:szCs w:val="20"/>
              </w:rPr>
              <w:t>；3</w:t>
            </w:r>
            <w:r>
              <w:rPr>
                <w:rFonts w:hint="default" w:ascii="仿宋" w:hAnsi="仿宋" w:eastAsia="仿宋" w:cs="宋体"/>
                <w:color w:val="auto"/>
                <w:sz w:val="20"/>
                <w:szCs w:val="20"/>
              </w:rPr>
              <w:t>.5.照明功率密度</w:t>
            </w:r>
            <w:r>
              <w:rPr>
                <w:rFonts w:hint="eastAsia" w:ascii="仿宋" w:hAnsi="仿宋" w:eastAsia="仿宋" w:cs="宋体"/>
                <w:color w:val="auto"/>
                <w:sz w:val="20"/>
                <w:szCs w:val="20"/>
              </w:rPr>
              <w:t>；3</w:t>
            </w:r>
            <w:r>
              <w:rPr>
                <w:rFonts w:hint="default" w:ascii="仿宋" w:hAnsi="仿宋" w:eastAsia="仿宋" w:cs="宋体"/>
                <w:color w:val="auto"/>
                <w:sz w:val="20"/>
                <w:szCs w:val="20"/>
              </w:rPr>
              <w:t>.6.统一眩光值</w:t>
            </w:r>
            <w:r>
              <w:rPr>
                <w:rFonts w:hint="eastAsia" w:ascii="仿宋" w:hAnsi="仿宋" w:eastAsia="仿宋" w:cs="宋体"/>
                <w:color w:val="auto"/>
                <w:sz w:val="20"/>
                <w:szCs w:val="20"/>
              </w:rPr>
              <w:t>；3</w:t>
            </w:r>
            <w:r>
              <w:rPr>
                <w:rFonts w:hint="default" w:ascii="仿宋" w:hAnsi="仿宋" w:eastAsia="仿宋" w:cs="宋体"/>
                <w:color w:val="auto"/>
                <w:sz w:val="20"/>
                <w:szCs w:val="20"/>
              </w:rPr>
              <w:t>.7.频闪等指标。</w:t>
            </w:r>
          </w:p>
          <w:p>
            <w:pPr>
              <w:pStyle w:val="2"/>
              <w:keepNext w:val="0"/>
              <w:keepLines w:val="0"/>
              <w:suppressLineNumbers w:val="0"/>
              <w:spacing w:beforeAutospacing="0" w:afterAutospacing="0"/>
              <w:ind w:right="0"/>
              <w:rPr>
                <w:rFonts w:hint="default" w:hAnsi="Times New Roman" w:eastAsia="宋体" w:cs="Times New Roman"/>
                <w:sz w:val="20"/>
                <w:szCs w:val="20"/>
              </w:rPr>
            </w:pPr>
            <w:r>
              <w:rPr>
                <w:rFonts w:hint="eastAsia" w:ascii="仿宋" w:hAnsi="仿宋" w:eastAsia="仿宋" w:cs="宋体"/>
                <w:color w:val="auto"/>
                <w:sz w:val="20"/>
                <w:szCs w:val="20"/>
              </w:rPr>
              <w:t>④送检（委托）单位为投标人或所投产品制造商。检测报告必须同时满足上述4点，否则不予认定。</w:t>
            </w:r>
          </w:p>
        </w:tc>
        <w:tc>
          <w:tcPr>
            <w:tcW w:w="675"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7" w:hRule="atLeast"/>
        </w:trPr>
        <w:tc>
          <w:tcPr>
            <w:tcW w:w="375" w:type="pct"/>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宋体"/>
                <w:color w:val="auto"/>
                <w:sz w:val="20"/>
                <w:szCs w:val="20"/>
                <w:lang w:val="en-US" w:eastAsia="zh-CN"/>
              </w:rPr>
            </w:pPr>
            <w:r>
              <w:rPr>
                <w:rFonts w:hint="eastAsia" w:ascii="仿宋" w:hAnsi="仿宋" w:eastAsia="仿宋" w:cs="宋体"/>
                <w:color w:val="auto"/>
                <w:sz w:val="20"/>
                <w:szCs w:val="20"/>
                <w:lang w:val="en-US" w:eastAsia="zh-CN"/>
              </w:rPr>
              <w:t>5</w:t>
            </w:r>
          </w:p>
        </w:tc>
        <w:tc>
          <w:tcPr>
            <w:tcW w:w="624" w:type="pct"/>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宋体"/>
                <w:color w:val="auto"/>
                <w:sz w:val="20"/>
                <w:szCs w:val="20"/>
              </w:rPr>
            </w:pPr>
            <w:r>
              <w:rPr>
                <w:rFonts w:hint="default" w:ascii="仿宋" w:hAnsi="仿宋" w:eastAsia="仿宋" w:cs="宋体"/>
                <w:color w:val="auto"/>
                <w:sz w:val="20"/>
                <w:szCs w:val="20"/>
              </w:rPr>
              <w:t>设计方案</w:t>
            </w:r>
          </w:p>
        </w:tc>
        <w:tc>
          <w:tcPr>
            <w:tcW w:w="535"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lang w:val="en-US" w:eastAsia="zh-CN"/>
              </w:rPr>
            </w:pPr>
            <w:r>
              <w:rPr>
                <w:rFonts w:hint="eastAsia" w:ascii="仿宋" w:hAnsi="仿宋" w:eastAsia="仿宋" w:cs="宋体"/>
                <w:color w:val="auto"/>
                <w:sz w:val="20"/>
                <w:szCs w:val="20"/>
                <w:lang w:val="en-US" w:eastAsia="zh-CN"/>
              </w:rPr>
              <w:t>15分</w:t>
            </w:r>
          </w:p>
        </w:tc>
        <w:tc>
          <w:tcPr>
            <w:tcW w:w="2788" w:type="pct"/>
            <w:noWrap w:val="0"/>
            <w:vAlign w:val="center"/>
          </w:tcPr>
          <w:p>
            <w:pPr>
              <w:keepNext w:val="0"/>
              <w:keepLines w:val="0"/>
              <w:widowControl/>
              <w:suppressLineNumbers w:val="0"/>
              <w:spacing w:before="0" w:beforeAutospacing="0" w:after="0" w:afterAutospacing="0"/>
              <w:ind w:left="0" w:right="0"/>
              <w:rPr>
                <w:rFonts w:hint="eastAsia" w:ascii="仿宋" w:hAnsi="仿宋" w:eastAsia="仿宋" w:cs="宋体"/>
                <w:color w:val="auto"/>
                <w:sz w:val="20"/>
                <w:szCs w:val="20"/>
                <w:lang w:eastAsia="zh-CN"/>
              </w:rPr>
            </w:pPr>
            <w:r>
              <w:rPr>
                <w:rFonts w:hint="default" w:ascii="仿宋" w:hAnsi="仿宋" w:eastAsia="仿宋" w:cs="宋体"/>
                <w:color w:val="auto"/>
                <w:sz w:val="20"/>
                <w:szCs w:val="20"/>
              </w:rPr>
              <w:t>1.</w:t>
            </w:r>
            <w:r>
              <w:rPr>
                <w:rFonts w:hint="eastAsia" w:ascii="仿宋" w:hAnsi="仿宋" w:eastAsia="仿宋" w:cs="宋体"/>
                <w:color w:val="auto"/>
                <w:sz w:val="20"/>
                <w:szCs w:val="20"/>
              </w:rPr>
              <w:t>投标人提供为了实现青少年近视综合防控（灯光改造）的完整设计方案</w:t>
            </w:r>
            <w:r>
              <w:rPr>
                <w:rFonts w:hint="eastAsia" w:ascii="仿宋" w:hAnsi="仿宋" w:eastAsia="仿宋" w:cs="宋体"/>
                <w:color w:val="auto"/>
                <w:sz w:val="20"/>
                <w:szCs w:val="20"/>
                <w:lang w:eastAsia="zh-CN"/>
              </w:rPr>
              <w:t>：</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default" w:ascii="仿宋" w:hAnsi="仿宋" w:eastAsia="仿宋" w:cs="宋体"/>
                <w:color w:val="auto"/>
                <w:sz w:val="20"/>
                <w:szCs w:val="20"/>
              </w:rPr>
              <w:t>（1）设计方案内容：</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default" w:ascii="仿宋" w:hAnsi="仿宋" w:eastAsia="仿宋" w:cs="宋体"/>
                <w:color w:val="auto"/>
                <w:sz w:val="20"/>
                <w:szCs w:val="20"/>
              </w:rPr>
              <w:t>①、教室数据采集，至少包含：教室空间数据测量、课桌面照度数据采集、黑板数据照度采集等指标和过程资料。内容完全满足本项目要求且</w:t>
            </w:r>
            <w:r>
              <w:rPr>
                <w:rFonts w:hint="eastAsia" w:ascii="仿宋" w:hAnsi="仿宋" w:eastAsia="仿宋" w:cs="宋体"/>
                <w:color w:val="auto"/>
                <w:sz w:val="20"/>
                <w:szCs w:val="20"/>
                <w:lang w:val="en-US" w:eastAsia="zh-CN"/>
              </w:rPr>
              <w:t>符合本项目实际要求及特点的</w:t>
            </w:r>
            <w:r>
              <w:rPr>
                <w:rFonts w:hint="default" w:ascii="仿宋" w:hAnsi="仿宋" w:eastAsia="仿宋" w:cs="宋体"/>
                <w:color w:val="auto"/>
                <w:sz w:val="20"/>
                <w:szCs w:val="20"/>
              </w:rPr>
              <w:t>得</w:t>
            </w:r>
            <w:r>
              <w:rPr>
                <w:rFonts w:hint="eastAsia" w:ascii="仿宋" w:hAnsi="仿宋" w:eastAsia="仿宋" w:cs="宋体"/>
                <w:color w:val="auto"/>
                <w:sz w:val="20"/>
                <w:szCs w:val="20"/>
                <w:lang w:val="en-US" w:eastAsia="zh-CN"/>
              </w:rPr>
              <w:t>3</w:t>
            </w:r>
            <w:r>
              <w:rPr>
                <w:rFonts w:hint="default" w:ascii="仿宋" w:hAnsi="仿宋" w:eastAsia="仿宋" w:cs="宋体"/>
                <w:color w:val="auto"/>
                <w:sz w:val="20"/>
                <w:szCs w:val="20"/>
              </w:rPr>
              <w:t>分，内容</w:t>
            </w:r>
            <w:r>
              <w:rPr>
                <w:rFonts w:hint="eastAsia" w:ascii="仿宋" w:hAnsi="仿宋" w:eastAsia="仿宋" w:cs="宋体"/>
                <w:color w:val="auto"/>
                <w:sz w:val="20"/>
                <w:szCs w:val="20"/>
                <w:lang w:val="en-US" w:eastAsia="zh-CN"/>
              </w:rPr>
              <w:t>每有一项</w:t>
            </w:r>
            <w:r>
              <w:rPr>
                <w:rFonts w:hint="default" w:ascii="仿宋" w:hAnsi="仿宋" w:eastAsia="仿宋" w:cs="宋体"/>
                <w:color w:val="auto"/>
                <w:sz w:val="20"/>
                <w:szCs w:val="20"/>
              </w:rPr>
              <w:t>存</w:t>
            </w:r>
            <w:r>
              <w:rPr>
                <w:rFonts w:hint="eastAsia" w:ascii="仿宋" w:hAnsi="仿宋" w:eastAsia="仿宋" w:cs="宋体"/>
                <w:color w:val="auto"/>
                <w:sz w:val="20"/>
                <w:szCs w:val="20"/>
              </w:rPr>
              <w:t>在</w:t>
            </w:r>
            <w:r>
              <w:rPr>
                <w:rFonts w:hint="default" w:ascii="仿宋" w:hAnsi="仿宋" w:eastAsia="仿宋" w:cs="宋体"/>
                <w:color w:val="auto"/>
                <w:sz w:val="20"/>
                <w:szCs w:val="20"/>
              </w:rPr>
              <w:t>缺失</w:t>
            </w:r>
            <w:r>
              <w:rPr>
                <w:rFonts w:hint="eastAsia" w:ascii="仿宋" w:hAnsi="仿宋" w:eastAsia="仿宋" w:cs="宋体"/>
                <w:color w:val="auto"/>
                <w:sz w:val="20"/>
                <w:szCs w:val="20"/>
              </w:rPr>
              <w:t>的</w:t>
            </w:r>
            <w:r>
              <w:rPr>
                <w:rFonts w:hint="eastAsia" w:ascii="仿宋" w:hAnsi="仿宋" w:eastAsia="仿宋" w:cs="宋体"/>
                <w:color w:val="auto"/>
                <w:sz w:val="20"/>
                <w:szCs w:val="20"/>
                <w:lang w:val="en-US" w:eastAsia="zh-CN"/>
              </w:rPr>
              <w:t>扣1分</w:t>
            </w:r>
            <w:r>
              <w:rPr>
                <w:rFonts w:hint="eastAsia" w:ascii="仿宋" w:hAnsi="仿宋" w:eastAsia="仿宋" w:cs="宋体"/>
                <w:color w:val="auto"/>
                <w:sz w:val="20"/>
                <w:szCs w:val="20"/>
              </w:rPr>
              <w:t>，每</w:t>
            </w:r>
            <w:r>
              <w:rPr>
                <w:rFonts w:hint="eastAsia" w:ascii="仿宋" w:hAnsi="仿宋" w:eastAsia="仿宋" w:cs="宋体"/>
                <w:color w:val="auto"/>
                <w:sz w:val="20"/>
                <w:szCs w:val="20"/>
                <w:lang w:val="en-US" w:eastAsia="zh-CN"/>
              </w:rPr>
              <w:t>有一处</w:t>
            </w:r>
            <w:r>
              <w:rPr>
                <w:rFonts w:hint="eastAsia" w:ascii="仿宋" w:hAnsi="仿宋" w:eastAsia="仿宋" w:cs="宋体"/>
                <w:color w:val="auto"/>
                <w:sz w:val="20"/>
                <w:szCs w:val="20"/>
              </w:rPr>
              <w:t>内容存在错误或不足的</w:t>
            </w:r>
            <w:r>
              <w:rPr>
                <w:rFonts w:hint="default" w:ascii="仿宋" w:hAnsi="仿宋" w:eastAsia="仿宋" w:cs="宋体"/>
                <w:color w:val="auto"/>
                <w:sz w:val="20"/>
                <w:szCs w:val="20"/>
              </w:rPr>
              <w:t>扣</w:t>
            </w:r>
            <w:r>
              <w:rPr>
                <w:rFonts w:hint="eastAsia" w:ascii="仿宋" w:hAnsi="仿宋" w:eastAsia="仿宋" w:cs="宋体"/>
                <w:color w:val="auto"/>
                <w:sz w:val="20"/>
                <w:szCs w:val="20"/>
                <w:lang w:val="en-US" w:eastAsia="zh-CN"/>
              </w:rPr>
              <w:t>0.5</w:t>
            </w:r>
            <w:r>
              <w:rPr>
                <w:rFonts w:hint="default" w:ascii="仿宋" w:hAnsi="仿宋" w:eastAsia="仿宋" w:cs="宋体"/>
                <w:color w:val="auto"/>
                <w:sz w:val="20"/>
                <w:szCs w:val="20"/>
              </w:rPr>
              <w:t>分</w:t>
            </w:r>
            <w:r>
              <w:rPr>
                <w:rFonts w:hint="eastAsia" w:ascii="仿宋" w:hAnsi="仿宋" w:eastAsia="仿宋" w:cs="宋体"/>
                <w:color w:val="auto"/>
                <w:sz w:val="20"/>
                <w:szCs w:val="20"/>
                <w:lang w:eastAsia="zh-CN"/>
              </w:rPr>
              <w:t>（</w:t>
            </w:r>
            <w:r>
              <w:rPr>
                <w:rFonts w:hint="eastAsia" w:ascii="仿宋" w:hAnsi="仿宋" w:eastAsia="仿宋" w:cs="宋体"/>
                <w:color w:val="auto"/>
                <w:sz w:val="20"/>
                <w:szCs w:val="20"/>
                <w:lang w:val="en-US" w:eastAsia="zh-CN"/>
              </w:rPr>
              <w:t>每一项最多扣1分</w:t>
            </w:r>
            <w:r>
              <w:rPr>
                <w:rFonts w:hint="eastAsia" w:ascii="仿宋" w:hAnsi="仿宋" w:eastAsia="仿宋" w:cs="宋体"/>
                <w:color w:val="auto"/>
                <w:sz w:val="20"/>
                <w:szCs w:val="20"/>
                <w:lang w:eastAsia="zh-CN"/>
              </w:rPr>
              <w:t>）</w:t>
            </w:r>
            <w:r>
              <w:rPr>
                <w:rFonts w:hint="default" w:ascii="仿宋" w:hAnsi="仿宋" w:eastAsia="仿宋" w:cs="宋体"/>
                <w:color w:val="auto"/>
                <w:sz w:val="20"/>
                <w:szCs w:val="20"/>
              </w:rPr>
              <w:t>，</w:t>
            </w:r>
            <w:r>
              <w:rPr>
                <w:rFonts w:hint="eastAsia" w:ascii="仿宋" w:hAnsi="仿宋" w:eastAsia="仿宋" w:cs="宋体"/>
                <w:color w:val="auto"/>
                <w:sz w:val="20"/>
                <w:szCs w:val="20"/>
              </w:rPr>
              <w:t>扣完</w:t>
            </w:r>
            <w:r>
              <w:rPr>
                <w:rFonts w:hint="default" w:ascii="仿宋" w:hAnsi="仿宋" w:eastAsia="仿宋" w:cs="宋体"/>
                <w:color w:val="auto"/>
                <w:sz w:val="20"/>
                <w:szCs w:val="20"/>
              </w:rPr>
              <w:t>3</w:t>
            </w:r>
            <w:r>
              <w:rPr>
                <w:rFonts w:hint="eastAsia" w:ascii="仿宋" w:hAnsi="仿宋" w:eastAsia="仿宋" w:cs="宋体"/>
                <w:color w:val="auto"/>
                <w:sz w:val="20"/>
                <w:szCs w:val="20"/>
              </w:rPr>
              <w:t>分为止</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default" w:ascii="仿宋" w:hAnsi="仿宋" w:eastAsia="仿宋" w:cs="宋体"/>
                <w:color w:val="auto"/>
                <w:sz w:val="20"/>
                <w:szCs w:val="20"/>
              </w:rPr>
              <w:t>②、专业光学照明设计，至少包含等照度图、点照度图、伪色图。内容完全满足本项目要求且</w:t>
            </w:r>
            <w:r>
              <w:rPr>
                <w:rFonts w:hint="eastAsia" w:ascii="仿宋" w:hAnsi="仿宋" w:eastAsia="仿宋" w:cs="宋体"/>
                <w:color w:val="auto"/>
                <w:sz w:val="20"/>
                <w:szCs w:val="20"/>
                <w:lang w:val="en-US" w:eastAsia="zh-CN"/>
              </w:rPr>
              <w:t>符合本项目实际要求及特点的</w:t>
            </w:r>
            <w:r>
              <w:rPr>
                <w:rFonts w:hint="default" w:ascii="仿宋" w:hAnsi="仿宋" w:eastAsia="仿宋" w:cs="宋体"/>
                <w:color w:val="auto"/>
                <w:sz w:val="20"/>
                <w:szCs w:val="20"/>
              </w:rPr>
              <w:t>得</w:t>
            </w:r>
            <w:r>
              <w:rPr>
                <w:rFonts w:hint="eastAsia" w:ascii="仿宋" w:hAnsi="仿宋" w:eastAsia="仿宋" w:cs="宋体"/>
                <w:color w:val="auto"/>
                <w:sz w:val="20"/>
                <w:szCs w:val="20"/>
                <w:lang w:val="en-US" w:eastAsia="zh-CN"/>
              </w:rPr>
              <w:t>3</w:t>
            </w:r>
            <w:r>
              <w:rPr>
                <w:rFonts w:hint="default" w:ascii="仿宋" w:hAnsi="仿宋" w:eastAsia="仿宋" w:cs="宋体"/>
                <w:color w:val="auto"/>
                <w:sz w:val="20"/>
                <w:szCs w:val="20"/>
              </w:rPr>
              <w:t>分，内容</w:t>
            </w:r>
            <w:r>
              <w:rPr>
                <w:rFonts w:hint="eastAsia" w:ascii="仿宋" w:hAnsi="仿宋" w:eastAsia="仿宋" w:cs="宋体"/>
                <w:color w:val="auto"/>
                <w:sz w:val="20"/>
                <w:szCs w:val="20"/>
                <w:lang w:val="en-US" w:eastAsia="zh-CN"/>
              </w:rPr>
              <w:t>每有一项</w:t>
            </w:r>
            <w:r>
              <w:rPr>
                <w:rFonts w:hint="default" w:ascii="仿宋" w:hAnsi="仿宋" w:eastAsia="仿宋" w:cs="宋体"/>
                <w:color w:val="auto"/>
                <w:sz w:val="20"/>
                <w:szCs w:val="20"/>
              </w:rPr>
              <w:t>存</w:t>
            </w:r>
            <w:r>
              <w:rPr>
                <w:rFonts w:hint="eastAsia" w:ascii="仿宋" w:hAnsi="仿宋" w:eastAsia="仿宋" w:cs="宋体"/>
                <w:color w:val="auto"/>
                <w:sz w:val="20"/>
                <w:szCs w:val="20"/>
              </w:rPr>
              <w:t>在</w:t>
            </w:r>
            <w:r>
              <w:rPr>
                <w:rFonts w:hint="default" w:ascii="仿宋" w:hAnsi="仿宋" w:eastAsia="仿宋" w:cs="宋体"/>
                <w:color w:val="auto"/>
                <w:sz w:val="20"/>
                <w:szCs w:val="20"/>
              </w:rPr>
              <w:t>缺失</w:t>
            </w:r>
            <w:r>
              <w:rPr>
                <w:rFonts w:hint="eastAsia" w:ascii="仿宋" w:hAnsi="仿宋" w:eastAsia="仿宋" w:cs="宋体"/>
                <w:color w:val="auto"/>
                <w:sz w:val="20"/>
                <w:szCs w:val="20"/>
              </w:rPr>
              <w:t>的</w:t>
            </w:r>
            <w:r>
              <w:rPr>
                <w:rFonts w:hint="eastAsia" w:ascii="仿宋" w:hAnsi="仿宋" w:eastAsia="仿宋" w:cs="宋体"/>
                <w:color w:val="auto"/>
                <w:sz w:val="20"/>
                <w:szCs w:val="20"/>
                <w:lang w:val="en-US" w:eastAsia="zh-CN"/>
              </w:rPr>
              <w:t>扣1分</w:t>
            </w:r>
            <w:r>
              <w:rPr>
                <w:rFonts w:hint="eastAsia" w:ascii="仿宋" w:hAnsi="仿宋" w:eastAsia="仿宋" w:cs="宋体"/>
                <w:color w:val="auto"/>
                <w:sz w:val="20"/>
                <w:szCs w:val="20"/>
              </w:rPr>
              <w:t>，每</w:t>
            </w:r>
            <w:r>
              <w:rPr>
                <w:rFonts w:hint="eastAsia" w:ascii="仿宋" w:hAnsi="仿宋" w:eastAsia="仿宋" w:cs="宋体"/>
                <w:color w:val="auto"/>
                <w:sz w:val="20"/>
                <w:szCs w:val="20"/>
                <w:lang w:val="en-US" w:eastAsia="zh-CN"/>
              </w:rPr>
              <w:t>有一处</w:t>
            </w:r>
            <w:r>
              <w:rPr>
                <w:rFonts w:hint="eastAsia" w:ascii="仿宋" w:hAnsi="仿宋" w:eastAsia="仿宋" w:cs="宋体"/>
                <w:color w:val="auto"/>
                <w:sz w:val="20"/>
                <w:szCs w:val="20"/>
              </w:rPr>
              <w:t>内容存在错误或不足的</w:t>
            </w:r>
            <w:r>
              <w:rPr>
                <w:rFonts w:hint="default" w:ascii="仿宋" w:hAnsi="仿宋" w:eastAsia="仿宋" w:cs="宋体"/>
                <w:color w:val="auto"/>
                <w:sz w:val="20"/>
                <w:szCs w:val="20"/>
              </w:rPr>
              <w:t>扣</w:t>
            </w:r>
            <w:r>
              <w:rPr>
                <w:rFonts w:hint="eastAsia" w:ascii="仿宋" w:hAnsi="仿宋" w:eastAsia="仿宋" w:cs="宋体"/>
                <w:color w:val="auto"/>
                <w:sz w:val="20"/>
                <w:szCs w:val="20"/>
                <w:lang w:val="en-US" w:eastAsia="zh-CN"/>
              </w:rPr>
              <w:t>0.5</w:t>
            </w:r>
            <w:r>
              <w:rPr>
                <w:rFonts w:hint="default" w:ascii="仿宋" w:hAnsi="仿宋" w:eastAsia="仿宋" w:cs="宋体"/>
                <w:color w:val="auto"/>
                <w:sz w:val="20"/>
                <w:szCs w:val="20"/>
              </w:rPr>
              <w:t>分</w:t>
            </w:r>
            <w:r>
              <w:rPr>
                <w:rFonts w:hint="eastAsia" w:ascii="仿宋" w:hAnsi="仿宋" w:eastAsia="仿宋" w:cs="宋体"/>
                <w:color w:val="auto"/>
                <w:sz w:val="20"/>
                <w:szCs w:val="20"/>
                <w:lang w:eastAsia="zh-CN"/>
              </w:rPr>
              <w:t>（</w:t>
            </w:r>
            <w:r>
              <w:rPr>
                <w:rFonts w:hint="eastAsia" w:ascii="仿宋" w:hAnsi="仿宋" w:eastAsia="仿宋" w:cs="宋体"/>
                <w:color w:val="auto"/>
                <w:sz w:val="20"/>
                <w:szCs w:val="20"/>
                <w:lang w:val="en-US" w:eastAsia="zh-CN"/>
              </w:rPr>
              <w:t>每一项最多扣1分</w:t>
            </w:r>
            <w:r>
              <w:rPr>
                <w:rFonts w:hint="eastAsia" w:ascii="仿宋" w:hAnsi="仿宋" w:eastAsia="仿宋" w:cs="宋体"/>
                <w:color w:val="auto"/>
                <w:sz w:val="20"/>
                <w:szCs w:val="20"/>
                <w:lang w:eastAsia="zh-CN"/>
              </w:rPr>
              <w:t>）</w:t>
            </w:r>
            <w:r>
              <w:rPr>
                <w:rFonts w:hint="default" w:ascii="仿宋" w:hAnsi="仿宋" w:eastAsia="仿宋" w:cs="宋体"/>
                <w:color w:val="auto"/>
                <w:sz w:val="20"/>
                <w:szCs w:val="20"/>
              </w:rPr>
              <w:t>，</w:t>
            </w:r>
            <w:r>
              <w:rPr>
                <w:rFonts w:hint="eastAsia" w:ascii="仿宋" w:hAnsi="仿宋" w:eastAsia="仿宋" w:cs="宋体"/>
                <w:color w:val="auto"/>
                <w:sz w:val="20"/>
                <w:szCs w:val="20"/>
              </w:rPr>
              <w:t>扣完</w:t>
            </w:r>
            <w:r>
              <w:rPr>
                <w:rFonts w:hint="eastAsia" w:ascii="仿宋" w:hAnsi="仿宋" w:eastAsia="仿宋" w:cs="宋体"/>
                <w:color w:val="auto"/>
                <w:sz w:val="20"/>
                <w:szCs w:val="20"/>
                <w:lang w:val="en-US" w:eastAsia="zh-CN"/>
              </w:rPr>
              <w:t>3</w:t>
            </w:r>
            <w:r>
              <w:rPr>
                <w:rFonts w:hint="eastAsia" w:ascii="仿宋" w:hAnsi="仿宋" w:eastAsia="仿宋" w:cs="宋体"/>
                <w:color w:val="auto"/>
                <w:sz w:val="20"/>
                <w:szCs w:val="20"/>
              </w:rPr>
              <w:t>分为止；</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default" w:ascii="仿宋" w:hAnsi="仿宋" w:eastAsia="仿宋" w:cs="宋体"/>
                <w:color w:val="auto"/>
                <w:sz w:val="20"/>
                <w:szCs w:val="20"/>
              </w:rPr>
              <w:t>③、健康照明环境设计</w:t>
            </w:r>
            <w:r>
              <w:rPr>
                <w:rFonts w:hint="eastAsia" w:ascii="仿宋" w:hAnsi="仿宋" w:eastAsia="仿宋" w:cs="宋体"/>
                <w:color w:val="auto"/>
                <w:sz w:val="20"/>
                <w:szCs w:val="20"/>
                <w:lang w:val="en-US" w:eastAsia="zh-CN"/>
              </w:rPr>
              <w:t>平面图</w:t>
            </w:r>
            <w:r>
              <w:rPr>
                <w:rFonts w:hint="default" w:ascii="仿宋" w:hAnsi="仿宋" w:eastAsia="仿宋" w:cs="宋体"/>
                <w:color w:val="auto"/>
                <w:sz w:val="20"/>
                <w:szCs w:val="20"/>
              </w:rPr>
              <w:t>，至少包含学校整体布局图、楼层布局图、教室布局图。内容完全满足本项目要求且</w:t>
            </w:r>
            <w:r>
              <w:rPr>
                <w:rFonts w:hint="eastAsia" w:ascii="仿宋" w:hAnsi="仿宋" w:eastAsia="仿宋" w:cs="宋体"/>
                <w:color w:val="auto"/>
                <w:sz w:val="20"/>
                <w:szCs w:val="20"/>
                <w:lang w:val="en-US" w:eastAsia="zh-CN"/>
              </w:rPr>
              <w:t>符合本项目实际要求及特点的</w:t>
            </w:r>
            <w:r>
              <w:rPr>
                <w:rFonts w:hint="default" w:ascii="仿宋" w:hAnsi="仿宋" w:eastAsia="仿宋" w:cs="宋体"/>
                <w:color w:val="auto"/>
                <w:sz w:val="20"/>
                <w:szCs w:val="20"/>
              </w:rPr>
              <w:t>得</w:t>
            </w:r>
            <w:r>
              <w:rPr>
                <w:rFonts w:hint="eastAsia" w:ascii="仿宋" w:hAnsi="仿宋" w:eastAsia="仿宋" w:cs="宋体"/>
                <w:color w:val="auto"/>
                <w:sz w:val="20"/>
                <w:szCs w:val="20"/>
                <w:lang w:val="en-US" w:eastAsia="zh-CN"/>
              </w:rPr>
              <w:t>3</w:t>
            </w:r>
            <w:r>
              <w:rPr>
                <w:rFonts w:hint="default" w:ascii="仿宋" w:hAnsi="仿宋" w:eastAsia="仿宋" w:cs="宋体"/>
                <w:color w:val="auto"/>
                <w:sz w:val="20"/>
                <w:szCs w:val="20"/>
              </w:rPr>
              <w:t>分，内容</w:t>
            </w:r>
            <w:r>
              <w:rPr>
                <w:rFonts w:hint="eastAsia" w:ascii="仿宋" w:hAnsi="仿宋" w:eastAsia="仿宋" w:cs="宋体"/>
                <w:color w:val="auto"/>
                <w:sz w:val="20"/>
                <w:szCs w:val="20"/>
                <w:lang w:val="en-US" w:eastAsia="zh-CN"/>
              </w:rPr>
              <w:t>每有一项</w:t>
            </w:r>
            <w:r>
              <w:rPr>
                <w:rFonts w:hint="default" w:ascii="仿宋" w:hAnsi="仿宋" w:eastAsia="仿宋" w:cs="宋体"/>
                <w:color w:val="auto"/>
                <w:sz w:val="20"/>
                <w:szCs w:val="20"/>
              </w:rPr>
              <w:t>存</w:t>
            </w:r>
            <w:r>
              <w:rPr>
                <w:rFonts w:hint="eastAsia" w:ascii="仿宋" w:hAnsi="仿宋" w:eastAsia="仿宋" w:cs="宋体"/>
                <w:color w:val="auto"/>
                <w:sz w:val="20"/>
                <w:szCs w:val="20"/>
              </w:rPr>
              <w:t>在</w:t>
            </w:r>
            <w:r>
              <w:rPr>
                <w:rFonts w:hint="default" w:ascii="仿宋" w:hAnsi="仿宋" w:eastAsia="仿宋" w:cs="宋体"/>
                <w:color w:val="auto"/>
                <w:sz w:val="20"/>
                <w:szCs w:val="20"/>
              </w:rPr>
              <w:t>缺失</w:t>
            </w:r>
            <w:r>
              <w:rPr>
                <w:rFonts w:hint="eastAsia" w:ascii="仿宋" w:hAnsi="仿宋" w:eastAsia="仿宋" w:cs="宋体"/>
                <w:color w:val="auto"/>
                <w:sz w:val="20"/>
                <w:szCs w:val="20"/>
              </w:rPr>
              <w:t>的</w:t>
            </w:r>
            <w:r>
              <w:rPr>
                <w:rFonts w:hint="eastAsia" w:ascii="仿宋" w:hAnsi="仿宋" w:eastAsia="仿宋" w:cs="宋体"/>
                <w:color w:val="auto"/>
                <w:sz w:val="20"/>
                <w:szCs w:val="20"/>
                <w:lang w:val="en-US" w:eastAsia="zh-CN"/>
              </w:rPr>
              <w:t>扣1分</w:t>
            </w:r>
            <w:r>
              <w:rPr>
                <w:rFonts w:hint="eastAsia" w:ascii="仿宋" w:hAnsi="仿宋" w:eastAsia="仿宋" w:cs="宋体"/>
                <w:color w:val="auto"/>
                <w:sz w:val="20"/>
                <w:szCs w:val="20"/>
              </w:rPr>
              <w:t>，每</w:t>
            </w:r>
            <w:r>
              <w:rPr>
                <w:rFonts w:hint="eastAsia" w:ascii="仿宋" w:hAnsi="仿宋" w:eastAsia="仿宋" w:cs="宋体"/>
                <w:color w:val="auto"/>
                <w:sz w:val="20"/>
                <w:szCs w:val="20"/>
                <w:lang w:val="en-US" w:eastAsia="zh-CN"/>
              </w:rPr>
              <w:t>有一处</w:t>
            </w:r>
            <w:r>
              <w:rPr>
                <w:rFonts w:hint="eastAsia" w:ascii="仿宋" w:hAnsi="仿宋" w:eastAsia="仿宋" w:cs="宋体"/>
                <w:color w:val="auto"/>
                <w:sz w:val="20"/>
                <w:szCs w:val="20"/>
              </w:rPr>
              <w:t>内容存在错误或不足的</w:t>
            </w:r>
            <w:r>
              <w:rPr>
                <w:rFonts w:hint="default" w:ascii="仿宋" w:hAnsi="仿宋" w:eastAsia="仿宋" w:cs="宋体"/>
                <w:color w:val="auto"/>
                <w:sz w:val="20"/>
                <w:szCs w:val="20"/>
              </w:rPr>
              <w:t>扣</w:t>
            </w:r>
            <w:r>
              <w:rPr>
                <w:rFonts w:hint="eastAsia" w:ascii="仿宋" w:hAnsi="仿宋" w:eastAsia="仿宋" w:cs="宋体"/>
                <w:color w:val="auto"/>
                <w:sz w:val="20"/>
                <w:szCs w:val="20"/>
                <w:lang w:val="en-US" w:eastAsia="zh-CN"/>
              </w:rPr>
              <w:t>0.5</w:t>
            </w:r>
            <w:r>
              <w:rPr>
                <w:rFonts w:hint="default" w:ascii="仿宋" w:hAnsi="仿宋" w:eastAsia="仿宋" w:cs="宋体"/>
                <w:color w:val="auto"/>
                <w:sz w:val="20"/>
                <w:szCs w:val="20"/>
              </w:rPr>
              <w:t>分</w:t>
            </w:r>
            <w:r>
              <w:rPr>
                <w:rFonts w:hint="eastAsia" w:ascii="仿宋" w:hAnsi="仿宋" w:eastAsia="仿宋" w:cs="宋体"/>
                <w:color w:val="auto"/>
                <w:sz w:val="20"/>
                <w:szCs w:val="20"/>
                <w:lang w:eastAsia="zh-CN"/>
              </w:rPr>
              <w:t>（</w:t>
            </w:r>
            <w:r>
              <w:rPr>
                <w:rFonts w:hint="eastAsia" w:ascii="仿宋" w:hAnsi="仿宋" w:eastAsia="仿宋" w:cs="宋体"/>
                <w:color w:val="auto"/>
                <w:sz w:val="20"/>
                <w:szCs w:val="20"/>
                <w:lang w:val="en-US" w:eastAsia="zh-CN"/>
              </w:rPr>
              <w:t>每一项最多扣1分</w:t>
            </w:r>
            <w:r>
              <w:rPr>
                <w:rFonts w:hint="eastAsia" w:ascii="仿宋" w:hAnsi="仿宋" w:eastAsia="仿宋" w:cs="宋体"/>
                <w:color w:val="auto"/>
                <w:sz w:val="20"/>
                <w:szCs w:val="20"/>
                <w:lang w:eastAsia="zh-CN"/>
              </w:rPr>
              <w:t>）</w:t>
            </w:r>
            <w:r>
              <w:rPr>
                <w:rFonts w:hint="default" w:ascii="仿宋" w:hAnsi="仿宋" w:eastAsia="仿宋" w:cs="宋体"/>
                <w:color w:val="auto"/>
                <w:sz w:val="20"/>
                <w:szCs w:val="20"/>
              </w:rPr>
              <w:t>，</w:t>
            </w:r>
            <w:r>
              <w:rPr>
                <w:rFonts w:hint="eastAsia" w:ascii="仿宋" w:hAnsi="仿宋" w:eastAsia="仿宋" w:cs="宋体"/>
                <w:color w:val="auto"/>
                <w:sz w:val="20"/>
                <w:szCs w:val="20"/>
              </w:rPr>
              <w:t>扣完</w:t>
            </w:r>
            <w:r>
              <w:rPr>
                <w:rFonts w:hint="eastAsia" w:ascii="仿宋" w:hAnsi="仿宋" w:eastAsia="仿宋" w:cs="宋体"/>
                <w:color w:val="auto"/>
                <w:sz w:val="20"/>
                <w:szCs w:val="20"/>
                <w:lang w:val="en-US" w:eastAsia="zh-CN"/>
              </w:rPr>
              <w:t>3</w:t>
            </w:r>
            <w:r>
              <w:rPr>
                <w:rFonts w:hint="eastAsia" w:ascii="仿宋" w:hAnsi="仿宋" w:eastAsia="仿宋" w:cs="宋体"/>
                <w:color w:val="auto"/>
                <w:sz w:val="20"/>
                <w:szCs w:val="20"/>
              </w:rPr>
              <w:t>分为止。</w:t>
            </w:r>
          </w:p>
          <w:p>
            <w:pPr>
              <w:pStyle w:val="2"/>
              <w:keepNext w:val="0"/>
              <w:keepLines w:val="0"/>
              <w:suppressLineNumbers w:val="0"/>
              <w:spacing w:beforeAutospacing="0" w:afterAutospacing="0"/>
              <w:ind w:right="0"/>
              <w:rPr>
                <w:rFonts w:hint="eastAsia" w:hAnsi="Times New Roman" w:eastAsia="宋体" w:cs="Times New Roman"/>
                <w:sz w:val="20"/>
                <w:szCs w:val="20"/>
              </w:rPr>
            </w:pPr>
            <w:r>
              <w:rPr>
                <w:rFonts w:hint="eastAsia" w:ascii="仿宋" w:hAnsi="仿宋" w:eastAsia="仿宋" w:cs="宋体"/>
                <w:color w:val="auto"/>
                <w:sz w:val="20"/>
                <w:szCs w:val="20"/>
              </w:rPr>
              <w:t>说明：内容存在错误指内容脱离项目实际情况或与项目无关的或与项目不匹配或项目名称、实施地点、涉及的规范、技术标准要求与本项目不一致等情形，以评审专家结合项目实际情况和响应文件独立评审为准。</w:t>
            </w:r>
          </w:p>
          <w:p>
            <w:pPr>
              <w:pStyle w:val="2"/>
              <w:keepNext w:val="0"/>
              <w:keepLines w:val="0"/>
              <w:suppressLineNumbers w:val="0"/>
              <w:spacing w:beforeAutospacing="0" w:afterAutospacing="0"/>
              <w:ind w:right="0"/>
              <w:rPr>
                <w:rFonts w:hint="default" w:ascii="仿宋" w:hAnsi="仿宋" w:eastAsia="仿宋" w:cs="宋体"/>
                <w:color w:val="auto"/>
                <w:sz w:val="20"/>
                <w:szCs w:val="20"/>
              </w:rPr>
            </w:pPr>
            <w:r>
              <w:rPr>
                <w:rFonts w:hint="default" w:ascii="仿宋" w:hAnsi="仿宋" w:eastAsia="仿宋" w:cs="宋体"/>
                <w:color w:val="auto"/>
                <w:sz w:val="20"/>
                <w:szCs w:val="20"/>
              </w:rPr>
              <w:t>（2）设计方案要求：</w:t>
            </w:r>
          </w:p>
          <w:p>
            <w:pPr>
              <w:pStyle w:val="2"/>
              <w:keepNext w:val="0"/>
              <w:keepLines w:val="0"/>
              <w:suppressLineNumbers w:val="0"/>
              <w:spacing w:beforeAutospacing="0" w:afterAutospacing="0"/>
              <w:ind w:right="0"/>
              <w:rPr>
                <w:rFonts w:hint="default" w:ascii="仿宋" w:hAnsi="仿宋" w:eastAsia="仿宋" w:cs="宋体"/>
                <w:color w:val="auto"/>
                <w:sz w:val="20"/>
                <w:szCs w:val="20"/>
              </w:rPr>
            </w:pPr>
            <w:r>
              <w:rPr>
                <w:rFonts w:hint="default" w:ascii="仿宋" w:hAnsi="仿宋" w:eastAsia="仿宋" w:cs="宋体"/>
                <w:color w:val="auto"/>
                <w:sz w:val="20"/>
                <w:szCs w:val="20"/>
              </w:rPr>
              <w:t>①设计方案必须满足本次招标文件要求，以上②③需至少包含普通教室、功能</w:t>
            </w:r>
            <w:r>
              <w:rPr>
                <w:rFonts w:hint="eastAsia" w:ascii="仿宋" w:hAnsi="仿宋" w:eastAsia="仿宋" w:cs="宋体"/>
                <w:color w:val="auto"/>
                <w:sz w:val="20"/>
                <w:szCs w:val="20"/>
                <w:lang w:val="en-US" w:eastAsia="zh-CN"/>
              </w:rPr>
              <w:t>教室</w:t>
            </w:r>
            <w:r>
              <w:rPr>
                <w:rFonts w:hint="default" w:ascii="仿宋" w:hAnsi="仿宋" w:eastAsia="仿宋" w:cs="宋体"/>
                <w:color w:val="auto"/>
                <w:sz w:val="20"/>
                <w:szCs w:val="20"/>
              </w:rPr>
              <w:t>；</w:t>
            </w:r>
          </w:p>
          <w:p>
            <w:pPr>
              <w:pStyle w:val="2"/>
              <w:keepNext w:val="0"/>
              <w:keepLines w:val="0"/>
              <w:suppressLineNumbers w:val="0"/>
              <w:spacing w:beforeAutospacing="0" w:afterAutospacing="0"/>
              <w:ind w:right="0"/>
              <w:rPr>
                <w:rFonts w:hint="default" w:hAnsi="Times New Roman" w:cs="Times New Roman"/>
                <w:sz w:val="20"/>
                <w:szCs w:val="20"/>
              </w:rPr>
            </w:pPr>
            <w:r>
              <w:rPr>
                <w:rFonts w:hint="default" w:ascii="仿宋" w:hAnsi="仿宋" w:eastAsia="仿宋" w:cs="宋体"/>
                <w:color w:val="auto"/>
                <w:sz w:val="20"/>
                <w:szCs w:val="20"/>
              </w:rPr>
              <w:t>②根据以上3项方案内容，在满足以上要求的基础上增加先进智慧科技的内容，且设计创新，每有一项加2分，最多加6分。</w:t>
            </w:r>
          </w:p>
          <w:p>
            <w:pPr>
              <w:pStyle w:val="2"/>
              <w:keepNext w:val="0"/>
              <w:keepLines w:val="0"/>
              <w:suppressLineNumbers w:val="0"/>
              <w:spacing w:beforeAutospacing="0" w:afterAutospacing="0"/>
              <w:ind w:right="0"/>
              <w:rPr>
                <w:rFonts w:hint="eastAsia" w:ascii="仿宋" w:hAnsi="仿宋" w:eastAsia="仿宋" w:cs="宋体"/>
                <w:color w:val="auto"/>
                <w:sz w:val="20"/>
                <w:szCs w:val="20"/>
              </w:rPr>
            </w:pPr>
          </w:p>
        </w:tc>
        <w:tc>
          <w:tcPr>
            <w:tcW w:w="675" w:type="pct"/>
            <w:noWrap w:val="0"/>
            <w:vAlign w:val="center"/>
          </w:tcPr>
          <w:p>
            <w:pPr>
              <w:keepNext w:val="0"/>
              <w:keepLines w:val="0"/>
              <w:widowControl/>
              <w:suppressLineNumbers w:val="0"/>
              <w:spacing w:before="0" w:beforeAutospacing="0" w:after="0" w:afterAutospacing="0"/>
              <w:ind w:left="0" w:right="0"/>
              <w:rPr>
                <w:rFonts w:hint="eastAsia" w:ascii="仿宋" w:hAnsi="仿宋" w:eastAsia="仿宋" w:cs="宋体"/>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75" w:type="pct"/>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宋体"/>
                <w:color w:val="auto"/>
                <w:sz w:val="20"/>
                <w:szCs w:val="20"/>
                <w:lang w:eastAsia="zh-CN"/>
              </w:rPr>
            </w:pPr>
            <w:r>
              <w:rPr>
                <w:rFonts w:hint="eastAsia" w:ascii="仿宋" w:hAnsi="仿宋" w:eastAsia="仿宋" w:cs="宋体"/>
                <w:color w:val="auto"/>
                <w:sz w:val="20"/>
                <w:szCs w:val="20"/>
                <w:lang w:val="en-US" w:eastAsia="zh-CN"/>
              </w:rPr>
              <w:t>6</w:t>
            </w:r>
          </w:p>
        </w:tc>
        <w:tc>
          <w:tcPr>
            <w:tcW w:w="624"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安装服务方案</w:t>
            </w:r>
          </w:p>
        </w:tc>
        <w:tc>
          <w:tcPr>
            <w:tcW w:w="535"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default" w:ascii="仿宋" w:hAnsi="仿宋" w:eastAsia="仿宋" w:cs="宋体"/>
                <w:color w:val="auto"/>
                <w:sz w:val="20"/>
                <w:szCs w:val="20"/>
              </w:rPr>
              <w:t>2</w:t>
            </w:r>
            <w:r>
              <w:rPr>
                <w:rFonts w:hint="eastAsia" w:ascii="仿宋" w:hAnsi="仿宋" w:eastAsia="仿宋" w:cs="宋体"/>
                <w:color w:val="auto"/>
                <w:sz w:val="20"/>
                <w:szCs w:val="20"/>
                <w:lang w:val="en-US" w:eastAsia="zh-CN"/>
              </w:rPr>
              <w:t>0</w:t>
            </w:r>
            <w:r>
              <w:rPr>
                <w:rFonts w:hint="eastAsia" w:ascii="仿宋" w:hAnsi="仿宋" w:eastAsia="仿宋" w:cs="宋体"/>
                <w:color w:val="auto"/>
                <w:sz w:val="20"/>
                <w:szCs w:val="20"/>
              </w:rPr>
              <w:t>分</w:t>
            </w:r>
          </w:p>
        </w:tc>
        <w:tc>
          <w:tcPr>
            <w:tcW w:w="2788"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根据投标人针对本项目的安装服务方案打分，方案中：</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（1）人员岗位配置：针对所投学校情况，提供</w:t>
            </w:r>
            <w:r>
              <w:rPr>
                <w:rFonts w:hint="default" w:ascii="仿宋" w:hAnsi="仿宋" w:eastAsia="仿宋" w:cs="宋体"/>
                <w:color w:val="auto"/>
                <w:sz w:val="20"/>
                <w:szCs w:val="20"/>
              </w:rPr>
              <w:t>货物配送</w:t>
            </w:r>
            <w:r>
              <w:rPr>
                <w:rFonts w:hint="eastAsia" w:ascii="仿宋" w:hAnsi="仿宋" w:eastAsia="仿宋" w:cs="宋体"/>
                <w:color w:val="auto"/>
                <w:sz w:val="20"/>
                <w:szCs w:val="20"/>
              </w:rPr>
              <w:t>、</w:t>
            </w:r>
            <w:r>
              <w:rPr>
                <w:rFonts w:hint="default" w:ascii="仿宋" w:hAnsi="仿宋" w:eastAsia="仿宋" w:cs="宋体"/>
                <w:color w:val="auto"/>
                <w:sz w:val="20"/>
                <w:szCs w:val="20"/>
              </w:rPr>
              <w:t>勘测定位设计</w:t>
            </w:r>
            <w:r>
              <w:rPr>
                <w:rFonts w:hint="eastAsia" w:ascii="仿宋" w:hAnsi="仿宋" w:eastAsia="仿宋" w:cs="宋体"/>
                <w:color w:val="auto"/>
                <w:sz w:val="20"/>
                <w:szCs w:val="20"/>
              </w:rPr>
              <w:t>、线路改造、灯具</w:t>
            </w:r>
            <w:r>
              <w:rPr>
                <w:rFonts w:hint="default" w:ascii="仿宋" w:hAnsi="仿宋" w:eastAsia="仿宋" w:cs="宋体"/>
                <w:color w:val="auto"/>
                <w:sz w:val="20"/>
                <w:szCs w:val="20"/>
              </w:rPr>
              <w:t>安装</w:t>
            </w:r>
            <w:r>
              <w:rPr>
                <w:rFonts w:hint="eastAsia" w:ascii="仿宋" w:hAnsi="仿宋" w:eastAsia="仿宋" w:cs="宋体"/>
                <w:color w:val="auto"/>
                <w:sz w:val="20"/>
                <w:szCs w:val="20"/>
              </w:rPr>
              <w:t>、光环境</w:t>
            </w:r>
            <w:r>
              <w:rPr>
                <w:rFonts w:hint="default" w:ascii="仿宋" w:hAnsi="仿宋" w:eastAsia="仿宋" w:cs="宋体"/>
                <w:color w:val="auto"/>
                <w:sz w:val="20"/>
                <w:szCs w:val="20"/>
              </w:rPr>
              <w:t>检测等岗位</w:t>
            </w:r>
            <w:r>
              <w:rPr>
                <w:rFonts w:hint="eastAsia" w:ascii="仿宋" w:hAnsi="仿宋" w:eastAsia="仿宋" w:cs="宋体"/>
                <w:color w:val="auto"/>
                <w:sz w:val="20"/>
                <w:szCs w:val="20"/>
              </w:rPr>
              <w:t>专职人员姓名、身份证复印件、电话等信息，提供齐全得</w:t>
            </w:r>
            <w:r>
              <w:rPr>
                <w:rFonts w:hint="default" w:ascii="仿宋" w:hAnsi="仿宋" w:eastAsia="仿宋" w:cs="宋体"/>
                <w:color w:val="auto"/>
                <w:sz w:val="20"/>
                <w:szCs w:val="20"/>
              </w:rPr>
              <w:t>1</w:t>
            </w:r>
            <w:r>
              <w:rPr>
                <w:rFonts w:hint="eastAsia" w:ascii="仿宋" w:hAnsi="仿宋" w:eastAsia="仿宋" w:cs="宋体"/>
                <w:color w:val="auto"/>
                <w:sz w:val="20"/>
                <w:szCs w:val="20"/>
              </w:rPr>
              <w:t>分，每有一个岗位人员信息不全扣</w:t>
            </w:r>
            <w:r>
              <w:rPr>
                <w:rFonts w:hint="default" w:ascii="仿宋" w:hAnsi="仿宋" w:eastAsia="仿宋" w:cs="宋体"/>
                <w:color w:val="auto"/>
                <w:sz w:val="20"/>
                <w:szCs w:val="20"/>
              </w:rPr>
              <w:t>0.5</w:t>
            </w:r>
            <w:r>
              <w:rPr>
                <w:rFonts w:hint="eastAsia" w:ascii="仿宋" w:hAnsi="仿宋" w:eastAsia="仿宋" w:cs="宋体"/>
                <w:color w:val="auto"/>
                <w:sz w:val="20"/>
                <w:szCs w:val="20"/>
              </w:rPr>
              <w:t>分，扣完</w:t>
            </w:r>
            <w:r>
              <w:rPr>
                <w:rFonts w:hint="default" w:ascii="仿宋" w:hAnsi="仿宋" w:eastAsia="仿宋" w:cs="宋体"/>
                <w:color w:val="auto"/>
                <w:sz w:val="20"/>
                <w:szCs w:val="20"/>
              </w:rPr>
              <w:t>1</w:t>
            </w:r>
            <w:r>
              <w:rPr>
                <w:rFonts w:hint="eastAsia" w:ascii="仿宋" w:hAnsi="仿宋" w:eastAsia="仿宋" w:cs="宋体"/>
                <w:color w:val="auto"/>
                <w:sz w:val="20"/>
                <w:szCs w:val="20"/>
              </w:rPr>
              <w:t>分为止；</w:t>
            </w:r>
          </w:p>
          <w:p>
            <w:pPr>
              <w:keepNext w:val="0"/>
              <w:keepLines w:val="0"/>
              <w:widowControl/>
              <w:suppressLineNumbers w:val="0"/>
              <w:spacing w:before="0" w:beforeAutospacing="0" w:after="0" w:afterAutospacing="0"/>
              <w:ind w:left="0" w:right="0"/>
              <w:rPr>
                <w:rFonts w:hint="eastAsia" w:ascii="仿宋" w:hAnsi="仿宋" w:eastAsia="仿宋" w:cs="宋体"/>
                <w:color w:val="auto"/>
                <w:sz w:val="20"/>
                <w:szCs w:val="20"/>
                <w:lang w:eastAsia="zh-CN"/>
              </w:rPr>
            </w:pPr>
            <w:r>
              <w:rPr>
                <w:rFonts w:hint="eastAsia" w:ascii="仿宋" w:hAnsi="仿宋" w:eastAsia="仿宋" w:cs="宋体"/>
                <w:color w:val="auto"/>
                <w:sz w:val="20"/>
                <w:szCs w:val="20"/>
              </w:rPr>
              <w:t>（2）</w:t>
            </w:r>
            <w:r>
              <w:rPr>
                <w:rFonts w:hint="eastAsia" w:ascii="仿宋" w:hAnsi="仿宋" w:eastAsia="仿宋" w:cs="宋体"/>
                <w:color w:val="auto"/>
                <w:sz w:val="20"/>
                <w:szCs w:val="20"/>
                <w:lang w:val="en-US" w:eastAsia="zh-CN"/>
              </w:rPr>
              <w:t>安装方案</w:t>
            </w:r>
            <w:r>
              <w:rPr>
                <w:rFonts w:hint="eastAsia" w:ascii="仿宋" w:hAnsi="仿宋" w:eastAsia="仿宋" w:cs="宋体"/>
                <w:color w:val="auto"/>
                <w:sz w:val="20"/>
                <w:szCs w:val="20"/>
              </w:rPr>
              <w:t>：按照</w:t>
            </w:r>
            <w:r>
              <w:rPr>
                <w:rFonts w:hint="default" w:ascii="仿宋" w:hAnsi="仿宋" w:eastAsia="仿宋" w:cs="宋体"/>
                <w:color w:val="auto"/>
                <w:sz w:val="20"/>
                <w:szCs w:val="20"/>
              </w:rPr>
              <w:t>学校</w:t>
            </w:r>
            <w:r>
              <w:rPr>
                <w:rFonts w:hint="eastAsia" w:ascii="仿宋" w:hAnsi="仿宋" w:eastAsia="仿宋" w:cs="宋体"/>
                <w:color w:val="auto"/>
                <w:sz w:val="20"/>
                <w:szCs w:val="20"/>
              </w:rPr>
              <w:t>采购</w:t>
            </w:r>
            <w:r>
              <w:rPr>
                <w:rFonts w:hint="default" w:ascii="仿宋" w:hAnsi="仿宋" w:eastAsia="仿宋" w:cs="宋体"/>
                <w:color w:val="auto"/>
                <w:sz w:val="20"/>
                <w:szCs w:val="20"/>
              </w:rPr>
              <w:t>数量</w:t>
            </w:r>
            <w:r>
              <w:rPr>
                <w:rFonts w:hint="eastAsia" w:ascii="仿宋" w:hAnsi="仿宋" w:eastAsia="仿宋" w:cs="宋体"/>
                <w:color w:val="auto"/>
                <w:sz w:val="20"/>
                <w:szCs w:val="20"/>
                <w:lang w:val="en-US" w:eastAsia="zh-CN"/>
              </w:rPr>
              <w:t>及内容</w:t>
            </w:r>
            <w:r>
              <w:rPr>
                <w:rFonts w:hint="eastAsia" w:ascii="仿宋" w:hAnsi="仿宋" w:eastAsia="仿宋" w:cs="宋体"/>
                <w:color w:val="auto"/>
                <w:sz w:val="20"/>
                <w:szCs w:val="20"/>
              </w:rPr>
              <w:t>，</w:t>
            </w:r>
            <w:r>
              <w:rPr>
                <w:rFonts w:hint="default" w:ascii="仿宋" w:hAnsi="仿宋" w:eastAsia="仿宋" w:cs="宋体"/>
                <w:color w:val="auto"/>
                <w:sz w:val="20"/>
                <w:szCs w:val="20"/>
              </w:rPr>
              <w:t>科学设置</w:t>
            </w:r>
            <w:r>
              <w:rPr>
                <w:rFonts w:hint="eastAsia" w:ascii="仿宋" w:hAnsi="仿宋" w:eastAsia="仿宋" w:cs="宋体"/>
                <w:color w:val="auto"/>
                <w:sz w:val="20"/>
                <w:szCs w:val="20"/>
                <w:lang w:val="en-US" w:eastAsia="zh-CN"/>
              </w:rPr>
              <w:t>安装工艺</w:t>
            </w:r>
            <w:r>
              <w:rPr>
                <w:rFonts w:hint="eastAsia" w:ascii="仿宋" w:hAnsi="仿宋" w:eastAsia="仿宋" w:cs="宋体"/>
                <w:color w:val="auto"/>
                <w:sz w:val="20"/>
                <w:szCs w:val="20"/>
              </w:rPr>
              <w:t>、</w:t>
            </w:r>
            <w:r>
              <w:rPr>
                <w:rFonts w:hint="eastAsia" w:ascii="仿宋" w:hAnsi="仿宋" w:eastAsia="仿宋" w:cs="宋体"/>
                <w:color w:val="auto"/>
                <w:sz w:val="20"/>
                <w:szCs w:val="20"/>
                <w:lang w:val="en-US" w:eastAsia="zh-CN"/>
              </w:rPr>
              <w:t>安装进度</w:t>
            </w:r>
            <w:r>
              <w:rPr>
                <w:rFonts w:hint="eastAsia" w:ascii="仿宋" w:hAnsi="仿宋" w:eastAsia="仿宋" w:cs="宋体"/>
                <w:color w:val="auto"/>
                <w:sz w:val="20"/>
                <w:szCs w:val="20"/>
                <w:lang w:eastAsia="zh-CN"/>
              </w:rPr>
              <w:t>（</w:t>
            </w:r>
            <w:r>
              <w:rPr>
                <w:rFonts w:hint="eastAsia" w:ascii="仿宋" w:hAnsi="仿宋" w:eastAsia="仿宋" w:cs="宋体"/>
                <w:color w:val="auto"/>
                <w:sz w:val="20"/>
                <w:szCs w:val="20"/>
                <w:lang w:val="en-US" w:eastAsia="zh-CN"/>
              </w:rPr>
              <w:t>包含安装</w:t>
            </w:r>
            <w:r>
              <w:rPr>
                <w:rFonts w:hint="default" w:ascii="仿宋" w:hAnsi="仿宋" w:eastAsia="仿宋" w:cs="宋体"/>
                <w:color w:val="auto"/>
                <w:sz w:val="20"/>
                <w:szCs w:val="20"/>
              </w:rPr>
              <w:t>进度</w:t>
            </w:r>
            <w:r>
              <w:rPr>
                <w:rFonts w:hint="eastAsia" w:ascii="仿宋" w:hAnsi="仿宋" w:eastAsia="仿宋" w:cs="宋体"/>
                <w:color w:val="auto"/>
                <w:sz w:val="20"/>
                <w:szCs w:val="20"/>
                <w:lang w:val="en-US" w:eastAsia="zh-CN"/>
              </w:rPr>
              <w:t>表</w:t>
            </w:r>
            <w:r>
              <w:rPr>
                <w:rFonts w:hint="eastAsia" w:ascii="仿宋" w:hAnsi="仿宋" w:eastAsia="仿宋" w:cs="宋体"/>
                <w:color w:val="auto"/>
                <w:sz w:val="20"/>
                <w:szCs w:val="20"/>
                <w:lang w:eastAsia="zh-CN"/>
              </w:rPr>
              <w:t>）</w:t>
            </w:r>
            <w:r>
              <w:rPr>
                <w:rFonts w:hint="eastAsia" w:ascii="仿宋" w:hAnsi="仿宋" w:eastAsia="仿宋" w:cs="宋体"/>
                <w:color w:val="auto"/>
                <w:sz w:val="20"/>
                <w:szCs w:val="20"/>
              </w:rPr>
              <w:t>，</w:t>
            </w:r>
            <w:r>
              <w:rPr>
                <w:rFonts w:hint="default" w:ascii="仿宋" w:hAnsi="仿宋" w:eastAsia="仿宋" w:cs="宋体"/>
                <w:color w:val="auto"/>
                <w:sz w:val="20"/>
                <w:szCs w:val="20"/>
              </w:rPr>
              <w:t>内容完全满足本项目要求且</w:t>
            </w:r>
            <w:r>
              <w:rPr>
                <w:rFonts w:hint="eastAsia" w:ascii="仿宋" w:hAnsi="仿宋" w:eastAsia="仿宋" w:cs="宋体"/>
                <w:color w:val="auto"/>
                <w:sz w:val="20"/>
                <w:szCs w:val="20"/>
                <w:lang w:val="en-US" w:eastAsia="zh-CN"/>
              </w:rPr>
              <w:t>符合本项目实际要求及特点的</w:t>
            </w:r>
            <w:r>
              <w:rPr>
                <w:rFonts w:hint="default" w:ascii="仿宋" w:hAnsi="仿宋" w:eastAsia="仿宋" w:cs="宋体"/>
                <w:color w:val="auto"/>
                <w:sz w:val="20"/>
                <w:szCs w:val="20"/>
              </w:rPr>
              <w:t>得</w:t>
            </w:r>
            <w:r>
              <w:rPr>
                <w:rFonts w:hint="eastAsia" w:ascii="仿宋" w:hAnsi="仿宋" w:eastAsia="仿宋" w:cs="宋体"/>
                <w:color w:val="auto"/>
                <w:sz w:val="20"/>
                <w:szCs w:val="20"/>
                <w:lang w:val="en-US" w:eastAsia="zh-CN"/>
              </w:rPr>
              <w:t>4</w:t>
            </w:r>
            <w:r>
              <w:rPr>
                <w:rFonts w:hint="default" w:ascii="仿宋" w:hAnsi="仿宋" w:eastAsia="仿宋" w:cs="宋体"/>
                <w:color w:val="auto"/>
                <w:sz w:val="20"/>
                <w:szCs w:val="20"/>
              </w:rPr>
              <w:t>分，内容</w:t>
            </w:r>
            <w:r>
              <w:rPr>
                <w:rFonts w:hint="eastAsia" w:ascii="仿宋" w:hAnsi="仿宋" w:eastAsia="仿宋" w:cs="宋体"/>
                <w:color w:val="auto"/>
                <w:sz w:val="20"/>
                <w:szCs w:val="20"/>
                <w:lang w:val="en-US" w:eastAsia="zh-CN"/>
              </w:rPr>
              <w:t>每有一项</w:t>
            </w:r>
            <w:r>
              <w:rPr>
                <w:rFonts w:hint="default" w:ascii="仿宋" w:hAnsi="仿宋" w:eastAsia="仿宋" w:cs="宋体"/>
                <w:color w:val="auto"/>
                <w:sz w:val="20"/>
                <w:szCs w:val="20"/>
              </w:rPr>
              <w:t>存</w:t>
            </w:r>
            <w:r>
              <w:rPr>
                <w:rFonts w:hint="eastAsia" w:ascii="仿宋" w:hAnsi="仿宋" w:eastAsia="仿宋" w:cs="宋体"/>
                <w:color w:val="auto"/>
                <w:sz w:val="20"/>
                <w:szCs w:val="20"/>
              </w:rPr>
              <w:t>在</w:t>
            </w:r>
            <w:r>
              <w:rPr>
                <w:rFonts w:hint="default" w:ascii="仿宋" w:hAnsi="仿宋" w:eastAsia="仿宋" w:cs="宋体"/>
                <w:color w:val="auto"/>
                <w:sz w:val="20"/>
                <w:szCs w:val="20"/>
              </w:rPr>
              <w:t>缺失</w:t>
            </w:r>
            <w:r>
              <w:rPr>
                <w:rFonts w:hint="eastAsia" w:ascii="仿宋" w:hAnsi="仿宋" w:eastAsia="仿宋" w:cs="宋体"/>
                <w:color w:val="auto"/>
                <w:sz w:val="20"/>
                <w:szCs w:val="20"/>
              </w:rPr>
              <w:t>的</w:t>
            </w:r>
            <w:r>
              <w:rPr>
                <w:rFonts w:hint="eastAsia" w:ascii="仿宋" w:hAnsi="仿宋" w:eastAsia="仿宋" w:cs="宋体"/>
                <w:color w:val="auto"/>
                <w:sz w:val="20"/>
                <w:szCs w:val="20"/>
                <w:lang w:val="en-US" w:eastAsia="zh-CN"/>
              </w:rPr>
              <w:t>扣2分</w:t>
            </w:r>
            <w:r>
              <w:rPr>
                <w:rFonts w:hint="eastAsia" w:ascii="仿宋" w:hAnsi="仿宋" w:eastAsia="仿宋" w:cs="宋体"/>
                <w:color w:val="auto"/>
                <w:sz w:val="20"/>
                <w:szCs w:val="20"/>
              </w:rPr>
              <w:t>，每</w:t>
            </w:r>
            <w:r>
              <w:rPr>
                <w:rFonts w:hint="eastAsia" w:ascii="仿宋" w:hAnsi="仿宋" w:eastAsia="仿宋" w:cs="宋体"/>
                <w:color w:val="auto"/>
                <w:sz w:val="20"/>
                <w:szCs w:val="20"/>
                <w:lang w:val="en-US" w:eastAsia="zh-CN"/>
              </w:rPr>
              <w:t>有一处</w:t>
            </w:r>
            <w:r>
              <w:rPr>
                <w:rFonts w:hint="eastAsia" w:ascii="仿宋" w:hAnsi="仿宋" w:eastAsia="仿宋" w:cs="宋体"/>
                <w:color w:val="auto"/>
                <w:sz w:val="20"/>
                <w:szCs w:val="20"/>
              </w:rPr>
              <w:t>内容存在错误或不足的</w:t>
            </w:r>
            <w:r>
              <w:rPr>
                <w:rFonts w:hint="default" w:ascii="仿宋" w:hAnsi="仿宋" w:eastAsia="仿宋" w:cs="宋体"/>
                <w:color w:val="auto"/>
                <w:sz w:val="20"/>
                <w:szCs w:val="20"/>
              </w:rPr>
              <w:t>扣</w:t>
            </w:r>
            <w:r>
              <w:rPr>
                <w:rFonts w:hint="eastAsia" w:ascii="仿宋" w:hAnsi="仿宋" w:eastAsia="仿宋" w:cs="宋体"/>
                <w:color w:val="auto"/>
                <w:sz w:val="20"/>
                <w:szCs w:val="20"/>
                <w:lang w:val="en-US" w:eastAsia="zh-CN"/>
              </w:rPr>
              <w:t>1</w:t>
            </w:r>
            <w:r>
              <w:rPr>
                <w:rFonts w:hint="default" w:ascii="仿宋" w:hAnsi="仿宋" w:eastAsia="仿宋" w:cs="宋体"/>
                <w:color w:val="auto"/>
                <w:sz w:val="20"/>
                <w:szCs w:val="20"/>
              </w:rPr>
              <w:t>分</w:t>
            </w:r>
            <w:r>
              <w:rPr>
                <w:rFonts w:hint="eastAsia" w:ascii="仿宋" w:hAnsi="仿宋" w:eastAsia="仿宋" w:cs="宋体"/>
                <w:color w:val="auto"/>
                <w:sz w:val="20"/>
                <w:szCs w:val="20"/>
                <w:lang w:eastAsia="zh-CN"/>
              </w:rPr>
              <w:t>（</w:t>
            </w:r>
            <w:r>
              <w:rPr>
                <w:rFonts w:hint="eastAsia" w:ascii="仿宋" w:hAnsi="仿宋" w:eastAsia="仿宋" w:cs="宋体"/>
                <w:color w:val="auto"/>
                <w:sz w:val="20"/>
                <w:szCs w:val="20"/>
                <w:lang w:val="en-US" w:eastAsia="zh-CN"/>
              </w:rPr>
              <w:t>每一项最多扣2分</w:t>
            </w:r>
            <w:r>
              <w:rPr>
                <w:rFonts w:hint="eastAsia" w:ascii="仿宋" w:hAnsi="仿宋" w:eastAsia="仿宋" w:cs="宋体"/>
                <w:color w:val="auto"/>
                <w:sz w:val="20"/>
                <w:szCs w:val="20"/>
                <w:lang w:eastAsia="zh-CN"/>
              </w:rPr>
              <w:t>）</w:t>
            </w:r>
            <w:r>
              <w:rPr>
                <w:rFonts w:hint="default" w:ascii="仿宋" w:hAnsi="仿宋" w:eastAsia="仿宋" w:cs="宋体"/>
                <w:color w:val="auto"/>
                <w:sz w:val="20"/>
                <w:szCs w:val="20"/>
              </w:rPr>
              <w:t>，</w:t>
            </w:r>
            <w:r>
              <w:rPr>
                <w:rFonts w:hint="eastAsia" w:ascii="仿宋" w:hAnsi="仿宋" w:eastAsia="仿宋" w:cs="宋体"/>
                <w:color w:val="auto"/>
                <w:sz w:val="20"/>
                <w:szCs w:val="20"/>
              </w:rPr>
              <w:t>扣完</w:t>
            </w:r>
            <w:r>
              <w:rPr>
                <w:rFonts w:hint="eastAsia" w:ascii="仿宋" w:hAnsi="仿宋" w:eastAsia="仿宋" w:cs="宋体"/>
                <w:color w:val="auto"/>
                <w:sz w:val="20"/>
                <w:szCs w:val="20"/>
                <w:lang w:val="en-US" w:eastAsia="zh-CN"/>
              </w:rPr>
              <w:t>4</w:t>
            </w:r>
            <w:r>
              <w:rPr>
                <w:rFonts w:hint="eastAsia" w:ascii="仿宋" w:hAnsi="仿宋" w:eastAsia="仿宋" w:cs="宋体"/>
                <w:color w:val="auto"/>
                <w:sz w:val="20"/>
                <w:szCs w:val="20"/>
              </w:rPr>
              <w:t>分为止</w:t>
            </w:r>
            <w:r>
              <w:rPr>
                <w:rFonts w:hint="eastAsia" w:ascii="仿宋" w:hAnsi="仿宋" w:eastAsia="仿宋" w:cs="宋体"/>
                <w:color w:val="auto"/>
                <w:sz w:val="20"/>
                <w:szCs w:val="20"/>
                <w:lang w:eastAsia="zh-CN"/>
              </w:rPr>
              <w:t>；</w:t>
            </w:r>
          </w:p>
          <w:p>
            <w:pPr>
              <w:keepNext w:val="0"/>
              <w:keepLines w:val="0"/>
              <w:widowControl/>
              <w:suppressLineNumbers w:val="0"/>
              <w:spacing w:before="0" w:beforeAutospacing="0" w:after="0" w:afterAutospacing="0"/>
              <w:ind w:left="0" w:right="0"/>
              <w:rPr>
                <w:rFonts w:hint="eastAsia" w:ascii="仿宋" w:hAnsi="仿宋" w:eastAsia="仿宋" w:cs="宋体"/>
                <w:color w:val="auto"/>
                <w:sz w:val="20"/>
                <w:szCs w:val="20"/>
                <w:lang w:eastAsia="zh-CN"/>
              </w:rPr>
            </w:pPr>
            <w:r>
              <w:rPr>
                <w:rFonts w:hint="eastAsia" w:ascii="仿宋" w:hAnsi="仿宋" w:eastAsia="仿宋" w:cs="宋体"/>
                <w:color w:val="auto"/>
                <w:sz w:val="20"/>
                <w:szCs w:val="20"/>
              </w:rPr>
              <w:t>（3）质量保证措施：原材料如支架、电源、面板、背板、反光材料、光珠等的质量保证到生产灯具到成品</w:t>
            </w:r>
            <w:r>
              <w:rPr>
                <w:rFonts w:hint="eastAsia" w:ascii="仿宋" w:hAnsi="仿宋" w:eastAsia="仿宋" w:cs="宋体"/>
                <w:color w:val="auto"/>
                <w:sz w:val="20"/>
                <w:szCs w:val="20"/>
                <w:lang w:val="en-US" w:eastAsia="zh-CN"/>
              </w:rPr>
              <w:t>的质量保证措施</w:t>
            </w:r>
            <w:r>
              <w:rPr>
                <w:rFonts w:hint="eastAsia" w:ascii="仿宋" w:hAnsi="仿宋" w:eastAsia="仿宋" w:cs="宋体"/>
                <w:color w:val="auto"/>
                <w:sz w:val="20"/>
                <w:szCs w:val="20"/>
                <w:lang w:eastAsia="zh-CN"/>
              </w:rPr>
              <w:t>、</w:t>
            </w:r>
            <w:r>
              <w:rPr>
                <w:rFonts w:hint="eastAsia" w:ascii="仿宋" w:hAnsi="仿宋" w:eastAsia="仿宋" w:cs="宋体"/>
                <w:color w:val="auto"/>
                <w:sz w:val="20"/>
                <w:szCs w:val="20"/>
                <w:lang w:val="en-US" w:eastAsia="zh-CN"/>
              </w:rPr>
              <w:t>安装</w:t>
            </w:r>
            <w:r>
              <w:rPr>
                <w:rFonts w:hint="eastAsia" w:ascii="仿宋" w:hAnsi="仿宋" w:eastAsia="仿宋" w:cs="宋体"/>
                <w:color w:val="auto"/>
                <w:sz w:val="20"/>
                <w:szCs w:val="20"/>
              </w:rPr>
              <w:t>质量控制措施，</w:t>
            </w:r>
            <w:r>
              <w:rPr>
                <w:rFonts w:hint="default" w:ascii="仿宋" w:hAnsi="仿宋" w:eastAsia="仿宋" w:cs="宋体"/>
                <w:color w:val="auto"/>
                <w:sz w:val="20"/>
                <w:szCs w:val="20"/>
              </w:rPr>
              <w:t>内容完全满足本项目要求且</w:t>
            </w:r>
            <w:r>
              <w:rPr>
                <w:rFonts w:hint="eastAsia" w:ascii="仿宋" w:hAnsi="仿宋" w:eastAsia="仿宋" w:cs="宋体"/>
                <w:color w:val="auto"/>
                <w:sz w:val="20"/>
                <w:szCs w:val="20"/>
                <w:lang w:val="en-US" w:eastAsia="zh-CN"/>
              </w:rPr>
              <w:t>符合本项目实际要求及特点的</w:t>
            </w:r>
            <w:r>
              <w:rPr>
                <w:rFonts w:hint="default" w:ascii="仿宋" w:hAnsi="仿宋" w:eastAsia="仿宋" w:cs="宋体"/>
                <w:color w:val="auto"/>
                <w:sz w:val="20"/>
                <w:szCs w:val="20"/>
              </w:rPr>
              <w:t>得</w:t>
            </w:r>
            <w:r>
              <w:rPr>
                <w:rFonts w:hint="eastAsia" w:ascii="仿宋" w:hAnsi="仿宋" w:eastAsia="仿宋" w:cs="宋体"/>
                <w:color w:val="auto"/>
                <w:sz w:val="20"/>
                <w:szCs w:val="20"/>
                <w:lang w:val="en-US" w:eastAsia="zh-CN"/>
              </w:rPr>
              <w:t>2</w:t>
            </w:r>
            <w:r>
              <w:rPr>
                <w:rFonts w:hint="default" w:ascii="仿宋" w:hAnsi="仿宋" w:eastAsia="仿宋" w:cs="宋体"/>
                <w:color w:val="auto"/>
                <w:sz w:val="20"/>
                <w:szCs w:val="20"/>
              </w:rPr>
              <w:t>分，内容</w:t>
            </w:r>
            <w:r>
              <w:rPr>
                <w:rFonts w:hint="eastAsia" w:ascii="仿宋" w:hAnsi="仿宋" w:eastAsia="仿宋" w:cs="宋体"/>
                <w:color w:val="auto"/>
                <w:sz w:val="20"/>
                <w:szCs w:val="20"/>
                <w:lang w:val="en-US" w:eastAsia="zh-CN"/>
              </w:rPr>
              <w:t>每有一项</w:t>
            </w:r>
            <w:r>
              <w:rPr>
                <w:rFonts w:hint="default" w:ascii="仿宋" w:hAnsi="仿宋" w:eastAsia="仿宋" w:cs="宋体"/>
                <w:color w:val="auto"/>
                <w:sz w:val="20"/>
                <w:szCs w:val="20"/>
              </w:rPr>
              <w:t>存</w:t>
            </w:r>
            <w:r>
              <w:rPr>
                <w:rFonts w:hint="eastAsia" w:ascii="仿宋" w:hAnsi="仿宋" w:eastAsia="仿宋" w:cs="宋体"/>
                <w:color w:val="auto"/>
                <w:sz w:val="20"/>
                <w:szCs w:val="20"/>
              </w:rPr>
              <w:t>在</w:t>
            </w:r>
            <w:r>
              <w:rPr>
                <w:rFonts w:hint="default" w:ascii="仿宋" w:hAnsi="仿宋" w:eastAsia="仿宋" w:cs="宋体"/>
                <w:color w:val="auto"/>
                <w:sz w:val="20"/>
                <w:szCs w:val="20"/>
              </w:rPr>
              <w:t>缺失</w:t>
            </w:r>
            <w:r>
              <w:rPr>
                <w:rFonts w:hint="eastAsia" w:ascii="仿宋" w:hAnsi="仿宋" w:eastAsia="仿宋" w:cs="宋体"/>
                <w:color w:val="auto"/>
                <w:sz w:val="20"/>
                <w:szCs w:val="20"/>
              </w:rPr>
              <w:t>的</w:t>
            </w:r>
            <w:r>
              <w:rPr>
                <w:rFonts w:hint="eastAsia" w:ascii="仿宋" w:hAnsi="仿宋" w:eastAsia="仿宋" w:cs="宋体"/>
                <w:color w:val="auto"/>
                <w:sz w:val="20"/>
                <w:szCs w:val="20"/>
                <w:lang w:val="en-US" w:eastAsia="zh-CN"/>
              </w:rPr>
              <w:t>扣1分</w:t>
            </w:r>
            <w:r>
              <w:rPr>
                <w:rFonts w:hint="eastAsia" w:ascii="仿宋" w:hAnsi="仿宋" w:eastAsia="仿宋" w:cs="宋体"/>
                <w:color w:val="auto"/>
                <w:sz w:val="20"/>
                <w:szCs w:val="20"/>
              </w:rPr>
              <w:t>，每</w:t>
            </w:r>
            <w:r>
              <w:rPr>
                <w:rFonts w:hint="eastAsia" w:ascii="仿宋" w:hAnsi="仿宋" w:eastAsia="仿宋" w:cs="宋体"/>
                <w:color w:val="auto"/>
                <w:sz w:val="20"/>
                <w:szCs w:val="20"/>
                <w:lang w:val="en-US" w:eastAsia="zh-CN"/>
              </w:rPr>
              <w:t>有一处</w:t>
            </w:r>
            <w:r>
              <w:rPr>
                <w:rFonts w:hint="eastAsia" w:ascii="仿宋" w:hAnsi="仿宋" w:eastAsia="仿宋" w:cs="宋体"/>
                <w:color w:val="auto"/>
                <w:sz w:val="20"/>
                <w:szCs w:val="20"/>
              </w:rPr>
              <w:t>内容存在错误或不足的</w:t>
            </w:r>
            <w:r>
              <w:rPr>
                <w:rFonts w:hint="default" w:ascii="仿宋" w:hAnsi="仿宋" w:eastAsia="仿宋" w:cs="宋体"/>
                <w:color w:val="auto"/>
                <w:sz w:val="20"/>
                <w:szCs w:val="20"/>
              </w:rPr>
              <w:t>扣</w:t>
            </w:r>
            <w:r>
              <w:rPr>
                <w:rFonts w:hint="eastAsia" w:ascii="仿宋" w:hAnsi="仿宋" w:eastAsia="仿宋" w:cs="宋体"/>
                <w:color w:val="auto"/>
                <w:sz w:val="20"/>
                <w:szCs w:val="20"/>
                <w:lang w:val="en-US" w:eastAsia="zh-CN"/>
              </w:rPr>
              <w:t>0.5</w:t>
            </w:r>
            <w:r>
              <w:rPr>
                <w:rFonts w:hint="default" w:ascii="仿宋" w:hAnsi="仿宋" w:eastAsia="仿宋" w:cs="宋体"/>
                <w:color w:val="auto"/>
                <w:sz w:val="20"/>
                <w:szCs w:val="20"/>
              </w:rPr>
              <w:t>分</w:t>
            </w:r>
            <w:r>
              <w:rPr>
                <w:rFonts w:hint="eastAsia" w:ascii="仿宋" w:hAnsi="仿宋" w:eastAsia="仿宋" w:cs="宋体"/>
                <w:color w:val="auto"/>
                <w:sz w:val="20"/>
                <w:szCs w:val="20"/>
                <w:lang w:eastAsia="zh-CN"/>
              </w:rPr>
              <w:t>（</w:t>
            </w:r>
            <w:r>
              <w:rPr>
                <w:rFonts w:hint="eastAsia" w:ascii="仿宋" w:hAnsi="仿宋" w:eastAsia="仿宋" w:cs="宋体"/>
                <w:color w:val="auto"/>
                <w:sz w:val="20"/>
                <w:szCs w:val="20"/>
                <w:lang w:val="en-US" w:eastAsia="zh-CN"/>
              </w:rPr>
              <w:t>每一项最多扣1分</w:t>
            </w:r>
            <w:r>
              <w:rPr>
                <w:rFonts w:hint="eastAsia" w:ascii="仿宋" w:hAnsi="仿宋" w:eastAsia="仿宋" w:cs="宋体"/>
                <w:color w:val="auto"/>
                <w:sz w:val="20"/>
                <w:szCs w:val="20"/>
                <w:lang w:eastAsia="zh-CN"/>
              </w:rPr>
              <w:t>）</w:t>
            </w:r>
            <w:r>
              <w:rPr>
                <w:rFonts w:hint="default" w:ascii="仿宋" w:hAnsi="仿宋" w:eastAsia="仿宋" w:cs="宋体"/>
                <w:color w:val="auto"/>
                <w:sz w:val="20"/>
                <w:szCs w:val="20"/>
              </w:rPr>
              <w:t>，</w:t>
            </w:r>
            <w:r>
              <w:rPr>
                <w:rFonts w:hint="eastAsia" w:ascii="仿宋" w:hAnsi="仿宋" w:eastAsia="仿宋" w:cs="宋体"/>
                <w:color w:val="auto"/>
                <w:sz w:val="20"/>
                <w:szCs w:val="20"/>
              </w:rPr>
              <w:t>扣完</w:t>
            </w:r>
            <w:r>
              <w:rPr>
                <w:rFonts w:hint="eastAsia" w:ascii="仿宋" w:hAnsi="仿宋" w:eastAsia="仿宋" w:cs="宋体"/>
                <w:color w:val="auto"/>
                <w:sz w:val="20"/>
                <w:szCs w:val="20"/>
                <w:lang w:val="en-US" w:eastAsia="zh-CN"/>
              </w:rPr>
              <w:t>2</w:t>
            </w:r>
            <w:r>
              <w:rPr>
                <w:rFonts w:hint="eastAsia" w:ascii="仿宋" w:hAnsi="仿宋" w:eastAsia="仿宋" w:cs="宋体"/>
                <w:color w:val="auto"/>
                <w:sz w:val="20"/>
                <w:szCs w:val="20"/>
              </w:rPr>
              <w:t>分为止</w:t>
            </w:r>
            <w:r>
              <w:rPr>
                <w:rFonts w:hint="eastAsia" w:ascii="仿宋" w:hAnsi="仿宋" w:eastAsia="仿宋" w:cs="宋体"/>
                <w:color w:val="auto"/>
                <w:sz w:val="20"/>
                <w:szCs w:val="20"/>
                <w:lang w:eastAsia="zh-CN"/>
              </w:rPr>
              <w:t>；</w:t>
            </w:r>
          </w:p>
          <w:p>
            <w:pPr>
              <w:keepNext w:val="0"/>
              <w:keepLines w:val="0"/>
              <w:widowControl/>
              <w:suppressLineNumbers w:val="0"/>
              <w:spacing w:before="0" w:beforeAutospacing="0" w:after="0" w:afterAutospacing="0"/>
              <w:ind w:left="0" w:right="0"/>
              <w:rPr>
                <w:rFonts w:hint="eastAsia" w:ascii="仿宋" w:hAnsi="仿宋" w:eastAsia="仿宋" w:cs="宋体"/>
                <w:color w:val="auto"/>
                <w:sz w:val="20"/>
                <w:szCs w:val="20"/>
                <w:lang w:eastAsia="zh-CN"/>
              </w:rPr>
            </w:pPr>
            <w:r>
              <w:rPr>
                <w:rFonts w:hint="eastAsia" w:ascii="仿宋" w:hAnsi="仿宋" w:eastAsia="仿宋" w:cs="宋体"/>
                <w:color w:val="auto"/>
                <w:sz w:val="20"/>
                <w:szCs w:val="20"/>
              </w:rPr>
              <w:t>（4）</w:t>
            </w:r>
            <w:r>
              <w:rPr>
                <w:rFonts w:hint="eastAsia" w:ascii="仿宋" w:hAnsi="仿宋" w:eastAsia="仿宋" w:cs="宋体"/>
                <w:color w:val="auto"/>
                <w:sz w:val="20"/>
                <w:szCs w:val="20"/>
                <w:lang w:val="en-US" w:eastAsia="zh-CN"/>
              </w:rPr>
              <w:t>其他</w:t>
            </w:r>
            <w:r>
              <w:rPr>
                <w:rFonts w:hint="eastAsia" w:ascii="仿宋" w:hAnsi="仿宋" w:eastAsia="仿宋" w:cs="宋体"/>
                <w:color w:val="auto"/>
                <w:sz w:val="20"/>
                <w:szCs w:val="20"/>
              </w:rPr>
              <w:t>安装保障措施：</w:t>
            </w:r>
            <w:r>
              <w:rPr>
                <w:rFonts w:hint="eastAsia" w:ascii="仿宋" w:hAnsi="仿宋" w:eastAsia="仿宋" w:cs="宋体"/>
                <w:color w:val="auto"/>
                <w:sz w:val="20"/>
                <w:szCs w:val="20"/>
                <w:lang w:val="en-US" w:eastAsia="zh-CN"/>
              </w:rPr>
              <w:t>运输方案及车辆安排、</w:t>
            </w:r>
            <w:r>
              <w:rPr>
                <w:rFonts w:hint="eastAsia" w:ascii="仿宋" w:hAnsi="仿宋" w:eastAsia="仿宋" w:cs="宋体"/>
                <w:color w:val="auto"/>
                <w:sz w:val="20"/>
                <w:szCs w:val="20"/>
              </w:rPr>
              <w:t>灯具</w:t>
            </w:r>
            <w:r>
              <w:rPr>
                <w:rFonts w:hint="default" w:ascii="仿宋" w:hAnsi="仿宋" w:eastAsia="仿宋" w:cs="宋体"/>
                <w:color w:val="auto"/>
                <w:sz w:val="20"/>
                <w:szCs w:val="20"/>
              </w:rPr>
              <w:t>安装中</w:t>
            </w:r>
            <w:r>
              <w:rPr>
                <w:rFonts w:hint="eastAsia" w:ascii="仿宋" w:hAnsi="仿宋" w:eastAsia="仿宋" w:cs="宋体"/>
                <w:color w:val="auto"/>
                <w:sz w:val="20"/>
                <w:szCs w:val="20"/>
              </w:rPr>
              <w:t>文明施工及环境保护、</w:t>
            </w:r>
            <w:r>
              <w:rPr>
                <w:rFonts w:hint="default" w:ascii="仿宋" w:hAnsi="仿宋" w:eastAsia="仿宋" w:cs="宋体"/>
                <w:color w:val="auto"/>
                <w:sz w:val="20"/>
                <w:szCs w:val="20"/>
              </w:rPr>
              <w:t>达标检测等每一个环节的</w:t>
            </w:r>
            <w:r>
              <w:rPr>
                <w:rFonts w:hint="eastAsia" w:ascii="仿宋" w:hAnsi="仿宋" w:eastAsia="仿宋" w:cs="宋体"/>
                <w:color w:val="auto"/>
                <w:sz w:val="20"/>
                <w:szCs w:val="20"/>
              </w:rPr>
              <w:t>保障，</w:t>
            </w:r>
            <w:r>
              <w:rPr>
                <w:rFonts w:hint="default" w:ascii="仿宋" w:hAnsi="仿宋" w:eastAsia="仿宋" w:cs="宋体"/>
                <w:color w:val="auto"/>
                <w:sz w:val="20"/>
                <w:szCs w:val="20"/>
              </w:rPr>
              <w:t>内容完全满足本项目要求且</w:t>
            </w:r>
            <w:r>
              <w:rPr>
                <w:rFonts w:hint="eastAsia" w:ascii="仿宋" w:hAnsi="仿宋" w:eastAsia="仿宋" w:cs="宋体"/>
                <w:color w:val="auto"/>
                <w:sz w:val="20"/>
                <w:szCs w:val="20"/>
                <w:lang w:val="en-US" w:eastAsia="zh-CN"/>
              </w:rPr>
              <w:t>符合本项目实际要求及特点的</w:t>
            </w:r>
            <w:r>
              <w:rPr>
                <w:rFonts w:hint="default" w:ascii="仿宋" w:hAnsi="仿宋" w:eastAsia="仿宋" w:cs="宋体"/>
                <w:color w:val="auto"/>
                <w:sz w:val="20"/>
                <w:szCs w:val="20"/>
              </w:rPr>
              <w:t>得</w:t>
            </w:r>
            <w:r>
              <w:rPr>
                <w:rFonts w:hint="eastAsia" w:ascii="仿宋" w:hAnsi="仿宋" w:eastAsia="仿宋" w:cs="宋体"/>
                <w:color w:val="auto"/>
                <w:sz w:val="20"/>
                <w:szCs w:val="20"/>
                <w:lang w:val="en-US" w:eastAsia="zh-CN"/>
              </w:rPr>
              <w:t>3</w:t>
            </w:r>
            <w:r>
              <w:rPr>
                <w:rFonts w:hint="default" w:ascii="仿宋" w:hAnsi="仿宋" w:eastAsia="仿宋" w:cs="宋体"/>
                <w:color w:val="auto"/>
                <w:sz w:val="20"/>
                <w:szCs w:val="20"/>
              </w:rPr>
              <w:t>分，内容</w:t>
            </w:r>
            <w:r>
              <w:rPr>
                <w:rFonts w:hint="eastAsia" w:ascii="仿宋" w:hAnsi="仿宋" w:eastAsia="仿宋" w:cs="宋体"/>
                <w:color w:val="auto"/>
                <w:sz w:val="20"/>
                <w:szCs w:val="20"/>
                <w:lang w:val="en-US" w:eastAsia="zh-CN"/>
              </w:rPr>
              <w:t>每有一项</w:t>
            </w:r>
            <w:r>
              <w:rPr>
                <w:rFonts w:hint="default" w:ascii="仿宋" w:hAnsi="仿宋" w:eastAsia="仿宋" w:cs="宋体"/>
                <w:color w:val="auto"/>
                <w:sz w:val="20"/>
                <w:szCs w:val="20"/>
              </w:rPr>
              <w:t>存</w:t>
            </w:r>
            <w:r>
              <w:rPr>
                <w:rFonts w:hint="eastAsia" w:ascii="仿宋" w:hAnsi="仿宋" w:eastAsia="仿宋" w:cs="宋体"/>
                <w:color w:val="auto"/>
                <w:sz w:val="20"/>
                <w:szCs w:val="20"/>
              </w:rPr>
              <w:t>在</w:t>
            </w:r>
            <w:r>
              <w:rPr>
                <w:rFonts w:hint="default" w:ascii="仿宋" w:hAnsi="仿宋" w:eastAsia="仿宋" w:cs="宋体"/>
                <w:color w:val="auto"/>
                <w:sz w:val="20"/>
                <w:szCs w:val="20"/>
              </w:rPr>
              <w:t>缺失</w:t>
            </w:r>
            <w:r>
              <w:rPr>
                <w:rFonts w:hint="eastAsia" w:ascii="仿宋" w:hAnsi="仿宋" w:eastAsia="仿宋" w:cs="宋体"/>
                <w:color w:val="auto"/>
                <w:sz w:val="20"/>
                <w:szCs w:val="20"/>
              </w:rPr>
              <w:t>的</w:t>
            </w:r>
            <w:r>
              <w:rPr>
                <w:rFonts w:hint="eastAsia" w:ascii="仿宋" w:hAnsi="仿宋" w:eastAsia="仿宋" w:cs="宋体"/>
                <w:color w:val="auto"/>
                <w:sz w:val="20"/>
                <w:szCs w:val="20"/>
                <w:lang w:val="en-US" w:eastAsia="zh-CN"/>
              </w:rPr>
              <w:t>扣1分</w:t>
            </w:r>
            <w:r>
              <w:rPr>
                <w:rFonts w:hint="eastAsia" w:ascii="仿宋" w:hAnsi="仿宋" w:eastAsia="仿宋" w:cs="宋体"/>
                <w:color w:val="auto"/>
                <w:sz w:val="20"/>
                <w:szCs w:val="20"/>
              </w:rPr>
              <w:t>，每</w:t>
            </w:r>
            <w:r>
              <w:rPr>
                <w:rFonts w:hint="eastAsia" w:ascii="仿宋" w:hAnsi="仿宋" w:eastAsia="仿宋" w:cs="宋体"/>
                <w:color w:val="auto"/>
                <w:sz w:val="20"/>
                <w:szCs w:val="20"/>
                <w:lang w:val="en-US" w:eastAsia="zh-CN"/>
              </w:rPr>
              <w:t>有一处</w:t>
            </w:r>
            <w:r>
              <w:rPr>
                <w:rFonts w:hint="eastAsia" w:ascii="仿宋" w:hAnsi="仿宋" w:eastAsia="仿宋" w:cs="宋体"/>
                <w:color w:val="auto"/>
                <w:sz w:val="20"/>
                <w:szCs w:val="20"/>
              </w:rPr>
              <w:t>内容存在错误或不足的</w:t>
            </w:r>
            <w:r>
              <w:rPr>
                <w:rFonts w:hint="default" w:ascii="仿宋" w:hAnsi="仿宋" w:eastAsia="仿宋" w:cs="宋体"/>
                <w:color w:val="auto"/>
                <w:sz w:val="20"/>
                <w:szCs w:val="20"/>
              </w:rPr>
              <w:t>扣</w:t>
            </w:r>
            <w:r>
              <w:rPr>
                <w:rFonts w:hint="eastAsia" w:ascii="仿宋" w:hAnsi="仿宋" w:eastAsia="仿宋" w:cs="宋体"/>
                <w:color w:val="auto"/>
                <w:sz w:val="20"/>
                <w:szCs w:val="20"/>
                <w:lang w:val="en-US" w:eastAsia="zh-CN"/>
              </w:rPr>
              <w:t>0.5</w:t>
            </w:r>
            <w:r>
              <w:rPr>
                <w:rFonts w:hint="default" w:ascii="仿宋" w:hAnsi="仿宋" w:eastAsia="仿宋" w:cs="宋体"/>
                <w:color w:val="auto"/>
                <w:sz w:val="20"/>
                <w:szCs w:val="20"/>
              </w:rPr>
              <w:t>分</w:t>
            </w:r>
            <w:r>
              <w:rPr>
                <w:rFonts w:hint="eastAsia" w:ascii="仿宋" w:hAnsi="仿宋" w:eastAsia="仿宋" w:cs="宋体"/>
                <w:color w:val="auto"/>
                <w:sz w:val="20"/>
                <w:szCs w:val="20"/>
                <w:lang w:eastAsia="zh-CN"/>
              </w:rPr>
              <w:t>（</w:t>
            </w:r>
            <w:r>
              <w:rPr>
                <w:rFonts w:hint="eastAsia" w:ascii="仿宋" w:hAnsi="仿宋" w:eastAsia="仿宋" w:cs="宋体"/>
                <w:color w:val="auto"/>
                <w:sz w:val="20"/>
                <w:szCs w:val="20"/>
                <w:lang w:val="en-US" w:eastAsia="zh-CN"/>
              </w:rPr>
              <w:t>每一项最多扣1分</w:t>
            </w:r>
            <w:r>
              <w:rPr>
                <w:rFonts w:hint="eastAsia" w:ascii="仿宋" w:hAnsi="仿宋" w:eastAsia="仿宋" w:cs="宋体"/>
                <w:color w:val="auto"/>
                <w:sz w:val="20"/>
                <w:szCs w:val="20"/>
                <w:lang w:eastAsia="zh-CN"/>
              </w:rPr>
              <w:t>）</w:t>
            </w:r>
            <w:r>
              <w:rPr>
                <w:rFonts w:hint="default" w:ascii="仿宋" w:hAnsi="仿宋" w:eastAsia="仿宋" w:cs="宋体"/>
                <w:color w:val="auto"/>
                <w:sz w:val="20"/>
                <w:szCs w:val="20"/>
              </w:rPr>
              <w:t>，</w:t>
            </w:r>
            <w:r>
              <w:rPr>
                <w:rFonts w:hint="eastAsia" w:ascii="仿宋" w:hAnsi="仿宋" w:eastAsia="仿宋" w:cs="宋体"/>
                <w:color w:val="auto"/>
                <w:sz w:val="20"/>
                <w:szCs w:val="20"/>
              </w:rPr>
              <w:t>扣完</w:t>
            </w:r>
            <w:r>
              <w:rPr>
                <w:rFonts w:hint="eastAsia" w:ascii="仿宋" w:hAnsi="仿宋" w:eastAsia="仿宋" w:cs="宋体"/>
                <w:color w:val="auto"/>
                <w:sz w:val="20"/>
                <w:szCs w:val="20"/>
                <w:lang w:val="en-US" w:eastAsia="zh-CN"/>
              </w:rPr>
              <w:t>3</w:t>
            </w:r>
            <w:r>
              <w:rPr>
                <w:rFonts w:hint="eastAsia" w:ascii="仿宋" w:hAnsi="仿宋" w:eastAsia="仿宋" w:cs="宋体"/>
                <w:color w:val="auto"/>
                <w:sz w:val="20"/>
                <w:szCs w:val="20"/>
              </w:rPr>
              <w:t>分为止</w:t>
            </w:r>
            <w:r>
              <w:rPr>
                <w:rFonts w:hint="eastAsia" w:ascii="仿宋" w:hAnsi="仿宋" w:eastAsia="仿宋" w:cs="宋体"/>
                <w:color w:val="auto"/>
                <w:sz w:val="20"/>
                <w:szCs w:val="20"/>
                <w:lang w:eastAsia="zh-CN"/>
              </w:rPr>
              <w:t>；</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p>
          <w:p>
            <w:pPr>
              <w:pStyle w:val="2"/>
              <w:keepNext w:val="0"/>
              <w:keepLines w:val="0"/>
              <w:suppressLineNumbers w:val="0"/>
              <w:spacing w:beforeAutospacing="0" w:afterAutospacing="0"/>
              <w:ind w:right="0"/>
              <w:rPr>
                <w:rFonts w:hint="default" w:ascii="仿宋" w:hAnsi="仿宋" w:eastAsia="仿宋" w:cs="宋体"/>
                <w:color w:val="auto"/>
                <w:sz w:val="20"/>
                <w:szCs w:val="20"/>
              </w:rPr>
            </w:pPr>
            <w:r>
              <w:rPr>
                <w:rFonts w:hint="eastAsia" w:ascii="仿宋" w:hAnsi="仿宋" w:eastAsia="仿宋" w:cs="宋体"/>
                <w:color w:val="auto"/>
                <w:sz w:val="20"/>
                <w:szCs w:val="20"/>
              </w:rPr>
              <w:t>根据以上</w:t>
            </w:r>
            <w:r>
              <w:rPr>
                <w:rFonts w:hint="default" w:ascii="仿宋" w:hAnsi="仿宋" w:eastAsia="仿宋" w:cs="宋体"/>
                <w:color w:val="auto"/>
                <w:sz w:val="20"/>
                <w:szCs w:val="20"/>
              </w:rPr>
              <w:t>4</w:t>
            </w:r>
            <w:r>
              <w:rPr>
                <w:rFonts w:hint="eastAsia" w:ascii="仿宋" w:hAnsi="仿宋" w:eastAsia="仿宋" w:cs="宋体"/>
                <w:color w:val="auto"/>
                <w:sz w:val="20"/>
                <w:szCs w:val="20"/>
              </w:rPr>
              <w:t>项方案内容，能够额外提供针对本项目的建设实施方案，且更有利于项目的展开、有利于教学的开展、受众群体的使用及接受、设备设施的维护，如针对学校教室环境，如何在不影响美观或结合原有教室设备的基础上做到质量的保障等，每有一项加</w:t>
            </w:r>
            <w:r>
              <w:rPr>
                <w:rFonts w:hint="default" w:ascii="仿宋" w:hAnsi="仿宋" w:eastAsia="仿宋" w:cs="宋体"/>
                <w:color w:val="auto"/>
                <w:sz w:val="20"/>
                <w:szCs w:val="20"/>
              </w:rPr>
              <w:t>2</w:t>
            </w:r>
            <w:r>
              <w:rPr>
                <w:rFonts w:hint="eastAsia" w:ascii="仿宋" w:hAnsi="仿宋" w:eastAsia="仿宋" w:cs="宋体"/>
                <w:color w:val="auto"/>
                <w:sz w:val="20"/>
                <w:szCs w:val="20"/>
                <w:lang w:eastAsia="zh-CN"/>
              </w:rPr>
              <w:t>、</w:t>
            </w:r>
            <w:r>
              <w:rPr>
                <w:rFonts w:hint="eastAsia" w:ascii="仿宋" w:hAnsi="仿宋" w:eastAsia="仿宋" w:cs="宋体"/>
                <w:color w:val="auto"/>
                <w:sz w:val="20"/>
                <w:szCs w:val="20"/>
                <w:lang w:val="en-US" w:eastAsia="zh-CN"/>
              </w:rPr>
              <w:t>5</w:t>
            </w:r>
            <w:r>
              <w:rPr>
                <w:rFonts w:hint="eastAsia" w:ascii="仿宋" w:hAnsi="仿宋" w:eastAsia="仿宋" w:cs="宋体"/>
                <w:color w:val="auto"/>
                <w:sz w:val="20"/>
                <w:szCs w:val="20"/>
              </w:rPr>
              <w:t>分，最多加</w:t>
            </w:r>
            <w:r>
              <w:rPr>
                <w:rFonts w:hint="eastAsia" w:ascii="仿宋" w:hAnsi="仿宋" w:eastAsia="仿宋" w:cs="宋体"/>
                <w:color w:val="auto"/>
                <w:sz w:val="20"/>
                <w:szCs w:val="20"/>
                <w:lang w:val="en-US" w:eastAsia="zh-CN"/>
              </w:rPr>
              <w:t>10</w:t>
            </w:r>
            <w:r>
              <w:rPr>
                <w:rFonts w:hint="eastAsia" w:ascii="仿宋" w:hAnsi="仿宋" w:eastAsia="仿宋" w:cs="宋体"/>
                <w:color w:val="auto"/>
                <w:sz w:val="20"/>
                <w:szCs w:val="20"/>
              </w:rPr>
              <w:t>分。</w:t>
            </w:r>
          </w:p>
          <w:p>
            <w:pPr>
              <w:pStyle w:val="2"/>
              <w:keepNext w:val="0"/>
              <w:keepLines w:val="0"/>
              <w:suppressLineNumbers w:val="0"/>
              <w:spacing w:beforeAutospacing="0" w:afterAutospacing="0"/>
              <w:ind w:right="0"/>
              <w:rPr>
                <w:rFonts w:hint="default" w:ascii="仿宋" w:hAnsi="仿宋" w:eastAsia="仿宋" w:cs="宋体"/>
                <w:color w:val="auto"/>
                <w:sz w:val="20"/>
                <w:szCs w:val="20"/>
              </w:rPr>
            </w:pPr>
            <w:r>
              <w:rPr>
                <w:rFonts w:hint="eastAsia" w:ascii="仿宋" w:hAnsi="仿宋" w:eastAsia="仿宋" w:cs="宋体"/>
                <w:color w:val="auto"/>
                <w:sz w:val="20"/>
                <w:szCs w:val="20"/>
              </w:rPr>
              <w:t>说明：内容存在错误指内容脱离项目实际情况或与项目无关的或与项目不匹配或项目名称、实施地点、涉及的规范、技术标准要求与本项目不一致等情形，以评审专家结合项目实际情况和响应文件独立评审为准。</w:t>
            </w:r>
          </w:p>
        </w:tc>
        <w:tc>
          <w:tcPr>
            <w:tcW w:w="675"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375" w:type="pct"/>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宋体"/>
                <w:color w:val="auto"/>
                <w:sz w:val="20"/>
                <w:szCs w:val="20"/>
                <w:lang w:eastAsia="zh-CN"/>
              </w:rPr>
            </w:pPr>
            <w:r>
              <w:rPr>
                <w:rFonts w:hint="eastAsia" w:ascii="仿宋" w:hAnsi="仿宋" w:eastAsia="仿宋" w:cs="宋体"/>
                <w:color w:val="auto"/>
                <w:sz w:val="20"/>
                <w:szCs w:val="20"/>
                <w:lang w:val="en-US" w:eastAsia="zh-CN"/>
              </w:rPr>
              <w:t>7</w:t>
            </w:r>
          </w:p>
        </w:tc>
        <w:tc>
          <w:tcPr>
            <w:tcW w:w="624"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售后服务方案</w:t>
            </w:r>
          </w:p>
        </w:tc>
        <w:tc>
          <w:tcPr>
            <w:tcW w:w="535"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default" w:ascii="仿宋" w:hAnsi="仿宋" w:eastAsia="仿宋" w:cs="宋体"/>
                <w:color w:val="auto"/>
                <w:sz w:val="20"/>
                <w:szCs w:val="20"/>
              </w:rPr>
              <w:t>10</w:t>
            </w:r>
            <w:r>
              <w:rPr>
                <w:rFonts w:hint="eastAsia" w:ascii="仿宋" w:hAnsi="仿宋" w:eastAsia="仿宋" w:cs="宋体"/>
                <w:color w:val="auto"/>
                <w:sz w:val="20"/>
                <w:szCs w:val="20"/>
              </w:rPr>
              <w:t>分</w:t>
            </w:r>
          </w:p>
        </w:tc>
        <w:tc>
          <w:tcPr>
            <w:tcW w:w="2788" w:type="pct"/>
            <w:noWrap w:val="0"/>
            <w:vAlign w:val="center"/>
          </w:tcPr>
          <w:p>
            <w:pPr>
              <w:keepNext w:val="0"/>
              <w:keepLines w:val="0"/>
              <w:widowControl/>
              <w:suppressLineNumbers w:val="0"/>
              <w:spacing w:before="0" w:beforeAutospacing="0" w:after="0" w:afterAutospacing="0"/>
              <w:ind w:left="0" w:right="0"/>
              <w:rPr>
                <w:rFonts w:hint="eastAsia" w:ascii="仿宋" w:hAnsi="仿宋" w:eastAsia="仿宋" w:cs="宋体"/>
                <w:color w:val="auto"/>
                <w:sz w:val="20"/>
                <w:szCs w:val="20"/>
                <w:lang w:eastAsia="zh-CN"/>
              </w:rPr>
            </w:pPr>
            <w:r>
              <w:rPr>
                <w:rFonts w:hint="default" w:ascii="仿宋" w:hAnsi="仿宋" w:eastAsia="仿宋" w:cs="宋体"/>
                <w:color w:val="auto"/>
                <w:sz w:val="20"/>
                <w:szCs w:val="20"/>
              </w:rPr>
              <w:t>根据投标人为本项目制定的售后服务方案打分，方案包括（1）应急措施</w:t>
            </w:r>
            <w:r>
              <w:rPr>
                <w:rFonts w:hint="eastAsia" w:ascii="仿宋" w:hAnsi="仿宋" w:eastAsia="仿宋" w:cs="宋体"/>
                <w:color w:val="auto"/>
                <w:sz w:val="20"/>
                <w:szCs w:val="20"/>
              </w:rPr>
              <w:t>及预案</w:t>
            </w:r>
            <w:r>
              <w:rPr>
                <w:rFonts w:hint="default" w:ascii="仿宋" w:hAnsi="仿宋" w:eastAsia="仿宋" w:cs="宋体"/>
                <w:color w:val="auto"/>
                <w:sz w:val="20"/>
                <w:szCs w:val="20"/>
              </w:rPr>
              <w:t>；（2）售后服务网点</w:t>
            </w:r>
            <w:r>
              <w:rPr>
                <w:rFonts w:hint="eastAsia" w:ascii="仿宋" w:hAnsi="仿宋" w:eastAsia="仿宋" w:cs="宋体"/>
                <w:color w:val="auto"/>
                <w:sz w:val="20"/>
                <w:szCs w:val="20"/>
              </w:rPr>
              <w:t>、</w:t>
            </w:r>
            <w:r>
              <w:rPr>
                <w:rFonts w:hint="default" w:ascii="仿宋" w:hAnsi="仿宋" w:eastAsia="仿宋" w:cs="宋体"/>
                <w:color w:val="auto"/>
                <w:sz w:val="20"/>
                <w:szCs w:val="20"/>
              </w:rPr>
              <w:t>售后服务流程及售后服务人员安排及相关设施设备；（3）</w:t>
            </w:r>
            <w:r>
              <w:rPr>
                <w:rFonts w:hint="eastAsia" w:ascii="仿宋" w:hAnsi="仿宋" w:eastAsia="仿宋" w:cs="宋体"/>
                <w:color w:val="auto"/>
                <w:sz w:val="20"/>
                <w:szCs w:val="20"/>
                <w:lang w:val="en-US" w:eastAsia="zh-CN"/>
              </w:rPr>
              <w:t>备品备件</w:t>
            </w:r>
            <w:r>
              <w:rPr>
                <w:rFonts w:hint="default" w:ascii="仿宋" w:hAnsi="仿宋" w:eastAsia="仿宋" w:cs="宋体"/>
                <w:color w:val="auto"/>
                <w:sz w:val="20"/>
                <w:szCs w:val="20"/>
              </w:rPr>
              <w:t>供应和响应保障；（4）质保期外售后措施及其他附加服务；（5）</w:t>
            </w:r>
            <w:r>
              <w:rPr>
                <w:rFonts w:hint="eastAsia" w:ascii="仿宋" w:hAnsi="仿宋" w:eastAsia="仿宋" w:cs="宋体"/>
                <w:color w:val="auto"/>
                <w:sz w:val="20"/>
                <w:szCs w:val="20"/>
              </w:rPr>
              <w:t>培训</w:t>
            </w:r>
            <w:r>
              <w:rPr>
                <w:rFonts w:hint="default" w:ascii="仿宋" w:hAnsi="仿宋" w:eastAsia="仿宋" w:cs="宋体"/>
                <w:color w:val="auto"/>
                <w:sz w:val="20"/>
                <w:szCs w:val="20"/>
              </w:rPr>
              <w:t>方案</w:t>
            </w:r>
            <w:r>
              <w:rPr>
                <w:rFonts w:hint="eastAsia" w:ascii="仿宋" w:hAnsi="仿宋" w:eastAsia="仿宋" w:cs="宋体"/>
                <w:color w:val="auto"/>
                <w:sz w:val="20"/>
                <w:szCs w:val="20"/>
              </w:rPr>
              <w:t>及措施，整体方案描述完善合理，内容齐全且无明显逻辑错误的得</w:t>
            </w:r>
            <w:r>
              <w:rPr>
                <w:rFonts w:hint="default" w:ascii="仿宋" w:hAnsi="仿宋" w:eastAsia="仿宋" w:cs="宋体"/>
                <w:color w:val="auto"/>
                <w:sz w:val="20"/>
                <w:szCs w:val="20"/>
              </w:rPr>
              <w:t>5</w:t>
            </w:r>
            <w:r>
              <w:rPr>
                <w:rFonts w:hint="eastAsia" w:ascii="仿宋" w:hAnsi="仿宋" w:eastAsia="仿宋" w:cs="宋体"/>
                <w:color w:val="auto"/>
                <w:sz w:val="20"/>
                <w:szCs w:val="20"/>
              </w:rPr>
              <w:t>分，</w:t>
            </w:r>
            <w:r>
              <w:rPr>
                <w:rFonts w:hint="default" w:ascii="仿宋" w:hAnsi="仿宋" w:eastAsia="仿宋" w:cs="宋体"/>
                <w:color w:val="auto"/>
                <w:sz w:val="20"/>
                <w:szCs w:val="20"/>
              </w:rPr>
              <w:t>内容完全满足本项目要求且</w:t>
            </w:r>
            <w:r>
              <w:rPr>
                <w:rFonts w:hint="eastAsia" w:ascii="仿宋" w:hAnsi="仿宋" w:eastAsia="仿宋" w:cs="宋体"/>
                <w:color w:val="auto"/>
                <w:sz w:val="20"/>
                <w:szCs w:val="20"/>
                <w:lang w:val="en-US" w:eastAsia="zh-CN"/>
              </w:rPr>
              <w:t>符合本项目实际要求及特点的</w:t>
            </w:r>
            <w:r>
              <w:rPr>
                <w:rFonts w:hint="default" w:ascii="仿宋" w:hAnsi="仿宋" w:eastAsia="仿宋" w:cs="宋体"/>
                <w:color w:val="auto"/>
                <w:sz w:val="20"/>
                <w:szCs w:val="20"/>
              </w:rPr>
              <w:t>得</w:t>
            </w:r>
            <w:r>
              <w:rPr>
                <w:rFonts w:hint="eastAsia" w:ascii="仿宋" w:hAnsi="仿宋" w:eastAsia="仿宋" w:cs="宋体"/>
                <w:color w:val="auto"/>
                <w:sz w:val="20"/>
                <w:szCs w:val="20"/>
                <w:lang w:val="en-US" w:eastAsia="zh-CN"/>
              </w:rPr>
              <w:t>5</w:t>
            </w:r>
            <w:r>
              <w:rPr>
                <w:rFonts w:hint="default" w:ascii="仿宋" w:hAnsi="仿宋" w:eastAsia="仿宋" w:cs="宋体"/>
                <w:color w:val="auto"/>
                <w:sz w:val="20"/>
                <w:szCs w:val="20"/>
              </w:rPr>
              <w:t>分，内容</w:t>
            </w:r>
            <w:r>
              <w:rPr>
                <w:rFonts w:hint="eastAsia" w:ascii="仿宋" w:hAnsi="仿宋" w:eastAsia="仿宋" w:cs="宋体"/>
                <w:color w:val="auto"/>
                <w:sz w:val="20"/>
                <w:szCs w:val="20"/>
                <w:lang w:val="en-US" w:eastAsia="zh-CN"/>
              </w:rPr>
              <w:t>每有一项</w:t>
            </w:r>
            <w:r>
              <w:rPr>
                <w:rFonts w:hint="default" w:ascii="仿宋" w:hAnsi="仿宋" w:eastAsia="仿宋" w:cs="宋体"/>
                <w:color w:val="auto"/>
                <w:sz w:val="20"/>
                <w:szCs w:val="20"/>
              </w:rPr>
              <w:t>存</w:t>
            </w:r>
            <w:r>
              <w:rPr>
                <w:rFonts w:hint="eastAsia" w:ascii="仿宋" w:hAnsi="仿宋" w:eastAsia="仿宋" w:cs="宋体"/>
                <w:color w:val="auto"/>
                <w:sz w:val="20"/>
                <w:szCs w:val="20"/>
              </w:rPr>
              <w:t>在</w:t>
            </w:r>
            <w:r>
              <w:rPr>
                <w:rFonts w:hint="default" w:ascii="仿宋" w:hAnsi="仿宋" w:eastAsia="仿宋" w:cs="宋体"/>
                <w:color w:val="auto"/>
                <w:sz w:val="20"/>
                <w:szCs w:val="20"/>
              </w:rPr>
              <w:t>缺失</w:t>
            </w:r>
            <w:r>
              <w:rPr>
                <w:rFonts w:hint="eastAsia" w:ascii="仿宋" w:hAnsi="仿宋" w:eastAsia="仿宋" w:cs="宋体"/>
                <w:color w:val="auto"/>
                <w:sz w:val="20"/>
                <w:szCs w:val="20"/>
              </w:rPr>
              <w:t>的</w:t>
            </w:r>
            <w:r>
              <w:rPr>
                <w:rFonts w:hint="eastAsia" w:ascii="仿宋" w:hAnsi="仿宋" w:eastAsia="仿宋" w:cs="宋体"/>
                <w:color w:val="auto"/>
                <w:sz w:val="20"/>
                <w:szCs w:val="20"/>
                <w:lang w:val="en-US" w:eastAsia="zh-CN"/>
              </w:rPr>
              <w:t>扣1分</w:t>
            </w:r>
            <w:r>
              <w:rPr>
                <w:rFonts w:hint="eastAsia" w:ascii="仿宋" w:hAnsi="仿宋" w:eastAsia="仿宋" w:cs="宋体"/>
                <w:color w:val="auto"/>
                <w:sz w:val="20"/>
                <w:szCs w:val="20"/>
              </w:rPr>
              <w:t>，每</w:t>
            </w:r>
            <w:r>
              <w:rPr>
                <w:rFonts w:hint="eastAsia" w:ascii="仿宋" w:hAnsi="仿宋" w:eastAsia="仿宋" w:cs="宋体"/>
                <w:color w:val="auto"/>
                <w:sz w:val="20"/>
                <w:szCs w:val="20"/>
                <w:lang w:val="en-US" w:eastAsia="zh-CN"/>
              </w:rPr>
              <w:t>有一处</w:t>
            </w:r>
            <w:r>
              <w:rPr>
                <w:rFonts w:hint="eastAsia" w:ascii="仿宋" w:hAnsi="仿宋" w:eastAsia="仿宋" w:cs="宋体"/>
                <w:color w:val="auto"/>
                <w:sz w:val="20"/>
                <w:szCs w:val="20"/>
              </w:rPr>
              <w:t>内容存在错误或不足的</w:t>
            </w:r>
            <w:r>
              <w:rPr>
                <w:rFonts w:hint="default" w:ascii="仿宋" w:hAnsi="仿宋" w:eastAsia="仿宋" w:cs="宋体"/>
                <w:color w:val="auto"/>
                <w:sz w:val="20"/>
                <w:szCs w:val="20"/>
              </w:rPr>
              <w:t>扣</w:t>
            </w:r>
            <w:r>
              <w:rPr>
                <w:rFonts w:hint="eastAsia" w:ascii="仿宋" w:hAnsi="仿宋" w:eastAsia="仿宋" w:cs="宋体"/>
                <w:color w:val="auto"/>
                <w:sz w:val="20"/>
                <w:szCs w:val="20"/>
                <w:lang w:val="en-US" w:eastAsia="zh-CN"/>
              </w:rPr>
              <w:t>0.5</w:t>
            </w:r>
            <w:r>
              <w:rPr>
                <w:rFonts w:hint="default" w:ascii="仿宋" w:hAnsi="仿宋" w:eastAsia="仿宋" w:cs="宋体"/>
                <w:color w:val="auto"/>
                <w:sz w:val="20"/>
                <w:szCs w:val="20"/>
              </w:rPr>
              <w:t>分</w:t>
            </w:r>
            <w:r>
              <w:rPr>
                <w:rFonts w:hint="eastAsia" w:ascii="仿宋" w:hAnsi="仿宋" w:eastAsia="仿宋" w:cs="宋体"/>
                <w:color w:val="auto"/>
                <w:sz w:val="20"/>
                <w:szCs w:val="20"/>
                <w:lang w:eastAsia="zh-CN"/>
              </w:rPr>
              <w:t>（</w:t>
            </w:r>
            <w:r>
              <w:rPr>
                <w:rFonts w:hint="eastAsia" w:ascii="仿宋" w:hAnsi="仿宋" w:eastAsia="仿宋" w:cs="宋体"/>
                <w:color w:val="auto"/>
                <w:sz w:val="20"/>
                <w:szCs w:val="20"/>
                <w:lang w:val="en-US" w:eastAsia="zh-CN"/>
              </w:rPr>
              <w:t>每一项最多扣1分</w:t>
            </w:r>
            <w:r>
              <w:rPr>
                <w:rFonts w:hint="eastAsia" w:ascii="仿宋" w:hAnsi="仿宋" w:eastAsia="仿宋" w:cs="宋体"/>
                <w:color w:val="auto"/>
                <w:sz w:val="20"/>
                <w:szCs w:val="20"/>
                <w:lang w:eastAsia="zh-CN"/>
              </w:rPr>
              <w:t>）</w:t>
            </w:r>
            <w:r>
              <w:rPr>
                <w:rFonts w:hint="default" w:ascii="仿宋" w:hAnsi="仿宋" w:eastAsia="仿宋" w:cs="宋体"/>
                <w:color w:val="auto"/>
                <w:sz w:val="20"/>
                <w:szCs w:val="20"/>
              </w:rPr>
              <w:t>，</w:t>
            </w:r>
            <w:r>
              <w:rPr>
                <w:rFonts w:hint="eastAsia" w:ascii="仿宋" w:hAnsi="仿宋" w:eastAsia="仿宋" w:cs="宋体"/>
                <w:color w:val="auto"/>
                <w:sz w:val="20"/>
                <w:szCs w:val="20"/>
              </w:rPr>
              <w:t>扣完</w:t>
            </w:r>
            <w:r>
              <w:rPr>
                <w:rFonts w:hint="eastAsia" w:ascii="仿宋" w:hAnsi="仿宋" w:eastAsia="仿宋" w:cs="宋体"/>
                <w:color w:val="auto"/>
                <w:sz w:val="20"/>
                <w:szCs w:val="20"/>
                <w:lang w:val="en-US" w:eastAsia="zh-CN"/>
              </w:rPr>
              <w:t>5</w:t>
            </w:r>
            <w:r>
              <w:rPr>
                <w:rFonts w:hint="eastAsia" w:ascii="仿宋" w:hAnsi="仿宋" w:eastAsia="仿宋" w:cs="宋体"/>
                <w:color w:val="auto"/>
                <w:sz w:val="20"/>
                <w:szCs w:val="20"/>
              </w:rPr>
              <w:t>分为止</w:t>
            </w:r>
            <w:r>
              <w:rPr>
                <w:rFonts w:hint="eastAsia" w:ascii="仿宋" w:hAnsi="仿宋" w:eastAsia="仿宋" w:cs="宋体"/>
                <w:color w:val="auto"/>
                <w:sz w:val="20"/>
                <w:szCs w:val="20"/>
                <w:lang w:eastAsia="zh-CN"/>
              </w:rPr>
              <w:t>；</w:t>
            </w:r>
          </w:p>
          <w:p>
            <w:pPr>
              <w:keepNext w:val="0"/>
              <w:keepLines w:val="0"/>
              <w:widowControl/>
              <w:suppressLineNumbers w:val="0"/>
              <w:spacing w:before="0" w:beforeAutospacing="0" w:after="0" w:afterAutospacing="0"/>
              <w:ind w:left="0" w:right="0"/>
              <w:rPr>
                <w:rFonts w:hint="default" w:ascii="Times New Roman" w:hAnsi="Times New Roman" w:eastAsia="宋体" w:cs="Times New Roman"/>
                <w:sz w:val="20"/>
                <w:szCs w:val="20"/>
              </w:rPr>
            </w:pPr>
            <w:r>
              <w:rPr>
                <w:rFonts w:hint="default" w:ascii="仿宋" w:hAnsi="仿宋" w:eastAsia="仿宋" w:cs="宋体"/>
                <w:color w:val="auto"/>
                <w:sz w:val="20"/>
                <w:szCs w:val="20"/>
              </w:rPr>
              <w:t>在上述得分的基础上，每有一项内容完整合理</w:t>
            </w:r>
            <w:r>
              <w:rPr>
                <w:rFonts w:hint="eastAsia" w:ascii="仿宋" w:hAnsi="仿宋" w:eastAsia="仿宋" w:cs="宋体"/>
                <w:color w:val="auto"/>
                <w:sz w:val="20"/>
                <w:szCs w:val="20"/>
              </w:rPr>
              <w:t>且</w:t>
            </w:r>
            <w:r>
              <w:rPr>
                <w:rFonts w:hint="default" w:ascii="仿宋" w:hAnsi="仿宋" w:eastAsia="仿宋" w:cs="宋体"/>
                <w:color w:val="auto"/>
                <w:sz w:val="20"/>
                <w:szCs w:val="20"/>
              </w:rPr>
              <w:t>针对本项目实际情况细化制定</w:t>
            </w:r>
            <w:r>
              <w:rPr>
                <w:rFonts w:hint="eastAsia" w:ascii="仿宋" w:hAnsi="仿宋" w:eastAsia="仿宋" w:cs="宋体"/>
                <w:color w:val="auto"/>
                <w:sz w:val="20"/>
                <w:szCs w:val="20"/>
              </w:rPr>
              <w:t>、</w:t>
            </w:r>
            <w:r>
              <w:rPr>
                <w:rFonts w:hint="default" w:ascii="仿宋" w:hAnsi="仿宋" w:eastAsia="仿宋" w:cs="宋体"/>
                <w:color w:val="auto"/>
                <w:sz w:val="20"/>
                <w:szCs w:val="20"/>
              </w:rPr>
              <w:t>阐述清晰</w:t>
            </w:r>
            <w:r>
              <w:rPr>
                <w:rFonts w:hint="eastAsia" w:ascii="仿宋" w:hAnsi="仿宋" w:eastAsia="仿宋" w:cs="宋体"/>
                <w:color w:val="auto"/>
                <w:sz w:val="20"/>
                <w:szCs w:val="20"/>
              </w:rPr>
              <w:t>，更有利于本项目的售后服务工作的开展，</w:t>
            </w:r>
            <w:r>
              <w:rPr>
                <w:rFonts w:hint="default" w:ascii="仿宋" w:hAnsi="仿宋" w:eastAsia="仿宋" w:cs="宋体"/>
                <w:color w:val="auto"/>
                <w:sz w:val="20"/>
                <w:szCs w:val="20"/>
              </w:rPr>
              <w:t>每一条加</w:t>
            </w:r>
            <w:r>
              <w:rPr>
                <w:rFonts w:hint="eastAsia" w:ascii="仿宋" w:hAnsi="仿宋" w:eastAsia="仿宋" w:cs="宋体"/>
                <w:color w:val="auto"/>
                <w:sz w:val="20"/>
                <w:szCs w:val="20"/>
                <w:lang w:val="en-US" w:eastAsia="zh-CN"/>
              </w:rPr>
              <w:t>1</w:t>
            </w:r>
            <w:r>
              <w:rPr>
                <w:rFonts w:hint="default" w:ascii="仿宋" w:hAnsi="仿宋" w:eastAsia="仿宋" w:cs="宋体"/>
                <w:color w:val="auto"/>
                <w:sz w:val="20"/>
                <w:szCs w:val="20"/>
              </w:rPr>
              <w:t>分，最多加</w:t>
            </w:r>
            <w:r>
              <w:rPr>
                <w:rFonts w:hint="eastAsia" w:ascii="仿宋" w:hAnsi="仿宋" w:eastAsia="仿宋" w:cs="宋体"/>
                <w:color w:val="auto"/>
                <w:sz w:val="20"/>
                <w:szCs w:val="20"/>
                <w:lang w:val="en-US" w:eastAsia="zh-CN"/>
              </w:rPr>
              <w:t>5</w:t>
            </w:r>
            <w:r>
              <w:rPr>
                <w:rFonts w:hint="default" w:ascii="仿宋" w:hAnsi="仿宋" w:eastAsia="仿宋" w:cs="宋体"/>
                <w:color w:val="auto"/>
                <w:sz w:val="20"/>
                <w:szCs w:val="20"/>
              </w:rPr>
              <w:t>分。</w:t>
            </w:r>
          </w:p>
          <w:p>
            <w:pPr>
              <w:keepNext w:val="0"/>
              <w:keepLines w:val="0"/>
              <w:widowControl/>
              <w:suppressLineNumbers w:val="0"/>
              <w:spacing w:before="0" w:beforeAutospacing="0" w:after="0" w:afterAutospacing="0"/>
              <w:ind w:left="0" w:right="0"/>
              <w:rPr>
                <w:rFonts w:hint="default" w:ascii="Times New Roman" w:hAnsi="Times New Roman" w:eastAsia="宋体" w:cs="Times New Roman"/>
                <w:sz w:val="20"/>
                <w:szCs w:val="20"/>
              </w:rPr>
            </w:pPr>
            <w:r>
              <w:rPr>
                <w:rFonts w:hint="eastAsia" w:ascii="仿宋" w:hAnsi="仿宋" w:eastAsia="仿宋" w:cs="宋体"/>
                <w:color w:val="auto"/>
                <w:sz w:val="20"/>
                <w:szCs w:val="20"/>
              </w:rPr>
              <w:t>说明：内容存在错误指内容脱离项目实际情况或与项目无关的或与项目不匹配或项目名称、实施地点、涉及的规范、技术标准要求与本项目不一致等情形，以评审专家结合项目实际情况和响应文件独立评审为准。</w:t>
            </w:r>
          </w:p>
        </w:tc>
        <w:tc>
          <w:tcPr>
            <w:tcW w:w="675"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75" w:type="pct"/>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宋体"/>
                <w:color w:val="auto"/>
                <w:sz w:val="20"/>
                <w:szCs w:val="20"/>
                <w:lang w:eastAsia="zh-CN"/>
              </w:rPr>
            </w:pPr>
            <w:r>
              <w:rPr>
                <w:rFonts w:hint="eastAsia" w:ascii="仿宋" w:hAnsi="仿宋" w:eastAsia="仿宋" w:cs="宋体"/>
                <w:color w:val="auto"/>
                <w:sz w:val="20"/>
                <w:szCs w:val="20"/>
                <w:lang w:val="en-US" w:eastAsia="zh-CN"/>
              </w:rPr>
              <w:t>8</w:t>
            </w:r>
          </w:p>
        </w:tc>
        <w:tc>
          <w:tcPr>
            <w:tcW w:w="624"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节能、环境标志、无线局域网产品</w:t>
            </w:r>
          </w:p>
        </w:tc>
        <w:tc>
          <w:tcPr>
            <w:tcW w:w="535" w:type="pct"/>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宋体"/>
                <w:color w:val="auto"/>
                <w:sz w:val="20"/>
                <w:szCs w:val="20"/>
              </w:rPr>
            </w:pPr>
            <w:r>
              <w:rPr>
                <w:rFonts w:hint="eastAsia" w:ascii="仿宋" w:hAnsi="仿宋" w:eastAsia="仿宋" w:cs="宋体"/>
                <w:color w:val="auto"/>
                <w:sz w:val="20"/>
                <w:szCs w:val="20"/>
              </w:rPr>
              <w:t>1分</w:t>
            </w:r>
          </w:p>
        </w:tc>
        <w:tc>
          <w:tcPr>
            <w:tcW w:w="2788"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投标产品中属于政府采购优先采购范围的，则每有一项为节能产品或者环境标志产品或者无线局域网产品的得0.5分，非节能、环境标志产品的、无线局域网产品的不得分。本项最多得</w:t>
            </w:r>
            <w:r>
              <w:rPr>
                <w:rFonts w:hint="default" w:ascii="仿宋" w:hAnsi="仿宋" w:eastAsia="仿宋" w:cs="宋体"/>
                <w:color w:val="auto"/>
                <w:sz w:val="20"/>
                <w:szCs w:val="20"/>
              </w:rPr>
              <w:t>1</w:t>
            </w:r>
            <w:r>
              <w:rPr>
                <w:rFonts w:hint="eastAsia" w:ascii="仿宋" w:hAnsi="仿宋" w:eastAsia="仿宋" w:cs="宋体"/>
                <w:color w:val="auto"/>
                <w:sz w:val="20"/>
                <w:szCs w:val="20"/>
              </w:rPr>
              <w:t>分。</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注：1. 节能产品、环境标志产品优先采购范围以品目清单为准</w:t>
            </w:r>
            <w:r>
              <w:rPr>
                <w:rFonts w:hint="default" w:ascii="仿宋" w:hAnsi="仿宋" w:eastAsia="仿宋" w:cs="宋体"/>
                <w:color w:val="auto"/>
                <w:sz w:val="20"/>
                <w:szCs w:val="20"/>
              </w:rPr>
              <w:t>。</w:t>
            </w:r>
            <w:r>
              <w:rPr>
                <w:rFonts w:hint="eastAsia" w:ascii="仿宋" w:hAnsi="仿宋" w:eastAsia="仿宋" w:cs="宋体"/>
                <w:color w:val="auto"/>
                <w:sz w:val="20"/>
                <w:szCs w:val="20"/>
              </w:rPr>
              <w:t>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w:t>
            </w:r>
            <w:r>
              <w:rPr>
                <w:rFonts w:hint="default" w:ascii="仿宋" w:hAnsi="仿宋" w:eastAsia="仿宋" w:cs="宋体"/>
                <w:color w:val="auto"/>
                <w:sz w:val="20"/>
                <w:szCs w:val="20"/>
              </w:rPr>
              <w:t>政府采购网公布的</w:t>
            </w:r>
            <w:r>
              <w:rPr>
                <w:rFonts w:hint="eastAsia" w:ascii="仿宋" w:hAnsi="仿宋" w:eastAsia="仿宋" w:cs="宋体"/>
                <w:color w:val="auto"/>
                <w:sz w:val="20"/>
                <w:szCs w:val="20"/>
              </w:rPr>
              <w:t>《无线局域网认证产品政府采购清单》为准</w:t>
            </w:r>
            <w:r>
              <w:rPr>
                <w:rFonts w:hint="default" w:ascii="仿宋" w:hAnsi="仿宋" w:eastAsia="仿宋" w:cs="宋体"/>
                <w:color w:val="auto"/>
                <w:sz w:val="20"/>
                <w:szCs w:val="20"/>
              </w:rPr>
              <w:t>。</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2. 投标产品属于优先</w:t>
            </w:r>
            <w:r>
              <w:rPr>
                <w:rFonts w:hint="default" w:ascii="仿宋" w:hAnsi="仿宋" w:eastAsia="仿宋" w:cs="宋体"/>
                <w:color w:val="auto"/>
                <w:sz w:val="20"/>
                <w:szCs w:val="20"/>
              </w:rPr>
              <w:t>采购范围内的</w:t>
            </w:r>
            <w:r>
              <w:rPr>
                <w:rFonts w:hint="eastAsia" w:ascii="仿宋" w:hAnsi="仿宋" w:eastAsia="仿宋" w:cs="宋体"/>
                <w:color w:val="auto"/>
                <w:sz w:val="20"/>
                <w:szCs w:val="20"/>
              </w:rPr>
              <w:t>节能产品或者环境标志产品的</w:t>
            </w:r>
            <w:r>
              <w:rPr>
                <w:rFonts w:hint="default" w:ascii="仿宋" w:hAnsi="仿宋" w:eastAsia="仿宋" w:cs="宋体"/>
                <w:color w:val="auto"/>
                <w:sz w:val="20"/>
                <w:szCs w:val="20"/>
              </w:rPr>
              <w:t>，</w:t>
            </w:r>
            <w:r>
              <w:rPr>
                <w:rFonts w:hint="eastAsia" w:ascii="仿宋" w:hAnsi="仿宋" w:eastAsia="仿宋" w:cs="宋体"/>
                <w:color w:val="auto"/>
                <w:sz w:val="20"/>
                <w:szCs w:val="20"/>
              </w:rPr>
              <w:t>提供国家确定的认证机构出具的、处于有效期之内的节能产品、环境标志产品认证证书复印件加盖</w:t>
            </w:r>
            <w:r>
              <w:rPr>
                <w:rFonts w:hint="default" w:ascii="仿宋" w:hAnsi="仿宋" w:eastAsia="仿宋" w:cs="宋体"/>
                <w:color w:val="auto"/>
                <w:sz w:val="20"/>
                <w:szCs w:val="20"/>
              </w:rPr>
              <w:t>供应商公章（</w:t>
            </w:r>
            <w:r>
              <w:rPr>
                <w:rFonts w:hint="eastAsia" w:ascii="仿宋" w:hAnsi="仿宋" w:eastAsia="仿宋" w:cs="宋体"/>
                <w:color w:val="auto"/>
                <w:sz w:val="20"/>
                <w:szCs w:val="20"/>
              </w:rPr>
              <w:t>鲜章</w:t>
            </w:r>
            <w:r>
              <w:rPr>
                <w:rFonts w:hint="default" w:ascii="仿宋" w:hAnsi="仿宋" w:eastAsia="仿宋" w:cs="宋体"/>
                <w:color w:val="auto"/>
                <w:sz w:val="20"/>
                <w:szCs w:val="20"/>
              </w:rPr>
              <w:t>）</w:t>
            </w:r>
            <w:r>
              <w:rPr>
                <w:rFonts w:hint="eastAsia" w:ascii="仿宋" w:hAnsi="仿宋" w:eastAsia="仿宋" w:cs="宋体"/>
                <w:color w:val="auto"/>
                <w:sz w:val="20"/>
                <w:szCs w:val="20"/>
              </w:rPr>
              <w:t>。</w:t>
            </w:r>
          </w:p>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default" w:ascii="仿宋" w:hAnsi="仿宋" w:eastAsia="仿宋" w:cs="宋体"/>
                <w:color w:val="auto"/>
                <w:sz w:val="20"/>
                <w:szCs w:val="20"/>
              </w:rPr>
              <w:t>3.</w:t>
            </w:r>
            <w:r>
              <w:rPr>
                <w:rFonts w:hint="eastAsia" w:ascii="仿宋" w:hAnsi="仿宋" w:eastAsia="仿宋" w:cs="宋体"/>
                <w:color w:val="auto"/>
                <w:sz w:val="20"/>
                <w:szCs w:val="20"/>
              </w:rPr>
              <w:t xml:space="preserve"> 投标产品属于优先</w:t>
            </w:r>
            <w:r>
              <w:rPr>
                <w:rFonts w:hint="default" w:ascii="仿宋" w:hAnsi="仿宋" w:eastAsia="仿宋" w:cs="宋体"/>
                <w:color w:val="auto"/>
                <w:sz w:val="20"/>
                <w:szCs w:val="20"/>
              </w:rPr>
              <w:t>采购范围内的</w:t>
            </w:r>
            <w:r>
              <w:rPr>
                <w:rFonts w:hint="eastAsia" w:ascii="仿宋" w:hAnsi="仿宋" w:eastAsia="仿宋" w:cs="宋体"/>
                <w:color w:val="auto"/>
                <w:sz w:val="20"/>
                <w:szCs w:val="20"/>
              </w:rPr>
              <w:t>无线局域网产品的，提供政府采购清单对应页并加盖供应商单位公章（鲜章）。</w:t>
            </w:r>
          </w:p>
        </w:tc>
        <w:tc>
          <w:tcPr>
            <w:tcW w:w="675" w:type="pct"/>
            <w:noWrap w:val="0"/>
            <w:vAlign w:val="center"/>
          </w:tcPr>
          <w:p>
            <w:pPr>
              <w:keepNext w:val="0"/>
              <w:keepLines w:val="0"/>
              <w:widowControl/>
              <w:suppressLineNumbers w:val="0"/>
              <w:spacing w:before="0" w:beforeAutospacing="0" w:after="0" w:afterAutospacing="0"/>
              <w:ind w:left="0" w:right="0"/>
              <w:rPr>
                <w:rFonts w:hint="default" w:ascii="仿宋" w:hAnsi="仿宋" w:eastAsia="仿宋" w:cs="宋体"/>
                <w:color w:val="auto"/>
                <w:sz w:val="20"/>
                <w:szCs w:val="20"/>
              </w:rPr>
            </w:pPr>
            <w:r>
              <w:rPr>
                <w:rFonts w:hint="eastAsia" w:ascii="仿宋" w:hAnsi="仿宋" w:eastAsia="仿宋" w:cs="宋体"/>
                <w:color w:val="auto"/>
                <w:sz w:val="20"/>
                <w:szCs w:val="20"/>
              </w:rPr>
              <w:t>政策类评分因素</w:t>
            </w:r>
          </w:p>
        </w:tc>
      </w:tr>
    </w:tbl>
    <w:p>
      <w:pPr>
        <w:widowControl/>
        <w:jc w:val="left"/>
        <w:rPr>
          <w:rFonts w:ascii="宋体" w:hAnsi="宋体"/>
          <w:sz w:val="28"/>
          <w:szCs w:val="28"/>
        </w:rPr>
      </w:pPr>
    </w:p>
    <w:p>
      <w:pPr>
        <w:pStyle w:val="16"/>
        <w:pageBreakBefore w:val="0"/>
        <w:tabs>
          <w:tab w:val="left" w:pos="600"/>
        </w:tabs>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 w:hAnsi="仿宋" w:eastAsia="仿宋" w:cs="仿宋"/>
          <w:caps w:val="0"/>
          <w:smallCaps w:val="0"/>
          <w:vanish w:val="0"/>
          <w:color w:val="000000"/>
          <w:kern w:val="0"/>
          <w:sz w:val="21"/>
          <w:szCs w:val="21"/>
          <w:highlight w:val="none"/>
          <w:lang w:val="en-US" w:eastAsia="zh-CN" w:bidi="ar"/>
        </w:rPr>
      </w:pPr>
      <w:r>
        <w:rPr>
          <w:rFonts w:hint="eastAsia" w:ascii="仿宋" w:hAnsi="仿宋" w:eastAsia="仿宋" w:cs="仿宋"/>
          <w:caps w:val="0"/>
          <w:smallCaps w:val="0"/>
          <w:vanish w:val="0"/>
          <w:color w:val="000000"/>
          <w:kern w:val="0"/>
          <w:sz w:val="21"/>
          <w:szCs w:val="21"/>
          <w:highlight w:val="none"/>
          <w:lang w:val="en-US" w:eastAsia="zh-CN" w:bidi="ar"/>
        </w:rPr>
        <w:t>注： 评分的取值按四舍五入法，保留小数点后两位。</w:t>
      </w:r>
    </w:p>
    <w:p>
      <w:pPr>
        <w:pStyle w:val="4"/>
        <w:spacing w:line="400" w:lineRule="exact"/>
        <w:ind w:firstLine="431" w:firstLineChars="196"/>
        <w:rPr>
          <w:rFonts w:hint="eastAsia" w:ascii="仿宋" w:hAnsi="仿宋" w:eastAsia="仿宋" w:cs="仿宋"/>
          <w:sz w:val="22"/>
          <w:szCs w:val="22"/>
        </w:rPr>
      </w:pPr>
      <w:bookmarkStart w:id="1215" w:name="_Toc20862"/>
      <w:bookmarkStart w:id="1216" w:name="_Toc217446060"/>
      <w:r>
        <w:rPr>
          <w:rFonts w:hint="eastAsia" w:ascii="仿宋" w:hAnsi="仿宋" w:eastAsia="仿宋" w:cs="仿宋"/>
          <w:sz w:val="22"/>
          <w:szCs w:val="22"/>
        </w:rPr>
        <w:t>5. 废 标</w:t>
      </w:r>
      <w:bookmarkEnd w:id="1215"/>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5.1本次政府采购活动中，出现下列情形之一的，予以废标：</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（1）符合专业条件的供应商或者对招标文件作实质响应的供应商不足三家的；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（2）出现影响采购公正的违法、违规行为的；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（3）投标人的报价均超过了采购预算，采购人不能支付的；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（4）因重大变故，采购任务取消的。</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废标后，采购代理机构应在四川政府采购网上公告，并公告废标的情形。投标人需要知晓导致废标情形的具体原因和理由的，可以通过书面形式询问招标采购单位。</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5.2对于评标过程中废标的采购项目，评标委员会应当对招标文件是否存在倾向性和歧视性、是否存在不合理条款进行论证，并出具书面论证意见。</w:t>
      </w:r>
    </w:p>
    <w:p>
      <w:pPr>
        <w:pStyle w:val="4"/>
        <w:numPr>
          <w:ilvl w:val="0"/>
          <w:numId w:val="7"/>
        </w:numPr>
        <w:spacing w:line="400" w:lineRule="exact"/>
        <w:ind w:firstLine="431" w:firstLineChars="196"/>
        <w:rPr>
          <w:rFonts w:hint="eastAsia" w:ascii="仿宋" w:hAnsi="仿宋" w:eastAsia="仿宋" w:cs="仿宋"/>
          <w:sz w:val="22"/>
          <w:szCs w:val="22"/>
        </w:rPr>
      </w:pPr>
      <w:r>
        <w:rPr>
          <w:rFonts w:hint="eastAsia" w:ascii="仿宋" w:hAnsi="仿宋" w:eastAsia="仿宋" w:cs="仿宋"/>
          <w:sz w:val="22"/>
          <w:szCs w:val="22"/>
        </w:rPr>
        <w:t xml:space="preserve"> </w:t>
      </w:r>
      <w:bookmarkStart w:id="1217" w:name="_Toc22227"/>
      <w:r>
        <w:rPr>
          <w:rFonts w:hint="eastAsia" w:ascii="仿宋" w:hAnsi="仿宋" w:eastAsia="仿宋" w:cs="仿宋"/>
          <w:sz w:val="22"/>
          <w:szCs w:val="22"/>
        </w:rPr>
        <w:t>定标</w:t>
      </w:r>
      <w:bookmarkEnd w:id="1216"/>
      <w:bookmarkEnd w:id="1217"/>
      <w:bookmarkStart w:id="1218" w:name="_Toc217446061"/>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6.1. 定标原则</w:t>
      </w:r>
      <w:bookmarkEnd w:id="1218"/>
      <w:r>
        <w:rPr>
          <w:rFonts w:hint="eastAsia" w:ascii="仿宋" w:hAnsi="仿宋" w:eastAsia="仿宋" w:cs="仿宋"/>
          <w:sz w:val="22"/>
          <w:szCs w:val="18"/>
        </w:rPr>
        <w:t>：本项目根据评标委员会推荐的中标候选供应商名单，按顺序确定中标供应商。</w:t>
      </w:r>
    </w:p>
    <w:p>
      <w:pPr>
        <w:spacing w:line="400" w:lineRule="exact"/>
        <w:ind w:firstLine="440" w:firstLineChars="200"/>
        <w:rPr>
          <w:rFonts w:hint="eastAsia" w:ascii="仿宋" w:hAnsi="仿宋" w:eastAsia="仿宋" w:cs="仿宋"/>
          <w:sz w:val="22"/>
          <w:szCs w:val="18"/>
        </w:rPr>
      </w:pPr>
      <w:bookmarkStart w:id="1219" w:name="_Toc217446062"/>
      <w:r>
        <w:rPr>
          <w:rFonts w:hint="eastAsia" w:ascii="仿宋" w:hAnsi="仿宋" w:eastAsia="仿宋" w:cs="仿宋"/>
          <w:sz w:val="22"/>
          <w:szCs w:val="18"/>
        </w:rPr>
        <w:t>6.2. 定标程序</w:t>
      </w:r>
      <w:bookmarkEnd w:id="1219"/>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6.2.1 评标委员会将评标情况写出书面报告，推荐中标候选供应商。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6.2.2 采购代理机构在评标结束后2个工作日内将评标报告送采购人。</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6.2.4 根据采购人确定的中标供应商，采购代理机构在四川政府采购网上发布中标公告，并自采购人确定中标之日起2个工作日内向中标供应商发出中标通知书。</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6.2.5 招标采购单位不退回投标人投标文件和其他投标资料。</w:t>
      </w:r>
    </w:p>
    <w:p>
      <w:pPr>
        <w:pStyle w:val="4"/>
        <w:spacing w:line="400" w:lineRule="exact"/>
        <w:ind w:firstLine="440" w:firstLineChars="200"/>
        <w:rPr>
          <w:rFonts w:hint="eastAsia" w:ascii="仿宋" w:hAnsi="仿宋" w:eastAsia="仿宋" w:cs="仿宋"/>
          <w:bCs w:val="0"/>
          <w:sz w:val="22"/>
          <w:szCs w:val="22"/>
        </w:rPr>
      </w:pPr>
      <w:bookmarkStart w:id="1220" w:name="_Toc183682432"/>
      <w:bookmarkStart w:id="1221" w:name="_Toc217446105"/>
      <w:bookmarkStart w:id="1222" w:name="_Toc208849022"/>
      <w:bookmarkStart w:id="1223" w:name="_Toc183582297"/>
      <w:bookmarkStart w:id="1224" w:name="_Toc7333"/>
      <w:r>
        <w:rPr>
          <w:rFonts w:hint="eastAsia" w:ascii="仿宋" w:hAnsi="仿宋" w:eastAsia="仿宋" w:cs="仿宋"/>
          <w:bCs w:val="0"/>
          <w:sz w:val="22"/>
          <w:szCs w:val="22"/>
        </w:rPr>
        <w:t xml:space="preserve">7. </w:t>
      </w:r>
      <w:bookmarkEnd w:id="1220"/>
      <w:bookmarkEnd w:id="1221"/>
      <w:bookmarkEnd w:id="1222"/>
      <w:bookmarkEnd w:id="1223"/>
      <w:r>
        <w:rPr>
          <w:rFonts w:hint="eastAsia" w:ascii="仿宋" w:hAnsi="仿宋" w:eastAsia="仿宋" w:cs="仿宋"/>
          <w:sz w:val="22"/>
          <w:szCs w:val="22"/>
        </w:rPr>
        <w:t>评标专家在</w:t>
      </w:r>
      <w:r>
        <w:rPr>
          <w:rFonts w:hint="eastAsia" w:ascii="仿宋" w:hAnsi="仿宋" w:eastAsia="仿宋" w:cs="仿宋"/>
          <w:sz w:val="22"/>
          <w:szCs w:val="18"/>
        </w:rPr>
        <w:t>政府采购活动</w:t>
      </w:r>
      <w:r>
        <w:rPr>
          <w:rFonts w:hint="eastAsia" w:ascii="仿宋" w:hAnsi="仿宋" w:eastAsia="仿宋" w:cs="仿宋"/>
          <w:sz w:val="22"/>
          <w:szCs w:val="22"/>
        </w:rPr>
        <w:t>中承担以下义务：</w:t>
      </w:r>
      <w:bookmarkEnd w:id="1224"/>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 xml:space="preserve">（一）遵守评审工作纪律； </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（二）按照客观、公正、审慎的原则，根据采购文件规定的评审程序、评审方法和评审标准进行独立评审；</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（三）不得泄露评审文件、评审情况和在评审过程中获悉的商业秘密；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（五）发现采购文件内容违反国家有关强制性规定或者存在歧义、重大缺陷导致评审工作无法进行时，停止评审并向采购组织单位书面说明情况；</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（六）配合答复处理供应商的询问、质疑和投诉等事项；</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（七）法律、法规和规章规定的其他义务。</w:t>
      </w:r>
    </w:p>
    <w:p>
      <w:pPr>
        <w:pStyle w:val="4"/>
        <w:spacing w:line="400" w:lineRule="exact"/>
        <w:ind w:firstLine="440" w:firstLineChars="200"/>
        <w:rPr>
          <w:rFonts w:hint="eastAsia" w:ascii="仿宋" w:hAnsi="仿宋" w:eastAsia="仿宋" w:cs="仿宋"/>
          <w:bCs w:val="0"/>
          <w:sz w:val="22"/>
          <w:szCs w:val="22"/>
        </w:rPr>
      </w:pPr>
      <w:bookmarkStart w:id="1225" w:name="_Toc9196"/>
      <w:r>
        <w:rPr>
          <w:rFonts w:hint="eastAsia" w:ascii="仿宋" w:hAnsi="仿宋" w:eastAsia="仿宋" w:cs="仿宋"/>
          <w:bCs w:val="0"/>
          <w:sz w:val="22"/>
          <w:szCs w:val="22"/>
        </w:rPr>
        <w:t>8. 评标专家在政府采购活动中应当遵守以下工作纪律：</w:t>
      </w:r>
      <w:bookmarkEnd w:id="1225"/>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（一）遵行《政府采购法》第十二条和《政府采购法实施条例》第九条及财政部关于回避的规定。</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（二）评标前，应当将通讯工具或者相关电子设备交由招标采购单位统一保管。</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（三）评标过程中，不得与外界联系，因发生不可预见情况，确实需要与外界联系的，应当在监督人员监督之下办理。</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（五）在评标过程中和评标结束后，不得记录、复制或带走任何评标资料，除因规定的义务外，不得向外界透露评标内容。</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（六）服从评标现场招标采购单位的现场秩序管理，接受评标现场监督人员的合法监督。</w:t>
      </w:r>
    </w:p>
    <w:p>
      <w:pPr>
        <w:spacing w:line="400" w:lineRule="exact"/>
        <w:ind w:firstLine="440" w:firstLineChars="200"/>
        <w:rPr>
          <w:rFonts w:hint="eastAsia" w:ascii="仿宋" w:hAnsi="仿宋" w:eastAsia="仿宋" w:cs="仿宋"/>
          <w:sz w:val="22"/>
          <w:szCs w:val="18"/>
        </w:rPr>
      </w:pPr>
      <w:r>
        <w:rPr>
          <w:rFonts w:hint="eastAsia" w:ascii="仿宋" w:hAnsi="仿宋" w:eastAsia="仿宋" w:cs="仿宋"/>
          <w:sz w:val="22"/>
          <w:szCs w:val="18"/>
        </w:rPr>
        <w:t>（七）遵守有关廉洁自律规定，不得私下接触供应商，不得收受供应商及有关业务单位和个人的财物或好处，不得接受采购组织单位的请托。</w:t>
      </w:r>
    </w:p>
    <w:p>
      <w:pPr>
        <w:pStyle w:val="19"/>
        <w:rPr>
          <w:rFonts w:hint="eastAsia" w:ascii="仿宋" w:hAnsi="仿宋" w:eastAsia="仿宋" w:cs="仿宋"/>
          <w:b/>
          <w:bCs/>
          <w:highlight w:val="none"/>
        </w:rPr>
      </w:pPr>
    </w:p>
    <w:p>
      <w:pPr>
        <w:pStyle w:val="3"/>
        <w:spacing w:before="120" w:beforeLines="50"/>
        <w:rPr>
          <w:rFonts w:hint="eastAsia" w:ascii="仿宋" w:hAnsi="仿宋" w:eastAsia="仿宋" w:cs="仿宋"/>
          <w:bCs/>
          <w:highlight w:val="none"/>
        </w:rPr>
      </w:pPr>
      <w:r>
        <w:rPr>
          <w:rFonts w:hint="eastAsia" w:ascii="仿宋" w:hAnsi="仿宋" w:eastAsia="仿宋" w:cs="仿宋"/>
          <w:highlight w:val="none"/>
        </w:rPr>
        <w:br w:type="page"/>
      </w:r>
      <w:bookmarkStart w:id="1226" w:name="_Toc362"/>
      <w:bookmarkStart w:id="1227" w:name="_Toc11899"/>
      <w:bookmarkStart w:id="1228" w:name="_Toc29386"/>
      <w:bookmarkStart w:id="1229" w:name="_Toc5232_WPSOffice_Level1"/>
      <w:bookmarkStart w:id="1230" w:name="_Toc29963"/>
      <w:bookmarkStart w:id="1231" w:name="_Toc13714"/>
      <w:bookmarkStart w:id="1232" w:name="_Toc19051"/>
      <w:bookmarkStart w:id="1233" w:name="_Toc5004470"/>
      <w:bookmarkStart w:id="1234" w:name="_Toc6929"/>
      <w:bookmarkStart w:id="1235" w:name="_Toc21840"/>
      <w:bookmarkStart w:id="1236" w:name="_Toc17338"/>
      <w:bookmarkStart w:id="1237" w:name="_Toc24565_WPSOffice_Level1"/>
      <w:bookmarkStart w:id="1238" w:name="_Toc25268"/>
      <w:bookmarkStart w:id="1239" w:name="_Toc11546"/>
      <w:bookmarkStart w:id="1240" w:name="_Toc29273_WPSOffice_Level1"/>
      <w:r>
        <w:rPr>
          <w:rFonts w:hint="eastAsia" w:ascii="仿宋" w:hAnsi="仿宋" w:eastAsia="仿宋" w:cs="仿宋"/>
          <w:bCs/>
          <w:highlight w:val="none"/>
        </w:rPr>
        <w:t>第八章 政府采购合同</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Start w:id="1241" w:name="_Toc12473"/>
      <w:bookmarkStart w:id="1242" w:name="_Toc1631"/>
      <w:bookmarkStart w:id="1243" w:name="_Toc22347"/>
    </w:p>
    <w:p>
      <w:pPr>
        <w:rPr>
          <w:rFonts w:hint="eastAsia" w:ascii="仿宋" w:hAnsi="仿宋" w:eastAsia="仿宋" w:cs="仿宋"/>
          <w:highlight w:val="none"/>
        </w:rPr>
      </w:pPr>
    </w:p>
    <w:p>
      <w:pPr>
        <w:spacing w:line="360" w:lineRule="auto"/>
        <w:ind w:firstLine="480" w:firstLineChars="200"/>
        <w:rPr>
          <w:rFonts w:hint="eastAsia" w:ascii="仿宋" w:hAnsi="仿宋" w:eastAsia="仿宋" w:cs="仿宋"/>
          <w:bCs/>
          <w:sz w:val="24"/>
        </w:rPr>
      </w:pPr>
      <w:bookmarkStart w:id="1244" w:name="_Toc13757"/>
      <w:bookmarkStart w:id="1245" w:name="_Toc3"/>
      <w:bookmarkStart w:id="1246" w:name="_Toc1083"/>
    </w:p>
    <w:p>
      <w:pPr>
        <w:spacing w:line="360" w:lineRule="auto"/>
        <w:ind w:firstLine="480" w:firstLineChars="200"/>
        <w:rPr>
          <w:rFonts w:hint="eastAsia" w:ascii="仿宋" w:hAnsi="仿宋" w:eastAsia="仿宋" w:cs="仿宋"/>
          <w:sz w:val="24"/>
        </w:rPr>
      </w:pPr>
    </w:p>
    <w:p>
      <w:pPr>
        <w:pStyle w:val="76"/>
        <w:ind w:firstLine="480"/>
        <w:rPr>
          <w:rFonts w:hint="eastAsia" w:ascii="仿宋" w:hAnsi="仿宋" w:eastAsia="仿宋" w:cs="仿宋"/>
        </w:rPr>
      </w:pPr>
      <w:r>
        <w:rPr>
          <w:rFonts w:hint="eastAsia" w:ascii="仿宋" w:hAnsi="仿宋" w:eastAsia="仿宋" w:cs="仿宋"/>
        </w:rPr>
        <w:t>合同编号：XXX</w:t>
      </w:r>
    </w:p>
    <w:p>
      <w:pPr>
        <w:pStyle w:val="76"/>
        <w:ind w:firstLine="480"/>
        <w:rPr>
          <w:rFonts w:hint="eastAsia" w:ascii="仿宋" w:hAnsi="仿宋" w:eastAsia="仿宋" w:cs="仿宋"/>
        </w:rPr>
      </w:pPr>
      <w:r>
        <w:rPr>
          <w:rFonts w:hint="eastAsia" w:ascii="仿宋" w:hAnsi="仿宋" w:eastAsia="仿宋" w:cs="仿宋"/>
        </w:rPr>
        <w:t>签订地点：XXX</w:t>
      </w:r>
    </w:p>
    <w:p>
      <w:pPr>
        <w:pStyle w:val="76"/>
        <w:ind w:firstLine="480"/>
        <w:rPr>
          <w:rFonts w:hint="eastAsia" w:ascii="仿宋" w:hAnsi="仿宋" w:eastAsia="仿宋" w:cs="仿宋"/>
        </w:rPr>
      </w:pPr>
      <w:r>
        <w:rPr>
          <w:rFonts w:hint="eastAsia" w:ascii="仿宋" w:hAnsi="仿宋" w:eastAsia="仿宋" w:cs="仿宋"/>
        </w:rPr>
        <w:t>签订时间：XXX年XXX月XXX日</w:t>
      </w:r>
    </w:p>
    <w:p>
      <w:pPr>
        <w:pStyle w:val="76"/>
        <w:ind w:firstLine="480"/>
        <w:rPr>
          <w:rFonts w:hint="eastAsia" w:ascii="仿宋" w:hAnsi="仿宋" w:eastAsia="仿宋" w:cs="仿宋"/>
        </w:rPr>
      </w:pPr>
      <w:r>
        <w:rPr>
          <w:rFonts w:hint="eastAsia" w:ascii="仿宋" w:hAnsi="仿宋" w:eastAsia="仿宋" w:cs="仿宋"/>
        </w:rPr>
        <w:t>采购人（甲方）：XXX</w:t>
      </w:r>
    </w:p>
    <w:p>
      <w:pPr>
        <w:pStyle w:val="76"/>
        <w:ind w:firstLine="480"/>
        <w:rPr>
          <w:rFonts w:hint="eastAsia" w:ascii="仿宋" w:hAnsi="仿宋" w:eastAsia="仿宋" w:cs="仿宋"/>
        </w:rPr>
      </w:pPr>
      <w:r>
        <w:rPr>
          <w:rFonts w:hint="eastAsia" w:ascii="仿宋" w:hAnsi="仿宋" w:eastAsia="仿宋" w:cs="仿宋"/>
        </w:rPr>
        <w:t>供应商（乙方）：XXX</w:t>
      </w:r>
    </w:p>
    <w:p>
      <w:pPr>
        <w:spacing w:line="400" w:lineRule="exact"/>
        <w:rPr>
          <w:rFonts w:hint="eastAsia" w:ascii="仿宋" w:hAnsi="仿宋" w:eastAsia="仿宋" w:cs="仿宋"/>
          <w:sz w:val="24"/>
        </w:rPr>
      </w:pPr>
    </w:p>
    <w:p>
      <w:pPr>
        <w:pStyle w:val="76"/>
        <w:ind w:firstLine="480"/>
        <w:rPr>
          <w:rFonts w:hint="eastAsia" w:ascii="仿宋" w:hAnsi="仿宋" w:eastAsia="仿宋" w:cs="仿宋"/>
        </w:rPr>
      </w:pPr>
      <w:r>
        <w:rPr>
          <w:rFonts w:hint="eastAsia" w:ascii="仿宋" w:hAnsi="仿宋" w:eastAsia="仿宋" w:cs="仿宋"/>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76"/>
        <w:ind w:firstLine="480"/>
        <w:rPr>
          <w:rFonts w:hint="eastAsia" w:ascii="仿宋" w:hAnsi="仿宋" w:eastAsia="仿宋" w:cs="仿宋"/>
        </w:rPr>
      </w:pPr>
    </w:p>
    <w:p>
      <w:pPr>
        <w:numPr>
          <w:ilvl w:val="0"/>
          <w:numId w:val="8"/>
        </w:numPr>
        <w:rPr>
          <w:rFonts w:hint="eastAsia" w:ascii="仿宋" w:hAnsi="仿宋" w:eastAsia="仿宋" w:cs="仿宋"/>
          <w:sz w:val="24"/>
        </w:rPr>
      </w:pPr>
      <w:r>
        <w:rPr>
          <w:rFonts w:hint="eastAsia" w:ascii="仿宋" w:hAnsi="仿宋" w:eastAsia="仿宋" w:cs="仿宋"/>
          <w:sz w:val="24"/>
        </w:rPr>
        <w:t>合同货物</w:t>
      </w:r>
    </w:p>
    <w:tbl>
      <w:tblPr>
        <w:tblStyle w:val="37"/>
        <w:tblW w:w="91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4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firstLine="200" w:firstLineChars="100"/>
              <w:rPr>
                <w:rFonts w:hint="eastAsia" w:ascii="仿宋" w:hAnsi="仿宋" w:eastAsia="仿宋" w:cs="仿宋"/>
                <w:sz w:val="20"/>
                <w:szCs w:val="21"/>
              </w:rPr>
            </w:pPr>
            <w:r>
              <w:rPr>
                <w:rFonts w:hint="eastAsia" w:ascii="仿宋" w:hAnsi="仿宋" w:eastAsia="仿宋" w:cs="仿宋"/>
                <w:sz w:val="20"/>
                <w:szCs w:val="21"/>
              </w:rPr>
              <w:t>货物品名</w:t>
            </w:r>
          </w:p>
        </w:tc>
        <w:tc>
          <w:tcPr>
            <w:tcW w:w="1027"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0"/>
                <w:szCs w:val="21"/>
              </w:rPr>
            </w:pPr>
            <w:r>
              <w:rPr>
                <w:rFonts w:hint="eastAsia" w:ascii="仿宋" w:hAnsi="仿宋" w:eastAsia="仿宋" w:cs="仿宋"/>
                <w:sz w:val="20"/>
                <w:szCs w:val="21"/>
              </w:rPr>
              <w:t>规格</w:t>
            </w:r>
          </w:p>
          <w:p>
            <w:pPr>
              <w:keepNext w:val="0"/>
              <w:keepLines w:val="0"/>
              <w:widowControl/>
              <w:suppressLineNumbers w:val="0"/>
              <w:spacing w:before="0" w:beforeAutospacing="0" w:after="0" w:afterAutospacing="0"/>
              <w:ind w:left="0" w:right="0"/>
              <w:jc w:val="center"/>
              <w:rPr>
                <w:rFonts w:hint="eastAsia" w:ascii="仿宋" w:hAnsi="仿宋" w:eastAsia="仿宋" w:cs="仿宋"/>
                <w:sz w:val="20"/>
                <w:szCs w:val="21"/>
              </w:rPr>
            </w:pPr>
            <w:r>
              <w:rPr>
                <w:rFonts w:hint="eastAsia" w:ascii="仿宋" w:hAnsi="仿宋" w:eastAsia="仿宋" w:cs="仿宋"/>
                <w:sz w:val="20"/>
                <w:szCs w:val="21"/>
              </w:rPr>
              <w:t>型号</w:t>
            </w:r>
          </w:p>
        </w:tc>
        <w:tc>
          <w:tcPr>
            <w:tcW w:w="604"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rPr>
                <w:rFonts w:hint="eastAsia" w:ascii="仿宋" w:hAnsi="仿宋" w:eastAsia="仿宋" w:cs="仿宋"/>
                <w:sz w:val="20"/>
                <w:szCs w:val="21"/>
              </w:rPr>
            </w:pPr>
            <w:r>
              <w:rPr>
                <w:rFonts w:hint="eastAsia" w:ascii="仿宋" w:hAnsi="仿宋" w:eastAsia="仿宋" w:cs="仿宋"/>
                <w:sz w:val="20"/>
                <w:szCs w:val="21"/>
              </w:rPr>
              <w:t>单位</w:t>
            </w:r>
          </w:p>
        </w:tc>
        <w:tc>
          <w:tcPr>
            <w:tcW w:w="531"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firstLine="100" w:firstLineChars="50"/>
              <w:rPr>
                <w:rFonts w:hint="eastAsia" w:ascii="仿宋" w:hAnsi="仿宋" w:eastAsia="仿宋" w:cs="仿宋"/>
                <w:sz w:val="20"/>
                <w:szCs w:val="21"/>
              </w:rPr>
            </w:pPr>
            <w:r>
              <w:rPr>
                <w:rFonts w:hint="eastAsia" w:ascii="仿宋" w:hAnsi="仿宋" w:eastAsia="仿宋" w:cs="仿宋"/>
                <w:sz w:val="20"/>
                <w:szCs w:val="21"/>
              </w:rPr>
              <w:t>数量</w:t>
            </w:r>
          </w:p>
        </w:tc>
        <w:tc>
          <w:tcPr>
            <w:tcW w:w="1064"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firstLine="100" w:firstLineChars="50"/>
              <w:jc w:val="center"/>
              <w:rPr>
                <w:rFonts w:hint="eastAsia" w:ascii="仿宋" w:hAnsi="仿宋" w:eastAsia="仿宋" w:cs="仿宋"/>
                <w:sz w:val="20"/>
                <w:szCs w:val="21"/>
              </w:rPr>
            </w:pPr>
            <w:r>
              <w:rPr>
                <w:rFonts w:hint="eastAsia" w:ascii="仿宋" w:hAnsi="仿宋" w:eastAsia="仿宋" w:cs="仿宋"/>
                <w:sz w:val="20"/>
                <w:szCs w:val="21"/>
              </w:rPr>
              <w:t>单价</w:t>
            </w:r>
          </w:p>
          <w:p>
            <w:pPr>
              <w:keepNext w:val="0"/>
              <w:keepLines w:val="0"/>
              <w:widowControl/>
              <w:suppressLineNumbers w:val="0"/>
              <w:spacing w:before="0" w:beforeAutospacing="0" w:after="0" w:afterAutospacing="0"/>
              <w:ind w:left="0" w:right="0"/>
              <w:jc w:val="center"/>
              <w:rPr>
                <w:rFonts w:hint="eastAsia" w:ascii="仿宋" w:hAnsi="仿宋" w:eastAsia="仿宋" w:cs="仿宋"/>
                <w:sz w:val="20"/>
                <w:szCs w:val="21"/>
              </w:rPr>
            </w:pPr>
            <w:r>
              <w:rPr>
                <w:rFonts w:hint="eastAsia" w:ascii="仿宋" w:hAnsi="仿宋" w:eastAsia="仿宋" w:cs="仿宋"/>
                <w:sz w:val="20"/>
                <w:szCs w:val="21"/>
              </w:rPr>
              <w:t>（万元）</w:t>
            </w:r>
          </w:p>
        </w:tc>
        <w:tc>
          <w:tcPr>
            <w:tcW w:w="888"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leftChars="-1" w:right="-84" w:rightChars="-42" w:hanging="2" w:hangingChars="1"/>
              <w:jc w:val="center"/>
              <w:rPr>
                <w:rFonts w:hint="eastAsia" w:ascii="仿宋" w:hAnsi="仿宋" w:eastAsia="仿宋" w:cs="仿宋"/>
                <w:sz w:val="20"/>
                <w:szCs w:val="21"/>
              </w:rPr>
            </w:pPr>
            <w:r>
              <w:rPr>
                <w:rFonts w:hint="eastAsia" w:ascii="仿宋" w:hAnsi="仿宋" w:eastAsia="仿宋" w:cs="仿宋"/>
                <w:sz w:val="20"/>
                <w:szCs w:val="21"/>
              </w:rPr>
              <w:t>总价</w:t>
            </w:r>
          </w:p>
          <w:p>
            <w:pPr>
              <w:keepNext w:val="0"/>
              <w:keepLines w:val="0"/>
              <w:widowControl/>
              <w:suppressLineNumbers w:val="0"/>
              <w:spacing w:before="0" w:beforeAutospacing="0" w:after="0" w:afterAutospacing="0"/>
              <w:ind w:left="0" w:leftChars="-1" w:right="-84" w:rightChars="-42" w:hanging="2" w:hangingChars="1"/>
              <w:jc w:val="center"/>
              <w:rPr>
                <w:rFonts w:hint="eastAsia" w:ascii="仿宋" w:hAnsi="仿宋" w:eastAsia="仿宋" w:cs="仿宋"/>
                <w:sz w:val="20"/>
                <w:szCs w:val="21"/>
              </w:rPr>
            </w:pPr>
            <w:r>
              <w:rPr>
                <w:rFonts w:hint="eastAsia" w:ascii="仿宋" w:hAnsi="仿宋" w:eastAsia="仿宋" w:cs="仿宋"/>
                <w:sz w:val="20"/>
                <w:szCs w:val="21"/>
              </w:rPr>
              <w:t>（万元）</w:t>
            </w:r>
          </w:p>
        </w:tc>
        <w:tc>
          <w:tcPr>
            <w:tcW w:w="917"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0"/>
                <w:szCs w:val="21"/>
              </w:rPr>
            </w:pPr>
            <w:r>
              <w:rPr>
                <w:rFonts w:hint="eastAsia" w:ascii="仿宋" w:hAnsi="仿宋" w:eastAsia="仿宋" w:cs="仿宋"/>
                <w:sz w:val="20"/>
                <w:szCs w:val="21"/>
              </w:rPr>
              <w:t>随机</w:t>
            </w:r>
          </w:p>
          <w:p>
            <w:pPr>
              <w:keepNext w:val="0"/>
              <w:keepLines w:val="0"/>
              <w:widowControl/>
              <w:suppressLineNumbers w:val="0"/>
              <w:spacing w:before="0" w:beforeAutospacing="0" w:after="0" w:afterAutospacing="0"/>
              <w:ind w:left="0" w:right="0"/>
              <w:jc w:val="center"/>
              <w:rPr>
                <w:rFonts w:hint="eastAsia" w:ascii="仿宋" w:hAnsi="仿宋" w:eastAsia="仿宋" w:cs="仿宋"/>
                <w:sz w:val="20"/>
                <w:szCs w:val="21"/>
              </w:rPr>
            </w:pPr>
            <w:r>
              <w:rPr>
                <w:rFonts w:hint="eastAsia" w:ascii="仿宋" w:hAnsi="仿宋" w:eastAsia="仿宋" w:cs="仿宋"/>
                <w:sz w:val="20"/>
                <w:szCs w:val="21"/>
              </w:rPr>
              <w:t>配件</w:t>
            </w:r>
          </w:p>
        </w:tc>
        <w:tc>
          <w:tcPr>
            <w:tcW w:w="932"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leftChars="-22" w:right="0" w:hanging="44" w:hangingChars="22"/>
              <w:rPr>
                <w:rFonts w:hint="eastAsia" w:ascii="仿宋" w:hAnsi="仿宋" w:eastAsia="仿宋" w:cs="仿宋"/>
                <w:sz w:val="20"/>
                <w:szCs w:val="21"/>
              </w:rPr>
            </w:pPr>
            <w:r>
              <w:rPr>
                <w:rFonts w:hint="eastAsia" w:ascii="仿宋" w:hAnsi="仿宋" w:eastAsia="仿宋" w:cs="仿宋"/>
                <w:sz w:val="20"/>
                <w:szCs w:val="21"/>
              </w:rPr>
              <w:t>交货期</w:t>
            </w:r>
          </w:p>
        </w:tc>
        <w:tc>
          <w:tcPr>
            <w:tcW w:w="193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utoSpaceDE w:val="0"/>
              <w:autoSpaceDN w:val="0"/>
              <w:adjustRightInd w:val="0"/>
              <w:spacing w:before="0" w:beforeAutospacing="0" w:after="0" w:afterAutospacing="0"/>
              <w:ind w:left="0" w:right="0"/>
              <w:jc w:val="center"/>
              <w:rPr>
                <w:rFonts w:hint="eastAsia" w:ascii="仿宋" w:hAnsi="仿宋" w:eastAsia="仿宋" w:cs="仿宋"/>
                <w:sz w:val="20"/>
                <w:szCs w:val="21"/>
                <w:lang w:val="zh-CN"/>
              </w:rPr>
            </w:pPr>
            <w:r>
              <w:rPr>
                <w:rFonts w:hint="eastAsia" w:ascii="仿宋" w:hAnsi="仿宋" w:eastAsia="仿宋" w:cs="仿宋"/>
                <w:sz w:val="20"/>
                <w:szCs w:val="21"/>
                <w:lang w:val="zh-CN"/>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firstLine="200" w:firstLineChars="100"/>
              <w:rPr>
                <w:rFonts w:hint="eastAsia" w:ascii="仿宋" w:hAnsi="仿宋" w:eastAsia="仿宋" w:cs="仿宋"/>
                <w:sz w:val="20"/>
                <w:szCs w:val="21"/>
              </w:rPr>
            </w:pPr>
          </w:p>
        </w:tc>
        <w:tc>
          <w:tcPr>
            <w:tcW w:w="1027"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0"/>
                <w:szCs w:val="21"/>
              </w:rPr>
            </w:pPr>
          </w:p>
        </w:tc>
        <w:tc>
          <w:tcPr>
            <w:tcW w:w="604"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rPr>
                <w:rFonts w:hint="eastAsia" w:ascii="仿宋" w:hAnsi="仿宋" w:eastAsia="仿宋" w:cs="仿宋"/>
                <w:sz w:val="20"/>
                <w:szCs w:val="21"/>
              </w:rPr>
            </w:pPr>
          </w:p>
        </w:tc>
        <w:tc>
          <w:tcPr>
            <w:tcW w:w="531"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firstLine="100" w:firstLineChars="50"/>
              <w:rPr>
                <w:rFonts w:hint="eastAsia" w:ascii="仿宋" w:hAnsi="仿宋" w:eastAsia="仿宋" w:cs="仿宋"/>
                <w:sz w:val="20"/>
                <w:szCs w:val="21"/>
              </w:rPr>
            </w:pPr>
          </w:p>
        </w:tc>
        <w:tc>
          <w:tcPr>
            <w:tcW w:w="1064"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firstLine="100" w:firstLineChars="50"/>
              <w:jc w:val="center"/>
              <w:rPr>
                <w:rFonts w:hint="eastAsia" w:ascii="仿宋" w:hAnsi="仿宋" w:eastAsia="仿宋" w:cs="仿宋"/>
                <w:sz w:val="20"/>
                <w:szCs w:val="21"/>
              </w:rPr>
            </w:pPr>
          </w:p>
        </w:tc>
        <w:tc>
          <w:tcPr>
            <w:tcW w:w="888"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firstLine="200" w:firstLineChars="100"/>
              <w:rPr>
                <w:rFonts w:hint="eastAsia" w:ascii="仿宋" w:hAnsi="仿宋" w:eastAsia="仿宋" w:cs="仿宋"/>
                <w:sz w:val="20"/>
                <w:szCs w:val="21"/>
              </w:rPr>
            </w:pPr>
          </w:p>
        </w:tc>
        <w:tc>
          <w:tcPr>
            <w:tcW w:w="917"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0"/>
                <w:szCs w:val="21"/>
              </w:rPr>
            </w:pPr>
          </w:p>
        </w:tc>
        <w:tc>
          <w:tcPr>
            <w:tcW w:w="932" w:type="dxa"/>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firstLine="100" w:firstLineChars="50"/>
              <w:rPr>
                <w:rFonts w:hint="eastAsia" w:ascii="仿宋" w:hAnsi="仿宋" w:eastAsia="仿宋" w:cs="仿宋"/>
                <w:sz w:val="20"/>
                <w:szCs w:val="21"/>
              </w:rPr>
            </w:pPr>
          </w:p>
        </w:tc>
        <w:tc>
          <w:tcPr>
            <w:tcW w:w="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utoSpaceDE w:val="0"/>
              <w:autoSpaceDN w:val="0"/>
              <w:adjustRightInd w:val="0"/>
              <w:spacing w:before="0" w:beforeAutospacing="0" w:after="0" w:afterAutospacing="0"/>
              <w:ind w:left="0" w:right="0"/>
              <w:jc w:val="center"/>
              <w:rPr>
                <w:rFonts w:hint="eastAsia" w:ascii="仿宋" w:hAnsi="仿宋" w:eastAsia="仿宋" w:cs="仿宋"/>
                <w:sz w:val="18"/>
                <w:szCs w:val="18"/>
                <w:lang w:val="zh-CN"/>
              </w:rPr>
            </w:pPr>
            <w:r>
              <w:rPr>
                <w:rFonts w:hint="eastAsia" w:ascii="仿宋" w:hAnsi="仿宋" w:eastAsia="仿宋" w:cs="仿宋"/>
                <w:sz w:val="18"/>
                <w:szCs w:val="18"/>
                <w:lang w:val="zh-CN"/>
              </w:rPr>
              <w:t>预算内</w:t>
            </w:r>
          </w:p>
        </w:tc>
        <w:tc>
          <w:tcPr>
            <w:tcW w:w="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utoSpaceDE w:val="0"/>
              <w:autoSpaceDN w:val="0"/>
              <w:adjustRightInd w:val="0"/>
              <w:spacing w:before="0" w:beforeAutospacing="0" w:after="0" w:afterAutospacing="0"/>
              <w:ind w:left="0" w:right="0"/>
              <w:jc w:val="center"/>
              <w:rPr>
                <w:rFonts w:hint="eastAsia" w:ascii="仿宋" w:hAnsi="仿宋" w:eastAsia="仿宋" w:cs="仿宋"/>
                <w:sz w:val="18"/>
                <w:szCs w:val="18"/>
                <w:lang w:val="zh-CN"/>
              </w:rPr>
            </w:pPr>
            <w:r>
              <w:rPr>
                <w:rFonts w:hint="eastAsia" w:ascii="仿宋" w:hAnsi="仿宋" w:eastAsia="仿宋" w:cs="仿宋"/>
                <w:sz w:val="18"/>
                <w:szCs w:val="18"/>
                <w:lang w:val="zh-CN"/>
              </w:rPr>
              <w:t>预算外</w:t>
            </w:r>
          </w:p>
        </w:tc>
        <w:tc>
          <w:tcPr>
            <w:tcW w:w="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utoSpaceDE w:val="0"/>
              <w:autoSpaceDN w:val="0"/>
              <w:adjustRightInd w:val="0"/>
              <w:spacing w:before="0" w:beforeAutospacing="0" w:after="0" w:afterAutospacing="0"/>
              <w:ind w:left="0" w:right="0"/>
              <w:jc w:val="center"/>
              <w:rPr>
                <w:rFonts w:hint="eastAsia" w:ascii="仿宋" w:hAnsi="仿宋" w:eastAsia="仿宋" w:cs="仿宋"/>
                <w:sz w:val="18"/>
                <w:szCs w:val="18"/>
                <w:lang w:val="zh-CN"/>
              </w:rPr>
            </w:pPr>
            <w:r>
              <w:rPr>
                <w:rFonts w:hint="eastAsia" w:ascii="仿宋" w:hAnsi="仿宋" w:eastAsia="仿宋" w:cs="仿宋"/>
                <w:sz w:val="18"/>
                <w:szCs w:val="18"/>
                <w:lang w:val="zh-CN"/>
              </w:rPr>
              <w:t>自</w:t>
            </w:r>
          </w:p>
          <w:p>
            <w:pPr>
              <w:keepNext w:val="0"/>
              <w:keepLines w:val="0"/>
              <w:widowControl/>
              <w:suppressLineNumbers w:val="0"/>
              <w:autoSpaceDE w:val="0"/>
              <w:autoSpaceDN w:val="0"/>
              <w:adjustRightInd w:val="0"/>
              <w:spacing w:before="0" w:beforeAutospacing="0" w:after="0" w:afterAutospacing="0"/>
              <w:ind w:left="0" w:right="0"/>
              <w:jc w:val="center"/>
              <w:rPr>
                <w:rFonts w:hint="eastAsia" w:ascii="仿宋" w:hAnsi="仿宋" w:eastAsia="仿宋" w:cs="仿宋"/>
                <w:sz w:val="18"/>
                <w:szCs w:val="18"/>
                <w:lang w:val="zh-CN"/>
              </w:rPr>
            </w:pPr>
          </w:p>
          <w:p>
            <w:pPr>
              <w:keepNext w:val="0"/>
              <w:keepLines w:val="0"/>
              <w:widowControl/>
              <w:suppressLineNumbers w:val="0"/>
              <w:autoSpaceDE w:val="0"/>
              <w:autoSpaceDN w:val="0"/>
              <w:adjustRightInd w:val="0"/>
              <w:spacing w:before="0" w:beforeAutospacing="0" w:after="0" w:afterAutospacing="0"/>
              <w:ind w:left="0" w:right="0"/>
              <w:jc w:val="center"/>
              <w:rPr>
                <w:rFonts w:hint="eastAsia" w:ascii="仿宋" w:hAnsi="仿宋" w:eastAsia="仿宋" w:cs="仿宋"/>
                <w:sz w:val="18"/>
                <w:szCs w:val="18"/>
                <w:lang w:val="zh-CN"/>
              </w:rPr>
            </w:pPr>
            <w:r>
              <w:rPr>
                <w:rFonts w:hint="eastAsia" w:ascii="仿宋" w:hAnsi="仿宋" w:eastAsia="仿宋" w:cs="仿宋"/>
                <w:sz w:val="18"/>
                <w:szCs w:val="18"/>
                <w:lang w:val="zh-CN"/>
              </w:rPr>
              <w:t>筹</w:t>
            </w:r>
          </w:p>
        </w:tc>
        <w:tc>
          <w:tcPr>
            <w:tcW w:w="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autoSpaceDE w:val="0"/>
              <w:autoSpaceDN w:val="0"/>
              <w:adjustRightInd w:val="0"/>
              <w:spacing w:before="0" w:beforeAutospacing="0" w:after="0" w:afterAutospacing="0"/>
              <w:ind w:left="0" w:right="0"/>
              <w:jc w:val="center"/>
              <w:rPr>
                <w:rFonts w:hint="eastAsia" w:ascii="仿宋" w:hAnsi="仿宋" w:eastAsia="仿宋" w:cs="仿宋"/>
                <w:sz w:val="18"/>
                <w:szCs w:val="18"/>
                <w:lang w:val="zh-CN"/>
              </w:rPr>
            </w:pPr>
            <w:r>
              <w:rPr>
                <w:rFonts w:hint="eastAsia" w:ascii="仿宋" w:hAnsi="仿宋" w:eastAsia="仿宋" w:cs="仿宋"/>
                <w:sz w:val="18"/>
                <w:szCs w:val="18"/>
                <w:lang w:val="zh-CN"/>
              </w:rPr>
              <w:t>其</w:t>
            </w:r>
          </w:p>
          <w:p>
            <w:pPr>
              <w:keepNext w:val="0"/>
              <w:keepLines w:val="0"/>
              <w:widowControl/>
              <w:suppressLineNumbers w:val="0"/>
              <w:autoSpaceDE w:val="0"/>
              <w:autoSpaceDN w:val="0"/>
              <w:adjustRightInd w:val="0"/>
              <w:spacing w:before="0" w:beforeAutospacing="0" w:after="0" w:afterAutospacing="0"/>
              <w:ind w:left="0" w:right="0"/>
              <w:jc w:val="center"/>
              <w:rPr>
                <w:rFonts w:hint="eastAsia" w:ascii="仿宋" w:hAnsi="仿宋" w:eastAsia="仿宋" w:cs="仿宋"/>
                <w:sz w:val="18"/>
                <w:szCs w:val="18"/>
                <w:lang w:val="zh-CN"/>
              </w:rPr>
            </w:pPr>
          </w:p>
          <w:p>
            <w:pPr>
              <w:keepNext w:val="0"/>
              <w:keepLines w:val="0"/>
              <w:widowControl/>
              <w:suppressLineNumbers w:val="0"/>
              <w:autoSpaceDE w:val="0"/>
              <w:autoSpaceDN w:val="0"/>
              <w:adjustRightInd w:val="0"/>
              <w:spacing w:before="0" w:beforeAutospacing="0" w:after="0" w:afterAutospacing="0"/>
              <w:ind w:left="0" w:right="0"/>
              <w:jc w:val="center"/>
              <w:rPr>
                <w:rFonts w:hint="eastAsia" w:ascii="仿宋" w:hAnsi="仿宋" w:eastAsia="仿宋" w:cs="仿宋"/>
                <w:sz w:val="18"/>
                <w:szCs w:val="18"/>
                <w:lang w:val="zh-CN"/>
              </w:rPr>
            </w:pPr>
            <w:r>
              <w:rPr>
                <w:rFonts w:hint="eastAsia" w:ascii="仿宋" w:hAnsi="仿宋" w:eastAsia="仿宋" w:cs="仿宋"/>
                <w:sz w:val="18"/>
                <w:szCs w:val="18"/>
                <w:lang w:val="zh-CN"/>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6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5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9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6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5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9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r>
              <w:rPr>
                <w:rFonts w:hint="eastAsia" w:ascii="仿宋" w:hAnsi="仿宋" w:eastAsia="仿宋" w:cs="仿宋"/>
                <w:sz w:val="24"/>
                <w:szCs w:val="20"/>
              </w:rPr>
              <w:t> </w:t>
            </w: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400" w:lineRule="exact"/>
              <w:ind w:left="0" w:right="0"/>
              <w:jc w:val="center"/>
              <w:rPr>
                <w:rFonts w:hint="eastAsia" w:ascii="仿宋" w:hAnsi="仿宋" w:eastAsia="仿宋" w:cs="仿宋"/>
                <w:sz w:val="24"/>
                <w:szCs w:val="20"/>
              </w:rPr>
            </w:pPr>
          </w:p>
        </w:tc>
      </w:tr>
    </w:tbl>
    <w:p>
      <w:pPr>
        <w:rPr>
          <w:rFonts w:hint="eastAsia" w:ascii="仿宋" w:hAnsi="仿宋" w:eastAsia="仿宋" w:cs="仿宋"/>
          <w:sz w:val="28"/>
          <w:szCs w:val="28"/>
        </w:rPr>
      </w:pPr>
    </w:p>
    <w:p>
      <w:pPr>
        <w:spacing w:line="400" w:lineRule="exact"/>
        <w:rPr>
          <w:rFonts w:hint="eastAsia" w:ascii="仿宋" w:hAnsi="仿宋" w:eastAsia="仿宋" w:cs="仿宋"/>
          <w:sz w:val="24"/>
        </w:rPr>
      </w:pPr>
      <w:r>
        <w:rPr>
          <w:rFonts w:hint="eastAsia" w:ascii="仿宋" w:hAnsi="仿宋" w:eastAsia="仿宋" w:cs="仿宋"/>
          <w:sz w:val="24"/>
        </w:rPr>
        <w:t>二、合同总价</w:t>
      </w:r>
    </w:p>
    <w:p>
      <w:pPr>
        <w:pStyle w:val="13"/>
        <w:spacing w:line="400" w:lineRule="exact"/>
        <w:ind w:left="0" w:leftChars="0" w:firstLine="0" w:firstLineChars="0"/>
        <w:rPr>
          <w:rFonts w:hint="eastAsia" w:ascii="仿宋" w:hAnsi="仿宋" w:eastAsia="仿宋" w:cs="仿宋"/>
          <w:sz w:val="24"/>
        </w:rPr>
      </w:pPr>
      <w:r>
        <w:rPr>
          <w:rFonts w:hint="eastAsia" w:ascii="仿宋" w:hAnsi="仿宋" w:eastAsia="仿宋" w:cs="仿宋"/>
          <w:sz w:val="24"/>
        </w:rPr>
        <w:t>合同总价为人民币大写：XXX元，即RMB￥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tabs>
          <w:tab w:val="left" w:pos="2145"/>
        </w:tabs>
        <w:spacing w:line="400" w:lineRule="exact"/>
        <w:rPr>
          <w:rFonts w:hint="eastAsia" w:ascii="仿宋" w:hAnsi="仿宋" w:eastAsia="仿宋" w:cs="仿宋"/>
          <w:sz w:val="24"/>
        </w:rPr>
      </w:pPr>
    </w:p>
    <w:p>
      <w:pPr>
        <w:tabs>
          <w:tab w:val="left" w:pos="2145"/>
        </w:tabs>
        <w:rPr>
          <w:rFonts w:hint="eastAsia" w:ascii="仿宋" w:hAnsi="仿宋" w:eastAsia="仿宋" w:cs="仿宋"/>
          <w:sz w:val="24"/>
        </w:rPr>
      </w:pPr>
      <w:r>
        <w:rPr>
          <w:rFonts w:hint="eastAsia" w:ascii="仿宋" w:hAnsi="仿宋" w:eastAsia="仿宋" w:cs="仿宋"/>
          <w:sz w:val="24"/>
        </w:rPr>
        <w:t>三、质量要求</w:t>
      </w:r>
      <w:r>
        <w:rPr>
          <w:rFonts w:hint="eastAsia" w:ascii="仿宋" w:hAnsi="仿宋" w:eastAsia="仿宋" w:cs="仿宋"/>
          <w:sz w:val="24"/>
        </w:rPr>
        <w:tab/>
      </w:r>
    </w:p>
    <w:p>
      <w:pPr>
        <w:pStyle w:val="76"/>
        <w:ind w:firstLine="480"/>
        <w:rPr>
          <w:rFonts w:hint="eastAsia" w:ascii="仿宋" w:hAnsi="仿宋" w:eastAsia="仿宋" w:cs="仿宋"/>
        </w:rPr>
      </w:pPr>
      <w:r>
        <w:rPr>
          <w:rFonts w:hint="eastAsia" w:ascii="仿宋" w:hAnsi="仿宋" w:eastAsia="仿宋" w:cs="仿宋"/>
        </w:rPr>
        <w:t>1.乙方须提供全新的货物（含零部件、配件等），表面无划伤、无碰撞痕迹，且权属清楚，不得侵害他人的知识产权。</w:t>
      </w:r>
    </w:p>
    <w:p>
      <w:pPr>
        <w:pStyle w:val="76"/>
        <w:ind w:firstLine="480"/>
        <w:rPr>
          <w:rFonts w:hint="eastAsia" w:ascii="仿宋" w:hAnsi="仿宋" w:eastAsia="仿宋" w:cs="仿宋"/>
        </w:rPr>
      </w:pPr>
      <w:r>
        <w:rPr>
          <w:rFonts w:hint="eastAsia" w:ascii="仿宋" w:hAnsi="仿宋" w:eastAsia="仿宋" w:cs="仿宋"/>
        </w:rPr>
        <w:t>2.货物必须符合或优于国家（行业）XXX标准，以及本项目磋商文件的质量要求和技术指标与出厂标准。</w:t>
      </w:r>
    </w:p>
    <w:p>
      <w:pPr>
        <w:pStyle w:val="76"/>
        <w:ind w:firstLine="480"/>
        <w:rPr>
          <w:rFonts w:hint="eastAsia" w:ascii="仿宋" w:hAnsi="仿宋" w:eastAsia="仿宋" w:cs="仿宋"/>
        </w:rPr>
      </w:pPr>
      <w:r>
        <w:rPr>
          <w:rFonts w:hint="eastAsia" w:ascii="仿宋" w:hAnsi="仿宋" w:eastAsia="仿宋" w:cs="仿宋"/>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pPr>
        <w:pStyle w:val="76"/>
        <w:ind w:firstLine="480"/>
        <w:rPr>
          <w:rFonts w:hint="eastAsia" w:ascii="仿宋" w:hAnsi="仿宋" w:eastAsia="仿宋" w:cs="仿宋"/>
        </w:rPr>
      </w:pPr>
      <w:r>
        <w:rPr>
          <w:rFonts w:hint="eastAsia" w:ascii="仿宋" w:hAnsi="仿宋" w:eastAsia="仿宋" w:cs="仿宋"/>
        </w:rPr>
        <w:t>4.货物制造质量出现问题，乙方应负责三包（包修、包换、包退），费用由乙方负担，甲方有权到乙方生产场地检查货物质量和生产进度。</w:t>
      </w:r>
    </w:p>
    <w:p>
      <w:pPr>
        <w:pStyle w:val="76"/>
        <w:ind w:firstLine="480"/>
        <w:rPr>
          <w:rFonts w:hint="eastAsia" w:ascii="仿宋" w:hAnsi="仿宋" w:eastAsia="仿宋" w:cs="仿宋"/>
        </w:rPr>
      </w:pPr>
      <w:r>
        <w:rPr>
          <w:rFonts w:hint="eastAsia" w:ascii="仿宋" w:hAnsi="仿宋" w:eastAsia="仿宋" w:cs="仿宋"/>
        </w:rPr>
        <w:t>5.货物到现场后由于甲方保管不当造成的质量问题，乙方亦应负责修理，但费用由甲方负担。</w:t>
      </w:r>
    </w:p>
    <w:p>
      <w:pPr>
        <w:rPr>
          <w:rFonts w:hint="eastAsia" w:ascii="仿宋" w:hAnsi="仿宋" w:eastAsia="仿宋" w:cs="仿宋"/>
          <w:sz w:val="28"/>
          <w:szCs w:val="28"/>
        </w:rPr>
      </w:pPr>
    </w:p>
    <w:p>
      <w:pPr>
        <w:ind w:firstLine="470" w:firstLineChars="196"/>
        <w:rPr>
          <w:rFonts w:hint="eastAsia" w:ascii="仿宋" w:hAnsi="仿宋" w:eastAsia="仿宋" w:cs="仿宋"/>
          <w:sz w:val="24"/>
        </w:rPr>
      </w:pPr>
      <w:r>
        <w:rPr>
          <w:rFonts w:hint="eastAsia" w:ascii="仿宋" w:hAnsi="仿宋" w:eastAsia="仿宋" w:cs="仿宋"/>
          <w:sz w:val="24"/>
        </w:rPr>
        <w:t>四、交货及验收</w:t>
      </w:r>
    </w:p>
    <w:p>
      <w:pPr>
        <w:pStyle w:val="76"/>
        <w:ind w:firstLine="480"/>
        <w:rPr>
          <w:rFonts w:hint="eastAsia" w:ascii="仿宋" w:hAnsi="仿宋" w:eastAsia="仿宋" w:cs="仿宋"/>
        </w:rPr>
      </w:pPr>
      <w:r>
        <w:rPr>
          <w:rFonts w:hint="eastAsia" w:ascii="仿宋" w:hAnsi="仿宋" w:eastAsia="仿宋" w:cs="仿宋"/>
        </w:rPr>
        <w:t>1.乙方交货期限为合同签订生效后的XXX日内，在合同签订生效之日起（XXX）天内交货到甲方指定地点，随即在XXX日内全部完成安装调试验收合格交付使用(如由于采购人的原因造成合同延迟签订或验收的，时间顺延)。交货验收时须提供产品质检部门从同类产品中抽样检查合格的检测报告。</w:t>
      </w:r>
    </w:p>
    <w:p>
      <w:pPr>
        <w:pStyle w:val="76"/>
        <w:ind w:firstLine="480"/>
        <w:rPr>
          <w:rFonts w:hint="eastAsia" w:ascii="仿宋" w:hAnsi="仿宋" w:eastAsia="仿宋" w:cs="仿宋"/>
        </w:rPr>
      </w:pPr>
      <w:r>
        <w:rPr>
          <w:rFonts w:hint="eastAsia" w:ascii="仿宋" w:hAnsi="仿宋" w:eastAsia="仿宋" w:cs="仿宋"/>
        </w:rPr>
        <w:t>2.验收由甲方组织，乙方配合进行：</w:t>
      </w:r>
    </w:p>
    <w:p>
      <w:pPr>
        <w:pStyle w:val="76"/>
        <w:ind w:firstLine="480"/>
        <w:rPr>
          <w:rFonts w:hint="eastAsia" w:ascii="仿宋" w:hAnsi="仿宋" w:eastAsia="仿宋" w:cs="仿宋"/>
        </w:rPr>
      </w:pPr>
      <w:r>
        <w:rPr>
          <w:rFonts w:hint="eastAsia" w:ascii="仿宋" w:hAnsi="仿宋" w:eastAsia="仿宋" w:cs="仿宋"/>
        </w:rPr>
        <w:t>(1) 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76"/>
        <w:ind w:firstLine="480"/>
        <w:rPr>
          <w:rFonts w:hint="eastAsia" w:ascii="仿宋" w:hAnsi="仿宋" w:eastAsia="仿宋" w:cs="仿宋"/>
        </w:rPr>
      </w:pPr>
      <w:r>
        <w:rPr>
          <w:rFonts w:hint="eastAsia" w:ascii="仿宋" w:hAnsi="仿宋" w:eastAsia="仿宋" w:cs="仿宋"/>
        </w:rPr>
        <w:t>(2) 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pPr>
        <w:pStyle w:val="76"/>
        <w:ind w:firstLine="480"/>
        <w:rPr>
          <w:rFonts w:hint="eastAsia" w:ascii="仿宋" w:hAnsi="仿宋" w:eastAsia="仿宋" w:cs="仿宋"/>
        </w:rPr>
      </w:pPr>
      <w:r>
        <w:rPr>
          <w:rFonts w:hint="eastAsia" w:ascii="仿宋" w:hAnsi="仿宋" w:eastAsia="仿宋" w:cs="仿宋"/>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76"/>
        <w:ind w:firstLine="480"/>
        <w:rPr>
          <w:rFonts w:hint="eastAsia" w:ascii="仿宋" w:hAnsi="仿宋" w:eastAsia="仿宋" w:cs="仿宋"/>
        </w:rPr>
      </w:pPr>
      <w:r>
        <w:rPr>
          <w:rFonts w:hint="eastAsia" w:ascii="仿宋" w:hAnsi="仿宋" w:eastAsia="仿宋" w:cs="仿宋"/>
        </w:rPr>
        <w:t>(4)如质量验收合格，双方签署质量验收报告。</w:t>
      </w:r>
    </w:p>
    <w:p>
      <w:pPr>
        <w:pStyle w:val="76"/>
        <w:ind w:firstLine="480"/>
        <w:rPr>
          <w:rFonts w:hint="eastAsia" w:ascii="仿宋" w:hAnsi="仿宋" w:eastAsia="仿宋" w:cs="仿宋"/>
        </w:rPr>
      </w:pPr>
      <w:r>
        <w:rPr>
          <w:rFonts w:hint="eastAsia" w:ascii="仿宋" w:hAnsi="仿宋" w:eastAsia="仿宋" w:cs="仿宋"/>
        </w:rPr>
        <w:t>3.货物安装调试完毕后XXX日内，甲方无故不进行验收工作并已使用货物的，视同验收合格。</w:t>
      </w:r>
    </w:p>
    <w:p>
      <w:pPr>
        <w:pStyle w:val="76"/>
        <w:ind w:firstLine="480"/>
        <w:rPr>
          <w:rFonts w:hint="eastAsia" w:ascii="仿宋" w:hAnsi="仿宋" w:eastAsia="仿宋" w:cs="仿宋"/>
        </w:rPr>
      </w:pPr>
      <w:r>
        <w:rPr>
          <w:rFonts w:hint="eastAsia" w:ascii="仿宋" w:hAnsi="仿宋" w:eastAsia="仿宋" w:cs="仿宋"/>
        </w:rPr>
        <w:t>4.乙方应将所提供货物的装箱清单、配件、随机工具、用户使用手册、原厂保修卡等资料交付给甲方；乙方不能完整交付货物及本款规定的单证和工具的，必须负责补齐，否则视为未按合同约定交货。</w:t>
      </w:r>
    </w:p>
    <w:p>
      <w:pPr>
        <w:pStyle w:val="76"/>
        <w:ind w:firstLine="480"/>
        <w:rPr>
          <w:rFonts w:hint="eastAsia" w:ascii="仿宋" w:hAnsi="仿宋" w:eastAsia="仿宋" w:cs="仿宋"/>
        </w:rPr>
      </w:pPr>
      <w:r>
        <w:rPr>
          <w:rFonts w:hint="eastAsia" w:ascii="仿宋" w:hAnsi="仿宋" w:eastAsia="仿宋" w:cs="仿宋"/>
        </w:rPr>
        <w:t>5.如货物经乙方XXX次维修仍不能达到合同约定的质量标准，甲方有权退货，并视作乙方不能交付货物且须支付违约赔偿金给甲方，甲方还可依法追究乙方的违约责任。</w:t>
      </w:r>
    </w:p>
    <w:p>
      <w:pPr>
        <w:pStyle w:val="76"/>
        <w:ind w:firstLine="480"/>
        <w:rPr>
          <w:rFonts w:hint="eastAsia" w:ascii="仿宋" w:hAnsi="仿宋" w:eastAsia="仿宋" w:cs="仿宋"/>
        </w:rPr>
      </w:pPr>
      <w:r>
        <w:rPr>
          <w:rFonts w:hint="eastAsia" w:ascii="仿宋" w:hAnsi="仿宋" w:eastAsia="仿宋" w:cs="仿宋"/>
        </w:rPr>
        <w:t>6.其他未尽事宜应严格按照《财政部关于进一步加强政府采购需求和履约验收管理的指导意见》(财库〔2016〕205号)、《政府采购需求管理办法》的要求进行。 </w:t>
      </w:r>
    </w:p>
    <w:p>
      <w:pPr>
        <w:ind w:firstLine="470" w:firstLineChars="196"/>
        <w:rPr>
          <w:rFonts w:hint="eastAsia" w:ascii="仿宋" w:hAnsi="仿宋" w:eastAsia="仿宋" w:cs="仿宋"/>
          <w:sz w:val="24"/>
        </w:rPr>
      </w:pPr>
    </w:p>
    <w:p>
      <w:pPr>
        <w:ind w:firstLine="470" w:firstLineChars="196"/>
        <w:rPr>
          <w:rFonts w:hint="eastAsia" w:ascii="仿宋" w:hAnsi="仿宋" w:eastAsia="仿宋" w:cs="仿宋"/>
          <w:sz w:val="24"/>
        </w:rPr>
      </w:pPr>
      <w:r>
        <w:rPr>
          <w:rFonts w:hint="eastAsia" w:ascii="仿宋" w:hAnsi="仿宋" w:eastAsia="仿宋" w:cs="仿宋"/>
          <w:sz w:val="24"/>
        </w:rPr>
        <w:t>五、付款方式</w:t>
      </w:r>
    </w:p>
    <w:p>
      <w:pPr>
        <w:pStyle w:val="76"/>
        <w:ind w:firstLine="480"/>
        <w:rPr>
          <w:rFonts w:hint="eastAsia" w:ascii="仿宋" w:hAnsi="仿宋" w:eastAsia="仿宋" w:cs="仿宋"/>
        </w:rPr>
      </w:pPr>
      <w:r>
        <w:rPr>
          <w:rFonts w:hint="eastAsia" w:ascii="仿宋" w:hAnsi="仿宋" w:eastAsia="仿宋" w:cs="仿宋"/>
        </w:rPr>
        <w:t>1.甲方在本合同签订生效之日起接到乙方通知和票据凭证资料以及乙方交给甲方的合同履约保证金（按合同总价的百分之XXX  计算款额￥XXX元，人民币大写：XXX元整）后的XXX日内支付合同金额百分之XXX的价款。</w:t>
      </w:r>
    </w:p>
    <w:p>
      <w:pPr>
        <w:pStyle w:val="76"/>
        <w:ind w:firstLine="480"/>
        <w:rPr>
          <w:rFonts w:hint="eastAsia" w:ascii="仿宋" w:hAnsi="仿宋" w:eastAsia="仿宋" w:cs="仿宋"/>
        </w:rPr>
      </w:pPr>
      <w:r>
        <w:rPr>
          <w:rFonts w:hint="eastAsia" w:ascii="仿宋" w:hAnsi="仿宋" w:eastAsia="仿宋" w:cs="仿宋"/>
        </w:rPr>
        <w:t>2.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pPr>
        <w:pStyle w:val="76"/>
        <w:ind w:firstLine="480"/>
        <w:rPr>
          <w:rFonts w:hint="eastAsia" w:ascii="仿宋" w:hAnsi="仿宋" w:eastAsia="仿宋" w:cs="仿宋"/>
        </w:rPr>
      </w:pPr>
      <w:r>
        <w:rPr>
          <w:rFonts w:hint="eastAsia" w:ascii="仿宋" w:hAnsi="仿宋" w:eastAsia="仿宋" w:cs="仿宋"/>
        </w:rPr>
        <w:t>3.乙方须向甲方出具合法有效完整的完税发票及凭证资料进行支付结算。</w:t>
      </w:r>
    </w:p>
    <w:p>
      <w:pPr>
        <w:pStyle w:val="76"/>
        <w:ind w:firstLine="480"/>
        <w:rPr>
          <w:rFonts w:hint="eastAsia" w:ascii="仿宋" w:hAnsi="仿宋" w:eastAsia="仿宋" w:cs="仿宋"/>
        </w:rPr>
      </w:pPr>
      <w:r>
        <w:rPr>
          <w:rFonts w:hint="eastAsia" w:ascii="仿宋" w:hAnsi="仿宋" w:eastAsia="仿宋" w:cs="仿宋"/>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pPr>
        <w:pStyle w:val="76"/>
        <w:ind w:firstLine="560"/>
        <w:rPr>
          <w:rFonts w:hint="eastAsia" w:ascii="仿宋" w:hAnsi="仿宋" w:eastAsia="仿宋" w:cs="仿宋"/>
          <w:sz w:val="28"/>
          <w:szCs w:val="28"/>
        </w:rPr>
      </w:pPr>
    </w:p>
    <w:p>
      <w:pPr>
        <w:pStyle w:val="76"/>
        <w:ind w:firstLine="480"/>
        <w:rPr>
          <w:rFonts w:hint="eastAsia" w:ascii="仿宋" w:hAnsi="仿宋" w:eastAsia="仿宋" w:cs="仿宋"/>
        </w:rPr>
      </w:pPr>
      <w:r>
        <w:rPr>
          <w:rFonts w:hint="eastAsia" w:ascii="仿宋" w:hAnsi="仿宋" w:eastAsia="仿宋" w:cs="仿宋"/>
        </w:rPr>
        <w:t>六、售后服务</w:t>
      </w:r>
    </w:p>
    <w:p>
      <w:pPr>
        <w:pStyle w:val="76"/>
        <w:ind w:firstLine="480"/>
        <w:rPr>
          <w:rFonts w:hint="eastAsia" w:ascii="仿宋" w:hAnsi="仿宋" w:eastAsia="仿宋" w:cs="仿宋"/>
        </w:rPr>
      </w:pPr>
      <w:r>
        <w:rPr>
          <w:rFonts w:hint="eastAsia" w:ascii="仿宋" w:hAnsi="仿宋" w:eastAsia="仿宋" w:cs="仿宋"/>
        </w:rPr>
        <w:t>1.质保期为验收合格后</w:t>
      </w:r>
      <w:r>
        <w:rPr>
          <w:rFonts w:hint="eastAsia" w:ascii="仿宋" w:hAnsi="仿宋" w:eastAsia="仿宋" w:cs="仿宋"/>
          <w:szCs w:val="21"/>
        </w:rPr>
        <w:t>XX</w:t>
      </w:r>
      <w:r>
        <w:rPr>
          <w:rFonts w:hint="eastAsia" w:ascii="仿宋" w:hAnsi="仿宋" w:eastAsia="仿宋" w:cs="仿宋"/>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pPr>
        <w:pStyle w:val="76"/>
        <w:ind w:firstLine="480"/>
        <w:rPr>
          <w:rFonts w:hint="eastAsia" w:ascii="仿宋" w:hAnsi="仿宋" w:eastAsia="仿宋" w:cs="仿宋"/>
        </w:rPr>
      </w:pPr>
      <w:r>
        <w:rPr>
          <w:rFonts w:hint="eastAsia" w:ascii="仿宋" w:hAnsi="仿宋" w:eastAsia="仿宋" w:cs="仿宋"/>
        </w:rPr>
        <w:t>2.乙方须指派专人负责与甲方联系售后服务事宜。 </w:t>
      </w:r>
    </w:p>
    <w:p>
      <w:pPr>
        <w:ind w:firstLine="470" w:firstLineChars="196"/>
        <w:rPr>
          <w:rFonts w:hint="eastAsia" w:ascii="仿宋" w:hAnsi="仿宋" w:eastAsia="仿宋" w:cs="仿宋"/>
          <w:sz w:val="24"/>
        </w:rPr>
      </w:pPr>
    </w:p>
    <w:p>
      <w:pPr>
        <w:ind w:firstLine="470" w:firstLineChars="196"/>
        <w:rPr>
          <w:rFonts w:hint="eastAsia" w:ascii="仿宋" w:hAnsi="仿宋" w:eastAsia="仿宋" w:cs="仿宋"/>
          <w:sz w:val="24"/>
        </w:rPr>
      </w:pPr>
      <w:r>
        <w:rPr>
          <w:rFonts w:hint="eastAsia" w:ascii="仿宋" w:hAnsi="仿宋" w:eastAsia="仿宋" w:cs="仿宋"/>
          <w:sz w:val="24"/>
        </w:rPr>
        <w:t>七、违约责任</w:t>
      </w:r>
    </w:p>
    <w:p>
      <w:pPr>
        <w:pStyle w:val="76"/>
        <w:ind w:firstLine="480"/>
        <w:rPr>
          <w:rFonts w:hint="eastAsia" w:ascii="仿宋" w:hAnsi="仿宋" w:eastAsia="仿宋" w:cs="仿宋"/>
        </w:rPr>
      </w:pPr>
      <w:r>
        <w:rPr>
          <w:rFonts w:hint="eastAsia" w:ascii="仿宋" w:hAnsi="仿宋" w:eastAsia="仿宋" w:cs="仿宋"/>
        </w:rPr>
        <w:t>1.甲方违约责任</w:t>
      </w:r>
    </w:p>
    <w:p>
      <w:pPr>
        <w:pStyle w:val="76"/>
        <w:ind w:firstLine="480"/>
        <w:rPr>
          <w:rFonts w:hint="eastAsia" w:ascii="仿宋" w:hAnsi="仿宋" w:eastAsia="仿宋" w:cs="仿宋"/>
        </w:rPr>
      </w:pPr>
      <w:r>
        <w:rPr>
          <w:rFonts w:hint="eastAsia" w:ascii="仿宋" w:hAnsi="仿宋" w:eastAsia="仿宋" w:cs="仿宋"/>
        </w:rPr>
        <w:t>（1）甲方无正当理由拒收货物的，甲方应偿付合同总价百分之XXX的违约金；</w:t>
      </w:r>
    </w:p>
    <w:p>
      <w:pPr>
        <w:pStyle w:val="76"/>
        <w:ind w:firstLine="480"/>
        <w:rPr>
          <w:rFonts w:hint="eastAsia" w:ascii="仿宋" w:hAnsi="仿宋" w:eastAsia="仿宋" w:cs="仿宋"/>
        </w:rPr>
      </w:pPr>
      <w:r>
        <w:rPr>
          <w:rFonts w:hint="eastAsia" w:ascii="仿宋" w:hAnsi="仿宋" w:eastAsia="仿宋" w:cs="仿宋"/>
        </w:rPr>
        <w:t>（2）甲方逾期支付货款的，除应及时付足货款外，应向乙方偿付欠款总额万分之XXX/天的违约金；逾期付款超过XXX天的，乙方有权终止合同；</w:t>
      </w:r>
    </w:p>
    <w:p>
      <w:pPr>
        <w:pStyle w:val="76"/>
        <w:ind w:firstLine="480"/>
        <w:rPr>
          <w:rFonts w:hint="eastAsia" w:ascii="仿宋" w:hAnsi="仿宋" w:eastAsia="仿宋" w:cs="仿宋"/>
        </w:rPr>
      </w:pPr>
      <w:r>
        <w:rPr>
          <w:rFonts w:hint="eastAsia" w:ascii="仿宋" w:hAnsi="仿宋" w:eastAsia="仿宋" w:cs="仿宋"/>
        </w:rPr>
        <w:t>（3）甲方偿付的违约金不足以弥补乙方损失的，还应按乙方损失尚未弥补的部分，支付赔偿金给乙方。</w:t>
      </w:r>
    </w:p>
    <w:p>
      <w:pPr>
        <w:pStyle w:val="76"/>
        <w:ind w:firstLine="480"/>
        <w:rPr>
          <w:rFonts w:hint="eastAsia" w:ascii="仿宋" w:hAnsi="仿宋" w:eastAsia="仿宋" w:cs="仿宋"/>
        </w:rPr>
      </w:pPr>
      <w:r>
        <w:rPr>
          <w:rFonts w:hint="eastAsia" w:ascii="仿宋" w:hAnsi="仿宋" w:eastAsia="仿宋" w:cs="仿宋"/>
        </w:rPr>
        <w:t>2.乙方违约责任</w:t>
      </w:r>
    </w:p>
    <w:p>
      <w:pPr>
        <w:pStyle w:val="76"/>
        <w:ind w:firstLine="480"/>
        <w:rPr>
          <w:rFonts w:hint="eastAsia" w:ascii="仿宋" w:hAnsi="仿宋" w:eastAsia="仿宋" w:cs="仿宋"/>
        </w:rPr>
      </w:pPr>
      <w:r>
        <w:rPr>
          <w:rFonts w:hint="eastAsia" w:ascii="仿宋" w:hAnsi="仿宋" w:eastAsia="仿宋" w:cs="仿宋"/>
        </w:rPr>
        <w:t>（1）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76"/>
        <w:ind w:firstLine="480"/>
        <w:rPr>
          <w:rFonts w:hint="eastAsia" w:ascii="仿宋" w:hAnsi="仿宋" w:eastAsia="仿宋" w:cs="仿宋"/>
        </w:rPr>
      </w:pPr>
      <w:r>
        <w:rPr>
          <w:rFonts w:hint="eastAsia" w:ascii="仿宋" w:hAnsi="仿宋" w:eastAsia="仿宋" w:cs="仿宋"/>
        </w:rPr>
        <w:t>（2）乙方不能交付货物或逾期交付货物而违约的，除应及时交足货物外，应向甲方偿付逾期交货部分货款总额的万分之XXX/天的违约金；逾期交货超过</w:t>
      </w:r>
      <w:r>
        <w:rPr>
          <w:rFonts w:hint="eastAsia" w:ascii="仿宋" w:hAnsi="仿宋" w:eastAsia="仿宋" w:cs="仿宋"/>
          <w:szCs w:val="21"/>
        </w:rPr>
        <w:t>XX</w:t>
      </w:r>
      <w:r>
        <w:rPr>
          <w:rFonts w:hint="eastAsia" w:ascii="仿宋" w:hAnsi="仿宋" w:eastAsia="仿宋" w:cs="仿宋"/>
        </w:rPr>
        <w:t>天，甲方有权终止合同，乙方则应按合同总价的百分之XXX的款额向甲方偿付赔偿金，并须全额退还甲方已经付给乙方的货款及其利息。</w:t>
      </w:r>
    </w:p>
    <w:p>
      <w:pPr>
        <w:pStyle w:val="76"/>
        <w:ind w:firstLine="480"/>
        <w:rPr>
          <w:rFonts w:hint="eastAsia" w:ascii="仿宋" w:hAnsi="仿宋" w:eastAsia="仿宋" w:cs="仿宋"/>
        </w:rPr>
      </w:pPr>
      <w:r>
        <w:rPr>
          <w:rFonts w:hint="eastAsia" w:ascii="仿宋" w:hAnsi="仿宋" w:eastAsia="仿宋" w:cs="仿宋"/>
        </w:rPr>
        <w:t>（3）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76"/>
        <w:ind w:firstLine="480"/>
        <w:rPr>
          <w:rFonts w:hint="eastAsia" w:ascii="仿宋" w:hAnsi="仿宋" w:eastAsia="仿宋" w:cs="仿宋"/>
        </w:rPr>
      </w:pPr>
      <w:r>
        <w:rPr>
          <w:rFonts w:hint="eastAsia" w:ascii="仿宋" w:hAnsi="仿宋" w:eastAsia="仿宋" w:cs="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76"/>
        <w:ind w:firstLine="480"/>
        <w:rPr>
          <w:rFonts w:hint="eastAsia" w:ascii="仿宋" w:hAnsi="仿宋" w:eastAsia="仿宋" w:cs="仿宋"/>
        </w:rPr>
      </w:pPr>
      <w:r>
        <w:rPr>
          <w:rFonts w:hint="eastAsia" w:ascii="仿宋" w:hAnsi="仿宋" w:eastAsia="仿宋" w:cs="仿宋"/>
        </w:rPr>
        <w:t>（5）乙方偿付的违约金不足以弥补甲方损失的，还应按甲方损失尚未弥补的部分，支付赔偿金给甲方。</w:t>
      </w:r>
    </w:p>
    <w:p>
      <w:pPr>
        <w:ind w:firstLine="360" w:firstLineChars="150"/>
        <w:rPr>
          <w:rFonts w:hint="eastAsia" w:ascii="仿宋" w:hAnsi="仿宋" w:eastAsia="仿宋" w:cs="仿宋"/>
          <w:sz w:val="24"/>
        </w:rPr>
      </w:pPr>
    </w:p>
    <w:p>
      <w:pPr>
        <w:ind w:firstLine="477" w:firstLineChars="199"/>
        <w:rPr>
          <w:rFonts w:hint="eastAsia" w:ascii="仿宋" w:hAnsi="仿宋" w:eastAsia="仿宋" w:cs="仿宋"/>
          <w:sz w:val="24"/>
        </w:rPr>
      </w:pPr>
      <w:r>
        <w:rPr>
          <w:rFonts w:hint="eastAsia" w:ascii="仿宋" w:hAnsi="仿宋" w:eastAsia="仿宋" w:cs="仿宋"/>
          <w:sz w:val="24"/>
        </w:rPr>
        <w:t>八、争议解决办法</w:t>
      </w:r>
    </w:p>
    <w:p>
      <w:pPr>
        <w:pStyle w:val="76"/>
        <w:ind w:firstLine="480"/>
        <w:rPr>
          <w:rFonts w:hint="eastAsia" w:ascii="仿宋" w:hAnsi="仿宋" w:eastAsia="仿宋" w:cs="仿宋"/>
        </w:rPr>
      </w:pPr>
      <w:r>
        <w:rPr>
          <w:rFonts w:hint="eastAsia" w:ascii="仿宋" w:hAnsi="仿宋" w:eastAsia="仿宋" w:cs="仿宋"/>
        </w:rPr>
        <w:t>1.因货物的质量问题发生争议，由质量技术监督部门或其指定的质量鉴定机构进行质量鉴定。货物符合标准的，鉴定费由甲方承担；货物不符合质量标准的，鉴定费由乙方承担。</w:t>
      </w:r>
    </w:p>
    <w:p>
      <w:pPr>
        <w:pStyle w:val="76"/>
        <w:ind w:firstLine="480"/>
        <w:rPr>
          <w:rFonts w:hint="eastAsia" w:ascii="仿宋" w:hAnsi="仿宋" w:eastAsia="仿宋" w:cs="仿宋"/>
        </w:rPr>
      </w:pPr>
      <w:r>
        <w:rPr>
          <w:rFonts w:hint="eastAsia" w:ascii="仿宋" w:hAnsi="仿宋" w:eastAsia="仿宋" w:cs="仿宋"/>
        </w:rPr>
        <w:t>2.合同履行期间,若双方发生争议，可协商或由有关部门调解解决，协商或调解不成的，由当事人依法维护其合法权益。</w:t>
      </w:r>
    </w:p>
    <w:p>
      <w:pPr>
        <w:ind w:firstLine="360" w:firstLineChars="150"/>
        <w:rPr>
          <w:rFonts w:hint="eastAsia" w:ascii="仿宋" w:hAnsi="仿宋" w:eastAsia="仿宋" w:cs="仿宋"/>
          <w:sz w:val="24"/>
        </w:rPr>
      </w:pPr>
    </w:p>
    <w:p>
      <w:pPr>
        <w:ind w:firstLine="358" w:firstLineChars="128"/>
        <w:rPr>
          <w:rFonts w:hint="eastAsia" w:ascii="仿宋" w:hAnsi="仿宋" w:eastAsia="仿宋" w:cs="仿宋"/>
          <w:sz w:val="28"/>
          <w:szCs w:val="28"/>
        </w:rPr>
      </w:pPr>
      <w:r>
        <w:rPr>
          <w:rFonts w:hint="eastAsia" w:ascii="仿宋" w:hAnsi="仿宋" w:eastAsia="仿宋" w:cs="仿宋"/>
          <w:sz w:val="28"/>
          <w:szCs w:val="28"/>
        </w:rPr>
        <w:t>九、其他</w:t>
      </w:r>
    </w:p>
    <w:p>
      <w:pPr>
        <w:pStyle w:val="76"/>
        <w:ind w:firstLine="480"/>
        <w:rPr>
          <w:rFonts w:hint="eastAsia" w:ascii="仿宋" w:hAnsi="仿宋" w:eastAsia="仿宋" w:cs="仿宋"/>
        </w:rPr>
      </w:pPr>
      <w:r>
        <w:rPr>
          <w:rFonts w:hint="eastAsia" w:ascii="仿宋" w:hAnsi="仿宋" w:eastAsia="仿宋" w:cs="仿宋"/>
        </w:rPr>
        <w:t>1.如有未尽事宜，由双方依法订立补充合同。</w:t>
      </w:r>
    </w:p>
    <w:p>
      <w:pPr>
        <w:pStyle w:val="76"/>
        <w:ind w:firstLine="480"/>
        <w:rPr>
          <w:rFonts w:hint="eastAsia" w:ascii="仿宋" w:hAnsi="仿宋" w:eastAsia="仿宋" w:cs="仿宋"/>
        </w:rPr>
      </w:pPr>
      <w:r>
        <w:rPr>
          <w:rFonts w:hint="eastAsia" w:ascii="仿宋" w:hAnsi="仿宋" w:eastAsia="仿宋" w:cs="仿宋"/>
        </w:rPr>
        <w:t>2.本合同双方应加盖骑缝章。</w:t>
      </w:r>
    </w:p>
    <w:p>
      <w:pPr>
        <w:pStyle w:val="76"/>
        <w:ind w:firstLine="480"/>
        <w:rPr>
          <w:rFonts w:hint="eastAsia" w:ascii="仿宋" w:hAnsi="仿宋" w:eastAsia="仿宋" w:cs="仿宋"/>
        </w:rPr>
      </w:pPr>
      <w:r>
        <w:rPr>
          <w:rFonts w:hint="eastAsia" w:ascii="仿宋" w:hAnsi="仿宋" w:eastAsia="仿宋" w:cs="仿宋"/>
        </w:rPr>
        <w:t>3.本合同一式四份，自双方签章并经代理机构审核编号后生效。甲方、乙方、政府采购管理部门、采购代理机构各一份。</w:t>
      </w:r>
    </w:p>
    <w:p>
      <w:pPr>
        <w:pStyle w:val="141"/>
        <w:spacing w:line="360" w:lineRule="auto"/>
        <w:ind w:firstLine="480"/>
        <w:rPr>
          <w:rFonts w:hint="eastAsia" w:ascii="仿宋" w:hAnsi="仿宋" w:eastAsia="仿宋" w:cs="仿宋"/>
          <w:sz w:val="24"/>
        </w:rPr>
      </w:pP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甲方：   （盖单位公章）</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 xml:space="preserve">   乙方：（盖单位公章）</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法定代表人/单位负责人（授权代表）：法定代表人/单位负责人（授权代表）：</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地址：                            地址：</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开户银行：                        开户银行：</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账号：                            账号：</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电话：                            电话：</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传真：                            传真：</w:t>
      </w:r>
    </w:p>
    <w:p>
      <w:pPr>
        <w:spacing w:line="400" w:lineRule="exact"/>
        <w:ind w:firstLine="480" w:firstLineChars="200"/>
        <w:rPr>
          <w:rFonts w:hint="eastAsia" w:ascii="仿宋" w:hAnsi="仿宋" w:eastAsia="仿宋" w:cs="仿宋"/>
          <w:sz w:val="24"/>
        </w:rPr>
      </w:pPr>
      <w:r>
        <w:rPr>
          <w:rFonts w:hint="eastAsia" w:ascii="仿宋" w:hAnsi="仿宋" w:eastAsia="仿宋" w:cs="仿宋"/>
          <w:sz w:val="24"/>
        </w:rPr>
        <w:t>签约日期：XX年XX月XX日</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签约日期：XX年XX月XX日</w:t>
      </w:r>
    </w:p>
    <w:p>
      <w:pPr>
        <w:keepNext w:val="0"/>
        <w:keepLines w:val="0"/>
        <w:widowControl/>
        <w:suppressLineNumbers w:val="0"/>
        <w:jc w:val="left"/>
        <w:rPr>
          <w:rFonts w:hint="eastAsia" w:ascii="仿宋" w:hAnsi="仿宋" w:eastAsia="仿宋" w:cs="仿宋"/>
          <w:b/>
          <w:color w:val="000000"/>
          <w:kern w:val="0"/>
          <w:sz w:val="21"/>
          <w:szCs w:val="21"/>
          <w:highlight w:val="none"/>
          <w:lang w:val="en-US" w:eastAsia="zh-CN" w:bidi="ar"/>
        </w:rPr>
      </w:pPr>
    </w:p>
    <w:p>
      <w:pPr>
        <w:keepNext w:val="0"/>
        <w:keepLines w:val="0"/>
        <w:widowControl/>
        <w:suppressLineNumbers w:val="0"/>
        <w:jc w:val="left"/>
        <w:rPr>
          <w:rFonts w:hint="eastAsia" w:ascii="仿宋" w:hAnsi="仿宋" w:eastAsia="仿宋" w:cs="仿宋"/>
          <w:b/>
          <w:color w:val="000000"/>
          <w:kern w:val="0"/>
          <w:sz w:val="21"/>
          <w:szCs w:val="21"/>
          <w:highlight w:val="none"/>
          <w:lang w:val="en-US" w:eastAsia="zh-CN" w:bidi="ar"/>
        </w:rPr>
      </w:pPr>
      <w:r>
        <w:rPr>
          <w:rFonts w:hint="eastAsia" w:ascii="仿宋" w:hAnsi="仿宋" w:eastAsia="仿宋" w:cs="仿宋"/>
          <w:b/>
          <w:color w:val="000000"/>
          <w:kern w:val="0"/>
          <w:sz w:val="21"/>
          <w:szCs w:val="21"/>
          <w:highlight w:val="none"/>
          <w:lang w:val="en-US" w:eastAsia="zh-CN" w:bidi="ar"/>
        </w:rPr>
        <w:t>注：本合同仅作参考之用，不排除在实际签约时使用更为专业化和细致的商业合同，所签政府采购合同应当包括：采购人与中标人的名称和住所、标的、数量、质量、价款或者报酬、履行期限及地点和方式、验收要求、违约责任、解决争议的方法等内容。</w:t>
      </w:r>
    </w:p>
    <w:p>
      <w:pPr>
        <w:pStyle w:val="29"/>
        <w:jc w:val="both"/>
        <w:rPr>
          <w:rFonts w:hint="eastAsia" w:ascii="仿宋" w:hAnsi="仿宋" w:eastAsia="仿宋" w:cs="仿宋"/>
          <w:b/>
          <w:color w:val="000000"/>
          <w:kern w:val="0"/>
          <w:sz w:val="21"/>
          <w:szCs w:val="21"/>
          <w:highlight w:val="none"/>
          <w:lang w:val="en-US" w:eastAsia="zh-CN" w:bidi="ar"/>
        </w:rPr>
      </w:pPr>
    </w:p>
    <w:p>
      <w:pPr>
        <w:pStyle w:val="119"/>
        <w:outlineLvl w:val="1"/>
        <w:rPr>
          <w:rFonts w:hint="eastAsia" w:ascii="仿宋" w:hAnsi="仿宋" w:eastAsia="仿宋" w:cs="仿宋"/>
          <w:highlight w:val="none"/>
          <w:lang w:eastAsia="zh-CN"/>
        </w:rPr>
      </w:pPr>
    </w:p>
    <w:p>
      <w:pPr>
        <w:pStyle w:val="119"/>
        <w:outlineLvl w:val="1"/>
        <w:rPr>
          <w:rFonts w:hint="eastAsia" w:ascii="仿宋" w:hAnsi="仿宋" w:eastAsia="仿宋" w:cs="仿宋"/>
          <w:highlight w:val="none"/>
          <w:lang w:eastAsia="zh-CN"/>
        </w:rPr>
        <w:sectPr>
          <w:headerReference r:id="rId10" w:type="default"/>
          <w:footerReference r:id="rId11" w:type="default"/>
          <w:pgSz w:w="11905" w:h="16838"/>
          <w:pgMar w:top="1440" w:right="1746" w:bottom="1440" w:left="1746" w:header="850" w:footer="992" w:gutter="0"/>
          <w:pgNumType w:fmt="decimal"/>
          <w:cols w:space="720" w:num="1"/>
          <w:titlePg/>
          <w:rtlGutter w:val="0"/>
          <w:docGrid w:linePitch="360" w:charSpace="0"/>
        </w:sectPr>
      </w:pPr>
    </w:p>
    <w:p>
      <w:pPr>
        <w:pStyle w:val="119"/>
        <w:outlineLvl w:val="1"/>
        <w:rPr>
          <w:rFonts w:hint="eastAsia" w:ascii="仿宋" w:hAnsi="仿宋" w:eastAsia="仿宋" w:cs="仿宋"/>
          <w:highlight w:val="none"/>
        </w:rPr>
      </w:pPr>
      <w:r>
        <w:rPr>
          <w:rFonts w:hint="eastAsia" w:ascii="仿宋" w:hAnsi="仿宋" w:eastAsia="仿宋" w:cs="仿宋"/>
          <w:highlight w:val="none"/>
        </w:rPr>
        <w:t>信用融资附件：</w:t>
      </w:r>
      <w:bookmarkEnd w:id="1244"/>
      <w:bookmarkEnd w:id="1245"/>
      <w:bookmarkEnd w:id="1246"/>
    </w:p>
    <w:p>
      <w:pPr>
        <w:spacing w:line="360" w:lineRule="auto"/>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270500" cy="7487285"/>
            <wp:effectExtent l="0" t="0" r="0" b="5715"/>
            <wp:docPr id="3"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AppData\Roaming\DingTalk\18198513_v2\ImageFiles\49\lALPDgQ9qzkb4y3NA4nNAn0_637_905.png"/>
                    <pic:cNvPicPr>
                      <a:picLocks noChangeAspect="1"/>
                    </pic:cNvPicPr>
                  </pic:nvPicPr>
                  <pic:blipFill>
                    <a:blip r:embed="rId15"/>
                    <a:stretch>
                      <a:fillRect/>
                    </a:stretch>
                  </pic:blipFill>
                  <pic:spPr>
                    <a:xfrm>
                      <a:off x="0" y="0"/>
                      <a:ext cx="5270500" cy="7487285"/>
                    </a:xfrm>
                    <a:prstGeom prst="rect">
                      <a:avLst/>
                    </a:prstGeom>
                    <a:noFill/>
                    <a:ln>
                      <a:noFill/>
                    </a:ln>
                  </pic:spPr>
                </pic:pic>
              </a:graphicData>
            </a:graphic>
          </wp:inline>
        </w:drawing>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796915" cy="8134985"/>
            <wp:effectExtent l="0" t="0" r="6985" b="5715"/>
            <wp:docPr id="4"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AppData\Roaming\DingTalk\18198513_v2\ImageFiles\8a\lALPDgQ9qzkdtwTNA4XNAoI_642_901.png"/>
                    <pic:cNvPicPr>
                      <a:picLocks noChangeAspect="1"/>
                    </pic:cNvPicPr>
                  </pic:nvPicPr>
                  <pic:blipFill>
                    <a:blip r:embed="rId16"/>
                    <a:stretch>
                      <a:fillRect/>
                    </a:stretch>
                  </pic:blipFill>
                  <pic:spPr>
                    <a:xfrm>
                      <a:off x="0" y="0"/>
                      <a:ext cx="5796915" cy="8134985"/>
                    </a:xfrm>
                    <a:prstGeom prst="rect">
                      <a:avLst/>
                    </a:prstGeom>
                    <a:noFill/>
                    <a:ln>
                      <a:noFill/>
                    </a:ln>
                  </pic:spPr>
                </pic:pic>
              </a:graphicData>
            </a:graphic>
          </wp:inline>
        </w:drawing>
      </w:r>
      <w:r>
        <w:rPr>
          <w:rFonts w:hint="eastAsia" w:ascii="仿宋" w:hAnsi="仿宋" w:eastAsia="仿宋" w:cs="仿宋"/>
          <w:highlight w:val="none"/>
        </w:rPr>
        <w:br w:type="page"/>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41060" cy="8237220"/>
            <wp:effectExtent l="0" t="0" r="2540" b="5080"/>
            <wp:docPr id="5"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AppData\Roaming\DingTalk\18198513_v2\ImageFiles\36\lALPDgQ9qzkb_mjNA3bNAn8_639_886.png"/>
                    <pic:cNvPicPr>
                      <a:picLocks noChangeAspect="1"/>
                    </pic:cNvPicPr>
                  </pic:nvPicPr>
                  <pic:blipFill>
                    <a:blip r:embed="rId17"/>
                    <a:stretch>
                      <a:fillRect/>
                    </a:stretch>
                  </pic:blipFill>
                  <pic:spPr>
                    <a:xfrm>
                      <a:off x="0" y="0"/>
                      <a:ext cx="5941060" cy="8237220"/>
                    </a:xfrm>
                    <a:prstGeom prst="rect">
                      <a:avLst/>
                    </a:prstGeom>
                    <a:noFill/>
                    <a:ln>
                      <a:noFill/>
                    </a:ln>
                  </pic:spPr>
                </pic:pic>
              </a:graphicData>
            </a:graphic>
          </wp:inline>
        </w:drawing>
      </w:r>
      <w:r>
        <w:rPr>
          <w:rFonts w:hint="eastAsia" w:ascii="仿宋" w:hAnsi="仿宋" w:eastAsia="仿宋" w:cs="仿宋"/>
          <w:highlight w:val="none"/>
        </w:rPr>
        <w:br w:type="page"/>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41060" cy="8303895"/>
            <wp:effectExtent l="0" t="0" r="2540" b="1905"/>
            <wp:docPr id="6"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AppData\Roaming\DingTalk\18198513_v2\ImageFiles\78\lALPDgQ9qzkb4yrNA3LNAnc_631_882.png"/>
                    <pic:cNvPicPr>
                      <a:picLocks noChangeAspect="1"/>
                    </pic:cNvPicPr>
                  </pic:nvPicPr>
                  <pic:blipFill>
                    <a:blip r:embed="rId18"/>
                    <a:stretch>
                      <a:fillRect/>
                    </a:stretch>
                  </pic:blipFill>
                  <pic:spPr>
                    <a:xfrm>
                      <a:off x="0" y="0"/>
                      <a:ext cx="5941060" cy="8303895"/>
                    </a:xfrm>
                    <a:prstGeom prst="rect">
                      <a:avLst/>
                    </a:prstGeom>
                    <a:noFill/>
                    <a:ln>
                      <a:noFill/>
                    </a:ln>
                  </pic:spPr>
                </pic:pic>
              </a:graphicData>
            </a:graphic>
          </wp:inline>
        </w:drawing>
      </w:r>
      <w:r>
        <w:rPr>
          <w:rFonts w:hint="eastAsia" w:ascii="仿宋" w:hAnsi="仿宋" w:eastAsia="仿宋" w:cs="仿宋"/>
          <w:highlight w:val="none"/>
        </w:rPr>
        <w:br w:type="page"/>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41060" cy="8076565"/>
            <wp:effectExtent l="0" t="0" r="2540" b="635"/>
            <wp:docPr id="7"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AppData\Roaming\DingTalk\18198513_v2\ImageFiles\72\lALPDgQ9qzkdtwHNA2LNAn0_637_866.png"/>
                    <pic:cNvPicPr>
                      <a:picLocks noChangeAspect="1"/>
                    </pic:cNvPicPr>
                  </pic:nvPicPr>
                  <pic:blipFill>
                    <a:blip r:embed="rId19"/>
                    <a:stretch>
                      <a:fillRect/>
                    </a:stretch>
                  </pic:blipFill>
                  <pic:spPr>
                    <a:xfrm>
                      <a:off x="0" y="0"/>
                      <a:ext cx="5941060" cy="8076565"/>
                    </a:xfrm>
                    <a:prstGeom prst="rect">
                      <a:avLst/>
                    </a:prstGeom>
                    <a:noFill/>
                    <a:ln>
                      <a:noFill/>
                    </a:ln>
                  </pic:spPr>
                </pic:pic>
              </a:graphicData>
            </a:graphic>
          </wp:inline>
        </w:drawing>
      </w:r>
      <w:r>
        <w:rPr>
          <w:rFonts w:hint="eastAsia" w:ascii="仿宋" w:hAnsi="仿宋" w:eastAsia="仿宋" w:cs="仿宋"/>
          <w:highlight w:val="none"/>
        </w:rPr>
        <w:br w:type="page"/>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41060" cy="8279765"/>
            <wp:effectExtent l="0" t="0" r="2540" b="635"/>
            <wp:docPr id="8"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strator\AppData\Roaming\DingTalk\18198513_v2\ImageFiles\65\lALPDgQ9qzkb_mnNA3zNAoA_640_892.png"/>
                    <pic:cNvPicPr>
                      <a:picLocks noChangeAspect="1"/>
                    </pic:cNvPicPr>
                  </pic:nvPicPr>
                  <pic:blipFill>
                    <a:blip r:embed="rId20"/>
                    <a:stretch>
                      <a:fillRect/>
                    </a:stretch>
                  </pic:blipFill>
                  <pic:spPr>
                    <a:xfrm>
                      <a:off x="0" y="0"/>
                      <a:ext cx="5941060" cy="8279765"/>
                    </a:xfrm>
                    <a:prstGeom prst="rect">
                      <a:avLst/>
                    </a:prstGeom>
                    <a:noFill/>
                    <a:ln>
                      <a:noFill/>
                    </a:ln>
                  </pic:spPr>
                </pic:pic>
              </a:graphicData>
            </a:graphic>
          </wp:inline>
        </w:drawing>
      </w:r>
      <w:r>
        <w:rPr>
          <w:rFonts w:hint="eastAsia" w:ascii="仿宋" w:hAnsi="仿宋" w:eastAsia="仿宋" w:cs="仿宋"/>
          <w:highlight w:val="none"/>
        </w:rPr>
        <w:br w:type="page"/>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41060" cy="8360410"/>
            <wp:effectExtent l="0" t="0" r="2540" b="8890"/>
            <wp:docPr id="9"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Administrator\AppData\Roaming\DingTalk\18198513_v2\ImageFiles\97\lALPDgQ9qzkb4yzNA3_NAnw_636_895.png"/>
                    <pic:cNvPicPr>
                      <a:picLocks noChangeAspect="1"/>
                    </pic:cNvPicPr>
                  </pic:nvPicPr>
                  <pic:blipFill>
                    <a:blip r:embed="rId21"/>
                    <a:stretch>
                      <a:fillRect/>
                    </a:stretch>
                  </pic:blipFill>
                  <pic:spPr>
                    <a:xfrm>
                      <a:off x="0" y="0"/>
                      <a:ext cx="5941060" cy="8360410"/>
                    </a:xfrm>
                    <a:prstGeom prst="rect">
                      <a:avLst/>
                    </a:prstGeom>
                    <a:noFill/>
                    <a:ln>
                      <a:noFill/>
                    </a:ln>
                  </pic:spPr>
                </pic:pic>
              </a:graphicData>
            </a:graphic>
          </wp:inline>
        </w:drawing>
      </w:r>
      <w:r>
        <w:rPr>
          <w:rFonts w:hint="eastAsia" w:ascii="仿宋" w:hAnsi="仿宋" w:eastAsia="仿宋" w:cs="仿宋"/>
          <w:highlight w:val="none"/>
        </w:rPr>
        <w:br w:type="page"/>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41060" cy="8354695"/>
            <wp:effectExtent l="0" t="0" r="2540" b="1905"/>
            <wp:docPr id="10"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Users\Administrator\AppData\Roaming\DingTalk\18198513_v2\ImageFiles\e8\lALPDgQ9qzkdtwPNA3bNAnY_630_886.png"/>
                    <pic:cNvPicPr>
                      <a:picLocks noChangeAspect="1"/>
                    </pic:cNvPicPr>
                  </pic:nvPicPr>
                  <pic:blipFill>
                    <a:blip r:embed="rId22"/>
                    <a:stretch>
                      <a:fillRect/>
                    </a:stretch>
                  </pic:blipFill>
                  <pic:spPr>
                    <a:xfrm>
                      <a:off x="0" y="0"/>
                      <a:ext cx="5941060" cy="8354695"/>
                    </a:xfrm>
                    <a:prstGeom prst="rect">
                      <a:avLst/>
                    </a:prstGeom>
                    <a:noFill/>
                    <a:ln>
                      <a:noFill/>
                    </a:ln>
                  </pic:spPr>
                </pic:pic>
              </a:graphicData>
            </a:graphic>
          </wp:inline>
        </w:drawing>
      </w:r>
      <w:r>
        <w:rPr>
          <w:rFonts w:hint="eastAsia" w:ascii="仿宋" w:hAnsi="仿宋" w:eastAsia="仿宋" w:cs="仿宋"/>
          <w:highlight w:val="none"/>
        </w:rPr>
        <w:br w:type="page"/>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41060" cy="8089265"/>
            <wp:effectExtent l="0" t="0" r="2540" b="635"/>
            <wp:docPr id="11"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Administrator\AppData\Roaming\DingTalk\18198513_v2\ImageFiles\43\lALPDgQ9qzkb_mrNA2LNAnw_636_866.png"/>
                    <pic:cNvPicPr>
                      <a:picLocks noChangeAspect="1"/>
                    </pic:cNvPicPr>
                  </pic:nvPicPr>
                  <pic:blipFill>
                    <a:blip r:embed="rId23"/>
                    <a:stretch>
                      <a:fillRect/>
                    </a:stretch>
                  </pic:blipFill>
                  <pic:spPr>
                    <a:xfrm>
                      <a:off x="0" y="0"/>
                      <a:ext cx="5941060" cy="8089265"/>
                    </a:xfrm>
                    <a:prstGeom prst="rect">
                      <a:avLst/>
                    </a:prstGeom>
                    <a:noFill/>
                    <a:ln>
                      <a:noFill/>
                    </a:ln>
                  </pic:spPr>
                </pic:pic>
              </a:graphicData>
            </a:graphic>
          </wp:inline>
        </w:drawing>
      </w:r>
      <w:r>
        <w:rPr>
          <w:rFonts w:hint="eastAsia" w:ascii="仿宋" w:hAnsi="仿宋" w:eastAsia="仿宋" w:cs="仿宋"/>
          <w:highlight w:val="none"/>
        </w:rPr>
        <w:br w:type="page"/>
      </w:r>
      <w:r>
        <w:rPr>
          <w:rFonts w:hint="eastAsia" w:ascii="仿宋" w:hAnsi="仿宋" w:eastAsia="仿宋" w:cs="仿宋"/>
          <w:highlight w:val="none"/>
        </w:rPr>
        <w:drawing>
          <wp:inline distT="0" distB="0" distL="114300" distR="114300">
            <wp:extent cx="5941060" cy="8197850"/>
            <wp:effectExtent l="0" t="0" r="2540" b="6350"/>
            <wp:docPr id="12"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C:\Users\Administrator\AppData\Roaming\DingTalk\18198513_v2\ImageFiles\5e\lALPDgQ9qzkb4yvNA2TNAnU_629_868.png"/>
                    <pic:cNvPicPr>
                      <a:picLocks noChangeAspect="1"/>
                    </pic:cNvPicPr>
                  </pic:nvPicPr>
                  <pic:blipFill>
                    <a:blip r:embed="rId24"/>
                    <a:stretch>
                      <a:fillRect/>
                    </a:stretch>
                  </pic:blipFill>
                  <pic:spPr>
                    <a:xfrm>
                      <a:off x="0" y="0"/>
                      <a:ext cx="5941060" cy="819785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941060" cy="8289290"/>
            <wp:effectExtent l="0" t="0" r="2540" b="3810"/>
            <wp:docPr id="13"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C:\Users\Administrator\AppData\Roaming\DingTalk\18198513_v2\ImageFiles\bb\lALPDgQ9qzkdtwLNA33NAoA_640_893.png"/>
                    <pic:cNvPicPr>
                      <a:picLocks noChangeAspect="1"/>
                    </pic:cNvPicPr>
                  </pic:nvPicPr>
                  <pic:blipFill>
                    <a:blip r:embed="rId25"/>
                    <a:stretch>
                      <a:fillRect/>
                    </a:stretch>
                  </pic:blipFill>
                  <pic:spPr>
                    <a:xfrm>
                      <a:off x="0" y="0"/>
                      <a:ext cx="5941060" cy="8289290"/>
                    </a:xfrm>
                    <a:prstGeom prst="rect">
                      <a:avLst/>
                    </a:prstGeom>
                    <a:noFill/>
                    <a:ln>
                      <a:noFill/>
                    </a:ln>
                  </pic:spPr>
                </pic:pic>
              </a:graphicData>
            </a:graphic>
          </wp:inline>
        </w:drawing>
      </w:r>
    </w:p>
    <w:p>
      <w:pPr>
        <w:spacing w:line="400" w:lineRule="exact"/>
        <w:rPr>
          <w:rFonts w:hint="eastAsia" w:ascii="仿宋" w:hAnsi="仿宋" w:eastAsia="仿宋" w:cs="仿宋"/>
          <w:b/>
          <w:sz w:val="30"/>
          <w:szCs w:val="30"/>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71540" cy="7998460"/>
            <wp:effectExtent l="0" t="0" r="10160" b="254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6"/>
                    <a:stretch>
                      <a:fillRect/>
                    </a:stretch>
                  </pic:blipFill>
                  <pic:spPr>
                    <a:xfrm>
                      <a:off x="0" y="0"/>
                      <a:ext cx="5971540" cy="7998460"/>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10580" cy="8364220"/>
            <wp:effectExtent l="0" t="0" r="7620" b="508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7"/>
                    <a:stretch>
                      <a:fillRect/>
                    </a:stretch>
                  </pic:blipFill>
                  <pic:spPr>
                    <a:xfrm>
                      <a:off x="0" y="0"/>
                      <a:ext cx="5910580" cy="8364220"/>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30900" cy="7664450"/>
            <wp:effectExtent l="0" t="0" r="0" b="635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8"/>
                    <a:stretch>
                      <a:fillRect/>
                    </a:stretch>
                  </pic:blipFill>
                  <pic:spPr>
                    <a:xfrm>
                      <a:off x="0" y="0"/>
                      <a:ext cx="5930900" cy="7664450"/>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882640" cy="8324850"/>
            <wp:effectExtent l="0" t="0" r="10160" b="635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9"/>
                    <a:stretch>
                      <a:fillRect/>
                    </a:stretch>
                  </pic:blipFill>
                  <pic:spPr>
                    <a:xfrm>
                      <a:off x="0" y="0"/>
                      <a:ext cx="5882640" cy="8324850"/>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860415" cy="7603490"/>
            <wp:effectExtent l="0" t="0" r="6985" b="381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0"/>
                    <a:stretch>
                      <a:fillRect/>
                    </a:stretch>
                  </pic:blipFill>
                  <pic:spPr>
                    <a:xfrm>
                      <a:off x="0" y="0"/>
                      <a:ext cx="5860415" cy="7603490"/>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875655" cy="8314690"/>
            <wp:effectExtent l="0" t="0" r="4445" b="381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1"/>
                    <a:stretch>
                      <a:fillRect/>
                    </a:stretch>
                  </pic:blipFill>
                  <pic:spPr>
                    <a:xfrm>
                      <a:off x="0" y="0"/>
                      <a:ext cx="5875655" cy="8314690"/>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70905" cy="8053705"/>
            <wp:effectExtent l="0" t="0" r="10795" b="1079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2"/>
                    <a:stretch>
                      <a:fillRect/>
                    </a:stretch>
                  </pic:blipFill>
                  <pic:spPr>
                    <a:xfrm>
                      <a:off x="0" y="0"/>
                      <a:ext cx="5970905" cy="8053705"/>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20105" cy="8364220"/>
            <wp:effectExtent l="0" t="0" r="10795" b="508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3"/>
                    <a:stretch>
                      <a:fillRect/>
                    </a:stretch>
                  </pic:blipFill>
                  <pic:spPr>
                    <a:xfrm>
                      <a:off x="0" y="0"/>
                      <a:ext cx="5920105" cy="8364220"/>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868035" cy="7672705"/>
            <wp:effectExtent l="0" t="0" r="12065" b="1079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4"/>
                    <a:stretch>
                      <a:fillRect/>
                    </a:stretch>
                  </pic:blipFill>
                  <pic:spPr>
                    <a:xfrm>
                      <a:off x="0" y="0"/>
                      <a:ext cx="5868035" cy="7672705"/>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899785" cy="8348980"/>
            <wp:effectExtent l="0" t="0" r="5715" b="762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5"/>
                    <a:stretch>
                      <a:fillRect/>
                    </a:stretch>
                  </pic:blipFill>
                  <pic:spPr>
                    <a:xfrm>
                      <a:off x="0" y="0"/>
                      <a:ext cx="5899785" cy="8348980"/>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23280" cy="7786370"/>
            <wp:effectExtent l="0" t="0" r="7620" b="1143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6"/>
                    <a:stretch>
                      <a:fillRect/>
                    </a:stretch>
                  </pic:blipFill>
                  <pic:spPr>
                    <a:xfrm>
                      <a:off x="0" y="0"/>
                      <a:ext cx="5923280" cy="7786370"/>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899785" cy="8335010"/>
            <wp:effectExtent l="0" t="0" r="5715" b="889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7"/>
                    <a:stretch>
                      <a:fillRect/>
                    </a:stretch>
                  </pic:blipFill>
                  <pic:spPr>
                    <a:xfrm>
                      <a:off x="0" y="0"/>
                      <a:ext cx="5899785" cy="8335010"/>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6011545" cy="7740015"/>
            <wp:effectExtent l="0" t="0" r="8255" b="698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8"/>
                    <a:stretch>
                      <a:fillRect/>
                    </a:stretch>
                  </pic:blipFill>
                  <pic:spPr>
                    <a:xfrm>
                      <a:off x="0" y="0"/>
                      <a:ext cx="6011545" cy="7740015"/>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899785" cy="8348980"/>
            <wp:effectExtent l="0" t="0" r="5715" b="762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9"/>
                    <a:stretch>
                      <a:fillRect/>
                    </a:stretch>
                  </pic:blipFill>
                  <pic:spPr>
                    <a:xfrm>
                      <a:off x="0" y="0"/>
                      <a:ext cx="5899785" cy="8348980"/>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70905" cy="7463790"/>
            <wp:effectExtent l="0" t="0" r="10795" b="381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40"/>
                    <a:stretch>
                      <a:fillRect/>
                    </a:stretch>
                  </pic:blipFill>
                  <pic:spPr>
                    <a:xfrm>
                      <a:off x="0" y="0"/>
                      <a:ext cx="5970905" cy="7463790"/>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a:noFill/>
                    <a:ln>
                      <a:noFill/>
                    </a:ln>
                  </pic:spPr>
                </pic:pic>
              </a:graphicData>
            </a:graphic>
          </wp:inline>
        </w:drawing>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591175" cy="8143875"/>
            <wp:effectExtent l="0" t="0" r="9525" b="952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42"/>
                    <a:stretch>
                      <a:fillRect/>
                    </a:stretch>
                  </pic:blipFill>
                  <pic:spPr>
                    <a:xfrm>
                      <a:off x="0" y="0"/>
                      <a:ext cx="5591175" cy="8143875"/>
                    </a:xfrm>
                    <a:prstGeom prst="rect">
                      <a:avLst/>
                    </a:prstGeom>
                    <a:noFill/>
                    <a:ln>
                      <a:noFill/>
                    </a:ln>
                  </pic:spPr>
                </pic:pic>
              </a:graphicData>
            </a:graphic>
          </wp:inline>
        </w:drawing>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41060" cy="3790950"/>
            <wp:effectExtent l="0" t="0" r="2540" b="635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3"/>
                    <a:stretch>
                      <a:fillRect/>
                    </a:stretch>
                  </pic:blipFill>
                  <pic:spPr>
                    <a:xfrm>
                      <a:off x="0" y="0"/>
                      <a:ext cx="5941060" cy="3790950"/>
                    </a:xfrm>
                    <a:prstGeom prst="rect">
                      <a:avLst/>
                    </a:prstGeom>
                    <a:noFill/>
                    <a:ln>
                      <a:noFill/>
                    </a:ln>
                  </pic:spPr>
                </pic:pic>
              </a:graphicData>
            </a:graphic>
          </wp:inline>
        </w:drawing>
      </w:r>
    </w:p>
    <w:p>
      <w:pPr>
        <w:pStyle w:val="119"/>
        <w:rPr>
          <w:rFonts w:hint="eastAsia" w:ascii="仿宋" w:hAnsi="仿宋" w:eastAsia="仿宋" w:cs="仿宋"/>
          <w:highlight w:val="none"/>
        </w:rPr>
      </w:pPr>
    </w:p>
    <w:bookmarkEnd w:id="1241"/>
    <w:bookmarkEnd w:id="1242"/>
    <w:bookmarkEnd w:id="1243"/>
    <w:p>
      <w:pPr>
        <w:spacing w:line="440" w:lineRule="exact"/>
        <w:ind w:firstLine="420" w:firstLineChars="200"/>
        <w:rPr>
          <w:rFonts w:hint="eastAsia" w:ascii="仿宋" w:hAnsi="仿宋" w:eastAsia="仿宋" w:cs="仿宋"/>
          <w:sz w:val="21"/>
          <w:szCs w:val="21"/>
          <w:highlight w:val="none"/>
        </w:rPr>
      </w:pPr>
    </w:p>
    <w:sectPr>
      <w:pgSz w:w="11905" w:h="16838"/>
      <w:pgMar w:top="1440" w:right="1746" w:bottom="1440" w:left="1746" w:header="850" w:footer="992" w:gutter="0"/>
      <w:pgNumType w:fmt="decimal"/>
      <w:cols w:space="720" w:num="1"/>
      <w:titlePg/>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b/>
        <w:sz w:val="24"/>
        <w:szCs w:val="24"/>
      </w:rPr>
      <w:drawing>
        <wp:inline distT="0" distB="0" distL="114300" distR="114300">
          <wp:extent cx="5687695" cy="394970"/>
          <wp:effectExtent l="0" t="0" r="1905" b="11430"/>
          <wp:docPr id="41" name="图片 28"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descr="c2ef71dbb023058a2536a1070668aac"/>
                  <pic:cNvPicPr>
                    <a:picLocks noChangeAspect="1"/>
                  </pic:cNvPicPr>
                </pic:nvPicPr>
                <pic:blipFill>
                  <a:blip r:embed="rId1"/>
                  <a:stretch>
                    <a:fillRect/>
                  </a:stretch>
                </pic:blipFill>
                <pic:spPr>
                  <a:xfrm>
                    <a:off x="0" y="0"/>
                    <a:ext cx="5687695" cy="39497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b/>
        <w:sz w:val="24"/>
        <w:szCs w:val="24"/>
      </w:rPr>
      <w:drawing>
        <wp:inline distT="0" distB="0" distL="114300" distR="114300">
          <wp:extent cx="5687695" cy="394970"/>
          <wp:effectExtent l="0" t="0" r="1905" b="11430"/>
          <wp:docPr id="42" name="图片 45"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5" descr="c2ef71dbb023058a2536a1070668aac"/>
                  <pic:cNvPicPr>
                    <a:picLocks noChangeAspect="1"/>
                  </pic:cNvPicPr>
                </pic:nvPicPr>
                <pic:blipFill>
                  <a:blip r:embed="rId1"/>
                  <a:stretch>
                    <a:fillRect/>
                  </a:stretch>
                </pic:blipFill>
                <pic:spPr>
                  <a:xfrm>
                    <a:off x="0" y="0"/>
                    <a:ext cx="5687695" cy="394970"/>
                  </a:xfrm>
                  <a:prstGeom prst="rect">
                    <a:avLst/>
                  </a:prstGeom>
                  <a:noFill/>
                  <a:ln>
                    <a:noFill/>
                  </a:ln>
                </pic:spPr>
              </pic:pic>
            </a:graphicData>
          </a:graphic>
        </wp:inline>
      </w:drawing>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99</w:t>
                          </w:r>
                          <w:r>
                            <w:rPr>
                              <w:rFonts w:hint="eastAsia"/>
                              <w:lang w:eastAsia="zh-CN"/>
                            </w:rPr>
                            <w:fldChar w:fldCharType="end"/>
                          </w:r>
                          <w:r>
                            <w:rPr>
                              <w:rFonts w:hint="eastAsia"/>
                              <w:lang w:eastAsia="zh-CN"/>
                            </w:rPr>
                            <w:t xml:space="preserve"> 页</w:t>
                          </w:r>
                        </w:p>
                      </w:txbxContent>
                    </wps:txbx>
                    <wps:bodyPr vert="horz" wrap="none" lIns="0" tIns="0" rIns="0" bIns="0" anchor="t" anchorCtr="0" upright="0">
                      <a:spAutoFit/>
                    </wps:bodyPr>
                  </wps:wsp>
                </a:graphicData>
              </a:graphic>
            </wp:anchor>
          </w:drawing>
        </mc:Choice>
        <mc:Fallback>
          <w:pict>
            <v:shape id="文本框 6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0I7Gd8BAADAAwAADgAAAAAA&#10;AAABACAAAAAeAQAAZHJzL2Uyb0RvYy54bWxQSwUGAAAAAAYABgBZAQAAbwUAAAAA&#10;">
              <v:fill on="f" focussize="0,0"/>
              <v:stroke on="f"/>
              <v:imagedata o:title=""/>
              <o:lock v:ext="edit" aspectratio="f"/>
              <v:textbox inset="0mm,0mm,0mm,0mm" style="mso-fit-shape-to-text:t;">
                <w:txbxContent>
                  <w:p>
                    <w:pPr>
                      <w:pStyle w:val="2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99</w:t>
                    </w:r>
                    <w:r>
                      <w:rPr>
                        <w:rFonts w:hint="eastAsia"/>
                        <w:lang w:eastAsia="zh-CN"/>
                      </w:rPr>
                      <w:fldChar w:fldCharType="end"/>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b/>
        <w:sz w:val="24"/>
        <w:szCs w:val="24"/>
      </w:rPr>
      <w:drawing>
        <wp:inline distT="0" distB="0" distL="114300" distR="114300">
          <wp:extent cx="5687695" cy="394970"/>
          <wp:effectExtent l="0" t="0" r="1905" b="11430"/>
          <wp:docPr id="43" name="图片 44"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4" descr="c2ef71dbb023058a2536a1070668aac"/>
                  <pic:cNvPicPr>
                    <a:picLocks noChangeAspect="1"/>
                  </pic:cNvPicPr>
                </pic:nvPicPr>
                <pic:blipFill>
                  <a:blip r:embed="rId1"/>
                  <a:stretch>
                    <a:fillRect/>
                  </a:stretch>
                </pic:blipFill>
                <pic:spPr>
                  <a:xfrm>
                    <a:off x="0" y="0"/>
                    <a:ext cx="5687695" cy="394970"/>
                  </a:xfrm>
                  <a:prstGeom prst="rect">
                    <a:avLst/>
                  </a:prstGeom>
                  <a:noFill/>
                  <a:ln>
                    <a:noFill/>
                  </a:ln>
                </pic:spPr>
              </pic:pic>
            </a:graphicData>
          </a:graphic>
        </wp:inline>
      </w:drawing>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99</w:t>
                          </w:r>
                          <w:r>
                            <w:rPr>
                              <w:rFonts w:hint="eastAsia"/>
                              <w:lang w:eastAsia="zh-CN"/>
                            </w:rPr>
                            <w:fldChar w:fldCharType="end"/>
                          </w:r>
                          <w:r>
                            <w:rPr>
                              <w:rFonts w:hint="eastAsia"/>
                              <w:lang w:eastAsia="zh-CN"/>
                            </w:rPr>
                            <w:t xml:space="preserve"> 页</w:t>
                          </w:r>
                        </w:p>
                      </w:txbxContent>
                    </wps:txbx>
                    <wps:bodyPr vert="horz" wrap="none" lIns="0" tIns="0" rIns="0" bIns="0" anchor="t" anchorCtr="0" upright="0">
                      <a:spAutoFit/>
                    </wps:bodyPr>
                  </wps:wsp>
                </a:graphicData>
              </a:graphic>
            </wp:anchor>
          </w:drawing>
        </mc:Choice>
        <mc:Fallback>
          <w:pict>
            <v:shape id="文本框 6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m4iOs98BAADAAwAADgAAAAAA&#10;AAABACAAAAAeAQAAZHJzL2Uyb0RvYy54bWxQSwUGAAAAAAYABgBZAQAAbwUAAAAA&#10;">
              <v:fill on="f" focussize="0,0"/>
              <v:stroke on="f"/>
              <v:imagedata o:title=""/>
              <o:lock v:ext="edit" aspectratio="f"/>
              <v:textbox inset="0mm,0mm,0mm,0mm" style="mso-fit-shape-to-text:t;">
                <w:txbxContent>
                  <w:p>
                    <w:pPr>
                      <w:pStyle w:val="2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99</w:t>
                    </w:r>
                    <w:r>
                      <w:rPr>
                        <w:rFonts w:hint="eastAsia"/>
                        <w:lang w:eastAsia="zh-CN"/>
                      </w:rPr>
                      <w:fldChar w:fldCharType="end"/>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153"/>
        <w:tab w:val="right" w:pos="8306"/>
      </w:tabs>
      <w:ind w:right="360"/>
    </w:pPr>
    <w:r>
      <w:rPr>
        <w:b/>
        <w:sz w:val="24"/>
        <w:szCs w:val="24"/>
      </w:rPr>
      <w:drawing>
        <wp:inline distT="0" distB="0" distL="114300" distR="114300">
          <wp:extent cx="5687695" cy="394970"/>
          <wp:effectExtent l="0" t="0" r="1905" b="11430"/>
          <wp:docPr id="44" name="图片 48" descr="c2ef71dbb023058a2536a1070668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8" descr="c2ef71dbb023058a2536a1070668aac"/>
                  <pic:cNvPicPr>
                    <a:picLocks noChangeAspect="1"/>
                  </pic:cNvPicPr>
                </pic:nvPicPr>
                <pic:blipFill>
                  <a:blip r:embed="rId1"/>
                  <a:stretch>
                    <a:fillRect/>
                  </a:stretch>
                </pic:blipFill>
                <pic:spPr>
                  <a:xfrm>
                    <a:off x="0" y="0"/>
                    <a:ext cx="5687695" cy="394970"/>
                  </a:xfrm>
                  <a:prstGeom prst="rect">
                    <a:avLst/>
                  </a:prstGeom>
                  <a:noFill/>
                  <a:ln>
                    <a:noFill/>
                  </a:ln>
                </pic:spPr>
              </pic:pic>
            </a:graphicData>
          </a:graphic>
        </wp:inline>
      </w:drawing>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99</w:t>
                          </w:r>
                          <w:r>
                            <w:rPr>
                              <w:rFonts w:hint="eastAsia"/>
                              <w:lang w:eastAsia="zh-CN"/>
                            </w:rPr>
                            <w:fldChar w:fldCharType="end"/>
                          </w:r>
                          <w:r>
                            <w:rPr>
                              <w:rFonts w:hint="eastAsia"/>
                              <w:lang w:eastAsia="zh-CN"/>
                            </w:rPr>
                            <w:t xml:space="preserve"> 页</w:t>
                          </w:r>
                        </w:p>
                      </w:txbxContent>
                    </wps:txbx>
                    <wps:bodyPr vert="horz" wrap="none" lIns="0" tIns="0" rIns="0" bIns="0" anchor="t" anchorCtr="0" upright="0">
                      <a:spAutoFit/>
                    </wps:bodyPr>
                  </wps:wsp>
                </a:graphicData>
              </a:graphic>
            </wp:anchor>
          </w:drawing>
        </mc:Choice>
        <mc:Fallback>
          <w:pict>
            <v:shape id="文本框 6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C38j1rgAQAAwAMAAA4AAAAA&#10;AAAAAQAgAAAAHgEAAGRycy9lMm9Eb2MueG1sUEsFBgAAAAAGAAYAWQEAAHAFAAAAAA==&#10;">
              <v:fill on="f" focussize="0,0"/>
              <v:stroke on="f"/>
              <v:imagedata o:title=""/>
              <o:lock v:ext="edit" aspectratio="f"/>
              <v:textbox inset="0mm,0mm,0mm,0mm" style="mso-fit-shape-to-text:t;">
                <w:txbxContent>
                  <w:p>
                    <w:pPr>
                      <w:pStyle w:val="2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99</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00" w:leftChars="100" w:firstLine="320" w:firstLineChars="100"/>
      <w:jc w:val="right"/>
      <w:rPr>
        <w:b/>
        <w:bCs/>
        <w:color w:val="948A54"/>
        <w:sz w:val="24"/>
      </w:rPr>
    </w:pPr>
    <w:r>
      <w:rPr>
        <w:rFonts w:hint="eastAsia" w:ascii="Cambria" w:hAnsi="Cambria"/>
        <w:sz w:val="32"/>
        <w:szCs w:val="32"/>
      </w:rPr>
      <w:t xml:space="preserve">                  </w:t>
    </w:r>
    <w:r>
      <w:rPr>
        <w:rFonts w:hint="eastAsia" w:ascii="Cambria" w:hAnsi="Cambria"/>
        <w:szCs w:val="18"/>
      </w:rPr>
      <w:t xml:space="preserve">              </w:t>
    </w:r>
    <w:r>
      <w:rPr>
        <w:b/>
        <w:bCs/>
        <w:color w:val="948A54"/>
        <w:sz w:val="24"/>
      </w:rPr>
      <w:drawing>
        <wp:anchor distT="0" distB="0" distL="114300" distR="114300" simplePos="0" relativeHeight="251660288" behindDoc="1" locked="0" layoutInCell="1" allowOverlap="1">
          <wp:simplePos x="0" y="0"/>
          <wp:positionH relativeFrom="column">
            <wp:posOffset>235585</wp:posOffset>
          </wp:positionH>
          <wp:positionV relativeFrom="paragraph">
            <wp:posOffset>-21590</wp:posOffset>
          </wp:positionV>
          <wp:extent cx="5509895" cy="287020"/>
          <wp:effectExtent l="0" t="0" r="1905" b="5080"/>
          <wp:wrapNone/>
          <wp:docPr id="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pic:cNvPicPr>
                    <a:picLocks noChangeAspect="1"/>
                  </pic:cNvPicPr>
                </pic:nvPicPr>
                <pic:blipFill>
                  <a:blip r:embed="rId1"/>
                  <a:srcRect l="7268" t="2" b="-305"/>
                  <a:stretch>
                    <a:fillRect/>
                  </a:stretch>
                </pic:blipFill>
                <pic:spPr>
                  <a:xfrm>
                    <a:off x="0" y="0"/>
                    <a:ext cx="5509895" cy="287020"/>
                  </a:xfrm>
                  <a:prstGeom prst="rect">
                    <a:avLst/>
                  </a:prstGeom>
                  <a:noFill/>
                  <a:ln>
                    <a:noFill/>
                  </a:ln>
                </pic:spPr>
              </pic:pic>
            </a:graphicData>
          </a:graphic>
        </wp:anchor>
      </w:drawing>
    </w:r>
    <w:r>
      <w:rPr>
        <w:b/>
        <w:bCs/>
        <w:color w:val="948A54"/>
        <w:sz w:val="24"/>
      </w:rPr>
      <w:drawing>
        <wp:anchor distT="0" distB="0" distL="114300" distR="114300" simplePos="0" relativeHeight="251666432" behindDoc="0" locked="0" layoutInCell="1" allowOverlap="1">
          <wp:simplePos x="0" y="0"/>
          <wp:positionH relativeFrom="column">
            <wp:posOffset>-233680</wp:posOffset>
          </wp:positionH>
          <wp:positionV relativeFrom="paragraph">
            <wp:posOffset>-28575</wp:posOffset>
          </wp:positionV>
          <wp:extent cx="442595" cy="300355"/>
          <wp:effectExtent l="0" t="0" r="1905" b="4445"/>
          <wp:wrapNone/>
          <wp:docPr id="39" name="图片 41"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1" descr="5cbc8e2c01e677aa8c9a1b13f7b0ff5"/>
                  <pic:cNvPicPr>
                    <a:picLocks noChangeAspect="1"/>
                  </pic:cNvPicPr>
                </pic:nvPicPr>
                <pic:blipFill>
                  <a:blip r:embed="rId2"/>
                  <a:stretch>
                    <a:fillRect/>
                  </a:stretch>
                </pic:blipFill>
                <pic:spPr>
                  <a:xfrm>
                    <a:off x="0" y="0"/>
                    <a:ext cx="442595" cy="300355"/>
                  </a:xfrm>
                  <a:prstGeom prst="rect">
                    <a:avLst/>
                  </a:prstGeom>
                  <a:noFill/>
                  <a:ln>
                    <a:noFill/>
                  </a:ln>
                </pic:spPr>
              </pic:pic>
            </a:graphicData>
          </a:graphic>
        </wp:anchor>
      </w:drawing>
    </w:r>
    <w:r>
      <w:rPr>
        <w:b/>
        <w:bCs/>
        <w:color w:val="948A54"/>
        <w:sz w:val="24"/>
      </w:rPr>
      <w:tab/>
    </w:r>
    <w:r>
      <w:rPr>
        <w:rFonts w:hint="eastAsia"/>
        <w:b/>
        <w:bCs/>
        <w:color w:val="948A54"/>
        <w:sz w:val="24"/>
      </w:rPr>
      <w:t xml:space="preserve">              崇尚专业 </w:t>
    </w:r>
    <w:r>
      <w:rPr>
        <w:b/>
        <w:bCs/>
        <w:color w:val="948A54"/>
        <w:sz w:val="24"/>
      </w:rPr>
      <w:t xml:space="preserve">  </w:t>
    </w:r>
    <w:r>
      <w:rPr>
        <w:rFonts w:hint="eastAsia"/>
        <w:b/>
        <w:bCs/>
        <w:color w:val="948A54"/>
        <w:sz w:val="24"/>
      </w:rPr>
      <w:t>用心服务</w:t>
    </w:r>
  </w:p>
  <w:p>
    <w:pPr>
      <w:pStyle w:val="26"/>
      <w:pBdr>
        <w:bottom w:val="none" w:color="auto" w:sz="0" w:space="0"/>
      </w:pBdr>
      <w:tabs>
        <w:tab w:val="center" w:pos="4153"/>
        <w:tab w:val="right" w:pos="8306"/>
      </w:tabs>
      <w:rPr>
        <w:rFonts w:hint="eastAsia"/>
      </w:rPr>
    </w:pPr>
    <w:r>
      <w:rPr>
        <w:rFonts w:hint="eastAsia" w:ascii="Cambria" w:hAnsi="Cambria"/>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00" w:leftChars="100" w:firstLine="241" w:firstLineChars="100"/>
      <w:jc w:val="right"/>
      <w:rPr>
        <w:b/>
        <w:bCs/>
        <w:color w:val="948A54"/>
        <w:sz w:val="24"/>
      </w:rPr>
    </w:pPr>
    <w:r>
      <w:rPr>
        <w:b/>
        <w:bCs/>
        <w:color w:val="948A54"/>
        <w:sz w:val="24"/>
      </w:rPr>
      <w:drawing>
        <wp:anchor distT="0" distB="0" distL="114300" distR="114300" simplePos="0" relativeHeight="251659264" behindDoc="1" locked="0" layoutInCell="1" allowOverlap="1">
          <wp:simplePos x="0" y="0"/>
          <wp:positionH relativeFrom="column">
            <wp:posOffset>235585</wp:posOffset>
          </wp:positionH>
          <wp:positionV relativeFrom="paragraph">
            <wp:posOffset>-21590</wp:posOffset>
          </wp:positionV>
          <wp:extent cx="5509895" cy="287020"/>
          <wp:effectExtent l="0" t="0" r="1905" b="5080"/>
          <wp:wrapNone/>
          <wp:docPr id="3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4"/>
                  <pic:cNvPicPr>
                    <a:picLocks noChangeAspect="1"/>
                  </pic:cNvPicPr>
                </pic:nvPicPr>
                <pic:blipFill>
                  <a:blip r:embed="rId1"/>
                  <a:srcRect l="7268" t="2" b="-305"/>
                  <a:stretch>
                    <a:fillRect/>
                  </a:stretch>
                </pic:blipFill>
                <pic:spPr>
                  <a:xfrm>
                    <a:off x="0" y="0"/>
                    <a:ext cx="5509895" cy="287020"/>
                  </a:xfrm>
                  <a:prstGeom prst="rect">
                    <a:avLst/>
                  </a:prstGeom>
                  <a:noFill/>
                  <a:ln>
                    <a:noFill/>
                  </a:ln>
                </pic:spPr>
              </pic:pic>
            </a:graphicData>
          </a:graphic>
        </wp:anchor>
      </w:drawing>
    </w:r>
    <w:r>
      <w:rPr>
        <w:b/>
        <w:bCs/>
        <w:color w:val="948A54"/>
        <w:sz w:val="24"/>
      </w:rPr>
      <w:drawing>
        <wp:anchor distT="0" distB="0" distL="114300" distR="114300" simplePos="0" relativeHeight="251665408" behindDoc="0" locked="0" layoutInCell="1" allowOverlap="1">
          <wp:simplePos x="0" y="0"/>
          <wp:positionH relativeFrom="column">
            <wp:posOffset>-233680</wp:posOffset>
          </wp:positionH>
          <wp:positionV relativeFrom="paragraph">
            <wp:posOffset>-28575</wp:posOffset>
          </wp:positionV>
          <wp:extent cx="442595" cy="300355"/>
          <wp:effectExtent l="0" t="0" r="1905" b="4445"/>
          <wp:wrapNone/>
          <wp:docPr id="38" name="图片 41"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descr="5cbc8e2c01e677aa8c9a1b13f7b0ff5"/>
                  <pic:cNvPicPr>
                    <a:picLocks noChangeAspect="1"/>
                  </pic:cNvPicPr>
                </pic:nvPicPr>
                <pic:blipFill>
                  <a:blip r:embed="rId2"/>
                  <a:stretch>
                    <a:fillRect/>
                  </a:stretch>
                </pic:blipFill>
                <pic:spPr>
                  <a:xfrm>
                    <a:off x="0" y="0"/>
                    <a:ext cx="442595" cy="300355"/>
                  </a:xfrm>
                  <a:prstGeom prst="rect">
                    <a:avLst/>
                  </a:prstGeom>
                  <a:noFill/>
                  <a:ln>
                    <a:noFill/>
                  </a:ln>
                </pic:spPr>
              </pic:pic>
            </a:graphicData>
          </a:graphic>
        </wp:anchor>
      </w:drawing>
    </w:r>
    <w:r>
      <w:rPr>
        <w:b/>
        <w:bCs/>
        <w:color w:val="948A54"/>
        <w:sz w:val="24"/>
      </w:rPr>
      <w:tab/>
    </w:r>
    <w:r>
      <w:rPr>
        <w:rFonts w:hint="eastAsia"/>
        <w:b/>
        <w:bCs/>
        <w:color w:val="948A54"/>
        <w:sz w:val="24"/>
      </w:rPr>
      <w:t xml:space="preserve">              崇尚专业 </w:t>
    </w:r>
    <w:r>
      <w:rPr>
        <w:b/>
        <w:bCs/>
        <w:color w:val="948A54"/>
        <w:sz w:val="24"/>
      </w:rPr>
      <w:t xml:space="preserve">  </w:t>
    </w:r>
    <w:r>
      <w:rPr>
        <w:rFonts w:hint="eastAsia"/>
        <w:b/>
        <w:bCs/>
        <w:color w:val="948A54"/>
        <w:sz w:val="24"/>
      </w:rPr>
      <w:t>用心服务</w:t>
    </w:r>
  </w:p>
  <w:p>
    <w:pPr>
      <w:pStyle w:val="26"/>
      <w:pBdr>
        <w:bottom w:val="none" w:color="auto" w:sz="0" w:space="0"/>
      </w:pBdr>
      <w:tabs>
        <w:tab w:val="center" w:pos="4153"/>
        <w:tab w:val="right"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959"/>
      </w:tabs>
      <w:ind w:left="200" w:leftChars="100" w:firstLine="320" w:firstLineChars="100"/>
      <w:jc w:val="right"/>
      <w:rPr>
        <w:b/>
        <w:bCs/>
        <w:color w:val="948A54"/>
        <w:sz w:val="24"/>
      </w:rPr>
    </w:pPr>
    <w:r>
      <w:rPr>
        <w:rFonts w:hint="eastAsia" w:ascii="Cambria" w:hAnsi="Cambria"/>
        <w:sz w:val="32"/>
        <w:szCs w:val="32"/>
      </w:rPr>
      <w:t xml:space="preserve"> </w:t>
    </w:r>
    <w:r>
      <w:rPr>
        <w:rFonts w:hint="eastAsia" w:ascii="Cambria" w:hAnsi="Cambria"/>
        <w:szCs w:val="18"/>
      </w:rPr>
      <w:t xml:space="preserve">               </w:t>
    </w:r>
    <w:r>
      <w:rPr>
        <w:b/>
        <w:bCs/>
        <w:color w:val="948A54"/>
        <w:sz w:val="24"/>
      </w:rPr>
      <w:drawing>
        <wp:anchor distT="0" distB="0" distL="114300" distR="114300" simplePos="0" relativeHeight="251661312" behindDoc="1" locked="0" layoutInCell="1" allowOverlap="1">
          <wp:simplePos x="0" y="0"/>
          <wp:positionH relativeFrom="column">
            <wp:posOffset>235585</wp:posOffset>
          </wp:positionH>
          <wp:positionV relativeFrom="paragraph">
            <wp:posOffset>-21590</wp:posOffset>
          </wp:positionV>
          <wp:extent cx="5509895" cy="287020"/>
          <wp:effectExtent l="0" t="0" r="1905" b="5080"/>
          <wp:wrapNone/>
          <wp:docPr id="3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4"/>
                  <pic:cNvPicPr>
                    <a:picLocks noChangeAspect="1"/>
                  </pic:cNvPicPr>
                </pic:nvPicPr>
                <pic:blipFill>
                  <a:blip r:embed="rId1"/>
                  <a:srcRect l="7268" t="2" b="-305"/>
                  <a:stretch>
                    <a:fillRect/>
                  </a:stretch>
                </pic:blipFill>
                <pic:spPr>
                  <a:xfrm>
                    <a:off x="0" y="0"/>
                    <a:ext cx="5509895" cy="287020"/>
                  </a:xfrm>
                  <a:prstGeom prst="rect">
                    <a:avLst/>
                  </a:prstGeom>
                  <a:noFill/>
                  <a:ln>
                    <a:noFill/>
                  </a:ln>
                </pic:spPr>
              </pic:pic>
            </a:graphicData>
          </a:graphic>
        </wp:anchor>
      </w:drawing>
    </w:r>
    <w:r>
      <w:rPr>
        <w:b/>
        <w:bCs/>
        <w:color w:val="948A54"/>
        <w:sz w:val="24"/>
      </w:rPr>
      <w:drawing>
        <wp:anchor distT="0" distB="0" distL="114300" distR="114300" simplePos="0" relativeHeight="251667456" behindDoc="0" locked="0" layoutInCell="1" allowOverlap="1">
          <wp:simplePos x="0" y="0"/>
          <wp:positionH relativeFrom="column">
            <wp:posOffset>-233680</wp:posOffset>
          </wp:positionH>
          <wp:positionV relativeFrom="paragraph">
            <wp:posOffset>-28575</wp:posOffset>
          </wp:positionV>
          <wp:extent cx="442595" cy="300355"/>
          <wp:effectExtent l="0" t="0" r="1905" b="4445"/>
          <wp:wrapNone/>
          <wp:docPr id="40" name="图片 41" descr="5cbc8e2c01e677aa8c9a1b13f7b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5cbc8e2c01e677aa8c9a1b13f7b0ff5"/>
                  <pic:cNvPicPr>
                    <a:picLocks noChangeAspect="1"/>
                  </pic:cNvPicPr>
                </pic:nvPicPr>
                <pic:blipFill>
                  <a:blip r:embed="rId2"/>
                  <a:stretch>
                    <a:fillRect/>
                  </a:stretch>
                </pic:blipFill>
                <pic:spPr>
                  <a:xfrm>
                    <a:off x="0" y="0"/>
                    <a:ext cx="442595" cy="300355"/>
                  </a:xfrm>
                  <a:prstGeom prst="rect">
                    <a:avLst/>
                  </a:prstGeom>
                  <a:noFill/>
                  <a:ln>
                    <a:noFill/>
                  </a:ln>
                </pic:spPr>
              </pic:pic>
            </a:graphicData>
          </a:graphic>
        </wp:anchor>
      </w:drawing>
    </w:r>
    <w:r>
      <w:rPr>
        <w:b/>
        <w:bCs/>
        <w:color w:val="948A54"/>
        <w:sz w:val="24"/>
      </w:rPr>
      <w:tab/>
    </w:r>
    <w:r>
      <w:rPr>
        <w:rFonts w:hint="eastAsia"/>
        <w:b/>
        <w:bCs/>
        <w:color w:val="948A54"/>
        <w:sz w:val="24"/>
      </w:rPr>
      <w:t xml:space="preserve">              崇尚专业 </w:t>
    </w:r>
    <w:r>
      <w:rPr>
        <w:b/>
        <w:bCs/>
        <w:color w:val="948A54"/>
        <w:sz w:val="24"/>
      </w:rPr>
      <w:t xml:space="preserve">  </w:t>
    </w:r>
    <w:r>
      <w:rPr>
        <w:rFonts w:hint="eastAsia"/>
        <w:b/>
        <w:bCs/>
        <w:color w:val="948A54"/>
        <w:sz w:val="24"/>
      </w:rPr>
      <w:t>用心服务</w:t>
    </w:r>
  </w:p>
  <w:p>
    <w:pPr>
      <w:pStyle w:val="26"/>
      <w:pBdr>
        <w:bottom w:val="none" w:color="auto" w:sz="0" w:space="0"/>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90257"/>
    <w:multiLevelType w:val="singleLevel"/>
    <w:tmpl w:val="AFD90257"/>
    <w:lvl w:ilvl="0" w:tentative="0">
      <w:start w:val="3"/>
      <w:numFmt w:val="decimal"/>
      <w:suff w:val="space"/>
      <w:lvlText w:val="%1."/>
      <w:lvlJc w:val="left"/>
    </w:lvl>
  </w:abstractNum>
  <w:abstractNum w:abstractNumId="1">
    <w:nsid w:val="B87C50FC"/>
    <w:multiLevelType w:val="singleLevel"/>
    <w:tmpl w:val="B87C50FC"/>
    <w:lvl w:ilvl="0" w:tentative="0">
      <w:start w:val="1"/>
      <w:numFmt w:val="chineseCounting"/>
      <w:suff w:val="nothing"/>
      <w:lvlText w:val="%1、"/>
      <w:lvlJc w:val="left"/>
      <w:rPr>
        <w:rFonts w:hint="eastAsia"/>
      </w:rPr>
    </w:lvl>
  </w:abstractNum>
  <w:abstractNum w:abstractNumId="2">
    <w:nsid w:val="0E21B4B6"/>
    <w:multiLevelType w:val="singleLevel"/>
    <w:tmpl w:val="0E21B4B6"/>
    <w:lvl w:ilvl="0" w:tentative="0">
      <w:start w:val="2"/>
      <w:numFmt w:val="chineseCounting"/>
      <w:suff w:val="nothing"/>
      <w:lvlText w:val="（%1）"/>
      <w:lvlJc w:val="left"/>
      <w:pPr>
        <w:ind w:left="420" w:firstLine="0"/>
      </w:pPr>
      <w:rPr>
        <w:rFonts w:hint="eastAsia"/>
      </w:rPr>
    </w:lvl>
  </w:abstractNum>
  <w:abstractNum w:abstractNumId="3">
    <w:nsid w:val="2FDBB7C0"/>
    <w:multiLevelType w:val="singleLevel"/>
    <w:tmpl w:val="2FDBB7C0"/>
    <w:lvl w:ilvl="0" w:tentative="0">
      <w:start w:val="9"/>
      <w:numFmt w:val="chineseCounting"/>
      <w:suff w:val="nothing"/>
      <w:lvlText w:val="%1、"/>
      <w:lvlJc w:val="left"/>
      <w:rPr>
        <w:rFonts w:hint="eastAsia"/>
      </w:rPr>
    </w:lvl>
  </w:abstractNum>
  <w:abstractNum w:abstractNumId="4">
    <w:nsid w:val="3CB695F1"/>
    <w:multiLevelType w:val="singleLevel"/>
    <w:tmpl w:val="3CB695F1"/>
    <w:lvl w:ilvl="0" w:tentative="0">
      <w:start w:val="6"/>
      <w:numFmt w:val="chineseCounting"/>
      <w:suff w:val="space"/>
      <w:lvlText w:val="第%1章"/>
      <w:lvlJc w:val="left"/>
      <w:rPr>
        <w:rFonts w:hint="eastAsia"/>
      </w:rPr>
    </w:lvl>
  </w:abstractNum>
  <w:abstractNum w:abstractNumId="5">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decimal"/>
      <w:pStyle w:val="93"/>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41312A53"/>
    <w:multiLevelType w:val="singleLevel"/>
    <w:tmpl w:val="41312A53"/>
    <w:lvl w:ilvl="0" w:tentative="0">
      <w:start w:val="6"/>
      <w:numFmt w:val="decimal"/>
      <w:suff w:val="space"/>
      <w:lvlText w:val="%1."/>
      <w:lvlJc w:val="left"/>
    </w:lvl>
  </w:abstractNum>
  <w:abstractNum w:abstractNumId="7">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3"/>
  </w:num>
  <w:num w:numId="3">
    <w:abstractNumId w:val="1"/>
  </w:num>
  <w:num w:numId="4">
    <w:abstractNumId w:val="2"/>
  </w:num>
  <w:num w:numId="5">
    <w:abstractNumId w:val="4"/>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nforcement="0"/>
  <w:defaultTabStop w:val="720"/>
  <w:hyphenationZone w:val="36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FBE"/>
    <w:rsid w:val="00001110"/>
    <w:rsid w:val="00001FB0"/>
    <w:rsid w:val="00002D49"/>
    <w:rsid w:val="0000467D"/>
    <w:rsid w:val="000059C4"/>
    <w:rsid w:val="00014BFD"/>
    <w:rsid w:val="00016026"/>
    <w:rsid w:val="0001767F"/>
    <w:rsid w:val="0002065C"/>
    <w:rsid w:val="000257F6"/>
    <w:rsid w:val="000274AC"/>
    <w:rsid w:val="00034ED4"/>
    <w:rsid w:val="000410C3"/>
    <w:rsid w:val="00042656"/>
    <w:rsid w:val="000436CB"/>
    <w:rsid w:val="00047228"/>
    <w:rsid w:val="00051379"/>
    <w:rsid w:val="00060EAA"/>
    <w:rsid w:val="00063D55"/>
    <w:rsid w:val="000715BC"/>
    <w:rsid w:val="00072B9B"/>
    <w:rsid w:val="00074A1D"/>
    <w:rsid w:val="00074E58"/>
    <w:rsid w:val="0007608F"/>
    <w:rsid w:val="000763D8"/>
    <w:rsid w:val="000807E5"/>
    <w:rsid w:val="00081BEB"/>
    <w:rsid w:val="0008209D"/>
    <w:rsid w:val="0008384D"/>
    <w:rsid w:val="00083C76"/>
    <w:rsid w:val="00083E9A"/>
    <w:rsid w:val="00086665"/>
    <w:rsid w:val="00092319"/>
    <w:rsid w:val="000A6D04"/>
    <w:rsid w:val="000C6B24"/>
    <w:rsid w:val="000D0F93"/>
    <w:rsid w:val="000D2B23"/>
    <w:rsid w:val="000D42DA"/>
    <w:rsid w:val="000E4A3F"/>
    <w:rsid w:val="000F5226"/>
    <w:rsid w:val="000F5F21"/>
    <w:rsid w:val="0012166A"/>
    <w:rsid w:val="001266ED"/>
    <w:rsid w:val="0013000E"/>
    <w:rsid w:val="0013117E"/>
    <w:rsid w:val="00135780"/>
    <w:rsid w:val="0014081C"/>
    <w:rsid w:val="00141BE1"/>
    <w:rsid w:val="00142C79"/>
    <w:rsid w:val="00142FA2"/>
    <w:rsid w:val="00151059"/>
    <w:rsid w:val="00152A4A"/>
    <w:rsid w:val="00156392"/>
    <w:rsid w:val="001626E0"/>
    <w:rsid w:val="0017166A"/>
    <w:rsid w:val="0017227F"/>
    <w:rsid w:val="001726B0"/>
    <w:rsid w:val="00186CFA"/>
    <w:rsid w:val="00193750"/>
    <w:rsid w:val="001959F6"/>
    <w:rsid w:val="001A145D"/>
    <w:rsid w:val="001A5023"/>
    <w:rsid w:val="001A53D6"/>
    <w:rsid w:val="001A68DC"/>
    <w:rsid w:val="001D0C99"/>
    <w:rsid w:val="001D1F84"/>
    <w:rsid w:val="001E3542"/>
    <w:rsid w:val="001E55EE"/>
    <w:rsid w:val="001E76FD"/>
    <w:rsid w:val="001F203D"/>
    <w:rsid w:val="001F5542"/>
    <w:rsid w:val="00202363"/>
    <w:rsid w:val="002120EA"/>
    <w:rsid w:val="0022029E"/>
    <w:rsid w:val="00246FE9"/>
    <w:rsid w:val="00252A72"/>
    <w:rsid w:val="00256489"/>
    <w:rsid w:val="00257AA2"/>
    <w:rsid w:val="00260182"/>
    <w:rsid w:val="002672DF"/>
    <w:rsid w:val="0027458E"/>
    <w:rsid w:val="00274CB0"/>
    <w:rsid w:val="002860C5"/>
    <w:rsid w:val="002913F3"/>
    <w:rsid w:val="00291F49"/>
    <w:rsid w:val="002939B8"/>
    <w:rsid w:val="002A295C"/>
    <w:rsid w:val="002C2BFF"/>
    <w:rsid w:val="002C5536"/>
    <w:rsid w:val="002C608B"/>
    <w:rsid w:val="002D2DED"/>
    <w:rsid w:val="002D417B"/>
    <w:rsid w:val="002D7174"/>
    <w:rsid w:val="002E496B"/>
    <w:rsid w:val="002F5615"/>
    <w:rsid w:val="00300C89"/>
    <w:rsid w:val="003021D7"/>
    <w:rsid w:val="00305821"/>
    <w:rsid w:val="00305FE8"/>
    <w:rsid w:val="003116B8"/>
    <w:rsid w:val="00316596"/>
    <w:rsid w:val="0032093B"/>
    <w:rsid w:val="00320B6C"/>
    <w:rsid w:val="0032112A"/>
    <w:rsid w:val="0033335D"/>
    <w:rsid w:val="00335A48"/>
    <w:rsid w:val="0034047E"/>
    <w:rsid w:val="003452BF"/>
    <w:rsid w:val="00350800"/>
    <w:rsid w:val="003509C3"/>
    <w:rsid w:val="00376AB0"/>
    <w:rsid w:val="00377F3D"/>
    <w:rsid w:val="003824E1"/>
    <w:rsid w:val="0038337B"/>
    <w:rsid w:val="0039765B"/>
    <w:rsid w:val="003A24EF"/>
    <w:rsid w:val="003B3B65"/>
    <w:rsid w:val="003C18B2"/>
    <w:rsid w:val="003C296B"/>
    <w:rsid w:val="003C2A42"/>
    <w:rsid w:val="003C570F"/>
    <w:rsid w:val="003D5409"/>
    <w:rsid w:val="003D5A2D"/>
    <w:rsid w:val="003F41EC"/>
    <w:rsid w:val="003F6957"/>
    <w:rsid w:val="00400008"/>
    <w:rsid w:val="0040108E"/>
    <w:rsid w:val="00406742"/>
    <w:rsid w:val="00411781"/>
    <w:rsid w:val="00420D7A"/>
    <w:rsid w:val="004213A6"/>
    <w:rsid w:val="00421A3B"/>
    <w:rsid w:val="0043228C"/>
    <w:rsid w:val="0043786A"/>
    <w:rsid w:val="00442C5E"/>
    <w:rsid w:val="004501E2"/>
    <w:rsid w:val="00455714"/>
    <w:rsid w:val="00466E26"/>
    <w:rsid w:val="00471438"/>
    <w:rsid w:val="00475F5A"/>
    <w:rsid w:val="00476E73"/>
    <w:rsid w:val="004809E8"/>
    <w:rsid w:val="004A351D"/>
    <w:rsid w:val="004B4520"/>
    <w:rsid w:val="004C1F4B"/>
    <w:rsid w:val="004C666B"/>
    <w:rsid w:val="004E0771"/>
    <w:rsid w:val="004E357E"/>
    <w:rsid w:val="004F290D"/>
    <w:rsid w:val="004F7968"/>
    <w:rsid w:val="00510BB8"/>
    <w:rsid w:val="00513B23"/>
    <w:rsid w:val="00513FBF"/>
    <w:rsid w:val="0051423A"/>
    <w:rsid w:val="00521E52"/>
    <w:rsid w:val="005301FB"/>
    <w:rsid w:val="00530CF0"/>
    <w:rsid w:val="00541BE8"/>
    <w:rsid w:val="00542B65"/>
    <w:rsid w:val="00543A39"/>
    <w:rsid w:val="005518E2"/>
    <w:rsid w:val="00555EAC"/>
    <w:rsid w:val="0056244F"/>
    <w:rsid w:val="005675B5"/>
    <w:rsid w:val="005700A4"/>
    <w:rsid w:val="00573946"/>
    <w:rsid w:val="00585DEB"/>
    <w:rsid w:val="00586740"/>
    <w:rsid w:val="005878FC"/>
    <w:rsid w:val="00590CEA"/>
    <w:rsid w:val="005A176D"/>
    <w:rsid w:val="005A2F4F"/>
    <w:rsid w:val="005A3AB5"/>
    <w:rsid w:val="005A55A5"/>
    <w:rsid w:val="005A58F3"/>
    <w:rsid w:val="005C080E"/>
    <w:rsid w:val="005C2F34"/>
    <w:rsid w:val="005C4616"/>
    <w:rsid w:val="005C4E2A"/>
    <w:rsid w:val="005C62C8"/>
    <w:rsid w:val="005C66A5"/>
    <w:rsid w:val="005D444C"/>
    <w:rsid w:val="005E1D90"/>
    <w:rsid w:val="005E45F8"/>
    <w:rsid w:val="005E4E4E"/>
    <w:rsid w:val="005E5546"/>
    <w:rsid w:val="005F29AB"/>
    <w:rsid w:val="005F5CDB"/>
    <w:rsid w:val="0060256F"/>
    <w:rsid w:val="00605575"/>
    <w:rsid w:val="00606E78"/>
    <w:rsid w:val="006130F5"/>
    <w:rsid w:val="00613C85"/>
    <w:rsid w:val="006205F2"/>
    <w:rsid w:val="00621C7F"/>
    <w:rsid w:val="00631923"/>
    <w:rsid w:val="0065226A"/>
    <w:rsid w:val="00656352"/>
    <w:rsid w:val="00656469"/>
    <w:rsid w:val="00661321"/>
    <w:rsid w:val="00665014"/>
    <w:rsid w:val="0066788C"/>
    <w:rsid w:val="0067345B"/>
    <w:rsid w:val="006817FD"/>
    <w:rsid w:val="006835A2"/>
    <w:rsid w:val="00693D37"/>
    <w:rsid w:val="006B4484"/>
    <w:rsid w:val="006B60F9"/>
    <w:rsid w:val="006B7DBA"/>
    <w:rsid w:val="006C2C94"/>
    <w:rsid w:val="006C3E36"/>
    <w:rsid w:val="006C4769"/>
    <w:rsid w:val="006E4E91"/>
    <w:rsid w:val="006E5E6F"/>
    <w:rsid w:val="006E6BE5"/>
    <w:rsid w:val="006E7C65"/>
    <w:rsid w:val="006E7D72"/>
    <w:rsid w:val="007041AA"/>
    <w:rsid w:val="007107A3"/>
    <w:rsid w:val="00713AEE"/>
    <w:rsid w:val="00714E07"/>
    <w:rsid w:val="00723B55"/>
    <w:rsid w:val="00724858"/>
    <w:rsid w:val="0072626F"/>
    <w:rsid w:val="007325DC"/>
    <w:rsid w:val="007360BF"/>
    <w:rsid w:val="007423F4"/>
    <w:rsid w:val="0075046F"/>
    <w:rsid w:val="00753298"/>
    <w:rsid w:val="00753E97"/>
    <w:rsid w:val="0075437F"/>
    <w:rsid w:val="00756565"/>
    <w:rsid w:val="00757EF9"/>
    <w:rsid w:val="007630ED"/>
    <w:rsid w:val="007769EA"/>
    <w:rsid w:val="0077735A"/>
    <w:rsid w:val="00780461"/>
    <w:rsid w:val="00780DEC"/>
    <w:rsid w:val="00787D39"/>
    <w:rsid w:val="007922B3"/>
    <w:rsid w:val="00795B05"/>
    <w:rsid w:val="007A2ED7"/>
    <w:rsid w:val="007A527A"/>
    <w:rsid w:val="007B00D4"/>
    <w:rsid w:val="007B03CA"/>
    <w:rsid w:val="007B19C7"/>
    <w:rsid w:val="007B24B7"/>
    <w:rsid w:val="007B2529"/>
    <w:rsid w:val="007B2F3E"/>
    <w:rsid w:val="007B31FF"/>
    <w:rsid w:val="007D108E"/>
    <w:rsid w:val="007E11FE"/>
    <w:rsid w:val="007E3156"/>
    <w:rsid w:val="007E4A38"/>
    <w:rsid w:val="007E5285"/>
    <w:rsid w:val="007F0A8D"/>
    <w:rsid w:val="007F3409"/>
    <w:rsid w:val="007F3737"/>
    <w:rsid w:val="00804C8B"/>
    <w:rsid w:val="00806065"/>
    <w:rsid w:val="00810A25"/>
    <w:rsid w:val="008227A2"/>
    <w:rsid w:val="008231D8"/>
    <w:rsid w:val="008261DE"/>
    <w:rsid w:val="00830B1E"/>
    <w:rsid w:val="0083273B"/>
    <w:rsid w:val="00832BFE"/>
    <w:rsid w:val="00843EB0"/>
    <w:rsid w:val="008516E2"/>
    <w:rsid w:val="00851D82"/>
    <w:rsid w:val="00856A7C"/>
    <w:rsid w:val="00891F2D"/>
    <w:rsid w:val="00894853"/>
    <w:rsid w:val="0089486B"/>
    <w:rsid w:val="008A2D8A"/>
    <w:rsid w:val="008B0166"/>
    <w:rsid w:val="008B7B74"/>
    <w:rsid w:val="008D1B2A"/>
    <w:rsid w:val="008D3EB0"/>
    <w:rsid w:val="008D49F2"/>
    <w:rsid w:val="008F5005"/>
    <w:rsid w:val="008F592F"/>
    <w:rsid w:val="008F5999"/>
    <w:rsid w:val="008F721D"/>
    <w:rsid w:val="0091247C"/>
    <w:rsid w:val="00916CAB"/>
    <w:rsid w:val="009175E0"/>
    <w:rsid w:val="009307DD"/>
    <w:rsid w:val="00931201"/>
    <w:rsid w:val="00936F61"/>
    <w:rsid w:val="00937F8F"/>
    <w:rsid w:val="00940085"/>
    <w:rsid w:val="00942A7C"/>
    <w:rsid w:val="009452AC"/>
    <w:rsid w:val="00946508"/>
    <w:rsid w:val="009524B2"/>
    <w:rsid w:val="00953638"/>
    <w:rsid w:val="00953DE0"/>
    <w:rsid w:val="00954396"/>
    <w:rsid w:val="00954EB7"/>
    <w:rsid w:val="00954FBE"/>
    <w:rsid w:val="00956FC7"/>
    <w:rsid w:val="00960F5F"/>
    <w:rsid w:val="009640F9"/>
    <w:rsid w:val="00965043"/>
    <w:rsid w:val="009720D9"/>
    <w:rsid w:val="0098081A"/>
    <w:rsid w:val="009816CF"/>
    <w:rsid w:val="00985EC2"/>
    <w:rsid w:val="0099183B"/>
    <w:rsid w:val="0099573E"/>
    <w:rsid w:val="009978D2"/>
    <w:rsid w:val="009A12E9"/>
    <w:rsid w:val="009A38E6"/>
    <w:rsid w:val="009B4095"/>
    <w:rsid w:val="009B67CD"/>
    <w:rsid w:val="009C28E8"/>
    <w:rsid w:val="009C58E9"/>
    <w:rsid w:val="009C6C34"/>
    <w:rsid w:val="009D154D"/>
    <w:rsid w:val="009D2376"/>
    <w:rsid w:val="009E0F13"/>
    <w:rsid w:val="009E2A52"/>
    <w:rsid w:val="009E5ED5"/>
    <w:rsid w:val="009F10AF"/>
    <w:rsid w:val="009F598D"/>
    <w:rsid w:val="009F5A65"/>
    <w:rsid w:val="009F6281"/>
    <w:rsid w:val="009F7D95"/>
    <w:rsid w:val="00A022FB"/>
    <w:rsid w:val="00A04E23"/>
    <w:rsid w:val="00A12958"/>
    <w:rsid w:val="00A16168"/>
    <w:rsid w:val="00A16B75"/>
    <w:rsid w:val="00A2320E"/>
    <w:rsid w:val="00A24EC5"/>
    <w:rsid w:val="00A304DE"/>
    <w:rsid w:val="00A33153"/>
    <w:rsid w:val="00A33ACE"/>
    <w:rsid w:val="00A35A1C"/>
    <w:rsid w:val="00A42185"/>
    <w:rsid w:val="00A43A14"/>
    <w:rsid w:val="00A43D72"/>
    <w:rsid w:val="00A4646B"/>
    <w:rsid w:val="00A5009D"/>
    <w:rsid w:val="00A51133"/>
    <w:rsid w:val="00A54650"/>
    <w:rsid w:val="00A555E9"/>
    <w:rsid w:val="00A6219D"/>
    <w:rsid w:val="00A64F7E"/>
    <w:rsid w:val="00A7358B"/>
    <w:rsid w:val="00A76910"/>
    <w:rsid w:val="00A80E00"/>
    <w:rsid w:val="00A837D1"/>
    <w:rsid w:val="00A9515F"/>
    <w:rsid w:val="00AA06C7"/>
    <w:rsid w:val="00AB1436"/>
    <w:rsid w:val="00AB1FE4"/>
    <w:rsid w:val="00AB2080"/>
    <w:rsid w:val="00AB3E35"/>
    <w:rsid w:val="00AB45F1"/>
    <w:rsid w:val="00AC07E6"/>
    <w:rsid w:val="00AC3BB2"/>
    <w:rsid w:val="00AD14E6"/>
    <w:rsid w:val="00AD21FE"/>
    <w:rsid w:val="00AD2E1A"/>
    <w:rsid w:val="00AD58E4"/>
    <w:rsid w:val="00AD5E27"/>
    <w:rsid w:val="00AF0396"/>
    <w:rsid w:val="00AF3A3B"/>
    <w:rsid w:val="00AF4062"/>
    <w:rsid w:val="00AF4238"/>
    <w:rsid w:val="00AF43C4"/>
    <w:rsid w:val="00B0109C"/>
    <w:rsid w:val="00B01CFA"/>
    <w:rsid w:val="00B02840"/>
    <w:rsid w:val="00B15060"/>
    <w:rsid w:val="00B221EF"/>
    <w:rsid w:val="00B2242D"/>
    <w:rsid w:val="00B24530"/>
    <w:rsid w:val="00B3769F"/>
    <w:rsid w:val="00B37A76"/>
    <w:rsid w:val="00B4347F"/>
    <w:rsid w:val="00B47794"/>
    <w:rsid w:val="00B5191F"/>
    <w:rsid w:val="00B56C96"/>
    <w:rsid w:val="00B578D1"/>
    <w:rsid w:val="00B61654"/>
    <w:rsid w:val="00B63340"/>
    <w:rsid w:val="00B65938"/>
    <w:rsid w:val="00B72365"/>
    <w:rsid w:val="00B766D7"/>
    <w:rsid w:val="00B813F9"/>
    <w:rsid w:val="00B86389"/>
    <w:rsid w:val="00B87093"/>
    <w:rsid w:val="00B903CC"/>
    <w:rsid w:val="00B90CEE"/>
    <w:rsid w:val="00BA36DB"/>
    <w:rsid w:val="00BA3C44"/>
    <w:rsid w:val="00BB13FF"/>
    <w:rsid w:val="00BB20A9"/>
    <w:rsid w:val="00BB3A17"/>
    <w:rsid w:val="00BB7A41"/>
    <w:rsid w:val="00BC05C7"/>
    <w:rsid w:val="00BC135B"/>
    <w:rsid w:val="00BC2774"/>
    <w:rsid w:val="00BC6460"/>
    <w:rsid w:val="00BD2ECC"/>
    <w:rsid w:val="00BD30DE"/>
    <w:rsid w:val="00BE4E8A"/>
    <w:rsid w:val="00BE4EBB"/>
    <w:rsid w:val="00BF1707"/>
    <w:rsid w:val="00BF3B6C"/>
    <w:rsid w:val="00BF3C57"/>
    <w:rsid w:val="00BF79BF"/>
    <w:rsid w:val="00C00039"/>
    <w:rsid w:val="00C03B8A"/>
    <w:rsid w:val="00C05318"/>
    <w:rsid w:val="00C06BA7"/>
    <w:rsid w:val="00C11128"/>
    <w:rsid w:val="00C144F2"/>
    <w:rsid w:val="00C22565"/>
    <w:rsid w:val="00C26E51"/>
    <w:rsid w:val="00C276C8"/>
    <w:rsid w:val="00C317D7"/>
    <w:rsid w:val="00C43532"/>
    <w:rsid w:val="00C45295"/>
    <w:rsid w:val="00C47F20"/>
    <w:rsid w:val="00C55233"/>
    <w:rsid w:val="00C60267"/>
    <w:rsid w:val="00C650B1"/>
    <w:rsid w:val="00C73FF4"/>
    <w:rsid w:val="00C757F7"/>
    <w:rsid w:val="00CB0C5C"/>
    <w:rsid w:val="00CB5405"/>
    <w:rsid w:val="00CC5B5C"/>
    <w:rsid w:val="00CD5228"/>
    <w:rsid w:val="00CF2BFA"/>
    <w:rsid w:val="00CF472B"/>
    <w:rsid w:val="00CF6795"/>
    <w:rsid w:val="00D044AA"/>
    <w:rsid w:val="00D06602"/>
    <w:rsid w:val="00D21E43"/>
    <w:rsid w:val="00D22D9B"/>
    <w:rsid w:val="00D25474"/>
    <w:rsid w:val="00D2565D"/>
    <w:rsid w:val="00D25BD5"/>
    <w:rsid w:val="00D25FE5"/>
    <w:rsid w:val="00D26658"/>
    <w:rsid w:val="00D268D2"/>
    <w:rsid w:val="00D3422F"/>
    <w:rsid w:val="00D423FD"/>
    <w:rsid w:val="00D43A2D"/>
    <w:rsid w:val="00D50654"/>
    <w:rsid w:val="00D553DA"/>
    <w:rsid w:val="00D55B67"/>
    <w:rsid w:val="00D55BC9"/>
    <w:rsid w:val="00D60625"/>
    <w:rsid w:val="00D66352"/>
    <w:rsid w:val="00D71603"/>
    <w:rsid w:val="00D75016"/>
    <w:rsid w:val="00D87060"/>
    <w:rsid w:val="00D9636D"/>
    <w:rsid w:val="00D978F7"/>
    <w:rsid w:val="00D97947"/>
    <w:rsid w:val="00DA005B"/>
    <w:rsid w:val="00DA4A24"/>
    <w:rsid w:val="00DA7566"/>
    <w:rsid w:val="00DB1A83"/>
    <w:rsid w:val="00DB3613"/>
    <w:rsid w:val="00DB37CC"/>
    <w:rsid w:val="00DB5E0D"/>
    <w:rsid w:val="00DB6996"/>
    <w:rsid w:val="00DC0CC3"/>
    <w:rsid w:val="00DC4817"/>
    <w:rsid w:val="00DD2193"/>
    <w:rsid w:val="00DD74E6"/>
    <w:rsid w:val="00DF4A48"/>
    <w:rsid w:val="00DF5600"/>
    <w:rsid w:val="00DF5B29"/>
    <w:rsid w:val="00DF62D6"/>
    <w:rsid w:val="00E03D61"/>
    <w:rsid w:val="00E05A79"/>
    <w:rsid w:val="00E07C55"/>
    <w:rsid w:val="00E07FA2"/>
    <w:rsid w:val="00E21DE7"/>
    <w:rsid w:val="00E22CA7"/>
    <w:rsid w:val="00E25C54"/>
    <w:rsid w:val="00E271D6"/>
    <w:rsid w:val="00E31BCA"/>
    <w:rsid w:val="00E3289A"/>
    <w:rsid w:val="00E34511"/>
    <w:rsid w:val="00E365AA"/>
    <w:rsid w:val="00E45167"/>
    <w:rsid w:val="00E47F66"/>
    <w:rsid w:val="00E518EC"/>
    <w:rsid w:val="00E63BE2"/>
    <w:rsid w:val="00E672E9"/>
    <w:rsid w:val="00E75317"/>
    <w:rsid w:val="00E8046F"/>
    <w:rsid w:val="00E86B45"/>
    <w:rsid w:val="00EA629B"/>
    <w:rsid w:val="00EA755B"/>
    <w:rsid w:val="00EB29F2"/>
    <w:rsid w:val="00EC090C"/>
    <w:rsid w:val="00EC1212"/>
    <w:rsid w:val="00EC5937"/>
    <w:rsid w:val="00EC6069"/>
    <w:rsid w:val="00ED5809"/>
    <w:rsid w:val="00ED73B0"/>
    <w:rsid w:val="00EE25A5"/>
    <w:rsid w:val="00EE5283"/>
    <w:rsid w:val="00EE7AE2"/>
    <w:rsid w:val="00EF0F4D"/>
    <w:rsid w:val="00EF1A76"/>
    <w:rsid w:val="00EF3A39"/>
    <w:rsid w:val="00EF596E"/>
    <w:rsid w:val="00EF6C6A"/>
    <w:rsid w:val="00F003DB"/>
    <w:rsid w:val="00F009CD"/>
    <w:rsid w:val="00F06879"/>
    <w:rsid w:val="00F072E5"/>
    <w:rsid w:val="00F151FD"/>
    <w:rsid w:val="00F172E7"/>
    <w:rsid w:val="00F21E78"/>
    <w:rsid w:val="00F2320A"/>
    <w:rsid w:val="00F333D0"/>
    <w:rsid w:val="00F4269A"/>
    <w:rsid w:val="00F4278A"/>
    <w:rsid w:val="00F5689F"/>
    <w:rsid w:val="00F71A0A"/>
    <w:rsid w:val="00F76E90"/>
    <w:rsid w:val="00F83E28"/>
    <w:rsid w:val="00F84F25"/>
    <w:rsid w:val="00F861A2"/>
    <w:rsid w:val="00F86AE5"/>
    <w:rsid w:val="00F86E9A"/>
    <w:rsid w:val="00F950C1"/>
    <w:rsid w:val="00FA5834"/>
    <w:rsid w:val="00FB3879"/>
    <w:rsid w:val="00FC3F11"/>
    <w:rsid w:val="00FC50E6"/>
    <w:rsid w:val="00FD0836"/>
    <w:rsid w:val="00FD4A5C"/>
    <w:rsid w:val="00FE44BE"/>
    <w:rsid w:val="00FF453B"/>
    <w:rsid w:val="00FF576A"/>
    <w:rsid w:val="00FF5FC3"/>
    <w:rsid w:val="010C4C72"/>
    <w:rsid w:val="01130516"/>
    <w:rsid w:val="01170FA1"/>
    <w:rsid w:val="01186247"/>
    <w:rsid w:val="01221A71"/>
    <w:rsid w:val="012355BB"/>
    <w:rsid w:val="01360A4D"/>
    <w:rsid w:val="0143430E"/>
    <w:rsid w:val="01470146"/>
    <w:rsid w:val="01643DF0"/>
    <w:rsid w:val="01690397"/>
    <w:rsid w:val="016A3F26"/>
    <w:rsid w:val="017C1E8F"/>
    <w:rsid w:val="018C152D"/>
    <w:rsid w:val="01A54038"/>
    <w:rsid w:val="01AC7316"/>
    <w:rsid w:val="01B11E18"/>
    <w:rsid w:val="01B800E0"/>
    <w:rsid w:val="01E30A39"/>
    <w:rsid w:val="01E50B06"/>
    <w:rsid w:val="01EE501A"/>
    <w:rsid w:val="01F9658D"/>
    <w:rsid w:val="01FB31BB"/>
    <w:rsid w:val="01FC00E9"/>
    <w:rsid w:val="01FC1942"/>
    <w:rsid w:val="01FD0A11"/>
    <w:rsid w:val="01FD398D"/>
    <w:rsid w:val="02083D6B"/>
    <w:rsid w:val="02091FF6"/>
    <w:rsid w:val="020A6944"/>
    <w:rsid w:val="020F4BC8"/>
    <w:rsid w:val="0219134E"/>
    <w:rsid w:val="021931BB"/>
    <w:rsid w:val="02221199"/>
    <w:rsid w:val="022A33EA"/>
    <w:rsid w:val="02330C29"/>
    <w:rsid w:val="0243055C"/>
    <w:rsid w:val="024936A7"/>
    <w:rsid w:val="025314B9"/>
    <w:rsid w:val="02603BE1"/>
    <w:rsid w:val="026323BD"/>
    <w:rsid w:val="0264564E"/>
    <w:rsid w:val="026C7865"/>
    <w:rsid w:val="026D7500"/>
    <w:rsid w:val="028E6A67"/>
    <w:rsid w:val="02966CAE"/>
    <w:rsid w:val="02B61BE4"/>
    <w:rsid w:val="02BB5AA0"/>
    <w:rsid w:val="02C505F4"/>
    <w:rsid w:val="02C57BF7"/>
    <w:rsid w:val="02C72A8A"/>
    <w:rsid w:val="02C910B7"/>
    <w:rsid w:val="02CD0FE8"/>
    <w:rsid w:val="02D14073"/>
    <w:rsid w:val="02E8275F"/>
    <w:rsid w:val="02F254C3"/>
    <w:rsid w:val="02F70E73"/>
    <w:rsid w:val="030645FD"/>
    <w:rsid w:val="030E5374"/>
    <w:rsid w:val="031A42A7"/>
    <w:rsid w:val="031C4104"/>
    <w:rsid w:val="033D227C"/>
    <w:rsid w:val="03443F02"/>
    <w:rsid w:val="03472499"/>
    <w:rsid w:val="034C2633"/>
    <w:rsid w:val="03553074"/>
    <w:rsid w:val="035D1B41"/>
    <w:rsid w:val="036208CD"/>
    <w:rsid w:val="03713EFE"/>
    <w:rsid w:val="038375BA"/>
    <w:rsid w:val="038F2E5C"/>
    <w:rsid w:val="03AE7BB3"/>
    <w:rsid w:val="03C34E34"/>
    <w:rsid w:val="03D22236"/>
    <w:rsid w:val="03DE4B6F"/>
    <w:rsid w:val="03F620DB"/>
    <w:rsid w:val="040377DE"/>
    <w:rsid w:val="040F1F06"/>
    <w:rsid w:val="04371388"/>
    <w:rsid w:val="044B50BE"/>
    <w:rsid w:val="04557988"/>
    <w:rsid w:val="04666DFA"/>
    <w:rsid w:val="046956FD"/>
    <w:rsid w:val="046E6314"/>
    <w:rsid w:val="047E3241"/>
    <w:rsid w:val="0481155A"/>
    <w:rsid w:val="04895B73"/>
    <w:rsid w:val="049805D1"/>
    <w:rsid w:val="049B7BB5"/>
    <w:rsid w:val="04A15CD5"/>
    <w:rsid w:val="04B3260D"/>
    <w:rsid w:val="04B34FB8"/>
    <w:rsid w:val="04BC20D0"/>
    <w:rsid w:val="04CD2026"/>
    <w:rsid w:val="04D9265C"/>
    <w:rsid w:val="04DD202C"/>
    <w:rsid w:val="04FA4FE5"/>
    <w:rsid w:val="04FB4178"/>
    <w:rsid w:val="05107700"/>
    <w:rsid w:val="05153387"/>
    <w:rsid w:val="051B5001"/>
    <w:rsid w:val="051D2F74"/>
    <w:rsid w:val="052B23CF"/>
    <w:rsid w:val="05384159"/>
    <w:rsid w:val="053D4355"/>
    <w:rsid w:val="053E6F58"/>
    <w:rsid w:val="054E5D95"/>
    <w:rsid w:val="05695848"/>
    <w:rsid w:val="056F5866"/>
    <w:rsid w:val="05815871"/>
    <w:rsid w:val="05825636"/>
    <w:rsid w:val="058A7C3B"/>
    <w:rsid w:val="058D5D7F"/>
    <w:rsid w:val="059B1E68"/>
    <w:rsid w:val="05BF1C47"/>
    <w:rsid w:val="05CB531E"/>
    <w:rsid w:val="05D21045"/>
    <w:rsid w:val="05D2687F"/>
    <w:rsid w:val="05E3105C"/>
    <w:rsid w:val="05E71DF9"/>
    <w:rsid w:val="05EA701D"/>
    <w:rsid w:val="05EC5FBE"/>
    <w:rsid w:val="05F575BF"/>
    <w:rsid w:val="05F61B18"/>
    <w:rsid w:val="05FD0B03"/>
    <w:rsid w:val="06006F0D"/>
    <w:rsid w:val="0608430B"/>
    <w:rsid w:val="060E62EB"/>
    <w:rsid w:val="06102EC6"/>
    <w:rsid w:val="061D7D56"/>
    <w:rsid w:val="06451567"/>
    <w:rsid w:val="064901AB"/>
    <w:rsid w:val="0655150A"/>
    <w:rsid w:val="06552CF8"/>
    <w:rsid w:val="065A6050"/>
    <w:rsid w:val="06630D0C"/>
    <w:rsid w:val="06631B22"/>
    <w:rsid w:val="06747034"/>
    <w:rsid w:val="06750D7B"/>
    <w:rsid w:val="06766C9E"/>
    <w:rsid w:val="06943429"/>
    <w:rsid w:val="06A936A5"/>
    <w:rsid w:val="06BF22A8"/>
    <w:rsid w:val="06C02445"/>
    <w:rsid w:val="06C50928"/>
    <w:rsid w:val="06C55F9C"/>
    <w:rsid w:val="06D3484C"/>
    <w:rsid w:val="06D91AA7"/>
    <w:rsid w:val="06DC6300"/>
    <w:rsid w:val="06E312AA"/>
    <w:rsid w:val="06E521D3"/>
    <w:rsid w:val="06EA51EF"/>
    <w:rsid w:val="06EA5E5A"/>
    <w:rsid w:val="06EF22FB"/>
    <w:rsid w:val="06F21ECE"/>
    <w:rsid w:val="06F52249"/>
    <w:rsid w:val="06FD7EEB"/>
    <w:rsid w:val="06FF795F"/>
    <w:rsid w:val="070022A9"/>
    <w:rsid w:val="070D1DBE"/>
    <w:rsid w:val="07100117"/>
    <w:rsid w:val="0721122B"/>
    <w:rsid w:val="072B5F4C"/>
    <w:rsid w:val="07395BCF"/>
    <w:rsid w:val="073C301A"/>
    <w:rsid w:val="074765D2"/>
    <w:rsid w:val="075B4770"/>
    <w:rsid w:val="07683739"/>
    <w:rsid w:val="076C43E0"/>
    <w:rsid w:val="07743612"/>
    <w:rsid w:val="077A2388"/>
    <w:rsid w:val="07845D1D"/>
    <w:rsid w:val="07902955"/>
    <w:rsid w:val="07957BDD"/>
    <w:rsid w:val="07BC0FE7"/>
    <w:rsid w:val="07C56F15"/>
    <w:rsid w:val="07D50111"/>
    <w:rsid w:val="07D7455B"/>
    <w:rsid w:val="07D746B5"/>
    <w:rsid w:val="07EF5487"/>
    <w:rsid w:val="07F86CDC"/>
    <w:rsid w:val="08101711"/>
    <w:rsid w:val="081F2561"/>
    <w:rsid w:val="08243B6A"/>
    <w:rsid w:val="08372A79"/>
    <w:rsid w:val="08414A3E"/>
    <w:rsid w:val="084C5D94"/>
    <w:rsid w:val="084C6659"/>
    <w:rsid w:val="084E3EEB"/>
    <w:rsid w:val="085B2D00"/>
    <w:rsid w:val="085B3768"/>
    <w:rsid w:val="085F2D34"/>
    <w:rsid w:val="08606474"/>
    <w:rsid w:val="0889100B"/>
    <w:rsid w:val="088C50B6"/>
    <w:rsid w:val="08940202"/>
    <w:rsid w:val="089F2B71"/>
    <w:rsid w:val="089F4D15"/>
    <w:rsid w:val="08AA6FB5"/>
    <w:rsid w:val="08B66E34"/>
    <w:rsid w:val="08B84ECC"/>
    <w:rsid w:val="08BC7E57"/>
    <w:rsid w:val="08C43522"/>
    <w:rsid w:val="08C612E5"/>
    <w:rsid w:val="08CB4FDE"/>
    <w:rsid w:val="08CE04F9"/>
    <w:rsid w:val="08DE2E16"/>
    <w:rsid w:val="08E941C0"/>
    <w:rsid w:val="08F13B4B"/>
    <w:rsid w:val="08F45C8C"/>
    <w:rsid w:val="08FC297B"/>
    <w:rsid w:val="090911E3"/>
    <w:rsid w:val="090F00DC"/>
    <w:rsid w:val="09102714"/>
    <w:rsid w:val="091A7BFB"/>
    <w:rsid w:val="091C1B37"/>
    <w:rsid w:val="091C30AF"/>
    <w:rsid w:val="09234305"/>
    <w:rsid w:val="09342CC7"/>
    <w:rsid w:val="09602421"/>
    <w:rsid w:val="09633699"/>
    <w:rsid w:val="09644D57"/>
    <w:rsid w:val="0969411C"/>
    <w:rsid w:val="097B05B1"/>
    <w:rsid w:val="09822641"/>
    <w:rsid w:val="09827194"/>
    <w:rsid w:val="098B0AB4"/>
    <w:rsid w:val="099933E8"/>
    <w:rsid w:val="09B435BF"/>
    <w:rsid w:val="09C164F4"/>
    <w:rsid w:val="09C665A2"/>
    <w:rsid w:val="09CB35F4"/>
    <w:rsid w:val="09DD1582"/>
    <w:rsid w:val="09E3053E"/>
    <w:rsid w:val="09ED0CC8"/>
    <w:rsid w:val="09F74BCE"/>
    <w:rsid w:val="09F86184"/>
    <w:rsid w:val="0A03149D"/>
    <w:rsid w:val="0A097AA7"/>
    <w:rsid w:val="0A0D47EE"/>
    <w:rsid w:val="0A0F2917"/>
    <w:rsid w:val="0A257743"/>
    <w:rsid w:val="0A320CE0"/>
    <w:rsid w:val="0A332F1C"/>
    <w:rsid w:val="0A3502C9"/>
    <w:rsid w:val="0A4812A7"/>
    <w:rsid w:val="0A4A3A84"/>
    <w:rsid w:val="0A6B4AAE"/>
    <w:rsid w:val="0A705572"/>
    <w:rsid w:val="0A8558F8"/>
    <w:rsid w:val="0A891CCB"/>
    <w:rsid w:val="0A906BE3"/>
    <w:rsid w:val="0A956F81"/>
    <w:rsid w:val="0A990307"/>
    <w:rsid w:val="0A9B6CC8"/>
    <w:rsid w:val="0AA4586D"/>
    <w:rsid w:val="0AAE4505"/>
    <w:rsid w:val="0AB104FC"/>
    <w:rsid w:val="0AB53EC8"/>
    <w:rsid w:val="0AB60420"/>
    <w:rsid w:val="0AD04A68"/>
    <w:rsid w:val="0ADA7D78"/>
    <w:rsid w:val="0ADB25E0"/>
    <w:rsid w:val="0AE6173B"/>
    <w:rsid w:val="0AEF2A14"/>
    <w:rsid w:val="0B0C166A"/>
    <w:rsid w:val="0B0E5AEB"/>
    <w:rsid w:val="0B165C11"/>
    <w:rsid w:val="0B184CEF"/>
    <w:rsid w:val="0B1D1A89"/>
    <w:rsid w:val="0B1D4EC7"/>
    <w:rsid w:val="0B203089"/>
    <w:rsid w:val="0B2B7F18"/>
    <w:rsid w:val="0B2C3C79"/>
    <w:rsid w:val="0B3056A9"/>
    <w:rsid w:val="0B3A0C25"/>
    <w:rsid w:val="0B457F5A"/>
    <w:rsid w:val="0B507943"/>
    <w:rsid w:val="0B627A03"/>
    <w:rsid w:val="0B6C01E3"/>
    <w:rsid w:val="0B6D4A46"/>
    <w:rsid w:val="0B7439C2"/>
    <w:rsid w:val="0B762AE1"/>
    <w:rsid w:val="0B8B11A4"/>
    <w:rsid w:val="0BA20AD2"/>
    <w:rsid w:val="0BA3319A"/>
    <w:rsid w:val="0BA74C95"/>
    <w:rsid w:val="0BB71C3B"/>
    <w:rsid w:val="0BB94147"/>
    <w:rsid w:val="0BC76F53"/>
    <w:rsid w:val="0BCD344D"/>
    <w:rsid w:val="0BCE0200"/>
    <w:rsid w:val="0BE459B3"/>
    <w:rsid w:val="0BF63C8E"/>
    <w:rsid w:val="0C001CA3"/>
    <w:rsid w:val="0C100AC8"/>
    <w:rsid w:val="0C1D7199"/>
    <w:rsid w:val="0C1F35A4"/>
    <w:rsid w:val="0C210C04"/>
    <w:rsid w:val="0C2367D7"/>
    <w:rsid w:val="0C237362"/>
    <w:rsid w:val="0C2379AC"/>
    <w:rsid w:val="0C296D95"/>
    <w:rsid w:val="0C2F36D0"/>
    <w:rsid w:val="0C3615AB"/>
    <w:rsid w:val="0C407C7B"/>
    <w:rsid w:val="0C651D13"/>
    <w:rsid w:val="0C9351D8"/>
    <w:rsid w:val="0C955C24"/>
    <w:rsid w:val="0C975412"/>
    <w:rsid w:val="0CA420BC"/>
    <w:rsid w:val="0CA716DC"/>
    <w:rsid w:val="0CB050B5"/>
    <w:rsid w:val="0CBC4467"/>
    <w:rsid w:val="0CC0206B"/>
    <w:rsid w:val="0CC556AA"/>
    <w:rsid w:val="0CDA7945"/>
    <w:rsid w:val="0CE064FA"/>
    <w:rsid w:val="0CE17A3F"/>
    <w:rsid w:val="0CEC5AF6"/>
    <w:rsid w:val="0CEC6434"/>
    <w:rsid w:val="0CF14C9D"/>
    <w:rsid w:val="0CF2071C"/>
    <w:rsid w:val="0CF7726F"/>
    <w:rsid w:val="0CFA0687"/>
    <w:rsid w:val="0CFE5DAB"/>
    <w:rsid w:val="0D102C80"/>
    <w:rsid w:val="0D152864"/>
    <w:rsid w:val="0D1C5D00"/>
    <w:rsid w:val="0D296E70"/>
    <w:rsid w:val="0D306F1D"/>
    <w:rsid w:val="0D334DC1"/>
    <w:rsid w:val="0D3C2BA3"/>
    <w:rsid w:val="0D411A25"/>
    <w:rsid w:val="0D5A3FB8"/>
    <w:rsid w:val="0D5E4773"/>
    <w:rsid w:val="0D624E60"/>
    <w:rsid w:val="0D65727D"/>
    <w:rsid w:val="0D7075E6"/>
    <w:rsid w:val="0D713D1D"/>
    <w:rsid w:val="0D7A704B"/>
    <w:rsid w:val="0D8F11EE"/>
    <w:rsid w:val="0D925808"/>
    <w:rsid w:val="0DB70F89"/>
    <w:rsid w:val="0DBA7AE6"/>
    <w:rsid w:val="0DBD0079"/>
    <w:rsid w:val="0DC468EA"/>
    <w:rsid w:val="0DC653EE"/>
    <w:rsid w:val="0DEE3AB1"/>
    <w:rsid w:val="0DF24B74"/>
    <w:rsid w:val="0DFA31C5"/>
    <w:rsid w:val="0DFC085A"/>
    <w:rsid w:val="0E003145"/>
    <w:rsid w:val="0E19006C"/>
    <w:rsid w:val="0E463408"/>
    <w:rsid w:val="0E4A1C01"/>
    <w:rsid w:val="0E4C296F"/>
    <w:rsid w:val="0E5642BB"/>
    <w:rsid w:val="0E627DBC"/>
    <w:rsid w:val="0E6A434C"/>
    <w:rsid w:val="0E714466"/>
    <w:rsid w:val="0E891A16"/>
    <w:rsid w:val="0E8C043F"/>
    <w:rsid w:val="0E8C5250"/>
    <w:rsid w:val="0EB86B1F"/>
    <w:rsid w:val="0EBF742D"/>
    <w:rsid w:val="0ED208AF"/>
    <w:rsid w:val="0ED331F4"/>
    <w:rsid w:val="0EF91B75"/>
    <w:rsid w:val="0F0A4FE6"/>
    <w:rsid w:val="0F1076ED"/>
    <w:rsid w:val="0F1B3DBA"/>
    <w:rsid w:val="0F464802"/>
    <w:rsid w:val="0F6313C6"/>
    <w:rsid w:val="0F663B37"/>
    <w:rsid w:val="0F733E11"/>
    <w:rsid w:val="0F7D3656"/>
    <w:rsid w:val="0F855A83"/>
    <w:rsid w:val="0F96741A"/>
    <w:rsid w:val="0F98453F"/>
    <w:rsid w:val="0F990929"/>
    <w:rsid w:val="0F9E7454"/>
    <w:rsid w:val="0FA948C1"/>
    <w:rsid w:val="0FBF50DA"/>
    <w:rsid w:val="0FC205F6"/>
    <w:rsid w:val="0FF8530B"/>
    <w:rsid w:val="100B7B9F"/>
    <w:rsid w:val="101C1CA8"/>
    <w:rsid w:val="102756E0"/>
    <w:rsid w:val="1031536D"/>
    <w:rsid w:val="103473E2"/>
    <w:rsid w:val="104C0CCE"/>
    <w:rsid w:val="10501686"/>
    <w:rsid w:val="105C274E"/>
    <w:rsid w:val="105C3877"/>
    <w:rsid w:val="10627502"/>
    <w:rsid w:val="1076185D"/>
    <w:rsid w:val="10775203"/>
    <w:rsid w:val="10777E41"/>
    <w:rsid w:val="10824504"/>
    <w:rsid w:val="10847108"/>
    <w:rsid w:val="109877B9"/>
    <w:rsid w:val="10B575E2"/>
    <w:rsid w:val="10C004C2"/>
    <w:rsid w:val="10D724D3"/>
    <w:rsid w:val="10EC37C8"/>
    <w:rsid w:val="10F07B59"/>
    <w:rsid w:val="10F31D8B"/>
    <w:rsid w:val="10F52BE8"/>
    <w:rsid w:val="11005A5E"/>
    <w:rsid w:val="11077EE5"/>
    <w:rsid w:val="11085AAE"/>
    <w:rsid w:val="111B0D45"/>
    <w:rsid w:val="111C08CA"/>
    <w:rsid w:val="11315CA6"/>
    <w:rsid w:val="113557D1"/>
    <w:rsid w:val="11405E1D"/>
    <w:rsid w:val="115C3D2A"/>
    <w:rsid w:val="11872800"/>
    <w:rsid w:val="118E4882"/>
    <w:rsid w:val="119C061F"/>
    <w:rsid w:val="119C3977"/>
    <w:rsid w:val="11A5641F"/>
    <w:rsid w:val="11A82AA3"/>
    <w:rsid w:val="11AB5CF8"/>
    <w:rsid w:val="11B04A44"/>
    <w:rsid w:val="11C31EDE"/>
    <w:rsid w:val="11CD01D2"/>
    <w:rsid w:val="11CD5DF2"/>
    <w:rsid w:val="11D96A17"/>
    <w:rsid w:val="11F62FCA"/>
    <w:rsid w:val="11FE6E8D"/>
    <w:rsid w:val="122B4D12"/>
    <w:rsid w:val="12334217"/>
    <w:rsid w:val="12444D73"/>
    <w:rsid w:val="124F60E2"/>
    <w:rsid w:val="125B29C0"/>
    <w:rsid w:val="127400A0"/>
    <w:rsid w:val="12756A58"/>
    <w:rsid w:val="129E0903"/>
    <w:rsid w:val="129F5F89"/>
    <w:rsid w:val="12B4042F"/>
    <w:rsid w:val="12B5455E"/>
    <w:rsid w:val="12C440AA"/>
    <w:rsid w:val="12D368EC"/>
    <w:rsid w:val="12DA4076"/>
    <w:rsid w:val="12F02D8C"/>
    <w:rsid w:val="13112DA9"/>
    <w:rsid w:val="13174D13"/>
    <w:rsid w:val="13264D22"/>
    <w:rsid w:val="13300DF8"/>
    <w:rsid w:val="1339149A"/>
    <w:rsid w:val="133D307D"/>
    <w:rsid w:val="13405E56"/>
    <w:rsid w:val="134251B8"/>
    <w:rsid w:val="13462759"/>
    <w:rsid w:val="134A4D05"/>
    <w:rsid w:val="135105E3"/>
    <w:rsid w:val="135256A6"/>
    <w:rsid w:val="13535AD6"/>
    <w:rsid w:val="13571A72"/>
    <w:rsid w:val="136562FA"/>
    <w:rsid w:val="1372584B"/>
    <w:rsid w:val="13821D08"/>
    <w:rsid w:val="138440EF"/>
    <w:rsid w:val="138F6399"/>
    <w:rsid w:val="139660A4"/>
    <w:rsid w:val="13995D44"/>
    <w:rsid w:val="139A3DE4"/>
    <w:rsid w:val="13AA0FA4"/>
    <w:rsid w:val="13B51264"/>
    <w:rsid w:val="13B54863"/>
    <w:rsid w:val="13CE04DB"/>
    <w:rsid w:val="13CE4932"/>
    <w:rsid w:val="13CE691B"/>
    <w:rsid w:val="13DE3D86"/>
    <w:rsid w:val="13F56EFA"/>
    <w:rsid w:val="13FA5E59"/>
    <w:rsid w:val="14044972"/>
    <w:rsid w:val="14191B96"/>
    <w:rsid w:val="141B5283"/>
    <w:rsid w:val="141E4E91"/>
    <w:rsid w:val="142B6898"/>
    <w:rsid w:val="142E78A3"/>
    <w:rsid w:val="14367D22"/>
    <w:rsid w:val="143C6709"/>
    <w:rsid w:val="145275F5"/>
    <w:rsid w:val="145A123F"/>
    <w:rsid w:val="14616775"/>
    <w:rsid w:val="14702765"/>
    <w:rsid w:val="14900FF5"/>
    <w:rsid w:val="14933CA9"/>
    <w:rsid w:val="14A5671D"/>
    <w:rsid w:val="14A92031"/>
    <w:rsid w:val="14B243BF"/>
    <w:rsid w:val="14B9752C"/>
    <w:rsid w:val="14C16C6D"/>
    <w:rsid w:val="14C33615"/>
    <w:rsid w:val="14CE2B7F"/>
    <w:rsid w:val="14D41C6E"/>
    <w:rsid w:val="14D55712"/>
    <w:rsid w:val="14D91DBC"/>
    <w:rsid w:val="14DB7633"/>
    <w:rsid w:val="14E02E79"/>
    <w:rsid w:val="14E10DB3"/>
    <w:rsid w:val="14ED3166"/>
    <w:rsid w:val="15086B88"/>
    <w:rsid w:val="15176923"/>
    <w:rsid w:val="1521627A"/>
    <w:rsid w:val="153A0FC2"/>
    <w:rsid w:val="15436AE3"/>
    <w:rsid w:val="154F647F"/>
    <w:rsid w:val="15614DF8"/>
    <w:rsid w:val="156B3D26"/>
    <w:rsid w:val="156B42E1"/>
    <w:rsid w:val="156E35D1"/>
    <w:rsid w:val="157C1E13"/>
    <w:rsid w:val="15877B79"/>
    <w:rsid w:val="15877CD5"/>
    <w:rsid w:val="158D450D"/>
    <w:rsid w:val="15A70311"/>
    <w:rsid w:val="15A80E38"/>
    <w:rsid w:val="15B02281"/>
    <w:rsid w:val="15B82123"/>
    <w:rsid w:val="15B963AB"/>
    <w:rsid w:val="15C3706F"/>
    <w:rsid w:val="15C4737A"/>
    <w:rsid w:val="15C825C3"/>
    <w:rsid w:val="15CB676B"/>
    <w:rsid w:val="15EB1D06"/>
    <w:rsid w:val="15F23539"/>
    <w:rsid w:val="15FF084C"/>
    <w:rsid w:val="160B52F5"/>
    <w:rsid w:val="161518F1"/>
    <w:rsid w:val="16185BFB"/>
    <w:rsid w:val="16241FEA"/>
    <w:rsid w:val="16261D59"/>
    <w:rsid w:val="16287547"/>
    <w:rsid w:val="1629032B"/>
    <w:rsid w:val="162F3A3E"/>
    <w:rsid w:val="162F578F"/>
    <w:rsid w:val="162F73C0"/>
    <w:rsid w:val="163D372D"/>
    <w:rsid w:val="16581653"/>
    <w:rsid w:val="165A3232"/>
    <w:rsid w:val="165A3932"/>
    <w:rsid w:val="165B75E9"/>
    <w:rsid w:val="165B7CFA"/>
    <w:rsid w:val="16867699"/>
    <w:rsid w:val="168D7AE1"/>
    <w:rsid w:val="16902BE9"/>
    <w:rsid w:val="169C3ABB"/>
    <w:rsid w:val="16A94C9E"/>
    <w:rsid w:val="16B123CC"/>
    <w:rsid w:val="16B943BE"/>
    <w:rsid w:val="16BF14C0"/>
    <w:rsid w:val="16C25BEA"/>
    <w:rsid w:val="16C566BE"/>
    <w:rsid w:val="16CE01D6"/>
    <w:rsid w:val="16D54E15"/>
    <w:rsid w:val="16D82A39"/>
    <w:rsid w:val="16E920B1"/>
    <w:rsid w:val="16F655C6"/>
    <w:rsid w:val="170C0422"/>
    <w:rsid w:val="1711004C"/>
    <w:rsid w:val="17156BA9"/>
    <w:rsid w:val="172E72AE"/>
    <w:rsid w:val="173118C8"/>
    <w:rsid w:val="17344381"/>
    <w:rsid w:val="173603F0"/>
    <w:rsid w:val="173F1929"/>
    <w:rsid w:val="17413087"/>
    <w:rsid w:val="174F513C"/>
    <w:rsid w:val="17573206"/>
    <w:rsid w:val="1767393F"/>
    <w:rsid w:val="177525FC"/>
    <w:rsid w:val="177B2B73"/>
    <w:rsid w:val="178C738B"/>
    <w:rsid w:val="178F223B"/>
    <w:rsid w:val="17941155"/>
    <w:rsid w:val="17A23B10"/>
    <w:rsid w:val="17AC611F"/>
    <w:rsid w:val="17C508A9"/>
    <w:rsid w:val="17C77E7D"/>
    <w:rsid w:val="17D91EB2"/>
    <w:rsid w:val="17E22BE4"/>
    <w:rsid w:val="17E6037A"/>
    <w:rsid w:val="17ED23B1"/>
    <w:rsid w:val="17FD31BC"/>
    <w:rsid w:val="180E1FEE"/>
    <w:rsid w:val="180F27B9"/>
    <w:rsid w:val="182B5148"/>
    <w:rsid w:val="18382104"/>
    <w:rsid w:val="1853656E"/>
    <w:rsid w:val="1854703F"/>
    <w:rsid w:val="186247DF"/>
    <w:rsid w:val="186E780E"/>
    <w:rsid w:val="187A5F6A"/>
    <w:rsid w:val="187B1C7D"/>
    <w:rsid w:val="18A20E45"/>
    <w:rsid w:val="18A4399D"/>
    <w:rsid w:val="18AF476E"/>
    <w:rsid w:val="18AF795C"/>
    <w:rsid w:val="18B71A0D"/>
    <w:rsid w:val="18CC16DB"/>
    <w:rsid w:val="18DA1F8D"/>
    <w:rsid w:val="18DF5538"/>
    <w:rsid w:val="18F24908"/>
    <w:rsid w:val="18F82C53"/>
    <w:rsid w:val="19044FA8"/>
    <w:rsid w:val="19097269"/>
    <w:rsid w:val="19155A20"/>
    <w:rsid w:val="19217AEC"/>
    <w:rsid w:val="19282140"/>
    <w:rsid w:val="195606A6"/>
    <w:rsid w:val="195F390E"/>
    <w:rsid w:val="19767A09"/>
    <w:rsid w:val="199965FC"/>
    <w:rsid w:val="199A2508"/>
    <w:rsid w:val="19B35885"/>
    <w:rsid w:val="19C7144A"/>
    <w:rsid w:val="19D3226D"/>
    <w:rsid w:val="19E17102"/>
    <w:rsid w:val="1A0226F8"/>
    <w:rsid w:val="1A0B017D"/>
    <w:rsid w:val="1A154E7A"/>
    <w:rsid w:val="1A1C0EE2"/>
    <w:rsid w:val="1A217B7C"/>
    <w:rsid w:val="1A385C18"/>
    <w:rsid w:val="1A3B3046"/>
    <w:rsid w:val="1A3D40DF"/>
    <w:rsid w:val="1A401FE8"/>
    <w:rsid w:val="1A573F7B"/>
    <w:rsid w:val="1A5922BA"/>
    <w:rsid w:val="1A5938D4"/>
    <w:rsid w:val="1A6F5D60"/>
    <w:rsid w:val="1A702931"/>
    <w:rsid w:val="1A71453D"/>
    <w:rsid w:val="1A7F1DC0"/>
    <w:rsid w:val="1A837E08"/>
    <w:rsid w:val="1A891099"/>
    <w:rsid w:val="1A9176B5"/>
    <w:rsid w:val="1ABE733F"/>
    <w:rsid w:val="1AC43B44"/>
    <w:rsid w:val="1AC7298C"/>
    <w:rsid w:val="1AC90A09"/>
    <w:rsid w:val="1ACF0FA6"/>
    <w:rsid w:val="1AD94668"/>
    <w:rsid w:val="1ADE6702"/>
    <w:rsid w:val="1AEB0E82"/>
    <w:rsid w:val="1B147111"/>
    <w:rsid w:val="1B213044"/>
    <w:rsid w:val="1B361379"/>
    <w:rsid w:val="1B416DD7"/>
    <w:rsid w:val="1B493578"/>
    <w:rsid w:val="1B512129"/>
    <w:rsid w:val="1B51558B"/>
    <w:rsid w:val="1B5521A1"/>
    <w:rsid w:val="1B700A94"/>
    <w:rsid w:val="1B8D1460"/>
    <w:rsid w:val="1BA57655"/>
    <w:rsid w:val="1BA6699A"/>
    <w:rsid w:val="1BA8699B"/>
    <w:rsid w:val="1BA8765F"/>
    <w:rsid w:val="1BB00652"/>
    <w:rsid w:val="1BBC4AB7"/>
    <w:rsid w:val="1BC76FF9"/>
    <w:rsid w:val="1BE70D6F"/>
    <w:rsid w:val="1BE77D15"/>
    <w:rsid w:val="1BEB320F"/>
    <w:rsid w:val="1BF33299"/>
    <w:rsid w:val="1BF50095"/>
    <w:rsid w:val="1C076E23"/>
    <w:rsid w:val="1C0A1596"/>
    <w:rsid w:val="1C192C7C"/>
    <w:rsid w:val="1C2214F2"/>
    <w:rsid w:val="1C394D67"/>
    <w:rsid w:val="1C4F185B"/>
    <w:rsid w:val="1C587092"/>
    <w:rsid w:val="1C637C11"/>
    <w:rsid w:val="1C641186"/>
    <w:rsid w:val="1C7F5732"/>
    <w:rsid w:val="1C8C0293"/>
    <w:rsid w:val="1C8E02DC"/>
    <w:rsid w:val="1C924216"/>
    <w:rsid w:val="1C997134"/>
    <w:rsid w:val="1C9C4AE3"/>
    <w:rsid w:val="1CA163B1"/>
    <w:rsid w:val="1CA75ABD"/>
    <w:rsid w:val="1CAA2ED3"/>
    <w:rsid w:val="1CAE0C53"/>
    <w:rsid w:val="1CB948E5"/>
    <w:rsid w:val="1CBF4B40"/>
    <w:rsid w:val="1CD83078"/>
    <w:rsid w:val="1CE86BC3"/>
    <w:rsid w:val="1CE9397E"/>
    <w:rsid w:val="1D155CF2"/>
    <w:rsid w:val="1D2173EA"/>
    <w:rsid w:val="1D340479"/>
    <w:rsid w:val="1D3A4769"/>
    <w:rsid w:val="1D3A5D65"/>
    <w:rsid w:val="1D4D29E0"/>
    <w:rsid w:val="1D4D57E0"/>
    <w:rsid w:val="1D575E7E"/>
    <w:rsid w:val="1D6C7D7B"/>
    <w:rsid w:val="1D771A4B"/>
    <w:rsid w:val="1D775CD5"/>
    <w:rsid w:val="1D8214BC"/>
    <w:rsid w:val="1D8338F3"/>
    <w:rsid w:val="1D8466D5"/>
    <w:rsid w:val="1D860AFD"/>
    <w:rsid w:val="1D873613"/>
    <w:rsid w:val="1D8C3DCF"/>
    <w:rsid w:val="1D8E6D8F"/>
    <w:rsid w:val="1D8F44DA"/>
    <w:rsid w:val="1D935856"/>
    <w:rsid w:val="1DA8317A"/>
    <w:rsid w:val="1DBF44D2"/>
    <w:rsid w:val="1DC72A4C"/>
    <w:rsid w:val="1DE008F5"/>
    <w:rsid w:val="1DEA2C4E"/>
    <w:rsid w:val="1DF2011F"/>
    <w:rsid w:val="1DF52F8E"/>
    <w:rsid w:val="1DFA2DEC"/>
    <w:rsid w:val="1E051D1F"/>
    <w:rsid w:val="1E070B43"/>
    <w:rsid w:val="1E112ABF"/>
    <w:rsid w:val="1E214446"/>
    <w:rsid w:val="1E273114"/>
    <w:rsid w:val="1E2848D6"/>
    <w:rsid w:val="1E4849E4"/>
    <w:rsid w:val="1E524B74"/>
    <w:rsid w:val="1E630105"/>
    <w:rsid w:val="1E63294C"/>
    <w:rsid w:val="1E6E6C67"/>
    <w:rsid w:val="1E7A59D6"/>
    <w:rsid w:val="1E7E0E0E"/>
    <w:rsid w:val="1E98379D"/>
    <w:rsid w:val="1EA03416"/>
    <w:rsid w:val="1EA45F17"/>
    <w:rsid w:val="1EA60414"/>
    <w:rsid w:val="1EA76CEE"/>
    <w:rsid w:val="1EC77F54"/>
    <w:rsid w:val="1ECE7723"/>
    <w:rsid w:val="1ED70616"/>
    <w:rsid w:val="1EE23174"/>
    <w:rsid w:val="1EE90B7B"/>
    <w:rsid w:val="1EE92B57"/>
    <w:rsid w:val="1EEA60D4"/>
    <w:rsid w:val="1EF342E4"/>
    <w:rsid w:val="1F1B56BC"/>
    <w:rsid w:val="1F212E4F"/>
    <w:rsid w:val="1F2345FB"/>
    <w:rsid w:val="1F2C066B"/>
    <w:rsid w:val="1F3829A1"/>
    <w:rsid w:val="1F3B1297"/>
    <w:rsid w:val="1F3D14EF"/>
    <w:rsid w:val="1F3F75E1"/>
    <w:rsid w:val="1F63654D"/>
    <w:rsid w:val="1F6370A2"/>
    <w:rsid w:val="1F6913E1"/>
    <w:rsid w:val="1F7779AA"/>
    <w:rsid w:val="1F7F2D63"/>
    <w:rsid w:val="1F8D0609"/>
    <w:rsid w:val="1F8F4658"/>
    <w:rsid w:val="1F935E3E"/>
    <w:rsid w:val="1F937F88"/>
    <w:rsid w:val="1FB833F1"/>
    <w:rsid w:val="1FCB248E"/>
    <w:rsid w:val="1FDF4ED2"/>
    <w:rsid w:val="1FFB4E00"/>
    <w:rsid w:val="200164D2"/>
    <w:rsid w:val="20027285"/>
    <w:rsid w:val="200D0BCB"/>
    <w:rsid w:val="2012602D"/>
    <w:rsid w:val="20153480"/>
    <w:rsid w:val="201A5F8F"/>
    <w:rsid w:val="201F33F0"/>
    <w:rsid w:val="202310F1"/>
    <w:rsid w:val="20247B51"/>
    <w:rsid w:val="202C05FC"/>
    <w:rsid w:val="20392776"/>
    <w:rsid w:val="205C5700"/>
    <w:rsid w:val="206860B7"/>
    <w:rsid w:val="20721CA3"/>
    <w:rsid w:val="208D656C"/>
    <w:rsid w:val="208F4305"/>
    <w:rsid w:val="2094771E"/>
    <w:rsid w:val="20996424"/>
    <w:rsid w:val="209D70E0"/>
    <w:rsid w:val="20A06633"/>
    <w:rsid w:val="20B86BE1"/>
    <w:rsid w:val="20C27DD7"/>
    <w:rsid w:val="20DC218D"/>
    <w:rsid w:val="20E21A03"/>
    <w:rsid w:val="20E827F3"/>
    <w:rsid w:val="20E9093A"/>
    <w:rsid w:val="20E93BDB"/>
    <w:rsid w:val="20F12D50"/>
    <w:rsid w:val="20FA23CD"/>
    <w:rsid w:val="213549FA"/>
    <w:rsid w:val="2146355A"/>
    <w:rsid w:val="215251F9"/>
    <w:rsid w:val="215D74F3"/>
    <w:rsid w:val="217C6D20"/>
    <w:rsid w:val="21982771"/>
    <w:rsid w:val="219F0D0F"/>
    <w:rsid w:val="21A83C4C"/>
    <w:rsid w:val="21C6558D"/>
    <w:rsid w:val="21C730EE"/>
    <w:rsid w:val="21CC1F5D"/>
    <w:rsid w:val="21D02A35"/>
    <w:rsid w:val="21D22F79"/>
    <w:rsid w:val="21D40968"/>
    <w:rsid w:val="21D56B63"/>
    <w:rsid w:val="21E0236E"/>
    <w:rsid w:val="21E71F0D"/>
    <w:rsid w:val="21F56784"/>
    <w:rsid w:val="21F75560"/>
    <w:rsid w:val="221C5ED2"/>
    <w:rsid w:val="221F3F2A"/>
    <w:rsid w:val="22251A81"/>
    <w:rsid w:val="22293715"/>
    <w:rsid w:val="222B035B"/>
    <w:rsid w:val="222B5526"/>
    <w:rsid w:val="2239561C"/>
    <w:rsid w:val="2241370C"/>
    <w:rsid w:val="2259424A"/>
    <w:rsid w:val="226712FA"/>
    <w:rsid w:val="22743BA9"/>
    <w:rsid w:val="228E29A5"/>
    <w:rsid w:val="228F564B"/>
    <w:rsid w:val="22952840"/>
    <w:rsid w:val="22955102"/>
    <w:rsid w:val="22A35F9F"/>
    <w:rsid w:val="22A838B7"/>
    <w:rsid w:val="22B9497B"/>
    <w:rsid w:val="22BA051C"/>
    <w:rsid w:val="22BA7151"/>
    <w:rsid w:val="22BC1B9F"/>
    <w:rsid w:val="22C62FCC"/>
    <w:rsid w:val="22CE520A"/>
    <w:rsid w:val="22E26BF6"/>
    <w:rsid w:val="22E81FA0"/>
    <w:rsid w:val="22EB5B46"/>
    <w:rsid w:val="22EC59C7"/>
    <w:rsid w:val="23005C9F"/>
    <w:rsid w:val="231B2433"/>
    <w:rsid w:val="23267922"/>
    <w:rsid w:val="23382B8E"/>
    <w:rsid w:val="235F6571"/>
    <w:rsid w:val="23772DEF"/>
    <w:rsid w:val="23826A62"/>
    <w:rsid w:val="239821A5"/>
    <w:rsid w:val="239C72CF"/>
    <w:rsid w:val="239F3388"/>
    <w:rsid w:val="23A83FCC"/>
    <w:rsid w:val="23A90142"/>
    <w:rsid w:val="23A93A35"/>
    <w:rsid w:val="23C9036F"/>
    <w:rsid w:val="23CE0A28"/>
    <w:rsid w:val="23D61703"/>
    <w:rsid w:val="23DF0175"/>
    <w:rsid w:val="23DF0DDC"/>
    <w:rsid w:val="23E00DAE"/>
    <w:rsid w:val="23E1605D"/>
    <w:rsid w:val="23E332B6"/>
    <w:rsid w:val="23E447AB"/>
    <w:rsid w:val="23E755A3"/>
    <w:rsid w:val="23F97323"/>
    <w:rsid w:val="23FF1C0D"/>
    <w:rsid w:val="2402497C"/>
    <w:rsid w:val="24075961"/>
    <w:rsid w:val="240D41E1"/>
    <w:rsid w:val="241A17A9"/>
    <w:rsid w:val="241B5E38"/>
    <w:rsid w:val="24235FCA"/>
    <w:rsid w:val="24346E84"/>
    <w:rsid w:val="24406016"/>
    <w:rsid w:val="244933CF"/>
    <w:rsid w:val="2453584E"/>
    <w:rsid w:val="24836F61"/>
    <w:rsid w:val="24860012"/>
    <w:rsid w:val="248E0768"/>
    <w:rsid w:val="249D3484"/>
    <w:rsid w:val="249D745A"/>
    <w:rsid w:val="24AE27FA"/>
    <w:rsid w:val="24B67A1B"/>
    <w:rsid w:val="24BD64F1"/>
    <w:rsid w:val="24C23BB2"/>
    <w:rsid w:val="24CC78CA"/>
    <w:rsid w:val="24E57C25"/>
    <w:rsid w:val="24FA6E14"/>
    <w:rsid w:val="24FE45ED"/>
    <w:rsid w:val="25027265"/>
    <w:rsid w:val="250E716B"/>
    <w:rsid w:val="25215FBF"/>
    <w:rsid w:val="25367523"/>
    <w:rsid w:val="254C51AA"/>
    <w:rsid w:val="254E7422"/>
    <w:rsid w:val="256F1AED"/>
    <w:rsid w:val="257E426D"/>
    <w:rsid w:val="258153FA"/>
    <w:rsid w:val="258D5A84"/>
    <w:rsid w:val="259C04EA"/>
    <w:rsid w:val="259D662E"/>
    <w:rsid w:val="25A24B45"/>
    <w:rsid w:val="25B91E20"/>
    <w:rsid w:val="25EA03F1"/>
    <w:rsid w:val="25EC0177"/>
    <w:rsid w:val="25F22295"/>
    <w:rsid w:val="25FF6B47"/>
    <w:rsid w:val="26086685"/>
    <w:rsid w:val="260867BF"/>
    <w:rsid w:val="260F5EB4"/>
    <w:rsid w:val="261338E1"/>
    <w:rsid w:val="26222022"/>
    <w:rsid w:val="26226D27"/>
    <w:rsid w:val="263B4F08"/>
    <w:rsid w:val="264F4BAA"/>
    <w:rsid w:val="265451F5"/>
    <w:rsid w:val="265D61B8"/>
    <w:rsid w:val="26607094"/>
    <w:rsid w:val="266368C1"/>
    <w:rsid w:val="2675642A"/>
    <w:rsid w:val="267F1682"/>
    <w:rsid w:val="269016E5"/>
    <w:rsid w:val="269554BB"/>
    <w:rsid w:val="26B071BB"/>
    <w:rsid w:val="26C33541"/>
    <w:rsid w:val="26E12ABA"/>
    <w:rsid w:val="26E525CA"/>
    <w:rsid w:val="26E6708A"/>
    <w:rsid w:val="26E84CAC"/>
    <w:rsid w:val="26F446E3"/>
    <w:rsid w:val="26F61672"/>
    <w:rsid w:val="27097E46"/>
    <w:rsid w:val="270C1E34"/>
    <w:rsid w:val="270D2414"/>
    <w:rsid w:val="271F3FB3"/>
    <w:rsid w:val="272B24E7"/>
    <w:rsid w:val="273D41FC"/>
    <w:rsid w:val="274E0677"/>
    <w:rsid w:val="27537652"/>
    <w:rsid w:val="27563E45"/>
    <w:rsid w:val="27673C75"/>
    <w:rsid w:val="27695B3C"/>
    <w:rsid w:val="278C3CD7"/>
    <w:rsid w:val="2792034D"/>
    <w:rsid w:val="27953E77"/>
    <w:rsid w:val="27A3133D"/>
    <w:rsid w:val="27AE2A99"/>
    <w:rsid w:val="27B40DAE"/>
    <w:rsid w:val="27B9617E"/>
    <w:rsid w:val="27BB13B0"/>
    <w:rsid w:val="27C13EAF"/>
    <w:rsid w:val="27CF6377"/>
    <w:rsid w:val="27D90DE4"/>
    <w:rsid w:val="27E57B29"/>
    <w:rsid w:val="27EF22BF"/>
    <w:rsid w:val="27F61E95"/>
    <w:rsid w:val="28060AF7"/>
    <w:rsid w:val="280A2695"/>
    <w:rsid w:val="280C2030"/>
    <w:rsid w:val="281046EF"/>
    <w:rsid w:val="28141BE2"/>
    <w:rsid w:val="28230A0D"/>
    <w:rsid w:val="283A79AA"/>
    <w:rsid w:val="284438D6"/>
    <w:rsid w:val="285219F3"/>
    <w:rsid w:val="285F248E"/>
    <w:rsid w:val="28685526"/>
    <w:rsid w:val="2897296B"/>
    <w:rsid w:val="28BE0C5E"/>
    <w:rsid w:val="28C715BA"/>
    <w:rsid w:val="28CE5938"/>
    <w:rsid w:val="28DC0CC3"/>
    <w:rsid w:val="292626C1"/>
    <w:rsid w:val="29275345"/>
    <w:rsid w:val="29283FC1"/>
    <w:rsid w:val="292E150B"/>
    <w:rsid w:val="293F1547"/>
    <w:rsid w:val="293F790F"/>
    <w:rsid w:val="29464D61"/>
    <w:rsid w:val="29485FAB"/>
    <w:rsid w:val="29535AD4"/>
    <w:rsid w:val="295A474D"/>
    <w:rsid w:val="295C281A"/>
    <w:rsid w:val="29673A71"/>
    <w:rsid w:val="296D67CE"/>
    <w:rsid w:val="299623A4"/>
    <w:rsid w:val="29993483"/>
    <w:rsid w:val="29AE7C8D"/>
    <w:rsid w:val="29BC070D"/>
    <w:rsid w:val="29C5202A"/>
    <w:rsid w:val="29CD335B"/>
    <w:rsid w:val="29EB0BBE"/>
    <w:rsid w:val="29F67D6B"/>
    <w:rsid w:val="29FA29A2"/>
    <w:rsid w:val="29FF14F4"/>
    <w:rsid w:val="2A137248"/>
    <w:rsid w:val="2A234C84"/>
    <w:rsid w:val="2A255952"/>
    <w:rsid w:val="2A326703"/>
    <w:rsid w:val="2A431453"/>
    <w:rsid w:val="2A463988"/>
    <w:rsid w:val="2A4A2E27"/>
    <w:rsid w:val="2A6112D5"/>
    <w:rsid w:val="2A685333"/>
    <w:rsid w:val="2A701225"/>
    <w:rsid w:val="2A794FD7"/>
    <w:rsid w:val="2A9143EB"/>
    <w:rsid w:val="2A981127"/>
    <w:rsid w:val="2A9D5FB3"/>
    <w:rsid w:val="2AB36E61"/>
    <w:rsid w:val="2AB45E0F"/>
    <w:rsid w:val="2AC50F4F"/>
    <w:rsid w:val="2AD0655C"/>
    <w:rsid w:val="2ADE0903"/>
    <w:rsid w:val="2AE25677"/>
    <w:rsid w:val="2AE512B3"/>
    <w:rsid w:val="2AEA2664"/>
    <w:rsid w:val="2AF150A1"/>
    <w:rsid w:val="2AF901EC"/>
    <w:rsid w:val="2B00541F"/>
    <w:rsid w:val="2B037DD7"/>
    <w:rsid w:val="2B1808B4"/>
    <w:rsid w:val="2B1A25E7"/>
    <w:rsid w:val="2B2053A4"/>
    <w:rsid w:val="2B2226AF"/>
    <w:rsid w:val="2B416413"/>
    <w:rsid w:val="2B442C50"/>
    <w:rsid w:val="2B5203EC"/>
    <w:rsid w:val="2B556C60"/>
    <w:rsid w:val="2B5A578B"/>
    <w:rsid w:val="2B5E4CBD"/>
    <w:rsid w:val="2B635C57"/>
    <w:rsid w:val="2B656682"/>
    <w:rsid w:val="2B7309A7"/>
    <w:rsid w:val="2B785413"/>
    <w:rsid w:val="2B7E1188"/>
    <w:rsid w:val="2B987776"/>
    <w:rsid w:val="2B9A6484"/>
    <w:rsid w:val="2B9F4594"/>
    <w:rsid w:val="2BA30A2A"/>
    <w:rsid w:val="2BA902F3"/>
    <w:rsid w:val="2BAC48D0"/>
    <w:rsid w:val="2BAD443E"/>
    <w:rsid w:val="2BB042BB"/>
    <w:rsid w:val="2BBA74A5"/>
    <w:rsid w:val="2BC2593A"/>
    <w:rsid w:val="2BCD709C"/>
    <w:rsid w:val="2BD332B0"/>
    <w:rsid w:val="2BDC0C7F"/>
    <w:rsid w:val="2BDC6CB2"/>
    <w:rsid w:val="2BE15706"/>
    <w:rsid w:val="2BEC76D2"/>
    <w:rsid w:val="2BFB446B"/>
    <w:rsid w:val="2C016E9F"/>
    <w:rsid w:val="2C143208"/>
    <w:rsid w:val="2C1A064D"/>
    <w:rsid w:val="2C256D5B"/>
    <w:rsid w:val="2C325442"/>
    <w:rsid w:val="2C3D3725"/>
    <w:rsid w:val="2C4F48F7"/>
    <w:rsid w:val="2C572489"/>
    <w:rsid w:val="2C7726C8"/>
    <w:rsid w:val="2C7F1F73"/>
    <w:rsid w:val="2C7F6BF1"/>
    <w:rsid w:val="2CA277C4"/>
    <w:rsid w:val="2CC53BE8"/>
    <w:rsid w:val="2CCD78C1"/>
    <w:rsid w:val="2CD752AF"/>
    <w:rsid w:val="2CDA34FF"/>
    <w:rsid w:val="2CDC58E7"/>
    <w:rsid w:val="2CEF1792"/>
    <w:rsid w:val="2CEF1CE2"/>
    <w:rsid w:val="2CF568DE"/>
    <w:rsid w:val="2D067A37"/>
    <w:rsid w:val="2D113AA1"/>
    <w:rsid w:val="2D1B56FD"/>
    <w:rsid w:val="2D2C2F7F"/>
    <w:rsid w:val="2D497D19"/>
    <w:rsid w:val="2D4B3097"/>
    <w:rsid w:val="2D4B7BC9"/>
    <w:rsid w:val="2D57174D"/>
    <w:rsid w:val="2D6737D5"/>
    <w:rsid w:val="2D757C74"/>
    <w:rsid w:val="2D78710E"/>
    <w:rsid w:val="2D7F63C9"/>
    <w:rsid w:val="2D847FBB"/>
    <w:rsid w:val="2D871B11"/>
    <w:rsid w:val="2D980E6D"/>
    <w:rsid w:val="2D9D105A"/>
    <w:rsid w:val="2DAD50D3"/>
    <w:rsid w:val="2DB00AF8"/>
    <w:rsid w:val="2DB02213"/>
    <w:rsid w:val="2DB0768B"/>
    <w:rsid w:val="2DC1075B"/>
    <w:rsid w:val="2DCC5909"/>
    <w:rsid w:val="2DCD25F3"/>
    <w:rsid w:val="2DD9538D"/>
    <w:rsid w:val="2DD97543"/>
    <w:rsid w:val="2DE2186A"/>
    <w:rsid w:val="2DE56AF6"/>
    <w:rsid w:val="2DF11F40"/>
    <w:rsid w:val="2DF223C6"/>
    <w:rsid w:val="2DF44955"/>
    <w:rsid w:val="2E05149F"/>
    <w:rsid w:val="2E06051D"/>
    <w:rsid w:val="2E0D1314"/>
    <w:rsid w:val="2E1B1A59"/>
    <w:rsid w:val="2E1F64EE"/>
    <w:rsid w:val="2E3037C6"/>
    <w:rsid w:val="2E3109CB"/>
    <w:rsid w:val="2E3D0757"/>
    <w:rsid w:val="2E461C1D"/>
    <w:rsid w:val="2E4A5755"/>
    <w:rsid w:val="2E560D63"/>
    <w:rsid w:val="2E66527C"/>
    <w:rsid w:val="2E724E96"/>
    <w:rsid w:val="2E755BCA"/>
    <w:rsid w:val="2E9952B9"/>
    <w:rsid w:val="2EAB747B"/>
    <w:rsid w:val="2EAC73AD"/>
    <w:rsid w:val="2EB02808"/>
    <w:rsid w:val="2EBC3BCD"/>
    <w:rsid w:val="2EBE0030"/>
    <w:rsid w:val="2EC04217"/>
    <w:rsid w:val="2EC97714"/>
    <w:rsid w:val="2EC978C4"/>
    <w:rsid w:val="2EE37767"/>
    <w:rsid w:val="2EF2387B"/>
    <w:rsid w:val="2F06538E"/>
    <w:rsid w:val="2F0A30C7"/>
    <w:rsid w:val="2F182655"/>
    <w:rsid w:val="2F1C1F5E"/>
    <w:rsid w:val="2F461336"/>
    <w:rsid w:val="2F5637A1"/>
    <w:rsid w:val="2F5A21A8"/>
    <w:rsid w:val="2F7538A5"/>
    <w:rsid w:val="2F761DF2"/>
    <w:rsid w:val="2F821F8D"/>
    <w:rsid w:val="2F8E53DE"/>
    <w:rsid w:val="2FA66FE7"/>
    <w:rsid w:val="2FAB0920"/>
    <w:rsid w:val="2FC105A2"/>
    <w:rsid w:val="2FC1174E"/>
    <w:rsid w:val="2FC31396"/>
    <w:rsid w:val="2FDE3197"/>
    <w:rsid w:val="2FDE458B"/>
    <w:rsid w:val="2FE67140"/>
    <w:rsid w:val="2FE859BA"/>
    <w:rsid w:val="2FEE6CF9"/>
    <w:rsid w:val="2FF1739F"/>
    <w:rsid w:val="2FFF49C0"/>
    <w:rsid w:val="30050C31"/>
    <w:rsid w:val="30332615"/>
    <w:rsid w:val="30496EBF"/>
    <w:rsid w:val="305B312B"/>
    <w:rsid w:val="305F5971"/>
    <w:rsid w:val="307878E5"/>
    <w:rsid w:val="307D0BBF"/>
    <w:rsid w:val="308157F7"/>
    <w:rsid w:val="308767D6"/>
    <w:rsid w:val="30884213"/>
    <w:rsid w:val="308B68F1"/>
    <w:rsid w:val="309064C0"/>
    <w:rsid w:val="309965F2"/>
    <w:rsid w:val="309C0E8B"/>
    <w:rsid w:val="30A16AD9"/>
    <w:rsid w:val="30A40075"/>
    <w:rsid w:val="30AB745D"/>
    <w:rsid w:val="30AD5BC0"/>
    <w:rsid w:val="30B42FCD"/>
    <w:rsid w:val="30B93F82"/>
    <w:rsid w:val="30C410DA"/>
    <w:rsid w:val="30D25A81"/>
    <w:rsid w:val="30E3042C"/>
    <w:rsid w:val="30F15D34"/>
    <w:rsid w:val="3101160D"/>
    <w:rsid w:val="31014E22"/>
    <w:rsid w:val="31096A77"/>
    <w:rsid w:val="310A707E"/>
    <w:rsid w:val="31191ADC"/>
    <w:rsid w:val="311A04B5"/>
    <w:rsid w:val="3127344C"/>
    <w:rsid w:val="31337960"/>
    <w:rsid w:val="313A1F88"/>
    <w:rsid w:val="314F63F0"/>
    <w:rsid w:val="315232F9"/>
    <w:rsid w:val="31552224"/>
    <w:rsid w:val="317C0B1A"/>
    <w:rsid w:val="31836547"/>
    <w:rsid w:val="318622A2"/>
    <w:rsid w:val="318B54CB"/>
    <w:rsid w:val="319450DD"/>
    <w:rsid w:val="319B78B3"/>
    <w:rsid w:val="31A310B8"/>
    <w:rsid w:val="31A401D1"/>
    <w:rsid w:val="31B211C3"/>
    <w:rsid w:val="31C5091F"/>
    <w:rsid w:val="31C9458E"/>
    <w:rsid w:val="31CC2ACC"/>
    <w:rsid w:val="31E07229"/>
    <w:rsid w:val="31E926D9"/>
    <w:rsid w:val="31ED7A22"/>
    <w:rsid w:val="31F00232"/>
    <w:rsid w:val="31F61D22"/>
    <w:rsid w:val="31FC5F57"/>
    <w:rsid w:val="320E40F3"/>
    <w:rsid w:val="3216307A"/>
    <w:rsid w:val="321E0D73"/>
    <w:rsid w:val="32257C8F"/>
    <w:rsid w:val="32361895"/>
    <w:rsid w:val="32376D36"/>
    <w:rsid w:val="3238260C"/>
    <w:rsid w:val="3238372E"/>
    <w:rsid w:val="323956E1"/>
    <w:rsid w:val="32412CBA"/>
    <w:rsid w:val="32415997"/>
    <w:rsid w:val="32515314"/>
    <w:rsid w:val="32516460"/>
    <w:rsid w:val="325230B1"/>
    <w:rsid w:val="32555479"/>
    <w:rsid w:val="32684239"/>
    <w:rsid w:val="326A5995"/>
    <w:rsid w:val="327D4263"/>
    <w:rsid w:val="327F41E6"/>
    <w:rsid w:val="3281174B"/>
    <w:rsid w:val="328C58D6"/>
    <w:rsid w:val="328F19D4"/>
    <w:rsid w:val="32A9431D"/>
    <w:rsid w:val="32AC5EE7"/>
    <w:rsid w:val="32B3748F"/>
    <w:rsid w:val="32B47BBE"/>
    <w:rsid w:val="32C1400F"/>
    <w:rsid w:val="32C52C57"/>
    <w:rsid w:val="32C5560D"/>
    <w:rsid w:val="32DA73AD"/>
    <w:rsid w:val="32F605C6"/>
    <w:rsid w:val="32FA6C4E"/>
    <w:rsid w:val="33102DF1"/>
    <w:rsid w:val="33126C4D"/>
    <w:rsid w:val="331D2179"/>
    <w:rsid w:val="332D105E"/>
    <w:rsid w:val="33471553"/>
    <w:rsid w:val="335414BE"/>
    <w:rsid w:val="335A6675"/>
    <w:rsid w:val="33606B62"/>
    <w:rsid w:val="33630A88"/>
    <w:rsid w:val="33690333"/>
    <w:rsid w:val="336B005C"/>
    <w:rsid w:val="33835860"/>
    <w:rsid w:val="33A224C5"/>
    <w:rsid w:val="33A77A2F"/>
    <w:rsid w:val="33AA28F6"/>
    <w:rsid w:val="33B83C61"/>
    <w:rsid w:val="33BF47DA"/>
    <w:rsid w:val="33CA30A2"/>
    <w:rsid w:val="33CA6C3F"/>
    <w:rsid w:val="33CE1093"/>
    <w:rsid w:val="33DA4E25"/>
    <w:rsid w:val="33DD51CF"/>
    <w:rsid w:val="33E60975"/>
    <w:rsid w:val="33EE4913"/>
    <w:rsid w:val="33F60493"/>
    <w:rsid w:val="34024B9F"/>
    <w:rsid w:val="34085A6D"/>
    <w:rsid w:val="341368C5"/>
    <w:rsid w:val="34264C1A"/>
    <w:rsid w:val="342F41FD"/>
    <w:rsid w:val="343213C9"/>
    <w:rsid w:val="34330930"/>
    <w:rsid w:val="344041D5"/>
    <w:rsid w:val="3443320F"/>
    <w:rsid w:val="345147C1"/>
    <w:rsid w:val="348F7EFE"/>
    <w:rsid w:val="349277F4"/>
    <w:rsid w:val="349358A8"/>
    <w:rsid w:val="34AC332F"/>
    <w:rsid w:val="34AD0186"/>
    <w:rsid w:val="34B14E1E"/>
    <w:rsid w:val="34BA2D64"/>
    <w:rsid w:val="34BB7301"/>
    <w:rsid w:val="34C4402C"/>
    <w:rsid w:val="34C67365"/>
    <w:rsid w:val="34C74AD6"/>
    <w:rsid w:val="34D6148A"/>
    <w:rsid w:val="34DA6571"/>
    <w:rsid w:val="34DA7C68"/>
    <w:rsid w:val="34DE2FDC"/>
    <w:rsid w:val="34E10DE3"/>
    <w:rsid w:val="34F4615E"/>
    <w:rsid w:val="34FE552B"/>
    <w:rsid w:val="35085B4B"/>
    <w:rsid w:val="350D75EF"/>
    <w:rsid w:val="350F523C"/>
    <w:rsid w:val="35130ABB"/>
    <w:rsid w:val="35162994"/>
    <w:rsid w:val="351E061F"/>
    <w:rsid w:val="35245104"/>
    <w:rsid w:val="352C0E29"/>
    <w:rsid w:val="3534410D"/>
    <w:rsid w:val="353629F5"/>
    <w:rsid w:val="35383477"/>
    <w:rsid w:val="35392DAF"/>
    <w:rsid w:val="354949D6"/>
    <w:rsid w:val="355601B5"/>
    <w:rsid w:val="35785ABE"/>
    <w:rsid w:val="358248A5"/>
    <w:rsid w:val="358D3D67"/>
    <w:rsid w:val="358E3834"/>
    <w:rsid w:val="358F4820"/>
    <w:rsid w:val="35965E8F"/>
    <w:rsid w:val="359C4EB5"/>
    <w:rsid w:val="35A5789D"/>
    <w:rsid w:val="35B27E95"/>
    <w:rsid w:val="35B35BF3"/>
    <w:rsid w:val="35C25D64"/>
    <w:rsid w:val="35C323F4"/>
    <w:rsid w:val="35C95E1C"/>
    <w:rsid w:val="35CF5E6F"/>
    <w:rsid w:val="35E175C7"/>
    <w:rsid w:val="35EB7648"/>
    <w:rsid w:val="36014AE2"/>
    <w:rsid w:val="36301A98"/>
    <w:rsid w:val="363B5FF4"/>
    <w:rsid w:val="365123B2"/>
    <w:rsid w:val="36543F17"/>
    <w:rsid w:val="36550461"/>
    <w:rsid w:val="36564794"/>
    <w:rsid w:val="3657523A"/>
    <w:rsid w:val="36597264"/>
    <w:rsid w:val="366713E2"/>
    <w:rsid w:val="3667292A"/>
    <w:rsid w:val="366F34F5"/>
    <w:rsid w:val="36754402"/>
    <w:rsid w:val="367E604A"/>
    <w:rsid w:val="367F2B98"/>
    <w:rsid w:val="36801508"/>
    <w:rsid w:val="36996535"/>
    <w:rsid w:val="36B508B3"/>
    <w:rsid w:val="36C86424"/>
    <w:rsid w:val="36CD2541"/>
    <w:rsid w:val="36CE254D"/>
    <w:rsid w:val="36D01ABA"/>
    <w:rsid w:val="36D03252"/>
    <w:rsid w:val="36ED2537"/>
    <w:rsid w:val="36F02217"/>
    <w:rsid w:val="37020441"/>
    <w:rsid w:val="370436C9"/>
    <w:rsid w:val="370935CE"/>
    <w:rsid w:val="370C0EF7"/>
    <w:rsid w:val="370F197A"/>
    <w:rsid w:val="37144EE9"/>
    <w:rsid w:val="371E6596"/>
    <w:rsid w:val="372455AF"/>
    <w:rsid w:val="375E6223"/>
    <w:rsid w:val="3766211E"/>
    <w:rsid w:val="37664BF3"/>
    <w:rsid w:val="376D1179"/>
    <w:rsid w:val="377B18B9"/>
    <w:rsid w:val="377C5041"/>
    <w:rsid w:val="377E4F50"/>
    <w:rsid w:val="377F7AB1"/>
    <w:rsid w:val="378829CC"/>
    <w:rsid w:val="378C1C63"/>
    <w:rsid w:val="378D1250"/>
    <w:rsid w:val="378D6065"/>
    <w:rsid w:val="379666D9"/>
    <w:rsid w:val="379D4CB4"/>
    <w:rsid w:val="379E1D86"/>
    <w:rsid w:val="37A21502"/>
    <w:rsid w:val="37AA12E0"/>
    <w:rsid w:val="37B22D63"/>
    <w:rsid w:val="37B823EF"/>
    <w:rsid w:val="37C847A5"/>
    <w:rsid w:val="37D75C29"/>
    <w:rsid w:val="37DC0A64"/>
    <w:rsid w:val="37DD30C8"/>
    <w:rsid w:val="37E145F5"/>
    <w:rsid w:val="37E15DDA"/>
    <w:rsid w:val="37E3101A"/>
    <w:rsid w:val="37EE625B"/>
    <w:rsid w:val="37F04664"/>
    <w:rsid w:val="37F37EC2"/>
    <w:rsid w:val="37FD6CD3"/>
    <w:rsid w:val="380D283E"/>
    <w:rsid w:val="38112F6A"/>
    <w:rsid w:val="38190788"/>
    <w:rsid w:val="382C1FA8"/>
    <w:rsid w:val="383259E7"/>
    <w:rsid w:val="38374F22"/>
    <w:rsid w:val="383F160D"/>
    <w:rsid w:val="3844178B"/>
    <w:rsid w:val="38490012"/>
    <w:rsid w:val="385831DD"/>
    <w:rsid w:val="385D44D5"/>
    <w:rsid w:val="386D702D"/>
    <w:rsid w:val="38764BA0"/>
    <w:rsid w:val="38773C19"/>
    <w:rsid w:val="387A74B1"/>
    <w:rsid w:val="389102BB"/>
    <w:rsid w:val="389E6D1E"/>
    <w:rsid w:val="38A81225"/>
    <w:rsid w:val="38AB2218"/>
    <w:rsid w:val="38AE5BDC"/>
    <w:rsid w:val="38B1008A"/>
    <w:rsid w:val="38C75514"/>
    <w:rsid w:val="38D1268E"/>
    <w:rsid w:val="38D87423"/>
    <w:rsid w:val="38F04CDA"/>
    <w:rsid w:val="391E44E6"/>
    <w:rsid w:val="39345B54"/>
    <w:rsid w:val="393C2646"/>
    <w:rsid w:val="39447FEC"/>
    <w:rsid w:val="39606A19"/>
    <w:rsid w:val="39635CC0"/>
    <w:rsid w:val="39766F13"/>
    <w:rsid w:val="39794C68"/>
    <w:rsid w:val="39903601"/>
    <w:rsid w:val="39942B8C"/>
    <w:rsid w:val="399A2A60"/>
    <w:rsid w:val="39B025B6"/>
    <w:rsid w:val="39BF0EC5"/>
    <w:rsid w:val="39C1096E"/>
    <w:rsid w:val="39C237B1"/>
    <w:rsid w:val="39C55961"/>
    <w:rsid w:val="39C60A6D"/>
    <w:rsid w:val="39E92D26"/>
    <w:rsid w:val="39EA5619"/>
    <w:rsid w:val="39EF505A"/>
    <w:rsid w:val="39F476E3"/>
    <w:rsid w:val="39FB1DFA"/>
    <w:rsid w:val="3A081EB9"/>
    <w:rsid w:val="3A11360C"/>
    <w:rsid w:val="3A153A30"/>
    <w:rsid w:val="3A182E6F"/>
    <w:rsid w:val="3A183BA7"/>
    <w:rsid w:val="3A3546F1"/>
    <w:rsid w:val="3A386889"/>
    <w:rsid w:val="3A3958B2"/>
    <w:rsid w:val="3A3E05E4"/>
    <w:rsid w:val="3A413B7A"/>
    <w:rsid w:val="3A433F47"/>
    <w:rsid w:val="3A4452EF"/>
    <w:rsid w:val="3A4617A4"/>
    <w:rsid w:val="3A4817DC"/>
    <w:rsid w:val="3A4B5B17"/>
    <w:rsid w:val="3A64217E"/>
    <w:rsid w:val="3A651BA0"/>
    <w:rsid w:val="3A6761B6"/>
    <w:rsid w:val="3A6A181D"/>
    <w:rsid w:val="3A7B5FB5"/>
    <w:rsid w:val="3A903501"/>
    <w:rsid w:val="3A985180"/>
    <w:rsid w:val="3A9B5FDE"/>
    <w:rsid w:val="3AAE43FC"/>
    <w:rsid w:val="3ABC63DE"/>
    <w:rsid w:val="3AC01E7A"/>
    <w:rsid w:val="3AC05D68"/>
    <w:rsid w:val="3AED4867"/>
    <w:rsid w:val="3AF10E46"/>
    <w:rsid w:val="3AFC7C5B"/>
    <w:rsid w:val="3B022415"/>
    <w:rsid w:val="3B160FB4"/>
    <w:rsid w:val="3B2052A5"/>
    <w:rsid w:val="3B205A99"/>
    <w:rsid w:val="3B242E12"/>
    <w:rsid w:val="3B293C14"/>
    <w:rsid w:val="3B2E4B8E"/>
    <w:rsid w:val="3B453B44"/>
    <w:rsid w:val="3B485FD7"/>
    <w:rsid w:val="3B4D7B6A"/>
    <w:rsid w:val="3B550830"/>
    <w:rsid w:val="3B5D4C53"/>
    <w:rsid w:val="3B600EE1"/>
    <w:rsid w:val="3B665629"/>
    <w:rsid w:val="3B681438"/>
    <w:rsid w:val="3B6F7943"/>
    <w:rsid w:val="3B852926"/>
    <w:rsid w:val="3B8B6BAE"/>
    <w:rsid w:val="3B914FD8"/>
    <w:rsid w:val="3BAB4167"/>
    <w:rsid w:val="3BB746F5"/>
    <w:rsid w:val="3BBB2803"/>
    <w:rsid w:val="3BCA1F3F"/>
    <w:rsid w:val="3BCD0F77"/>
    <w:rsid w:val="3BD636DE"/>
    <w:rsid w:val="3BD7526E"/>
    <w:rsid w:val="3BD97E92"/>
    <w:rsid w:val="3BE63386"/>
    <w:rsid w:val="3BE7010B"/>
    <w:rsid w:val="3BEA4EE9"/>
    <w:rsid w:val="3BED6D69"/>
    <w:rsid w:val="3BEE5160"/>
    <w:rsid w:val="3BF317F2"/>
    <w:rsid w:val="3BF6635D"/>
    <w:rsid w:val="3C005F86"/>
    <w:rsid w:val="3C15264A"/>
    <w:rsid w:val="3C241CDC"/>
    <w:rsid w:val="3C2F6483"/>
    <w:rsid w:val="3C320C99"/>
    <w:rsid w:val="3C394B21"/>
    <w:rsid w:val="3C445462"/>
    <w:rsid w:val="3C492543"/>
    <w:rsid w:val="3C534AED"/>
    <w:rsid w:val="3C5A70E4"/>
    <w:rsid w:val="3C641A98"/>
    <w:rsid w:val="3C7C7B94"/>
    <w:rsid w:val="3C9249AE"/>
    <w:rsid w:val="3CA50F80"/>
    <w:rsid w:val="3CA70B02"/>
    <w:rsid w:val="3CB40D00"/>
    <w:rsid w:val="3CBA7A51"/>
    <w:rsid w:val="3CC011C3"/>
    <w:rsid w:val="3CDC18DC"/>
    <w:rsid w:val="3CE00707"/>
    <w:rsid w:val="3CEF65F0"/>
    <w:rsid w:val="3CFF53C0"/>
    <w:rsid w:val="3D0C7BC6"/>
    <w:rsid w:val="3D101950"/>
    <w:rsid w:val="3D230BC7"/>
    <w:rsid w:val="3D233AB5"/>
    <w:rsid w:val="3D246AB2"/>
    <w:rsid w:val="3D303D45"/>
    <w:rsid w:val="3D311DE1"/>
    <w:rsid w:val="3D3741AD"/>
    <w:rsid w:val="3D3A0A72"/>
    <w:rsid w:val="3D3D3850"/>
    <w:rsid w:val="3D481872"/>
    <w:rsid w:val="3D4A0327"/>
    <w:rsid w:val="3D4C6967"/>
    <w:rsid w:val="3D550589"/>
    <w:rsid w:val="3D685983"/>
    <w:rsid w:val="3D73495E"/>
    <w:rsid w:val="3D7F5FC3"/>
    <w:rsid w:val="3D9F54CE"/>
    <w:rsid w:val="3DA866A5"/>
    <w:rsid w:val="3DBF3B4F"/>
    <w:rsid w:val="3DCD5A6A"/>
    <w:rsid w:val="3DD032E0"/>
    <w:rsid w:val="3DEA1960"/>
    <w:rsid w:val="3DF57FF6"/>
    <w:rsid w:val="3DF70240"/>
    <w:rsid w:val="3DFD74BB"/>
    <w:rsid w:val="3E030628"/>
    <w:rsid w:val="3E0502F6"/>
    <w:rsid w:val="3E146012"/>
    <w:rsid w:val="3E1B37B6"/>
    <w:rsid w:val="3E217A14"/>
    <w:rsid w:val="3E2724D6"/>
    <w:rsid w:val="3E390B89"/>
    <w:rsid w:val="3E503C88"/>
    <w:rsid w:val="3E576501"/>
    <w:rsid w:val="3E5B2F73"/>
    <w:rsid w:val="3E5C70E1"/>
    <w:rsid w:val="3E5E2146"/>
    <w:rsid w:val="3E5F2139"/>
    <w:rsid w:val="3E617EED"/>
    <w:rsid w:val="3E801695"/>
    <w:rsid w:val="3E824D2A"/>
    <w:rsid w:val="3E8F2EBD"/>
    <w:rsid w:val="3E9220ED"/>
    <w:rsid w:val="3E9618C0"/>
    <w:rsid w:val="3EA13741"/>
    <w:rsid w:val="3EA754D3"/>
    <w:rsid w:val="3EB16BAD"/>
    <w:rsid w:val="3EB42C72"/>
    <w:rsid w:val="3EB44C3E"/>
    <w:rsid w:val="3EB523EE"/>
    <w:rsid w:val="3ECB1375"/>
    <w:rsid w:val="3EE20C0E"/>
    <w:rsid w:val="3EF22902"/>
    <w:rsid w:val="3F196D19"/>
    <w:rsid w:val="3F2F4A5E"/>
    <w:rsid w:val="3F52103C"/>
    <w:rsid w:val="3F527869"/>
    <w:rsid w:val="3F615F6A"/>
    <w:rsid w:val="3F6170FD"/>
    <w:rsid w:val="3F641616"/>
    <w:rsid w:val="3F643452"/>
    <w:rsid w:val="3F802B16"/>
    <w:rsid w:val="3F897471"/>
    <w:rsid w:val="3F9C5168"/>
    <w:rsid w:val="3F9E526D"/>
    <w:rsid w:val="3FA72DC2"/>
    <w:rsid w:val="3FB85E8E"/>
    <w:rsid w:val="3FBB2C7C"/>
    <w:rsid w:val="3FD9132A"/>
    <w:rsid w:val="3FDC30E2"/>
    <w:rsid w:val="3FE518A7"/>
    <w:rsid w:val="3FEB4BA0"/>
    <w:rsid w:val="3FF14FE6"/>
    <w:rsid w:val="3FF900AD"/>
    <w:rsid w:val="3FFA59D8"/>
    <w:rsid w:val="400F6EB3"/>
    <w:rsid w:val="40141370"/>
    <w:rsid w:val="40183962"/>
    <w:rsid w:val="401E7953"/>
    <w:rsid w:val="40212D3D"/>
    <w:rsid w:val="40250335"/>
    <w:rsid w:val="40284678"/>
    <w:rsid w:val="402D45CE"/>
    <w:rsid w:val="40322BED"/>
    <w:rsid w:val="403E3F19"/>
    <w:rsid w:val="40436C33"/>
    <w:rsid w:val="40564B1E"/>
    <w:rsid w:val="40575772"/>
    <w:rsid w:val="40650EF2"/>
    <w:rsid w:val="40761491"/>
    <w:rsid w:val="40834A95"/>
    <w:rsid w:val="408465FB"/>
    <w:rsid w:val="408579B5"/>
    <w:rsid w:val="408645ED"/>
    <w:rsid w:val="408B0192"/>
    <w:rsid w:val="408B575B"/>
    <w:rsid w:val="408D160D"/>
    <w:rsid w:val="408E74C7"/>
    <w:rsid w:val="40AB57B6"/>
    <w:rsid w:val="40B16F17"/>
    <w:rsid w:val="40C24E98"/>
    <w:rsid w:val="40D60EE7"/>
    <w:rsid w:val="40D97A54"/>
    <w:rsid w:val="40DE6B8A"/>
    <w:rsid w:val="41056BBC"/>
    <w:rsid w:val="41091A92"/>
    <w:rsid w:val="41093363"/>
    <w:rsid w:val="411A061E"/>
    <w:rsid w:val="411B2935"/>
    <w:rsid w:val="41231530"/>
    <w:rsid w:val="412536DC"/>
    <w:rsid w:val="412D3C77"/>
    <w:rsid w:val="414A3C23"/>
    <w:rsid w:val="415B5927"/>
    <w:rsid w:val="415B66D6"/>
    <w:rsid w:val="41627277"/>
    <w:rsid w:val="41674637"/>
    <w:rsid w:val="416D3166"/>
    <w:rsid w:val="41807D03"/>
    <w:rsid w:val="419670FF"/>
    <w:rsid w:val="419F03FB"/>
    <w:rsid w:val="41B515E9"/>
    <w:rsid w:val="41B5204F"/>
    <w:rsid w:val="41B53348"/>
    <w:rsid w:val="41BB7F64"/>
    <w:rsid w:val="41BC5AF8"/>
    <w:rsid w:val="41C771FF"/>
    <w:rsid w:val="41CE3C48"/>
    <w:rsid w:val="41DD26A2"/>
    <w:rsid w:val="41DF719E"/>
    <w:rsid w:val="41E74A0F"/>
    <w:rsid w:val="41ED7AAD"/>
    <w:rsid w:val="41FC70FE"/>
    <w:rsid w:val="42004B48"/>
    <w:rsid w:val="420470A6"/>
    <w:rsid w:val="42051A98"/>
    <w:rsid w:val="420F3EC9"/>
    <w:rsid w:val="42122511"/>
    <w:rsid w:val="421310E4"/>
    <w:rsid w:val="42183BF4"/>
    <w:rsid w:val="421E692B"/>
    <w:rsid w:val="422F05CB"/>
    <w:rsid w:val="425624B2"/>
    <w:rsid w:val="427A17BF"/>
    <w:rsid w:val="427A339F"/>
    <w:rsid w:val="427E3DC0"/>
    <w:rsid w:val="429377E7"/>
    <w:rsid w:val="42937A4D"/>
    <w:rsid w:val="42987504"/>
    <w:rsid w:val="429F7CD8"/>
    <w:rsid w:val="42C01A1F"/>
    <w:rsid w:val="42C82C6D"/>
    <w:rsid w:val="42CA1E6D"/>
    <w:rsid w:val="42CE631B"/>
    <w:rsid w:val="42D21E56"/>
    <w:rsid w:val="42D26321"/>
    <w:rsid w:val="42DA17C5"/>
    <w:rsid w:val="42DA1D8B"/>
    <w:rsid w:val="430824CA"/>
    <w:rsid w:val="430E160E"/>
    <w:rsid w:val="431B697E"/>
    <w:rsid w:val="431C38BF"/>
    <w:rsid w:val="43365A93"/>
    <w:rsid w:val="43381BC3"/>
    <w:rsid w:val="4352078D"/>
    <w:rsid w:val="4362593A"/>
    <w:rsid w:val="436641B0"/>
    <w:rsid w:val="436D128D"/>
    <w:rsid w:val="437F21FB"/>
    <w:rsid w:val="437F3270"/>
    <w:rsid w:val="4383178A"/>
    <w:rsid w:val="438968BF"/>
    <w:rsid w:val="43AC5C34"/>
    <w:rsid w:val="43AF0778"/>
    <w:rsid w:val="43B2586A"/>
    <w:rsid w:val="43C5474E"/>
    <w:rsid w:val="43C6278E"/>
    <w:rsid w:val="43E010D0"/>
    <w:rsid w:val="43F46A07"/>
    <w:rsid w:val="43F91145"/>
    <w:rsid w:val="43F9128D"/>
    <w:rsid w:val="43FC79B5"/>
    <w:rsid w:val="440D01C1"/>
    <w:rsid w:val="440F4D73"/>
    <w:rsid w:val="441141CB"/>
    <w:rsid w:val="441176E0"/>
    <w:rsid w:val="441450CB"/>
    <w:rsid w:val="441D40B5"/>
    <w:rsid w:val="441E2DCE"/>
    <w:rsid w:val="44212E1D"/>
    <w:rsid w:val="442E3619"/>
    <w:rsid w:val="443E599E"/>
    <w:rsid w:val="44561C01"/>
    <w:rsid w:val="4491133D"/>
    <w:rsid w:val="44941E96"/>
    <w:rsid w:val="44990D21"/>
    <w:rsid w:val="44AA2151"/>
    <w:rsid w:val="44BC496F"/>
    <w:rsid w:val="44C241C4"/>
    <w:rsid w:val="44CB1108"/>
    <w:rsid w:val="44E20C36"/>
    <w:rsid w:val="44E83025"/>
    <w:rsid w:val="44EE225D"/>
    <w:rsid w:val="44F24B57"/>
    <w:rsid w:val="44FC2673"/>
    <w:rsid w:val="45041B34"/>
    <w:rsid w:val="450C544A"/>
    <w:rsid w:val="45175C77"/>
    <w:rsid w:val="45227B0D"/>
    <w:rsid w:val="452340B3"/>
    <w:rsid w:val="452E596C"/>
    <w:rsid w:val="452F26C8"/>
    <w:rsid w:val="453310DA"/>
    <w:rsid w:val="453C1989"/>
    <w:rsid w:val="453E02AB"/>
    <w:rsid w:val="454339E7"/>
    <w:rsid w:val="4546606F"/>
    <w:rsid w:val="454B5269"/>
    <w:rsid w:val="455162CA"/>
    <w:rsid w:val="4566752E"/>
    <w:rsid w:val="456B5F9E"/>
    <w:rsid w:val="45784534"/>
    <w:rsid w:val="458C7BC4"/>
    <w:rsid w:val="458E1B64"/>
    <w:rsid w:val="45982070"/>
    <w:rsid w:val="45A629C0"/>
    <w:rsid w:val="45AA20B5"/>
    <w:rsid w:val="45AD784F"/>
    <w:rsid w:val="45AF7FBD"/>
    <w:rsid w:val="45C240DA"/>
    <w:rsid w:val="45C471C1"/>
    <w:rsid w:val="45C75BDE"/>
    <w:rsid w:val="45D1500A"/>
    <w:rsid w:val="45D718A7"/>
    <w:rsid w:val="45DC30A4"/>
    <w:rsid w:val="45E331AE"/>
    <w:rsid w:val="45E60924"/>
    <w:rsid w:val="46023F5B"/>
    <w:rsid w:val="460A3660"/>
    <w:rsid w:val="46137427"/>
    <w:rsid w:val="461634FB"/>
    <w:rsid w:val="461A3871"/>
    <w:rsid w:val="46207F8C"/>
    <w:rsid w:val="465C6C8D"/>
    <w:rsid w:val="466B2D59"/>
    <w:rsid w:val="46AC48AF"/>
    <w:rsid w:val="46D458CA"/>
    <w:rsid w:val="46E46557"/>
    <w:rsid w:val="46FB1E6F"/>
    <w:rsid w:val="46FC1531"/>
    <w:rsid w:val="46FC1963"/>
    <w:rsid w:val="4701511A"/>
    <w:rsid w:val="471673D2"/>
    <w:rsid w:val="4721638F"/>
    <w:rsid w:val="47264D21"/>
    <w:rsid w:val="47293179"/>
    <w:rsid w:val="472E5B43"/>
    <w:rsid w:val="473149D2"/>
    <w:rsid w:val="473353F1"/>
    <w:rsid w:val="47374181"/>
    <w:rsid w:val="473C266E"/>
    <w:rsid w:val="473E7E74"/>
    <w:rsid w:val="4742253C"/>
    <w:rsid w:val="474E02A0"/>
    <w:rsid w:val="475A40CF"/>
    <w:rsid w:val="476C43D2"/>
    <w:rsid w:val="47825E4E"/>
    <w:rsid w:val="478639B0"/>
    <w:rsid w:val="478D626E"/>
    <w:rsid w:val="47982334"/>
    <w:rsid w:val="47AE1A92"/>
    <w:rsid w:val="47B629E5"/>
    <w:rsid w:val="47B725CD"/>
    <w:rsid w:val="47CA49AB"/>
    <w:rsid w:val="47D84DBD"/>
    <w:rsid w:val="47E46BD0"/>
    <w:rsid w:val="47E81095"/>
    <w:rsid w:val="47F253B3"/>
    <w:rsid w:val="47F5698E"/>
    <w:rsid w:val="47FB6F0B"/>
    <w:rsid w:val="47FC01BA"/>
    <w:rsid w:val="48005701"/>
    <w:rsid w:val="48043F60"/>
    <w:rsid w:val="48173CA0"/>
    <w:rsid w:val="48240000"/>
    <w:rsid w:val="48280486"/>
    <w:rsid w:val="483267D6"/>
    <w:rsid w:val="483937F2"/>
    <w:rsid w:val="486746C0"/>
    <w:rsid w:val="487B1E9C"/>
    <w:rsid w:val="488432EC"/>
    <w:rsid w:val="48935283"/>
    <w:rsid w:val="489451CB"/>
    <w:rsid w:val="489753C4"/>
    <w:rsid w:val="48BA5702"/>
    <w:rsid w:val="48BF5D4D"/>
    <w:rsid w:val="48C766AB"/>
    <w:rsid w:val="48CF5A5A"/>
    <w:rsid w:val="48D234D1"/>
    <w:rsid w:val="48D94B36"/>
    <w:rsid w:val="48DF4A3B"/>
    <w:rsid w:val="48E54060"/>
    <w:rsid w:val="48E70E94"/>
    <w:rsid w:val="48E9749D"/>
    <w:rsid w:val="48FB3761"/>
    <w:rsid w:val="490B3AF9"/>
    <w:rsid w:val="49180B1E"/>
    <w:rsid w:val="492F0A00"/>
    <w:rsid w:val="49374396"/>
    <w:rsid w:val="49392393"/>
    <w:rsid w:val="494B6BD2"/>
    <w:rsid w:val="49532D5D"/>
    <w:rsid w:val="49564244"/>
    <w:rsid w:val="49670C2C"/>
    <w:rsid w:val="49767E38"/>
    <w:rsid w:val="498246E4"/>
    <w:rsid w:val="498E520E"/>
    <w:rsid w:val="49907E51"/>
    <w:rsid w:val="4991397B"/>
    <w:rsid w:val="4996386F"/>
    <w:rsid w:val="49A43FB1"/>
    <w:rsid w:val="49C009BC"/>
    <w:rsid w:val="49CC0911"/>
    <w:rsid w:val="49E92386"/>
    <w:rsid w:val="49EF0235"/>
    <w:rsid w:val="49F03AF0"/>
    <w:rsid w:val="49F501BB"/>
    <w:rsid w:val="49F63DB8"/>
    <w:rsid w:val="49FE78DD"/>
    <w:rsid w:val="4A1A0407"/>
    <w:rsid w:val="4A38724C"/>
    <w:rsid w:val="4A400A41"/>
    <w:rsid w:val="4A457C8F"/>
    <w:rsid w:val="4A506405"/>
    <w:rsid w:val="4A5C0677"/>
    <w:rsid w:val="4A80752F"/>
    <w:rsid w:val="4A961A33"/>
    <w:rsid w:val="4A98659F"/>
    <w:rsid w:val="4AB025F4"/>
    <w:rsid w:val="4ABE4F7D"/>
    <w:rsid w:val="4ACF2012"/>
    <w:rsid w:val="4AD300E4"/>
    <w:rsid w:val="4AD976C3"/>
    <w:rsid w:val="4ADB093A"/>
    <w:rsid w:val="4AE02FFE"/>
    <w:rsid w:val="4AE24F32"/>
    <w:rsid w:val="4AED383C"/>
    <w:rsid w:val="4B272906"/>
    <w:rsid w:val="4B3166E5"/>
    <w:rsid w:val="4B357053"/>
    <w:rsid w:val="4B3C6F7E"/>
    <w:rsid w:val="4B421789"/>
    <w:rsid w:val="4B4820F8"/>
    <w:rsid w:val="4B4C0E0C"/>
    <w:rsid w:val="4B4C3149"/>
    <w:rsid w:val="4B646077"/>
    <w:rsid w:val="4B67429E"/>
    <w:rsid w:val="4B713888"/>
    <w:rsid w:val="4B8014D6"/>
    <w:rsid w:val="4B897D48"/>
    <w:rsid w:val="4B951D6A"/>
    <w:rsid w:val="4BAB22AA"/>
    <w:rsid w:val="4BB8726D"/>
    <w:rsid w:val="4BD1425A"/>
    <w:rsid w:val="4BD23808"/>
    <w:rsid w:val="4BD31ED3"/>
    <w:rsid w:val="4BD77470"/>
    <w:rsid w:val="4BD9408E"/>
    <w:rsid w:val="4BE10DC8"/>
    <w:rsid w:val="4BEE0653"/>
    <w:rsid w:val="4BF01350"/>
    <w:rsid w:val="4BF6531C"/>
    <w:rsid w:val="4BF81073"/>
    <w:rsid w:val="4BF831F5"/>
    <w:rsid w:val="4C0A1CB1"/>
    <w:rsid w:val="4C0F6564"/>
    <w:rsid w:val="4C372ACF"/>
    <w:rsid w:val="4C374FC3"/>
    <w:rsid w:val="4C4A297F"/>
    <w:rsid w:val="4C770373"/>
    <w:rsid w:val="4C7A5F0C"/>
    <w:rsid w:val="4C7E6770"/>
    <w:rsid w:val="4C9E3787"/>
    <w:rsid w:val="4C9F7DE5"/>
    <w:rsid w:val="4CAB1C6D"/>
    <w:rsid w:val="4CAD6F05"/>
    <w:rsid w:val="4CB13C90"/>
    <w:rsid w:val="4CB16308"/>
    <w:rsid w:val="4CB56B36"/>
    <w:rsid w:val="4CB86562"/>
    <w:rsid w:val="4CCB3507"/>
    <w:rsid w:val="4CCF4512"/>
    <w:rsid w:val="4CD12AFA"/>
    <w:rsid w:val="4CD27E95"/>
    <w:rsid w:val="4CD87850"/>
    <w:rsid w:val="4CDB6FE7"/>
    <w:rsid w:val="4CDF7190"/>
    <w:rsid w:val="4CE32393"/>
    <w:rsid w:val="4CE5201B"/>
    <w:rsid w:val="4CFC3248"/>
    <w:rsid w:val="4CFC4635"/>
    <w:rsid w:val="4D0079E4"/>
    <w:rsid w:val="4D010EAC"/>
    <w:rsid w:val="4D125B7D"/>
    <w:rsid w:val="4D252A2F"/>
    <w:rsid w:val="4D38775D"/>
    <w:rsid w:val="4D450CFF"/>
    <w:rsid w:val="4D464013"/>
    <w:rsid w:val="4D4979EE"/>
    <w:rsid w:val="4D4F22C3"/>
    <w:rsid w:val="4D53608E"/>
    <w:rsid w:val="4D6212AF"/>
    <w:rsid w:val="4D68015F"/>
    <w:rsid w:val="4D7223C8"/>
    <w:rsid w:val="4D7470FC"/>
    <w:rsid w:val="4D841188"/>
    <w:rsid w:val="4D8E575A"/>
    <w:rsid w:val="4D980459"/>
    <w:rsid w:val="4DA061E1"/>
    <w:rsid w:val="4DA11420"/>
    <w:rsid w:val="4DA71CFE"/>
    <w:rsid w:val="4DBE6EA0"/>
    <w:rsid w:val="4DCC53CE"/>
    <w:rsid w:val="4DD74696"/>
    <w:rsid w:val="4DD92BE0"/>
    <w:rsid w:val="4DDD4FB5"/>
    <w:rsid w:val="4DE80355"/>
    <w:rsid w:val="4DEA6AA2"/>
    <w:rsid w:val="4DEF2EB0"/>
    <w:rsid w:val="4DF0166C"/>
    <w:rsid w:val="4E106732"/>
    <w:rsid w:val="4E1F6298"/>
    <w:rsid w:val="4E244235"/>
    <w:rsid w:val="4E3317B8"/>
    <w:rsid w:val="4E3511BA"/>
    <w:rsid w:val="4E3F518F"/>
    <w:rsid w:val="4E5B67AA"/>
    <w:rsid w:val="4E6060CC"/>
    <w:rsid w:val="4E62621A"/>
    <w:rsid w:val="4E643A47"/>
    <w:rsid w:val="4E8E243E"/>
    <w:rsid w:val="4EA67D64"/>
    <w:rsid w:val="4EAC53BC"/>
    <w:rsid w:val="4EAD5372"/>
    <w:rsid w:val="4EB558BF"/>
    <w:rsid w:val="4EC10747"/>
    <w:rsid w:val="4EC57296"/>
    <w:rsid w:val="4ECB0F0E"/>
    <w:rsid w:val="4ECC0948"/>
    <w:rsid w:val="4ED53804"/>
    <w:rsid w:val="4EE52075"/>
    <w:rsid w:val="4EF94DAE"/>
    <w:rsid w:val="4F04525C"/>
    <w:rsid w:val="4F0C1C66"/>
    <w:rsid w:val="4F161423"/>
    <w:rsid w:val="4F224B7C"/>
    <w:rsid w:val="4F2406DF"/>
    <w:rsid w:val="4F242295"/>
    <w:rsid w:val="4F292C7D"/>
    <w:rsid w:val="4F3529D1"/>
    <w:rsid w:val="4F3C1475"/>
    <w:rsid w:val="4F4D744B"/>
    <w:rsid w:val="4F507F57"/>
    <w:rsid w:val="4F547EDB"/>
    <w:rsid w:val="4F623A45"/>
    <w:rsid w:val="4F6769B1"/>
    <w:rsid w:val="4F6B278A"/>
    <w:rsid w:val="4F6B557F"/>
    <w:rsid w:val="4F6B689B"/>
    <w:rsid w:val="4F6D730F"/>
    <w:rsid w:val="4F6E7AB6"/>
    <w:rsid w:val="4F9135EF"/>
    <w:rsid w:val="4F961803"/>
    <w:rsid w:val="4F9B570D"/>
    <w:rsid w:val="4F9D3759"/>
    <w:rsid w:val="4FAA5D60"/>
    <w:rsid w:val="4FB53F2F"/>
    <w:rsid w:val="4FBF47CC"/>
    <w:rsid w:val="4FE26535"/>
    <w:rsid w:val="4FEC0DF9"/>
    <w:rsid w:val="4FED1A77"/>
    <w:rsid w:val="4FED3B18"/>
    <w:rsid w:val="4FED781B"/>
    <w:rsid w:val="50041CB9"/>
    <w:rsid w:val="50087ACD"/>
    <w:rsid w:val="50094D3C"/>
    <w:rsid w:val="50173621"/>
    <w:rsid w:val="501E3485"/>
    <w:rsid w:val="502E31AA"/>
    <w:rsid w:val="50367BF9"/>
    <w:rsid w:val="503C725A"/>
    <w:rsid w:val="504206FF"/>
    <w:rsid w:val="5055011B"/>
    <w:rsid w:val="505C2CAA"/>
    <w:rsid w:val="506A74A3"/>
    <w:rsid w:val="506E07D2"/>
    <w:rsid w:val="50747876"/>
    <w:rsid w:val="507C2A3E"/>
    <w:rsid w:val="50886E93"/>
    <w:rsid w:val="509012B9"/>
    <w:rsid w:val="509E0E68"/>
    <w:rsid w:val="50AD4E7D"/>
    <w:rsid w:val="50B5792E"/>
    <w:rsid w:val="50C954F2"/>
    <w:rsid w:val="50D42FED"/>
    <w:rsid w:val="50DB19EF"/>
    <w:rsid w:val="50DE5120"/>
    <w:rsid w:val="50E545E5"/>
    <w:rsid w:val="50E67E5C"/>
    <w:rsid w:val="50F370AB"/>
    <w:rsid w:val="50F64902"/>
    <w:rsid w:val="51413E4C"/>
    <w:rsid w:val="514A2B6A"/>
    <w:rsid w:val="516A1132"/>
    <w:rsid w:val="517A0719"/>
    <w:rsid w:val="51811342"/>
    <w:rsid w:val="5184726D"/>
    <w:rsid w:val="51857D4D"/>
    <w:rsid w:val="51BB2788"/>
    <w:rsid w:val="51BB73BB"/>
    <w:rsid w:val="51C445FF"/>
    <w:rsid w:val="51C83634"/>
    <w:rsid w:val="51D13F2C"/>
    <w:rsid w:val="51F04523"/>
    <w:rsid w:val="51FF0E66"/>
    <w:rsid w:val="521C71CB"/>
    <w:rsid w:val="5225731B"/>
    <w:rsid w:val="52413B98"/>
    <w:rsid w:val="524143F8"/>
    <w:rsid w:val="5247487E"/>
    <w:rsid w:val="525A05C5"/>
    <w:rsid w:val="526C6DA0"/>
    <w:rsid w:val="526F4BB7"/>
    <w:rsid w:val="52746391"/>
    <w:rsid w:val="527E43BA"/>
    <w:rsid w:val="527F7351"/>
    <w:rsid w:val="52827B75"/>
    <w:rsid w:val="52876592"/>
    <w:rsid w:val="5289594B"/>
    <w:rsid w:val="5297107D"/>
    <w:rsid w:val="529B1508"/>
    <w:rsid w:val="529B40DF"/>
    <w:rsid w:val="529E5613"/>
    <w:rsid w:val="529E59DA"/>
    <w:rsid w:val="52B056EE"/>
    <w:rsid w:val="52B445D4"/>
    <w:rsid w:val="52B63BA9"/>
    <w:rsid w:val="52BD1281"/>
    <w:rsid w:val="52BF77C5"/>
    <w:rsid w:val="52C10CD7"/>
    <w:rsid w:val="52CD61D3"/>
    <w:rsid w:val="52CD7C8D"/>
    <w:rsid w:val="530D1644"/>
    <w:rsid w:val="531B4646"/>
    <w:rsid w:val="532A1EE3"/>
    <w:rsid w:val="533027BF"/>
    <w:rsid w:val="533E3D74"/>
    <w:rsid w:val="5346074C"/>
    <w:rsid w:val="53471BEB"/>
    <w:rsid w:val="53497BBE"/>
    <w:rsid w:val="534C6A1D"/>
    <w:rsid w:val="535A543D"/>
    <w:rsid w:val="53625602"/>
    <w:rsid w:val="53665CAA"/>
    <w:rsid w:val="536E2E2E"/>
    <w:rsid w:val="537256E6"/>
    <w:rsid w:val="53784026"/>
    <w:rsid w:val="537A09F2"/>
    <w:rsid w:val="53845E39"/>
    <w:rsid w:val="53881ECC"/>
    <w:rsid w:val="53901DD0"/>
    <w:rsid w:val="539A6AE8"/>
    <w:rsid w:val="53A239F2"/>
    <w:rsid w:val="53C30F17"/>
    <w:rsid w:val="53C352FE"/>
    <w:rsid w:val="53C737C0"/>
    <w:rsid w:val="53CD2BA6"/>
    <w:rsid w:val="53CE0F5B"/>
    <w:rsid w:val="53D91BE1"/>
    <w:rsid w:val="53E3707A"/>
    <w:rsid w:val="54073AA1"/>
    <w:rsid w:val="5422118C"/>
    <w:rsid w:val="54233CDF"/>
    <w:rsid w:val="5430781A"/>
    <w:rsid w:val="543E37BE"/>
    <w:rsid w:val="54516B13"/>
    <w:rsid w:val="54611DD8"/>
    <w:rsid w:val="54612186"/>
    <w:rsid w:val="546126E1"/>
    <w:rsid w:val="547921D4"/>
    <w:rsid w:val="547E4235"/>
    <w:rsid w:val="548070B0"/>
    <w:rsid w:val="54862937"/>
    <w:rsid w:val="54885BF9"/>
    <w:rsid w:val="54AE32E3"/>
    <w:rsid w:val="54C76EAC"/>
    <w:rsid w:val="54CF48DF"/>
    <w:rsid w:val="54D12D1C"/>
    <w:rsid w:val="54D94327"/>
    <w:rsid w:val="54D946D6"/>
    <w:rsid w:val="54DA035C"/>
    <w:rsid w:val="54EC3111"/>
    <w:rsid w:val="54F17C3C"/>
    <w:rsid w:val="54F84F60"/>
    <w:rsid w:val="54FC1310"/>
    <w:rsid w:val="552136EA"/>
    <w:rsid w:val="552A4941"/>
    <w:rsid w:val="552C31A3"/>
    <w:rsid w:val="552E650B"/>
    <w:rsid w:val="55317B6F"/>
    <w:rsid w:val="553621DE"/>
    <w:rsid w:val="553814B1"/>
    <w:rsid w:val="553C18A3"/>
    <w:rsid w:val="55426627"/>
    <w:rsid w:val="55547B48"/>
    <w:rsid w:val="557C29EB"/>
    <w:rsid w:val="558130B4"/>
    <w:rsid w:val="55864038"/>
    <w:rsid w:val="558E00FE"/>
    <w:rsid w:val="559B5B1F"/>
    <w:rsid w:val="559E5066"/>
    <w:rsid w:val="55A5748B"/>
    <w:rsid w:val="55A76783"/>
    <w:rsid w:val="55A76D29"/>
    <w:rsid w:val="55AA0507"/>
    <w:rsid w:val="55C51182"/>
    <w:rsid w:val="55D3599B"/>
    <w:rsid w:val="55D4427D"/>
    <w:rsid w:val="55D63638"/>
    <w:rsid w:val="55DA2073"/>
    <w:rsid w:val="55DB6BF6"/>
    <w:rsid w:val="55DD26DD"/>
    <w:rsid w:val="55DE4C0B"/>
    <w:rsid w:val="55DE6415"/>
    <w:rsid w:val="55E14D4F"/>
    <w:rsid w:val="55E40751"/>
    <w:rsid w:val="55F10C77"/>
    <w:rsid w:val="55F17696"/>
    <w:rsid w:val="55F25564"/>
    <w:rsid w:val="55FA542E"/>
    <w:rsid w:val="560B627A"/>
    <w:rsid w:val="560B7501"/>
    <w:rsid w:val="56162C81"/>
    <w:rsid w:val="562642CB"/>
    <w:rsid w:val="562A404D"/>
    <w:rsid w:val="56350578"/>
    <w:rsid w:val="56546C0B"/>
    <w:rsid w:val="565F21BE"/>
    <w:rsid w:val="565F2EB0"/>
    <w:rsid w:val="5664472A"/>
    <w:rsid w:val="566A78BF"/>
    <w:rsid w:val="566F1C39"/>
    <w:rsid w:val="56732C18"/>
    <w:rsid w:val="56746BB8"/>
    <w:rsid w:val="56890D2F"/>
    <w:rsid w:val="569C4798"/>
    <w:rsid w:val="56A9471D"/>
    <w:rsid w:val="56A97220"/>
    <w:rsid w:val="56AB5073"/>
    <w:rsid w:val="56AF6E52"/>
    <w:rsid w:val="56BE11E7"/>
    <w:rsid w:val="56C05601"/>
    <w:rsid w:val="56C600F0"/>
    <w:rsid w:val="56CD7018"/>
    <w:rsid w:val="56D4475A"/>
    <w:rsid w:val="56D93523"/>
    <w:rsid w:val="56EA2FBF"/>
    <w:rsid w:val="56EF34D2"/>
    <w:rsid w:val="56F373DD"/>
    <w:rsid w:val="57026BA4"/>
    <w:rsid w:val="57031165"/>
    <w:rsid w:val="57061024"/>
    <w:rsid w:val="57101A0C"/>
    <w:rsid w:val="57121709"/>
    <w:rsid w:val="575F3096"/>
    <w:rsid w:val="57720ABB"/>
    <w:rsid w:val="57792B59"/>
    <w:rsid w:val="5780751C"/>
    <w:rsid w:val="579048D9"/>
    <w:rsid w:val="57957113"/>
    <w:rsid w:val="57980A1D"/>
    <w:rsid w:val="57996194"/>
    <w:rsid w:val="57A829D6"/>
    <w:rsid w:val="57BA46C7"/>
    <w:rsid w:val="57BB43E7"/>
    <w:rsid w:val="57BD4CC4"/>
    <w:rsid w:val="57CC54F4"/>
    <w:rsid w:val="57EC3A49"/>
    <w:rsid w:val="57F52B68"/>
    <w:rsid w:val="57FB2436"/>
    <w:rsid w:val="58063DB0"/>
    <w:rsid w:val="580F32B9"/>
    <w:rsid w:val="5832734F"/>
    <w:rsid w:val="583535F7"/>
    <w:rsid w:val="58411790"/>
    <w:rsid w:val="58414C6A"/>
    <w:rsid w:val="584F7CF7"/>
    <w:rsid w:val="58590AB9"/>
    <w:rsid w:val="586B0C63"/>
    <w:rsid w:val="58707C04"/>
    <w:rsid w:val="58726589"/>
    <w:rsid w:val="58817620"/>
    <w:rsid w:val="588C1252"/>
    <w:rsid w:val="58AA4073"/>
    <w:rsid w:val="58B00835"/>
    <w:rsid w:val="58C90BD8"/>
    <w:rsid w:val="58D73E17"/>
    <w:rsid w:val="58F06316"/>
    <w:rsid w:val="590056FB"/>
    <w:rsid w:val="59054B86"/>
    <w:rsid w:val="591C13A4"/>
    <w:rsid w:val="59222047"/>
    <w:rsid w:val="592B32A1"/>
    <w:rsid w:val="59445E43"/>
    <w:rsid w:val="594475CC"/>
    <w:rsid w:val="59464408"/>
    <w:rsid w:val="594B567C"/>
    <w:rsid w:val="595D3101"/>
    <w:rsid w:val="595F55CF"/>
    <w:rsid w:val="59622BC4"/>
    <w:rsid w:val="59756F38"/>
    <w:rsid w:val="5976587E"/>
    <w:rsid w:val="59917F9F"/>
    <w:rsid w:val="59960997"/>
    <w:rsid w:val="599B3A99"/>
    <w:rsid w:val="599C259A"/>
    <w:rsid w:val="59A716D3"/>
    <w:rsid w:val="59B349B3"/>
    <w:rsid w:val="59BE5985"/>
    <w:rsid w:val="59D56EB5"/>
    <w:rsid w:val="59E509FA"/>
    <w:rsid w:val="59ED7B40"/>
    <w:rsid w:val="5A062785"/>
    <w:rsid w:val="5A103E75"/>
    <w:rsid w:val="5A19359E"/>
    <w:rsid w:val="5A1A11D5"/>
    <w:rsid w:val="5A1E3E8A"/>
    <w:rsid w:val="5A284289"/>
    <w:rsid w:val="5A336168"/>
    <w:rsid w:val="5A3C2882"/>
    <w:rsid w:val="5A3D49EA"/>
    <w:rsid w:val="5A4108EA"/>
    <w:rsid w:val="5A4A7BBE"/>
    <w:rsid w:val="5A4C546A"/>
    <w:rsid w:val="5A506BFC"/>
    <w:rsid w:val="5A51484A"/>
    <w:rsid w:val="5A76644A"/>
    <w:rsid w:val="5A7B2649"/>
    <w:rsid w:val="5A810B9A"/>
    <w:rsid w:val="5AA7702F"/>
    <w:rsid w:val="5AC42C5F"/>
    <w:rsid w:val="5AC70D33"/>
    <w:rsid w:val="5ACD17FA"/>
    <w:rsid w:val="5AE40D39"/>
    <w:rsid w:val="5AF05DAD"/>
    <w:rsid w:val="5AF879F7"/>
    <w:rsid w:val="5AFB1A41"/>
    <w:rsid w:val="5AFD3F17"/>
    <w:rsid w:val="5B075692"/>
    <w:rsid w:val="5B137553"/>
    <w:rsid w:val="5B185BEB"/>
    <w:rsid w:val="5B2C6890"/>
    <w:rsid w:val="5B2D24E9"/>
    <w:rsid w:val="5B44718B"/>
    <w:rsid w:val="5B462672"/>
    <w:rsid w:val="5B486830"/>
    <w:rsid w:val="5B4F1F22"/>
    <w:rsid w:val="5B516D11"/>
    <w:rsid w:val="5B5D21F8"/>
    <w:rsid w:val="5B69762A"/>
    <w:rsid w:val="5B6D1EB8"/>
    <w:rsid w:val="5B742DF3"/>
    <w:rsid w:val="5B794C28"/>
    <w:rsid w:val="5B932B49"/>
    <w:rsid w:val="5B9A534D"/>
    <w:rsid w:val="5BA44583"/>
    <w:rsid w:val="5BB0534A"/>
    <w:rsid w:val="5BB154E4"/>
    <w:rsid w:val="5BB56635"/>
    <w:rsid w:val="5BD5679B"/>
    <w:rsid w:val="5BEA02C7"/>
    <w:rsid w:val="5BEF63D3"/>
    <w:rsid w:val="5C0857E1"/>
    <w:rsid w:val="5C1237D7"/>
    <w:rsid w:val="5C127BC6"/>
    <w:rsid w:val="5C290D8D"/>
    <w:rsid w:val="5C3D43CB"/>
    <w:rsid w:val="5C426B32"/>
    <w:rsid w:val="5C46130D"/>
    <w:rsid w:val="5C4C3E52"/>
    <w:rsid w:val="5C576007"/>
    <w:rsid w:val="5C594392"/>
    <w:rsid w:val="5C5A1AF2"/>
    <w:rsid w:val="5C7C7504"/>
    <w:rsid w:val="5C7F7BD9"/>
    <w:rsid w:val="5C806432"/>
    <w:rsid w:val="5C91211E"/>
    <w:rsid w:val="5C93753E"/>
    <w:rsid w:val="5CA30E82"/>
    <w:rsid w:val="5CA9040C"/>
    <w:rsid w:val="5CB24117"/>
    <w:rsid w:val="5CB74BA2"/>
    <w:rsid w:val="5CB82322"/>
    <w:rsid w:val="5CCB7014"/>
    <w:rsid w:val="5CD93AAC"/>
    <w:rsid w:val="5CDF7AC8"/>
    <w:rsid w:val="5CE1178A"/>
    <w:rsid w:val="5D112DF4"/>
    <w:rsid w:val="5D145785"/>
    <w:rsid w:val="5D1A2A7B"/>
    <w:rsid w:val="5D1D3B03"/>
    <w:rsid w:val="5D296B7A"/>
    <w:rsid w:val="5D332CB9"/>
    <w:rsid w:val="5D383209"/>
    <w:rsid w:val="5D3E3F20"/>
    <w:rsid w:val="5D4259D0"/>
    <w:rsid w:val="5D4302BB"/>
    <w:rsid w:val="5D452F14"/>
    <w:rsid w:val="5D5A6BDF"/>
    <w:rsid w:val="5D61093B"/>
    <w:rsid w:val="5D680890"/>
    <w:rsid w:val="5D693E39"/>
    <w:rsid w:val="5D772AA5"/>
    <w:rsid w:val="5D782CD8"/>
    <w:rsid w:val="5D7E2135"/>
    <w:rsid w:val="5D88077A"/>
    <w:rsid w:val="5D92466F"/>
    <w:rsid w:val="5D945D14"/>
    <w:rsid w:val="5D9D4269"/>
    <w:rsid w:val="5DA454FC"/>
    <w:rsid w:val="5DAC6E4F"/>
    <w:rsid w:val="5DB972AE"/>
    <w:rsid w:val="5DC20D93"/>
    <w:rsid w:val="5DC22F8E"/>
    <w:rsid w:val="5DD360CC"/>
    <w:rsid w:val="5DDD4CFE"/>
    <w:rsid w:val="5DDE0401"/>
    <w:rsid w:val="5DF4272F"/>
    <w:rsid w:val="5DF440EA"/>
    <w:rsid w:val="5DFC47A4"/>
    <w:rsid w:val="5E06606C"/>
    <w:rsid w:val="5E1833E4"/>
    <w:rsid w:val="5E336C14"/>
    <w:rsid w:val="5E4C3D16"/>
    <w:rsid w:val="5E5D75C9"/>
    <w:rsid w:val="5E687784"/>
    <w:rsid w:val="5E6D1F27"/>
    <w:rsid w:val="5E6D4782"/>
    <w:rsid w:val="5E706C3B"/>
    <w:rsid w:val="5E780F22"/>
    <w:rsid w:val="5E8127C3"/>
    <w:rsid w:val="5E8D759F"/>
    <w:rsid w:val="5E8F6182"/>
    <w:rsid w:val="5E983AE3"/>
    <w:rsid w:val="5E9A126C"/>
    <w:rsid w:val="5E9D3F29"/>
    <w:rsid w:val="5EA20857"/>
    <w:rsid w:val="5EAC444A"/>
    <w:rsid w:val="5EAD078F"/>
    <w:rsid w:val="5EB96B6B"/>
    <w:rsid w:val="5EBA03AF"/>
    <w:rsid w:val="5EBB2824"/>
    <w:rsid w:val="5EC6193C"/>
    <w:rsid w:val="5ECC4AE9"/>
    <w:rsid w:val="5ED35EDA"/>
    <w:rsid w:val="5EDD574B"/>
    <w:rsid w:val="5EDE33E4"/>
    <w:rsid w:val="5EEF434A"/>
    <w:rsid w:val="5EFE2849"/>
    <w:rsid w:val="5F072C58"/>
    <w:rsid w:val="5F160ABC"/>
    <w:rsid w:val="5F243F83"/>
    <w:rsid w:val="5F281E11"/>
    <w:rsid w:val="5F326E8D"/>
    <w:rsid w:val="5F421446"/>
    <w:rsid w:val="5F451A27"/>
    <w:rsid w:val="5F483890"/>
    <w:rsid w:val="5F490CB1"/>
    <w:rsid w:val="5F49402A"/>
    <w:rsid w:val="5F535800"/>
    <w:rsid w:val="5F5A52E5"/>
    <w:rsid w:val="5F5F6069"/>
    <w:rsid w:val="5F642188"/>
    <w:rsid w:val="5F731ACF"/>
    <w:rsid w:val="5F7E4E82"/>
    <w:rsid w:val="5F812235"/>
    <w:rsid w:val="5F83294B"/>
    <w:rsid w:val="5F997688"/>
    <w:rsid w:val="5F9A388A"/>
    <w:rsid w:val="5FA57FFC"/>
    <w:rsid w:val="5FB2714E"/>
    <w:rsid w:val="5FB85F1F"/>
    <w:rsid w:val="5FC2061C"/>
    <w:rsid w:val="5FC43BCF"/>
    <w:rsid w:val="5FCE050A"/>
    <w:rsid w:val="5FD5340F"/>
    <w:rsid w:val="5FE456A8"/>
    <w:rsid w:val="5FE8506D"/>
    <w:rsid w:val="5FEC2DF0"/>
    <w:rsid w:val="5FF67A1C"/>
    <w:rsid w:val="5FFF7DAE"/>
    <w:rsid w:val="60000CAF"/>
    <w:rsid w:val="60035388"/>
    <w:rsid w:val="60165FD1"/>
    <w:rsid w:val="601A3FB6"/>
    <w:rsid w:val="601B73E9"/>
    <w:rsid w:val="60220DE4"/>
    <w:rsid w:val="602513A0"/>
    <w:rsid w:val="60310FD1"/>
    <w:rsid w:val="60472F21"/>
    <w:rsid w:val="604D2E11"/>
    <w:rsid w:val="60812408"/>
    <w:rsid w:val="608C4889"/>
    <w:rsid w:val="608E0B82"/>
    <w:rsid w:val="60903082"/>
    <w:rsid w:val="60913571"/>
    <w:rsid w:val="6095056A"/>
    <w:rsid w:val="60A12A68"/>
    <w:rsid w:val="60AD20B4"/>
    <w:rsid w:val="60B2089F"/>
    <w:rsid w:val="60B557BC"/>
    <w:rsid w:val="60BC0721"/>
    <w:rsid w:val="60C87C45"/>
    <w:rsid w:val="60EB7ED4"/>
    <w:rsid w:val="610278DC"/>
    <w:rsid w:val="611E3BF6"/>
    <w:rsid w:val="611F48B9"/>
    <w:rsid w:val="61206F53"/>
    <w:rsid w:val="612734CD"/>
    <w:rsid w:val="612E4BA9"/>
    <w:rsid w:val="61490926"/>
    <w:rsid w:val="614D3876"/>
    <w:rsid w:val="61710B6D"/>
    <w:rsid w:val="617343E9"/>
    <w:rsid w:val="61745242"/>
    <w:rsid w:val="617470E9"/>
    <w:rsid w:val="61747CE6"/>
    <w:rsid w:val="61766A76"/>
    <w:rsid w:val="617D56CB"/>
    <w:rsid w:val="619A023E"/>
    <w:rsid w:val="619B3C54"/>
    <w:rsid w:val="61A00432"/>
    <w:rsid w:val="61A21B17"/>
    <w:rsid w:val="61A262CC"/>
    <w:rsid w:val="61A63F9D"/>
    <w:rsid w:val="61AC28B6"/>
    <w:rsid w:val="61AF045E"/>
    <w:rsid w:val="61AF14AE"/>
    <w:rsid w:val="61B2719D"/>
    <w:rsid w:val="61C0041B"/>
    <w:rsid w:val="61D222A1"/>
    <w:rsid w:val="61E33B70"/>
    <w:rsid w:val="61EE5A74"/>
    <w:rsid w:val="61F9262A"/>
    <w:rsid w:val="62033930"/>
    <w:rsid w:val="620A6E2E"/>
    <w:rsid w:val="62123E20"/>
    <w:rsid w:val="62216DB1"/>
    <w:rsid w:val="6224375E"/>
    <w:rsid w:val="6228709F"/>
    <w:rsid w:val="6233699F"/>
    <w:rsid w:val="62497341"/>
    <w:rsid w:val="624F1B1A"/>
    <w:rsid w:val="62605BD1"/>
    <w:rsid w:val="626820FB"/>
    <w:rsid w:val="628112A9"/>
    <w:rsid w:val="629F4EE6"/>
    <w:rsid w:val="62A148F0"/>
    <w:rsid w:val="62A47282"/>
    <w:rsid w:val="62AB3AB4"/>
    <w:rsid w:val="62BA3D40"/>
    <w:rsid w:val="62BC7506"/>
    <w:rsid w:val="62C230DE"/>
    <w:rsid w:val="62CC0B2C"/>
    <w:rsid w:val="62D73ABD"/>
    <w:rsid w:val="62DB5656"/>
    <w:rsid w:val="62DD5527"/>
    <w:rsid w:val="62E12329"/>
    <w:rsid w:val="62EF5F55"/>
    <w:rsid w:val="62F02A88"/>
    <w:rsid w:val="62F21B1E"/>
    <w:rsid w:val="62FD10F5"/>
    <w:rsid w:val="63155719"/>
    <w:rsid w:val="633552F8"/>
    <w:rsid w:val="633C606C"/>
    <w:rsid w:val="633F4A41"/>
    <w:rsid w:val="63477946"/>
    <w:rsid w:val="63561591"/>
    <w:rsid w:val="63617717"/>
    <w:rsid w:val="637343B3"/>
    <w:rsid w:val="638474BD"/>
    <w:rsid w:val="63851F72"/>
    <w:rsid w:val="639E6C96"/>
    <w:rsid w:val="639E6E29"/>
    <w:rsid w:val="63B76E61"/>
    <w:rsid w:val="63C5198B"/>
    <w:rsid w:val="63C60A93"/>
    <w:rsid w:val="63D03F39"/>
    <w:rsid w:val="63DC2086"/>
    <w:rsid w:val="63F21832"/>
    <w:rsid w:val="63FA1C7D"/>
    <w:rsid w:val="640E5E65"/>
    <w:rsid w:val="640F06C7"/>
    <w:rsid w:val="64143B02"/>
    <w:rsid w:val="64211450"/>
    <w:rsid w:val="642141B3"/>
    <w:rsid w:val="642D496C"/>
    <w:rsid w:val="64307273"/>
    <w:rsid w:val="6435192E"/>
    <w:rsid w:val="64366833"/>
    <w:rsid w:val="6440661D"/>
    <w:rsid w:val="64433935"/>
    <w:rsid w:val="64771DBE"/>
    <w:rsid w:val="64782BB9"/>
    <w:rsid w:val="64802717"/>
    <w:rsid w:val="64816389"/>
    <w:rsid w:val="648415C1"/>
    <w:rsid w:val="648F6016"/>
    <w:rsid w:val="64941423"/>
    <w:rsid w:val="64A00351"/>
    <w:rsid w:val="64A123BF"/>
    <w:rsid w:val="64A86ABB"/>
    <w:rsid w:val="64B3541D"/>
    <w:rsid w:val="64B44817"/>
    <w:rsid w:val="64B6042E"/>
    <w:rsid w:val="64B60C20"/>
    <w:rsid w:val="64BF7B6E"/>
    <w:rsid w:val="64D22360"/>
    <w:rsid w:val="64D57E27"/>
    <w:rsid w:val="64DE2D50"/>
    <w:rsid w:val="64F87DF5"/>
    <w:rsid w:val="64F97E65"/>
    <w:rsid w:val="65040927"/>
    <w:rsid w:val="650C1A92"/>
    <w:rsid w:val="65154C41"/>
    <w:rsid w:val="65183E1D"/>
    <w:rsid w:val="652301D3"/>
    <w:rsid w:val="65304E2F"/>
    <w:rsid w:val="6532715D"/>
    <w:rsid w:val="653650DB"/>
    <w:rsid w:val="65391AF5"/>
    <w:rsid w:val="653A0B6E"/>
    <w:rsid w:val="653A23F9"/>
    <w:rsid w:val="654B584F"/>
    <w:rsid w:val="65521E4C"/>
    <w:rsid w:val="65590444"/>
    <w:rsid w:val="65635D44"/>
    <w:rsid w:val="657010E7"/>
    <w:rsid w:val="65773AA4"/>
    <w:rsid w:val="659016A6"/>
    <w:rsid w:val="65A3018C"/>
    <w:rsid w:val="65A57B6F"/>
    <w:rsid w:val="65BD2853"/>
    <w:rsid w:val="65BE2B38"/>
    <w:rsid w:val="65DC1AFB"/>
    <w:rsid w:val="65E03743"/>
    <w:rsid w:val="65E67FB4"/>
    <w:rsid w:val="65EA5B72"/>
    <w:rsid w:val="65F52AF8"/>
    <w:rsid w:val="65F7412F"/>
    <w:rsid w:val="65F92B6B"/>
    <w:rsid w:val="66201FD4"/>
    <w:rsid w:val="662731D9"/>
    <w:rsid w:val="66467ED5"/>
    <w:rsid w:val="665167F3"/>
    <w:rsid w:val="665655B6"/>
    <w:rsid w:val="665905BC"/>
    <w:rsid w:val="665D17CE"/>
    <w:rsid w:val="66736470"/>
    <w:rsid w:val="66821CEF"/>
    <w:rsid w:val="66830419"/>
    <w:rsid w:val="66874D45"/>
    <w:rsid w:val="66944E24"/>
    <w:rsid w:val="66972031"/>
    <w:rsid w:val="66976EE0"/>
    <w:rsid w:val="669E031B"/>
    <w:rsid w:val="66B66341"/>
    <w:rsid w:val="66BF6BB3"/>
    <w:rsid w:val="66C2304E"/>
    <w:rsid w:val="66D540D4"/>
    <w:rsid w:val="66ED2159"/>
    <w:rsid w:val="66FC603F"/>
    <w:rsid w:val="670103F0"/>
    <w:rsid w:val="671040E7"/>
    <w:rsid w:val="67387006"/>
    <w:rsid w:val="673F0E61"/>
    <w:rsid w:val="67404A3C"/>
    <w:rsid w:val="6744328F"/>
    <w:rsid w:val="674A6FF4"/>
    <w:rsid w:val="67516B17"/>
    <w:rsid w:val="675A53A9"/>
    <w:rsid w:val="675F7E44"/>
    <w:rsid w:val="67634017"/>
    <w:rsid w:val="677E5F97"/>
    <w:rsid w:val="678C7A54"/>
    <w:rsid w:val="67910EBB"/>
    <w:rsid w:val="679379CB"/>
    <w:rsid w:val="6794658A"/>
    <w:rsid w:val="679E5C07"/>
    <w:rsid w:val="67A07F87"/>
    <w:rsid w:val="67A92593"/>
    <w:rsid w:val="67B31351"/>
    <w:rsid w:val="67D90BF0"/>
    <w:rsid w:val="67EA01D7"/>
    <w:rsid w:val="67EE2D58"/>
    <w:rsid w:val="67F22933"/>
    <w:rsid w:val="67F96F13"/>
    <w:rsid w:val="681E0A8F"/>
    <w:rsid w:val="682B3437"/>
    <w:rsid w:val="683B37F1"/>
    <w:rsid w:val="683F7AB1"/>
    <w:rsid w:val="68403F4E"/>
    <w:rsid w:val="68435365"/>
    <w:rsid w:val="684F5274"/>
    <w:rsid w:val="68553F5A"/>
    <w:rsid w:val="6858646E"/>
    <w:rsid w:val="68652315"/>
    <w:rsid w:val="687133A4"/>
    <w:rsid w:val="68847EC6"/>
    <w:rsid w:val="688B1622"/>
    <w:rsid w:val="689232B8"/>
    <w:rsid w:val="68952692"/>
    <w:rsid w:val="68AA43E2"/>
    <w:rsid w:val="68B445D2"/>
    <w:rsid w:val="68BA6F26"/>
    <w:rsid w:val="68D4752B"/>
    <w:rsid w:val="68D7256C"/>
    <w:rsid w:val="68DD0398"/>
    <w:rsid w:val="68EB7E19"/>
    <w:rsid w:val="68F77E3E"/>
    <w:rsid w:val="6907527F"/>
    <w:rsid w:val="691959A6"/>
    <w:rsid w:val="6932231B"/>
    <w:rsid w:val="694D432C"/>
    <w:rsid w:val="6954416A"/>
    <w:rsid w:val="69573A3D"/>
    <w:rsid w:val="69574C3D"/>
    <w:rsid w:val="695C6376"/>
    <w:rsid w:val="69750BEE"/>
    <w:rsid w:val="69803E91"/>
    <w:rsid w:val="69857553"/>
    <w:rsid w:val="69A32CA0"/>
    <w:rsid w:val="69A61ACC"/>
    <w:rsid w:val="69AB7485"/>
    <w:rsid w:val="69B15B96"/>
    <w:rsid w:val="69B3292D"/>
    <w:rsid w:val="69B63689"/>
    <w:rsid w:val="69CB3447"/>
    <w:rsid w:val="69D31A88"/>
    <w:rsid w:val="69FA72D3"/>
    <w:rsid w:val="6A040614"/>
    <w:rsid w:val="6A060AAD"/>
    <w:rsid w:val="6A0D5C3B"/>
    <w:rsid w:val="6A126E7C"/>
    <w:rsid w:val="6A1315A0"/>
    <w:rsid w:val="6A204CD7"/>
    <w:rsid w:val="6A234674"/>
    <w:rsid w:val="6A3410C6"/>
    <w:rsid w:val="6A38698F"/>
    <w:rsid w:val="6A3A179A"/>
    <w:rsid w:val="6A3E1B28"/>
    <w:rsid w:val="6A411CE4"/>
    <w:rsid w:val="6A4244F1"/>
    <w:rsid w:val="6A443414"/>
    <w:rsid w:val="6A4F5E8D"/>
    <w:rsid w:val="6A6A1B3C"/>
    <w:rsid w:val="6A6A6E96"/>
    <w:rsid w:val="6A7070EF"/>
    <w:rsid w:val="6A791722"/>
    <w:rsid w:val="6A82271A"/>
    <w:rsid w:val="6A885B2F"/>
    <w:rsid w:val="6AA572C4"/>
    <w:rsid w:val="6AB11B77"/>
    <w:rsid w:val="6AC0052E"/>
    <w:rsid w:val="6AC8784C"/>
    <w:rsid w:val="6AE9661D"/>
    <w:rsid w:val="6AF325C3"/>
    <w:rsid w:val="6AFF2B13"/>
    <w:rsid w:val="6B0F0A34"/>
    <w:rsid w:val="6B0F7B7F"/>
    <w:rsid w:val="6B2244DB"/>
    <w:rsid w:val="6B2C1411"/>
    <w:rsid w:val="6B2C5C49"/>
    <w:rsid w:val="6B2C7757"/>
    <w:rsid w:val="6B3B058F"/>
    <w:rsid w:val="6B3F12E9"/>
    <w:rsid w:val="6B507449"/>
    <w:rsid w:val="6B657EB2"/>
    <w:rsid w:val="6B6D1D81"/>
    <w:rsid w:val="6B7A446C"/>
    <w:rsid w:val="6B7B5F12"/>
    <w:rsid w:val="6B7E4993"/>
    <w:rsid w:val="6B8114A0"/>
    <w:rsid w:val="6B95211A"/>
    <w:rsid w:val="6B99794C"/>
    <w:rsid w:val="6B9D6D95"/>
    <w:rsid w:val="6BA2001B"/>
    <w:rsid w:val="6BA53A69"/>
    <w:rsid w:val="6BA77645"/>
    <w:rsid w:val="6BA9395D"/>
    <w:rsid w:val="6BAD3CC8"/>
    <w:rsid w:val="6BB07F03"/>
    <w:rsid w:val="6BB47363"/>
    <w:rsid w:val="6BC73FAB"/>
    <w:rsid w:val="6BC8535F"/>
    <w:rsid w:val="6BC9114C"/>
    <w:rsid w:val="6BE62DD7"/>
    <w:rsid w:val="6BF011DF"/>
    <w:rsid w:val="6C014822"/>
    <w:rsid w:val="6C0E4FA6"/>
    <w:rsid w:val="6C1A5A92"/>
    <w:rsid w:val="6C26063E"/>
    <w:rsid w:val="6C300AAB"/>
    <w:rsid w:val="6C336BD6"/>
    <w:rsid w:val="6C456329"/>
    <w:rsid w:val="6C6E69F3"/>
    <w:rsid w:val="6C7D41AB"/>
    <w:rsid w:val="6C9A7EEC"/>
    <w:rsid w:val="6C9C5263"/>
    <w:rsid w:val="6CAA71D5"/>
    <w:rsid w:val="6CB043DF"/>
    <w:rsid w:val="6CB15FCE"/>
    <w:rsid w:val="6CB446C8"/>
    <w:rsid w:val="6CBC19D6"/>
    <w:rsid w:val="6CC718CC"/>
    <w:rsid w:val="6CDA78E6"/>
    <w:rsid w:val="6CE53607"/>
    <w:rsid w:val="6CE55DD4"/>
    <w:rsid w:val="6CE61E10"/>
    <w:rsid w:val="6CF466A9"/>
    <w:rsid w:val="6D0E0296"/>
    <w:rsid w:val="6D1459EA"/>
    <w:rsid w:val="6D193B27"/>
    <w:rsid w:val="6D2856A5"/>
    <w:rsid w:val="6D2D719A"/>
    <w:rsid w:val="6D3006AA"/>
    <w:rsid w:val="6D32644D"/>
    <w:rsid w:val="6D383052"/>
    <w:rsid w:val="6D6D57F9"/>
    <w:rsid w:val="6D780339"/>
    <w:rsid w:val="6D7A1D07"/>
    <w:rsid w:val="6D9C3AF8"/>
    <w:rsid w:val="6DA32667"/>
    <w:rsid w:val="6DD26149"/>
    <w:rsid w:val="6DE32F74"/>
    <w:rsid w:val="6DE43247"/>
    <w:rsid w:val="6DE91124"/>
    <w:rsid w:val="6E1E5C73"/>
    <w:rsid w:val="6E306BFB"/>
    <w:rsid w:val="6E313627"/>
    <w:rsid w:val="6E4A1CE2"/>
    <w:rsid w:val="6E51395C"/>
    <w:rsid w:val="6E5F2678"/>
    <w:rsid w:val="6E661F21"/>
    <w:rsid w:val="6E7208FE"/>
    <w:rsid w:val="6E8F3DF5"/>
    <w:rsid w:val="6EAB1262"/>
    <w:rsid w:val="6EB35FEE"/>
    <w:rsid w:val="6EBF2D83"/>
    <w:rsid w:val="6ED009AB"/>
    <w:rsid w:val="6ED90E0E"/>
    <w:rsid w:val="6EDC55FC"/>
    <w:rsid w:val="6EE61F4E"/>
    <w:rsid w:val="6EEC11BD"/>
    <w:rsid w:val="6EFA4310"/>
    <w:rsid w:val="6F000A4D"/>
    <w:rsid w:val="6F033465"/>
    <w:rsid w:val="6F0657BC"/>
    <w:rsid w:val="6F1C2105"/>
    <w:rsid w:val="6F453E74"/>
    <w:rsid w:val="6F5272D3"/>
    <w:rsid w:val="6F596E24"/>
    <w:rsid w:val="6F627C55"/>
    <w:rsid w:val="6F654AD7"/>
    <w:rsid w:val="6F6D2484"/>
    <w:rsid w:val="6F6E6330"/>
    <w:rsid w:val="6F803A6D"/>
    <w:rsid w:val="6F9263B5"/>
    <w:rsid w:val="6F9F3ACC"/>
    <w:rsid w:val="6FB00929"/>
    <w:rsid w:val="6FB10413"/>
    <w:rsid w:val="6FBA66BE"/>
    <w:rsid w:val="6FBB592A"/>
    <w:rsid w:val="6FC350DD"/>
    <w:rsid w:val="6FCB2ADA"/>
    <w:rsid w:val="6FD00717"/>
    <w:rsid w:val="6FD23D4A"/>
    <w:rsid w:val="6FDC0BC9"/>
    <w:rsid w:val="6FDD0F5F"/>
    <w:rsid w:val="6FE019DC"/>
    <w:rsid w:val="6FEA4AD2"/>
    <w:rsid w:val="6FEC30A6"/>
    <w:rsid w:val="6FF57422"/>
    <w:rsid w:val="70055CAC"/>
    <w:rsid w:val="70107163"/>
    <w:rsid w:val="70167A08"/>
    <w:rsid w:val="7024075D"/>
    <w:rsid w:val="702679FB"/>
    <w:rsid w:val="704852C6"/>
    <w:rsid w:val="704C04C9"/>
    <w:rsid w:val="704C6161"/>
    <w:rsid w:val="70521E5E"/>
    <w:rsid w:val="70523F0B"/>
    <w:rsid w:val="70575257"/>
    <w:rsid w:val="70577C48"/>
    <w:rsid w:val="70582303"/>
    <w:rsid w:val="70850304"/>
    <w:rsid w:val="70A00532"/>
    <w:rsid w:val="70A06608"/>
    <w:rsid w:val="70A93EA6"/>
    <w:rsid w:val="70B22035"/>
    <w:rsid w:val="70BE5365"/>
    <w:rsid w:val="70BF25F2"/>
    <w:rsid w:val="70C4121C"/>
    <w:rsid w:val="70C464C3"/>
    <w:rsid w:val="70CF1F8D"/>
    <w:rsid w:val="70D70871"/>
    <w:rsid w:val="70E55D43"/>
    <w:rsid w:val="70E60B51"/>
    <w:rsid w:val="70E76F9F"/>
    <w:rsid w:val="70EA1093"/>
    <w:rsid w:val="70F37C1E"/>
    <w:rsid w:val="70F5705F"/>
    <w:rsid w:val="70FB45B2"/>
    <w:rsid w:val="710367B0"/>
    <w:rsid w:val="71174F5C"/>
    <w:rsid w:val="7123331B"/>
    <w:rsid w:val="712474B1"/>
    <w:rsid w:val="712F574B"/>
    <w:rsid w:val="71523ECE"/>
    <w:rsid w:val="715E2F97"/>
    <w:rsid w:val="71715BC7"/>
    <w:rsid w:val="718C5867"/>
    <w:rsid w:val="719334E7"/>
    <w:rsid w:val="719C6CEB"/>
    <w:rsid w:val="71A61B45"/>
    <w:rsid w:val="71D17C0F"/>
    <w:rsid w:val="71D636EC"/>
    <w:rsid w:val="71DB7CDE"/>
    <w:rsid w:val="71E54ABD"/>
    <w:rsid w:val="71F52133"/>
    <w:rsid w:val="720B6CC0"/>
    <w:rsid w:val="720C3448"/>
    <w:rsid w:val="721443E7"/>
    <w:rsid w:val="72212A23"/>
    <w:rsid w:val="7222076C"/>
    <w:rsid w:val="72336905"/>
    <w:rsid w:val="723B723D"/>
    <w:rsid w:val="724546D0"/>
    <w:rsid w:val="72520AD6"/>
    <w:rsid w:val="72647B1C"/>
    <w:rsid w:val="727779D6"/>
    <w:rsid w:val="727D2F85"/>
    <w:rsid w:val="72922D68"/>
    <w:rsid w:val="72937680"/>
    <w:rsid w:val="729B38C3"/>
    <w:rsid w:val="72A5145F"/>
    <w:rsid w:val="72C75416"/>
    <w:rsid w:val="72C87C07"/>
    <w:rsid w:val="72CD095D"/>
    <w:rsid w:val="72D556E3"/>
    <w:rsid w:val="72D83047"/>
    <w:rsid w:val="72DE2E5E"/>
    <w:rsid w:val="72FA4CBE"/>
    <w:rsid w:val="72FC2CC3"/>
    <w:rsid w:val="7316495B"/>
    <w:rsid w:val="731667CA"/>
    <w:rsid w:val="7329415C"/>
    <w:rsid w:val="73330329"/>
    <w:rsid w:val="734B73A1"/>
    <w:rsid w:val="73530002"/>
    <w:rsid w:val="73532A6B"/>
    <w:rsid w:val="73586412"/>
    <w:rsid w:val="735875E5"/>
    <w:rsid w:val="735A31EF"/>
    <w:rsid w:val="73616BD1"/>
    <w:rsid w:val="737769A4"/>
    <w:rsid w:val="73836920"/>
    <w:rsid w:val="73860BC0"/>
    <w:rsid w:val="73875F5E"/>
    <w:rsid w:val="738A10E8"/>
    <w:rsid w:val="738D0897"/>
    <w:rsid w:val="738D6AF2"/>
    <w:rsid w:val="738F2AF0"/>
    <w:rsid w:val="73956C96"/>
    <w:rsid w:val="73AD58EA"/>
    <w:rsid w:val="73B80B0F"/>
    <w:rsid w:val="73D27751"/>
    <w:rsid w:val="73D469F3"/>
    <w:rsid w:val="73D60558"/>
    <w:rsid w:val="73DB2252"/>
    <w:rsid w:val="73E52BDC"/>
    <w:rsid w:val="73F9613F"/>
    <w:rsid w:val="741A7BF2"/>
    <w:rsid w:val="74244BAF"/>
    <w:rsid w:val="743210BD"/>
    <w:rsid w:val="743977A1"/>
    <w:rsid w:val="744F520F"/>
    <w:rsid w:val="74505108"/>
    <w:rsid w:val="747C4F5F"/>
    <w:rsid w:val="747C5C8C"/>
    <w:rsid w:val="747F5BAD"/>
    <w:rsid w:val="748A4248"/>
    <w:rsid w:val="749910F4"/>
    <w:rsid w:val="74A01C03"/>
    <w:rsid w:val="74A73604"/>
    <w:rsid w:val="74CA5A2E"/>
    <w:rsid w:val="74D07AD9"/>
    <w:rsid w:val="74D57E91"/>
    <w:rsid w:val="74D71C61"/>
    <w:rsid w:val="74DC287B"/>
    <w:rsid w:val="74DC4888"/>
    <w:rsid w:val="74DE70EA"/>
    <w:rsid w:val="74E21C17"/>
    <w:rsid w:val="74E4574A"/>
    <w:rsid w:val="74F01FFB"/>
    <w:rsid w:val="74F60F9D"/>
    <w:rsid w:val="750117F0"/>
    <w:rsid w:val="751F2D9F"/>
    <w:rsid w:val="752156F5"/>
    <w:rsid w:val="75345467"/>
    <w:rsid w:val="75361D53"/>
    <w:rsid w:val="75384650"/>
    <w:rsid w:val="754361E6"/>
    <w:rsid w:val="75475F0F"/>
    <w:rsid w:val="755766D7"/>
    <w:rsid w:val="755A1300"/>
    <w:rsid w:val="755A7EAE"/>
    <w:rsid w:val="755E4F00"/>
    <w:rsid w:val="75625087"/>
    <w:rsid w:val="75676BFB"/>
    <w:rsid w:val="75772228"/>
    <w:rsid w:val="75A34C16"/>
    <w:rsid w:val="75C536B9"/>
    <w:rsid w:val="75C74A6D"/>
    <w:rsid w:val="75D5371D"/>
    <w:rsid w:val="75D773E1"/>
    <w:rsid w:val="75E000F6"/>
    <w:rsid w:val="75EA024C"/>
    <w:rsid w:val="75EB588D"/>
    <w:rsid w:val="75F23736"/>
    <w:rsid w:val="76054747"/>
    <w:rsid w:val="760E17DE"/>
    <w:rsid w:val="7610526A"/>
    <w:rsid w:val="76197B16"/>
    <w:rsid w:val="76213B17"/>
    <w:rsid w:val="762A0299"/>
    <w:rsid w:val="762E6E03"/>
    <w:rsid w:val="76354C95"/>
    <w:rsid w:val="763A0B63"/>
    <w:rsid w:val="76401320"/>
    <w:rsid w:val="765159C3"/>
    <w:rsid w:val="76533C9E"/>
    <w:rsid w:val="765F6024"/>
    <w:rsid w:val="768B0E2B"/>
    <w:rsid w:val="76913C02"/>
    <w:rsid w:val="76982DF4"/>
    <w:rsid w:val="76A200C8"/>
    <w:rsid w:val="76B45137"/>
    <w:rsid w:val="76D570E6"/>
    <w:rsid w:val="76DA0A19"/>
    <w:rsid w:val="76E074EA"/>
    <w:rsid w:val="771321FE"/>
    <w:rsid w:val="77133766"/>
    <w:rsid w:val="771A48D9"/>
    <w:rsid w:val="771D2101"/>
    <w:rsid w:val="7730467A"/>
    <w:rsid w:val="773F06C2"/>
    <w:rsid w:val="77404E17"/>
    <w:rsid w:val="777110F7"/>
    <w:rsid w:val="77825220"/>
    <w:rsid w:val="779C5904"/>
    <w:rsid w:val="77A86C7E"/>
    <w:rsid w:val="77AF413B"/>
    <w:rsid w:val="77CC3E97"/>
    <w:rsid w:val="77D8072F"/>
    <w:rsid w:val="77DA4BC9"/>
    <w:rsid w:val="77DD14D8"/>
    <w:rsid w:val="77E90C9A"/>
    <w:rsid w:val="77E9139E"/>
    <w:rsid w:val="77EB6101"/>
    <w:rsid w:val="77F1087D"/>
    <w:rsid w:val="78054598"/>
    <w:rsid w:val="78231762"/>
    <w:rsid w:val="782365DD"/>
    <w:rsid w:val="78240E71"/>
    <w:rsid w:val="78293D6D"/>
    <w:rsid w:val="782B3C36"/>
    <w:rsid w:val="78413674"/>
    <w:rsid w:val="784A08F8"/>
    <w:rsid w:val="785654A5"/>
    <w:rsid w:val="78605639"/>
    <w:rsid w:val="787F6779"/>
    <w:rsid w:val="78822ABE"/>
    <w:rsid w:val="788C0BC3"/>
    <w:rsid w:val="78A5763F"/>
    <w:rsid w:val="78A671DF"/>
    <w:rsid w:val="78B471AE"/>
    <w:rsid w:val="78BA5314"/>
    <w:rsid w:val="78C05CCE"/>
    <w:rsid w:val="78C20BC9"/>
    <w:rsid w:val="78C81BC0"/>
    <w:rsid w:val="78D542DE"/>
    <w:rsid w:val="78DF5E02"/>
    <w:rsid w:val="78E32CB7"/>
    <w:rsid w:val="78ED78B2"/>
    <w:rsid w:val="78ED7FB3"/>
    <w:rsid w:val="78FE1669"/>
    <w:rsid w:val="78FF6184"/>
    <w:rsid w:val="790F3926"/>
    <w:rsid w:val="791C0F30"/>
    <w:rsid w:val="7922774D"/>
    <w:rsid w:val="792E5564"/>
    <w:rsid w:val="7941422E"/>
    <w:rsid w:val="794E71E6"/>
    <w:rsid w:val="79572D77"/>
    <w:rsid w:val="7985314F"/>
    <w:rsid w:val="79AA3979"/>
    <w:rsid w:val="79AE7BA5"/>
    <w:rsid w:val="79CC3B69"/>
    <w:rsid w:val="79E03214"/>
    <w:rsid w:val="79E36049"/>
    <w:rsid w:val="7A08119D"/>
    <w:rsid w:val="7A0B354F"/>
    <w:rsid w:val="7A203C60"/>
    <w:rsid w:val="7A2043F8"/>
    <w:rsid w:val="7A222478"/>
    <w:rsid w:val="7A403F96"/>
    <w:rsid w:val="7A421DB8"/>
    <w:rsid w:val="7A5F4716"/>
    <w:rsid w:val="7A68513D"/>
    <w:rsid w:val="7A6E1254"/>
    <w:rsid w:val="7A6F0199"/>
    <w:rsid w:val="7A764640"/>
    <w:rsid w:val="7A7D1795"/>
    <w:rsid w:val="7AAB1F4C"/>
    <w:rsid w:val="7AB15FB0"/>
    <w:rsid w:val="7AB64E9A"/>
    <w:rsid w:val="7AB8166A"/>
    <w:rsid w:val="7AB9503C"/>
    <w:rsid w:val="7ABE687D"/>
    <w:rsid w:val="7ACC195F"/>
    <w:rsid w:val="7ACD586D"/>
    <w:rsid w:val="7AD46220"/>
    <w:rsid w:val="7AD56EE2"/>
    <w:rsid w:val="7AF2021C"/>
    <w:rsid w:val="7AFA367E"/>
    <w:rsid w:val="7B0910E9"/>
    <w:rsid w:val="7B276071"/>
    <w:rsid w:val="7B2D4548"/>
    <w:rsid w:val="7B3E7D2B"/>
    <w:rsid w:val="7B52514F"/>
    <w:rsid w:val="7B602683"/>
    <w:rsid w:val="7B6179C1"/>
    <w:rsid w:val="7B6808A1"/>
    <w:rsid w:val="7B8217D2"/>
    <w:rsid w:val="7B8303CA"/>
    <w:rsid w:val="7B852788"/>
    <w:rsid w:val="7B8E401C"/>
    <w:rsid w:val="7B9D6541"/>
    <w:rsid w:val="7BB362A1"/>
    <w:rsid w:val="7BBE125C"/>
    <w:rsid w:val="7BBE177C"/>
    <w:rsid w:val="7BC433CB"/>
    <w:rsid w:val="7BD7607C"/>
    <w:rsid w:val="7BFC7E77"/>
    <w:rsid w:val="7C1B4A86"/>
    <w:rsid w:val="7C1C02CC"/>
    <w:rsid w:val="7C1C6A9A"/>
    <w:rsid w:val="7C254354"/>
    <w:rsid w:val="7C316DB5"/>
    <w:rsid w:val="7C3B0840"/>
    <w:rsid w:val="7C3C03AD"/>
    <w:rsid w:val="7C46259B"/>
    <w:rsid w:val="7C4D2DC8"/>
    <w:rsid w:val="7C4D65D3"/>
    <w:rsid w:val="7C9F202A"/>
    <w:rsid w:val="7C9F6466"/>
    <w:rsid w:val="7CAA666B"/>
    <w:rsid w:val="7CB7616E"/>
    <w:rsid w:val="7CC6153B"/>
    <w:rsid w:val="7CC7438B"/>
    <w:rsid w:val="7CDC7C2C"/>
    <w:rsid w:val="7CEA58DD"/>
    <w:rsid w:val="7CFB1231"/>
    <w:rsid w:val="7D027566"/>
    <w:rsid w:val="7D066F9A"/>
    <w:rsid w:val="7D101CB7"/>
    <w:rsid w:val="7D15174A"/>
    <w:rsid w:val="7D2124DD"/>
    <w:rsid w:val="7D2D0CDC"/>
    <w:rsid w:val="7D3356D2"/>
    <w:rsid w:val="7D361E8F"/>
    <w:rsid w:val="7D376246"/>
    <w:rsid w:val="7D3964C3"/>
    <w:rsid w:val="7D3D1E70"/>
    <w:rsid w:val="7D5B08F7"/>
    <w:rsid w:val="7D687741"/>
    <w:rsid w:val="7D786DCA"/>
    <w:rsid w:val="7D7B00EE"/>
    <w:rsid w:val="7D7D5E62"/>
    <w:rsid w:val="7D800631"/>
    <w:rsid w:val="7D805148"/>
    <w:rsid w:val="7D8064A4"/>
    <w:rsid w:val="7D901F14"/>
    <w:rsid w:val="7D920796"/>
    <w:rsid w:val="7D9C0153"/>
    <w:rsid w:val="7D9E33DB"/>
    <w:rsid w:val="7DA64546"/>
    <w:rsid w:val="7DAA0D18"/>
    <w:rsid w:val="7DB256DF"/>
    <w:rsid w:val="7DB368A8"/>
    <w:rsid w:val="7DB75330"/>
    <w:rsid w:val="7DC6417A"/>
    <w:rsid w:val="7DDC56FD"/>
    <w:rsid w:val="7DE40F44"/>
    <w:rsid w:val="7DEC6FD2"/>
    <w:rsid w:val="7E127AB9"/>
    <w:rsid w:val="7E1F2700"/>
    <w:rsid w:val="7E2F2E63"/>
    <w:rsid w:val="7E572FFC"/>
    <w:rsid w:val="7E583EAE"/>
    <w:rsid w:val="7E6526DF"/>
    <w:rsid w:val="7E66104E"/>
    <w:rsid w:val="7E93751C"/>
    <w:rsid w:val="7E9E41E7"/>
    <w:rsid w:val="7EA033B3"/>
    <w:rsid w:val="7EAB238C"/>
    <w:rsid w:val="7EB22C22"/>
    <w:rsid w:val="7EC22B01"/>
    <w:rsid w:val="7ECE719A"/>
    <w:rsid w:val="7EFE53DB"/>
    <w:rsid w:val="7F152006"/>
    <w:rsid w:val="7F1B6DC4"/>
    <w:rsid w:val="7F1F49D8"/>
    <w:rsid w:val="7F234F7A"/>
    <w:rsid w:val="7F270AC4"/>
    <w:rsid w:val="7F2E5F57"/>
    <w:rsid w:val="7F345BAC"/>
    <w:rsid w:val="7F452AA9"/>
    <w:rsid w:val="7F645C3A"/>
    <w:rsid w:val="7F7C64DB"/>
    <w:rsid w:val="7F7F28E2"/>
    <w:rsid w:val="7F991E08"/>
    <w:rsid w:val="7FBD7D50"/>
    <w:rsid w:val="7FCF3000"/>
    <w:rsid w:val="7FF82787"/>
    <w:rsid w:val="7FFC453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nhideWhenUsed="0"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uiPriority="99" w:name="HTML Preformatted"/>
    <w:lsdException w:uiPriority="99" w:name="HTML Sample"/>
    <w:lsdException w:uiPriority="99" w:name="HTML Typewriter"/>
    <w:lsdException w:qFormat="1" w:unhideWhenUsed="0" w:uiPriority="0" w:semiHidden="0" w:name="HTML Variable"/>
    <w:lsdException w:qFormat="1" w:unhideWhenUsed="0" w:uiPriority="0"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lang w:val="en-US" w:eastAsia="zh-CN" w:bidi="ar-SA"/>
    </w:rPr>
  </w:style>
  <w:style w:type="paragraph" w:styleId="3">
    <w:name w:val="heading 1"/>
    <w:basedOn w:val="1"/>
    <w:next w:val="1"/>
    <w:qFormat/>
    <w:uiPriority w:val="0"/>
    <w:pPr>
      <w:widowControl w:val="0"/>
      <w:spacing w:line="360" w:lineRule="auto"/>
      <w:jc w:val="center"/>
      <w:outlineLvl w:val="0"/>
    </w:pPr>
    <w:rPr>
      <w:rFonts w:eastAsia="宋体"/>
      <w:b/>
      <w:sz w:val="32"/>
    </w:rPr>
  </w:style>
  <w:style w:type="paragraph" w:styleId="4">
    <w:name w:val="heading 2"/>
    <w:basedOn w:val="1"/>
    <w:next w:val="1"/>
    <w:qFormat/>
    <w:uiPriority w:val="0"/>
    <w:pPr>
      <w:wordWrap w:val="0"/>
      <w:spacing w:after="160"/>
      <w:jc w:val="both"/>
      <w:outlineLvl w:val="1"/>
    </w:pPr>
    <w:rPr>
      <w:sz w:val="21"/>
      <w:lang w:val="en-US" w:eastAsia="zh-CN" w:bidi="ar-SA"/>
    </w:rPr>
  </w:style>
  <w:style w:type="paragraph" w:styleId="5">
    <w:name w:val="heading 3"/>
    <w:basedOn w:val="1"/>
    <w:next w:val="1"/>
    <w:qFormat/>
    <w:uiPriority w:val="0"/>
    <w:pPr>
      <w:wordWrap w:val="0"/>
      <w:spacing w:after="160"/>
      <w:ind w:left="1400" w:hanging="400"/>
      <w:jc w:val="both"/>
      <w:outlineLvl w:val="2"/>
    </w:pPr>
    <w:rPr>
      <w:sz w:val="21"/>
      <w:lang w:val="en-US" w:eastAsia="zh-CN" w:bidi="ar-SA"/>
    </w:rPr>
  </w:style>
  <w:style w:type="paragraph" w:styleId="6">
    <w:name w:val="heading 4"/>
    <w:basedOn w:val="1"/>
    <w:next w:val="1"/>
    <w:qFormat/>
    <w:uiPriority w:val="0"/>
    <w:pPr>
      <w:wordWrap w:val="0"/>
      <w:spacing w:after="160"/>
      <w:ind w:left="1600" w:hanging="400"/>
      <w:jc w:val="both"/>
      <w:outlineLvl w:val="3"/>
    </w:pPr>
    <w:rPr>
      <w:b/>
      <w:sz w:val="21"/>
      <w:lang w:val="en-US" w:eastAsia="zh-CN" w:bidi="ar-SA"/>
    </w:rPr>
  </w:style>
  <w:style w:type="paragraph" w:styleId="7">
    <w:name w:val="heading 5"/>
    <w:basedOn w:val="1"/>
    <w:next w:val="1"/>
    <w:qFormat/>
    <w:uiPriority w:val="0"/>
    <w:pPr>
      <w:widowControl/>
      <w:autoSpaceDE/>
      <w:autoSpaceDN/>
      <w:spacing w:before="280" w:after="290" w:line="376" w:lineRule="auto"/>
      <w:ind w:left="0" w:firstLine="0"/>
      <w:outlineLvl w:val="4"/>
    </w:pPr>
    <w:rPr>
      <w:rFonts w:ascii="Times New Roman" w:eastAsia="宋体"/>
      <w:b/>
      <w:sz w:val="28"/>
    </w:rPr>
  </w:style>
  <w:style w:type="paragraph" w:styleId="8">
    <w:name w:val="heading 6"/>
    <w:basedOn w:val="1"/>
    <w:next w:val="1"/>
    <w:qFormat/>
    <w:uiPriority w:val="0"/>
    <w:pPr>
      <w:wordWrap w:val="0"/>
      <w:spacing w:after="160"/>
      <w:ind w:left="2000" w:hanging="400"/>
      <w:jc w:val="both"/>
      <w:outlineLvl w:val="5"/>
    </w:pPr>
    <w:rPr>
      <w:b/>
      <w:sz w:val="21"/>
      <w:lang w:val="en-US" w:eastAsia="zh-CN" w:bidi="ar-SA"/>
    </w:rPr>
  </w:style>
  <w:style w:type="paragraph" w:styleId="9">
    <w:name w:val="heading 7"/>
    <w:next w:val="1"/>
    <w:qFormat/>
    <w:uiPriority w:val="0"/>
    <w:pPr>
      <w:wordWrap w:val="0"/>
      <w:spacing w:after="160"/>
      <w:ind w:left="2200" w:hanging="400"/>
      <w:jc w:val="both"/>
      <w:outlineLvl w:val="6"/>
    </w:pPr>
    <w:rPr>
      <w:rFonts w:ascii="Times New Roman" w:hAnsi="Times New Roman" w:eastAsia="宋体" w:cs="Times New Roman"/>
      <w:sz w:val="21"/>
      <w:lang w:val="en-US" w:eastAsia="zh-CN" w:bidi="ar-SA"/>
    </w:rPr>
  </w:style>
  <w:style w:type="paragraph" w:styleId="10">
    <w:name w:val="heading 8"/>
    <w:next w:val="1"/>
    <w:qFormat/>
    <w:uiPriority w:val="0"/>
    <w:pPr>
      <w:wordWrap w:val="0"/>
      <w:spacing w:after="160"/>
      <w:ind w:left="2400" w:hanging="400"/>
      <w:jc w:val="both"/>
      <w:outlineLvl w:val="7"/>
    </w:pPr>
    <w:rPr>
      <w:rFonts w:ascii="Times New Roman" w:hAnsi="Times New Roman" w:eastAsia="宋体" w:cs="Times New Roman"/>
      <w:sz w:val="21"/>
      <w:lang w:val="en-US" w:eastAsia="zh-CN" w:bidi="ar-SA"/>
    </w:rPr>
  </w:style>
  <w:style w:type="paragraph" w:styleId="11">
    <w:name w:val="heading 9"/>
    <w:next w:val="1"/>
    <w:qFormat/>
    <w:uiPriority w:val="0"/>
    <w:pPr>
      <w:wordWrap w:val="0"/>
      <w:spacing w:after="160"/>
      <w:ind w:left="2600" w:hanging="400"/>
      <w:jc w:val="both"/>
      <w:outlineLvl w:val="8"/>
    </w:pPr>
    <w:rPr>
      <w:rFonts w:ascii="Times New Roman" w:hAnsi="Times New Roman" w:eastAsia="宋体" w:cs="Times New Roman"/>
      <w:sz w:val="21"/>
      <w:lang w:val="en-US" w:eastAsia="zh-CN" w:bidi="ar-SA"/>
    </w:rPr>
  </w:style>
  <w:style w:type="character" w:default="1" w:styleId="39">
    <w:name w:val="Default Paragraph Font"/>
    <w:qFormat/>
    <w:uiPriority w:val="0"/>
    <w:rPr>
      <w:sz w:val="20"/>
    </w:rPr>
  </w:style>
  <w:style w:type="table" w:default="1" w:styleId="37">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50"/>
    <w:qFormat/>
    <w:uiPriority w:val="0"/>
    <w:pPr>
      <w:widowControl/>
      <w:autoSpaceDE/>
      <w:autoSpaceDN/>
      <w:spacing w:before="0" w:after="120" w:line="240" w:lineRule="auto"/>
      <w:ind w:left="0" w:firstLine="0"/>
    </w:pPr>
    <w:rPr>
      <w:rFonts w:ascii="Times New Roman" w:eastAsia="宋体"/>
    </w:rPr>
  </w:style>
  <w:style w:type="paragraph" w:styleId="12">
    <w:name w:val="toc 7"/>
    <w:next w:val="1"/>
    <w:qFormat/>
    <w:uiPriority w:val="0"/>
    <w:pPr>
      <w:wordWrap w:val="0"/>
      <w:ind w:left="2125"/>
      <w:jc w:val="both"/>
    </w:pPr>
    <w:rPr>
      <w:rFonts w:ascii="Times New Roman" w:hAnsi="Times New Roman" w:eastAsia="宋体" w:cs="Times New Roman"/>
      <w:sz w:val="21"/>
      <w:lang w:val="en-US" w:eastAsia="zh-CN" w:bidi="ar-SA"/>
    </w:rPr>
  </w:style>
  <w:style w:type="paragraph" w:styleId="13">
    <w:name w:val="Normal Indent"/>
    <w:basedOn w:val="1"/>
    <w:next w:val="1"/>
    <w:qFormat/>
    <w:uiPriority w:val="0"/>
    <w:pPr>
      <w:wordWrap w:val="0"/>
      <w:ind w:left="3400"/>
      <w:jc w:val="both"/>
    </w:pPr>
    <w:rPr>
      <w:sz w:val="21"/>
      <w:lang w:val="en-US" w:eastAsia="zh-CN" w:bidi="ar-SA"/>
    </w:rPr>
  </w:style>
  <w:style w:type="paragraph" w:styleId="14">
    <w:name w:val="caption"/>
    <w:basedOn w:val="1"/>
    <w:next w:val="1"/>
    <w:qFormat/>
    <w:uiPriority w:val="99"/>
    <w:pPr>
      <w:widowControl w:val="0"/>
      <w:spacing w:line="360" w:lineRule="auto"/>
      <w:ind w:firstLine="880" w:firstLineChars="200"/>
      <w:jc w:val="both"/>
    </w:pPr>
    <w:rPr>
      <w:rFonts w:ascii="Arial" w:hAnsi="Arial" w:eastAsia="黑体" w:cs="宋体"/>
      <w:kern w:val="2"/>
      <w:szCs w:val="28"/>
    </w:rPr>
  </w:style>
  <w:style w:type="paragraph" w:styleId="15">
    <w:name w:val="annotation text"/>
    <w:basedOn w:val="1"/>
    <w:next w:val="13"/>
    <w:qFormat/>
    <w:uiPriority w:val="0"/>
    <w:pPr>
      <w:widowControl/>
      <w:autoSpaceDE/>
      <w:autoSpaceDN/>
      <w:spacing w:before="0" w:after="0" w:line="240" w:lineRule="auto"/>
      <w:ind w:left="0" w:firstLine="0"/>
    </w:pPr>
    <w:rPr>
      <w:rFonts w:ascii="Times New Roman" w:eastAsia="宋体"/>
    </w:rPr>
  </w:style>
  <w:style w:type="paragraph" w:styleId="16">
    <w:name w:val="Body Text Indent"/>
    <w:basedOn w:val="1"/>
    <w:link w:val="51"/>
    <w:qFormat/>
    <w:uiPriority w:val="0"/>
    <w:pPr>
      <w:widowControl w:val="0"/>
      <w:ind w:firstLine="630"/>
      <w:jc w:val="both"/>
    </w:pPr>
    <w:rPr>
      <w:rFonts w:ascii="宋体"/>
      <w:sz w:val="32"/>
    </w:rPr>
  </w:style>
  <w:style w:type="paragraph" w:styleId="17">
    <w:name w:val="toc 5"/>
    <w:basedOn w:val="1"/>
    <w:next w:val="1"/>
    <w:qFormat/>
    <w:uiPriority w:val="0"/>
    <w:pPr>
      <w:wordWrap w:val="0"/>
      <w:ind w:left="1275"/>
      <w:jc w:val="both"/>
    </w:pPr>
    <w:rPr>
      <w:sz w:val="21"/>
      <w:lang w:val="en-US" w:eastAsia="zh-CN" w:bidi="ar-SA"/>
    </w:rPr>
  </w:style>
  <w:style w:type="paragraph" w:styleId="18">
    <w:name w:val="toc 3"/>
    <w:next w:val="1"/>
    <w:qFormat/>
    <w:uiPriority w:val="0"/>
    <w:pPr>
      <w:wordWrap w:val="0"/>
      <w:ind w:left="425"/>
      <w:jc w:val="both"/>
    </w:pPr>
    <w:rPr>
      <w:rFonts w:ascii="Times New Roman" w:hAnsi="Times New Roman" w:eastAsia="宋体" w:cs="Times New Roman"/>
      <w:sz w:val="21"/>
      <w:lang w:val="en-US" w:eastAsia="zh-CN" w:bidi="ar-SA"/>
    </w:rPr>
  </w:style>
  <w:style w:type="paragraph" w:styleId="19">
    <w:name w:val="Plain Text"/>
    <w:basedOn w:val="1"/>
    <w:next w:val="1"/>
    <w:qFormat/>
    <w:uiPriority w:val="0"/>
    <w:pPr>
      <w:widowControl/>
      <w:autoSpaceDE/>
      <w:autoSpaceDN/>
      <w:spacing w:before="0" w:after="0" w:line="240" w:lineRule="auto"/>
      <w:ind w:left="0" w:firstLine="0"/>
    </w:pPr>
    <w:rPr>
      <w:rFonts w:ascii="宋体" w:eastAsia="宋体"/>
    </w:rPr>
  </w:style>
  <w:style w:type="paragraph" w:styleId="20">
    <w:name w:val="toc 8"/>
    <w:next w:val="1"/>
    <w:qFormat/>
    <w:uiPriority w:val="0"/>
    <w:pPr>
      <w:wordWrap w:val="0"/>
      <w:ind w:left="2550"/>
      <w:jc w:val="both"/>
    </w:pPr>
    <w:rPr>
      <w:rFonts w:ascii="Times New Roman" w:hAnsi="Times New Roman" w:eastAsia="宋体" w:cs="Times New Roman"/>
      <w:sz w:val="21"/>
      <w:lang w:val="en-US" w:eastAsia="zh-CN" w:bidi="ar-SA"/>
    </w:rPr>
  </w:style>
  <w:style w:type="paragraph" w:styleId="21">
    <w:name w:val="Date"/>
    <w:basedOn w:val="1"/>
    <w:next w:val="1"/>
    <w:unhideWhenUsed/>
    <w:qFormat/>
    <w:uiPriority w:val="99"/>
    <w:pPr>
      <w:ind w:left="100" w:leftChars="2500"/>
    </w:pPr>
  </w:style>
  <w:style w:type="paragraph" w:styleId="22">
    <w:name w:val="Balloon Text"/>
    <w:basedOn w:val="1"/>
    <w:next w:val="23"/>
    <w:qFormat/>
    <w:uiPriority w:val="99"/>
    <w:pPr>
      <w:widowControl/>
      <w:autoSpaceDE/>
      <w:autoSpaceDN/>
      <w:spacing w:before="0" w:after="0" w:line="240" w:lineRule="auto"/>
      <w:ind w:left="0" w:firstLine="0"/>
    </w:pPr>
    <w:rPr>
      <w:rFonts w:ascii="Times New Roman" w:eastAsia="宋体"/>
      <w:sz w:val="18"/>
    </w:rPr>
  </w:style>
  <w:style w:type="paragraph" w:styleId="23">
    <w:name w:val="toc 6"/>
    <w:next w:val="1"/>
    <w:qFormat/>
    <w:uiPriority w:val="0"/>
    <w:pPr>
      <w:wordWrap w:val="0"/>
      <w:ind w:left="1700"/>
      <w:jc w:val="both"/>
    </w:pPr>
    <w:rPr>
      <w:rFonts w:ascii="Times New Roman" w:hAnsi="Times New Roman" w:eastAsia="宋体" w:cs="Times New Roman"/>
      <w:sz w:val="21"/>
      <w:lang w:val="en-US" w:eastAsia="zh-CN" w:bidi="ar-SA"/>
    </w:rPr>
  </w:style>
  <w:style w:type="paragraph" w:styleId="24">
    <w:name w:val="footer"/>
    <w:basedOn w:val="1"/>
    <w:next w:val="25"/>
    <w:link w:val="52"/>
    <w:qFormat/>
    <w:uiPriority w:val="99"/>
    <w:pPr>
      <w:widowControl/>
      <w:autoSpaceDE/>
      <w:autoSpaceDN/>
      <w:spacing w:before="0" w:after="0" w:line="240" w:lineRule="auto"/>
      <w:ind w:left="0" w:firstLine="0"/>
    </w:pPr>
    <w:rPr>
      <w:sz w:val="18"/>
    </w:rPr>
  </w:style>
  <w:style w:type="paragraph" w:customStyle="1" w:styleId="25">
    <w:name w:val="TOC 标题1"/>
    <w:next w:val="1"/>
    <w:qFormat/>
    <w:uiPriority w:val="0"/>
    <w:pPr>
      <w:wordWrap w:val="0"/>
    </w:pPr>
    <w:rPr>
      <w:rFonts w:ascii="Times New Roman" w:hAnsi="Times New Roman" w:eastAsia="宋体" w:cs="Times New Roman"/>
      <w:sz w:val="32"/>
      <w:lang w:val="en-US" w:eastAsia="zh-CN" w:bidi="ar-SA"/>
    </w:rPr>
  </w:style>
  <w:style w:type="paragraph" w:styleId="26">
    <w:name w:val="header"/>
    <w:basedOn w:val="1"/>
    <w:next w:val="27"/>
    <w:link w:val="53"/>
    <w:qFormat/>
    <w:uiPriority w:val="99"/>
    <w:pPr>
      <w:widowControl/>
      <w:autoSpaceDE/>
      <w:autoSpaceDN/>
      <w:spacing w:before="0" w:after="0" w:line="240" w:lineRule="auto"/>
      <w:ind w:left="0" w:firstLine="0"/>
      <w:jc w:val="both"/>
    </w:pPr>
    <w:rPr>
      <w:sz w:val="18"/>
    </w:rPr>
  </w:style>
  <w:style w:type="paragraph" w:styleId="27">
    <w:name w:val="toc 4"/>
    <w:next w:val="1"/>
    <w:qFormat/>
    <w:uiPriority w:val="0"/>
    <w:pPr>
      <w:wordWrap w:val="0"/>
      <w:ind w:left="850"/>
      <w:jc w:val="both"/>
    </w:pPr>
    <w:rPr>
      <w:rFonts w:ascii="Times New Roman" w:hAnsi="Times New Roman" w:eastAsia="宋体" w:cs="Times New Roman"/>
      <w:sz w:val="21"/>
      <w:lang w:val="en-US" w:eastAsia="zh-CN" w:bidi="ar-SA"/>
    </w:rPr>
  </w:style>
  <w:style w:type="paragraph" w:styleId="28">
    <w:name w:val="toc 1"/>
    <w:basedOn w:val="1"/>
    <w:next w:val="1"/>
    <w:unhideWhenUsed/>
    <w:qFormat/>
    <w:uiPriority w:val="39"/>
  </w:style>
  <w:style w:type="paragraph" w:styleId="29">
    <w:name w:val="Subtitle"/>
    <w:basedOn w:val="1"/>
    <w:next w:val="1"/>
    <w:qFormat/>
    <w:uiPriority w:val="0"/>
    <w:pPr>
      <w:wordWrap w:val="0"/>
      <w:spacing w:after="60"/>
      <w:jc w:val="center"/>
    </w:pPr>
    <w:rPr>
      <w:sz w:val="24"/>
      <w:lang w:val="en-US" w:eastAsia="zh-CN" w:bidi="ar-SA"/>
    </w:rPr>
  </w:style>
  <w:style w:type="paragraph" w:styleId="30">
    <w:name w:val="toc 2"/>
    <w:next w:val="1"/>
    <w:qFormat/>
    <w:uiPriority w:val="39"/>
    <w:pPr>
      <w:wordWrap w:val="0"/>
      <w:jc w:val="both"/>
    </w:pPr>
    <w:rPr>
      <w:rFonts w:ascii="Times New Roman" w:hAnsi="Times New Roman" w:eastAsia="宋体" w:cs="Times New Roman"/>
      <w:sz w:val="21"/>
      <w:lang w:val="en-US" w:eastAsia="zh-CN" w:bidi="ar-SA"/>
    </w:rPr>
  </w:style>
  <w:style w:type="paragraph" w:styleId="31">
    <w:name w:val="toc 9"/>
    <w:next w:val="1"/>
    <w:qFormat/>
    <w:uiPriority w:val="0"/>
    <w:pPr>
      <w:wordWrap w:val="0"/>
      <w:ind w:left="2975"/>
      <w:jc w:val="both"/>
    </w:pPr>
    <w:rPr>
      <w:rFonts w:ascii="Times New Roman" w:hAnsi="Times New Roman" w:eastAsia="宋体" w:cs="Times New Roman"/>
      <w:sz w:val="21"/>
      <w:lang w:val="en-US" w:eastAsia="zh-CN" w:bidi="ar-SA"/>
    </w:rPr>
  </w:style>
  <w:style w:type="paragraph" w:styleId="32">
    <w:name w:val="Normal (Web)"/>
    <w:basedOn w:val="1"/>
    <w:unhideWhenUsed/>
    <w:qFormat/>
    <w:uiPriority w:val="0"/>
    <w:pPr>
      <w:spacing w:before="100" w:beforeAutospacing="1" w:after="100" w:afterAutospacing="1"/>
      <w:ind w:left="0" w:right="0"/>
      <w:jc w:val="left"/>
    </w:pPr>
    <w:rPr>
      <w:kern w:val="0"/>
      <w:sz w:val="24"/>
      <w:lang w:val="en-US" w:eastAsia="zh-CN" w:bidi="ar"/>
    </w:rPr>
  </w:style>
  <w:style w:type="paragraph" w:styleId="33">
    <w:name w:val="Title"/>
    <w:basedOn w:val="1"/>
    <w:next w:val="1"/>
    <w:qFormat/>
    <w:uiPriority w:val="0"/>
    <w:pPr>
      <w:jc w:val="left"/>
    </w:pPr>
    <w:rPr>
      <w:rFonts w:ascii="Cambria" w:hAnsi="Cambria"/>
      <w:bCs/>
      <w:sz w:val="24"/>
      <w:szCs w:val="32"/>
    </w:rPr>
  </w:style>
  <w:style w:type="paragraph" w:styleId="34">
    <w:name w:val="annotation subject"/>
    <w:next w:val="13"/>
    <w:qFormat/>
    <w:uiPriority w:val="0"/>
    <w:rPr>
      <w:rFonts w:ascii="Times New Roman" w:hAnsi="Times New Roman" w:eastAsia="宋体" w:cs="Times New Roman"/>
      <w:b/>
      <w:lang w:val="en-US" w:eastAsia="zh-CN" w:bidi="ar-SA"/>
    </w:rPr>
  </w:style>
  <w:style w:type="paragraph" w:styleId="35">
    <w:name w:val="Body Text First Indent"/>
    <w:basedOn w:val="2"/>
    <w:qFormat/>
    <w:uiPriority w:val="99"/>
    <w:pPr>
      <w:ind w:firstLine="420" w:firstLineChars="100"/>
    </w:pPr>
  </w:style>
  <w:style w:type="paragraph" w:styleId="36">
    <w:name w:val="Body Text First Indent 2"/>
    <w:basedOn w:val="16"/>
    <w:link w:val="54"/>
    <w:unhideWhenUsed/>
    <w:qFormat/>
    <w:uiPriority w:val="99"/>
    <w:pPr>
      <w:widowControl/>
      <w:spacing w:after="120"/>
      <w:ind w:left="420" w:leftChars="200" w:firstLine="420" w:firstLineChars="200"/>
      <w:jc w:val="left"/>
    </w:pPr>
    <w:rPr>
      <w:rFonts w:ascii="Times New Roman"/>
      <w:sz w:val="20"/>
    </w:rPr>
  </w:style>
  <w:style w:type="table" w:styleId="38">
    <w:name w:val="Table Grid"/>
    <w:basedOn w:val="37"/>
    <w:qFormat/>
    <w:uiPriority w:val="59"/>
    <w:pPr>
      <w:widowControl w:val="0"/>
      <w:autoSpaceDE/>
      <w:autoSpaceDN/>
      <w:spacing w:before="0" w:after="0" w:line="240" w:lineRule="auto"/>
      <w:ind w:left="0" w:firstLine="0"/>
      <w:jc w:val="both"/>
    </w:pPr>
    <w:rPr>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sz w:val="20"/>
    </w:rPr>
  </w:style>
  <w:style w:type="character" w:styleId="41">
    <w:name w:val="page number"/>
    <w:basedOn w:val="39"/>
    <w:qFormat/>
    <w:uiPriority w:val="0"/>
  </w:style>
  <w:style w:type="character" w:styleId="42">
    <w:name w:val="FollowedHyperlink"/>
    <w:qFormat/>
    <w:uiPriority w:val="0"/>
    <w:rPr>
      <w:color w:val="0F5DA5"/>
      <w:sz w:val="20"/>
      <w:u w:val="single"/>
    </w:rPr>
  </w:style>
  <w:style w:type="character" w:styleId="43">
    <w:name w:val="Emphasis"/>
    <w:qFormat/>
    <w:uiPriority w:val="0"/>
    <w:rPr>
      <w:sz w:val="20"/>
    </w:rPr>
  </w:style>
  <w:style w:type="character" w:styleId="44">
    <w:name w:val="HTML Definition"/>
    <w:basedOn w:val="39"/>
    <w:qFormat/>
    <w:uiPriority w:val="0"/>
    <w:rPr>
      <w:sz w:val="20"/>
    </w:rPr>
  </w:style>
  <w:style w:type="character" w:styleId="45">
    <w:name w:val="HTML Variable"/>
    <w:basedOn w:val="39"/>
    <w:qFormat/>
    <w:uiPriority w:val="0"/>
    <w:rPr>
      <w:sz w:val="20"/>
    </w:rPr>
  </w:style>
  <w:style w:type="character" w:styleId="46">
    <w:name w:val="Hyperlink"/>
    <w:qFormat/>
    <w:uiPriority w:val="99"/>
    <w:rPr>
      <w:color w:val="333333"/>
      <w:sz w:val="20"/>
      <w:u w:val="none"/>
    </w:rPr>
  </w:style>
  <w:style w:type="character" w:styleId="47">
    <w:name w:val="HTML Code"/>
    <w:qFormat/>
    <w:uiPriority w:val="0"/>
    <w:rPr>
      <w:sz w:val="20"/>
    </w:rPr>
  </w:style>
  <w:style w:type="character" w:styleId="48">
    <w:name w:val="annotation reference"/>
    <w:qFormat/>
    <w:uiPriority w:val="0"/>
    <w:rPr>
      <w:sz w:val="20"/>
    </w:rPr>
  </w:style>
  <w:style w:type="character" w:styleId="49">
    <w:name w:val="HTML Cite"/>
    <w:basedOn w:val="39"/>
    <w:qFormat/>
    <w:uiPriority w:val="0"/>
    <w:rPr>
      <w:sz w:val="20"/>
    </w:rPr>
  </w:style>
  <w:style w:type="character" w:customStyle="1" w:styleId="50">
    <w:name w:val="正文文本 Char"/>
    <w:link w:val="2"/>
    <w:qFormat/>
    <w:uiPriority w:val="0"/>
  </w:style>
  <w:style w:type="character" w:customStyle="1" w:styleId="51">
    <w:name w:val="正文文本缩进 Char"/>
    <w:link w:val="16"/>
    <w:qFormat/>
    <w:uiPriority w:val="0"/>
    <w:rPr>
      <w:rFonts w:ascii="宋体"/>
      <w:sz w:val="32"/>
    </w:rPr>
  </w:style>
  <w:style w:type="character" w:customStyle="1" w:styleId="52">
    <w:name w:val="页脚 Char"/>
    <w:link w:val="24"/>
    <w:qFormat/>
    <w:uiPriority w:val="99"/>
    <w:rPr>
      <w:sz w:val="18"/>
    </w:rPr>
  </w:style>
  <w:style w:type="character" w:customStyle="1" w:styleId="53">
    <w:name w:val="页眉 Char"/>
    <w:link w:val="26"/>
    <w:qFormat/>
    <w:uiPriority w:val="99"/>
    <w:rPr>
      <w:sz w:val="18"/>
    </w:rPr>
  </w:style>
  <w:style w:type="character" w:customStyle="1" w:styleId="54">
    <w:name w:val="正文首行缩进 2 Char"/>
    <w:link w:val="36"/>
    <w:qFormat/>
    <w:uiPriority w:val="99"/>
  </w:style>
  <w:style w:type="paragraph" w:customStyle="1" w:styleId="55">
    <w:name w:val="Default"/>
    <w:next w:val="1"/>
    <w:qFormat/>
    <w:uiPriority w:val="0"/>
    <w:pPr>
      <w:widowControl w:val="0"/>
      <w:autoSpaceDE w:val="0"/>
      <w:autoSpaceDN w:val="0"/>
    </w:pPr>
    <w:rPr>
      <w:rFonts w:ascii="Arial" w:hAnsi="Times New Roman" w:eastAsia="宋体" w:cs="Times New Roman"/>
      <w:color w:val="000000"/>
      <w:sz w:val="24"/>
      <w:lang w:val="en-US" w:eastAsia="zh-CN" w:bidi="ar-SA"/>
    </w:rPr>
  </w:style>
  <w:style w:type="paragraph" w:customStyle="1" w:styleId="56">
    <w:name w:val="四级标题"/>
    <w:basedOn w:val="21"/>
    <w:qFormat/>
    <w:uiPriority w:val="0"/>
    <w:pPr>
      <w:ind w:left="0" w:leftChars="0"/>
    </w:pPr>
    <w:rPr>
      <w:rFonts w:eastAsia="黑体"/>
      <w:sz w:val="24"/>
    </w:rPr>
  </w:style>
  <w:style w:type="character" w:customStyle="1" w:styleId="57">
    <w:name w:val="!正文 Char"/>
    <w:link w:val="58"/>
    <w:qFormat/>
    <w:uiPriority w:val="0"/>
    <w:rPr>
      <w:sz w:val="24"/>
      <w:szCs w:val="28"/>
      <w:lang w:val="zh-CN"/>
    </w:rPr>
  </w:style>
  <w:style w:type="paragraph" w:customStyle="1" w:styleId="58">
    <w:name w:val="!正文"/>
    <w:basedOn w:val="1"/>
    <w:link w:val="57"/>
    <w:qFormat/>
    <w:uiPriority w:val="0"/>
    <w:pPr>
      <w:spacing w:line="400" w:lineRule="exact"/>
      <w:ind w:firstLine="200" w:firstLineChars="200"/>
    </w:pPr>
    <w:rPr>
      <w:sz w:val="24"/>
      <w:szCs w:val="28"/>
      <w:lang w:val="zh-CN"/>
    </w:rPr>
  </w:style>
  <w:style w:type="character" w:customStyle="1" w:styleId="59">
    <w:name w:val="_Style 58"/>
    <w:qFormat/>
    <w:uiPriority w:val="0"/>
    <w:rPr>
      <w:b/>
      <w:i/>
      <w:sz w:val="20"/>
    </w:rPr>
  </w:style>
  <w:style w:type="character" w:customStyle="1" w:styleId="60">
    <w:name w:val="label"/>
    <w:qFormat/>
    <w:uiPriority w:val="0"/>
    <w:rPr>
      <w:color w:val="555555"/>
      <w:sz w:val="20"/>
    </w:rPr>
  </w:style>
  <w:style w:type="character" w:customStyle="1" w:styleId="61">
    <w:name w:val="批注框文本 Char"/>
    <w:semiHidden/>
    <w:qFormat/>
    <w:uiPriority w:val="99"/>
    <w:rPr>
      <w:sz w:val="20"/>
    </w:rPr>
  </w:style>
  <w:style w:type="character" w:customStyle="1" w:styleId="62">
    <w:name w:val="_Style 61"/>
    <w:qFormat/>
    <w:uiPriority w:val="0"/>
    <w:rPr>
      <w:b/>
      <w:sz w:val="20"/>
    </w:rPr>
  </w:style>
  <w:style w:type="character" w:customStyle="1" w:styleId="63">
    <w:name w:val="img1"/>
    <w:qFormat/>
    <w:uiPriority w:val="0"/>
  </w:style>
  <w:style w:type="character" w:customStyle="1" w:styleId="64">
    <w:name w:val="_Style 63"/>
    <w:qFormat/>
    <w:uiPriority w:val="0"/>
    <w:rPr>
      <w:i/>
      <w:sz w:val="20"/>
    </w:rPr>
  </w:style>
  <w:style w:type="character" w:customStyle="1" w:styleId="65">
    <w:name w:val="modifier"/>
    <w:qFormat/>
    <w:uiPriority w:val="0"/>
    <w:rPr>
      <w:color w:val="FF0000"/>
      <w:sz w:val="20"/>
    </w:rPr>
  </w:style>
  <w:style w:type="character" w:customStyle="1" w:styleId="66">
    <w:name w:val="font41"/>
    <w:basedOn w:val="39"/>
    <w:unhideWhenUsed/>
    <w:qFormat/>
    <w:uiPriority w:val="0"/>
    <w:rPr>
      <w:rFonts w:hint="eastAsia" w:ascii="黑体" w:hAnsi="宋体" w:eastAsia="黑体" w:cs="黑体"/>
      <w:color w:val="000000"/>
      <w:sz w:val="16"/>
      <w:szCs w:val="16"/>
    </w:rPr>
  </w:style>
  <w:style w:type="character" w:customStyle="1" w:styleId="67">
    <w:name w:val="font21"/>
    <w:basedOn w:val="39"/>
    <w:qFormat/>
    <w:uiPriority w:val="99"/>
    <w:rPr>
      <w:rFonts w:ascii="宋体" w:hAnsi="宋体" w:eastAsia="宋体"/>
      <w:color w:val="000000"/>
      <w:sz w:val="24"/>
      <w:u w:val="none"/>
    </w:rPr>
  </w:style>
  <w:style w:type="character" w:customStyle="1" w:styleId="68">
    <w:name w:val="font31"/>
    <w:basedOn w:val="39"/>
    <w:qFormat/>
    <w:uiPriority w:val="0"/>
    <w:rPr>
      <w:rFonts w:hint="eastAsia" w:ascii="宋体" w:hAnsi="宋体" w:eastAsia="宋体" w:cs="宋体"/>
      <w:color w:val="000000"/>
      <w:sz w:val="21"/>
      <w:szCs w:val="21"/>
      <w:u w:val="none"/>
    </w:rPr>
  </w:style>
  <w:style w:type="character" w:customStyle="1" w:styleId="69">
    <w:name w:val="img"/>
    <w:qFormat/>
    <w:uiPriority w:val="0"/>
  </w:style>
  <w:style w:type="character" w:customStyle="1" w:styleId="70">
    <w:name w:val="批注主题 Char"/>
    <w:semiHidden/>
    <w:qFormat/>
    <w:uiPriority w:val="0"/>
    <w:rPr>
      <w:b/>
      <w:sz w:val="20"/>
    </w:rPr>
  </w:style>
  <w:style w:type="character" w:customStyle="1" w:styleId="71">
    <w:name w:val="批注文字 Char"/>
    <w:qFormat/>
    <w:uiPriority w:val="0"/>
    <w:rPr>
      <w:sz w:val="20"/>
    </w:rPr>
  </w:style>
  <w:style w:type="character" w:customStyle="1" w:styleId="72">
    <w:name w:val="_Style 71"/>
    <w:qFormat/>
    <w:uiPriority w:val="0"/>
    <w:rPr>
      <w:i/>
      <w:sz w:val="20"/>
    </w:rPr>
  </w:style>
  <w:style w:type="character" w:customStyle="1" w:styleId="73">
    <w:name w:val="_Style 72"/>
    <w:qFormat/>
    <w:uiPriority w:val="0"/>
    <w:rPr>
      <w:sz w:val="20"/>
    </w:rPr>
  </w:style>
  <w:style w:type="character" w:customStyle="1" w:styleId="74">
    <w:name w:val="font11"/>
    <w:qFormat/>
    <w:uiPriority w:val="0"/>
    <w:rPr>
      <w:rFonts w:hint="eastAsia" w:ascii="宋体" w:hAnsi="宋体" w:eastAsia="宋体"/>
      <w:color w:val="000000"/>
      <w:sz w:val="21"/>
      <w:szCs w:val="21"/>
      <w:u w:val="none"/>
    </w:rPr>
  </w:style>
  <w:style w:type="character" w:customStyle="1" w:styleId="75">
    <w:name w:val="样式 首行缩进:  2 字符 Char"/>
    <w:link w:val="76"/>
    <w:qFormat/>
    <w:uiPriority w:val="0"/>
    <w:rPr>
      <w:rFonts w:cs="宋体"/>
      <w:sz w:val="24"/>
    </w:rPr>
  </w:style>
  <w:style w:type="paragraph" w:customStyle="1" w:styleId="76">
    <w:name w:val="样式 首行缩进:  2 字符"/>
    <w:basedOn w:val="1"/>
    <w:link w:val="75"/>
    <w:qFormat/>
    <w:uiPriority w:val="0"/>
    <w:pPr>
      <w:spacing w:line="400" w:lineRule="exact"/>
      <w:ind w:firstLine="200" w:firstLineChars="200"/>
    </w:pPr>
    <w:rPr>
      <w:sz w:val="24"/>
    </w:rPr>
  </w:style>
  <w:style w:type="character" w:customStyle="1" w:styleId="77">
    <w:name w:val="标题 5 Char"/>
    <w:semiHidden/>
    <w:qFormat/>
    <w:uiPriority w:val="0"/>
    <w:rPr>
      <w:b/>
      <w:sz w:val="20"/>
    </w:rPr>
  </w:style>
  <w:style w:type="paragraph" w:styleId="78">
    <w:name w:val="Quote"/>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79">
    <w:name w:val="正文缩进3"/>
    <w:next w:val="1"/>
    <w:qFormat/>
    <w:uiPriority w:val="0"/>
    <w:pPr>
      <w:wordWrap w:val="0"/>
      <w:ind w:left="3400"/>
      <w:jc w:val="both"/>
    </w:pPr>
    <w:rPr>
      <w:rFonts w:ascii="Times New Roman" w:hAnsi="Times New Roman" w:eastAsia="宋体" w:cs="Times New Roman"/>
      <w:sz w:val="21"/>
      <w:lang w:val="en-US" w:eastAsia="zh-CN" w:bidi="ar-SA"/>
    </w:rPr>
  </w:style>
  <w:style w:type="paragraph" w:customStyle="1" w:styleId="80">
    <w:name w:val="1.1.1.1A"/>
    <w:basedOn w:val="81"/>
    <w:qFormat/>
    <w:uiPriority w:val="0"/>
    <w:pPr>
      <w:tabs>
        <w:tab w:val="left" w:pos="1134"/>
        <w:tab w:val="left" w:pos="1843"/>
      </w:tabs>
      <w:spacing w:line="400" w:lineRule="atLeast"/>
      <w:ind w:left="1560" w:right="200" w:hanging="426"/>
      <w:jc w:val="both"/>
    </w:pPr>
  </w:style>
  <w:style w:type="paragraph" w:customStyle="1" w:styleId="81">
    <w:name w:val="1.1.1.1"/>
    <w:basedOn w:val="1"/>
    <w:qFormat/>
    <w:uiPriority w:val="0"/>
    <w:pPr>
      <w:tabs>
        <w:tab w:val="left" w:pos="1134"/>
      </w:tabs>
      <w:adjustRightInd w:val="0"/>
      <w:spacing w:before="60" w:after="60" w:line="360" w:lineRule="atLeast"/>
      <w:ind w:left="1134" w:hanging="1134"/>
      <w:jc w:val="left"/>
      <w:textAlignment w:val="baseline"/>
    </w:pPr>
    <w:rPr>
      <w:rFonts w:ascii="Arial" w:hAnsi="Arial" w:eastAsia="宋体" w:cs="Times New Roman"/>
      <w:kern w:val="0"/>
      <w:sz w:val="24"/>
      <w:szCs w:val="20"/>
    </w:rPr>
  </w:style>
  <w:style w:type="paragraph" w:customStyle="1" w:styleId="8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83">
    <w:name w:val="TOC 标题5"/>
    <w:next w:val="1"/>
    <w:qFormat/>
    <w:uiPriority w:val="0"/>
    <w:pPr>
      <w:wordWrap w:val="0"/>
    </w:pPr>
    <w:rPr>
      <w:rFonts w:ascii="Times New Roman" w:hAnsi="Times New Roman" w:eastAsia="宋体" w:cs="Times New Roman"/>
      <w:sz w:val="32"/>
      <w:lang w:val="en-US" w:eastAsia="zh-CN" w:bidi="ar-SA"/>
    </w:rPr>
  </w:style>
  <w:style w:type="paragraph" w:customStyle="1" w:styleId="84">
    <w:name w:val="TOC 标题4"/>
    <w:next w:val="1"/>
    <w:qFormat/>
    <w:uiPriority w:val="0"/>
    <w:pPr>
      <w:wordWrap w:val="0"/>
    </w:pPr>
    <w:rPr>
      <w:rFonts w:ascii="Times New Roman" w:hAnsi="Times New Roman" w:eastAsia="宋体" w:cs="Times New Roman"/>
      <w:sz w:val="32"/>
      <w:lang w:val="en-US" w:eastAsia="zh-CN" w:bidi="ar-SA"/>
    </w:rPr>
  </w:style>
  <w:style w:type="paragraph" w:customStyle="1" w:styleId="85">
    <w:name w:val="目录 62"/>
    <w:next w:val="1"/>
    <w:qFormat/>
    <w:uiPriority w:val="0"/>
    <w:pPr>
      <w:wordWrap w:val="0"/>
      <w:ind w:left="1700"/>
      <w:jc w:val="both"/>
    </w:pPr>
    <w:rPr>
      <w:rFonts w:ascii="Times New Roman" w:hAnsi="Times New Roman" w:eastAsia="宋体" w:cs="Times New Roman"/>
      <w:sz w:val="21"/>
      <w:lang w:val="en-US" w:eastAsia="zh-CN" w:bidi="ar-SA"/>
    </w:rPr>
  </w:style>
  <w:style w:type="paragraph" w:customStyle="1" w:styleId="86">
    <w:name w:val="目录 64"/>
    <w:next w:val="1"/>
    <w:qFormat/>
    <w:uiPriority w:val="0"/>
    <w:pPr>
      <w:wordWrap w:val="0"/>
      <w:ind w:left="1700"/>
      <w:jc w:val="both"/>
    </w:pPr>
    <w:rPr>
      <w:rFonts w:ascii="Times New Roman" w:hAnsi="Times New Roman" w:eastAsia="宋体" w:cs="Times New Roman"/>
      <w:sz w:val="21"/>
      <w:lang w:val="en-US" w:eastAsia="zh-CN" w:bidi="ar-SA"/>
    </w:rPr>
  </w:style>
  <w:style w:type="paragraph" w:customStyle="1" w:styleId="87">
    <w:name w:val="彩色列表1"/>
    <w:basedOn w:val="1"/>
    <w:next w:val="88"/>
    <w:qFormat/>
    <w:uiPriority w:val="0"/>
    <w:pPr>
      <w:widowControl/>
      <w:autoSpaceDE/>
      <w:autoSpaceDN/>
      <w:spacing w:before="0" w:after="0" w:line="240" w:lineRule="auto"/>
      <w:ind w:left="0" w:firstLine="420"/>
    </w:pPr>
    <w:rPr>
      <w:rFonts w:ascii="Times New Roman" w:eastAsia="宋体"/>
    </w:rPr>
  </w:style>
  <w:style w:type="paragraph" w:customStyle="1" w:styleId="88">
    <w:name w:val="目录 41"/>
    <w:next w:val="1"/>
    <w:qFormat/>
    <w:uiPriority w:val="0"/>
    <w:pPr>
      <w:wordWrap w:val="0"/>
      <w:ind w:left="850"/>
      <w:jc w:val="both"/>
    </w:pPr>
    <w:rPr>
      <w:rFonts w:ascii="Times New Roman" w:hAnsi="Times New Roman" w:eastAsia="宋体" w:cs="Times New Roman"/>
      <w:sz w:val="21"/>
      <w:lang w:val="en-US" w:eastAsia="zh-CN" w:bidi="ar-SA"/>
    </w:rPr>
  </w:style>
  <w:style w:type="paragraph" w:customStyle="1" w:styleId="89">
    <w:name w:val="目录 21"/>
    <w:next w:val="1"/>
    <w:qFormat/>
    <w:uiPriority w:val="0"/>
    <w:pPr>
      <w:wordWrap w:val="0"/>
      <w:jc w:val="both"/>
    </w:pPr>
    <w:rPr>
      <w:rFonts w:ascii="Times New Roman" w:hAnsi="Times New Roman" w:eastAsia="宋体" w:cs="Times New Roman"/>
      <w:sz w:val="21"/>
      <w:lang w:val="en-US" w:eastAsia="zh-CN" w:bidi="ar-SA"/>
    </w:rPr>
  </w:style>
  <w:style w:type="paragraph" w:customStyle="1" w:styleId="90">
    <w:name w:val="列出段落1"/>
    <w:basedOn w:val="1"/>
    <w:next w:val="91"/>
    <w:qFormat/>
    <w:uiPriority w:val="0"/>
    <w:pPr>
      <w:widowControl/>
      <w:autoSpaceDE/>
      <w:autoSpaceDN/>
      <w:spacing w:before="39" w:after="158" w:line="351" w:lineRule="atLeast"/>
      <w:ind w:left="0" w:firstLine="419"/>
    </w:pPr>
    <w:rPr>
      <w:rFonts w:ascii="Times New Roman" w:eastAsia="宋体"/>
      <w:color w:val="000000"/>
      <w:u w:val="none"/>
    </w:rPr>
  </w:style>
  <w:style w:type="paragraph" w:customStyle="1" w:styleId="91">
    <w:name w:val="目录 31"/>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92">
    <w:name w:val="目录 94"/>
    <w:next w:val="1"/>
    <w:qFormat/>
    <w:uiPriority w:val="0"/>
    <w:pPr>
      <w:wordWrap w:val="0"/>
      <w:ind w:left="2975"/>
      <w:jc w:val="both"/>
    </w:pPr>
    <w:rPr>
      <w:rFonts w:ascii="Times New Roman" w:hAnsi="Times New Roman" w:eastAsia="宋体" w:cs="Times New Roman"/>
      <w:sz w:val="21"/>
      <w:lang w:val="en-US" w:eastAsia="zh-CN" w:bidi="ar-SA"/>
    </w:rPr>
  </w:style>
  <w:style w:type="paragraph" w:customStyle="1" w:styleId="93">
    <w:name w:val="标题 5（有编号）（绿盟科技）"/>
    <w:basedOn w:val="1"/>
    <w:next w:val="1"/>
    <w:qFormat/>
    <w:uiPriority w:val="99"/>
    <w:pPr>
      <w:keepNext/>
      <w:keepLines/>
      <w:numPr>
        <w:ilvl w:val="4"/>
        <w:numId w:val="1"/>
      </w:numPr>
      <w:spacing w:before="280" w:after="156" w:line="377" w:lineRule="auto"/>
      <w:outlineLvl w:val="4"/>
    </w:pPr>
    <w:rPr>
      <w:rFonts w:ascii="Arial" w:hAnsi="Arial" w:eastAsia="黑体" w:cs="Arial"/>
      <w:b/>
      <w:bCs/>
    </w:rPr>
  </w:style>
  <w:style w:type="paragraph" w:customStyle="1" w:styleId="94">
    <w:name w:val="目录 22"/>
    <w:next w:val="1"/>
    <w:qFormat/>
    <w:uiPriority w:val="0"/>
    <w:pPr>
      <w:wordWrap w:val="0"/>
      <w:jc w:val="both"/>
    </w:pPr>
    <w:rPr>
      <w:rFonts w:ascii="Times New Roman" w:hAnsi="Times New Roman" w:eastAsia="宋体" w:cs="Times New Roman"/>
      <w:sz w:val="21"/>
      <w:lang w:val="en-US" w:eastAsia="zh-CN" w:bidi="ar-SA"/>
    </w:rPr>
  </w:style>
  <w:style w:type="paragraph" w:customStyle="1" w:styleId="95">
    <w:name w:val="目录 83"/>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96">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97">
    <w:name w:val="目录 34"/>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98">
    <w:name w:val="正文2"/>
    <w:basedOn w:val="16"/>
    <w:qFormat/>
    <w:uiPriority w:val="0"/>
    <w:pPr>
      <w:spacing w:line="480" w:lineRule="exact"/>
      <w:ind w:firstLine="480" w:firstLineChars="200"/>
    </w:pPr>
    <w:rPr>
      <w:rFonts w:hAnsi="宋体"/>
      <w:bCs/>
      <w:kern w:val="2"/>
      <w:sz w:val="24"/>
      <w:szCs w:val="22"/>
      <w:lang w:val="zh-CN"/>
    </w:rPr>
  </w:style>
  <w:style w:type="paragraph" w:customStyle="1" w:styleId="99">
    <w:name w:val="正文缩进4"/>
    <w:next w:val="1"/>
    <w:qFormat/>
    <w:uiPriority w:val="0"/>
    <w:pPr>
      <w:wordWrap w:val="0"/>
      <w:ind w:left="3400"/>
      <w:jc w:val="both"/>
    </w:pPr>
    <w:rPr>
      <w:rFonts w:ascii="Times New Roman" w:hAnsi="Times New Roman" w:eastAsia="宋体" w:cs="Times New Roman"/>
      <w:sz w:val="21"/>
      <w:lang w:val="en-US" w:eastAsia="zh-CN" w:bidi="ar-SA"/>
    </w:rPr>
  </w:style>
  <w:style w:type="paragraph" w:customStyle="1" w:styleId="100">
    <w:name w:val="目录 73"/>
    <w:next w:val="1"/>
    <w:qFormat/>
    <w:uiPriority w:val="0"/>
    <w:pPr>
      <w:wordWrap w:val="0"/>
      <w:ind w:left="2125"/>
      <w:jc w:val="both"/>
    </w:pPr>
    <w:rPr>
      <w:rFonts w:ascii="Times New Roman" w:hAnsi="Times New Roman" w:eastAsia="宋体" w:cs="Times New Roman"/>
      <w:sz w:val="21"/>
      <w:lang w:val="en-US" w:eastAsia="zh-CN" w:bidi="ar-SA"/>
    </w:rPr>
  </w:style>
  <w:style w:type="paragraph" w:customStyle="1" w:styleId="101">
    <w:name w:val="目录 82"/>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102">
    <w:name w:val="CM55"/>
    <w:basedOn w:val="55"/>
    <w:next w:val="55"/>
    <w:qFormat/>
    <w:uiPriority w:val="99"/>
    <w:pPr>
      <w:adjustRightInd w:val="0"/>
      <w:spacing w:line="386" w:lineRule="atLeast"/>
    </w:pPr>
    <w:rPr>
      <w:rFonts w:ascii="宋体" w:hAnsi="Calibri" w:cs="Times New Roman"/>
      <w:color w:val="auto"/>
      <w:szCs w:val="24"/>
    </w:rPr>
  </w:style>
  <w:style w:type="paragraph" w:customStyle="1" w:styleId="103">
    <w:name w:val="(sun)正文一级"/>
    <w:basedOn w:val="1"/>
    <w:qFormat/>
    <w:uiPriority w:val="0"/>
    <w:pPr>
      <w:spacing w:after="0" w:line="360" w:lineRule="auto"/>
      <w:ind w:firstLine="200" w:firstLineChars="200"/>
    </w:pPr>
    <w:rPr>
      <w:rFonts w:ascii="宋体" w:hAnsi="宋体"/>
      <w:kern w:val="28"/>
      <w:sz w:val="24"/>
      <w:szCs w:val="20"/>
    </w:rPr>
  </w:style>
  <w:style w:type="paragraph" w:customStyle="1" w:styleId="104">
    <w:name w:val="目录 45"/>
    <w:next w:val="1"/>
    <w:qFormat/>
    <w:uiPriority w:val="0"/>
    <w:pPr>
      <w:wordWrap w:val="0"/>
      <w:ind w:left="850"/>
      <w:jc w:val="both"/>
    </w:pPr>
    <w:rPr>
      <w:rFonts w:ascii="Times New Roman" w:hAnsi="Times New Roman" w:eastAsia="宋体" w:cs="Times New Roman"/>
      <w:sz w:val="21"/>
      <w:lang w:val="en-US" w:eastAsia="zh-CN" w:bidi="ar-SA"/>
    </w:rPr>
  </w:style>
  <w:style w:type="paragraph" w:customStyle="1" w:styleId="105">
    <w:name w:val="目录 52"/>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106">
    <w:name w:val="目录 84"/>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107">
    <w:name w:val="目录 91"/>
    <w:next w:val="1"/>
    <w:qFormat/>
    <w:uiPriority w:val="0"/>
    <w:pPr>
      <w:wordWrap w:val="0"/>
      <w:ind w:left="2975"/>
      <w:jc w:val="both"/>
    </w:pPr>
    <w:rPr>
      <w:rFonts w:ascii="Times New Roman" w:hAnsi="Times New Roman" w:eastAsia="宋体" w:cs="Times New Roman"/>
      <w:sz w:val="21"/>
      <w:lang w:val="en-US" w:eastAsia="zh-CN" w:bidi="ar-SA"/>
    </w:rPr>
  </w:style>
  <w:style w:type="paragraph" w:customStyle="1" w:styleId="108">
    <w:name w:val="_Style 1"/>
    <w:next w:val="1"/>
    <w:qFormat/>
    <w:uiPriority w:val="39"/>
    <w:pPr>
      <w:wordWrap w:val="0"/>
    </w:pPr>
    <w:rPr>
      <w:rFonts w:ascii="Times New Roman" w:hAnsi="Times New Roman" w:eastAsia="宋体" w:cs="Times New Roman"/>
      <w:sz w:val="32"/>
      <w:lang w:val="en-US" w:eastAsia="zh-CN" w:bidi="ar-SA"/>
    </w:rPr>
  </w:style>
  <w:style w:type="paragraph" w:customStyle="1" w:styleId="109">
    <w:name w:val="目录 81"/>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110">
    <w:name w:val="目录 23"/>
    <w:next w:val="1"/>
    <w:qFormat/>
    <w:uiPriority w:val="0"/>
    <w:pPr>
      <w:wordWrap w:val="0"/>
      <w:jc w:val="both"/>
    </w:pPr>
    <w:rPr>
      <w:rFonts w:ascii="Times New Roman" w:hAnsi="Times New Roman" w:eastAsia="宋体" w:cs="Times New Roman"/>
      <w:sz w:val="21"/>
      <w:lang w:val="en-US" w:eastAsia="zh-CN" w:bidi="ar-SA"/>
    </w:rPr>
  </w:style>
  <w:style w:type="paragraph" w:customStyle="1" w:styleId="111">
    <w:name w:val="目录 85"/>
    <w:next w:val="1"/>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112">
    <w:name w:val="目录 25"/>
    <w:next w:val="1"/>
    <w:qFormat/>
    <w:uiPriority w:val="0"/>
    <w:pPr>
      <w:wordWrap w:val="0"/>
      <w:jc w:val="both"/>
    </w:pPr>
    <w:rPr>
      <w:rFonts w:ascii="Times New Roman" w:hAnsi="Times New Roman" w:eastAsia="宋体" w:cs="Times New Roman"/>
      <w:sz w:val="21"/>
      <w:lang w:val="en-US" w:eastAsia="zh-CN" w:bidi="ar-SA"/>
    </w:rPr>
  </w:style>
  <w:style w:type="paragraph" w:customStyle="1" w:styleId="113">
    <w:name w:val="目录 42"/>
    <w:next w:val="1"/>
    <w:qFormat/>
    <w:uiPriority w:val="0"/>
    <w:pPr>
      <w:wordWrap w:val="0"/>
      <w:ind w:left="850"/>
      <w:jc w:val="both"/>
    </w:pPr>
    <w:rPr>
      <w:rFonts w:ascii="Times New Roman" w:hAnsi="Times New Roman" w:eastAsia="宋体" w:cs="Times New Roman"/>
      <w:sz w:val="21"/>
      <w:lang w:val="en-US" w:eastAsia="zh-CN" w:bidi="ar-SA"/>
    </w:rPr>
  </w:style>
  <w:style w:type="paragraph" w:customStyle="1" w:styleId="114">
    <w:name w:val="目录 75"/>
    <w:next w:val="1"/>
    <w:qFormat/>
    <w:uiPriority w:val="0"/>
    <w:pPr>
      <w:wordWrap w:val="0"/>
      <w:ind w:left="2125"/>
      <w:jc w:val="both"/>
    </w:pPr>
    <w:rPr>
      <w:rFonts w:ascii="Times New Roman" w:hAnsi="Times New Roman" w:eastAsia="宋体" w:cs="Times New Roman"/>
      <w:sz w:val="21"/>
      <w:lang w:val="en-US" w:eastAsia="zh-CN" w:bidi="ar-SA"/>
    </w:rPr>
  </w:style>
  <w:style w:type="paragraph" w:customStyle="1" w:styleId="115">
    <w:name w:val="List Paragraph1"/>
    <w:basedOn w:val="1"/>
    <w:next w:val="116"/>
    <w:qFormat/>
    <w:uiPriority w:val="0"/>
    <w:pPr>
      <w:widowControl/>
      <w:autoSpaceDE/>
      <w:autoSpaceDN/>
      <w:spacing w:before="0" w:after="0" w:line="240" w:lineRule="auto"/>
      <w:ind w:left="0" w:firstLine="420"/>
    </w:pPr>
    <w:rPr>
      <w:rFonts w:ascii="Calibri" w:eastAsia="宋体"/>
    </w:rPr>
  </w:style>
  <w:style w:type="paragraph" w:customStyle="1" w:styleId="116">
    <w:name w:val="目录 51"/>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117">
    <w:name w:val="正文缩进5"/>
    <w:next w:val="1"/>
    <w:qFormat/>
    <w:uiPriority w:val="0"/>
    <w:pPr>
      <w:wordWrap w:val="0"/>
      <w:ind w:left="3400"/>
      <w:jc w:val="both"/>
    </w:pPr>
    <w:rPr>
      <w:rFonts w:ascii="Times New Roman" w:hAnsi="Times New Roman" w:eastAsia="宋体" w:cs="Times New Roman"/>
      <w:sz w:val="21"/>
      <w:lang w:val="en-US" w:eastAsia="zh-CN" w:bidi="ar-SA"/>
    </w:rPr>
  </w:style>
  <w:style w:type="paragraph" w:customStyle="1" w:styleId="118">
    <w:name w:val="正文缩进2"/>
    <w:next w:val="1"/>
    <w:qFormat/>
    <w:uiPriority w:val="0"/>
    <w:pPr>
      <w:wordWrap w:val="0"/>
      <w:ind w:left="3400"/>
      <w:jc w:val="both"/>
    </w:pPr>
    <w:rPr>
      <w:rFonts w:ascii="Times New Roman" w:hAnsi="Times New Roman" w:eastAsia="宋体" w:cs="Times New Roman"/>
      <w:sz w:val="21"/>
      <w:lang w:val="en-US" w:eastAsia="zh-CN" w:bidi="ar-SA"/>
    </w:rPr>
  </w:style>
  <w:style w:type="paragraph" w:customStyle="1" w:styleId="119">
    <w:name w:val="正文（绿盟科技）"/>
    <w:qFormat/>
    <w:uiPriority w:val="99"/>
    <w:pPr>
      <w:spacing w:line="300" w:lineRule="auto"/>
    </w:pPr>
    <w:rPr>
      <w:rFonts w:ascii="Arial" w:hAnsi="Arial" w:eastAsia="宋体" w:cs="Arial"/>
      <w:sz w:val="21"/>
      <w:szCs w:val="21"/>
      <w:lang w:val="en-US" w:eastAsia="zh-CN" w:bidi="ar-SA"/>
    </w:rPr>
  </w:style>
  <w:style w:type="paragraph" w:customStyle="1" w:styleId="120">
    <w:name w:val="_Style 119"/>
    <w:next w:val="1"/>
    <w:qFormat/>
    <w:uiPriority w:val="39"/>
    <w:pPr>
      <w:wordWrap w:val="0"/>
    </w:pPr>
    <w:rPr>
      <w:rFonts w:ascii="Times New Roman" w:hAnsi="Times New Roman" w:eastAsia="宋体" w:cs="Times New Roman"/>
      <w:sz w:val="32"/>
      <w:lang w:val="en-US" w:eastAsia="zh-CN" w:bidi="ar-SA"/>
    </w:rPr>
  </w:style>
  <w:style w:type="paragraph" w:customStyle="1" w:styleId="121">
    <w:name w:val="正文缩进1"/>
    <w:next w:val="1"/>
    <w:qFormat/>
    <w:uiPriority w:val="0"/>
    <w:pPr>
      <w:wordWrap w:val="0"/>
      <w:ind w:left="3400"/>
      <w:jc w:val="both"/>
    </w:pPr>
    <w:rPr>
      <w:rFonts w:ascii="Times New Roman" w:hAnsi="Times New Roman" w:eastAsia="宋体" w:cs="Times New Roman"/>
      <w:sz w:val="21"/>
      <w:lang w:val="en-US" w:eastAsia="zh-CN" w:bidi="ar-SA"/>
    </w:rPr>
  </w:style>
  <w:style w:type="paragraph" w:customStyle="1" w:styleId="122">
    <w:name w:val="正文缩进6"/>
    <w:basedOn w:val="1"/>
    <w:next w:val="20"/>
    <w:qFormat/>
    <w:uiPriority w:val="0"/>
    <w:pPr>
      <w:widowControl/>
      <w:autoSpaceDE/>
      <w:autoSpaceDN/>
      <w:spacing w:before="0" w:after="0" w:line="240" w:lineRule="auto"/>
      <w:ind w:left="0" w:firstLine="200"/>
    </w:pPr>
    <w:rPr>
      <w:rFonts w:ascii="Times New Roman" w:eastAsia="宋体"/>
    </w:rPr>
  </w:style>
  <w:style w:type="paragraph" w:customStyle="1" w:styleId="123">
    <w:name w:val="目录 71"/>
    <w:next w:val="1"/>
    <w:qFormat/>
    <w:uiPriority w:val="0"/>
    <w:pPr>
      <w:wordWrap w:val="0"/>
      <w:ind w:left="2125"/>
      <w:jc w:val="both"/>
    </w:pPr>
    <w:rPr>
      <w:rFonts w:ascii="Times New Roman" w:hAnsi="Times New Roman" w:eastAsia="宋体" w:cs="Times New Roman"/>
      <w:sz w:val="21"/>
      <w:lang w:val="en-US" w:eastAsia="zh-CN" w:bidi="ar-SA"/>
    </w:rPr>
  </w:style>
  <w:style w:type="paragraph" w:customStyle="1" w:styleId="124">
    <w:name w:val="TOC 标题2"/>
    <w:next w:val="1"/>
    <w:qFormat/>
    <w:uiPriority w:val="0"/>
    <w:pPr>
      <w:wordWrap w:val="0"/>
    </w:pPr>
    <w:rPr>
      <w:rFonts w:ascii="Times New Roman" w:hAnsi="Times New Roman" w:eastAsia="宋体" w:cs="Times New Roman"/>
      <w:sz w:val="32"/>
      <w:lang w:val="en-US" w:eastAsia="zh-CN" w:bidi="ar-SA"/>
    </w:rPr>
  </w:style>
  <w:style w:type="paragraph" w:customStyle="1" w:styleId="125">
    <w:name w:val="目录 33"/>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126">
    <w:name w:val="00、封面正文(与其他内容无关的格式)"/>
    <w:basedOn w:val="1"/>
    <w:qFormat/>
    <w:uiPriority w:val="0"/>
    <w:pPr>
      <w:tabs>
        <w:tab w:val="left" w:pos="0"/>
      </w:tabs>
    </w:pPr>
    <w:rPr>
      <w:rFonts w:ascii="宋体" w:hAnsi="宋体" w:eastAsia="宋体"/>
    </w:rPr>
  </w:style>
  <w:style w:type="paragraph" w:customStyle="1" w:styleId="127">
    <w:name w:val="目录 44"/>
    <w:next w:val="1"/>
    <w:qFormat/>
    <w:uiPriority w:val="0"/>
    <w:pPr>
      <w:wordWrap w:val="0"/>
      <w:ind w:left="850"/>
      <w:jc w:val="both"/>
    </w:pPr>
    <w:rPr>
      <w:rFonts w:ascii="Times New Roman" w:hAnsi="Times New Roman" w:eastAsia="宋体" w:cs="Times New Roman"/>
      <w:sz w:val="21"/>
      <w:lang w:val="en-US" w:eastAsia="zh-CN" w:bidi="ar-SA"/>
    </w:rPr>
  </w:style>
  <w:style w:type="paragraph" w:customStyle="1" w:styleId="128">
    <w:name w:val="列出段落4"/>
    <w:basedOn w:val="1"/>
    <w:qFormat/>
    <w:uiPriority w:val="34"/>
    <w:pPr>
      <w:ind w:firstLine="420" w:firstLineChars="200"/>
    </w:pPr>
  </w:style>
  <w:style w:type="paragraph" w:customStyle="1" w:styleId="129">
    <w:name w:val="_Style 4"/>
    <w:basedOn w:val="1"/>
    <w:next w:val="89"/>
    <w:qFormat/>
    <w:uiPriority w:val="0"/>
    <w:pPr>
      <w:widowControl/>
      <w:autoSpaceDE/>
      <w:autoSpaceDN/>
      <w:spacing w:before="0" w:after="0" w:line="240" w:lineRule="auto"/>
      <w:ind w:left="0" w:firstLine="420"/>
    </w:pPr>
    <w:rPr>
      <w:rFonts w:ascii="Times New Roman" w:eastAsia="宋体"/>
      <w:sz w:val="18"/>
    </w:rPr>
  </w:style>
  <w:style w:type="paragraph" w:customStyle="1" w:styleId="130">
    <w:name w:val="目录 54"/>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131">
    <w:name w:val="目录 55"/>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132">
    <w:name w:val="目录 72"/>
    <w:next w:val="1"/>
    <w:qFormat/>
    <w:uiPriority w:val="0"/>
    <w:pPr>
      <w:wordWrap w:val="0"/>
      <w:ind w:left="2125"/>
      <w:jc w:val="both"/>
    </w:pPr>
    <w:rPr>
      <w:rFonts w:ascii="Times New Roman" w:hAnsi="Times New Roman" w:eastAsia="宋体" w:cs="Times New Roman"/>
      <w:sz w:val="21"/>
      <w:lang w:val="en-US" w:eastAsia="zh-CN" w:bidi="ar-SA"/>
    </w:rPr>
  </w:style>
  <w:style w:type="paragraph" w:customStyle="1" w:styleId="133">
    <w:name w:val="CM52"/>
    <w:basedOn w:val="55"/>
    <w:next w:val="55"/>
    <w:qFormat/>
    <w:uiPriority w:val="99"/>
    <w:pPr>
      <w:adjustRightInd w:val="0"/>
      <w:spacing w:line="380" w:lineRule="atLeast"/>
    </w:pPr>
    <w:rPr>
      <w:rFonts w:ascii="宋体" w:hAnsi="Calibri" w:cs="Times New Roman"/>
      <w:color w:val="auto"/>
      <w:szCs w:val="24"/>
    </w:rPr>
  </w:style>
  <w:style w:type="paragraph" w:customStyle="1" w:styleId="134">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135">
    <w:name w:val="目录 65"/>
    <w:next w:val="1"/>
    <w:qFormat/>
    <w:uiPriority w:val="0"/>
    <w:pPr>
      <w:wordWrap w:val="0"/>
      <w:ind w:left="1700"/>
      <w:jc w:val="both"/>
    </w:pPr>
    <w:rPr>
      <w:rFonts w:ascii="Times New Roman" w:hAnsi="Times New Roman" w:eastAsia="宋体" w:cs="Times New Roman"/>
      <w:sz w:val="21"/>
      <w:lang w:val="en-US" w:eastAsia="zh-CN" w:bidi="ar-SA"/>
    </w:rPr>
  </w:style>
  <w:style w:type="paragraph" w:customStyle="1" w:styleId="136">
    <w:name w:val="Table Paragraph"/>
    <w:basedOn w:val="1"/>
    <w:qFormat/>
    <w:uiPriority w:val="1"/>
    <w:pPr>
      <w:spacing w:after="0" w:line="240" w:lineRule="auto"/>
      <w:jc w:val="left"/>
    </w:pPr>
    <w:rPr>
      <w:kern w:val="0"/>
      <w:sz w:val="22"/>
      <w:szCs w:val="22"/>
      <w:lang w:eastAsia="en-US"/>
    </w:rPr>
  </w:style>
  <w:style w:type="paragraph" w:customStyle="1" w:styleId="137">
    <w:name w:val="目录 74"/>
    <w:next w:val="1"/>
    <w:qFormat/>
    <w:uiPriority w:val="0"/>
    <w:pPr>
      <w:wordWrap w:val="0"/>
      <w:ind w:left="2125"/>
      <w:jc w:val="both"/>
    </w:pPr>
    <w:rPr>
      <w:rFonts w:ascii="Times New Roman" w:hAnsi="Times New Roman" w:eastAsia="宋体" w:cs="Times New Roman"/>
      <w:sz w:val="21"/>
      <w:lang w:val="en-US" w:eastAsia="zh-CN" w:bidi="ar-SA"/>
    </w:rPr>
  </w:style>
  <w:style w:type="paragraph" w:customStyle="1" w:styleId="138">
    <w:name w:val="目录 92"/>
    <w:next w:val="1"/>
    <w:qFormat/>
    <w:uiPriority w:val="0"/>
    <w:pPr>
      <w:wordWrap w:val="0"/>
      <w:ind w:left="2975"/>
      <w:jc w:val="both"/>
    </w:pPr>
    <w:rPr>
      <w:rFonts w:ascii="Times New Roman" w:hAnsi="Times New Roman" w:eastAsia="宋体" w:cs="Times New Roman"/>
      <w:sz w:val="21"/>
      <w:lang w:val="en-US" w:eastAsia="zh-CN" w:bidi="ar-SA"/>
    </w:rPr>
  </w:style>
  <w:style w:type="paragraph" w:customStyle="1" w:styleId="139">
    <w:name w:val="标题 2_0_1"/>
    <w:basedOn w:val="96"/>
    <w:next w:val="96"/>
    <w:qFormat/>
    <w:uiPriority w:val="0"/>
    <w:pPr>
      <w:keepNext/>
      <w:keepLines/>
      <w:spacing w:before="260" w:after="260" w:line="416" w:lineRule="auto"/>
      <w:jc w:val="center"/>
      <w:outlineLvl w:val="1"/>
    </w:pPr>
    <w:rPr>
      <w:rFonts w:ascii="宋体" w:hAnsi="宋体" w:eastAsia="宋体"/>
      <w:b/>
      <w:bCs/>
      <w:sz w:val="24"/>
      <w:szCs w:val="24"/>
    </w:rPr>
  </w:style>
  <w:style w:type="paragraph" w:customStyle="1" w:styleId="140">
    <w:name w:val="目录 24"/>
    <w:next w:val="1"/>
    <w:qFormat/>
    <w:uiPriority w:val="0"/>
    <w:pPr>
      <w:wordWrap w:val="0"/>
      <w:jc w:val="both"/>
    </w:pPr>
    <w:rPr>
      <w:rFonts w:ascii="Times New Roman" w:hAnsi="Times New Roman" w:eastAsia="宋体" w:cs="Times New Roman"/>
      <w:sz w:val="21"/>
      <w:lang w:val="en-US" w:eastAsia="zh-CN" w:bidi="ar-SA"/>
    </w:rPr>
  </w:style>
  <w:style w:type="paragraph" w:styleId="141">
    <w:name w:val="List Paragraph"/>
    <w:basedOn w:val="1"/>
    <w:next w:val="1"/>
    <w:qFormat/>
    <w:uiPriority w:val="34"/>
    <w:pPr>
      <w:wordWrap w:val="0"/>
      <w:ind w:left="850"/>
      <w:jc w:val="both"/>
    </w:pPr>
    <w:rPr>
      <w:sz w:val="21"/>
      <w:lang w:val="en-US" w:eastAsia="zh-CN" w:bidi="ar-SA"/>
    </w:rPr>
  </w:style>
  <w:style w:type="paragraph" w:customStyle="1" w:styleId="142">
    <w:name w:val="CM97"/>
    <w:basedOn w:val="55"/>
    <w:next w:val="55"/>
    <w:qFormat/>
    <w:uiPriority w:val="99"/>
    <w:pPr>
      <w:adjustRightInd w:val="0"/>
    </w:pPr>
    <w:rPr>
      <w:rFonts w:ascii="宋体" w:hAnsi="Calibri" w:cs="Times New Roman"/>
      <w:color w:val="auto"/>
      <w:szCs w:val="24"/>
    </w:rPr>
  </w:style>
  <w:style w:type="paragraph" w:customStyle="1" w:styleId="143">
    <w:name w:val="目录 95"/>
    <w:next w:val="1"/>
    <w:qFormat/>
    <w:uiPriority w:val="0"/>
    <w:pPr>
      <w:wordWrap w:val="0"/>
      <w:ind w:left="2975"/>
      <w:jc w:val="both"/>
    </w:pPr>
    <w:rPr>
      <w:rFonts w:ascii="Times New Roman" w:hAnsi="Times New Roman" w:eastAsia="宋体" w:cs="Times New Roman"/>
      <w:sz w:val="21"/>
      <w:lang w:val="en-US" w:eastAsia="zh-CN" w:bidi="ar-SA"/>
    </w:rPr>
  </w:style>
  <w:style w:type="paragraph" w:customStyle="1" w:styleId="144">
    <w:name w:val="目录 35"/>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145">
    <w:name w:val="CM11"/>
    <w:basedOn w:val="55"/>
    <w:next w:val="55"/>
    <w:qFormat/>
    <w:uiPriority w:val="99"/>
    <w:pPr>
      <w:adjustRightInd w:val="0"/>
      <w:spacing w:line="380" w:lineRule="atLeast"/>
    </w:pPr>
    <w:rPr>
      <w:rFonts w:ascii="宋体" w:hAnsi="Calibri" w:cs="Times New Roman"/>
      <w:color w:val="auto"/>
      <w:szCs w:val="24"/>
    </w:rPr>
  </w:style>
  <w:style w:type="paragraph" w:customStyle="1" w:styleId="146">
    <w:name w:val="正文首行缩进两字符"/>
    <w:basedOn w:val="1"/>
    <w:next w:val="123"/>
    <w:qFormat/>
    <w:uiPriority w:val="0"/>
    <w:pPr>
      <w:widowControl/>
      <w:autoSpaceDE/>
      <w:autoSpaceDN/>
      <w:spacing w:before="0" w:after="0" w:line="360" w:lineRule="auto"/>
      <w:ind w:left="0" w:firstLine="200"/>
    </w:pPr>
    <w:rPr>
      <w:rFonts w:ascii="Times New Roman" w:eastAsia="宋体"/>
    </w:rPr>
  </w:style>
  <w:style w:type="paragraph" w:styleId="147">
    <w:name w:val="Intense Quote"/>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148">
    <w:name w:val="_Style 2"/>
    <w:basedOn w:val="1"/>
    <w:qFormat/>
    <w:uiPriority w:val="0"/>
    <w:pPr>
      <w:ind w:firstLine="420" w:firstLineChars="200"/>
    </w:pPr>
    <w:rPr>
      <w:sz w:val="18"/>
      <w:szCs w:val="18"/>
    </w:rPr>
  </w:style>
  <w:style w:type="paragraph" w:customStyle="1" w:styleId="149">
    <w:name w:val="目录 32"/>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150">
    <w:name w:val="目录 93"/>
    <w:next w:val="1"/>
    <w:qFormat/>
    <w:uiPriority w:val="0"/>
    <w:pPr>
      <w:wordWrap w:val="0"/>
      <w:ind w:left="2975"/>
      <w:jc w:val="both"/>
    </w:pPr>
    <w:rPr>
      <w:rFonts w:ascii="Times New Roman" w:hAnsi="Times New Roman" w:eastAsia="宋体" w:cs="Times New Roman"/>
      <w:sz w:val="21"/>
      <w:lang w:val="en-US" w:eastAsia="zh-CN" w:bidi="ar-SA"/>
    </w:rPr>
  </w:style>
  <w:style w:type="paragraph" w:customStyle="1" w:styleId="151">
    <w:name w:val="目录 61"/>
    <w:next w:val="1"/>
    <w:qFormat/>
    <w:uiPriority w:val="0"/>
    <w:pPr>
      <w:wordWrap w:val="0"/>
      <w:ind w:left="1700"/>
      <w:jc w:val="both"/>
    </w:pPr>
    <w:rPr>
      <w:rFonts w:ascii="Times New Roman" w:hAnsi="Times New Roman" w:eastAsia="宋体" w:cs="Times New Roman"/>
      <w:sz w:val="21"/>
      <w:lang w:val="en-US" w:eastAsia="zh-CN" w:bidi="ar-SA"/>
    </w:rPr>
  </w:style>
  <w:style w:type="paragraph" w:customStyle="1" w:styleId="152">
    <w:name w:val="WPSOffice手动目录 1"/>
    <w:qFormat/>
    <w:uiPriority w:val="0"/>
    <w:rPr>
      <w:rFonts w:ascii="Times New Roman" w:hAnsi="Times New Roman" w:eastAsia="宋体" w:cs="Times New Roman"/>
      <w:lang w:val="en-US" w:eastAsia="zh-CN" w:bidi="ar-SA"/>
    </w:rPr>
  </w:style>
  <w:style w:type="paragraph" w:customStyle="1" w:styleId="153">
    <w:name w:val="目录 63"/>
    <w:next w:val="1"/>
    <w:qFormat/>
    <w:uiPriority w:val="0"/>
    <w:pPr>
      <w:wordWrap w:val="0"/>
      <w:ind w:left="1700"/>
      <w:jc w:val="both"/>
    </w:pPr>
    <w:rPr>
      <w:rFonts w:ascii="Times New Roman" w:hAnsi="Times New Roman" w:eastAsia="宋体" w:cs="Times New Roman"/>
      <w:sz w:val="21"/>
      <w:lang w:val="en-US" w:eastAsia="zh-CN" w:bidi="ar-SA"/>
    </w:rPr>
  </w:style>
  <w:style w:type="paragraph" w:customStyle="1" w:styleId="154">
    <w:name w:val="目录 43"/>
    <w:next w:val="1"/>
    <w:qFormat/>
    <w:uiPriority w:val="0"/>
    <w:pPr>
      <w:wordWrap w:val="0"/>
      <w:ind w:left="850"/>
      <w:jc w:val="both"/>
    </w:pPr>
    <w:rPr>
      <w:rFonts w:ascii="Times New Roman" w:hAnsi="Times New Roman" w:eastAsia="宋体" w:cs="Times New Roman"/>
      <w:sz w:val="21"/>
      <w:lang w:val="en-US" w:eastAsia="zh-CN" w:bidi="ar-SA"/>
    </w:rPr>
  </w:style>
  <w:style w:type="paragraph" w:customStyle="1" w:styleId="155">
    <w:name w:val="Normal"/>
    <w:next w:val="151"/>
    <w:qFormat/>
    <w:uiPriority w:val="0"/>
    <w:pPr>
      <w:widowControl w:val="0"/>
      <w:spacing w:line="312" w:lineRule="atLeast"/>
      <w:jc w:val="both"/>
    </w:pPr>
    <w:rPr>
      <w:rFonts w:ascii="Times New Roman" w:hAnsi="Times New Roman" w:eastAsia="宋体" w:cs="Times New Roman"/>
      <w:sz w:val="34"/>
      <w:lang w:val="en-US" w:eastAsia="zh-CN" w:bidi="ar-SA"/>
    </w:rPr>
  </w:style>
  <w:style w:type="paragraph" w:customStyle="1" w:styleId="156">
    <w:name w:val="TOC 标题3"/>
    <w:next w:val="1"/>
    <w:qFormat/>
    <w:uiPriority w:val="0"/>
    <w:pPr>
      <w:wordWrap w:val="0"/>
    </w:pPr>
    <w:rPr>
      <w:rFonts w:ascii="Times New Roman" w:hAnsi="Times New Roman" w:eastAsia="宋体" w:cs="Times New Roman"/>
      <w:sz w:val="32"/>
      <w:lang w:val="en-US" w:eastAsia="zh-CN" w:bidi="ar-SA"/>
    </w:rPr>
  </w:style>
  <w:style w:type="paragraph" w:styleId="157">
    <w:name w:val="No Spacing"/>
    <w:qFormat/>
    <w:uiPriority w:val="1"/>
    <w:rPr>
      <w:rFonts w:ascii="Calibri" w:hAnsi="Calibri" w:eastAsia="宋体" w:cs="Times New Roman"/>
      <w:sz w:val="22"/>
      <w:szCs w:val="22"/>
      <w:lang w:val="en-US" w:eastAsia="zh-CN" w:bidi="ar-SA"/>
    </w:rPr>
  </w:style>
  <w:style w:type="table" w:customStyle="1" w:styleId="158">
    <w:name w:val="Table Normal"/>
    <w:unhideWhenUsed/>
    <w:qFormat/>
    <w:uiPriority w:val="2"/>
    <w:pPr>
      <w:widowControl w:val="0"/>
      <w:autoSpaceDE w:val="0"/>
      <w:autoSpaceDN w:val="0"/>
    </w:pPr>
    <w:rPr>
      <w:sz w:val="22"/>
      <w:lang w:val="en-US" w:eastAsia="en-US" w:bidi="ar-SA"/>
    </w:rPr>
    <w:tblPr>
      <w:tblCellMar>
        <w:top w:w="0" w:type="dxa"/>
        <w:left w:w="0" w:type="dxa"/>
        <w:bottom w:w="0" w:type="dxa"/>
        <w:right w:w="0" w:type="dxa"/>
      </w:tblCellMar>
    </w:tblPr>
  </w:style>
  <w:style w:type="character" w:customStyle="1" w:styleId="159">
    <w:name w:val="font61"/>
    <w:basedOn w:val="39"/>
    <w:qFormat/>
    <w:uiPriority w:val="0"/>
    <w:rPr>
      <w:rFonts w:hint="default" w:ascii="Verdana" w:hAnsi="Verdana" w:cs="Verdana"/>
      <w:color w:val="000000"/>
      <w:sz w:val="18"/>
      <w:szCs w:val="18"/>
      <w:u w:val="none"/>
    </w:rPr>
  </w:style>
  <w:style w:type="paragraph" w:customStyle="1" w:styleId="160">
    <w:name w:val="列表段落1"/>
    <w:basedOn w:val="1"/>
    <w:qFormat/>
    <w:uiPriority w:val="34"/>
    <w:pPr>
      <w:ind w:firstLine="420" w:firstLineChars="200"/>
    </w:pPr>
  </w:style>
  <w:style w:type="character" w:customStyle="1" w:styleId="161">
    <w:name w:val="NormalCharacter"/>
    <w:qFormat/>
    <w:uiPriority w:val="0"/>
  </w:style>
  <w:style w:type="paragraph" w:customStyle="1" w:styleId="162">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158</Pages>
  <Words>79788</Words>
  <Characters>88281</Characters>
  <Lines>441</Lines>
  <Paragraphs>124</Paragraphs>
  <TotalTime>6</TotalTime>
  <ScaleCrop>false</ScaleCrop>
  <LinksUpToDate>false</LinksUpToDate>
  <CharactersWithSpaces>91559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2021-07-27T05:54:00Z</dcterms:created>
  <dc:creator>26107</dc:creator>
  <cp:lastModifiedBy>玛丽</cp:lastModifiedBy>
  <cp:lastPrinted>2021-09-29T05:37:00Z</cp:lastPrinted>
  <dcterms:modified xsi:type="dcterms:W3CDTF">2022-01-29T09:26:21Z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F2E1FA9ED0AC458FB838729AF2881EF5</vt:lpwstr>
  </property>
</Properties>
</file>