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after="0" w:line="360" w:lineRule="auto"/>
        <w:jc w:val="both"/>
        <w:rPr>
          <w:rFonts w:ascii="仿宋" w:hAnsi="仿宋" w:eastAsia="仿宋" w:cs="仿宋"/>
          <w:color w:val="auto"/>
          <w:highlight w:val="none"/>
        </w:rPr>
      </w:pPr>
      <w:bookmarkStart w:id="0" w:name="_Toc23740"/>
    </w:p>
    <w:p>
      <w:pPr>
        <w:pStyle w:val="2"/>
        <w:spacing w:after="0" w:line="360" w:lineRule="auto"/>
        <w:jc w:val="center"/>
        <w:rPr>
          <w:rFonts w:ascii="仿宋" w:hAnsi="仿宋" w:eastAsia="仿宋" w:cs="仿宋"/>
          <w:b/>
          <w:color w:val="auto"/>
          <w:sz w:val="48"/>
          <w:szCs w:val="48"/>
          <w:highlight w:val="none"/>
          <w:lang w:val="zh-CN"/>
        </w:rPr>
      </w:pPr>
      <w:r>
        <w:rPr>
          <w:rFonts w:hint="eastAsia" w:ascii="仿宋" w:hAnsi="仿宋" w:eastAsia="仿宋" w:cs="仿宋"/>
          <w:color w:val="auto"/>
          <w:highlight w:val="none"/>
        </w:rPr>
        <w:drawing>
          <wp:inline distT="0" distB="0" distL="0" distR="0">
            <wp:extent cx="2415540" cy="1250950"/>
            <wp:effectExtent l="19050" t="0" r="381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noChangeArrowheads="1"/>
                    </pic:cNvPicPr>
                  </pic:nvPicPr>
                  <pic:blipFill>
                    <a:blip r:embed="rId13"/>
                    <a:srcRect/>
                    <a:stretch>
                      <a:fillRect/>
                    </a:stretch>
                  </pic:blipFill>
                  <pic:spPr>
                    <a:xfrm>
                      <a:off x="0" y="0"/>
                      <a:ext cx="2415540" cy="1250950"/>
                    </a:xfrm>
                    <a:prstGeom prst="rect">
                      <a:avLst/>
                    </a:prstGeom>
                    <a:noFill/>
                    <a:ln w="9525" cmpd="sng">
                      <a:noFill/>
                      <a:miter lim="800000"/>
                      <a:headEnd/>
                      <a:tailEnd/>
                    </a:ln>
                  </pic:spPr>
                </pic:pic>
              </a:graphicData>
            </a:graphic>
          </wp:inline>
        </w:drawing>
      </w:r>
    </w:p>
    <w:p>
      <w:pPr>
        <w:pStyle w:val="2"/>
        <w:spacing w:after="0" w:line="360" w:lineRule="auto"/>
        <w:jc w:val="center"/>
        <w:rPr>
          <w:rFonts w:ascii="仿宋" w:hAnsi="仿宋" w:eastAsia="仿宋" w:cs="仿宋"/>
          <w:b/>
          <w:color w:val="auto"/>
          <w:sz w:val="48"/>
          <w:szCs w:val="48"/>
          <w:highlight w:val="none"/>
          <w:lang w:val="zh-CN"/>
        </w:rPr>
      </w:pPr>
    </w:p>
    <w:p>
      <w:pPr>
        <w:pStyle w:val="2"/>
        <w:spacing w:after="0"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成都市公安局青羊区分局2022-2025年“天网”视频租赁服务采购项目</w:t>
      </w:r>
    </w:p>
    <w:p>
      <w:pPr>
        <w:pStyle w:val="2"/>
        <w:spacing w:after="0" w:line="360" w:lineRule="auto"/>
        <w:jc w:val="center"/>
        <w:rPr>
          <w:rFonts w:ascii="仿宋" w:hAnsi="仿宋" w:eastAsia="仿宋" w:cs="仿宋"/>
          <w:b/>
          <w:color w:val="auto"/>
          <w:sz w:val="32"/>
          <w:szCs w:val="32"/>
          <w:highlight w:val="none"/>
        </w:rPr>
      </w:pPr>
    </w:p>
    <w:p>
      <w:pPr>
        <w:pStyle w:val="2"/>
        <w:spacing w:after="0" w:line="360" w:lineRule="auto"/>
        <w:jc w:val="center"/>
        <w:rPr>
          <w:rFonts w:hint="eastAsia" w:ascii="仿宋" w:hAnsi="仿宋" w:eastAsia="仿宋" w:cs="仿宋"/>
          <w:b/>
          <w:bCs/>
          <w:color w:val="auto"/>
          <w:kern w:val="0"/>
          <w:sz w:val="32"/>
          <w:szCs w:val="32"/>
          <w:highlight w:val="none"/>
          <w:lang w:eastAsia="zh-CN"/>
        </w:rPr>
      </w:pPr>
      <w:r>
        <w:rPr>
          <w:rFonts w:hint="eastAsia" w:ascii="仿宋" w:hAnsi="仿宋" w:eastAsia="仿宋" w:cs="仿宋"/>
          <w:b/>
          <w:color w:val="auto"/>
          <w:sz w:val="32"/>
          <w:szCs w:val="32"/>
          <w:highlight w:val="none"/>
        </w:rPr>
        <w:t>招标编号：</w:t>
      </w:r>
      <w:r>
        <w:rPr>
          <w:rFonts w:hint="eastAsia" w:ascii="仿宋" w:hAnsi="仿宋" w:eastAsia="仿宋" w:cs="仿宋"/>
          <w:b/>
          <w:color w:val="auto"/>
          <w:sz w:val="32"/>
          <w:szCs w:val="32"/>
          <w:highlight w:val="none"/>
          <w:lang w:eastAsia="zh-CN"/>
        </w:rPr>
        <w:t>510105202200014</w:t>
      </w:r>
    </w:p>
    <w:p>
      <w:pPr>
        <w:pStyle w:val="25"/>
        <w:spacing w:after="0" w:line="360" w:lineRule="auto"/>
        <w:rPr>
          <w:rFonts w:ascii="仿宋" w:hAnsi="仿宋" w:eastAsia="仿宋" w:cs="仿宋"/>
          <w:color w:val="auto"/>
          <w:highlight w:val="none"/>
        </w:rPr>
      </w:pPr>
    </w:p>
    <w:p>
      <w:pPr>
        <w:pStyle w:val="2"/>
        <w:spacing w:after="0" w:line="360" w:lineRule="auto"/>
        <w:jc w:val="center"/>
        <w:rPr>
          <w:rFonts w:ascii="仿宋" w:hAnsi="仿宋" w:eastAsia="仿宋" w:cs="仿宋"/>
          <w:b/>
          <w:color w:val="auto"/>
          <w:sz w:val="84"/>
          <w:szCs w:val="84"/>
          <w:highlight w:val="none"/>
        </w:rPr>
      </w:pPr>
    </w:p>
    <w:p>
      <w:pPr>
        <w:pStyle w:val="2"/>
        <w:spacing w:after="0" w:line="360" w:lineRule="auto"/>
        <w:jc w:val="center"/>
        <w:rPr>
          <w:rFonts w:ascii="仿宋" w:hAnsi="仿宋" w:eastAsia="仿宋" w:cs="仿宋"/>
          <w:b/>
          <w:color w:val="auto"/>
          <w:sz w:val="84"/>
          <w:szCs w:val="84"/>
          <w:highlight w:val="none"/>
        </w:rPr>
      </w:pPr>
      <w:r>
        <w:rPr>
          <w:rFonts w:hint="eastAsia" w:ascii="仿宋" w:hAnsi="仿宋" w:eastAsia="仿宋" w:cs="仿宋"/>
          <w:b/>
          <w:color w:val="auto"/>
          <w:sz w:val="84"/>
          <w:szCs w:val="84"/>
          <w:highlight w:val="none"/>
        </w:rPr>
        <w:t>招标文件</w:t>
      </w:r>
    </w:p>
    <w:p>
      <w:pPr>
        <w:pStyle w:val="2"/>
        <w:rPr>
          <w:rFonts w:ascii="仿宋" w:hAnsi="仿宋" w:eastAsia="仿宋" w:cs="仿宋"/>
          <w:color w:val="auto"/>
          <w:highlight w:val="none"/>
        </w:rPr>
      </w:pPr>
    </w:p>
    <w:tbl>
      <w:tblPr>
        <w:tblStyle w:val="3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36"/>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232" w:type="dxa"/>
            <w:gridSpan w:val="2"/>
          </w:tcPr>
          <w:p>
            <w:pPr>
              <w:pStyle w:val="2"/>
              <w:spacing w:after="0"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中国·四川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36" w:type="dxa"/>
          </w:tcPr>
          <w:p>
            <w:pPr>
              <w:pStyle w:val="2"/>
              <w:spacing w:after="0"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成都市公安局青羊区分局</w:t>
            </w:r>
          </w:p>
        </w:tc>
        <w:tc>
          <w:tcPr>
            <w:tcW w:w="1896" w:type="dxa"/>
            <w:vMerge w:val="restart"/>
            <w:vAlign w:val="center"/>
          </w:tcPr>
          <w:p>
            <w:pPr>
              <w:pStyle w:val="2"/>
              <w:spacing w:after="0"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共同编制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36" w:type="dxa"/>
          </w:tcPr>
          <w:p>
            <w:pPr>
              <w:pStyle w:val="2"/>
              <w:spacing w:after="0"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利阳致诚国际项目管理有限公司</w:t>
            </w:r>
          </w:p>
        </w:tc>
        <w:tc>
          <w:tcPr>
            <w:tcW w:w="1896" w:type="dxa"/>
            <w:vMerge w:val="continue"/>
          </w:tcPr>
          <w:p>
            <w:pPr>
              <w:pStyle w:val="2"/>
              <w:spacing w:after="0" w:line="360" w:lineRule="auto"/>
              <w:jc w:val="center"/>
              <w:rPr>
                <w:rFonts w:ascii="仿宋" w:hAnsi="仿宋" w:eastAsia="仿宋" w:cs="仿宋"/>
                <w:b/>
                <w:color w:val="auto"/>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232" w:type="dxa"/>
            <w:gridSpan w:val="2"/>
          </w:tcPr>
          <w:p>
            <w:pPr>
              <w:pStyle w:val="2"/>
              <w:spacing w:after="0"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2022年02月</w:t>
            </w:r>
          </w:p>
        </w:tc>
      </w:tr>
    </w:tbl>
    <w:p>
      <w:pPr>
        <w:pStyle w:val="2"/>
        <w:spacing w:after="0" w:line="360" w:lineRule="auto"/>
        <w:jc w:val="center"/>
        <w:rPr>
          <w:rFonts w:ascii="仿宋" w:hAnsi="仿宋" w:eastAsia="仿宋" w:cs="仿宋"/>
          <w:b/>
          <w:color w:val="auto"/>
          <w:sz w:val="36"/>
          <w:szCs w:val="36"/>
          <w:highlight w:val="none"/>
        </w:rPr>
        <w:sectPr>
          <w:headerReference r:id="rId5" w:type="default"/>
          <w:type w:val="continuous"/>
          <w:pgSz w:w="11907" w:h="16840"/>
          <w:pgMar w:top="1440" w:right="1800" w:bottom="1440" w:left="1800" w:header="851" w:footer="992" w:gutter="0"/>
          <w:pgNumType w:start="1"/>
          <w:cols w:space="720" w:num="1"/>
          <w:docGrid w:linePitch="312" w:charSpace="0"/>
        </w:sectPr>
      </w:pPr>
    </w:p>
    <w:p>
      <w:pPr>
        <w:rPr>
          <w:rFonts w:ascii="仿宋" w:hAnsi="仿宋" w:eastAsia="仿宋" w:cs="仿宋"/>
          <w:color w:val="auto"/>
          <w:highlight w:val="none"/>
        </w:rPr>
      </w:pPr>
    </w:p>
    <w:p>
      <w:pPr>
        <w:pStyle w:val="4"/>
        <w:spacing w:before="0" w:after="0" w:line="360" w:lineRule="auto"/>
        <w:jc w:val="center"/>
        <w:rPr>
          <w:rFonts w:ascii="仿宋" w:hAnsi="仿宋" w:eastAsia="仿宋" w:cs="仿宋"/>
          <w:color w:val="auto"/>
          <w:highlight w:val="none"/>
        </w:rPr>
      </w:pPr>
      <w:bookmarkStart w:id="1" w:name="_Toc31963"/>
      <w:r>
        <w:rPr>
          <w:rFonts w:hint="eastAsia" w:ascii="仿宋" w:hAnsi="仿宋" w:eastAsia="仿宋" w:cs="仿宋"/>
          <w:color w:val="auto"/>
          <w:highlight w:val="none"/>
        </w:rPr>
        <w:t>政府采购廉洁承诺书</w:t>
      </w:r>
      <w:bookmarkEnd w:id="0"/>
      <w:bookmarkEnd w:id="1"/>
    </w:p>
    <w:p>
      <w:pPr>
        <w:spacing w:after="0" w:line="360" w:lineRule="auto"/>
        <w:ind w:firstLine="480" w:firstLineChars="200"/>
        <w:jc w:val="left"/>
        <w:rPr>
          <w:rFonts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lang w:val="zh-CN"/>
        </w:rPr>
        <w:t>为加强招标投标活动中的廉政建设，坚决维护国家利益和社会公共利益，进一步规范招标投标市场，宣扬公平竞争的风气，努力提供优质、细心、专业的服务，为采购人创造价值，防止发生违法违纪行为，落实公开、公平、公正的原则，根据国家有关法律、法规和廉政建设责任制的规定，本招标代理机构作如下承诺：</w:t>
      </w:r>
    </w:p>
    <w:p>
      <w:pPr>
        <w:spacing w:after="0" w:line="360" w:lineRule="auto"/>
        <w:ind w:firstLine="480" w:firstLineChars="200"/>
        <w:jc w:val="left"/>
        <w:rPr>
          <w:rFonts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lang w:val="zh-CN"/>
        </w:rPr>
        <w:t>1、不与他人串通，</w:t>
      </w:r>
      <w:r>
        <w:rPr>
          <w:rFonts w:hint="eastAsia" w:ascii="仿宋" w:hAnsi="仿宋" w:eastAsia="仿宋" w:cs="仿宋"/>
          <w:color w:val="auto"/>
          <w:sz w:val="24"/>
          <w:szCs w:val="32"/>
          <w:highlight w:val="none"/>
        </w:rPr>
        <w:t>泄露</w:t>
      </w:r>
      <w:r>
        <w:rPr>
          <w:rFonts w:hint="eastAsia" w:ascii="仿宋" w:hAnsi="仿宋" w:eastAsia="仿宋" w:cs="仿宋"/>
          <w:color w:val="auto"/>
          <w:sz w:val="24"/>
          <w:szCs w:val="32"/>
          <w:highlight w:val="none"/>
          <w:lang w:val="zh-CN"/>
        </w:rPr>
        <w:t>招标投标机密。</w:t>
      </w:r>
    </w:p>
    <w:p>
      <w:pPr>
        <w:spacing w:after="0" w:line="360" w:lineRule="auto"/>
        <w:ind w:firstLine="480" w:firstLineChars="200"/>
        <w:jc w:val="left"/>
        <w:rPr>
          <w:rFonts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lang w:val="zh-CN"/>
        </w:rPr>
        <w:t>2、不与采购人、供应商串通投标。</w:t>
      </w:r>
    </w:p>
    <w:p>
      <w:pPr>
        <w:spacing w:after="0" w:line="360" w:lineRule="auto"/>
        <w:ind w:firstLine="480" w:firstLineChars="200"/>
        <w:jc w:val="left"/>
        <w:rPr>
          <w:rFonts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lang w:val="zh-CN"/>
        </w:rPr>
        <w:t>3、不向评标专家支付合理报酬以外的</w:t>
      </w:r>
      <w:r>
        <w:rPr>
          <w:rFonts w:hint="eastAsia" w:ascii="仿宋" w:hAnsi="仿宋" w:eastAsia="仿宋" w:cs="仿宋"/>
          <w:color w:val="auto"/>
          <w:sz w:val="24"/>
          <w:szCs w:val="32"/>
          <w:highlight w:val="none"/>
        </w:rPr>
        <w:t>费用，包括并不限于</w:t>
      </w:r>
      <w:r>
        <w:rPr>
          <w:rFonts w:hint="eastAsia" w:ascii="仿宋" w:hAnsi="仿宋" w:eastAsia="仿宋" w:cs="仿宋"/>
          <w:color w:val="auto"/>
          <w:sz w:val="24"/>
          <w:szCs w:val="32"/>
          <w:highlight w:val="none"/>
          <w:lang w:val="zh-CN"/>
        </w:rPr>
        <w:t>现金、购物卡、礼品、实物等，</w:t>
      </w:r>
      <w:r>
        <w:rPr>
          <w:rFonts w:hint="eastAsia" w:ascii="仿宋" w:hAnsi="仿宋" w:eastAsia="仿宋" w:cs="仿宋"/>
          <w:color w:val="auto"/>
          <w:sz w:val="24"/>
          <w:szCs w:val="32"/>
          <w:highlight w:val="none"/>
        </w:rPr>
        <w:t>不进行</w:t>
      </w:r>
      <w:r>
        <w:rPr>
          <w:rFonts w:hint="eastAsia" w:ascii="仿宋" w:hAnsi="仿宋" w:eastAsia="仿宋" w:cs="仿宋"/>
          <w:color w:val="auto"/>
          <w:sz w:val="24"/>
          <w:szCs w:val="32"/>
          <w:highlight w:val="none"/>
          <w:lang w:val="zh-CN"/>
        </w:rPr>
        <w:t>其他可能影响客观公正评审的活动。</w:t>
      </w:r>
    </w:p>
    <w:p>
      <w:pPr>
        <w:spacing w:after="0" w:line="360" w:lineRule="auto"/>
        <w:ind w:firstLine="480" w:firstLineChars="200"/>
        <w:jc w:val="left"/>
        <w:rPr>
          <w:rFonts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lang w:val="zh-CN"/>
        </w:rPr>
        <w:t>4、不向招标投标监督人员或机构请客、送礼及组织其它有可能影响客观公正监督的活动。</w:t>
      </w:r>
    </w:p>
    <w:p>
      <w:pPr>
        <w:spacing w:after="0" w:line="360" w:lineRule="auto"/>
        <w:ind w:firstLine="480" w:firstLineChars="200"/>
        <w:jc w:val="left"/>
        <w:rPr>
          <w:rFonts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rPr>
        <w:t>5、</w:t>
      </w:r>
      <w:r>
        <w:rPr>
          <w:rFonts w:hint="eastAsia" w:ascii="仿宋" w:hAnsi="仿宋" w:eastAsia="仿宋" w:cs="仿宋"/>
          <w:color w:val="auto"/>
          <w:sz w:val="24"/>
          <w:szCs w:val="32"/>
          <w:highlight w:val="none"/>
          <w:lang w:val="zh-CN"/>
        </w:rPr>
        <w:t>不向采购人提供任何不正当利益的方式谋求合作关系。</w:t>
      </w:r>
    </w:p>
    <w:p>
      <w:pPr>
        <w:spacing w:after="0" w:line="360" w:lineRule="auto"/>
        <w:ind w:firstLine="480" w:firstLineChars="200"/>
        <w:jc w:val="left"/>
        <w:rPr>
          <w:rFonts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rPr>
        <w:t>6、</w:t>
      </w:r>
      <w:r>
        <w:rPr>
          <w:rFonts w:hint="eastAsia" w:ascii="仿宋" w:hAnsi="仿宋" w:eastAsia="仿宋" w:cs="仿宋"/>
          <w:color w:val="auto"/>
          <w:sz w:val="24"/>
          <w:szCs w:val="32"/>
          <w:highlight w:val="none"/>
          <w:lang w:val="zh-CN"/>
        </w:rPr>
        <w:t>不采取恶性竞争等不正当手段竞争业务。</w:t>
      </w:r>
    </w:p>
    <w:p>
      <w:pPr>
        <w:spacing w:after="0" w:line="360" w:lineRule="auto"/>
        <w:ind w:firstLine="480" w:firstLineChars="200"/>
        <w:jc w:val="left"/>
        <w:rPr>
          <w:rFonts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rPr>
        <w:t>7、禁止一切</w:t>
      </w:r>
      <w:r>
        <w:rPr>
          <w:rFonts w:hint="eastAsia" w:ascii="仿宋" w:hAnsi="仿宋" w:eastAsia="仿宋" w:cs="仿宋"/>
          <w:color w:val="auto"/>
          <w:sz w:val="24"/>
          <w:szCs w:val="32"/>
          <w:highlight w:val="none"/>
          <w:lang w:val="zh-CN"/>
        </w:rPr>
        <w:t>行贿倾向、建议等行为。</w:t>
      </w:r>
    </w:p>
    <w:p>
      <w:pPr>
        <w:spacing w:after="0" w:line="360" w:lineRule="auto"/>
        <w:ind w:firstLine="480" w:firstLineChars="200"/>
        <w:jc w:val="left"/>
        <w:rPr>
          <w:rFonts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rPr>
        <w:t>8、</w:t>
      </w:r>
      <w:r>
        <w:rPr>
          <w:rFonts w:hint="eastAsia" w:ascii="仿宋" w:hAnsi="仿宋" w:eastAsia="仿宋" w:cs="仿宋"/>
          <w:color w:val="auto"/>
          <w:sz w:val="24"/>
          <w:szCs w:val="32"/>
          <w:highlight w:val="none"/>
          <w:lang w:val="zh-CN"/>
        </w:rPr>
        <w:t>禁止员工有索贿、受贿等行为。</w:t>
      </w:r>
    </w:p>
    <w:p>
      <w:pPr>
        <w:spacing w:after="0" w:line="360" w:lineRule="auto"/>
        <w:ind w:firstLine="480" w:firstLineChars="200"/>
        <w:jc w:val="left"/>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9、严格遵守国家和省、市、区以及监管部门关于加强党风廉政建设的各项规定，加强对员工的廉政监督，积极开展廉政教育和职业道德教育，杜绝员工违纪违法行为的发生。</w:t>
      </w:r>
    </w:p>
    <w:p>
      <w:pPr>
        <w:spacing w:after="0" w:line="360" w:lineRule="auto"/>
        <w:ind w:firstLine="480" w:firstLineChars="200"/>
        <w:jc w:val="left"/>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val="zh-CN"/>
        </w:rPr>
        <w:t>本承诺书由承诺人盖章签字生效，如出现上述行为，</w:t>
      </w:r>
      <w:r>
        <w:rPr>
          <w:rFonts w:hint="eastAsia" w:ascii="仿宋" w:hAnsi="仿宋" w:eastAsia="仿宋" w:cs="仿宋"/>
          <w:color w:val="auto"/>
          <w:sz w:val="24"/>
          <w:szCs w:val="32"/>
          <w:highlight w:val="none"/>
        </w:rPr>
        <w:t>承诺人</w:t>
      </w:r>
      <w:r>
        <w:rPr>
          <w:rFonts w:hint="eastAsia" w:ascii="仿宋" w:hAnsi="仿宋" w:eastAsia="仿宋" w:cs="仿宋"/>
          <w:color w:val="auto"/>
          <w:sz w:val="24"/>
          <w:szCs w:val="32"/>
          <w:highlight w:val="none"/>
          <w:lang w:val="zh-CN"/>
        </w:rPr>
        <w:t>自愿承担相关责任，接受招标投标监督管理部门、纪检监察机关或司法机关调查处理。如发现本单位员工个人出现违反廉洁纪律的行为，各方均有权提醒并督促其纠正，或直接向我公司投诉、举报，经核查属实的，</w:t>
      </w:r>
      <w:r>
        <w:rPr>
          <w:rFonts w:hint="eastAsia" w:ascii="仿宋" w:hAnsi="仿宋" w:eastAsia="仿宋" w:cs="仿宋"/>
          <w:color w:val="auto"/>
          <w:sz w:val="24"/>
          <w:szCs w:val="32"/>
          <w:highlight w:val="none"/>
        </w:rPr>
        <w:t>将</w:t>
      </w:r>
      <w:r>
        <w:rPr>
          <w:rFonts w:hint="eastAsia" w:ascii="仿宋" w:hAnsi="仿宋" w:eastAsia="仿宋" w:cs="仿宋"/>
          <w:color w:val="auto"/>
          <w:sz w:val="24"/>
          <w:szCs w:val="32"/>
          <w:highlight w:val="none"/>
          <w:lang w:val="zh-CN"/>
        </w:rPr>
        <w:t>严格按照公司规定处理，涉及违法违纪的将追究相关法律责任。</w:t>
      </w:r>
    </w:p>
    <w:p>
      <w:pPr>
        <w:spacing w:after="0" w:line="360" w:lineRule="auto"/>
        <w:ind w:firstLine="480" w:firstLineChars="200"/>
        <w:jc w:val="left"/>
        <w:rPr>
          <w:rFonts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lang w:val="zh-CN"/>
        </w:rPr>
        <w:t>请各采购人及供应商监督！</w:t>
      </w:r>
    </w:p>
    <w:p>
      <w:pPr>
        <w:pStyle w:val="2"/>
        <w:spacing w:after="0" w:line="360" w:lineRule="auto"/>
        <w:rPr>
          <w:rFonts w:ascii="仿宋" w:hAnsi="仿宋" w:eastAsia="仿宋" w:cs="仿宋"/>
          <w:color w:val="auto"/>
          <w:highlight w:val="none"/>
        </w:rPr>
      </w:pPr>
    </w:p>
    <w:p>
      <w:pPr>
        <w:spacing w:after="0" w:line="360" w:lineRule="auto"/>
        <w:jc w:val="right"/>
        <w:rPr>
          <w:rFonts w:ascii="仿宋" w:hAnsi="仿宋" w:eastAsia="仿宋" w:cs="仿宋"/>
          <w:color w:val="auto"/>
          <w:sz w:val="24"/>
          <w:szCs w:val="32"/>
          <w:highlight w:val="none"/>
          <w:lang w:val="zh-CN"/>
        </w:rPr>
      </w:pPr>
      <w:r>
        <w:rPr>
          <w:rFonts w:hint="eastAsia" w:ascii="仿宋" w:hAnsi="仿宋" w:eastAsia="仿宋" w:cs="仿宋"/>
          <w:color w:val="auto"/>
          <w:sz w:val="24"/>
          <w:szCs w:val="32"/>
          <w:highlight w:val="none"/>
          <w:lang w:val="zh-CN"/>
        </w:rPr>
        <w:t>招标代理机构：利阳致诚国际项目管理有限公司</w:t>
      </w:r>
    </w:p>
    <w:p>
      <w:pPr>
        <w:spacing w:after="0" w:line="360" w:lineRule="auto"/>
        <w:rPr>
          <w:rFonts w:ascii="仿宋" w:hAnsi="仿宋" w:eastAsia="仿宋" w:cs="仿宋"/>
          <w:color w:val="auto"/>
          <w:sz w:val="24"/>
          <w:highlight w:val="none"/>
        </w:rPr>
      </w:pPr>
      <w:bookmarkStart w:id="2" w:name="_Hlt101233737"/>
      <w:bookmarkEnd w:id="2"/>
      <w:bookmarkStart w:id="3" w:name="_Hlt101843627"/>
      <w:bookmarkEnd w:id="3"/>
      <w:bookmarkStart w:id="4" w:name="_Toc24584"/>
      <w:bookmarkStart w:id="5" w:name="_Toc6066"/>
    </w:p>
    <w:p>
      <w:pPr>
        <w:spacing w:after="0" w:line="360" w:lineRule="auto"/>
        <w:jc w:val="center"/>
        <w:rPr>
          <w:rFonts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8"/>
          <w:szCs w:val="28"/>
          <w:highlight w:val="none"/>
        </w:rPr>
        <w:t>温馨提示</w:t>
      </w:r>
    </w:p>
    <w:p>
      <w:pPr>
        <w:spacing w:after="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各供应商：</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欢迎参与本次采购活动，为优化政府采购营商环境，减少供应商参加政府采购活动成本，温馨提示如下：</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一、报名：注意报名的截止时间、报名的方式以及需要提供的资料，任何一项不满足的将拒绝接收。</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保证金：如项目收取保证金，供应商应在规定截止时间前足额交纳，以到账时间为准。未中标（成交）供应商的保证金将在结果公告后5个工作日内原路径退还，中标（成交）供应商应凭借采购合同复印件办理保证金退还，我司将在5个工作日内原路径退还。</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三、制作投标（响应）文件：注意采购文件中的资格要求和实质性要求，任何一条不满足的将作无效处理。注意采购文件中的评分要求，未按要求提供证明材料的将不予认可。</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四、投标（响应）：注意投标（响应）截止时间和递交文件的地点，未按要求密封或逾期送达的将拒绝接收。</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五、结果查询：结果公告将在发布采购公告的同一网站进行公布，供应商应自行关注，任何询问项目评审情况和中标（成交）情况的行为都将被拒绝。</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六、服务费：中标（成交）结果公布后，中标（成交）人应及时足额缴纳服务费，我司在收到服务费后才可开具发票。</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中标（成交）通知书：我司工作人员将在项目结果公告发布时通知中标（成交）的供应商领取中标（成交）通知书，中标（成交）人应携带单位介绍信原件及领取人身份证复印件（原件备查）前往我司办理领手续。</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八、采购合同：中标（成交）人应在招标文件规定的期限内凭中标（成交）通知书与采购人签订采购合同。</w:t>
      </w:r>
    </w:p>
    <w:p>
      <w:pPr>
        <w:spacing w:after="0" w:line="360" w:lineRule="auto"/>
        <w:ind w:firstLine="420" w:firstLineChars="200"/>
        <w:jc w:val="center"/>
        <w:rPr>
          <w:rFonts w:ascii="仿宋" w:hAnsi="仿宋" w:eastAsia="仿宋" w:cs="仿宋"/>
          <w:b/>
          <w:bCs/>
          <w:color w:val="auto"/>
          <w:sz w:val="40"/>
          <w:szCs w:val="40"/>
          <w:highlight w:val="none"/>
        </w:rPr>
      </w:pPr>
      <w:r>
        <w:rPr>
          <w:rFonts w:hint="eastAsia" w:ascii="仿宋" w:hAnsi="仿宋" w:eastAsia="仿宋" w:cs="仿宋"/>
          <w:color w:val="auto"/>
          <w:highlight w:val="none"/>
          <w:lang w:val="zh-CN"/>
        </w:rPr>
        <w:br w:type="page"/>
      </w:r>
      <w:r>
        <w:rPr>
          <w:rFonts w:hint="eastAsia" w:ascii="仿宋" w:hAnsi="仿宋" w:eastAsia="仿宋" w:cs="仿宋"/>
          <w:b/>
          <w:bCs/>
          <w:color w:val="auto"/>
          <w:sz w:val="40"/>
          <w:szCs w:val="40"/>
          <w:highlight w:val="none"/>
        </w:rPr>
        <w:t>目  录</w:t>
      </w:r>
    </w:p>
    <w:p>
      <w:pPr>
        <w:spacing w:after="0" w:line="360" w:lineRule="auto"/>
        <w:rPr>
          <w:rFonts w:ascii="仿宋" w:hAnsi="仿宋" w:eastAsia="仿宋" w:cs="仿宋"/>
          <w:color w:val="auto"/>
          <w:highlight w:val="none"/>
        </w:rPr>
      </w:pPr>
    </w:p>
    <w:p>
      <w:pPr>
        <w:pStyle w:val="23"/>
        <w:tabs>
          <w:tab w:val="right" w:leader="dot" w:pos="8959"/>
        </w:tabs>
        <w:spacing w:after="0" w:line="720" w:lineRule="auto"/>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"1-1" \h \u </w:instrText>
      </w:r>
      <w:r>
        <w:rPr>
          <w:rFonts w:hint="eastAsia" w:ascii="仿宋" w:hAnsi="仿宋" w:eastAsia="仿宋" w:cs="仿宋"/>
          <w:color w:val="auto"/>
          <w:sz w:val="24"/>
          <w:highlight w:val="none"/>
        </w:rPr>
        <w:fldChar w:fldCharType="separate"/>
      </w:r>
      <w:r>
        <w:rPr>
          <w:color w:val="auto"/>
          <w:highlight w:val="none"/>
        </w:rPr>
        <w:fldChar w:fldCharType="begin"/>
      </w:r>
      <w:r>
        <w:rPr>
          <w:color w:val="auto"/>
          <w:highlight w:val="none"/>
        </w:rPr>
        <w:instrText xml:space="preserve"> HYPERLINK \l "_Toc31963" </w:instrText>
      </w:r>
      <w:r>
        <w:rPr>
          <w:color w:val="auto"/>
          <w:highlight w:val="none"/>
        </w:rPr>
        <w:fldChar w:fldCharType="separate"/>
      </w:r>
      <w:r>
        <w:rPr>
          <w:rFonts w:hint="eastAsia" w:ascii="仿宋" w:hAnsi="仿宋" w:eastAsia="仿宋" w:cs="仿宋"/>
          <w:color w:val="auto"/>
          <w:sz w:val="24"/>
          <w:highlight w:val="none"/>
        </w:rPr>
        <w:t>政府采购廉洁承诺书</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_Toc31963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23"/>
        <w:tabs>
          <w:tab w:val="right" w:leader="dot" w:pos="8959"/>
        </w:tabs>
        <w:spacing w:after="0" w:line="720" w:lineRule="auto"/>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\l "_Toc4846" </w:instrText>
      </w:r>
      <w:r>
        <w:rPr>
          <w:color w:val="auto"/>
          <w:highlight w:val="none"/>
        </w:rPr>
        <w:fldChar w:fldCharType="separate"/>
      </w:r>
      <w:r>
        <w:rPr>
          <w:rFonts w:hint="eastAsia" w:ascii="仿宋" w:hAnsi="仿宋" w:eastAsia="仿宋" w:cs="仿宋"/>
          <w:color w:val="auto"/>
          <w:sz w:val="24"/>
          <w:highlight w:val="none"/>
        </w:rPr>
        <w:t>第一章  投标邀请</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_Toc4846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23"/>
        <w:tabs>
          <w:tab w:val="right" w:leader="dot" w:pos="8959"/>
        </w:tabs>
        <w:spacing w:after="0" w:line="720" w:lineRule="auto"/>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\l "_Toc20109" </w:instrText>
      </w:r>
      <w:r>
        <w:rPr>
          <w:color w:val="auto"/>
          <w:highlight w:val="none"/>
        </w:rPr>
        <w:fldChar w:fldCharType="separate"/>
      </w:r>
      <w:r>
        <w:rPr>
          <w:rFonts w:hint="eastAsia" w:ascii="仿宋" w:hAnsi="仿宋" w:eastAsia="仿宋" w:cs="仿宋"/>
          <w:color w:val="auto"/>
          <w:sz w:val="24"/>
          <w:highlight w:val="none"/>
        </w:rPr>
        <w:t>第二章  投标人须知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_Toc20109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23"/>
        <w:tabs>
          <w:tab w:val="right" w:leader="dot" w:pos="8959"/>
        </w:tabs>
        <w:spacing w:after="0" w:line="720" w:lineRule="auto"/>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\l "_Toc14613" </w:instrText>
      </w:r>
      <w:r>
        <w:rPr>
          <w:color w:val="auto"/>
          <w:highlight w:val="none"/>
        </w:rPr>
        <w:fldChar w:fldCharType="separate"/>
      </w:r>
      <w:r>
        <w:rPr>
          <w:rFonts w:hint="eastAsia" w:ascii="仿宋" w:hAnsi="仿宋" w:eastAsia="仿宋" w:cs="仿宋"/>
          <w:color w:val="auto"/>
          <w:sz w:val="24"/>
          <w:highlight w:val="none"/>
        </w:rPr>
        <w:t>第三章  投标文件格式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_Toc14613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25</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23"/>
        <w:tabs>
          <w:tab w:val="right" w:leader="dot" w:pos="8959"/>
        </w:tabs>
        <w:spacing w:after="0" w:line="720" w:lineRule="auto"/>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\l "_Toc7295" </w:instrText>
      </w:r>
      <w:r>
        <w:rPr>
          <w:color w:val="auto"/>
          <w:highlight w:val="none"/>
        </w:rPr>
        <w:fldChar w:fldCharType="separate"/>
      </w:r>
      <w:r>
        <w:rPr>
          <w:rFonts w:hint="eastAsia" w:ascii="仿宋" w:hAnsi="仿宋" w:eastAsia="仿宋" w:cs="仿宋"/>
          <w:color w:val="auto"/>
          <w:sz w:val="24"/>
          <w:highlight w:val="none"/>
        </w:rPr>
        <w:t>第四章  招标项目服务、商务及其他要求</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_Toc7295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52</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23"/>
        <w:tabs>
          <w:tab w:val="right" w:leader="dot" w:pos="8959"/>
        </w:tabs>
        <w:spacing w:after="0" w:line="720" w:lineRule="auto"/>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\l "_Toc22447" </w:instrText>
      </w:r>
      <w:r>
        <w:rPr>
          <w:color w:val="auto"/>
          <w:highlight w:val="none"/>
        </w:rPr>
        <w:fldChar w:fldCharType="separate"/>
      </w:r>
      <w:r>
        <w:rPr>
          <w:rFonts w:hint="eastAsia" w:ascii="仿宋" w:hAnsi="仿宋" w:eastAsia="仿宋" w:cs="仿宋"/>
          <w:bCs/>
          <w:color w:val="auto"/>
          <w:sz w:val="24"/>
          <w:highlight w:val="none"/>
        </w:rPr>
        <w:t>第五章  资格性审查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_Toc22447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85</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23"/>
        <w:tabs>
          <w:tab w:val="right" w:leader="dot" w:pos="8959"/>
        </w:tabs>
        <w:spacing w:after="0" w:line="720" w:lineRule="auto"/>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\l "_Toc19078" </w:instrText>
      </w:r>
      <w:r>
        <w:rPr>
          <w:color w:val="auto"/>
          <w:highlight w:val="none"/>
        </w:rPr>
        <w:fldChar w:fldCharType="separate"/>
      </w:r>
      <w:r>
        <w:rPr>
          <w:rFonts w:hint="eastAsia" w:ascii="仿宋" w:hAnsi="仿宋" w:eastAsia="仿宋" w:cs="仿宋"/>
          <w:bCs/>
          <w:color w:val="auto"/>
          <w:sz w:val="24"/>
          <w:highlight w:val="none"/>
        </w:rPr>
        <w:t>第六章  评标办法</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_Toc19078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88</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23"/>
        <w:tabs>
          <w:tab w:val="right" w:leader="dot" w:pos="8959"/>
        </w:tabs>
        <w:spacing w:after="0" w:line="720" w:lineRule="auto"/>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\l "_Toc18105" </w:instrText>
      </w:r>
      <w:r>
        <w:rPr>
          <w:color w:val="auto"/>
          <w:highlight w:val="none"/>
        </w:rPr>
        <w:fldChar w:fldCharType="separate"/>
      </w:r>
      <w:r>
        <w:rPr>
          <w:rFonts w:hint="eastAsia" w:ascii="仿宋" w:hAnsi="仿宋" w:eastAsia="仿宋" w:cs="仿宋"/>
          <w:color w:val="auto"/>
          <w:sz w:val="24"/>
          <w:highlight w:val="none"/>
        </w:rPr>
        <w:t>第七章  政府采购合同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_Toc18105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99</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tabs>
          <w:tab w:val="left" w:pos="7665"/>
        </w:tabs>
        <w:spacing w:after="0" w:line="360" w:lineRule="auto"/>
        <w:rPr>
          <w:rFonts w:ascii="仿宋" w:hAnsi="仿宋" w:eastAsia="仿宋" w:cs="仿宋"/>
          <w:color w:val="auto"/>
          <w:sz w:val="28"/>
          <w:szCs w:val="28"/>
          <w:highlight w:val="none"/>
        </w:rPr>
        <w:sectPr>
          <w:footerReference r:id="rId6" w:type="default"/>
          <w:pgSz w:w="11907" w:h="16840"/>
          <w:pgMar w:top="1440" w:right="1800" w:bottom="1440" w:left="1800" w:header="851" w:footer="992" w:gutter="0"/>
          <w:pgNumType w:fmt="decimal" w:start="1"/>
          <w:cols w:space="720" w:num="1"/>
          <w:docGrid w:linePitch="312" w:charSpace="0"/>
        </w:sectPr>
      </w:pPr>
      <w:r>
        <w:rPr>
          <w:rFonts w:hint="eastAsia" w:ascii="仿宋" w:hAnsi="仿宋" w:eastAsia="仿宋" w:cs="仿宋"/>
          <w:color w:val="auto"/>
          <w:highlight w:val="none"/>
        </w:rPr>
        <w:br w:type="page"/>
      </w:r>
      <w:r>
        <w:rPr>
          <w:rFonts w:hint="eastAsia" w:ascii="仿宋" w:hAnsi="仿宋" w:eastAsia="仿宋" w:cs="仿宋"/>
          <w:color w:val="auto"/>
          <w:sz w:val="24"/>
          <w:highlight w:val="none"/>
        </w:rPr>
        <w:fldChar w:fldCharType="end"/>
      </w:r>
    </w:p>
    <w:p>
      <w:pPr>
        <w:pStyle w:val="4"/>
        <w:spacing w:before="0" w:after="0" w:line="360" w:lineRule="auto"/>
        <w:jc w:val="center"/>
        <w:rPr>
          <w:rFonts w:ascii="仿宋" w:hAnsi="仿宋" w:eastAsia="仿宋" w:cs="仿宋"/>
          <w:color w:val="auto"/>
          <w:highlight w:val="none"/>
        </w:rPr>
      </w:pPr>
      <w:bookmarkStart w:id="6" w:name="_Toc6089_WPSOffice_Level1"/>
      <w:bookmarkStart w:id="7" w:name="_Toc27327"/>
      <w:bookmarkStart w:id="8" w:name="_Toc4846"/>
      <w:r>
        <w:rPr>
          <w:rFonts w:hint="eastAsia" w:ascii="仿宋" w:hAnsi="仿宋" w:eastAsia="仿宋" w:cs="仿宋"/>
          <w:color w:val="auto"/>
          <w:highlight w:val="none"/>
        </w:rPr>
        <w:t>第一章  投标邀请</w:t>
      </w:r>
      <w:bookmarkEnd w:id="4"/>
      <w:bookmarkEnd w:id="5"/>
      <w:bookmarkEnd w:id="6"/>
      <w:bookmarkEnd w:id="7"/>
      <w:bookmarkEnd w:id="8"/>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利阳致诚国际项目管理有限公司受成都市公安局青羊区分局委托，拟对</w:t>
      </w:r>
      <w:bookmarkStart w:id="9" w:name="PO_默认文件内容_4"/>
      <w:r>
        <w:rPr>
          <w:rFonts w:hint="eastAsia" w:ascii="仿宋" w:hAnsi="仿宋" w:eastAsia="仿宋" w:cs="仿宋"/>
          <w:color w:val="auto"/>
          <w:sz w:val="24"/>
          <w:highlight w:val="none"/>
        </w:rPr>
        <w:t>成都市公安局青羊区分局2022-2025年“天网”视频租赁服务采购项目进行国内公开招标，兹邀请符合本次招标要求的供应商参加投标。</w:t>
      </w:r>
      <w:bookmarkEnd w:id="9"/>
    </w:p>
    <w:p>
      <w:pPr>
        <w:spacing w:after="0" w:line="360" w:lineRule="auto"/>
        <w:ind w:firstLine="482" w:firstLineChars="200"/>
        <w:rPr>
          <w:rFonts w:ascii="仿宋" w:hAnsi="仿宋" w:eastAsia="仿宋" w:cs="仿宋"/>
          <w:bCs/>
          <w:color w:val="auto"/>
          <w:sz w:val="24"/>
          <w:highlight w:val="none"/>
        </w:rPr>
      </w:pPr>
      <w:r>
        <w:rPr>
          <w:rFonts w:hint="eastAsia" w:ascii="仿宋" w:hAnsi="仿宋" w:eastAsia="仿宋" w:cs="仿宋"/>
          <w:b/>
          <w:color w:val="auto"/>
          <w:sz w:val="24"/>
          <w:highlight w:val="none"/>
        </w:rPr>
        <w:t>一、项目编号：</w:t>
      </w:r>
      <w:r>
        <w:rPr>
          <w:rFonts w:hint="eastAsia" w:ascii="仿宋" w:hAnsi="仿宋" w:eastAsia="仿宋" w:cs="仿宋"/>
          <w:bCs/>
          <w:color w:val="auto"/>
          <w:sz w:val="24"/>
          <w:highlight w:val="none"/>
          <w:lang w:eastAsia="zh-CN"/>
        </w:rPr>
        <w:t>510105202200014</w:t>
      </w:r>
      <w:r>
        <w:rPr>
          <w:rFonts w:hint="eastAsia" w:ascii="仿宋" w:hAnsi="仿宋" w:eastAsia="仿宋" w:cs="仿宋"/>
          <w:bCs/>
          <w:color w:val="auto"/>
          <w:sz w:val="24"/>
          <w:highlight w:val="none"/>
        </w:rPr>
        <w:t>。</w:t>
      </w:r>
    </w:p>
    <w:p>
      <w:pPr>
        <w:spacing w:after="0" w:line="360" w:lineRule="auto"/>
        <w:ind w:firstLine="482" w:firstLineChars="200"/>
        <w:rPr>
          <w:rFonts w:ascii="仿宋" w:hAnsi="仿宋" w:eastAsia="仿宋" w:cs="仿宋"/>
          <w:b/>
          <w:color w:val="auto"/>
          <w:sz w:val="24"/>
          <w:highlight w:val="none"/>
        </w:rPr>
      </w:pPr>
      <w:r>
        <w:rPr>
          <w:rFonts w:hint="eastAsia" w:ascii="仿宋" w:hAnsi="仿宋" w:eastAsia="仿宋" w:cs="仿宋"/>
          <w:b/>
          <w:bCs/>
          <w:color w:val="auto"/>
          <w:sz w:val="24"/>
          <w:highlight w:val="none"/>
        </w:rPr>
        <w:t>二、</w:t>
      </w: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rPr>
        <w:t>成都市公安局青羊区分局2022-2025年“天网”视频租赁服务采购项目。</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color w:val="auto"/>
          <w:sz w:val="24"/>
          <w:highlight w:val="none"/>
        </w:rPr>
        <w:t>三、资金来源：</w:t>
      </w:r>
      <w:r>
        <w:rPr>
          <w:rFonts w:hint="eastAsia" w:ascii="仿宋" w:hAnsi="仿宋" w:eastAsia="仿宋" w:cs="仿宋"/>
          <w:color w:val="auto"/>
          <w:sz w:val="24"/>
          <w:highlight w:val="none"/>
        </w:rPr>
        <w:t>财政性资金。</w:t>
      </w:r>
    </w:p>
    <w:p>
      <w:pPr>
        <w:adjustRightInd w:val="0"/>
        <w:snapToGrid w:val="0"/>
        <w:spacing w:after="0" w:line="360" w:lineRule="auto"/>
        <w:ind w:firstLine="460" w:firstLineChars="191"/>
        <w:rPr>
          <w:rFonts w:ascii="仿宋" w:hAnsi="仿宋" w:eastAsia="仿宋" w:cs="仿宋"/>
          <w:color w:val="auto"/>
          <w:sz w:val="24"/>
          <w:highlight w:val="none"/>
        </w:rPr>
      </w:pPr>
      <w:r>
        <w:rPr>
          <w:rFonts w:hint="eastAsia" w:ascii="仿宋" w:hAnsi="仿宋" w:eastAsia="仿宋" w:cs="仿宋"/>
          <w:b/>
          <w:color w:val="auto"/>
          <w:sz w:val="24"/>
          <w:highlight w:val="none"/>
        </w:rPr>
        <w:t>四</w:t>
      </w: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招标项目简介：</w:t>
      </w:r>
      <w:r>
        <w:rPr>
          <w:rFonts w:hint="eastAsia" w:ascii="仿宋" w:hAnsi="仿宋" w:eastAsia="仿宋" w:cs="仿宋"/>
          <w:bCs/>
          <w:color w:val="auto"/>
          <w:sz w:val="24"/>
          <w:highlight w:val="none"/>
        </w:rPr>
        <w:t>本次项目共一个包，具体详见第四章。</w:t>
      </w:r>
    </w:p>
    <w:p>
      <w:pPr>
        <w:pStyle w:val="76"/>
        <w:spacing w:after="0"/>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五、供应商参加本次政府采购活动，应当在提交投标文件前具备下列条件：</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（一）满足《中华人民共和国政府采购法》第二十二条下列规定：</w:t>
      </w:r>
    </w:p>
    <w:p>
      <w:pPr>
        <w:pStyle w:val="76"/>
        <w:spacing w:after="0"/>
        <w:ind w:firstLine="480"/>
        <w:rPr>
          <w:rFonts w:ascii="仿宋" w:hAnsi="仿宋" w:eastAsia="仿宋" w:cs="仿宋"/>
          <w:color w:val="auto"/>
          <w:sz w:val="24"/>
          <w:highlight w:val="none"/>
        </w:rPr>
      </w:pPr>
      <w:bookmarkStart w:id="10" w:name="PO_供应商资格条件_1"/>
      <w:r>
        <w:rPr>
          <w:rFonts w:hint="eastAsia" w:ascii="仿宋" w:hAnsi="仿宋" w:eastAsia="仿宋" w:cs="仿宋"/>
          <w:color w:val="auto"/>
          <w:sz w:val="24"/>
          <w:highlight w:val="none"/>
        </w:rPr>
        <w:t>1.具有独立承担民事责任的能力；</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3.具有履行合同所必须的设备和专业技术能力；</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4.具有依法缴纳税收和社会保障资金的良好记录；</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5.参加本次政府采购活动前三年内，在经营活动中没有重大违法记录；</w:t>
      </w:r>
    </w:p>
    <w:p>
      <w:pPr>
        <w:pStyle w:val="76"/>
        <w:spacing w:after="0"/>
        <w:ind w:firstLine="480"/>
        <w:rPr>
          <w:rFonts w:ascii="仿宋" w:hAnsi="仿宋" w:eastAsia="仿宋" w:cs="仿宋"/>
          <w:color w:val="auto"/>
          <w:sz w:val="24"/>
          <w:highlight w:val="none"/>
        </w:rPr>
      </w:pPr>
      <w:r>
        <w:rPr>
          <w:rFonts w:hint="eastAsia" w:ascii="仿宋" w:hAnsi="仿宋" w:eastAsia="仿宋" w:cs="仿宋"/>
          <w:color w:val="auto"/>
          <w:sz w:val="24"/>
          <w:highlight w:val="none"/>
        </w:rPr>
        <w:t>6.符合法律、行政法规规定的其他条件。</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（二）落实政府采购政策需满足的资格要求：无。</w:t>
      </w:r>
    </w:p>
    <w:p>
      <w:pPr>
        <w:pStyle w:val="76"/>
        <w:spacing w:after="0"/>
        <w:ind w:firstLine="480"/>
        <w:rPr>
          <w:rFonts w:ascii="仿宋" w:hAnsi="仿宋" w:eastAsia="仿宋" w:cs="仿宋"/>
          <w:color w:val="auto"/>
          <w:sz w:val="24"/>
          <w:highlight w:val="none"/>
        </w:rPr>
      </w:pPr>
      <w:r>
        <w:rPr>
          <w:rFonts w:hint="eastAsia" w:ascii="仿宋" w:hAnsi="仿宋" w:eastAsia="仿宋" w:cs="仿宋"/>
          <w:color w:val="auto"/>
          <w:sz w:val="24"/>
          <w:highlight w:val="none"/>
        </w:rPr>
        <w:t>（三）根据采购项目提出的特殊条件：投标人为分支机构的需提供具备独立承担民事责任能力的总公司对分支机构的授权。</w:t>
      </w:r>
    </w:p>
    <w:bookmarkEnd w:id="10"/>
    <w:p>
      <w:pPr>
        <w:adjustRightInd w:val="0"/>
        <w:snapToGrid w:val="0"/>
        <w:spacing w:after="0" w:line="360" w:lineRule="auto"/>
        <w:ind w:firstLine="458" w:firstLineChars="191"/>
        <w:rPr>
          <w:rFonts w:ascii="仿宋" w:hAnsi="仿宋" w:eastAsia="仿宋" w:cs="仿宋"/>
          <w:color w:val="auto"/>
          <w:sz w:val="24"/>
          <w:highlight w:val="none"/>
        </w:rPr>
      </w:pPr>
      <w:r>
        <w:rPr>
          <w:rFonts w:hint="eastAsia" w:ascii="仿宋" w:hAnsi="仿宋" w:eastAsia="仿宋" w:cs="仿宋"/>
          <w:color w:val="auto"/>
          <w:sz w:val="24"/>
          <w:highlight w:val="none"/>
        </w:rPr>
        <w:t>（四）本政府采购项目不接受联合体投标。</w:t>
      </w:r>
    </w:p>
    <w:p>
      <w:pPr>
        <w:pStyle w:val="76"/>
        <w:spacing w:after="0"/>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六、禁止参加本次采购活动的供应商</w:t>
      </w:r>
    </w:p>
    <w:p>
      <w:pPr>
        <w:spacing w:after="0" w:line="360" w:lineRule="auto"/>
        <w:ind w:firstLine="480" w:firstLineChars="200"/>
        <w:rPr>
          <w:rFonts w:ascii="仿宋" w:hAnsi="仿宋" w:eastAsia="仿宋" w:cs="仿宋"/>
          <w:color w:val="auto"/>
          <w:sz w:val="24"/>
          <w:highlight w:val="none"/>
        </w:rPr>
      </w:pPr>
      <w:bookmarkStart w:id="11" w:name="PO_默认文件内容_7"/>
      <w:r>
        <w:rPr>
          <w:rFonts w:hint="eastAsia" w:ascii="仿宋" w:hAnsi="仿宋" w:eastAsia="仿宋" w:cs="仿宋"/>
          <w:color w:val="auto"/>
          <w:sz w:val="24"/>
          <w:highlight w:val="none"/>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w:t>
      </w:r>
    </w:p>
    <w:bookmarkEnd w:id="11"/>
    <w:p>
      <w:pPr>
        <w:spacing w:after="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七、招标文件获取时间、地点：</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招标文件获取时间：2022年0</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04</w:t>
      </w:r>
      <w:r>
        <w:rPr>
          <w:rFonts w:hint="eastAsia" w:ascii="仿宋" w:hAnsi="仿宋" w:eastAsia="仿宋" w:cs="仿宋"/>
          <w:color w:val="auto"/>
          <w:sz w:val="24"/>
          <w:highlight w:val="none"/>
        </w:rPr>
        <w:t>日至2022年0</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日（北京时间，节假日除外）。</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招标文件获取地点：政府采购云平台（https://www.zcygov.cn/）。</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招标文件获取方式：凡有意参加本项目者，在本项目招标文件获取时间期限内，登录政府采购云平台（https://www.zcygov.cn/）获取，操作步骤：登录政府采购云平台—我的工作台—项目采购—获取采购文件—申请获取采购文件。 提示：（1）本项目招标文件免费获取。（2）投标人只有在“政府采购云平台”完成获取招标文件申请并下载招标文件后才视作依法参与本项目。如未在“政府采购云平台”内完成相关流程，引起的投标无效责任自负。</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为电子招标投标项目，投标人参与本项目全过程中凡涉及系统操作请详见《供应商政府采购项目电子交易操作指南》。（操作指南以政府采购云平台网站发布为准，获取方式详见：附件三-政府采购云平台使用介绍）</w:t>
      </w:r>
    </w:p>
    <w:p>
      <w:pPr>
        <w:spacing w:after="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八、投标截止时间和开标时间：</w:t>
      </w:r>
      <w:bookmarkStart w:id="12" w:name="PO_开标时间_1"/>
      <w:r>
        <w:rPr>
          <w:rFonts w:hint="eastAsia" w:ascii="仿宋" w:hAnsi="仿宋" w:eastAsia="仿宋" w:cs="仿宋"/>
          <w:b/>
          <w:color w:val="auto"/>
          <w:sz w:val="24"/>
          <w:highlight w:val="none"/>
        </w:rPr>
        <w:t>2022年03</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24</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w:t>
      </w:r>
      <w:bookmarkEnd w:id="12"/>
      <w:r>
        <w:rPr>
          <w:rFonts w:hint="eastAsia" w:ascii="仿宋" w:hAnsi="仿宋" w:eastAsia="仿宋" w:cs="仿宋"/>
          <w:b/>
          <w:bCs/>
          <w:color w:val="auto"/>
          <w:sz w:val="24"/>
          <w:highlight w:val="none"/>
          <w:lang w:val="en-US" w:eastAsia="zh-CN"/>
        </w:rPr>
        <w:t>30</w:t>
      </w:r>
      <w:r>
        <w:rPr>
          <w:rFonts w:hint="eastAsia" w:ascii="仿宋" w:hAnsi="仿宋" w:eastAsia="仿宋" w:cs="仿宋"/>
          <w:color w:val="auto"/>
          <w:sz w:val="24"/>
          <w:highlight w:val="none"/>
        </w:rPr>
        <w:t>（北京时间）。</w:t>
      </w:r>
    </w:p>
    <w:p>
      <w:pPr>
        <w:pStyle w:val="13"/>
        <w:spacing w:after="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投标截止时间前，投标人应将加密的电子投标文件递交至“政府采购云平台”对应项目（包件）。</w:t>
      </w:r>
    </w:p>
    <w:p>
      <w:pPr>
        <w:spacing w:after="0"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九、开标地点：</w:t>
      </w:r>
      <w:r>
        <w:rPr>
          <w:rFonts w:hint="eastAsia" w:ascii="仿宋" w:hAnsi="仿宋" w:eastAsia="仿宋" w:cs="仿宋"/>
          <w:color w:val="auto"/>
          <w:sz w:val="24"/>
          <w:highlight w:val="none"/>
        </w:rPr>
        <w:t>（1）本项目为不见面开标项目；（2）开标地点：政府采购云平台(https://www.zcygov.cn)；（3）本项目只接受投标人加密并递交至“政府采购云平台”的投标文件。</w:t>
      </w:r>
    </w:p>
    <w:p>
      <w:pPr>
        <w:pStyle w:val="76"/>
        <w:spacing w:after="0"/>
        <w:ind w:firstLine="482"/>
        <w:rPr>
          <w:rFonts w:ascii="仿宋" w:hAnsi="仿宋" w:eastAsia="仿宋" w:cs="仿宋"/>
          <w:color w:val="auto"/>
          <w:sz w:val="24"/>
          <w:highlight w:val="none"/>
        </w:rPr>
      </w:pPr>
      <w:bookmarkStart w:id="13" w:name="PO_默认文件内容_13"/>
      <w:r>
        <w:rPr>
          <w:rFonts w:hint="eastAsia" w:ascii="仿宋" w:hAnsi="仿宋" w:eastAsia="仿宋" w:cs="仿宋"/>
          <w:b/>
          <w:color w:val="auto"/>
          <w:sz w:val="24"/>
          <w:highlight w:val="none"/>
        </w:rPr>
        <w:t>十、</w:t>
      </w:r>
      <w:r>
        <w:rPr>
          <w:rFonts w:hint="eastAsia" w:ascii="仿宋" w:hAnsi="仿宋" w:eastAsia="仿宋" w:cs="仿宋"/>
          <w:b/>
          <w:bCs/>
          <w:color w:val="auto"/>
          <w:sz w:val="24"/>
          <w:highlight w:val="none"/>
        </w:rPr>
        <w:t>本投标邀请在四川政府采购网（http://www.ccgp-sichuan.gov.cn）上以公告形式发布，公告期限为发布之日起5个工作日</w:t>
      </w:r>
      <w:bookmarkEnd w:id="13"/>
      <w:r>
        <w:rPr>
          <w:rFonts w:hint="eastAsia" w:ascii="仿宋" w:hAnsi="仿宋" w:eastAsia="仿宋" w:cs="仿宋"/>
          <w:b/>
          <w:bCs/>
          <w:color w:val="auto"/>
          <w:sz w:val="24"/>
          <w:highlight w:val="none"/>
        </w:rPr>
        <w:t>。</w:t>
      </w:r>
    </w:p>
    <w:p>
      <w:pPr>
        <w:pStyle w:val="76"/>
        <w:spacing w:after="0"/>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十一、供应商信用融资：</w:t>
      </w:r>
    </w:p>
    <w:p>
      <w:pPr>
        <w:pStyle w:val="76"/>
        <w:spacing w:after="0"/>
        <w:ind w:firstLine="480"/>
        <w:rPr>
          <w:rFonts w:ascii="仿宋" w:hAnsi="仿宋" w:eastAsia="仿宋" w:cs="仿宋"/>
          <w:color w:val="auto"/>
          <w:sz w:val="24"/>
          <w:highlight w:val="none"/>
        </w:rPr>
      </w:pPr>
      <w:r>
        <w:rPr>
          <w:rFonts w:hint="eastAsia" w:ascii="仿宋" w:hAnsi="仿宋" w:eastAsia="仿宋" w:cs="仿宋"/>
          <w:color w:val="auto"/>
          <w:sz w:val="24"/>
          <w:highlight w:val="none"/>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招标文件附件“成财采[2019]17号”）。</w:t>
      </w:r>
    </w:p>
    <w:p>
      <w:pPr>
        <w:pStyle w:val="76"/>
        <w:spacing w:after="0"/>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十二、联系方式</w:t>
      </w:r>
    </w:p>
    <w:p>
      <w:pPr>
        <w:adjustRightInd w:val="0"/>
        <w:snapToGrid w:val="0"/>
        <w:spacing w:after="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（一）采购人信息：</w:t>
      </w:r>
    </w:p>
    <w:p>
      <w:pPr>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名称：成都市公安局青羊区分局；</w:t>
      </w:r>
    </w:p>
    <w:p>
      <w:pPr>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地址：成都市江汉路13号；</w:t>
      </w:r>
    </w:p>
    <w:p>
      <w:pPr>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联系人：秦老师；</w:t>
      </w:r>
    </w:p>
    <w:p>
      <w:pPr>
        <w:ind w:firstLine="480" w:firstLineChars="200"/>
        <w:rPr>
          <w:rFonts w:ascii="仿宋" w:hAnsi="仿宋" w:eastAsia="仿宋" w:cs="仿宋"/>
          <w:bCs/>
          <w:color w:val="auto"/>
          <w:sz w:val="24"/>
          <w:highlight w:val="none"/>
        </w:rPr>
      </w:pPr>
      <w:r>
        <w:rPr>
          <w:rFonts w:hint="eastAsia" w:ascii="仿宋" w:hAnsi="仿宋" w:eastAsia="仿宋" w:cs="仿宋"/>
          <w:color w:val="auto"/>
          <w:sz w:val="24"/>
          <w:szCs w:val="32"/>
          <w:highlight w:val="none"/>
        </w:rPr>
        <w:t>联系电话：</w:t>
      </w:r>
      <w:r>
        <w:rPr>
          <w:rFonts w:hint="eastAsia" w:ascii="仿宋" w:hAnsi="仿宋" w:eastAsia="仿宋" w:cs="仿宋"/>
          <w:color w:val="auto"/>
          <w:sz w:val="24"/>
          <w:szCs w:val="32"/>
          <w:highlight w:val="none"/>
          <w:lang w:val="en-US" w:eastAsia="zh-CN"/>
        </w:rPr>
        <w:t>028-86406055</w:t>
      </w:r>
      <w:r>
        <w:rPr>
          <w:rFonts w:hint="eastAsia" w:ascii="仿宋" w:hAnsi="仿宋" w:eastAsia="仿宋" w:cs="仿宋"/>
          <w:color w:val="auto"/>
          <w:sz w:val="24"/>
          <w:szCs w:val="32"/>
          <w:highlight w:val="none"/>
        </w:rPr>
        <w:t>。</w:t>
      </w:r>
    </w:p>
    <w:p>
      <w:pPr>
        <w:adjustRightInd w:val="0"/>
        <w:snapToGrid w:val="0"/>
        <w:spacing w:after="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（二）采购代理机构信息：</w:t>
      </w:r>
    </w:p>
    <w:p>
      <w:pPr>
        <w:spacing w:after="0"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名称:利阳致诚国际项目管理有限公司；</w:t>
      </w:r>
    </w:p>
    <w:p>
      <w:pPr>
        <w:spacing w:after="0"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地址:四川省成都市武侯区交子大道33号中国华商金融中心T1- 1201；</w:t>
      </w:r>
    </w:p>
    <w:p>
      <w:pPr>
        <w:spacing w:after="0"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联系方式:17318680207</w:t>
      </w:r>
    </w:p>
    <w:p>
      <w:pPr>
        <w:adjustRightInd w:val="0"/>
        <w:snapToGrid w:val="0"/>
        <w:spacing w:after="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（三）项目联系方式:</w:t>
      </w:r>
    </w:p>
    <w:p>
      <w:pPr>
        <w:spacing w:after="0"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项目联系人:欧女士；</w:t>
      </w:r>
    </w:p>
    <w:p>
      <w:pPr>
        <w:spacing w:after="0"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电话:17318680207</w:t>
      </w:r>
    </w:p>
    <w:p>
      <w:pPr>
        <w:spacing w:after="0" w:line="360" w:lineRule="auto"/>
        <w:ind w:firstLine="480" w:firstLineChars="200"/>
        <w:jc w:val="left"/>
        <w:rPr>
          <w:rFonts w:ascii="仿宋" w:hAnsi="仿宋" w:eastAsia="仿宋" w:cs="仿宋"/>
          <w:bCs/>
          <w:color w:val="auto"/>
          <w:sz w:val="24"/>
          <w:highlight w:val="none"/>
        </w:rPr>
      </w:pPr>
    </w:p>
    <w:p>
      <w:pPr>
        <w:pStyle w:val="4"/>
        <w:spacing w:before="0" w:after="0" w:line="360" w:lineRule="auto"/>
        <w:jc w:val="center"/>
        <w:rPr>
          <w:rFonts w:ascii="仿宋" w:hAnsi="仿宋" w:eastAsia="仿宋" w:cs="仿宋"/>
          <w:color w:val="auto"/>
          <w:highlight w:val="none"/>
        </w:rPr>
      </w:pPr>
      <w:r>
        <w:rPr>
          <w:rFonts w:hint="eastAsia" w:ascii="仿宋" w:hAnsi="仿宋" w:eastAsia="仿宋" w:cs="仿宋"/>
          <w:b w:val="0"/>
          <w:bCs w:val="0"/>
          <w:color w:val="auto"/>
          <w:highlight w:val="none"/>
        </w:rPr>
        <w:br w:type="page"/>
      </w:r>
      <w:bookmarkStart w:id="14" w:name="_Toc20109"/>
      <w:bookmarkStart w:id="15" w:name="_Toc16838_WPSOffice_Level1"/>
      <w:bookmarkStart w:id="16" w:name="_Toc12497"/>
      <w:bookmarkStart w:id="17" w:name="_Toc24500"/>
      <w:bookmarkStart w:id="18" w:name="_Toc12420"/>
      <w:bookmarkStart w:id="19" w:name="_Toc213396945"/>
      <w:bookmarkStart w:id="20" w:name="_Toc217446031"/>
      <w:bookmarkStart w:id="21" w:name="_Toc213496267"/>
      <w:bookmarkStart w:id="22" w:name="_Toc213396759"/>
      <w:bookmarkStart w:id="23" w:name="_Toc213397009"/>
      <w:bookmarkStart w:id="464" w:name="_GoBack"/>
      <w:bookmarkEnd w:id="464"/>
      <w:r>
        <w:rPr>
          <w:rFonts w:hint="eastAsia" w:ascii="仿宋" w:hAnsi="仿宋" w:eastAsia="仿宋" w:cs="仿宋"/>
          <w:color w:val="auto"/>
          <w:highlight w:val="none"/>
        </w:rPr>
        <w:t>第二章  投标人须知</w:t>
      </w:r>
      <w:bookmarkEnd w:id="14"/>
      <w:bookmarkEnd w:id="15"/>
      <w:bookmarkEnd w:id="16"/>
      <w:bookmarkEnd w:id="17"/>
      <w:bookmarkEnd w:id="18"/>
    </w:p>
    <w:p>
      <w:pPr>
        <w:pStyle w:val="5"/>
        <w:spacing w:before="0"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t>一、投标人须知附表</w:t>
      </w:r>
    </w:p>
    <w:bookmarkEnd w:id="19"/>
    <w:bookmarkEnd w:id="20"/>
    <w:bookmarkEnd w:id="21"/>
    <w:bookmarkEnd w:id="22"/>
    <w:bookmarkEnd w:id="23"/>
    <w:tbl>
      <w:tblPr>
        <w:tblStyle w:val="34"/>
        <w:tblW w:w="9354"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55"/>
        <w:gridCol w:w="1666"/>
        <w:gridCol w:w="713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55" w:type="dxa"/>
            <w:vAlign w:val="center"/>
          </w:tcPr>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序号</w:t>
            </w:r>
          </w:p>
        </w:tc>
        <w:tc>
          <w:tcPr>
            <w:tcW w:w="1666" w:type="dxa"/>
            <w:vAlign w:val="center"/>
          </w:tcPr>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条款名称</w:t>
            </w:r>
          </w:p>
        </w:tc>
        <w:tc>
          <w:tcPr>
            <w:tcW w:w="7133" w:type="dxa"/>
            <w:vAlign w:val="center"/>
          </w:tcPr>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Merge w:val="restart"/>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w:t>
            </w:r>
          </w:p>
        </w:tc>
        <w:tc>
          <w:tcPr>
            <w:tcW w:w="1666" w:type="dxa"/>
            <w:tcBorders>
              <w:bottom w:val="single" w:color="auto" w:sz="4" w:space="0"/>
            </w:tcBorders>
            <w:vAlign w:val="center"/>
          </w:tcPr>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采购预算</w:t>
            </w:r>
          </w:p>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（实质性要求）</w:t>
            </w:r>
          </w:p>
        </w:tc>
        <w:tc>
          <w:tcPr>
            <w:tcW w:w="7133" w:type="dxa"/>
            <w:tcBorders>
              <w:bottom w:val="single" w:color="auto" w:sz="4" w:space="0"/>
            </w:tcBorders>
          </w:tcPr>
          <w:p>
            <w:pPr>
              <w:pStyle w:val="82"/>
              <w:snapToGrid w:val="0"/>
              <w:spacing w:after="0" w:line="360"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预算金额：人民币1080万元/年，一招三年，合同一年一签；</w:t>
            </w:r>
          </w:p>
          <w:p>
            <w:pPr>
              <w:pStyle w:val="82"/>
              <w:snapToGrid w:val="0"/>
              <w:spacing w:after="0" w:line="360"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超过预算金额的投标为无效投标。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555" w:type="dxa"/>
            <w:vMerge w:val="continue"/>
            <w:vAlign w:val="center"/>
          </w:tcPr>
          <w:p>
            <w:pPr>
              <w:pStyle w:val="82"/>
              <w:snapToGrid w:val="0"/>
              <w:spacing w:after="0" w:line="360" w:lineRule="auto"/>
              <w:rPr>
                <w:rFonts w:ascii="仿宋" w:hAnsi="仿宋" w:eastAsia="仿宋" w:cs="仿宋"/>
                <w:color w:val="auto"/>
                <w:sz w:val="21"/>
                <w:szCs w:val="21"/>
                <w:highlight w:val="none"/>
                <w:lang w:val="zh-CN"/>
              </w:rPr>
            </w:pPr>
          </w:p>
        </w:tc>
        <w:tc>
          <w:tcPr>
            <w:tcW w:w="1666" w:type="dxa"/>
            <w:tcBorders>
              <w:top w:val="single" w:color="auto" w:sz="4" w:space="0"/>
            </w:tcBorders>
            <w:vAlign w:val="center"/>
          </w:tcPr>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最高限价</w:t>
            </w:r>
          </w:p>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（实质性要求）</w:t>
            </w:r>
          </w:p>
        </w:tc>
        <w:tc>
          <w:tcPr>
            <w:tcW w:w="7133" w:type="dxa"/>
            <w:tcBorders>
              <w:top w:val="single" w:color="auto" w:sz="4" w:space="0"/>
            </w:tcBorders>
          </w:tcPr>
          <w:p>
            <w:pPr>
              <w:pStyle w:val="82"/>
              <w:snapToGrid w:val="0"/>
              <w:spacing w:after="0" w:line="360"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最高限价：1080万元/年，一招三年，合同一年一签；</w:t>
            </w:r>
          </w:p>
          <w:p>
            <w:pPr>
              <w:pStyle w:val="82"/>
              <w:snapToGrid w:val="0"/>
              <w:spacing w:after="0" w:line="360"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超过最高限价的投标为无效投标。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Merge w:val="continue"/>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p>
        </w:tc>
        <w:tc>
          <w:tcPr>
            <w:tcW w:w="1666" w:type="dxa"/>
            <w:tcBorders>
              <w:right w:val="single" w:color="auto" w:sz="4" w:space="0"/>
            </w:tcBorders>
            <w:vAlign w:val="center"/>
          </w:tcPr>
          <w:p>
            <w:pPr>
              <w:pStyle w:val="100"/>
              <w:snapToGrid w:val="0"/>
              <w:spacing w:after="0"/>
              <w:ind w:firstLine="0" w:firstLineChars="0"/>
              <w:jc w:val="center"/>
              <w:rPr>
                <w:rFonts w:ascii="仿宋" w:hAnsi="仿宋" w:eastAsia="仿宋" w:cs="仿宋"/>
                <w:bCs/>
                <w:color w:val="auto"/>
                <w:sz w:val="21"/>
                <w:szCs w:val="21"/>
                <w:highlight w:val="none"/>
              </w:rPr>
            </w:pPr>
            <w:r>
              <w:rPr>
                <w:rFonts w:hint="eastAsia" w:ascii="仿宋" w:hAnsi="仿宋" w:eastAsia="仿宋" w:cs="仿宋"/>
                <w:color w:val="auto"/>
                <w:sz w:val="21"/>
                <w:szCs w:val="21"/>
                <w:highlight w:val="none"/>
              </w:rPr>
              <w:t>是否专门面向中小企业</w:t>
            </w:r>
          </w:p>
        </w:tc>
        <w:tc>
          <w:tcPr>
            <w:tcW w:w="7133" w:type="dxa"/>
            <w:tcBorders>
              <w:left w:val="single" w:color="auto" w:sz="4" w:space="0"/>
            </w:tcBorders>
            <w:vAlign w:val="center"/>
          </w:tcPr>
          <w:p>
            <w:pPr>
              <w:pStyle w:val="82"/>
              <w:snapToGrid w:val="0"/>
              <w:spacing w:after="0" w:line="360" w:lineRule="auto"/>
              <w:jc w:val="both"/>
              <w:rPr>
                <w:rFonts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Merge w:val="continue"/>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p>
        </w:tc>
        <w:tc>
          <w:tcPr>
            <w:tcW w:w="1666" w:type="dxa"/>
            <w:tcBorders>
              <w:right w:val="single" w:color="auto" w:sz="4" w:space="0"/>
            </w:tcBorders>
            <w:vAlign w:val="center"/>
          </w:tcPr>
          <w:p>
            <w:pPr>
              <w:pStyle w:val="100"/>
              <w:snapToGrid w:val="0"/>
              <w:spacing w:after="0"/>
              <w:ind w:firstLine="0" w:firstLineChars="0"/>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本项目中小企业划分所属行业</w:t>
            </w:r>
          </w:p>
        </w:tc>
        <w:tc>
          <w:tcPr>
            <w:tcW w:w="7133" w:type="dxa"/>
            <w:tcBorders>
              <w:left w:val="single" w:color="auto" w:sz="4" w:space="0"/>
            </w:tcBorders>
            <w:vAlign w:val="center"/>
          </w:tcPr>
          <w:p>
            <w:pPr>
              <w:pStyle w:val="82"/>
              <w:snapToGrid w:val="0"/>
              <w:spacing w:after="0" w:line="360" w:lineRule="auto"/>
              <w:jc w:val="both"/>
              <w:rPr>
                <w:rFonts w:ascii="仿宋" w:hAnsi="仿宋" w:eastAsia="仿宋" w:cs="仿宋"/>
                <w:bCs/>
                <w:color w:val="auto"/>
                <w:kern w:val="2"/>
                <w:sz w:val="21"/>
                <w:szCs w:val="21"/>
                <w:highlight w:val="none"/>
              </w:rPr>
            </w:pPr>
            <w:r>
              <w:rPr>
                <w:rFonts w:ascii="仿宋" w:hAnsi="仿宋" w:eastAsia="仿宋" w:cs="仿宋"/>
                <w:bCs/>
                <w:color w:val="auto"/>
                <w:kern w:val="2"/>
                <w:sz w:val="21"/>
                <w:szCs w:val="21"/>
                <w:highlight w:val="none"/>
              </w:rPr>
              <w:t>租赁和商务服务业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pStyle w:val="82"/>
              <w:snapToGrid w:val="0"/>
              <w:spacing w:after="0"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666" w:type="dxa"/>
            <w:vAlign w:val="center"/>
          </w:tcPr>
          <w:p>
            <w:pPr>
              <w:pStyle w:val="82"/>
              <w:snapToGrid w:val="0"/>
              <w:spacing w:after="0"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履约时间和履约地点</w:t>
            </w:r>
          </w:p>
        </w:tc>
        <w:tc>
          <w:tcPr>
            <w:tcW w:w="7133" w:type="dxa"/>
            <w:vAlign w:val="center"/>
          </w:tcPr>
          <w:p>
            <w:pPr>
              <w:pStyle w:val="82"/>
              <w:snapToGrid w:val="0"/>
              <w:spacing w:after="0" w:line="360" w:lineRule="auto"/>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1.履约时间：详见招标文件第四章。</w:t>
            </w:r>
          </w:p>
          <w:p>
            <w:pPr>
              <w:pStyle w:val="82"/>
              <w:snapToGrid w:val="0"/>
              <w:spacing w:after="0" w:line="360" w:lineRule="auto"/>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2.履约地点：详见招标文件第四章。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w:t>
            </w:r>
          </w:p>
        </w:tc>
        <w:tc>
          <w:tcPr>
            <w:tcW w:w="1666" w:type="dxa"/>
            <w:vAlign w:val="center"/>
          </w:tcPr>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低于成本价不正当竞争预防措施</w:t>
            </w:r>
          </w:p>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（实质性要求）</w:t>
            </w:r>
          </w:p>
        </w:tc>
        <w:tc>
          <w:tcPr>
            <w:tcW w:w="7133" w:type="dxa"/>
            <w:vAlign w:val="center"/>
          </w:tcPr>
          <w:p>
            <w:pPr>
              <w:pStyle w:val="82"/>
              <w:snapToGrid w:val="0"/>
              <w:spacing w:after="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82"/>
              <w:snapToGrid w:val="0"/>
              <w:spacing w:after="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82"/>
              <w:snapToGrid w:val="0"/>
              <w:spacing w:after="0" w:line="360" w:lineRule="auto"/>
              <w:jc w:val="both"/>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3.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w:t>
            </w:r>
          </w:p>
        </w:tc>
        <w:tc>
          <w:tcPr>
            <w:tcW w:w="1666" w:type="dxa"/>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进口产品</w:t>
            </w:r>
          </w:p>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（实质性要求）</w:t>
            </w:r>
          </w:p>
        </w:tc>
        <w:tc>
          <w:tcPr>
            <w:tcW w:w="7133" w:type="dxa"/>
            <w:vAlign w:val="center"/>
          </w:tcPr>
          <w:p>
            <w:pPr>
              <w:pStyle w:val="82"/>
              <w:snapToGrid w:val="0"/>
              <w:spacing w:after="0" w:line="360" w:lineRule="auto"/>
              <w:jc w:val="both"/>
              <w:rPr>
                <w:rFonts w:ascii="仿宋" w:hAnsi="仿宋" w:eastAsia="仿宋" w:cs="仿宋"/>
                <w:color w:val="auto"/>
                <w:sz w:val="21"/>
                <w:szCs w:val="21"/>
                <w:highlight w:val="none"/>
              </w:rPr>
            </w:pPr>
            <w:bookmarkStart w:id="24" w:name="PO_默认文件内容_15"/>
            <w:r>
              <w:rPr>
                <w:rFonts w:hint="eastAsia" w:ascii="仿宋" w:hAnsi="仿宋" w:eastAsia="仿宋" w:cs="仿宋"/>
                <w:color w:val="auto"/>
                <w:sz w:val="21"/>
                <w:szCs w:val="21"/>
                <w:highlight w:val="none"/>
              </w:rPr>
              <w:t>本项目不涉及</w:t>
            </w:r>
            <w:bookmarkEnd w:id="24"/>
            <w:r>
              <w:rPr>
                <w:rFonts w:hint="eastAsia" w:ascii="仿宋" w:hAnsi="仿宋" w:eastAsia="仿宋" w:cs="仿宋"/>
                <w:color w:val="auto"/>
                <w:sz w:val="21"/>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pStyle w:val="82"/>
              <w:snapToGrid w:val="0"/>
              <w:spacing w:after="0"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666" w:type="dxa"/>
            <w:vAlign w:val="center"/>
          </w:tcPr>
          <w:p>
            <w:pPr>
              <w:adjustRightInd w:val="0"/>
              <w:snapToGrid w:val="0"/>
              <w:spacing w:after="0"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政府采购节能、环境标志产品（实质性要求）</w:t>
            </w:r>
          </w:p>
        </w:tc>
        <w:tc>
          <w:tcPr>
            <w:tcW w:w="7133" w:type="dxa"/>
            <w:vAlign w:val="center"/>
          </w:tcPr>
          <w:p>
            <w:pPr>
              <w:spacing w:after="0" w:line="360" w:lineRule="auto"/>
              <w:ind w:right="105" w:rightChars="50"/>
              <w:rPr>
                <w:rFonts w:hint="eastAsia" w:ascii="仿宋" w:hAnsi="仿宋" w:eastAsia="仿宋" w:cs="仿宋"/>
                <w:b/>
                <w:bCs/>
                <w:color w:val="auto"/>
                <w:kern w:val="0"/>
                <w:szCs w:val="21"/>
                <w:highlight w:val="none"/>
                <w:lang w:eastAsia="zh-CN"/>
              </w:rPr>
            </w:pPr>
            <w:r>
              <w:rPr>
                <w:rFonts w:hint="eastAsia" w:ascii="仿宋" w:hAnsi="仿宋" w:eastAsia="仿宋" w:cs="仿宋"/>
                <w:b/>
                <w:bCs/>
                <w:color w:val="auto"/>
                <w:kern w:val="0"/>
                <w:szCs w:val="21"/>
                <w:highlight w:val="none"/>
              </w:rPr>
              <w:t>一、节能、环境标志产品</w:t>
            </w:r>
            <w:r>
              <w:rPr>
                <w:rFonts w:hint="eastAsia" w:ascii="仿宋" w:hAnsi="仿宋" w:eastAsia="仿宋" w:cs="仿宋"/>
                <w:b/>
                <w:bCs/>
                <w:color w:val="auto"/>
                <w:kern w:val="0"/>
                <w:szCs w:val="21"/>
                <w:highlight w:val="none"/>
                <w:lang w:eastAsia="zh-CN"/>
              </w:rPr>
              <w:t>（</w:t>
            </w:r>
            <w:r>
              <w:rPr>
                <w:rFonts w:hint="eastAsia" w:ascii="仿宋" w:hAnsi="仿宋" w:eastAsia="仿宋" w:cs="仿宋"/>
                <w:b/>
                <w:bCs/>
                <w:color w:val="auto"/>
                <w:kern w:val="0"/>
                <w:szCs w:val="21"/>
                <w:highlight w:val="none"/>
                <w:lang w:val="en-US" w:eastAsia="zh-CN"/>
              </w:rPr>
              <w:t>如涉及</w:t>
            </w:r>
            <w:r>
              <w:rPr>
                <w:rFonts w:hint="eastAsia" w:ascii="仿宋" w:hAnsi="仿宋" w:eastAsia="仿宋" w:cs="仿宋"/>
                <w:b/>
                <w:bCs/>
                <w:color w:val="auto"/>
                <w:kern w:val="0"/>
                <w:szCs w:val="21"/>
                <w:highlight w:val="none"/>
                <w:lang w:eastAsia="zh-CN"/>
              </w:rPr>
              <w:t>）</w:t>
            </w:r>
          </w:p>
          <w:p>
            <w:pPr>
              <w:spacing w:after="0" w:line="360" w:lineRule="auto"/>
              <w:ind w:right="105" w:rightChars="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pStyle w:val="23"/>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注：1.节能产品认证应依据国家相关标准的最新版本，依据国家能效标准中二级能效（水效）指标。</w:t>
            </w:r>
          </w:p>
          <w:p>
            <w:pPr>
              <w:pStyle w:val="23"/>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2.《节能产品政府采购品目清单》中产品认证标准发生变更的，依据原认证标准获得的、仍在有效期内的认证证书可使用至2019年6月1日。</w:t>
            </w:r>
          </w:p>
          <w:p>
            <w:pPr>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
                <w:color w:val="auto"/>
                <w:szCs w:val="21"/>
                <w:highlight w:val="none"/>
              </w:rPr>
              <w:t>节能产品政府采购品目清单内以“★”标注的为政府采购强制采购产品，属于强制采购产品品目内的产品，必须提供认证证书。</w:t>
            </w:r>
          </w:p>
          <w:p>
            <w:pPr>
              <w:pStyle w:val="82"/>
              <w:snapToGrid w:val="0"/>
              <w:spacing w:after="0" w:line="360" w:lineRule="auto"/>
              <w:jc w:val="both"/>
              <w:rPr>
                <w:rFonts w:ascii="仿宋" w:hAnsi="仿宋" w:eastAsia="仿宋" w:cs="仿宋"/>
                <w:color w:val="auto"/>
                <w:sz w:val="21"/>
                <w:szCs w:val="18"/>
                <w:highlight w:val="none"/>
              </w:rPr>
            </w:pPr>
            <w:r>
              <w:rPr>
                <w:rFonts w:hint="eastAsia" w:ascii="仿宋" w:hAnsi="仿宋" w:eastAsia="仿宋" w:cs="仿宋"/>
                <w:color w:val="auto"/>
                <w:sz w:val="21"/>
                <w:szCs w:val="18"/>
                <w:highlight w:val="none"/>
              </w:rPr>
              <w:t>4.环境标志产品认证应依据相关标准的最新版本。</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pStyle w:val="82"/>
              <w:snapToGrid w:val="0"/>
              <w:spacing w:after="0"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666" w:type="dxa"/>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政府采购扶持政策（实质性要求）</w:t>
            </w:r>
          </w:p>
        </w:tc>
        <w:tc>
          <w:tcPr>
            <w:tcW w:w="7133" w:type="dxa"/>
            <w:vAlign w:val="center"/>
          </w:tcPr>
          <w:p>
            <w:pPr>
              <w:numPr>
                <w:ilvl w:val="0"/>
                <w:numId w:val="1"/>
              </w:numPr>
              <w:adjustRightInd w:val="0"/>
              <w:snapToGrid w:val="0"/>
              <w:spacing w:after="0"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小微企业价格扣除</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（一）根据《政府采购促进中小企业发展管理办法》财库〔2020〕46号文的规定，对小型和微型企业产品的价格给予10%的价格扣除，用扣除后的价格参与评审。</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（二）参加政府采购活动的中小企业应当提供《中小企业声明函》原件。</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（三）供应商参加政府采购活动时，提供虚假《中小企业声明函》的，以提供虚假材料谋取成交处理，并追究法律责任。</w:t>
            </w:r>
          </w:p>
          <w:p>
            <w:pPr>
              <w:adjustRightInd w:val="0"/>
              <w:snapToGrid w:val="0"/>
              <w:spacing w:after="0"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二、支持监狱企业发展</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（一）根据《财政部司法部关于政府采购支持监狱企业发展有关问题的通知》(财库〔2014〕68 号)的规定，在政府采购活动中，监狱企业视同小型、微型企业，享受预留份额、评审中价格扣除等政府采购促进中小企业发展的政府采购政策。</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（二）本项目对监狱企业参与投标的价格给予10%的扣除，用扣除后的价格参与评审。</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（三）监狱企业参加政府采购活动时，应当提供由省级以上监狱管理局、戒毒管理局(含新疆生产建设兵团)出具的属于监狱企业的证明文件。</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（四）监狱企业属于小型、微型企业的，不重复享受政策。</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（五）供应商参加政府采购活动时，提供虚假《监狱企业承诺》或材料的，以提供虚假材料谋取成交处理，并追究法律责任。</w:t>
            </w:r>
          </w:p>
          <w:p>
            <w:pPr>
              <w:adjustRightInd w:val="0"/>
              <w:snapToGrid w:val="0"/>
              <w:spacing w:after="0"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三、促进残疾人就业</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一）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（二）向残疾人福利性单位采购的金额，计入面向中小企业采购的统计数据。残疾人福利性单位属于小型、微型企业的，不重复享受政策（格式详见第三章）。</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（三）本项目对残疾人福利性单位参与投标的价格给予10%的扣除，用扣除后的价格参与评审。</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（四）残疾人福利性单位参加政府采购活动时，应当提供本通知规定的《残疾人福利性单位声明函》。</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（五）供应商提供的《残疾人福利性单位声明函》与事实不符的，以提供虚假材料谋取成交处理，并追究法律责任。</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（六）残疾人福利性单位属于小型、微型企业的，不重复享受政策。</w:t>
            </w:r>
          </w:p>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b/>
                <w:bCs/>
                <w:color w:val="auto"/>
                <w:szCs w:val="21"/>
                <w:highlight w:val="none"/>
              </w:rPr>
              <w:t>四、节能、环境标志产品：</w:t>
            </w:r>
            <w:r>
              <w:rPr>
                <w:rFonts w:hint="eastAsia" w:ascii="仿宋" w:hAnsi="仿宋" w:eastAsia="仿宋" w:cs="仿宋"/>
                <w:color w:val="auto"/>
                <w:szCs w:val="21"/>
                <w:highlight w:val="none"/>
              </w:rPr>
              <w:t>详见投标人须知附表序号5</w:t>
            </w:r>
          </w:p>
          <w:p>
            <w:pPr>
              <w:pStyle w:val="23"/>
              <w:spacing w:after="0"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五、无线局域网产品：</w:t>
            </w:r>
            <w:r>
              <w:rPr>
                <w:rFonts w:hint="eastAsia" w:ascii="仿宋" w:hAnsi="仿宋" w:eastAsia="仿宋" w:cs="仿宋"/>
                <w:color w:val="auto"/>
                <w:szCs w:val="21"/>
                <w:highlight w:val="none"/>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pStyle w:val="23"/>
              <w:spacing w:after="0"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六、政府采购扶持不发达地区和少数民族地区</w:t>
            </w:r>
          </w:p>
          <w:p>
            <w:pPr>
              <w:pStyle w:val="23"/>
              <w:spacing w:after="0"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项目将根据政策要求，给予参加本项目，注册地在不发达地区和少数民族地区的供应商适当加分。如未将其设定为加分项，将按同等条件下优先采购注册地在不发达地区和少数民族地区的供应商提供的服务的原则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8</w:t>
            </w:r>
          </w:p>
        </w:tc>
        <w:tc>
          <w:tcPr>
            <w:tcW w:w="1666" w:type="dxa"/>
            <w:vAlign w:val="center"/>
          </w:tcPr>
          <w:p>
            <w:pPr>
              <w:adjustRightInd w:val="0"/>
              <w:snapToGrid w:val="0"/>
              <w:spacing w:after="0"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133" w:type="dxa"/>
            <w:vAlign w:val="center"/>
          </w:tcPr>
          <w:p>
            <w:pPr>
              <w:adjustRightInd w:val="0"/>
              <w:snapToGrid w:val="0"/>
              <w:spacing w:after="0" w:line="360" w:lineRule="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55" w:type="dxa"/>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9</w:t>
            </w:r>
          </w:p>
        </w:tc>
        <w:tc>
          <w:tcPr>
            <w:tcW w:w="1666" w:type="dxa"/>
            <w:vAlign w:val="center"/>
          </w:tcPr>
          <w:p>
            <w:pPr>
              <w:adjustRightInd w:val="0"/>
              <w:snapToGrid w:val="0"/>
              <w:spacing w:after="0"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评标方法</w:t>
            </w:r>
          </w:p>
        </w:tc>
        <w:tc>
          <w:tcPr>
            <w:tcW w:w="7133" w:type="dxa"/>
            <w:vAlign w:val="center"/>
          </w:tcPr>
          <w:p>
            <w:pPr>
              <w:adjustRightInd w:val="0"/>
              <w:snapToGrid w:val="0"/>
              <w:spacing w:after="0" w:line="360" w:lineRule="auto"/>
              <w:ind w:left="210" w:hanging="210" w:hangingChars="1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10</w:t>
            </w:r>
          </w:p>
        </w:tc>
        <w:tc>
          <w:tcPr>
            <w:tcW w:w="1666" w:type="dxa"/>
            <w:vAlign w:val="center"/>
          </w:tcPr>
          <w:p>
            <w:pPr>
              <w:adjustRightInd w:val="0"/>
              <w:snapToGrid w:val="0"/>
              <w:spacing w:after="0" w:line="360" w:lineRule="auto"/>
              <w:jc w:val="center"/>
              <w:outlineLvl w:val="5"/>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是否接受</w:t>
            </w:r>
            <w:r>
              <w:rPr>
                <w:rFonts w:hint="eastAsia" w:ascii="仿宋" w:hAnsi="仿宋" w:eastAsia="仿宋" w:cs="仿宋"/>
                <w:color w:val="auto"/>
                <w:szCs w:val="21"/>
                <w:highlight w:val="none"/>
                <w:lang w:val="zh-CN" w:eastAsia="zh-TW"/>
              </w:rPr>
              <w:t>联合体</w:t>
            </w:r>
            <w:r>
              <w:rPr>
                <w:rFonts w:hint="eastAsia" w:ascii="仿宋" w:hAnsi="仿宋" w:eastAsia="仿宋" w:cs="仿宋"/>
                <w:color w:val="auto"/>
                <w:szCs w:val="21"/>
                <w:highlight w:val="none"/>
                <w:lang w:val="zh-CN"/>
              </w:rPr>
              <w:t>参加本项目投标</w:t>
            </w:r>
            <w:r>
              <w:rPr>
                <w:rFonts w:hint="eastAsia" w:ascii="仿宋" w:hAnsi="仿宋" w:eastAsia="仿宋" w:cs="仿宋"/>
                <w:color w:val="auto"/>
                <w:szCs w:val="21"/>
                <w:highlight w:val="none"/>
                <w:lang w:val="zh-TW"/>
              </w:rPr>
              <w:t>（</w:t>
            </w:r>
            <w:r>
              <w:rPr>
                <w:rFonts w:hint="eastAsia" w:ascii="仿宋" w:hAnsi="仿宋" w:eastAsia="仿宋" w:cs="仿宋"/>
                <w:color w:val="auto"/>
                <w:szCs w:val="21"/>
                <w:highlight w:val="none"/>
              </w:rPr>
              <w:t>实质性要求</w:t>
            </w:r>
            <w:r>
              <w:rPr>
                <w:rFonts w:hint="eastAsia" w:ascii="仿宋" w:hAnsi="仿宋" w:eastAsia="仿宋" w:cs="仿宋"/>
                <w:color w:val="auto"/>
                <w:szCs w:val="21"/>
                <w:highlight w:val="none"/>
                <w:lang w:val="zh-TW"/>
              </w:rPr>
              <w:t>）</w:t>
            </w:r>
          </w:p>
        </w:tc>
        <w:tc>
          <w:tcPr>
            <w:tcW w:w="7133" w:type="dxa"/>
            <w:vAlign w:val="center"/>
          </w:tcPr>
          <w:p>
            <w:pPr>
              <w:pStyle w:val="30"/>
              <w:tabs>
                <w:tab w:val="left" w:pos="7665"/>
              </w:tabs>
              <w:adjustRightInd w:val="0"/>
              <w:snapToGrid w:val="0"/>
              <w:spacing w:after="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sym w:font="Wingdings" w:char="00FE"/>
            </w:r>
            <w:r>
              <w:rPr>
                <w:rFonts w:hint="eastAsia" w:ascii="仿宋" w:hAnsi="仿宋" w:eastAsia="仿宋" w:cs="仿宋"/>
                <w:bCs/>
                <w:color w:val="auto"/>
                <w:highlight w:val="none"/>
              </w:rPr>
              <w:t>不接受；</w:t>
            </w:r>
          </w:p>
          <w:p>
            <w:pPr>
              <w:adjustRightInd w:val="0"/>
              <w:snapToGrid w:val="0"/>
              <w:spacing w:after="0" w:line="360" w:lineRule="auto"/>
              <w:outlineLvl w:val="5"/>
              <w:rPr>
                <w:rFonts w:ascii="仿宋" w:hAnsi="仿宋" w:eastAsia="仿宋" w:cs="仿宋"/>
                <w:color w:val="auto"/>
                <w:szCs w:val="21"/>
                <w:highlight w:val="none"/>
                <w:lang w:val="zh-CN"/>
              </w:rPr>
            </w:pPr>
            <w:r>
              <w:rPr>
                <w:rFonts w:hint="eastAsia" w:ascii="仿宋" w:hAnsi="仿宋" w:eastAsia="仿宋" w:cs="仿宋"/>
                <w:bCs/>
                <w:color w:val="auto"/>
                <w:szCs w:val="21"/>
                <w:highlight w:val="none"/>
              </w:rPr>
              <w:sym w:font="Wingdings" w:char="00A8"/>
            </w:r>
            <w:r>
              <w:rPr>
                <w:rFonts w:hint="eastAsia" w:ascii="仿宋" w:hAnsi="仿宋" w:eastAsia="仿宋" w:cs="仿宋"/>
                <w:color w:val="auto"/>
                <w:szCs w:val="21"/>
                <w:highlight w:val="none"/>
                <w:lang w:val="zh-TW"/>
              </w:rPr>
              <w:t>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p>
        </w:tc>
        <w:tc>
          <w:tcPr>
            <w:tcW w:w="1666" w:type="dxa"/>
            <w:vAlign w:val="center"/>
          </w:tcPr>
          <w:p>
            <w:pPr>
              <w:pStyle w:val="30"/>
              <w:tabs>
                <w:tab w:val="left" w:pos="7665"/>
              </w:tabs>
              <w:adjustRightInd w:val="0"/>
              <w:snapToGrid w:val="0"/>
              <w:spacing w:after="0" w:line="360" w:lineRule="auto"/>
              <w:jc w:val="center"/>
              <w:rPr>
                <w:rFonts w:ascii="仿宋" w:hAnsi="仿宋" w:eastAsia="仿宋" w:cs="仿宋"/>
                <w:color w:val="auto"/>
                <w:highlight w:val="none"/>
                <w:lang w:val="zh-CN"/>
              </w:rPr>
            </w:pPr>
            <w:r>
              <w:rPr>
                <w:rFonts w:hint="eastAsia" w:ascii="仿宋" w:hAnsi="仿宋" w:eastAsia="仿宋" w:cs="仿宋"/>
                <w:color w:val="auto"/>
                <w:highlight w:val="none"/>
              </w:rPr>
              <w:t>是否组织</w:t>
            </w:r>
            <w:r>
              <w:rPr>
                <w:rFonts w:hint="eastAsia" w:ascii="仿宋" w:hAnsi="仿宋" w:eastAsia="仿宋" w:cs="仿宋"/>
                <w:color w:val="auto"/>
                <w:highlight w:val="none"/>
                <w:lang w:val="zh-TW" w:eastAsia="zh-TW"/>
              </w:rPr>
              <w:t>考察现场、标前答疑会</w:t>
            </w:r>
          </w:p>
        </w:tc>
        <w:tc>
          <w:tcPr>
            <w:tcW w:w="7133" w:type="dxa"/>
            <w:vAlign w:val="center"/>
          </w:tcPr>
          <w:p>
            <w:pPr>
              <w:pStyle w:val="30"/>
              <w:tabs>
                <w:tab w:val="left" w:pos="7665"/>
              </w:tabs>
              <w:adjustRightInd w:val="0"/>
              <w:snapToGrid w:val="0"/>
              <w:spacing w:after="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sym w:font="Wingdings" w:char="00FE"/>
            </w:r>
            <w:r>
              <w:rPr>
                <w:rFonts w:hint="eastAsia" w:ascii="仿宋" w:hAnsi="仿宋" w:eastAsia="仿宋" w:cs="仿宋"/>
                <w:bCs/>
                <w:color w:val="auto"/>
                <w:highlight w:val="none"/>
              </w:rPr>
              <w:t>不组织；</w:t>
            </w:r>
          </w:p>
          <w:p>
            <w:pPr>
              <w:pStyle w:val="30"/>
              <w:tabs>
                <w:tab w:val="left" w:pos="7665"/>
              </w:tabs>
              <w:adjustRightInd w:val="0"/>
              <w:snapToGrid w:val="0"/>
              <w:spacing w:after="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sym w:font="Wingdings" w:char="00A8"/>
            </w:r>
            <w:r>
              <w:rPr>
                <w:rFonts w:hint="eastAsia" w:ascii="仿宋" w:hAnsi="仿宋" w:eastAsia="仿宋" w:cs="仿宋"/>
                <w:bCs/>
                <w:color w:val="auto"/>
                <w:highlight w:val="none"/>
              </w:rPr>
              <w:t>组织，</w:t>
            </w:r>
            <w:r>
              <w:rPr>
                <w:rFonts w:hint="eastAsia" w:ascii="仿宋" w:hAnsi="仿宋" w:eastAsia="仿宋" w:cs="仿宋"/>
                <w:color w:val="auto"/>
                <w:highlight w:val="none"/>
                <w:lang w:val="zh-TW" w:eastAsia="zh-TW"/>
              </w:rPr>
              <w:t>采购单位认为有必要，另行书面通知。供应商考察现场所发生的一切费用由供应商自己承担</w:t>
            </w:r>
            <w:r>
              <w:rPr>
                <w:rFonts w:hint="eastAsia" w:ascii="仿宋" w:hAnsi="仿宋" w:eastAsia="仿宋" w:cs="仿宋"/>
                <w:color w:val="auto"/>
                <w:highlight w:val="none"/>
                <w:lang w:val="zh-TW"/>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w:t>
            </w:r>
            <w:r>
              <w:rPr>
                <w:rFonts w:hint="eastAsia" w:ascii="仿宋" w:hAnsi="仿宋" w:eastAsia="仿宋" w:cs="仿宋"/>
                <w:color w:val="auto"/>
                <w:sz w:val="21"/>
                <w:szCs w:val="21"/>
                <w:highlight w:val="none"/>
              </w:rPr>
              <w:t>2</w:t>
            </w:r>
          </w:p>
        </w:tc>
        <w:tc>
          <w:tcPr>
            <w:tcW w:w="1666" w:type="dxa"/>
            <w:vAlign w:val="center"/>
          </w:tcPr>
          <w:p>
            <w:pPr>
              <w:adjustRightInd w:val="0"/>
              <w:snapToGrid w:val="0"/>
              <w:spacing w:after="0" w:line="360" w:lineRule="auto"/>
              <w:jc w:val="center"/>
              <w:outlineLvl w:val="5"/>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构成招标文件的其他文件</w:t>
            </w:r>
          </w:p>
        </w:tc>
        <w:tc>
          <w:tcPr>
            <w:tcW w:w="7133" w:type="dxa"/>
            <w:vAlign w:val="center"/>
          </w:tcPr>
          <w:p>
            <w:pPr>
              <w:adjustRightInd w:val="0"/>
              <w:snapToGrid w:val="0"/>
              <w:spacing w:after="0" w:line="360" w:lineRule="auto"/>
              <w:ind w:left="210" w:hanging="210" w:hangingChars="100"/>
              <w:outlineLvl w:val="5"/>
              <w:rPr>
                <w:rFonts w:ascii="仿宋" w:hAnsi="仿宋" w:eastAsia="仿宋" w:cs="仿宋"/>
                <w:color w:val="auto"/>
                <w:szCs w:val="21"/>
                <w:highlight w:val="none"/>
              </w:rPr>
            </w:pPr>
            <w:r>
              <w:rPr>
                <w:rFonts w:hint="eastAsia" w:ascii="仿宋" w:hAnsi="仿宋" w:eastAsia="仿宋" w:cs="仿宋"/>
                <w:color w:val="auto"/>
                <w:szCs w:val="21"/>
                <w:highlight w:val="none"/>
                <w:lang w:val="zh-CN"/>
              </w:rPr>
              <w:t>招标文件的澄清</w:t>
            </w:r>
            <w:r>
              <w:rPr>
                <w:rFonts w:hint="eastAsia" w:ascii="仿宋" w:hAnsi="仿宋" w:eastAsia="仿宋" w:cs="仿宋"/>
                <w:color w:val="auto"/>
                <w:szCs w:val="21"/>
                <w:highlight w:val="none"/>
              </w:rPr>
              <w:t>、修改书及有关补充通知为招标文件的有效组成部分。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jc w:val="center"/>
        </w:trPr>
        <w:tc>
          <w:tcPr>
            <w:tcW w:w="555" w:type="dxa"/>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w:t>
            </w:r>
            <w:r>
              <w:rPr>
                <w:rFonts w:hint="eastAsia" w:ascii="仿宋" w:hAnsi="仿宋" w:eastAsia="仿宋" w:cs="仿宋"/>
                <w:color w:val="auto"/>
                <w:sz w:val="21"/>
                <w:szCs w:val="21"/>
                <w:highlight w:val="none"/>
              </w:rPr>
              <w:t>3</w:t>
            </w:r>
          </w:p>
        </w:tc>
        <w:tc>
          <w:tcPr>
            <w:tcW w:w="1666" w:type="dxa"/>
            <w:vAlign w:val="center"/>
          </w:tcPr>
          <w:p>
            <w:pPr>
              <w:adjustRightInd w:val="0"/>
              <w:snapToGrid w:val="0"/>
              <w:spacing w:after="0" w:line="360" w:lineRule="auto"/>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评标情况公告</w:t>
            </w:r>
          </w:p>
        </w:tc>
        <w:tc>
          <w:tcPr>
            <w:tcW w:w="7133" w:type="dxa"/>
            <w:vAlign w:val="center"/>
          </w:tcPr>
          <w:p>
            <w:pPr>
              <w:widowControl/>
              <w:adjustRightInd w:val="0"/>
              <w:snapToGrid w:val="0"/>
              <w:spacing w:after="0" w:line="360" w:lineRule="auto"/>
              <w:jc w:val="left"/>
              <w:rPr>
                <w:rFonts w:ascii="仿宋" w:hAnsi="仿宋" w:eastAsia="仿宋" w:cs="仿宋"/>
                <w:color w:val="auto"/>
                <w:szCs w:val="21"/>
                <w:highlight w:val="none"/>
              </w:rPr>
            </w:pPr>
            <w:bookmarkStart w:id="25" w:name="PO_默认文件内容_6"/>
            <w:r>
              <w:rPr>
                <w:rFonts w:hint="eastAsia" w:ascii="仿宋" w:hAnsi="仿宋" w:eastAsia="仿宋" w:cs="仿宋"/>
                <w:color w:val="auto"/>
                <w:szCs w:val="21"/>
                <w:highlight w:val="none"/>
              </w:rPr>
              <w:t>1.所有供应商投标文件资格性、符合性检查情况、采用综合评分法时的总得分和分项汇总得分情况、评标结果等将在四川政府采购网上采购结果公告附件中予以公告。</w:t>
            </w:r>
            <w:bookmarkEnd w:id="25"/>
          </w:p>
          <w:p>
            <w:pPr>
              <w:pStyle w:val="2"/>
              <w:adjustRightInd w:val="0"/>
              <w:snapToGrid w:val="0"/>
              <w:spacing w:after="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根据《中华人民共和国政府采购法实施条例》第四十三条的规定，公告内容应当包括主要成交标的的名称、规格型号、数量、单价、服务要求以及评审专家名单。供应商须将投标文件中涉及商业秘密和知识产权的内容进行标注和说明，若未进行标注和说明的，视为全部内容均可公布，采购人或者采购代理机构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w:t>
            </w:r>
            <w:r>
              <w:rPr>
                <w:rFonts w:hint="eastAsia" w:ascii="仿宋" w:hAnsi="仿宋" w:eastAsia="仿宋" w:cs="仿宋"/>
                <w:color w:val="auto"/>
                <w:sz w:val="21"/>
                <w:szCs w:val="21"/>
                <w:highlight w:val="none"/>
              </w:rPr>
              <w:t>4</w:t>
            </w:r>
          </w:p>
        </w:tc>
        <w:tc>
          <w:tcPr>
            <w:tcW w:w="1666" w:type="dxa"/>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投标保证金</w:t>
            </w:r>
          </w:p>
        </w:tc>
        <w:tc>
          <w:tcPr>
            <w:tcW w:w="7133" w:type="dxa"/>
            <w:vAlign w:val="center"/>
          </w:tcPr>
          <w:p>
            <w:pPr>
              <w:pStyle w:val="82"/>
              <w:snapToGrid w:val="0"/>
              <w:spacing w:after="0" w:line="360" w:lineRule="auto"/>
              <w:jc w:val="both"/>
              <w:rPr>
                <w:rFonts w:ascii="仿宋" w:hAnsi="仿宋" w:eastAsia="仿宋" w:cs="仿宋"/>
                <w:bCs/>
                <w:color w:val="auto"/>
                <w:kern w:val="2"/>
                <w:sz w:val="21"/>
                <w:szCs w:val="21"/>
                <w:highlight w:val="none"/>
                <w:lang w:val="zh-CN"/>
              </w:rPr>
            </w:pPr>
            <w:r>
              <w:rPr>
                <w:rFonts w:hint="eastAsia" w:ascii="仿宋" w:hAnsi="仿宋" w:eastAsia="仿宋" w:cs="仿宋"/>
                <w:b/>
                <w:color w:val="auto"/>
                <w:sz w:val="21"/>
                <w:szCs w:val="21"/>
                <w:highlight w:val="none"/>
              </w:rPr>
              <w:t>根据《四川省财政厅关于进一步做好疫情防控期间政府采购工作有关事项的通知》（川财采[2020]28号）文件，本项目不收取保证金。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555" w:type="dxa"/>
            <w:tcBorders>
              <w:top w:val="single" w:color="auto" w:sz="4" w:space="0"/>
              <w:bottom w:val="single" w:color="auto" w:sz="4" w:space="0"/>
            </w:tcBorders>
            <w:vAlign w:val="center"/>
          </w:tcPr>
          <w:p>
            <w:pPr>
              <w:pStyle w:val="82"/>
              <w:snapToGrid w:val="0"/>
              <w:spacing w:after="0" w:line="360" w:lineRule="auto"/>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w:t>
            </w:r>
            <w:r>
              <w:rPr>
                <w:rFonts w:hint="eastAsia" w:ascii="仿宋" w:hAnsi="仿宋" w:eastAsia="仿宋" w:cs="仿宋"/>
                <w:color w:val="auto"/>
                <w:sz w:val="21"/>
                <w:szCs w:val="21"/>
                <w:highlight w:val="none"/>
              </w:rPr>
              <w:t>5</w:t>
            </w:r>
          </w:p>
        </w:tc>
        <w:tc>
          <w:tcPr>
            <w:tcW w:w="1666" w:type="dxa"/>
            <w:tcBorders>
              <w:top w:val="single" w:color="auto" w:sz="4" w:space="0"/>
              <w:bottom w:val="single" w:color="auto" w:sz="4" w:space="0"/>
            </w:tcBorders>
            <w:vAlign w:val="center"/>
          </w:tcPr>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采购文件咨询</w:t>
            </w:r>
          </w:p>
        </w:tc>
        <w:tc>
          <w:tcPr>
            <w:tcW w:w="7133" w:type="dxa"/>
            <w:tcBorders>
              <w:top w:val="single" w:color="auto" w:sz="4" w:space="0"/>
              <w:bottom w:val="single" w:color="auto" w:sz="4" w:space="0"/>
            </w:tcBorders>
            <w:vAlign w:val="center"/>
          </w:tcPr>
          <w:p>
            <w:pPr>
              <w:pStyle w:val="30"/>
              <w:tabs>
                <w:tab w:val="left" w:pos="7665"/>
              </w:tabs>
              <w:adjustRightInd w:val="0"/>
              <w:snapToGrid w:val="0"/>
              <w:spacing w:after="0" w:line="360" w:lineRule="auto"/>
              <w:jc w:val="both"/>
              <w:rPr>
                <w:rFonts w:ascii="仿宋" w:hAnsi="仿宋" w:eastAsia="仿宋" w:cs="仿宋"/>
                <w:color w:val="auto"/>
                <w:highlight w:val="none"/>
              </w:rPr>
            </w:pPr>
            <w:r>
              <w:rPr>
                <w:rFonts w:hint="eastAsia" w:ascii="仿宋" w:hAnsi="仿宋" w:eastAsia="仿宋" w:cs="仿宋"/>
                <w:color w:val="auto"/>
                <w:highlight w:val="none"/>
                <w:lang w:val="zh-TW" w:eastAsia="zh-TW"/>
              </w:rPr>
              <w:t>联系人：</w:t>
            </w:r>
            <w:r>
              <w:rPr>
                <w:rFonts w:hint="eastAsia" w:ascii="仿宋" w:hAnsi="仿宋" w:eastAsia="仿宋" w:cs="仿宋"/>
                <w:color w:val="auto"/>
                <w:highlight w:val="none"/>
              </w:rPr>
              <w:t>欧女士</w:t>
            </w:r>
          </w:p>
          <w:p>
            <w:pPr>
              <w:adjustRightInd w:val="0"/>
              <w:snapToGrid w:val="0"/>
              <w:spacing w:after="0"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lang w:val="zh-TW" w:eastAsia="zh-TW"/>
              </w:rPr>
              <w:t>联系电话：17318680207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55" w:type="dxa"/>
            <w:tcBorders>
              <w:top w:val="single" w:color="auto" w:sz="4" w:space="0"/>
              <w:bottom w:val="single" w:color="auto" w:sz="4" w:space="0"/>
            </w:tcBorders>
            <w:vAlign w:val="center"/>
          </w:tcPr>
          <w:p>
            <w:pPr>
              <w:adjustRightInd w:val="0"/>
              <w:snapToGrid w:val="0"/>
              <w:spacing w:after="0" w:line="360" w:lineRule="auto"/>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rPr>
              <w:t>16</w:t>
            </w:r>
          </w:p>
        </w:tc>
        <w:tc>
          <w:tcPr>
            <w:tcW w:w="1666" w:type="dxa"/>
            <w:tcBorders>
              <w:top w:val="single" w:color="auto" w:sz="4" w:space="0"/>
              <w:bottom w:val="single" w:color="auto" w:sz="4" w:space="0"/>
            </w:tcBorders>
            <w:vAlign w:val="center"/>
          </w:tcPr>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开评标工作咨询</w:t>
            </w:r>
          </w:p>
        </w:tc>
        <w:tc>
          <w:tcPr>
            <w:tcW w:w="7133" w:type="dxa"/>
            <w:tcBorders>
              <w:top w:val="single" w:color="auto" w:sz="4" w:space="0"/>
              <w:bottom w:val="single" w:color="auto" w:sz="4" w:space="0"/>
            </w:tcBorders>
            <w:vAlign w:val="center"/>
          </w:tcPr>
          <w:p>
            <w:pPr>
              <w:pStyle w:val="30"/>
              <w:tabs>
                <w:tab w:val="left" w:pos="7665"/>
              </w:tabs>
              <w:adjustRightInd w:val="0"/>
              <w:snapToGrid w:val="0"/>
              <w:spacing w:after="0" w:line="360" w:lineRule="auto"/>
              <w:jc w:val="both"/>
              <w:rPr>
                <w:rFonts w:ascii="仿宋" w:hAnsi="仿宋" w:eastAsia="仿宋" w:cs="仿宋"/>
                <w:color w:val="auto"/>
                <w:highlight w:val="none"/>
              </w:rPr>
            </w:pPr>
            <w:r>
              <w:rPr>
                <w:rFonts w:hint="eastAsia" w:ascii="仿宋" w:hAnsi="仿宋" w:eastAsia="仿宋" w:cs="仿宋"/>
                <w:color w:val="auto"/>
                <w:highlight w:val="none"/>
                <w:lang w:val="zh-TW" w:eastAsia="zh-TW"/>
              </w:rPr>
              <w:t>联系人：</w:t>
            </w:r>
            <w:r>
              <w:rPr>
                <w:rFonts w:hint="eastAsia" w:ascii="仿宋" w:hAnsi="仿宋" w:eastAsia="仿宋" w:cs="仿宋"/>
                <w:color w:val="auto"/>
                <w:highlight w:val="none"/>
              </w:rPr>
              <w:t>欧女士</w:t>
            </w:r>
          </w:p>
          <w:p>
            <w:pPr>
              <w:adjustRightInd w:val="0"/>
              <w:snapToGrid w:val="0"/>
              <w:spacing w:after="0"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lang w:val="zh-TW" w:eastAsia="zh-TW"/>
              </w:rPr>
              <w:t>联系电话：17318680207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tcBorders>
              <w:top w:val="single" w:color="auto" w:sz="4" w:space="0"/>
            </w:tcBorders>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666" w:type="dxa"/>
            <w:tcBorders>
              <w:top w:val="single" w:color="auto" w:sz="4" w:space="0"/>
            </w:tcBorders>
            <w:vAlign w:val="center"/>
          </w:tcPr>
          <w:p>
            <w:pPr>
              <w:adjustRightInd w:val="0"/>
              <w:snapToGrid w:val="0"/>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中标通知书领取</w:t>
            </w:r>
          </w:p>
        </w:tc>
        <w:tc>
          <w:tcPr>
            <w:tcW w:w="7133" w:type="dxa"/>
            <w:tcBorders>
              <w:top w:val="single" w:color="auto" w:sz="4" w:space="0"/>
            </w:tcBorders>
            <w:vAlign w:val="center"/>
          </w:tcPr>
          <w:p>
            <w:pPr>
              <w:tabs>
                <w:tab w:val="left" w:pos="7665"/>
              </w:tabs>
              <w:adjustRightInd w:val="0"/>
              <w:snapToGrid w:val="0"/>
              <w:spacing w:after="0" w:line="360" w:lineRule="auto"/>
              <w:rPr>
                <w:rFonts w:ascii="仿宋" w:hAnsi="仿宋" w:eastAsia="仿宋" w:cs="仿宋"/>
                <w:color w:val="auto"/>
                <w:szCs w:val="21"/>
                <w:highlight w:val="none"/>
              </w:rPr>
            </w:pPr>
            <w:bookmarkStart w:id="26" w:name="PO_默认文件内容_29"/>
            <w:r>
              <w:rPr>
                <w:rFonts w:hint="eastAsia" w:ascii="仿宋" w:hAnsi="仿宋" w:eastAsia="仿宋" w:cs="仿宋"/>
                <w:color w:val="auto"/>
                <w:szCs w:val="21"/>
                <w:highlight w:val="none"/>
              </w:rPr>
              <w:t>1.在四川政府采购网公告中标结果同时发出中标通知书，中标供应商自行登录政府采购云平台下载中标通知书。</w:t>
            </w:r>
          </w:p>
          <w:p>
            <w:pPr>
              <w:adjustRightInd w:val="0"/>
              <w:snapToGrid w:val="0"/>
              <w:spacing w:after="0"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联系人：</w:t>
            </w:r>
            <w:r>
              <w:rPr>
                <w:rFonts w:hint="eastAsia" w:ascii="仿宋" w:hAnsi="仿宋" w:eastAsia="仿宋" w:cs="仿宋"/>
                <w:color w:val="auto"/>
                <w:highlight w:val="none"/>
              </w:rPr>
              <w:t>欧女士</w:t>
            </w:r>
            <w:r>
              <w:rPr>
                <w:rFonts w:hint="eastAsia" w:ascii="仿宋" w:hAnsi="仿宋" w:eastAsia="仿宋" w:cs="仿宋"/>
                <w:color w:val="auto"/>
                <w:szCs w:val="21"/>
                <w:highlight w:val="none"/>
                <w:lang w:val="zh-CN"/>
              </w:rPr>
              <w:t>；</w:t>
            </w:r>
          </w:p>
          <w:p>
            <w:pPr>
              <w:adjustRightInd w:val="0"/>
              <w:snapToGrid w:val="0"/>
              <w:spacing w:after="0"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联系电话：</w:t>
            </w:r>
            <w:r>
              <w:rPr>
                <w:rFonts w:hint="eastAsia" w:ascii="仿宋" w:hAnsi="仿宋" w:eastAsia="仿宋" w:cs="仿宋"/>
                <w:color w:val="auto"/>
                <w:szCs w:val="21"/>
                <w:highlight w:val="none"/>
                <w:lang w:val="zh-TW" w:eastAsia="zh-TW"/>
              </w:rPr>
              <w:t>17318680207</w:t>
            </w:r>
            <w:r>
              <w:rPr>
                <w:rFonts w:hint="eastAsia" w:ascii="仿宋" w:hAnsi="仿宋" w:eastAsia="仿宋" w:cs="仿宋"/>
                <w:color w:val="auto"/>
                <w:szCs w:val="21"/>
                <w:highlight w:val="none"/>
                <w:lang w:val="zh-CN"/>
              </w:rPr>
              <w:t>；</w:t>
            </w:r>
          </w:p>
          <w:p>
            <w:pPr>
              <w:adjustRightInd w:val="0"/>
              <w:snapToGrid w:val="0"/>
              <w:spacing w:after="0"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地址：四川省成都市武侯区交子大道33号中国华商金融中心T1- 1201。</w:t>
            </w:r>
            <w:bookmarkEnd w:id="26"/>
          </w:p>
          <w:p>
            <w:pPr>
              <w:pStyle w:val="2"/>
              <w:adjustRightInd w:val="0"/>
              <w:snapToGrid w:val="0"/>
              <w:spacing w:after="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2.中标供应商不能及时领取中标通知书的，可联系采购代理机构采取邮寄、快递方式按照供应商投标文件中的地址送达中标通知书，邮寄费用由中标人自行承担。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tcBorders>
              <w:top w:val="single" w:color="auto" w:sz="4" w:space="0"/>
            </w:tcBorders>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rPr>
              <w:t>18</w:t>
            </w:r>
          </w:p>
        </w:tc>
        <w:tc>
          <w:tcPr>
            <w:tcW w:w="1666" w:type="dxa"/>
            <w:tcBorders>
              <w:top w:val="single" w:color="auto" w:sz="4" w:space="0"/>
            </w:tcBorders>
            <w:vAlign w:val="center"/>
          </w:tcPr>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zh-TW" w:eastAsia="zh-TW"/>
              </w:rPr>
              <w:t>供应商询问</w:t>
            </w:r>
          </w:p>
        </w:tc>
        <w:tc>
          <w:tcPr>
            <w:tcW w:w="7133" w:type="dxa"/>
            <w:tcBorders>
              <w:top w:val="single" w:color="auto" w:sz="4" w:space="0"/>
            </w:tcBorders>
          </w:tcPr>
          <w:p>
            <w:pPr>
              <w:adjustRightInd w:val="0"/>
              <w:snapToGrid w:val="0"/>
              <w:spacing w:after="0" w:line="360" w:lineRule="auto"/>
              <w:ind w:firstLine="105" w:firstLineChars="50"/>
              <w:rPr>
                <w:rFonts w:ascii="仿宋" w:hAnsi="仿宋" w:eastAsia="仿宋" w:cs="仿宋"/>
                <w:color w:val="auto"/>
                <w:szCs w:val="21"/>
                <w:highlight w:val="none"/>
                <w:lang w:val="zh-CN"/>
              </w:rPr>
            </w:pPr>
            <w:bookmarkStart w:id="27" w:name="PO_默认文件内容_31"/>
            <w:r>
              <w:rPr>
                <w:rFonts w:hint="eastAsia" w:ascii="仿宋" w:hAnsi="仿宋" w:eastAsia="仿宋" w:cs="仿宋"/>
                <w:color w:val="auto"/>
                <w:szCs w:val="21"/>
                <w:highlight w:val="none"/>
                <w:lang w:val="zh-CN"/>
              </w:rPr>
              <w:t>1.根据委托代理协议约定，采购人负责对采购文件技术参数部分的询问答复,利阳致诚国际项目管理有限公司负责采购文件技术参数部分以外的询问答复。</w:t>
            </w:r>
          </w:p>
          <w:p>
            <w:pPr>
              <w:adjustRightInd w:val="0"/>
              <w:snapToGrid w:val="0"/>
              <w:spacing w:after="0" w:line="360" w:lineRule="auto"/>
              <w:ind w:firstLine="105" w:firstLineChars="5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2.询问内容不得涉及评审秘密、国家机密和商业秘密等保密内容。</w:t>
            </w:r>
          </w:p>
          <w:p>
            <w:pPr>
              <w:adjustRightInd w:val="0"/>
              <w:snapToGrid w:val="0"/>
              <w:spacing w:after="0" w:line="360" w:lineRule="auto"/>
              <w:ind w:firstLine="105" w:firstLineChars="5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3.询问方式:询问人可以采用书面或口头或电子邮件等方式向利阳致诚国际项目管理有限公司提出；询问必须提供询问人基本信息(包含具体询问内容、询问人名称或姓名、联系人及联系电话、电子邮件)。</w:t>
            </w:r>
          </w:p>
          <w:p>
            <w:pPr>
              <w:pStyle w:val="30"/>
              <w:tabs>
                <w:tab w:val="left" w:pos="7665"/>
              </w:tabs>
              <w:adjustRightInd w:val="0"/>
              <w:snapToGrid w:val="0"/>
              <w:spacing w:after="0" w:line="360" w:lineRule="auto"/>
              <w:jc w:val="both"/>
              <w:rPr>
                <w:rFonts w:ascii="仿宋" w:hAnsi="仿宋" w:eastAsia="仿宋" w:cs="仿宋"/>
                <w:color w:val="auto"/>
                <w:highlight w:val="none"/>
              </w:rPr>
            </w:pPr>
            <w:r>
              <w:rPr>
                <w:rFonts w:hint="eastAsia" w:ascii="仿宋" w:hAnsi="仿宋" w:eastAsia="仿宋" w:cs="仿宋"/>
                <w:color w:val="auto"/>
                <w:highlight w:val="none"/>
                <w:lang w:val="zh-TW" w:eastAsia="zh-TW"/>
              </w:rPr>
              <w:t>联系人：</w:t>
            </w:r>
            <w:r>
              <w:rPr>
                <w:rFonts w:hint="eastAsia" w:ascii="仿宋" w:hAnsi="仿宋" w:eastAsia="仿宋" w:cs="仿宋"/>
                <w:color w:val="auto"/>
                <w:highlight w:val="none"/>
              </w:rPr>
              <w:t>欧女士</w:t>
            </w:r>
          </w:p>
          <w:p>
            <w:pPr>
              <w:adjustRightInd w:val="0"/>
              <w:snapToGrid w:val="0"/>
              <w:spacing w:after="0" w:line="360" w:lineRule="auto"/>
              <w:rPr>
                <w:rFonts w:ascii="仿宋" w:hAnsi="仿宋" w:eastAsia="仿宋" w:cs="仿宋"/>
                <w:color w:val="auto"/>
                <w:szCs w:val="21"/>
                <w:highlight w:val="none"/>
                <w:lang w:val="zh-TW" w:eastAsia="zh-TW"/>
              </w:rPr>
            </w:pPr>
            <w:r>
              <w:rPr>
                <w:rFonts w:hint="eastAsia" w:ascii="仿宋" w:hAnsi="仿宋" w:eastAsia="仿宋" w:cs="仿宋"/>
                <w:color w:val="auto"/>
                <w:szCs w:val="21"/>
                <w:highlight w:val="none"/>
                <w:lang w:val="zh-TW" w:eastAsia="zh-TW"/>
              </w:rPr>
              <w:t>联系电话：17318680207</w:t>
            </w:r>
          </w:p>
          <w:p>
            <w:pPr>
              <w:adjustRightInd w:val="0"/>
              <w:snapToGrid w:val="0"/>
              <w:spacing w:after="0"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地址：四川省成都市武侯区交子大道33号中国华商金融中心T1- 1201。</w:t>
            </w:r>
          </w:p>
          <w:p>
            <w:pPr>
              <w:adjustRightInd w:val="0"/>
              <w:snapToGrid w:val="0"/>
              <w:spacing w:after="0" w:line="360" w:lineRule="auto"/>
              <w:ind w:firstLine="105" w:firstLineChars="5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询问提出的范围及主体:①采购文件及采购信息公告环节:依法获取采购文件的潜在供应商可以对采购文件及采购信息公告的内容向利阳致诚国际项目管理有限公司或采购人提出询问，仅对采购信息公告内容提出询问的，不限制询问主体。②采购过程、采购结果环节:参与采购活动的供应商可以对采购过程、采购结果相关问题向利阳致诚国际项目管理有限公司提出询问，未参与采购活动的供应商不得对此环节提出询问。③询问提出的时间原则上以政府采购活动中有效质疑的时间计算为准。</w:t>
            </w:r>
          </w:p>
          <w:p>
            <w:pPr>
              <w:adjustRightInd w:val="0"/>
              <w:snapToGrid w:val="0"/>
              <w:spacing w:after="0" w:line="360" w:lineRule="auto"/>
              <w:ind w:firstLine="105" w:firstLineChars="5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5.为提高采购效率，降低社会成本，鼓励询问主体对于不损害国家及社会利益或自身合法权益的问题或情形采用询问方式处理解决(包含但不限于文字错误、标点符号、不影响投标文件的编制的情形)。</w:t>
            </w:r>
          </w:p>
          <w:p>
            <w:pPr>
              <w:adjustRightInd w:val="0"/>
              <w:snapToGrid w:val="0"/>
              <w:spacing w:after="0"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lang w:val="zh-CN"/>
              </w:rPr>
              <w:t>6.为降低时间成本，减少不必要的干扰，利阳致诚国际项目管理有限公司或采购人可以不接受未按照约定时间提出的询问。</w:t>
            </w:r>
            <w:bookmarkEnd w:id="2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666" w:type="dxa"/>
            <w:vAlign w:val="center"/>
          </w:tcPr>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供应商质疑</w:t>
            </w:r>
          </w:p>
        </w:tc>
        <w:tc>
          <w:tcPr>
            <w:tcW w:w="7133" w:type="dxa"/>
            <w:vAlign w:val="center"/>
          </w:tcPr>
          <w:p>
            <w:pPr>
              <w:pStyle w:val="30"/>
              <w:tabs>
                <w:tab w:val="left" w:pos="7665"/>
              </w:tabs>
              <w:adjustRightInd w:val="0"/>
              <w:snapToGrid w:val="0"/>
              <w:spacing w:after="0" w:line="360" w:lineRule="auto"/>
              <w:jc w:val="both"/>
              <w:rPr>
                <w:rFonts w:ascii="仿宋" w:hAnsi="仿宋" w:eastAsia="仿宋" w:cs="仿宋"/>
                <w:color w:val="auto"/>
                <w:highlight w:val="none"/>
              </w:rPr>
            </w:pPr>
            <w:bookmarkStart w:id="28" w:name="PO_默认文件内容_30"/>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根据采购委托代理协议，供应商应当直接向代理机构依法提出，并由</w:t>
            </w:r>
            <w:r>
              <w:rPr>
                <w:rFonts w:hint="eastAsia" w:ascii="仿宋" w:hAnsi="仿宋" w:eastAsia="仿宋" w:cs="仿宋"/>
                <w:color w:val="auto"/>
                <w:highlight w:val="none"/>
                <w:lang w:val="zh-TW"/>
              </w:rPr>
              <w:t>利阳致诚国际项目管理有限公司</w:t>
            </w:r>
            <w:r>
              <w:rPr>
                <w:rFonts w:hint="eastAsia" w:ascii="仿宋" w:hAnsi="仿宋" w:eastAsia="仿宋" w:cs="仿宋"/>
                <w:color w:val="auto"/>
                <w:highlight w:val="none"/>
                <w:lang w:val="zh-TW" w:eastAsia="zh-TW"/>
              </w:rPr>
              <w:t>依法受理和回复。</w:t>
            </w:r>
          </w:p>
          <w:p>
            <w:pPr>
              <w:pStyle w:val="30"/>
              <w:tabs>
                <w:tab w:val="left" w:pos="7665"/>
              </w:tabs>
              <w:adjustRightInd w:val="0"/>
              <w:snapToGrid w:val="0"/>
              <w:spacing w:after="0" w:line="360" w:lineRule="auto"/>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2.供应商提出质疑应当坚持依法依规、诚实信用原则；不得超出</w:t>
            </w:r>
            <w:r>
              <w:rPr>
                <w:rFonts w:hint="eastAsia" w:ascii="仿宋" w:hAnsi="仿宋" w:eastAsia="仿宋" w:cs="仿宋"/>
                <w:color w:val="auto"/>
                <w:highlight w:val="none"/>
              </w:rPr>
              <w:t>采购</w:t>
            </w:r>
            <w:r>
              <w:rPr>
                <w:rFonts w:hint="eastAsia" w:ascii="仿宋" w:hAnsi="仿宋" w:eastAsia="仿宋" w:cs="仿宋"/>
                <w:color w:val="auto"/>
                <w:highlight w:val="none"/>
                <w:lang w:val="zh-TW" w:eastAsia="zh-TW"/>
              </w:rPr>
              <w:t>文件、采购过程、采购结果的范围，不得进行虚假、恶意质疑，不得以质疑为手段获取不当得利、实现非法目的。</w:t>
            </w:r>
          </w:p>
          <w:p>
            <w:pPr>
              <w:pStyle w:val="30"/>
              <w:tabs>
                <w:tab w:val="left" w:pos="7665"/>
              </w:tabs>
              <w:adjustRightInd w:val="0"/>
              <w:snapToGrid w:val="0"/>
              <w:spacing w:after="0" w:line="360" w:lineRule="auto"/>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3.提出质疑函的时限要求：供应商认为</w:t>
            </w:r>
            <w:r>
              <w:rPr>
                <w:rFonts w:hint="eastAsia" w:ascii="仿宋" w:hAnsi="仿宋" w:eastAsia="仿宋" w:cs="仿宋"/>
                <w:color w:val="auto"/>
                <w:highlight w:val="none"/>
              </w:rPr>
              <w:t>采购</w:t>
            </w:r>
            <w:r>
              <w:rPr>
                <w:rFonts w:hint="eastAsia" w:ascii="仿宋" w:hAnsi="仿宋" w:eastAsia="仿宋" w:cs="仿宋"/>
                <w:color w:val="auto"/>
                <w:highlight w:val="none"/>
                <w:lang w:val="zh-TW" w:eastAsia="zh-TW"/>
              </w:rPr>
              <w:t>文件、采购过程、中标或者成交结果使自己的权益受到损害的，可以在知道或者应知其权益受到损害之日起7个工作日内，以书面形式向采购人、采购代理机构提出质疑。</w:t>
            </w:r>
          </w:p>
          <w:p>
            <w:pPr>
              <w:pStyle w:val="30"/>
              <w:tabs>
                <w:tab w:val="left" w:pos="7665"/>
              </w:tabs>
              <w:adjustRightInd w:val="0"/>
              <w:snapToGrid w:val="0"/>
              <w:spacing w:after="0" w:line="360" w:lineRule="auto"/>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4.接收质疑函的方式：供应商在法定时间内以书面形式现场、邮寄或快递提交质疑函(①采用邮寄和快递形式提交的质疑函以采购代理机构或采购人亲自书面签收的为准；②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0"/>
              <w:tabs>
                <w:tab w:val="left" w:pos="7665"/>
              </w:tabs>
              <w:adjustRightInd w:val="0"/>
              <w:snapToGrid w:val="0"/>
              <w:spacing w:after="0" w:line="360" w:lineRule="auto"/>
              <w:jc w:val="both"/>
              <w:rPr>
                <w:rFonts w:ascii="仿宋" w:hAnsi="仿宋" w:eastAsia="仿宋" w:cs="仿宋"/>
                <w:color w:val="auto"/>
                <w:highlight w:val="none"/>
              </w:rPr>
            </w:pPr>
            <w:r>
              <w:rPr>
                <w:rFonts w:hint="eastAsia" w:ascii="仿宋" w:hAnsi="仿宋" w:eastAsia="仿宋" w:cs="仿宋"/>
                <w:color w:val="auto"/>
                <w:highlight w:val="none"/>
                <w:lang w:val="zh-TW" w:eastAsia="zh-TW"/>
              </w:rPr>
              <w:t>联系人：</w:t>
            </w:r>
            <w:r>
              <w:rPr>
                <w:rFonts w:hint="eastAsia" w:ascii="仿宋" w:hAnsi="仿宋" w:eastAsia="仿宋" w:cs="仿宋"/>
                <w:color w:val="auto"/>
                <w:highlight w:val="none"/>
              </w:rPr>
              <w:t>欧女士</w:t>
            </w:r>
          </w:p>
          <w:p>
            <w:pPr>
              <w:pStyle w:val="30"/>
              <w:tabs>
                <w:tab w:val="left" w:pos="7665"/>
              </w:tabs>
              <w:adjustRightInd w:val="0"/>
              <w:snapToGrid w:val="0"/>
              <w:spacing w:after="0" w:line="360" w:lineRule="auto"/>
              <w:jc w:val="both"/>
              <w:rPr>
                <w:rFonts w:ascii="仿宋" w:hAnsi="仿宋" w:eastAsia="仿宋" w:cs="仿宋"/>
                <w:color w:val="auto"/>
                <w:highlight w:val="none"/>
                <w:lang w:val="zh-TW"/>
              </w:rPr>
            </w:pPr>
            <w:r>
              <w:rPr>
                <w:rFonts w:hint="eastAsia" w:ascii="仿宋" w:hAnsi="仿宋" w:eastAsia="仿宋" w:cs="仿宋"/>
                <w:color w:val="auto"/>
                <w:highlight w:val="none"/>
                <w:lang w:val="zh-TW" w:eastAsia="zh-TW"/>
              </w:rPr>
              <w:t>联系电话：17318680207</w:t>
            </w:r>
          </w:p>
          <w:p>
            <w:pPr>
              <w:pStyle w:val="30"/>
              <w:tabs>
                <w:tab w:val="left" w:pos="7665"/>
              </w:tabs>
              <w:adjustRightInd w:val="0"/>
              <w:snapToGrid w:val="0"/>
              <w:spacing w:after="0" w:line="360" w:lineRule="auto"/>
              <w:jc w:val="both"/>
              <w:rPr>
                <w:rFonts w:ascii="仿宋" w:hAnsi="仿宋" w:eastAsia="仿宋" w:cs="仿宋"/>
                <w:color w:val="auto"/>
                <w:highlight w:val="none"/>
                <w:lang w:val="zh-TW" w:eastAsia="zh-TW"/>
              </w:rPr>
            </w:pPr>
            <w:r>
              <w:rPr>
                <w:rFonts w:hint="eastAsia" w:ascii="仿宋" w:hAnsi="仿宋" w:eastAsia="仿宋" w:cs="仿宋"/>
                <w:color w:val="auto"/>
                <w:highlight w:val="none"/>
              </w:rPr>
              <w:t>特别说明</w:t>
            </w:r>
            <w:r>
              <w:rPr>
                <w:rFonts w:hint="eastAsia" w:ascii="仿宋" w:hAnsi="仿宋" w:eastAsia="仿宋" w:cs="仿宋"/>
                <w:color w:val="auto"/>
                <w:highlight w:val="none"/>
                <w:lang w:val="zh-TW" w:eastAsia="zh-TW"/>
              </w:rPr>
              <w:t>：</w:t>
            </w:r>
          </w:p>
          <w:p>
            <w:pPr>
              <w:pStyle w:val="30"/>
              <w:tabs>
                <w:tab w:val="left" w:pos="7665"/>
              </w:tabs>
              <w:adjustRightInd w:val="0"/>
              <w:snapToGrid w:val="0"/>
              <w:spacing w:after="0" w:line="360" w:lineRule="auto"/>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1</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根据《中华人民共和国政府采购法》等法律法规规定，供应商质疑应当有明确的请求和必要的证明材料，须符合《政府采购质疑和投诉办法》(财政部第94号令)规定，并使用财政部下发《质疑函》范本。</w:t>
            </w:r>
          </w:p>
          <w:p>
            <w:pPr>
              <w:pStyle w:val="30"/>
              <w:tabs>
                <w:tab w:val="left" w:pos="7665"/>
              </w:tabs>
              <w:adjustRightInd w:val="0"/>
              <w:snapToGrid w:val="0"/>
              <w:spacing w:after="0" w:line="360" w:lineRule="auto"/>
              <w:jc w:val="both"/>
              <w:rPr>
                <w:rFonts w:ascii="仿宋" w:hAnsi="仿宋" w:eastAsia="仿宋" w:cs="仿宋"/>
                <w:color w:val="auto"/>
                <w:highlight w:val="none"/>
                <w:lang w:val="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2</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明确的请求是指：供应商对</w:t>
            </w:r>
            <w:r>
              <w:rPr>
                <w:rFonts w:hint="eastAsia" w:ascii="仿宋" w:hAnsi="仿宋" w:eastAsia="仿宋" w:cs="仿宋"/>
                <w:color w:val="auto"/>
                <w:highlight w:val="none"/>
                <w:lang w:val="zh-TW"/>
              </w:rPr>
              <w:t>采购</w:t>
            </w:r>
            <w:r>
              <w:rPr>
                <w:rFonts w:hint="eastAsia" w:ascii="仿宋" w:hAnsi="仿宋" w:eastAsia="仿宋" w:cs="仿宋"/>
                <w:color w:val="auto"/>
                <w:highlight w:val="none"/>
                <w:lang w:val="zh-TW" w:eastAsia="zh-TW"/>
              </w:rPr>
              <w:t>文件还是对采购过程还是对中标、成交结果提出质疑；想要达到的结果，如中标成交无效、废标、重新组织采购、赔偿、追究法律责任等</w:t>
            </w:r>
            <w:r>
              <w:rPr>
                <w:rFonts w:hint="eastAsia" w:ascii="仿宋" w:hAnsi="仿宋" w:eastAsia="仿宋" w:cs="仿宋"/>
                <w:color w:val="auto"/>
                <w:highlight w:val="none"/>
                <w:lang w:val="zh-TW"/>
              </w:rPr>
              <w:t>。</w:t>
            </w:r>
          </w:p>
          <w:p>
            <w:pPr>
              <w:pStyle w:val="30"/>
              <w:tabs>
                <w:tab w:val="left" w:pos="7665"/>
              </w:tabs>
              <w:adjustRightInd w:val="0"/>
              <w:snapToGrid w:val="0"/>
              <w:spacing w:after="0" w:line="360" w:lineRule="auto"/>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3</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必要的证明材料是指：包含供应商的营业执照、授权委托书(法定代表人质疑时无需提供)、委托代理人身份证明、参加采购项目的证明、权益受到损害的证明材料、证明提出质疑的事实存在的材料等。</w:t>
            </w:r>
          </w:p>
          <w:p>
            <w:pPr>
              <w:pStyle w:val="30"/>
              <w:tabs>
                <w:tab w:val="left" w:pos="7665"/>
              </w:tabs>
              <w:adjustRightInd w:val="0"/>
              <w:snapToGrid w:val="0"/>
              <w:spacing w:after="0" w:line="360" w:lineRule="auto"/>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4</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如因供应商提出的质疑函不符合《政府采购质疑和投诉办法》(财政部令第94号)第十二条的要求，</w:t>
            </w:r>
            <w:r>
              <w:rPr>
                <w:rFonts w:hint="eastAsia" w:ascii="仿宋" w:hAnsi="仿宋" w:eastAsia="仿宋" w:cs="仿宋"/>
                <w:color w:val="auto"/>
                <w:highlight w:val="none"/>
              </w:rPr>
              <w:t>采购代理机构</w:t>
            </w:r>
            <w:r>
              <w:rPr>
                <w:rFonts w:hint="eastAsia" w:ascii="仿宋" w:hAnsi="仿宋" w:eastAsia="仿宋" w:cs="仿宋"/>
                <w:color w:val="auto"/>
                <w:highlight w:val="none"/>
                <w:lang w:val="zh-TW" w:eastAsia="zh-TW"/>
              </w:rPr>
              <w:t>或采购人将要求供应商在法定质疑期内进行质疑函补正，未进行补正或在法定质疑期内未进行补正的，其所有不利后果由供应商自行承担。</w:t>
            </w:r>
          </w:p>
          <w:p>
            <w:pPr>
              <w:adjustRightInd w:val="0"/>
              <w:snapToGrid w:val="0"/>
              <w:spacing w:after="0"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lang w:val="zh-TW"/>
              </w:rPr>
              <w:t>（</w:t>
            </w: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val="zh-TW"/>
              </w:rPr>
              <w:t>）</w:t>
            </w:r>
            <w:r>
              <w:rPr>
                <w:rFonts w:hint="eastAsia" w:ascii="仿宋" w:hAnsi="仿宋" w:eastAsia="仿宋" w:cs="仿宋"/>
                <w:color w:val="auto"/>
                <w:szCs w:val="21"/>
                <w:highlight w:val="none"/>
                <w:lang w:val="zh-TW" w:eastAsia="zh-TW"/>
              </w:rPr>
              <w:t>供应商应当在法定质疑期内一次性提出针对同一采购程序环节的质疑。</w:t>
            </w:r>
            <w:bookmarkEnd w:id="2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666" w:type="dxa"/>
            <w:vAlign w:val="center"/>
          </w:tcPr>
          <w:p>
            <w:pPr>
              <w:pStyle w:val="82"/>
              <w:snapToGrid w:val="0"/>
              <w:spacing w:after="0" w:line="360" w:lineRule="auto"/>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供应商投诉</w:t>
            </w:r>
          </w:p>
        </w:tc>
        <w:tc>
          <w:tcPr>
            <w:tcW w:w="7133" w:type="dxa"/>
          </w:tcPr>
          <w:p>
            <w:pPr>
              <w:adjustRightInd w:val="0"/>
              <w:snapToGrid w:val="0"/>
              <w:spacing w:after="0" w:line="360" w:lineRule="auto"/>
              <w:ind w:left="210" w:leftChars="100"/>
              <w:jc w:val="left"/>
              <w:rPr>
                <w:rFonts w:ascii="仿宋" w:hAnsi="仿宋" w:eastAsia="仿宋" w:cs="仿宋"/>
                <w:color w:val="auto"/>
                <w:highlight w:val="none"/>
              </w:rPr>
            </w:pPr>
            <w:r>
              <w:rPr>
                <w:rFonts w:hint="eastAsia" w:ascii="仿宋" w:hAnsi="仿宋" w:eastAsia="仿宋" w:cs="仿宋"/>
                <w:color w:val="auto"/>
                <w:szCs w:val="21"/>
                <w:highlight w:val="none"/>
                <w:lang w:val="zh-TW" w:eastAsia="zh-TW"/>
              </w:rPr>
              <w:t>投诉受理单位：本采购项目同级财政部门</w:t>
            </w:r>
            <w:r>
              <w:rPr>
                <w:rFonts w:hint="eastAsia" w:ascii="仿宋" w:hAnsi="仿宋" w:eastAsia="仿宋" w:cs="仿宋"/>
                <w:color w:val="auto"/>
                <w:szCs w:val="21"/>
                <w:highlight w:val="none"/>
                <w:lang w:val="zh-TW"/>
              </w:rPr>
              <w:t>。</w:t>
            </w:r>
            <w:r>
              <w:rPr>
                <w:rFonts w:hint="eastAsia" w:ascii="仿宋" w:hAnsi="仿宋" w:eastAsia="仿宋" w:cs="仿宋"/>
                <w:color w:val="auto"/>
                <w:highlight w:val="none"/>
              </w:rPr>
              <w:t>成都市青羊区财政局</w:t>
            </w:r>
            <w:r>
              <w:rPr>
                <w:rFonts w:hint="eastAsia" w:ascii="仿宋" w:hAnsi="仿宋" w:eastAsia="仿宋" w:cs="仿宋"/>
                <w:color w:val="auto"/>
                <w:highlight w:val="none"/>
                <w:lang w:val="zh-TW"/>
              </w:rPr>
              <w:t>，</w:t>
            </w:r>
            <w:r>
              <w:rPr>
                <w:rFonts w:hint="eastAsia" w:ascii="仿宋" w:hAnsi="仿宋" w:eastAsia="仿宋" w:cs="仿宋"/>
                <w:color w:val="auto"/>
                <w:highlight w:val="none"/>
              </w:rPr>
              <w:t>联系电话：028-86266803</w:t>
            </w:r>
          </w:p>
          <w:p>
            <w:pPr>
              <w:adjustRightInd w:val="0"/>
              <w:snapToGrid w:val="0"/>
              <w:spacing w:after="0" w:line="360" w:lineRule="auto"/>
              <w:ind w:firstLine="210" w:firstLine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我公司投诉联系人</w:t>
            </w:r>
            <w:r>
              <w:rPr>
                <w:rFonts w:hint="eastAsia" w:ascii="仿宋" w:hAnsi="仿宋" w:eastAsia="仿宋" w:cs="仿宋"/>
                <w:color w:val="auto"/>
                <w:szCs w:val="21"/>
                <w:highlight w:val="none"/>
                <w:lang w:val="zh-TW" w:eastAsia="zh-TW"/>
              </w:rPr>
              <w:t>：</w:t>
            </w:r>
            <w:r>
              <w:rPr>
                <w:rFonts w:hint="eastAsia" w:ascii="仿宋" w:hAnsi="仿宋" w:eastAsia="仿宋" w:cs="仿宋"/>
                <w:color w:val="auto"/>
                <w:highlight w:val="none"/>
              </w:rPr>
              <w:t>欧女士</w:t>
            </w:r>
          </w:p>
          <w:p>
            <w:pPr>
              <w:adjustRightInd w:val="0"/>
              <w:snapToGrid w:val="0"/>
              <w:spacing w:after="0" w:line="360" w:lineRule="auto"/>
              <w:ind w:firstLine="210" w:firstLineChars="100"/>
              <w:jc w:val="left"/>
              <w:rPr>
                <w:rFonts w:ascii="仿宋" w:hAnsi="仿宋" w:eastAsia="仿宋" w:cs="仿宋"/>
                <w:color w:val="auto"/>
                <w:szCs w:val="21"/>
                <w:highlight w:val="none"/>
                <w:lang w:val="zh-TW" w:eastAsia="zh-TW"/>
              </w:rPr>
            </w:pPr>
            <w:r>
              <w:rPr>
                <w:rFonts w:hint="eastAsia" w:ascii="仿宋" w:hAnsi="仿宋" w:eastAsia="仿宋" w:cs="仿宋"/>
                <w:color w:val="auto"/>
                <w:szCs w:val="21"/>
                <w:highlight w:val="none"/>
                <w:lang w:val="zh-TW" w:eastAsia="zh-TW"/>
              </w:rPr>
              <w:t>联系电话：17318680207</w:t>
            </w:r>
          </w:p>
          <w:p>
            <w:pPr>
              <w:adjustRightInd w:val="0"/>
              <w:snapToGrid w:val="0"/>
              <w:spacing w:after="0" w:line="360" w:lineRule="auto"/>
              <w:ind w:firstLine="210" w:firstLine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注：根据《中华人民共和国政府采购法实施条例》及中华人民共和国财政部令第94号《政府采购质疑和投诉》办法的规定，供应商投诉事项不得超出已质疑事项的范围。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666" w:type="dxa"/>
            <w:tcBorders>
              <w:right w:val="single" w:color="auto" w:sz="4" w:space="0"/>
            </w:tcBorders>
            <w:vAlign w:val="center"/>
          </w:tcPr>
          <w:p>
            <w:pPr>
              <w:adjustRightInd w:val="0"/>
              <w:snapToGrid w:val="0"/>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政府采购合同</w:t>
            </w:r>
          </w:p>
          <w:p>
            <w:pPr>
              <w:adjustRightInd w:val="0"/>
              <w:snapToGrid w:val="0"/>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公告备案</w:t>
            </w:r>
          </w:p>
        </w:tc>
        <w:tc>
          <w:tcPr>
            <w:tcW w:w="7133" w:type="dxa"/>
            <w:tcBorders>
              <w:left w:val="single" w:color="auto" w:sz="4" w:space="0"/>
            </w:tcBorders>
          </w:tcPr>
          <w:p>
            <w:pPr>
              <w:adjustRightInd w:val="0"/>
              <w:snapToGrid w:val="0"/>
              <w:spacing w:after="0" w:line="360" w:lineRule="auto"/>
              <w:rPr>
                <w:rFonts w:ascii="仿宋" w:hAnsi="仿宋" w:eastAsia="仿宋" w:cs="仿宋"/>
                <w:color w:val="auto"/>
                <w:szCs w:val="21"/>
                <w:highlight w:val="none"/>
              </w:rPr>
            </w:pPr>
            <w:bookmarkStart w:id="29" w:name="PO_默认文件内容_38"/>
            <w:r>
              <w:rPr>
                <w:rFonts w:hint="eastAsia" w:ascii="仿宋" w:hAnsi="仿宋" w:eastAsia="仿宋" w:cs="仿宋"/>
                <w:color w:val="auto"/>
                <w:szCs w:val="21"/>
                <w:highlight w:val="none"/>
              </w:rPr>
              <w:t>政府采购合同签订之日起2个工作日内，采购人应将政府采购合同在四川政府采购网公告；政府采购合同签订之日起七个工作日内，政府采购合同将向本采购项目同级财政部门备案</w:t>
            </w:r>
            <w:r>
              <w:rPr>
                <w:rFonts w:hint="eastAsia" w:ascii="仿宋" w:hAnsi="仿宋" w:eastAsia="仿宋" w:cs="仿宋"/>
                <w:color w:val="auto"/>
                <w:szCs w:val="21"/>
                <w:highlight w:val="none"/>
                <w:lang w:val="zh-CN"/>
              </w:rPr>
              <w:t>。</w:t>
            </w:r>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 w:hRule="atLeast"/>
          <w:jc w:val="center"/>
        </w:trPr>
        <w:tc>
          <w:tcPr>
            <w:tcW w:w="555" w:type="dxa"/>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666" w:type="dxa"/>
            <w:tcBorders>
              <w:right w:val="single" w:color="auto" w:sz="4" w:space="0"/>
            </w:tcBorders>
            <w:vAlign w:val="center"/>
          </w:tcPr>
          <w:p>
            <w:pPr>
              <w:adjustRightInd w:val="0"/>
              <w:snapToGrid w:val="0"/>
              <w:spacing w:after="0" w:line="360" w:lineRule="auto"/>
              <w:jc w:val="center"/>
              <w:outlineLvl w:val="5"/>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备选投标方案和报价</w:t>
            </w:r>
          </w:p>
        </w:tc>
        <w:tc>
          <w:tcPr>
            <w:tcW w:w="7133" w:type="dxa"/>
            <w:tcBorders>
              <w:left w:val="single" w:color="auto" w:sz="4" w:space="0"/>
            </w:tcBorders>
            <w:vAlign w:val="center"/>
          </w:tcPr>
          <w:p>
            <w:pPr>
              <w:adjustRightInd w:val="0"/>
              <w:snapToGrid w:val="0"/>
              <w:spacing w:after="0" w:line="360" w:lineRule="auto"/>
              <w:jc w:val="left"/>
              <w:outlineLvl w:val="5"/>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本次采购不接受备选投标方案和多个报价。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666" w:type="dxa"/>
            <w:tcBorders>
              <w:right w:val="single" w:color="auto" w:sz="4" w:space="0"/>
            </w:tcBorders>
            <w:vAlign w:val="center"/>
          </w:tcPr>
          <w:p>
            <w:pPr>
              <w:pStyle w:val="82"/>
              <w:snapToGrid w:val="0"/>
              <w:spacing w:after="0"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招标代理服务费</w:t>
            </w:r>
          </w:p>
        </w:tc>
        <w:tc>
          <w:tcPr>
            <w:tcW w:w="7133" w:type="dxa"/>
            <w:tcBorders>
              <w:left w:val="single" w:color="auto" w:sz="4" w:space="0"/>
            </w:tcBorders>
            <w:vAlign w:val="center"/>
          </w:tcPr>
          <w:p>
            <w:pPr>
              <w:pStyle w:val="82"/>
              <w:snapToGrid w:val="0"/>
              <w:spacing w:after="0" w:line="360" w:lineRule="auto"/>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依照成本加合理利润的原则，参照原国家计委计价格[2002]1980号及发改办价格[2003]857号、《国家发展改革委关于进一步放开建设项目专业服务价格的通知》发改价格〔2015〕299号通知规定收取代理服务费。由中标人在领取中标通知书时向招标代理机构交纳。</w:t>
            </w:r>
          </w:p>
          <w:p>
            <w:pPr>
              <w:pStyle w:val="82"/>
              <w:snapToGrid w:val="0"/>
              <w:spacing w:after="0" w:line="360" w:lineRule="auto"/>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收款单位：利阳致诚国际项目管理有限公司</w:t>
            </w:r>
          </w:p>
          <w:p>
            <w:pPr>
              <w:pStyle w:val="82"/>
              <w:snapToGrid w:val="0"/>
              <w:spacing w:after="0" w:line="360" w:lineRule="auto"/>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收款账号：22818401040021489</w:t>
            </w:r>
          </w:p>
          <w:p>
            <w:pPr>
              <w:pStyle w:val="82"/>
              <w:snapToGrid w:val="0"/>
              <w:spacing w:after="0" w:line="360" w:lineRule="auto"/>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开户行：中国农业银行股份有限公司成都太升支行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666" w:type="dxa"/>
            <w:tcBorders>
              <w:right w:val="single" w:color="auto" w:sz="4" w:space="0"/>
            </w:tcBorders>
            <w:vAlign w:val="center"/>
          </w:tcPr>
          <w:p>
            <w:pPr>
              <w:pStyle w:val="87"/>
              <w:wordWrap/>
              <w:spacing w:after="0"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rPr>
              <w:t>政府采购供应商信用融资</w:t>
            </w:r>
          </w:p>
        </w:tc>
        <w:tc>
          <w:tcPr>
            <w:tcW w:w="7133" w:type="dxa"/>
            <w:tcBorders>
              <w:left w:val="single" w:color="auto" w:sz="4" w:space="0"/>
            </w:tcBorders>
            <w:vAlign w:val="center"/>
          </w:tcPr>
          <w:p>
            <w:pPr>
              <w:pStyle w:val="78"/>
              <w:wordWrap/>
              <w:spacing w:after="0" w:line="360" w:lineRule="auto"/>
              <w:ind w:left="0" w:leftChars="0"/>
              <w:rPr>
                <w:rFonts w:ascii="仿宋" w:hAnsi="仿宋" w:eastAsia="仿宋" w:cs="仿宋"/>
                <w:color w:val="auto"/>
                <w:szCs w:val="21"/>
                <w:highlight w:val="none"/>
              </w:rPr>
            </w:pPr>
            <w:r>
              <w:rPr>
                <w:rFonts w:hint="eastAsia" w:ascii="仿宋" w:hAnsi="仿宋" w:eastAsia="仿宋" w:cs="仿宋"/>
                <w:color w:val="auto"/>
                <w:szCs w:val="21"/>
                <w:highlight w:val="none"/>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78"/>
              <w:wordWrap/>
              <w:spacing w:after="0" w:line="360" w:lineRule="auto"/>
              <w:ind w:left="0" w:leftChars="0"/>
              <w:rPr>
                <w:rFonts w:ascii="仿宋" w:hAnsi="仿宋" w:eastAsia="仿宋" w:cs="仿宋"/>
                <w:color w:val="auto"/>
                <w:szCs w:val="21"/>
                <w:highlight w:val="none"/>
              </w:rPr>
            </w:pPr>
            <w:r>
              <w:rPr>
                <w:rFonts w:hint="eastAsia" w:ascii="仿宋" w:hAnsi="仿宋" w:eastAsia="仿宋" w:cs="仿宋"/>
                <w:color w:val="auto"/>
                <w:szCs w:val="21"/>
                <w:highlight w:val="none"/>
              </w:rPr>
              <w:t>2.有融资需求的供应商可根据《四川省财政厅关于推进四川省政府采购供应商信用融资工作的通知》(川财采〔2018〕123号)、《成都市中小企业政府采购信用融资暂行办法》（成财采〔2019〕17号）等文件要求，根据“四川政府采购网”公示的银行及其“政采贷”产品，自行选择符合自身情况的“政采贷”银行及其产品，凭中标(成交)通知书向银行提出贷款意向申请，并按照相关规定要求和贷款流程办理。上述文件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666" w:type="dxa"/>
            <w:tcBorders>
              <w:right w:val="single" w:color="auto" w:sz="4" w:space="0"/>
            </w:tcBorders>
            <w:vAlign w:val="center"/>
          </w:tcPr>
          <w:p>
            <w:pPr>
              <w:pStyle w:val="87"/>
              <w:wordWrap/>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声明承诺提醒</w:t>
            </w:r>
          </w:p>
        </w:tc>
        <w:tc>
          <w:tcPr>
            <w:tcW w:w="7133" w:type="dxa"/>
            <w:tcBorders>
              <w:left w:val="single" w:color="auto" w:sz="4" w:space="0"/>
            </w:tcBorders>
            <w:vAlign w:val="center"/>
          </w:tcPr>
          <w:p>
            <w:pPr>
              <w:pStyle w:val="78"/>
              <w:wordWrap/>
              <w:spacing w:after="0" w:line="360" w:lineRule="auto"/>
              <w:ind w:left="0" w:leftChars="0"/>
              <w:rPr>
                <w:rFonts w:ascii="仿宋" w:hAnsi="仿宋" w:eastAsia="仿宋" w:cs="仿宋"/>
                <w:color w:val="auto"/>
                <w:szCs w:val="21"/>
                <w:highlight w:val="none"/>
              </w:rPr>
            </w:pPr>
            <w:r>
              <w:rPr>
                <w:rFonts w:hint="eastAsia" w:ascii="仿宋" w:hAnsi="仿宋" w:eastAsia="仿宋" w:cs="仿宋"/>
                <w:color w:val="auto"/>
                <w:szCs w:val="21"/>
                <w:highlight w:val="none"/>
              </w:rPr>
              <w:t>供应商投标文件中提供的各种声明和承诺应当真实有效，无效声明和承诺、虚假声明和承诺将由供应商自己承担由此带来的任何不利后果，虚假声明和承诺还将报告监管部门追究法律责任。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666" w:type="dxa"/>
            <w:tcBorders>
              <w:right w:val="single" w:color="auto" w:sz="4" w:space="0"/>
            </w:tcBorders>
            <w:vAlign w:val="center"/>
          </w:tcPr>
          <w:p>
            <w:pPr>
              <w:pStyle w:val="87"/>
              <w:wordWrap/>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服务质量</w:t>
            </w:r>
          </w:p>
          <w:p>
            <w:pPr>
              <w:pStyle w:val="87"/>
              <w:wordWrap/>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投诉电话</w:t>
            </w:r>
          </w:p>
        </w:tc>
        <w:tc>
          <w:tcPr>
            <w:tcW w:w="7133" w:type="dxa"/>
            <w:tcBorders>
              <w:left w:val="single" w:color="auto" w:sz="4" w:space="0"/>
            </w:tcBorders>
            <w:vAlign w:val="center"/>
          </w:tcPr>
          <w:p>
            <w:pPr>
              <w:pStyle w:val="78"/>
              <w:wordWrap/>
              <w:spacing w:after="0" w:line="360" w:lineRule="auto"/>
              <w:ind w:left="0" w:leftChars="0"/>
              <w:rPr>
                <w:rFonts w:ascii="仿宋" w:hAnsi="仿宋" w:eastAsia="仿宋" w:cs="仿宋"/>
                <w:color w:val="auto"/>
                <w:szCs w:val="21"/>
                <w:highlight w:val="none"/>
              </w:rPr>
            </w:pPr>
            <w:r>
              <w:rPr>
                <w:rFonts w:hint="eastAsia" w:ascii="仿宋" w:hAnsi="仿宋" w:eastAsia="仿宋" w:cs="仿宋"/>
                <w:color w:val="auto"/>
                <w:szCs w:val="21"/>
                <w:highlight w:val="none"/>
              </w:rPr>
              <w:t>联系人：李女士</w:t>
            </w:r>
          </w:p>
          <w:p>
            <w:pPr>
              <w:pStyle w:val="78"/>
              <w:wordWrap/>
              <w:spacing w:after="0" w:line="360" w:lineRule="auto"/>
              <w:ind w:left="0" w:leftChars="0"/>
              <w:rPr>
                <w:rFonts w:ascii="仿宋" w:hAnsi="仿宋" w:eastAsia="仿宋" w:cs="仿宋"/>
                <w:color w:val="auto"/>
                <w:szCs w:val="21"/>
                <w:highlight w:val="none"/>
              </w:rPr>
            </w:pPr>
            <w:r>
              <w:rPr>
                <w:rFonts w:hint="eastAsia" w:ascii="仿宋" w:hAnsi="仿宋" w:eastAsia="仿宋" w:cs="仿宋"/>
                <w:color w:val="auto"/>
                <w:szCs w:val="21"/>
                <w:highlight w:val="none"/>
              </w:rPr>
              <w:t>联系电话：028-85173658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1666" w:type="dxa"/>
            <w:tcBorders>
              <w:right w:val="single" w:color="auto" w:sz="4" w:space="0"/>
            </w:tcBorders>
            <w:vAlign w:val="center"/>
          </w:tcPr>
          <w:p>
            <w:pPr>
              <w:pStyle w:val="100"/>
              <w:snapToGrid w:val="0"/>
              <w:spacing w:after="0"/>
              <w:ind w:firstLine="420"/>
              <w:rPr>
                <w:rFonts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zh-CN"/>
              </w:rPr>
              <w:t>应知事项</w:t>
            </w:r>
          </w:p>
        </w:tc>
        <w:tc>
          <w:tcPr>
            <w:tcW w:w="7133" w:type="dxa"/>
            <w:tcBorders>
              <w:left w:val="single" w:color="auto" w:sz="4" w:space="0"/>
            </w:tcBorders>
            <w:vAlign w:val="center"/>
          </w:tcPr>
          <w:p>
            <w:pPr>
              <w:pStyle w:val="82"/>
              <w:snapToGrid w:val="0"/>
              <w:spacing w:after="0" w:line="360" w:lineRule="auto"/>
              <w:ind w:firstLine="420" w:firstLineChars="200"/>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1、除明确要求须声明或承诺的事项外，</w:t>
            </w:r>
            <w:r>
              <w:rPr>
                <w:rFonts w:hint="eastAsia" w:ascii="仿宋" w:hAnsi="仿宋" w:eastAsia="仿宋" w:cs="仿宋"/>
                <w:color w:val="auto"/>
                <w:sz w:val="21"/>
                <w:szCs w:val="21"/>
                <w:highlight w:val="none"/>
                <w:lang w:val="zh-CN"/>
              </w:rPr>
              <w:t>供应商</w:t>
            </w:r>
            <w:r>
              <w:rPr>
                <w:rFonts w:hint="eastAsia" w:ascii="仿宋" w:hAnsi="仿宋" w:eastAsia="仿宋" w:cs="仿宋"/>
                <w:color w:val="auto"/>
                <w:sz w:val="21"/>
                <w:szCs w:val="21"/>
                <w:highlight w:val="none"/>
              </w:rPr>
              <w:t>可不对未要求声明或承诺的实质性要求进行承诺，只要</w:t>
            </w:r>
            <w:r>
              <w:rPr>
                <w:rFonts w:hint="eastAsia" w:ascii="仿宋" w:hAnsi="仿宋" w:eastAsia="仿宋" w:cs="仿宋"/>
                <w:color w:val="auto"/>
                <w:sz w:val="21"/>
                <w:szCs w:val="21"/>
                <w:highlight w:val="none"/>
                <w:lang w:val="zh-CN"/>
              </w:rPr>
              <w:t>供应商</w:t>
            </w:r>
            <w:r>
              <w:rPr>
                <w:rFonts w:hint="eastAsia" w:ascii="仿宋" w:hAnsi="仿宋" w:eastAsia="仿宋" w:cs="仿宋"/>
                <w:color w:val="auto"/>
                <w:sz w:val="21"/>
                <w:szCs w:val="21"/>
                <w:highlight w:val="none"/>
              </w:rPr>
              <w:t>未明确表示不响应招标文件的要求，即视为</w:t>
            </w:r>
            <w:r>
              <w:rPr>
                <w:rFonts w:hint="eastAsia" w:ascii="仿宋" w:hAnsi="仿宋" w:eastAsia="仿宋" w:cs="仿宋"/>
                <w:color w:val="auto"/>
                <w:sz w:val="21"/>
                <w:szCs w:val="21"/>
                <w:highlight w:val="none"/>
                <w:lang w:val="zh-CN"/>
              </w:rPr>
              <w:t>供应商</w:t>
            </w:r>
            <w:r>
              <w:rPr>
                <w:rFonts w:hint="eastAsia" w:ascii="仿宋" w:hAnsi="仿宋" w:eastAsia="仿宋" w:cs="仿宋"/>
                <w:color w:val="auto"/>
                <w:sz w:val="21"/>
                <w:szCs w:val="21"/>
                <w:highlight w:val="none"/>
              </w:rPr>
              <w:t>完全响应。</w:t>
            </w:r>
          </w:p>
          <w:p>
            <w:pPr>
              <w:pStyle w:val="82"/>
              <w:snapToGrid w:val="0"/>
              <w:spacing w:after="0" w:line="360" w:lineRule="auto"/>
              <w:ind w:firstLine="420" w:firstLineChars="200"/>
              <w:jc w:val="both"/>
              <w:rPr>
                <w:rFonts w:ascii="仿宋" w:hAnsi="仿宋" w:eastAsia="仿宋" w:cs="仿宋"/>
                <w:bCs/>
                <w:color w:val="auto"/>
                <w:kern w:val="2"/>
                <w:sz w:val="21"/>
                <w:szCs w:val="21"/>
                <w:highlight w:val="none"/>
              </w:rPr>
            </w:pPr>
            <w:r>
              <w:rPr>
                <w:rFonts w:hint="eastAsia" w:ascii="仿宋" w:hAnsi="仿宋" w:eastAsia="仿宋" w:cs="仿宋"/>
                <w:color w:val="auto"/>
                <w:sz w:val="21"/>
                <w:szCs w:val="21"/>
                <w:highlight w:val="none"/>
              </w:rPr>
              <w:t>2、如因行业惯例或习惯，在招标文件中使用了非法定计量单位，不影响响应文件的有效性和符合性。</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1666" w:type="dxa"/>
            <w:tcBorders>
              <w:right w:val="single" w:color="auto" w:sz="4" w:space="0"/>
            </w:tcBorders>
            <w:vAlign w:val="center"/>
          </w:tcPr>
          <w:p>
            <w:pPr>
              <w:pStyle w:val="87"/>
              <w:wordWrap/>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133" w:type="dxa"/>
            <w:tcBorders>
              <w:left w:val="single" w:color="auto" w:sz="4" w:space="0"/>
            </w:tcBorders>
            <w:vAlign w:val="center"/>
          </w:tcPr>
          <w:p>
            <w:pPr>
              <w:pStyle w:val="78"/>
              <w:wordWrap/>
              <w:spacing w:after="0" w:line="360" w:lineRule="auto"/>
              <w:ind w:left="0" w:left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若招标文件中同一事项表述与</w:t>
            </w:r>
            <w:r>
              <w:rPr>
                <w:rFonts w:hint="eastAsia" w:ascii="仿宋" w:hAnsi="仿宋" w:eastAsia="仿宋" w:cs="仿宋"/>
                <w:color w:val="auto"/>
                <w:szCs w:val="21"/>
                <w:highlight w:val="none"/>
              </w:rPr>
              <w:t>投标人须知附</w:t>
            </w:r>
            <w:r>
              <w:rPr>
                <w:rFonts w:hint="eastAsia" w:ascii="仿宋" w:hAnsi="仿宋" w:eastAsia="仿宋" w:cs="仿宋"/>
                <w:color w:val="auto"/>
                <w:szCs w:val="21"/>
                <w:highlight w:val="none"/>
                <w:lang w:val="zh-CN"/>
              </w:rPr>
              <w:t>表内容不一致的，以</w:t>
            </w:r>
            <w:r>
              <w:rPr>
                <w:rFonts w:hint="eastAsia" w:ascii="仿宋" w:hAnsi="仿宋" w:eastAsia="仿宋" w:cs="仿宋"/>
                <w:color w:val="auto"/>
                <w:szCs w:val="21"/>
                <w:highlight w:val="none"/>
              </w:rPr>
              <w:t>投标人须知附表</w:t>
            </w:r>
            <w:r>
              <w:rPr>
                <w:rFonts w:hint="eastAsia" w:ascii="仿宋" w:hAnsi="仿宋" w:eastAsia="仿宋" w:cs="仿宋"/>
                <w:color w:val="auto"/>
                <w:szCs w:val="21"/>
                <w:highlight w:val="none"/>
                <w:lang w:val="zh-CN"/>
              </w:rPr>
              <w:t>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55" w:type="dxa"/>
            <w:vAlign w:val="center"/>
          </w:tcPr>
          <w:p>
            <w:pPr>
              <w:adjustRightInd w:val="0"/>
              <w:snapToGrid w:val="0"/>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1666" w:type="dxa"/>
            <w:tcBorders>
              <w:right w:val="single" w:color="auto" w:sz="4" w:space="0"/>
            </w:tcBorders>
            <w:vAlign w:val="center"/>
          </w:tcPr>
          <w:p>
            <w:pPr>
              <w:spacing w:after="0"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zh-CN"/>
              </w:rPr>
              <w:t>温馨提示</w:t>
            </w:r>
          </w:p>
        </w:tc>
        <w:tc>
          <w:tcPr>
            <w:tcW w:w="7133" w:type="dxa"/>
            <w:tcBorders>
              <w:left w:val="single" w:color="auto" w:sz="4" w:space="0"/>
            </w:tcBorders>
            <w:vAlign w:val="center"/>
          </w:tcPr>
          <w:p>
            <w:pPr>
              <w:spacing w:after="0"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spacing w:after="0" w:line="360" w:lineRule="auto"/>
              <w:ind w:firstLine="105" w:firstLineChars="5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）政府采购云平台供应商注册地址：</w:t>
            </w:r>
          </w:p>
          <w:p>
            <w:pPr>
              <w:spacing w:after="0" w:line="360" w:lineRule="auto"/>
              <w:ind w:firstLine="105" w:firstLineChars="5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https://middle.zcygov.cn/v-settle-front/registry?settleCategory=1&amp;entranceType=119&amp;utm=a0017.b1347.cl50.3.c0de9400b91b11eb870ad7da87d69c97</w:t>
            </w:r>
          </w:p>
        </w:tc>
      </w:tr>
    </w:tbl>
    <w:p>
      <w:pPr>
        <w:spacing w:after="0" w:line="360" w:lineRule="auto"/>
        <w:rPr>
          <w:rFonts w:ascii="仿宋" w:hAnsi="仿宋" w:eastAsia="仿宋" w:cs="仿宋"/>
          <w:color w:val="auto"/>
          <w:highlight w:val="none"/>
        </w:rPr>
      </w:pPr>
    </w:p>
    <w:p>
      <w:pPr>
        <w:pStyle w:val="5"/>
        <w:spacing w:before="0"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二、总  则</w:t>
      </w:r>
    </w:p>
    <w:p>
      <w:pPr>
        <w:pStyle w:val="6"/>
        <w:spacing w:before="0" w:after="0"/>
        <w:ind w:firstLine="482" w:firstLineChars="200"/>
        <w:rPr>
          <w:rFonts w:ascii="仿宋" w:hAnsi="仿宋" w:eastAsia="仿宋" w:cs="仿宋"/>
          <w:color w:val="auto"/>
          <w:sz w:val="24"/>
          <w:szCs w:val="24"/>
          <w:highlight w:val="none"/>
        </w:rPr>
      </w:pPr>
      <w:bookmarkStart w:id="30" w:name="_Toc183582205"/>
      <w:bookmarkStart w:id="31" w:name="_Toc183682342"/>
      <w:bookmarkStart w:id="32" w:name="_Toc217446034"/>
      <w:bookmarkStart w:id="33" w:name="PO_默认文件内容_19"/>
      <w:r>
        <w:rPr>
          <w:rFonts w:hint="eastAsia" w:ascii="仿宋" w:hAnsi="仿宋" w:eastAsia="仿宋" w:cs="仿宋"/>
          <w:color w:val="auto"/>
          <w:sz w:val="24"/>
          <w:szCs w:val="24"/>
          <w:highlight w:val="none"/>
        </w:rPr>
        <w:t>1</w:t>
      </w:r>
      <w:bookmarkEnd w:id="30"/>
      <w:bookmarkEnd w:id="31"/>
      <w:r>
        <w:rPr>
          <w:rFonts w:hint="eastAsia" w:ascii="仿宋" w:hAnsi="仿宋" w:eastAsia="仿宋" w:cs="仿宋"/>
          <w:color w:val="auto"/>
          <w:sz w:val="24"/>
          <w:szCs w:val="24"/>
          <w:highlight w:val="none"/>
        </w:rPr>
        <w:t>．适用范围</w:t>
      </w:r>
      <w:bookmarkEnd w:id="32"/>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本招标文件仅适用于本次招标采购项目。</w:t>
      </w:r>
    </w:p>
    <w:p>
      <w:pPr>
        <w:pStyle w:val="6"/>
        <w:spacing w:before="0" w:after="0"/>
        <w:ind w:firstLine="482" w:firstLineChars="200"/>
        <w:rPr>
          <w:rFonts w:ascii="仿宋" w:hAnsi="仿宋" w:eastAsia="仿宋" w:cs="仿宋"/>
          <w:color w:val="auto"/>
          <w:sz w:val="24"/>
          <w:szCs w:val="24"/>
          <w:highlight w:val="none"/>
        </w:rPr>
      </w:pPr>
      <w:bookmarkStart w:id="34" w:name="_Toc183582206"/>
      <w:bookmarkStart w:id="35" w:name="_Toc183682343"/>
      <w:bookmarkStart w:id="36" w:name="_Toc217446035"/>
      <w:r>
        <w:rPr>
          <w:rFonts w:hint="eastAsia" w:ascii="仿宋" w:hAnsi="仿宋" w:eastAsia="仿宋" w:cs="仿宋"/>
          <w:color w:val="auto"/>
          <w:sz w:val="24"/>
          <w:szCs w:val="24"/>
          <w:highlight w:val="none"/>
        </w:rPr>
        <w:t>2</w:t>
      </w:r>
      <w:bookmarkEnd w:id="34"/>
      <w:bookmarkEnd w:id="35"/>
      <w:r>
        <w:rPr>
          <w:rFonts w:hint="eastAsia" w:ascii="仿宋" w:hAnsi="仿宋" w:eastAsia="仿宋" w:cs="仿宋"/>
          <w:color w:val="auto"/>
          <w:sz w:val="24"/>
          <w:szCs w:val="24"/>
          <w:highlight w:val="none"/>
        </w:rPr>
        <w:t>．有关定义</w:t>
      </w:r>
      <w:bookmarkEnd w:id="36"/>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“采购人”系指依法进行政府采购的国家机关、事业单位、团体组织。本次招标的采购人是</w:t>
      </w:r>
      <w:bookmarkEnd w:id="33"/>
      <w:r>
        <w:rPr>
          <w:rFonts w:hint="eastAsia" w:ascii="仿宋" w:hAnsi="仿宋" w:eastAsia="仿宋" w:cs="仿宋"/>
          <w:b/>
          <w:bCs/>
          <w:color w:val="auto"/>
          <w:sz w:val="24"/>
          <w:highlight w:val="none"/>
          <w:u w:val="single"/>
        </w:rPr>
        <w:t>成都市公安局青羊区分局</w:t>
      </w:r>
      <w:r>
        <w:rPr>
          <w:rFonts w:hint="eastAsia" w:ascii="仿宋" w:hAnsi="仿宋" w:eastAsia="仿宋" w:cs="仿宋"/>
          <w:color w:val="auto"/>
          <w:sz w:val="24"/>
          <w:highlight w:val="none"/>
        </w:rPr>
        <w:t>。</w:t>
      </w:r>
    </w:p>
    <w:p>
      <w:pPr>
        <w:tabs>
          <w:tab w:val="left" w:pos="7665"/>
        </w:tabs>
        <w:spacing w:after="0" w:line="360" w:lineRule="auto"/>
        <w:ind w:firstLine="480" w:firstLineChars="200"/>
        <w:rPr>
          <w:rFonts w:ascii="仿宋" w:hAnsi="仿宋" w:eastAsia="仿宋" w:cs="仿宋"/>
          <w:color w:val="auto"/>
          <w:sz w:val="24"/>
          <w:highlight w:val="none"/>
        </w:rPr>
      </w:pPr>
      <w:bookmarkStart w:id="37" w:name="PO_默认文件内容_20"/>
      <w:r>
        <w:rPr>
          <w:rFonts w:hint="eastAsia" w:ascii="仿宋" w:hAnsi="仿宋" w:eastAsia="仿宋" w:cs="仿宋"/>
          <w:color w:val="auto"/>
          <w:sz w:val="24"/>
          <w:highlight w:val="none"/>
        </w:rPr>
        <w:t>2.2 “采购代理机构”系指根据采购人的委托依法办理招标事宜的采购机构。本次招标的采购代理机构是</w:t>
      </w:r>
      <w:r>
        <w:rPr>
          <w:rFonts w:hint="eastAsia" w:ascii="仿宋" w:hAnsi="仿宋" w:eastAsia="仿宋" w:cs="仿宋"/>
          <w:b/>
          <w:bCs/>
          <w:color w:val="auto"/>
          <w:sz w:val="24"/>
          <w:highlight w:val="none"/>
          <w:u w:val="single"/>
        </w:rPr>
        <w:t>利阳致诚国际项目管理有限公司</w:t>
      </w:r>
      <w:r>
        <w:rPr>
          <w:rFonts w:hint="eastAsia" w:ascii="仿宋" w:hAnsi="仿宋" w:eastAsia="仿宋" w:cs="仿宋"/>
          <w:color w:val="auto"/>
          <w:sz w:val="24"/>
          <w:highlight w:val="none"/>
        </w:rPr>
        <w:t>。</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“招标采购单位”系指“采购人”和“采购代理机构”的统称。</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“投标人”系指购买了招标文件拟参加投标和向采购人提供货物及相应服务的供应商。</w:t>
      </w:r>
    </w:p>
    <w:p>
      <w:pPr>
        <w:pStyle w:val="6"/>
        <w:spacing w:before="0" w:after="0"/>
        <w:ind w:firstLine="482" w:firstLineChars="200"/>
        <w:rPr>
          <w:rFonts w:ascii="仿宋" w:hAnsi="仿宋" w:eastAsia="仿宋" w:cs="仿宋"/>
          <w:color w:val="auto"/>
          <w:sz w:val="24"/>
          <w:szCs w:val="24"/>
          <w:highlight w:val="none"/>
        </w:rPr>
      </w:pPr>
      <w:bookmarkStart w:id="38" w:name="_Toc217446036"/>
      <w:bookmarkStart w:id="39" w:name="_Toc183682344"/>
      <w:bookmarkStart w:id="40" w:name="_Toc217390843"/>
      <w:bookmarkStart w:id="41" w:name="_Toc183582207"/>
      <w:r>
        <w:rPr>
          <w:rFonts w:hint="eastAsia" w:ascii="仿宋" w:hAnsi="仿宋" w:eastAsia="仿宋" w:cs="仿宋"/>
          <w:color w:val="auto"/>
          <w:sz w:val="24"/>
          <w:szCs w:val="24"/>
          <w:highlight w:val="none"/>
        </w:rPr>
        <w:t>3．合格的投标人</w:t>
      </w:r>
      <w:bookmarkEnd w:id="38"/>
      <w:bookmarkEnd w:id="39"/>
      <w:bookmarkEnd w:id="40"/>
      <w:bookmarkEnd w:id="41"/>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合格的投标人应具备以下条件：</w:t>
      </w:r>
    </w:p>
    <w:p>
      <w:pPr>
        <w:tabs>
          <w:tab w:val="left" w:pos="7665"/>
        </w:tabs>
        <w:spacing w:after="0" w:line="360" w:lineRule="auto"/>
        <w:ind w:firstLine="480" w:firstLineChars="200"/>
        <w:rPr>
          <w:rFonts w:ascii="仿宋" w:hAnsi="仿宋" w:eastAsia="仿宋" w:cs="仿宋"/>
          <w:color w:val="auto"/>
          <w:spacing w:val="-4"/>
          <w:sz w:val="24"/>
          <w:highlight w:val="none"/>
        </w:rPr>
      </w:pPr>
      <w:r>
        <w:rPr>
          <w:rFonts w:hint="eastAsia" w:ascii="仿宋" w:hAnsi="仿宋" w:eastAsia="仿宋" w:cs="仿宋"/>
          <w:color w:val="auto"/>
          <w:sz w:val="24"/>
          <w:highlight w:val="none"/>
        </w:rPr>
        <w:t>（1）本招标文件规定的供应商资格条件</w:t>
      </w:r>
      <w:r>
        <w:rPr>
          <w:rFonts w:hint="eastAsia" w:ascii="仿宋" w:hAnsi="仿宋" w:eastAsia="仿宋" w:cs="仿宋"/>
          <w:color w:val="auto"/>
          <w:spacing w:val="-4"/>
          <w:sz w:val="24"/>
          <w:highlight w:val="none"/>
        </w:rPr>
        <w:t>；</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（2）遵守国家有关的法律、法规、规章和其他政策制度；</w:t>
      </w:r>
    </w:p>
    <w:p>
      <w:pPr>
        <w:pStyle w:val="2"/>
        <w:spacing w:after="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（3）按要求获取了招标文件。</w:t>
      </w:r>
    </w:p>
    <w:bookmarkEnd w:id="37"/>
    <w:p>
      <w:pPr>
        <w:pStyle w:val="6"/>
        <w:spacing w:before="0" w:after="0"/>
        <w:ind w:firstLine="482" w:firstLineChars="200"/>
        <w:rPr>
          <w:rFonts w:ascii="仿宋" w:hAnsi="仿宋" w:eastAsia="仿宋" w:cs="仿宋"/>
          <w:color w:val="auto"/>
          <w:sz w:val="24"/>
          <w:szCs w:val="24"/>
          <w:highlight w:val="none"/>
        </w:rPr>
      </w:pPr>
      <w:bookmarkStart w:id="42" w:name="_Toc183682345"/>
      <w:bookmarkStart w:id="43" w:name="_Toc183582208"/>
      <w:bookmarkStart w:id="44" w:name="_Toc217446037"/>
      <w:bookmarkStart w:id="45" w:name="PO_默认文件内容_16"/>
      <w:r>
        <w:rPr>
          <w:rFonts w:hint="eastAsia" w:ascii="仿宋" w:hAnsi="仿宋" w:eastAsia="仿宋" w:cs="仿宋"/>
          <w:color w:val="auto"/>
          <w:sz w:val="24"/>
          <w:szCs w:val="24"/>
          <w:highlight w:val="none"/>
        </w:rPr>
        <w:t>4．投标费用</w:t>
      </w:r>
      <w:bookmarkEnd w:id="42"/>
      <w:bookmarkEnd w:id="43"/>
      <w:bookmarkEnd w:id="44"/>
      <w:r>
        <w:rPr>
          <w:rFonts w:hint="eastAsia" w:ascii="仿宋" w:hAnsi="仿宋" w:eastAsia="仿宋" w:cs="仿宋"/>
          <w:color w:val="auto"/>
          <w:sz w:val="24"/>
          <w:szCs w:val="24"/>
          <w:highlight w:val="none"/>
        </w:rPr>
        <w:t>（实质性要求）</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投标人参加投标的有关费用由投标人自行承担。</w:t>
      </w:r>
    </w:p>
    <w:p>
      <w:pPr>
        <w:pStyle w:val="6"/>
        <w:numPr>
          <w:ilvl w:val="0"/>
          <w:numId w:val="2"/>
        </w:numPr>
        <w:spacing w:before="0" w:after="0"/>
        <w:ind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充分、公平竞争保障措施（实质性要求）</w:t>
      </w:r>
    </w:p>
    <w:p>
      <w:pPr>
        <w:pStyle w:val="98"/>
        <w:spacing w:after="0" w:line="360" w:lineRule="auto"/>
        <w:ind w:firstLine="482" w:firstLineChars="200"/>
        <w:rPr>
          <w:rFonts w:ascii="仿宋" w:hAnsi="仿宋" w:eastAsia="仿宋" w:cs="仿宋"/>
          <w:color w:val="auto"/>
          <w:sz w:val="24"/>
          <w:szCs w:val="24"/>
          <w:highlight w:val="none"/>
        </w:rPr>
      </w:pPr>
      <w:bookmarkStart w:id="46" w:name="_Toc217446038"/>
      <w:bookmarkStart w:id="47" w:name="_Toc89075875"/>
      <w:bookmarkStart w:id="48" w:name="_Toc183582209"/>
      <w:bookmarkStart w:id="49" w:name="_Toc183682346"/>
      <w:bookmarkStart w:id="50" w:name="_Toc77400779"/>
      <w:r>
        <w:rPr>
          <w:rFonts w:hint="eastAsia" w:ascii="仿宋" w:hAnsi="仿宋" w:eastAsia="仿宋" w:cs="仿宋"/>
          <w:b/>
          <w:color w:val="auto"/>
          <w:sz w:val="24"/>
          <w:szCs w:val="24"/>
          <w:highlight w:val="none"/>
        </w:rPr>
        <w:t>5.1 利害关系供应商处理。</w:t>
      </w: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98"/>
        <w:spacing w:after="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5.2 前期参与供应商处理。</w:t>
      </w:r>
      <w:r>
        <w:rPr>
          <w:rFonts w:hint="eastAsia" w:ascii="仿宋" w:hAnsi="仿宋" w:eastAsia="仿宋" w:cs="仿宋"/>
          <w:color w:val="auto"/>
          <w:sz w:val="24"/>
          <w:szCs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adjustRightInd w:val="0"/>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5.3 利害关系代理人处理。</w:t>
      </w:r>
      <w:r>
        <w:rPr>
          <w:rFonts w:hint="eastAsia" w:ascii="仿宋" w:hAnsi="仿宋" w:eastAsia="仿宋" w:cs="仿宋"/>
          <w:color w:val="auto"/>
          <w:sz w:val="24"/>
          <w:highlight w:val="none"/>
        </w:rPr>
        <w:t>2家以上的供应商不得在同一合同项下的采购项目中，同时委托同一个自然人、同一家庭的人员、同一单位的人员作为其代理人，否则，其投标文件作为无效处理。</w:t>
      </w:r>
    </w:p>
    <w:p>
      <w:pPr>
        <w:adjustRightInd w:val="0"/>
        <w:snapToGrid w:val="0"/>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5.4 供应商与采购代理机构存在关联关系，或者是采购代理机构的母公司或子公司，不得参加本项目政府采购活动。</w:t>
      </w:r>
    </w:p>
    <w:p>
      <w:pPr>
        <w:pStyle w:val="75"/>
        <w:snapToGrid w:val="0"/>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5.5 回避。</w:t>
      </w:r>
      <w:r>
        <w:rPr>
          <w:rFonts w:hint="eastAsia" w:ascii="仿宋" w:hAnsi="仿宋" w:eastAsia="仿宋" w:cs="仿宋"/>
          <w:color w:val="auto"/>
          <w:sz w:val="24"/>
          <w:szCs w:val="24"/>
          <w:highlight w:val="none"/>
        </w:rPr>
        <w:t>政府采购活动中，采购人员及相关人员与供应商有下列利害关系之一的，应当回避：</w:t>
      </w:r>
    </w:p>
    <w:p>
      <w:pPr>
        <w:pStyle w:val="7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（1）参加采购活动前3年内与供应商存在劳动关系；</w:t>
      </w:r>
    </w:p>
    <w:p>
      <w:pPr>
        <w:pStyle w:val="7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（2）参加采购活动前3年内担任供应商的董事、监事；</w:t>
      </w:r>
    </w:p>
    <w:p>
      <w:pPr>
        <w:pStyle w:val="7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（3）参加采购活动前3年内是供应商的控股股东或者实际控制人；</w:t>
      </w:r>
    </w:p>
    <w:p>
      <w:pPr>
        <w:pStyle w:val="7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（4）与供应商的法定代表人或者负责人有夫妻、直系血亲、三代以内旁系血亲或者近姻亲关系；</w:t>
      </w:r>
    </w:p>
    <w:p>
      <w:pPr>
        <w:pStyle w:val="7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（5）与供应商有其他可能影响政府采购活动公平、公正进行的关系。</w:t>
      </w:r>
    </w:p>
    <w:p>
      <w:pPr>
        <w:pStyle w:val="7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spacing w:before="0"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t>三、招标文件</w:t>
      </w:r>
      <w:bookmarkEnd w:id="46"/>
      <w:bookmarkEnd w:id="47"/>
      <w:bookmarkEnd w:id="48"/>
      <w:bookmarkEnd w:id="49"/>
      <w:bookmarkEnd w:id="50"/>
    </w:p>
    <w:p>
      <w:pPr>
        <w:pStyle w:val="6"/>
        <w:spacing w:before="0" w:after="0"/>
        <w:ind w:firstLine="482" w:firstLineChars="200"/>
        <w:rPr>
          <w:rFonts w:ascii="仿宋" w:hAnsi="仿宋" w:eastAsia="仿宋" w:cs="仿宋"/>
          <w:color w:val="auto"/>
          <w:sz w:val="24"/>
          <w:szCs w:val="24"/>
          <w:highlight w:val="none"/>
        </w:rPr>
      </w:pPr>
      <w:bookmarkStart w:id="51" w:name="_Toc183582210"/>
      <w:bookmarkStart w:id="52" w:name="_Toc183682347"/>
      <w:bookmarkStart w:id="53" w:name="_Toc217446039"/>
      <w:r>
        <w:rPr>
          <w:rFonts w:hint="eastAsia" w:ascii="仿宋" w:hAnsi="仿宋" w:eastAsia="仿宋" w:cs="仿宋"/>
          <w:color w:val="auto"/>
          <w:sz w:val="24"/>
          <w:szCs w:val="24"/>
          <w:highlight w:val="none"/>
        </w:rPr>
        <w:t>6．招标文件的构成</w:t>
      </w:r>
      <w:bookmarkEnd w:id="51"/>
      <w:bookmarkEnd w:id="52"/>
      <w:bookmarkEnd w:id="53"/>
    </w:p>
    <w:p>
      <w:pPr>
        <w:tabs>
          <w:tab w:val="left" w:pos="7665"/>
        </w:tabs>
        <w:spacing w:after="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（一）投标</w:t>
      </w:r>
      <w:r>
        <w:rPr>
          <w:rFonts w:hint="eastAsia" w:ascii="仿宋" w:hAnsi="仿宋" w:eastAsia="仿宋" w:cs="仿宋"/>
          <w:color w:val="auto"/>
          <w:sz w:val="24"/>
          <w:highlight w:val="none"/>
        </w:rPr>
        <w:t>邀请；</w:t>
      </w:r>
    </w:p>
    <w:p>
      <w:pPr>
        <w:tabs>
          <w:tab w:val="left" w:pos="720"/>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（二）投标人须知；</w:t>
      </w:r>
    </w:p>
    <w:p>
      <w:pPr>
        <w:tabs>
          <w:tab w:val="left" w:pos="720"/>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（三）投标文件格式；</w:t>
      </w:r>
    </w:p>
    <w:p>
      <w:pPr>
        <w:tabs>
          <w:tab w:val="left" w:pos="720"/>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（四）投标人和投标产品的资格、资质性及其他类似效力要求；</w:t>
      </w:r>
    </w:p>
    <w:p>
      <w:pPr>
        <w:tabs>
          <w:tab w:val="left" w:pos="720"/>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（五）投标人应当提供的资格、资质性及其他类似效力要求的相关证明材料；</w:t>
      </w:r>
    </w:p>
    <w:p>
      <w:pPr>
        <w:tabs>
          <w:tab w:val="left" w:pos="720"/>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（六）招标项目技术、服务、政府采购合同内容条款及其他商务要求；</w:t>
      </w:r>
    </w:p>
    <w:p>
      <w:pPr>
        <w:tabs>
          <w:tab w:val="left" w:pos="720"/>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（七）评标办法；</w:t>
      </w:r>
    </w:p>
    <w:p>
      <w:pPr>
        <w:tabs>
          <w:tab w:val="left" w:pos="720"/>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（八）政府采购合同。</w:t>
      </w:r>
    </w:p>
    <w:p>
      <w:pPr>
        <w:pStyle w:val="6"/>
        <w:spacing w:before="0" w:after="0"/>
        <w:ind w:firstLine="482" w:firstLineChars="200"/>
        <w:rPr>
          <w:rFonts w:ascii="仿宋" w:hAnsi="仿宋" w:eastAsia="仿宋" w:cs="仿宋"/>
          <w:color w:val="auto"/>
          <w:sz w:val="24"/>
          <w:szCs w:val="24"/>
          <w:highlight w:val="none"/>
        </w:rPr>
      </w:pPr>
      <w:bookmarkStart w:id="54" w:name="_Toc183682348"/>
      <w:bookmarkStart w:id="55" w:name="_Toc183582211"/>
      <w:bookmarkStart w:id="56" w:name="_Toc217446040"/>
      <w:r>
        <w:rPr>
          <w:rFonts w:hint="eastAsia" w:ascii="仿宋" w:hAnsi="仿宋" w:eastAsia="仿宋" w:cs="仿宋"/>
          <w:color w:val="auto"/>
          <w:sz w:val="24"/>
          <w:szCs w:val="24"/>
          <w:highlight w:val="none"/>
        </w:rPr>
        <w:t>7．招标文件的澄清</w:t>
      </w:r>
      <w:bookmarkEnd w:id="54"/>
      <w:bookmarkEnd w:id="55"/>
      <w:r>
        <w:rPr>
          <w:rFonts w:hint="eastAsia" w:ascii="仿宋" w:hAnsi="仿宋" w:eastAsia="仿宋" w:cs="仿宋"/>
          <w:color w:val="auto"/>
          <w:sz w:val="24"/>
          <w:szCs w:val="24"/>
          <w:highlight w:val="none"/>
        </w:rPr>
        <w:t>和修改</w:t>
      </w:r>
      <w:bookmarkEnd w:id="56"/>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 招标采购单位可以依法对招标文件进行澄清或者修改。</w:t>
      </w:r>
    </w:p>
    <w:p>
      <w:pPr>
        <w:tabs>
          <w:tab w:val="left" w:pos="7665"/>
        </w:tabs>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7.2 澄清或者修改的内容，将在“四川政府采购网”上发布更正公告，同时通过政府采购云平台将澄清或者修改的内容告知所有在系统中成功获取招标文件的潜在投标人（投标人通过账号或CA证书登录云平台查看）。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 供应商应于投标文件递交截止时间之前在四川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 投标人认为需要对招标文件进行澄清或者修改的，可以以书面形式向招标采购单位提出申请，但招标采购单位可以决定是否采纳投标人的申请事项。</w:t>
      </w:r>
    </w:p>
    <w:p>
      <w:pPr>
        <w:pStyle w:val="6"/>
        <w:spacing w:before="0" w:after="0"/>
        <w:ind w:firstLine="482" w:firstLineChars="200"/>
        <w:rPr>
          <w:rFonts w:ascii="仿宋" w:hAnsi="仿宋" w:eastAsia="仿宋" w:cs="仿宋"/>
          <w:color w:val="auto"/>
          <w:sz w:val="24"/>
          <w:szCs w:val="24"/>
          <w:highlight w:val="none"/>
        </w:rPr>
      </w:pPr>
      <w:bookmarkStart w:id="57" w:name="_Toc217446041"/>
      <w:bookmarkStart w:id="58" w:name="_Toc208848971"/>
      <w:r>
        <w:rPr>
          <w:rFonts w:hint="eastAsia" w:ascii="仿宋" w:hAnsi="仿宋" w:eastAsia="仿宋" w:cs="仿宋"/>
          <w:color w:val="auto"/>
          <w:sz w:val="24"/>
          <w:szCs w:val="24"/>
          <w:highlight w:val="none"/>
        </w:rPr>
        <w:t>8．答疑会和现场考察</w:t>
      </w:r>
      <w:bookmarkEnd w:id="57"/>
      <w:bookmarkEnd w:id="58"/>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现场考察或标前答疑会时间：本项目不组织。</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现场考察或标前答疑会地点：本项目不组织。</w:t>
      </w:r>
    </w:p>
    <w:bookmarkEnd w:id="45"/>
    <w:p>
      <w:pPr>
        <w:tabs>
          <w:tab w:val="left" w:pos="7665"/>
        </w:tabs>
        <w:spacing w:after="0" w:line="360" w:lineRule="auto"/>
        <w:ind w:firstLine="480" w:firstLineChars="200"/>
        <w:rPr>
          <w:rFonts w:ascii="仿宋" w:hAnsi="仿宋" w:eastAsia="仿宋" w:cs="仿宋"/>
          <w:color w:val="auto"/>
          <w:sz w:val="24"/>
          <w:highlight w:val="none"/>
        </w:rPr>
      </w:pPr>
      <w:bookmarkStart w:id="59" w:name="PO_默认文件内容_18"/>
      <w:r>
        <w:rPr>
          <w:rFonts w:hint="eastAsia" w:ascii="仿宋" w:hAnsi="仿宋" w:eastAsia="仿宋" w:cs="仿宋"/>
          <w:color w:val="auto"/>
          <w:sz w:val="24"/>
          <w:highlight w:val="none"/>
        </w:rPr>
        <w:t>8.2 供应商考察现场所发生的一切费用由供应商自己承担。</w:t>
      </w:r>
    </w:p>
    <w:p>
      <w:pPr>
        <w:pStyle w:val="5"/>
        <w:spacing w:before="0" w:after="0" w:line="360" w:lineRule="auto"/>
        <w:jc w:val="center"/>
        <w:rPr>
          <w:rFonts w:ascii="仿宋" w:hAnsi="仿宋" w:eastAsia="仿宋" w:cs="仿宋"/>
          <w:color w:val="auto"/>
          <w:highlight w:val="none"/>
        </w:rPr>
      </w:pPr>
      <w:bookmarkStart w:id="60" w:name="_Toc89075876"/>
      <w:bookmarkStart w:id="61" w:name="_Toc183582214"/>
      <w:bookmarkStart w:id="62" w:name="_Toc183682351"/>
      <w:bookmarkStart w:id="63" w:name="_Toc77400780"/>
      <w:bookmarkStart w:id="64" w:name="_Toc217446042"/>
      <w:r>
        <w:rPr>
          <w:rFonts w:hint="eastAsia" w:ascii="仿宋" w:hAnsi="仿宋" w:eastAsia="仿宋" w:cs="仿宋"/>
          <w:color w:val="auto"/>
          <w:highlight w:val="none"/>
        </w:rPr>
        <w:t>四、投标文件</w:t>
      </w:r>
      <w:bookmarkEnd w:id="60"/>
      <w:bookmarkEnd w:id="61"/>
      <w:bookmarkEnd w:id="62"/>
      <w:bookmarkEnd w:id="63"/>
      <w:bookmarkEnd w:id="64"/>
    </w:p>
    <w:p>
      <w:pPr>
        <w:pStyle w:val="6"/>
        <w:spacing w:before="0" w:after="0"/>
        <w:ind w:firstLine="482" w:firstLineChars="200"/>
        <w:rPr>
          <w:rFonts w:ascii="仿宋" w:hAnsi="仿宋" w:eastAsia="仿宋" w:cs="仿宋"/>
          <w:bCs w:val="0"/>
          <w:color w:val="auto"/>
          <w:sz w:val="24"/>
          <w:szCs w:val="24"/>
          <w:highlight w:val="none"/>
        </w:rPr>
      </w:pPr>
      <w:bookmarkStart w:id="65" w:name="_Toc183682352"/>
      <w:bookmarkStart w:id="66" w:name="_Toc183582215"/>
      <w:bookmarkStart w:id="67" w:name="_Toc217446043"/>
      <w:r>
        <w:rPr>
          <w:rFonts w:hint="eastAsia" w:ascii="仿宋" w:hAnsi="仿宋" w:eastAsia="仿宋" w:cs="仿宋"/>
          <w:bCs w:val="0"/>
          <w:color w:val="auto"/>
          <w:sz w:val="24"/>
          <w:szCs w:val="24"/>
          <w:highlight w:val="none"/>
        </w:rPr>
        <w:t>9</w:t>
      </w:r>
      <w:r>
        <w:rPr>
          <w:rFonts w:hint="eastAsia" w:ascii="仿宋" w:hAnsi="仿宋" w:eastAsia="仿宋" w:cs="仿宋"/>
          <w:color w:val="auto"/>
          <w:sz w:val="24"/>
          <w:szCs w:val="24"/>
          <w:highlight w:val="none"/>
        </w:rPr>
        <w:t>．</w:t>
      </w:r>
      <w:r>
        <w:rPr>
          <w:rFonts w:hint="eastAsia" w:ascii="仿宋" w:hAnsi="仿宋" w:eastAsia="仿宋" w:cs="仿宋"/>
          <w:bCs w:val="0"/>
          <w:color w:val="auto"/>
          <w:sz w:val="24"/>
          <w:szCs w:val="24"/>
          <w:highlight w:val="none"/>
        </w:rPr>
        <w:t>投标文件的语言</w:t>
      </w:r>
      <w:bookmarkEnd w:id="65"/>
      <w:bookmarkEnd w:id="66"/>
      <w:bookmarkEnd w:id="67"/>
      <w:r>
        <w:rPr>
          <w:rFonts w:hint="eastAsia" w:ascii="仿宋" w:hAnsi="仿宋" w:eastAsia="仿宋" w:cs="仿宋"/>
          <w:color w:val="auto"/>
          <w:sz w:val="24"/>
          <w:szCs w:val="24"/>
          <w:highlight w:val="none"/>
        </w:rPr>
        <w:t>（实质性要求）</w:t>
      </w:r>
    </w:p>
    <w:p>
      <w:pPr>
        <w:tabs>
          <w:tab w:val="left" w:pos="1134"/>
        </w:tabs>
        <w:spacing w:after="0" w:line="360" w:lineRule="auto"/>
        <w:ind w:firstLine="480" w:firstLineChars="200"/>
        <w:jc w:val="left"/>
        <w:rPr>
          <w:rFonts w:ascii="仿宋" w:hAnsi="仿宋" w:eastAsia="仿宋" w:cs="仿宋"/>
          <w:color w:val="auto"/>
          <w:sz w:val="24"/>
          <w:highlight w:val="none"/>
        </w:rPr>
      </w:pPr>
      <w:bookmarkStart w:id="68" w:name="_Toc217446044"/>
      <w:bookmarkStart w:id="69" w:name="_Toc183582216"/>
      <w:bookmarkStart w:id="70" w:name="_Toc183682353"/>
      <w:r>
        <w:rPr>
          <w:rFonts w:hint="eastAsia" w:ascii="仿宋" w:hAnsi="仿宋" w:eastAsia="仿宋" w:cs="仿宋"/>
          <w:color w:val="auto"/>
          <w:sz w:val="24"/>
          <w:highlight w:val="none"/>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9.2 翻译的中文资料与外文资料如果出现差异和矛盾时，以中文为准。涉嫌虚假响应的按照相关法律法规处理。</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 如因未翻译而造成的废标，由投标人承担。</w:t>
      </w:r>
    </w:p>
    <w:p>
      <w:pPr>
        <w:pStyle w:val="6"/>
        <w:spacing w:before="0" w:after="0"/>
        <w:ind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10．计量单位</w:t>
      </w:r>
      <w:bookmarkEnd w:id="68"/>
      <w:bookmarkEnd w:id="69"/>
      <w:bookmarkEnd w:id="70"/>
      <w:r>
        <w:rPr>
          <w:rFonts w:hint="eastAsia" w:ascii="仿宋" w:hAnsi="仿宋" w:eastAsia="仿宋" w:cs="仿宋"/>
          <w:color w:val="auto"/>
          <w:sz w:val="24"/>
          <w:szCs w:val="24"/>
          <w:highlight w:val="none"/>
        </w:rPr>
        <w:t>（实质性要求）</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除招标文件中另有规定外，本次采购项目所有合同项下的投标均采用国家法定的计量单位。</w:t>
      </w:r>
    </w:p>
    <w:p>
      <w:pPr>
        <w:pStyle w:val="6"/>
        <w:spacing w:before="0" w:after="0"/>
        <w:ind w:firstLine="482" w:firstLineChars="200"/>
        <w:rPr>
          <w:rFonts w:ascii="仿宋" w:hAnsi="仿宋" w:eastAsia="仿宋" w:cs="仿宋"/>
          <w:color w:val="auto"/>
          <w:sz w:val="24"/>
          <w:szCs w:val="24"/>
          <w:highlight w:val="none"/>
        </w:rPr>
      </w:pPr>
      <w:bookmarkStart w:id="71" w:name="_Toc217446045"/>
      <w:r>
        <w:rPr>
          <w:rFonts w:hint="eastAsia" w:ascii="仿宋" w:hAnsi="仿宋" w:eastAsia="仿宋" w:cs="仿宋"/>
          <w:color w:val="auto"/>
          <w:sz w:val="24"/>
          <w:szCs w:val="24"/>
          <w:highlight w:val="none"/>
        </w:rPr>
        <w:t>11．投标货币</w:t>
      </w:r>
      <w:bookmarkEnd w:id="71"/>
      <w:r>
        <w:rPr>
          <w:rFonts w:hint="eastAsia" w:ascii="仿宋" w:hAnsi="仿宋" w:eastAsia="仿宋" w:cs="仿宋"/>
          <w:color w:val="auto"/>
          <w:sz w:val="24"/>
          <w:szCs w:val="24"/>
          <w:highlight w:val="none"/>
        </w:rPr>
        <w:t>（实质性要求）</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本次招标项目的投标均以人民币报价。</w:t>
      </w:r>
    </w:p>
    <w:p>
      <w:pPr>
        <w:pStyle w:val="6"/>
        <w:spacing w:before="0" w:after="0"/>
        <w:ind w:firstLine="482" w:firstLineChars="200"/>
        <w:rPr>
          <w:rFonts w:ascii="仿宋" w:hAnsi="仿宋" w:eastAsia="仿宋" w:cs="仿宋"/>
          <w:color w:val="auto"/>
          <w:sz w:val="24"/>
          <w:szCs w:val="24"/>
          <w:highlight w:val="none"/>
        </w:rPr>
      </w:pPr>
      <w:bookmarkStart w:id="72" w:name="_Toc217446046"/>
      <w:r>
        <w:rPr>
          <w:rFonts w:hint="eastAsia" w:ascii="仿宋" w:hAnsi="仿宋" w:eastAsia="仿宋" w:cs="仿宋"/>
          <w:color w:val="auto"/>
          <w:sz w:val="24"/>
          <w:szCs w:val="24"/>
          <w:highlight w:val="none"/>
        </w:rPr>
        <w:t>12．联合体投标</w:t>
      </w:r>
      <w:bookmarkEnd w:id="72"/>
      <w:r>
        <w:rPr>
          <w:rFonts w:hint="eastAsia" w:ascii="仿宋" w:hAnsi="仿宋" w:eastAsia="仿宋" w:cs="仿宋"/>
          <w:color w:val="auto"/>
          <w:sz w:val="24"/>
          <w:szCs w:val="24"/>
          <w:highlight w:val="none"/>
        </w:rPr>
        <w:t>（仅适用于允许联合体参与的项目）</w:t>
      </w:r>
    </w:p>
    <w:p>
      <w:pPr>
        <w:spacing w:after="0" w:line="360" w:lineRule="auto"/>
        <w:ind w:firstLine="480" w:firstLineChars="200"/>
        <w:rPr>
          <w:rFonts w:ascii="仿宋" w:hAnsi="仿宋" w:eastAsia="仿宋" w:cs="仿宋"/>
          <w:color w:val="auto"/>
          <w:sz w:val="24"/>
          <w:highlight w:val="none"/>
        </w:rPr>
      </w:pPr>
      <w:bookmarkStart w:id="73" w:name="_Toc217446047"/>
      <w:r>
        <w:rPr>
          <w:rFonts w:hint="eastAsia" w:ascii="仿宋" w:hAnsi="仿宋" w:eastAsia="仿宋" w:cs="仿宋"/>
          <w:color w:val="auto"/>
          <w:sz w:val="24"/>
          <w:highlight w:val="none"/>
        </w:rPr>
        <w:t>联合体各方应当共同与采购人签订采购合同，就采购合同约定的事项对采购人承担连带责任，本项目不允许联合体参与评标。</w:t>
      </w:r>
    </w:p>
    <w:p>
      <w:pPr>
        <w:pStyle w:val="6"/>
        <w:spacing w:before="0" w:after="0"/>
        <w:ind w:firstLine="482" w:firstLineChars="200"/>
        <w:rPr>
          <w:rFonts w:ascii="仿宋" w:hAnsi="仿宋" w:eastAsia="仿宋" w:cs="仿宋"/>
          <w:color w:val="auto"/>
          <w:sz w:val="24"/>
          <w:szCs w:val="24"/>
          <w:highlight w:val="none"/>
        </w:rPr>
      </w:pPr>
      <w:bookmarkStart w:id="74" w:name="_Toc308164797"/>
      <w:r>
        <w:rPr>
          <w:rFonts w:hint="eastAsia" w:ascii="仿宋" w:hAnsi="仿宋" w:eastAsia="仿宋" w:cs="仿宋"/>
          <w:color w:val="auto"/>
          <w:sz w:val="24"/>
          <w:szCs w:val="24"/>
          <w:highlight w:val="none"/>
        </w:rPr>
        <w:t>13．知识产权</w:t>
      </w:r>
      <w:bookmarkEnd w:id="73"/>
      <w:bookmarkEnd w:id="74"/>
      <w:r>
        <w:rPr>
          <w:rFonts w:hint="eastAsia" w:ascii="仿宋" w:hAnsi="仿宋" w:eastAsia="仿宋" w:cs="仿宋"/>
          <w:color w:val="auto"/>
          <w:sz w:val="24"/>
          <w:szCs w:val="24"/>
          <w:highlight w:val="none"/>
        </w:rPr>
        <w:t>（实质性要求）</w:t>
      </w:r>
    </w:p>
    <w:p>
      <w:pPr>
        <w:pStyle w:val="13"/>
        <w:spacing w:after="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3"/>
        <w:spacing w:after="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13.2 采购人享有本项目实施过程中产生的知识成果及知识产权。</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13.4 如采用投标人所不拥有的知识产权，则在投标报价中必须包括合法获取该知识产权的相关费用。 </w:t>
      </w:r>
    </w:p>
    <w:p>
      <w:pPr>
        <w:pStyle w:val="6"/>
        <w:spacing w:before="0" w:after="0"/>
        <w:ind w:firstLine="482" w:firstLineChars="200"/>
        <w:rPr>
          <w:rFonts w:ascii="仿宋" w:hAnsi="仿宋" w:eastAsia="仿宋" w:cs="仿宋"/>
          <w:color w:val="auto"/>
          <w:sz w:val="24"/>
          <w:szCs w:val="24"/>
          <w:highlight w:val="none"/>
        </w:rPr>
      </w:pPr>
      <w:bookmarkStart w:id="75" w:name="_Toc308164798"/>
      <w:bookmarkStart w:id="76" w:name="_Toc183682354"/>
      <w:bookmarkStart w:id="77" w:name="_Toc183582217"/>
      <w:bookmarkStart w:id="78" w:name="_Toc217446048"/>
      <w:r>
        <w:rPr>
          <w:rFonts w:hint="eastAsia" w:ascii="仿宋" w:hAnsi="仿宋" w:eastAsia="仿宋" w:cs="仿宋"/>
          <w:color w:val="auto"/>
          <w:sz w:val="24"/>
          <w:szCs w:val="24"/>
          <w:highlight w:val="none"/>
        </w:rPr>
        <w:t>14．投标文件的组成</w:t>
      </w:r>
      <w:bookmarkEnd w:id="75"/>
      <w:bookmarkEnd w:id="76"/>
      <w:bookmarkEnd w:id="77"/>
      <w:bookmarkEnd w:id="78"/>
      <w:r>
        <w:rPr>
          <w:rFonts w:hint="eastAsia" w:ascii="仿宋" w:hAnsi="仿宋" w:eastAsia="仿宋" w:cs="仿宋"/>
          <w:color w:val="auto"/>
          <w:sz w:val="24"/>
          <w:szCs w:val="24"/>
          <w:highlight w:val="none"/>
        </w:rPr>
        <w:t>（实质性要求）</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投标人应按照招标文件的规定和要求编制投标文件。投标人拟在中标后将中标项目的非主体、非关键性工作交由他人分包完成的，应当在投标文件中载明。投标人编写的投标文件应包括下列部分：</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14.1投标文件封面；</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14.2资格性审查部分：投标人应按照招标文件第五章要求集中在此部分提供资格证明材料，未在此部分提供的资格性证明材料在进行资格性审查时不予认可。</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14.3服务、商务及其他要求响应部分：投标人根据招标文件要求提供的除资格性审查材料以外的其他一切材料。</w:t>
      </w:r>
    </w:p>
    <w:p>
      <w:pPr>
        <w:pStyle w:val="2"/>
        <w:spacing w:after="0" w:line="360" w:lineRule="auto"/>
        <w:ind w:firstLine="482" w:firstLineChars="200"/>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14.3.1报价部分。</w:t>
      </w:r>
      <w:r>
        <w:rPr>
          <w:rFonts w:hint="eastAsia" w:ascii="仿宋" w:hAnsi="仿宋" w:eastAsia="仿宋" w:cs="仿宋"/>
          <w:color w:val="auto"/>
          <w:sz w:val="24"/>
          <w:szCs w:val="24"/>
          <w:highlight w:val="none"/>
        </w:rPr>
        <w:t>投标人按照招标文件要求填写的“开标一览表”及“分项报价明细表”。本次招标报价要求：</w:t>
      </w:r>
    </w:p>
    <w:p>
      <w:pPr>
        <w:pStyle w:val="2"/>
        <w:spacing w:after="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（1）投标人的报价是投标人响应招标项目要求的全部工作内容的价格体现，包括投标人完成本项目所需的一切费用</w:t>
      </w:r>
      <w:r>
        <w:rPr>
          <w:rFonts w:hint="eastAsia" w:ascii="仿宋" w:hAnsi="仿宋" w:eastAsia="仿宋" w:cs="仿宋"/>
          <w:b/>
          <w:bCs/>
          <w:color w:val="auto"/>
          <w:sz w:val="24"/>
          <w:szCs w:val="24"/>
          <w:highlight w:val="none"/>
        </w:rPr>
        <w:t>（实质性要求）</w:t>
      </w:r>
      <w:r>
        <w:rPr>
          <w:rFonts w:hint="eastAsia" w:ascii="仿宋" w:hAnsi="仿宋" w:eastAsia="仿宋" w:cs="仿宋"/>
          <w:color w:val="auto"/>
          <w:sz w:val="24"/>
          <w:szCs w:val="24"/>
          <w:highlight w:val="none"/>
        </w:rPr>
        <w:t>。</w:t>
      </w:r>
    </w:p>
    <w:p>
      <w:pPr>
        <w:pStyle w:val="2"/>
        <w:spacing w:after="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（2）投标人每种货物只允许有一个报价，并且在合同履行过程中是固定不变的，任何有选择或可调整的报价将不予接受，并按无效投标处理</w:t>
      </w:r>
      <w:r>
        <w:rPr>
          <w:rFonts w:hint="eastAsia" w:ascii="仿宋" w:hAnsi="仿宋" w:eastAsia="仿宋" w:cs="仿宋"/>
          <w:b/>
          <w:bCs/>
          <w:color w:val="auto"/>
          <w:sz w:val="24"/>
          <w:szCs w:val="24"/>
          <w:highlight w:val="none"/>
        </w:rPr>
        <w:t>（实质性要求）</w:t>
      </w:r>
      <w:r>
        <w:rPr>
          <w:rFonts w:hint="eastAsia" w:ascii="仿宋" w:hAnsi="仿宋" w:eastAsia="仿宋" w:cs="仿宋"/>
          <w:color w:val="auto"/>
          <w:sz w:val="24"/>
          <w:szCs w:val="24"/>
          <w:highlight w:val="none"/>
        </w:rPr>
        <w:t>。</w:t>
      </w:r>
    </w:p>
    <w:p>
      <w:pPr>
        <w:pStyle w:val="6"/>
        <w:tabs>
          <w:tab w:val="left" w:pos="3480"/>
        </w:tabs>
        <w:spacing w:before="0" w:after="0"/>
        <w:ind w:firstLine="482" w:firstLineChars="200"/>
        <w:rPr>
          <w:rFonts w:ascii="仿宋" w:hAnsi="仿宋" w:eastAsia="仿宋" w:cs="仿宋"/>
          <w:color w:val="auto"/>
          <w:sz w:val="24"/>
          <w:szCs w:val="24"/>
          <w:highlight w:val="none"/>
        </w:rPr>
      </w:pPr>
      <w:bookmarkStart w:id="79" w:name="_Toc217446049"/>
      <w:bookmarkStart w:id="80" w:name="_Toc183582218"/>
      <w:bookmarkStart w:id="81" w:name="_Toc183682355"/>
      <w:bookmarkStart w:id="82" w:name="_Toc308164799"/>
      <w:r>
        <w:rPr>
          <w:rFonts w:hint="eastAsia" w:ascii="仿宋" w:hAnsi="仿宋" w:eastAsia="仿宋" w:cs="仿宋"/>
          <w:color w:val="auto"/>
          <w:sz w:val="24"/>
          <w:szCs w:val="24"/>
          <w:highlight w:val="none"/>
        </w:rPr>
        <w:t>15．投标文件格式</w:t>
      </w:r>
      <w:bookmarkEnd w:id="79"/>
      <w:bookmarkEnd w:id="80"/>
      <w:bookmarkEnd w:id="81"/>
      <w:bookmarkEnd w:id="82"/>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 投标人应执行招标文件第三章的规定要求。第三章格式中“注”的内容，投标人可自行决定是否保留在投标文件中，未保留的视为投标人默认接受“注”的内容。</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 对于没有格式要求的投标文件由投标人自行编写。</w:t>
      </w:r>
    </w:p>
    <w:p>
      <w:pPr>
        <w:pStyle w:val="6"/>
        <w:spacing w:before="0" w:after="0"/>
        <w:ind w:firstLine="482" w:firstLineChars="200"/>
        <w:rPr>
          <w:rFonts w:ascii="仿宋" w:hAnsi="仿宋" w:eastAsia="仿宋" w:cs="仿宋"/>
          <w:color w:val="auto"/>
          <w:sz w:val="24"/>
          <w:szCs w:val="24"/>
          <w:highlight w:val="none"/>
        </w:rPr>
      </w:pPr>
      <w:bookmarkStart w:id="83" w:name="_Toc308164800"/>
      <w:bookmarkStart w:id="84" w:name="_Toc183582223"/>
      <w:bookmarkStart w:id="85" w:name="_Toc183682360"/>
      <w:bookmarkStart w:id="86" w:name="_Toc217446050"/>
      <w:r>
        <w:rPr>
          <w:rFonts w:hint="eastAsia" w:ascii="仿宋" w:hAnsi="仿宋" w:eastAsia="仿宋" w:cs="仿宋"/>
          <w:bCs w:val="0"/>
          <w:color w:val="auto"/>
          <w:sz w:val="24"/>
          <w:szCs w:val="24"/>
          <w:highlight w:val="none"/>
        </w:rPr>
        <w:t>16</w:t>
      </w:r>
      <w:r>
        <w:rPr>
          <w:rFonts w:hint="eastAsia" w:ascii="仿宋" w:hAnsi="仿宋" w:eastAsia="仿宋" w:cs="仿宋"/>
          <w:color w:val="auto"/>
          <w:sz w:val="24"/>
          <w:szCs w:val="24"/>
          <w:highlight w:val="none"/>
        </w:rPr>
        <w:t>．</w:t>
      </w:r>
      <w:r>
        <w:rPr>
          <w:rFonts w:hint="eastAsia" w:ascii="仿宋" w:hAnsi="仿宋" w:eastAsia="仿宋" w:cs="仿宋"/>
          <w:bCs w:val="0"/>
          <w:color w:val="auto"/>
          <w:sz w:val="24"/>
          <w:szCs w:val="24"/>
          <w:highlight w:val="none"/>
        </w:rPr>
        <w:t>投标保证金</w:t>
      </w:r>
      <w:bookmarkEnd w:id="83"/>
      <w:bookmarkEnd w:id="84"/>
      <w:bookmarkEnd w:id="85"/>
      <w:bookmarkEnd w:id="86"/>
      <w:r>
        <w:rPr>
          <w:rFonts w:hint="eastAsia" w:ascii="仿宋" w:hAnsi="仿宋" w:eastAsia="仿宋" w:cs="仿宋"/>
          <w:color w:val="auto"/>
          <w:sz w:val="24"/>
          <w:szCs w:val="24"/>
          <w:highlight w:val="none"/>
        </w:rPr>
        <w:t>（实质性要求）</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本项目不收取投标保证金。</w:t>
      </w:r>
    </w:p>
    <w:p>
      <w:pPr>
        <w:pStyle w:val="6"/>
        <w:spacing w:before="0" w:after="0"/>
        <w:ind w:firstLine="482" w:firstLineChars="200"/>
        <w:rPr>
          <w:rFonts w:ascii="仿宋" w:hAnsi="仿宋" w:eastAsia="仿宋" w:cs="仿宋"/>
          <w:bCs w:val="0"/>
          <w:color w:val="auto"/>
          <w:sz w:val="24"/>
          <w:szCs w:val="24"/>
          <w:highlight w:val="none"/>
        </w:rPr>
      </w:pPr>
      <w:bookmarkStart w:id="87" w:name="_Toc217446051"/>
      <w:bookmarkStart w:id="88" w:name="_Toc308164801"/>
      <w:bookmarkStart w:id="89" w:name="_Toc183582224"/>
      <w:bookmarkStart w:id="90" w:name="_Toc183682361"/>
      <w:r>
        <w:rPr>
          <w:rFonts w:hint="eastAsia" w:ascii="仿宋" w:hAnsi="仿宋" w:eastAsia="仿宋" w:cs="仿宋"/>
          <w:bCs w:val="0"/>
          <w:color w:val="auto"/>
          <w:sz w:val="24"/>
          <w:szCs w:val="24"/>
          <w:highlight w:val="none"/>
        </w:rPr>
        <w:t>17</w:t>
      </w:r>
      <w:r>
        <w:rPr>
          <w:rFonts w:hint="eastAsia" w:ascii="仿宋" w:hAnsi="仿宋" w:eastAsia="仿宋" w:cs="仿宋"/>
          <w:color w:val="auto"/>
          <w:sz w:val="24"/>
          <w:szCs w:val="24"/>
          <w:highlight w:val="none"/>
        </w:rPr>
        <w:t>．</w:t>
      </w:r>
      <w:r>
        <w:rPr>
          <w:rFonts w:hint="eastAsia" w:ascii="仿宋" w:hAnsi="仿宋" w:eastAsia="仿宋" w:cs="仿宋"/>
          <w:bCs w:val="0"/>
          <w:color w:val="auto"/>
          <w:sz w:val="24"/>
          <w:szCs w:val="24"/>
          <w:highlight w:val="none"/>
        </w:rPr>
        <w:t>投标有效期</w:t>
      </w:r>
      <w:bookmarkEnd w:id="87"/>
      <w:bookmarkEnd w:id="88"/>
      <w:bookmarkEnd w:id="89"/>
      <w:bookmarkEnd w:id="90"/>
      <w:r>
        <w:rPr>
          <w:rFonts w:hint="eastAsia" w:ascii="仿宋" w:hAnsi="仿宋" w:eastAsia="仿宋" w:cs="仿宋"/>
          <w:color w:val="auto"/>
          <w:sz w:val="24"/>
          <w:szCs w:val="24"/>
          <w:highlight w:val="none"/>
        </w:rPr>
        <w:t>（实质性要求）</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 本项目投标有效期为投标截止之日起</w:t>
      </w:r>
      <w:r>
        <w:rPr>
          <w:rFonts w:hint="eastAsia" w:ascii="仿宋" w:hAnsi="仿宋" w:eastAsia="仿宋" w:cs="仿宋"/>
          <w:b/>
          <w:bCs/>
          <w:color w:val="auto"/>
          <w:sz w:val="24"/>
          <w:highlight w:val="none"/>
        </w:rPr>
        <w:t>90天</w:t>
      </w:r>
      <w:r>
        <w:rPr>
          <w:rFonts w:hint="eastAsia" w:ascii="仿宋" w:hAnsi="仿宋" w:eastAsia="仿宋" w:cs="仿宋"/>
          <w:color w:val="auto"/>
          <w:sz w:val="24"/>
          <w:highlight w:val="none"/>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6"/>
        <w:spacing w:before="0" w:after="0"/>
        <w:ind w:firstLine="482" w:firstLineChars="200"/>
        <w:rPr>
          <w:rFonts w:ascii="仿宋" w:hAnsi="仿宋" w:eastAsia="仿宋" w:cs="仿宋"/>
          <w:bCs w:val="0"/>
          <w:color w:val="auto"/>
          <w:sz w:val="24"/>
          <w:szCs w:val="24"/>
          <w:highlight w:val="none"/>
        </w:rPr>
      </w:pPr>
      <w:bookmarkStart w:id="91" w:name="_Toc308164802"/>
      <w:bookmarkStart w:id="92" w:name="_Toc183682362"/>
      <w:bookmarkStart w:id="93" w:name="_Toc183582225"/>
      <w:bookmarkStart w:id="94" w:name="_Toc217446052"/>
      <w:r>
        <w:rPr>
          <w:rFonts w:hint="eastAsia" w:ascii="仿宋" w:hAnsi="仿宋" w:eastAsia="仿宋" w:cs="仿宋"/>
          <w:bCs w:val="0"/>
          <w:color w:val="auto"/>
          <w:sz w:val="24"/>
          <w:szCs w:val="24"/>
          <w:highlight w:val="none"/>
        </w:rPr>
        <w:t>18</w:t>
      </w:r>
      <w:r>
        <w:rPr>
          <w:rFonts w:hint="eastAsia" w:ascii="仿宋" w:hAnsi="仿宋" w:eastAsia="仿宋" w:cs="仿宋"/>
          <w:color w:val="auto"/>
          <w:sz w:val="24"/>
          <w:szCs w:val="24"/>
          <w:highlight w:val="none"/>
        </w:rPr>
        <w:t>．</w:t>
      </w:r>
      <w:bookmarkEnd w:id="91"/>
      <w:bookmarkEnd w:id="92"/>
      <w:bookmarkEnd w:id="93"/>
      <w:bookmarkEnd w:id="94"/>
      <w:r>
        <w:rPr>
          <w:rFonts w:hint="eastAsia" w:ascii="仿宋" w:hAnsi="仿宋" w:eastAsia="仿宋" w:cs="仿宋"/>
          <w:bCs w:val="0"/>
          <w:color w:val="auto"/>
          <w:sz w:val="24"/>
          <w:szCs w:val="24"/>
          <w:highlight w:val="none"/>
        </w:rPr>
        <w:t>投标文件的制作和签章、加密</w:t>
      </w:r>
    </w:p>
    <w:p>
      <w:pPr>
        <w:tabs>
          <w:tab w:val="left" w:pos="1080"/>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18.1 </w:t>
      </w:r>
      <w:r>
        <w:rPr>
          <w:rFonts w:hint="eastAsia" w:ascii="仿宋" w:hAnsi="仿宋" w:eastAsia="仿宋" w:cs="仿宋"/>
          <w:b/>
          <w:bCs/>
          <w:color w:val="auto"/>
          <w:sz w:val="24"/>
          <w:highlight w:val="none"/>
        </w:rPr>
        <w:t>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tabs>
          <w:tab w:val="left" w:pos="1080"/>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18.2 </w:t>
      </w:r>
      <w:r>
        <w:rPr>
          <w:rFonts w:hint="eastAsia" w:ascii="仿宋" w:hAnsi="仿宋" w:eastAsia="仿宋" w:cs="仿宋"/>
          <w:b/>
          <w:bCs/>
          <w:color w:val="auto"/>
          <w:sz w:val="24"/>
          <w:highlight w:val="none"/>
        </w:rPr>
        <w:t>投标文件每页均应加盖投标人（法定名称）电子签章，不得使用投标人专用章（如经济合同章、投标专用章等）或下属单位印章代替。</w:t>
      </w:r>
    </w:p>
    <w:p>
      <w:pPr>
        <w:tabs>
          <w:tab w:val="left" w:pos="1080"/>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 投标人应使用本企业CA数字证书对投标文件进行加密。</w:t>
      </w:r>
      <w:r>
        <w:rPr>
          <w:rFonts w:hint="eastAsia" w:ascii="仿宋" w:hAnsi="仿宋" w:eastAsia="仿宋" w:cs="仿宋"/>
          <w:b/>
          <w:bCs/>
          <w:color w:val="auto"/>
          <w:sz w:val="24"/>
          <w:highlight w:val="none"/>
        </w:rPr>
        <w:t>（实质性要求）</w:t>
      </w:r>
    </w:p>
    <w:p>
      <w:pPr>
        <w:tabs>
          <w:tab w:val="left" w:pos="1080"/>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 招标文件若有修改，投标人根据修改后的招标文件制作或修改并递交投标文件。</w:t>
      </w:r>
    </w:p>
    <w:p>
      <w:pPr>
        <w:tabs>
          <w:tab w:val="left" w:pos="1080"/>
        </w:tabs>
        <w:spacing w:after="0"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 xml:space="preserve">18.5 </w:t>
      </w:r>
      <w:r>
        <w:rPr>
          <w:rFonts w:hint="eastAsia" w:ascii="仿宋" w:hAnsi="仿宋" w:eastAsia="仿宋" w:cs="仿宋"/>
          <w:b/>
          <w:bCs/>
          <w:color w:val="auto"/>
          <w:sz w:val="24"/>
          <w:highlight w:val="none"/>
        </w:rPr>
        <w:t>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pStyle w:val="6"/>
        <w:spacing w:before="0" w:after="0"/>
        <w:ind w:firstLine="482" w:firstLineChars="200"/>
        <w:rPr>
          <w:rFonts w:ascii="仿宋" w:hAnsi="仿宋" w:eastAsia="仿宋" w:cs="仿宋"/>
          <w:bCs w:val="0"/>
          <w:color w:val="auto"/>
          <w:sz w:val="24"/>
          <w:szCs w:val="24"/>
          <w:highlight w:val="none"/>
        </w:rPr>
      </w:pPr>
      <w:bookmarkStart w:id="95" w:name="_Toc183682364"/>
      <w:bookmarkStart w:id="96" w:name="_Toc183582227"/>
      <w:bookmarkStart w:id="97" w:name="_Toc308164804"/>
      <w:bookmarkStart w:id="98" w:name="_Toc217446054"/>
      <w:r>
        <w:rPr>
          <w:rFonts w:hint="eastAsia" w:ascii="仿宋" w:hAnsi="仿宋" w:eastAsia="仿宋" w:cs="仿宋"/>
          <w:bCs w:val="0"/>
          <w:color w:val="auto"/>
          <w:sz w:val="24"/>
          <w:szCs w:val="24"/>
          <w:highlight w:val="none"/>
        </w:rPr>
        <w:t>19</w:t>
      </w:r>
      <w:r>
        <w:rPr>
          <w:rFonts w:hint="eastAsia" w:ascii="仿宋" w:hAnsi="仿宋" w:eastAsia="仿宋" w:cs="仿宋"/>
          <w:color w:val="auto"/>
          <w:sz w:val="24"/>
          <w:szCs w:val="24"/>
          <w:highlight w:val="none"/>
        </w:rPr>
        <w:t>．</w:t>
      </w:r>
      <w:r>
        <w:rPr>
          <w:rFonts w:hint="eastAsia" w:ascii="仿宋" w:hAnsi="仿宋" w:eastAsia="仿宋" w:cs="仿宋"/>
          <w:bCs w:val="0"/>
          <w:color w:val="auto"/>
          <w:sz w:val="24"/>
          <w:szCs w:val="24"/>
          <w:highlight w:val="none"/>
        </w:rPr>
        <w:t>投标文件的</w:t>
      </w:r>
      <w:bookmarkEnd w:id="95"/>
      <w:bookmarkEnd w:id="96"/>
      <w:r>
        <w:rPr>
          <w:rFonts w:hint="eastAsia" w:ascii="仿宋" w:hAnsi="仿宋" w:eastAsia="仿宋" w:cs="仿宋"/>
          <w:bCs w:val="0"/>
          <w:color w:val="auto"/>
          <w:sz w:val="24"/>
          <w:szCs w:val="24"/>
          <w:highlight w:val="none"/>
        </w:rPr>
        <w:t>递交</w:t>
      </w:r>
      <w:bookmarkEnd w:id="97"/>
      <w:bookmarkEnd w:id="98"/>
    </w:p>
    <w:p>
      <w:pPr>
        <w:tabs>
          <w:tab w:val="left" w:pos="109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 投标人应当在投标文件递交截止时间前，将生成的已加密的电子投标文件成功递交至“政府采购云平台”。</w:t>
      </w:r>
    </w:p>
    <w:p>
      <w:pPr>
        <w:tabs>
          <w:tab w:val="left" w:pos="109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19.2投标人应充分考虑递交文件的不可预见因素，在投标截止时间后将无法递交。</w:t>
      </w:r>
    </w:p>
    <w:p>
      <w:pPr>
        <w:pStyle w:val="6"/>
        <w:spacing w:before="0" w:after="0"/>
        <w:ind w:firstLine="482" w:firstLineChars="200"/>
        <w:rPr>
          <w:rFonts w:ascii="仿宋" w:hAnsi="仿宋" w:eastAsia="仿宋" w:cs="仿宋"/>
          <w:bCs w:val="0"/>
          <w:color w:val="auto"/>
          <w:sz w:val="24"/>
          <w:szCs w:val="24"/>
          <w:highlight w:val="none"/>
        </w:rPr>
      </w:pPr>
      <w:bookmarkStart w:id="99" w:name="_Toc183682365"/>
      <w:bookmarkStart w:id="100" w:name="_Toc217446055"/>
      <w:bookmarkStart w:id="101" w:name="_Toc183582228"/>
      <w:r>
        <w:rPr>
          <w:rFonts w:hint="eastAsia" w:ascii="仿宋" w:hAnsi="仿宋" w:eastAsia="仿宋" w:cs="仿宋"/>
          <w:bCs w:val="0"/>
          <w:color w:val="auto"/>
          <w:sz w:val="24"/>
          <w:szCs w:val="24"/>
          <w:highlight w:val="none"/>
        </w:rPr>
        <w:t>20</w:t>
      </w:r>
      <w:r>
        <w:rPr>
          <w:rFonts w:hint="eastAsia" w:ascii="仿宋" w:hAnsi="仿宋" w:eastAsia="仿宋" w:cs="仿宋"/>
          <w:color w:val="auto"/>
          <w:sz w:val="24"/>
          <w:szCs w:val="24"/>
          <w:highlight w:val="none"/>
        </w:rPr>
        <w:t>．</w:t>
      </w:r>
      <w:bookmarkEnd w:id="99"/>
      <w:bookmarkEnd w:id="100"/>
      <w:bookmarkEnd w:id="101"/>
      <w:r>
        <w:rPr>
          <w:rFonts w:hint="eastAsia" w:ascii="仿宋" w:hAnsi="仿宋" w:eastAsia="仿宋" w:cs="仿宋"/>
          <w:bCs w:val="0"/>
          <w:color w:val="auto"/>
          <w:sz w:val="24"/>
          <w:szCs w:val="24"/>
          <w:highlight w:val="none"/>
        </w:rPr>
        <w:t>投标文件的补充、修改或撤回</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20.1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20.2投标截止时间后，投标人不得对其递交的投标文件做任何补充、修改。</w:t>
      </w:r>
    </w:p>
    <w:p>
      <w:pPr>
        <w:pStyle w:val="6"/>
        <w:spacing w:before="0" w:after="0"/>
        <w:ind w:firstLine="482" w:firstLineChars="200"/>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21</w:t>
      </w:r>
      <w:r>
        <w:rPr>
          <w:rFonts w:hint="eastAsia" w:ascii="仿宋" w:hAnsi="仿宋" w:eastAsia="仿宋" w:cs="仿宋"/>
          <w:color w:val="auto"/>
          <w:sz w:val="24"/>
          <w:szCs w:val="24"/>
          <w:highlight w:val="none"/>
        </w:rPr>
        <w:t>．</w:t>
      </w:r>
      <w:r>
        <w:rPr>
          <w:rFonts w:hint="eastAsia" w:ascii="仿宋" w:hAnsi="仿宋" w:eastAsia="仿宋" w:cs="仿宋"/>
          <w:bCs w:val="0"/>
          <w:color w:val="auto"/>
          <w:sz w:val="24"/>
          <w:szCs w:val="24"/>
          <w:highlight w:val="none"/>
        </w:rPr>
        <w:t>投标文件的解密</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5"/>
        <w:spacing w:before="0" w:after="0" w:line="360" w:lineRule="auto"/>
        <w:jc w:val="center"/>
        <w:rPr>
          <w:rFonts w:ascii="仿宋" w:hAnsi="仿宋" w:eastAsia="仿宋" w:cs="仿宋"/>
          <w:color w:val="auto"/>
          <w:highlight w:val="none"/>
        </w:rPr>
      </w:pPr>
      <w:bookmarkStart w:id="102" w:name="_Toc89075878"/>
      <w:bookmarkStart w:id="103" w:name="_Toc308164805"/>
      <w:bookmarkStart w:id="104" w:name="_Toc183582231"/>
      <w:bookmarkStart w:id="105" w:name="_Toc77400782"/>
      <w:bookmarkStart w:id="106" w:name="_Toc217446056"/>
      <w:bookmarkStart w:id="107" w:name="_Toc183682368"/>
      <w:r>
        <w:rPr>
          <w:rFonts w:hint="eastAsia" w:ascii="仿宋" w:hAnsi="仿宋" w:eastAsia="仿宋" w:cs="仿宋"/>
          <w:color w:val="auto"/>
          <w:highlight w:val="none"/>
        </w:rPr>
        <w:t>五、</w:t>
      </w:r>
      <w:bookmarkEnd w:id="102"/>
      <w:bookmarkEnd w:id="103"/>
      <w:bookmarkEnd w:id="104"/>
      <w:bookmarkEnd w:id="105"/>
      <w:bookmarkEnd w:id="106"/>
      <w:bookmarkEnd w:id="107"/>
      <w:r>
        <w:rPr>
          <w:rFonts w:hint="eastAsia" w:ascii="仿宋" w:hAnsi="仿宋" w:eastAsia="仿宋" w:cs="仿宋"/>
          <w:color w:val="auto"/>
          <w:highlight w:val="none"/>
        </w:rPr>
        <w:t>开标和中标</w:t>
      </w:r>
    </w:p>
    <w:p>
      <w:pPr>
        <w:pStyle w:val="6"/>
        <w:spacing w:before="0" w:after="0"/>
        <w:ind w:firstLine="482" w:firstLineChars="200"/>
        <w:rPr>
          <w:rFonts w:ascii="仿宋" w:hAnsi="仿宋" w:eastAsia="仿宋" w:cs="仿宋"/>
          <w:bCs w:val="0"/>
          <w:color w:val="auto"/>
          <w:sz w:val="24"/>
          <w:szCs w:val="24"/>
          <w:highlight w:val="none"/>
        </w:rPr>
      </w:pPr>
      <w:bookmarkStart w:id="108" w:name="_Toc308164806"/>
      <w:bookmarkStart w:id="109" w:name="_Toc183682369"/>
      <w:bookmarkStart w:id="110" w:name="_Toc183582232"/>
      <w:bookmarkStart w:id="111" w:name="_Toc217446057"/>
      <w:r>
        <w:rPr>
          <w:rFonts w:hint="eastAsia" w:ascii="仿宋" w:hAnsi="仿宋" w:eastAsia="仿宋" w:cs="仿宋"/>
          <w:bCs w:val="0"/>
          <w:color w:val="auto"/>
          <w:sz w:val="24"/>
          <w:szCs w:val="24"/>
          <w:highlight w:val="none"/>
        </w:rPr>
        <w:t>22</w:t>
      </w:r>
      <w:r>
        <w:rPr>
          <w:rFonts w:hint="eastAsia" w:ascii="仿宋" w:hAnsi="仿宋" w:eastAsia="仿宋" w:cs="仿宋"/>
          <w:color w:val="auto"/>
          <w:sz w:val="24"/>
          <w:szCs w:val="24"/>
          <w:highlight w:val="none"/>
        </w:rPr>
        <w:t>．</w:t>
      </w:r>
      <w:bookmarkEnd w:id="108"/>
      <w:bookmarkEnd w:id="109"/>
      <w:bookmarkEnd w:id="110"/>
      <w:bookmarkEnd w:id="111"/>
      <w:r>
        <w:rPr>
          <w:rFonts w:hint="eastAsia" w:ascii="仿宋" w:hAnsi="仿宋" w:eastAsia="仿宋" w:cs="仿宋"/>
          <w:bCs w:val="0"/>
          <w:color w:val="auto"/>
          <w:sz w:val="24"/>
          <w:szCs w:val="24"/>
          <w:highlight w:val="none"/>
        </w:rPr>
        <w:t>开标及开标程序</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22.1本项目为不见面开标项目。（递交电子投标文件的投标人不足3家的，不予开标。）</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开标准备工作。投标人需在开标当日、投标截止时间前登录“政府采购云平台”，通过本项目“开标大厅”参与不见面开标。登录政府采购云平台—项目采购—开标评标—开标大厅（确保进入本项目开标大厅）。</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提示：投标人未按时登录不见面开标系统，错过开标解密时间的，由投标人自行承担不利后果。</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22.6因断电、断网、系统故障或其他不可抗力等因素导致不见面开标系统无法正常运行的，开标活动中止或延迟，待系统恢复正常后继续进行开标活动。</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22.7不见面开标过程中，各方主体均应遵守互联网有关规定，不得发表与交易活动无关的言论。</w:t>
      </w:r>
    </w:p>
    <w:p>
      <w:pPr>
        <w:pStyle w:val="6"/>
        <w:spacing w:before="0" w:after="0"/>
        <w:ind w:firstLine="482" w:firstLineChars="200"/>
        <w:rPr>
          <w:rFonts w:ascii="仿宋" w:hAnsi="仿宋" w:eastAsia="仿宋" w:cs="仿宋"/>
          <w:color w:val="auto"/>
          <w:sz w:val="24"/>
          <w:szCs w:val="24"/>
          <w:highlight w:val="none"/>
        </w:rPr>
      </w:pPr>
      <w:bookmarkStart w:id="112" w:name="_Toc183582238"/>
      <w:bookmarkStart w:id="113" w:name="_Toc183682375"/>
      <w:bookmarkStart w:id="114" w:name="_Toc217446063"/>
      <w:bookmarkStart w:id="115" w:name="_Toc308164809"/>
      <w:r>
        <w:rPr>
          <w:rFonts w:hint="eastAsia" w:ascii="仿宋" w:hAnsi="仿宋" w:eastAsia="仿宋" w:cs="仿宋"/>
          <w:color w:val="auto"/>
          <w:sz w:val="24"/>
          <w:szCs w:val="24"/>
          <w:highlight w:val="none"/>
        </w:rPr>
        <w:t>23．开评标过程存档</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开标和评标过程进行全过程电子监控，并将电子监控资料存储介质留存归档。</w:t>
      </w:r>
    </w:p>
    <w:p>
      <w:pPr>
        <w:pStyle w:val="6"/>
        <w:spacing w:before="0" w:after="0"/>
        <w:ind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24．评标情况公告</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所有供应商投标文件资格性、符合性检查情况、评标结果等将在四川政府采购网上采购结果公告栏中予以公告。</w:t>
      </w:r>
    </w:p>
    <w:p>
      <w:pPr>
        <w:pStyle w:val="6"/>
        <w:spacing w:before="0" w:after="0"/>
        <w:ind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25．采购人确定中标人过程中，发现中标候选人有下列情形之一的，应当不予确定其为中标人：</w:t>
      </w:r>
    </w:p>
    <w:p>
      <w:pPr>
        <w:spacing w:after="0"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（1）发现中标候选人存在禁止参加本项目采购活动的违法行为的；</w:t>
      </w:r>
    </w:p>
    <w:p>
      <w:pPr>
        <w:spacing w:after="0"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（2）中标候选人因不可抗力，不能继续参加政府采购活动；</w:t>
      </w:r>
    </w:p>
    <w:p>
      <w:pPr>
        <w:spacing w:after="0"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（3）中标候选人无偿赠与或者低于成本价竞争；</w:t>
      </w:r>
    </w:p>
    <w:p>
      <w:pPr>
        <w:spacing w:after="0"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（4）中标候选人提供虚假材料；</w:t>
      </w:r>
    </w:p>
    <w:p>
      <w:pPr>
        <w:spacing w:after="0"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（5）中标候选人恶意串通。</w:t>
      </w:r>
    </w:p>
    <w:p>
      <w:pPr>
        <w:pStyle w:val="6"/>
        <w:spacing w:before="0" w:after="0"/>
        <w:ind w:firstLine="482" w:firstLineChars="200"/>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26</w:t>
      </w:r>
      <w:r>
        <w:rPr>
          <w:rFonts w:hint="eastAsia" w:ascii="仿宋" w:hAnsi="仿宋" w:eastAsia="仿宋" w:cs="仿宋"/>
          <w:color w:val="auto"/>
          <w:sz w:val="24"/>
          <w:szCs w:val="24"/>
          <w:highlight w:val="none"/>
        </w:rPr>
        <w:t>．</w:t>
      </w:r>
      <w:r>
        <w:rPr>
          <w:rFonts w:hint="eastAsia" w:ascii="仿宋" w:hAnsi="仿宋" w:eastAsia="仿宋" w:cs="仿宋"/>
          <w:bCs w:val="0"/>
          <w:color w:val="auto"/>
          <w:sz w:val="24"/>
          <w:szCs w:val="24"/>
          <w:highlight w:val="none"/>
        </w:rPr>
        <w:t>中标通知</w:t>
      </w:r>
      <w:bookmarkEnd w:id="112"/>
      <w:bookmarkEnd w:id="113"/>
      <w:r>
        <w:rPr>
          <w:rFonts w:hint="eastAsia" w:ascii="仿宋" w:hAnsi="仿宋" w:eastAsia="仿宋" w:cs="仿宋"/>
          <w:bCs w:val="0"/>
          <w:color w:val="auto"/>
          <w:sz w:val="24"/>
          <w:szCs w:val="24"/>
          <w:highlight w:val="none"/>
        </w:rPr>
        <w:t>书</w:t>
      </w:r>
      <w:bookmarkEnd w:id="114"/>
      <w:bookmarkEnd w:id="115"/>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1 中标通知书为签订政府采购合同的依据之一，是合同的有效组成部分。</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中标通知书对采购人和中标人均具有法律效力。中标通知书发出后，采购人改变中标结果，或者中标人无正当理由放弃中标的，应当承担相应的法律责任。</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26.4在四川政府采购网公告中标结果同时发出中标通知书，中标供应商自行登录政府采购云平台下载中标通知书</w:t>
      </w:r>
    </w:p>
    <w:p>
      <w:pPr>
        <w:pStyle w:val="5"/>
        <w:spacing w:before="0" w:after="0" w:line="360" w:lineRule="auto"/>
        <w:jc w:val="center"/>
        <w:rPr>
          <w:rFonts w:ascii="仿宋" w:hAnsi="仿宋" w:eastAsia="仿宋" w:cs="仿宋"/>
          <w:color w:val="auto"/>
          <w:highlight w:val="none"/>
        </w:rPr>
      </w:pPr>
      <w:bookmarkStart w:id="116" w:name="_Toc217446064"/>
      <w:bookmarkStart w:id="117" w:name="_Toc308164810"/>
      <w:bookmarkStart w:id="118" w:name="_Toc183582240"/>
      <w:bookmarkStart w:id="119" w:name="_Toc183682377"/>
      <w:r>
        <w:rPr>
          <w:rFonts w:hint="eastAsia" w:ascii="仿宋" w:hAnsi="仿宋" w:eastAsia="仿宋" w:cs="仿宋"/>
          <w:color w:val="auto"/>
          <w:highlight w:val="none"/>
        </w:rPr>
        <w:t>六、签订及履行合同和验收</w:t>
      </w:r>
      <w:bookmarkEnd w:id="116"/>
      <w:bookmarkEnd w:id="117"/>
    </w:p>
    <w:p>
      <w:pPr>
        <w:pStyle w:val="6"/>
        <w:spacing w:before="0" w:after="0"/>
        <w:ind w:firstLine="482" w:firstLineChars="200"/>
        <w:rPr>
          <w:rFonts w:ascii="仿宋" w:hAnsi="仿宋" w:eastAsia="仿宋" w:cs="仿宋"/>
          <w:b w:val="0"/>
          <w:color w:val="auto"/>
          <w:sz w:val="24"/>
          <w:szCs w:val="24"/>
          <w:highlight w:val="none"/>
        </w:rPr>
      </w:pPr>
      <w:bookmarkStart w:id="120" w:name="_Toc217446065"/>
      <w:bookmarkStart w:id="121" w:name="_Toc308164811"/>
      <w:r>
        <w:rPr>
          <w:rFonts w:hint="eastAsia" w:ascii="仿宋" w:hAnsi="仿宋" w:eastAsia="仿宋" w:cs="仿宋"/>
          <w:color w:val="auto"/>
          <w:sz w:val="24"/>
          <w:szCs w:val="24"/>
          <w:highlight w:val="none"/>
        </w:rPr>
        <w:t>27．签订合同</w:t>
      </w:r>
      <w:bookmarkEnd w:id="120"/>
      <w:bookmarkEnd w:id="121"/>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采购人应当自中标通知书发出之日起 30 日内按照招标文件和中标人投标文件的规定，与中标人签订书面合同。由于中标人的原因逾期未与采购人签订采购合同的，将视为放弃中标，取消其中标资格并将按相关规定进行处理。</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27.3 中标人拒绝与采购人签订合同的，采购人可以按照评审报告推荐的中标候选人名单排序，确定下一候选人为中标供应商，也可以重新开展政府采购活动。</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27.4 中标人在合同签订之后三个工作日内，将签订的合同（一式壹份）送采购代理机构。中标人应及时到采购代理机构办理。（详见须知附表中联系方式）</w:t>
      </w:r>
    </w:p>
    <w:p>
      <w:pPr>
        <w:pStyle w:val="6"/>
        <w:spacing w:before="0" w:after="0"/>
        <w:ind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28．合同分包（实质性要求）</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本项目不允许分包。</w:t>
      </w:r>
    </w:p>
    <w:p>
      <w:pPr>
        <w:pStyle w:val="6"/>
        <w:spacing w:before="0" w:after="0"/>
        <w:ind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29．合同转包（实质性要求）</w:t>
      </w:r>
    </w:p>
    <w:p>
      <w:pPr>
        <w:spacing w:after="0"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本采购项目严禁中标人将任何政府采购合同义务转包。</w:t>
      </w:r>
      <w:r>
        <w:rPr>
          <w:rFonts w:hint="eastAsia" w:ascii="仿宋" w:hAnsi="仿宋" w:eastAsia="仿宋" w:cs="仿宋"/>
          <w:color w:val="auto"/>
          <w:sz w:val="24"/>
          <w:highlight w:val="none"/>
        </w:rPr>
        <w:t>本项目所称转包，是指中标人将政府采购合同义务转让给第三人，并退出现有政府采购合同当事人双方的权利义务关系，受让人（即第三人）成为政府采购合同的另一方当事人的行为。</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中标人转包的，视同拒绝履行政府采购合同义务，将依法追究法律责任。</w:t>
      </w:r>
    </w:p>
    <w:p>
      <w:pPr>
        <w:pStyle w:val="6"/>
        <w:spacing w:before="0" w:after="0"/>
        <w:ind w:firstLine="482" w:firstLineChars="200"/>
        <w:rPr>
          <w:rFonts w:ascii="仿宋" w:hAnsi="仿宋" w:eastAsia="仿宋" w:cs="仿宋"/>
          <w:color w:val="auto"/>
          <w:sz w:val="24"/>
          <w:szCs w:val="24"/>
          <w:highlight w:val="none"/>
        </w:rPr>
      </w:pPr>
      <w:bookmarkStart w:id="122" w:name="_Toc217446066"/>
      <w:r>
        <w:rPr>
          <w:rFonts w:hint="eastAsia" w:ascii="仿宋" w:hAnsi="仿宋" w:eastAsia="仿宋" w:cs="仿宋"/>
          <w:color w:val="auto"/>
          <w:sz w:val="24"/>
          <w:szCs w:val="24"/>
          <w:highlight w:val="none"/>
        </w:rPr>
        <w:t>3</w:t>
      </w:r>
      <w:bookmarkEnd w:id="122"/>
      <w:r>
        <w:rPr>
          <w:rFonts w:hint="eastAsia" w:ascii="仿宋" w:hAnsi="仿宋" w:eastAsia="仿宋" w:cs="仿宋"/>
          <w:color w:val="auto"/>
          <w:sz w:val="24"/>
          <w:szCs w:val="24"/>
          <w:highlight w:val="none"/>
        </w:rPr>
        <w:t>0．补充合同</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6"/>
        <w:spacing w:before="0" w:after="0"/>
        <w:ind w:firstLine="482" w:firstLineChars="200"/>
        <w:rPr>
          <w:rFonts w:ascii="仿宋" w:hAnsi="仿宋" w:eastAsia="仿宋" w:cs="仿宋"/>
          <w:b w:val="0"/>
          <w:color w:val="auto"/>
          <w:sz w:val="24"/>
          <w:szCs w:val="24"/>
          <w:highlight w:val="none"/>
        </w:rPr>
      </w:pPr>
      <w:bookmarkStart w:id="123" w:name="_Toc308164812"/>
      <w:bookmarkStart w:id="124" w:name="_Toc217446068"/>
      <w:r>
        <w:rPr>
          <w:rFonts w:hint="eastAsia" w:ascii="仿宋" w:hAnsi="仿宋" w:eastAsia="仿宋" w:cs="仿宋"/>
          <w:color w:val="auto"/>
          <w:sz w:val="24"/>
          <w:szCs w:val="24"/>
          <w:highlight w:val="none"/>
        </w:rPr>
        <w:t>31．履约保证金</w:t>
      </w:r>
      <w:bookmarkEnd w:id="123"/>
      <w:bookmarkEnd w:id="124"/>
      <w:r>
        <w:rPr>
          <w:rFonts w:hint="eastAsia" w:ascii="仿宋" w:hAnsi="仿宋" w:eastAsia="仿宋" w:cs="仿宋"/>
          <w:color w:val="auto"/>
          <w:sz w:val="24"/>
          <w:szCs w:val="24"/>
          <w:highlight w:val="none"/>
        </w:rPr>
        <w:t>（实质性要求）</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 中标人应在合同签订之前交纳招标文件规定数额的履约保证金。</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 如果中标人在规定的合同签订时间内，没有按照招标文件的规定交纳履约保证金，且又无正当理由的，将视为放弃中标。</w:t>
      </w:r>
    </w:p>
    <w:p>
      <w:pPr>
        <w:pStyle w:val="6"/>
        <w:spacing w:before="0" w:after="0"/>
        <w:ind w:firstLine="482" w:firstLineChars="200"/>
        <w:rPr>
          <w:rFonts w:ascii="仿宋" w:hAnsi="仿宋" w:eastAsia="仿宋" w:cs="仿宋"/>
          <w:color w:val="auto"/>
          <w:sz w:val="24"/>
          <w:szCs w:val="24"/>
          <w:highlight w:val="none"/>
        </w:rPr>
      </w:pPr>
      <w:bookmarkStart w:id="125" w:name="_Toc308164813"/>
      <w:bookmarkStart w:id="126" w:name="_Toc217446069"/>
      <w:r>
        <w:rPr>
          <w:rFonts w:hint="eastAsia" w:ascii="仿宋" w:hAnsi="仿宋" w:eastAsia="仿宋" w:cs="仿宋"/>
          <w:color w:val="auto"/>
          <w:sz w:val="24"/>
          <w:szCs w:val="24"/>
          <w:highlight w:val="none"/>
        </w:rPr>
        <w:t>32．合同公告</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6"/>
        <w:spacing w:before="0" w:after="0"/>
        <w:ind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33．合同备案</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采购人应当将政府采购合同副本自签订之日起七个工作日内通过政采云平台报同级财政部门备案。</w:t>
      </w:r>
    </w:p>
    <w:p>
      <w:pPr>
        <w:pStyle w:val="6"/>
        <w:spacing w:before="0" w:after="0"/>
        <w:ind w:firstLine="482" w:firstLineChars="200"/>
        <w:rPr>
          <w:rFonts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34．履行合同</w:t>
      </w:r>
      <w:bookmarkEnd w:id="125"/>
      <w:bookmarkEnd w:id="126"/>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中标人与采购人签订合同后，合同双方应严格执行合同条款，履行合同规定的义务，保证合同的顺利完成。</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 在合同履行过程中，如发生合同纠纷，合同双方应按照《民法典》的有关规定进行处理。</w:t>
      </w:r>
    </w:p>
    <w:p>
      <w:pPr>
        <w:pStyle w:val="6"/>
        <w:spacing w:before="0" w:after="0"/>
        <w:ind w:firstLine="482" w:firstLineChars="200"/>
        <w:rPr>
          <w:rFonts w:ascii="仿宋" w:hAnsi="仿宋" w:eastAsia="仿宋" w:cs="仿宋"/>
          <w:b w:val="0"/>
          <w:color w:val="auto"/>
          <w:sz w:val="24"/>
          <w:szCs w:val="24"/>
          <w:highlight w:val="none"/>
        </w:rPr>
      </w:pPr>
      <w:bookmarkStart w:id="127" w:name="_Toc308164814"/>
      <w:bookmarkStart w:id="128" w:name="_Toc217446070"/>
      <w:r>
        <w:rPr>
          <w:rFonts w:hint="eastAsia" w:ascii="仿宋" w:hAnsi="仿宋" w:eastAsia="仿宋" w:cs="仿宋"/>
          <w:color w:val="auto"/>
          <w:sz w:val="24"/>
          <w:szCs w:val="24"/>
          <w:highlight w:val="none"/>
        </w:rPr>
        <w:t>35. 验收</w:t>
      </w:r>
      <w:bookmarkEnd w:id="127"/>
      <w:bookmarkEnd w:id="128"/>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本项目采购人及其委托的采购代理机构将按照政府采购相关法律法规以及《财政部关于进一步加强政府采购需求和履约验收管理的指导意见》（财库〔2016〕205号）的要求进行验收。</w:t>
      </w:r>
    </w:p>
    <w:p>
      <w:pPr>
        <w:pStyle w:val="6"/>
        <w:spacing w:before="0" w:after="0"/>
        <w:ind w:firstLine="482" w:firstLineChars="200"/>
        <w:rPr>
          <w:rFonts w:ascii="仿宋" w:hAnsi="仿宋" w:eastAsia="仿宋" w:cs="仿宋"/>
          <w:color w:val="auto"/>
          <w:sz w:val="24"/>
          <w:szCs w:val="24"/>
          <w:highlight w:val="none"/>
        </w:rPr>
      </w:pPr>
      <w:bookmarkStart w:id="129" w:name="_Toc217446077"/>
      <w:bookmarkStart w:id="130" w:name="_Toc308164818"/>
      <w:bookmarkStart w:id="131" w:name="_Toc217446071"/>
      <w:r>
        <w:rPr>
          <w:rFonts w:hint="eastAsia" w:ascii="仿宋" w:hAnsi="仿宋" w:eastAsia="仿宋" w:cs="仿宋"/>
          <w:color w:val="auto"/>
          <w:sz w:val="24"/>
          <w:szCs w:val="24"/>
          <w:highlight w:val="none"/>
        </w:rPr>
        <w:t>36．资金支付</w:t>
      </w:r>
      <w:bookmarkEnd w:id="129"/>
      <w:bookmarkEnd w:id="130"/>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采购人将按照政府采购合同规定，及时向中标供应商支付采购资金。本项目采购资金付款详见第四章商务要求中付款方式。</w:t>
      </w:r>
    </w:p>
    <w:bookmarkEnd w:id="118"/>
    <w:bookmarkEnd w:id="119"/>
    <w:bookmarkEnd w:id="131"/>
    <w:p>
      <w:pPr>
        <w:pStyle w:val="5"/>
        <w:spacing w:before="0" w:after="0" w:line="360" w:lineRule="auto"/>
        <w:jc w:val="center"/>
        <w:rPr>
          <w:rFonts w:ascii="仿宋" w:hAnsi="仿宋" w:eastAsia="仿宋" w:cs="仿宋"/>
          <w:color w:val="auto"/>
          <w:highlight w:val="none"/>
        </w:rPr>
      </w:pPr>
      <w:bookmarkStart w:id="132" w:name="_Toc308164815"/>
      <w:bookmarkStart w:id="133" w:name="_Toc217446074"/>
      <w:bookmarkStart w:id="134" w:name="_Toc183682380"/>
      <w:bookmarkStart w:id="135" w:name="_Toc183582243"/>
      <w:r>
        <w:rPr>
          <w:rFonts w:hint="eastAsia" w:ascii="仿宋" w:hAnsi="仿宋" w:eastAsia="仿宋" w:cs="仿宋"/>
          <w:color w:val="auto"/>
          <w:highlight w:val="none"/>
        </w:rPr>
        <w:t>七、投标纪律要求</w:t>
      </w:r>
      <w:bookmarkEnd w:id="132"/>
      <w:bookmarkEnd w:id="133"/>
    </w:p>
    <w:p>
      <w:pPr>
        <w:pStyle w:val="6"/>
        <w:spacing w:before="0" w:after="0"/>
        <w:ind w:firstLine="482" w:firstLineChars="200"/>
        <w:rPr>
          <w:rFonts w:ascii="仿宋" w:hAnsi="仿宋" w:eastAsia="仿宋" w:cs="仿宋"/>
          <w:bCs w:val="0"/>
          <w:color w:val="auto"/>
          <w:sz w:val="24"/>
          <w:szCs w:val="24"/>
          <w:highlight w:val="none"/>
        </w:rPr>
      </w:pPr>
      <w:bookmarkStart w:id="136" w:name="_Toc308164816"/>
      <w:bookmarkStart w:id="137" w:name="_Toc217446075"/>
      <w:r>
        <w:rPr>
          <w:rFonts w:hint="eastAsia" w:ascii="仿宋" w:hAnsi="仿宋" w:eastAsia="仿宋" w:cs="仿宋"/>
          <w:color w:val="auto"/>
          <w:sz w:val="24"/>
          <w:szCs w:val="24"/>
          <w:highlight w:val="none"/>
        </w:rPr>
        <w:t xml:space="preserve">37. </w:t>
      </w:r>
      <w:r>
        <w:rPr>
          <w:rFonts w:hint="eastAsia" w:ascii="仿宋" w:hAnsi="仿宋" w:eastAsia="仿宋" w:cs="仿宋"/>
          <w:bCs w:val="0"/>
          <w:color w:val="auto"/>
          <w:sz w:val="24"/>
          <w:szCs w:val="24"/>
          <w:highlight w:val="none"/>
        </w:rPr>
        <w:t>投标人</w:t>
      </w:r>
      <w:bookmarkEnd w:id="136"/>
      <w:bookmarkEnd w:id="137"/>
      <w:r>
        <w:rPr>
          <w:rFonts w:hint="eastAsia" w:ascii="仿宋" w:hAnsi="仿宋" w:eastAsia="仿宋" w:cs="仿宋"/>
          <w:bCs w:val="0"/>
          <w:color w:val="auto"/>
          <w:sz w:val="24"/>
          <w:szCs w:val="24"/>
          <w:highlight w:val="none"/>
        </w:rPr>
        <w:t>纪律要求</w:t>
      </w:r>
    </w:p>
    <w:p>
      <w:pPr>
        <w:pStyle w:val="10"/>
        <w:spacing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投标人应当遵循公平竞争的原则，不得恶意串通，不得妨碍其他投标人的竞争行为，不得损害采购人或者其他投标人的合法权益。</w:t>
      </w:r>
    </w:p>
    <w:p>
      <w:pPr>
        <w:pStyle w:val="10"/>
        <w:spacing w:after="0"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在评标过程中发现投标人有上述情形的，评标委员会应当认定其投标无效，并书面报告本级财政部门。</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37.1 投标人参加本项目投标不得有下列情形：</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（1）提供虚假材料谋取中标；</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（2）采取不正当手段诋毁、排挤其他投标人；</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（3）与招标采购单位、其他投标人恶意串通；</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（4）向招标采购单位、评标委员会成员行贿或者提供其他不正当利益；</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（5）在招标过程中与招标采购单位进行协商谈判；</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（6）中标或者成交后无正当理由拒不与采购人签订政府采购合同；</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（7）未按照采购文件确定的事项签订政府采购合同；</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（11）拒绝有关部门的监督检查或者向监督检查部门提供虚假情况；</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（12）法律法规规定的其他情形。</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投标人有上述情形的，按照规定追究法律责任，具备（1）-（10）条情形之一的，同时将取消中标资格或者认定中标无效。</w:t>
      </w:r>
      <w:bookmarkEnd w:id="59"/>
    </w:p>
    <w:p>
      <w:pPr>
        <w:spacing w:after="0" w:line="360" w:lineRule="auto"/>
        <w:ind w:firstLine="480" w:firstLineChars="200"/>
        <w:rPr>
          <w:rFonts w:ascii="仿宋" w:hAnsi="仿宋" w:eastAsia="仿宋" w:cs="仿宋"/>
          <w:color w:val="auto"/>
          <w:sz w:val="24"/>
          <w:highlight w:val="none"/>
        </w:rPr>
      </w:pPr>
      <w:bookmarkStart w:id="138" w:name="PO_默认文件内容_23"/>
      <w:r>
        <w:rPr>
          <w:rFonts w:hint="eastAsia" w:ascii="仿宋" w:hAnsi="仿宋" w:eastAsia="仿宋" w:cs="仿宋"/>
          <w:color w:val="auto"/>
          <w:sz w:val="24"/>
          <w:highlight w:val="none"/>
        </w:rPr>
        <w:t>37.2 投标人有下列情形之一的，视为投标人串通投标，其投标无效：</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（1）不同投标人的投标文件由同一单位或者个人编制；</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（2）不同投标人委托同一单位或者个人办理投标事宜；</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（3）不同投标人的投标文件载明的项目管理成员或者联系人员为同一人；</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（4）不同投标人的投标文件异常一致或者投标报价呈规律性差异；</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（5）不同投标人的投标文件相互混装；</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（6）不同投标人的投标保证金从同一单位或者个人的账户转出。</w:t>
      </w:r>
    </w:p>
    <w:p>
      <w:pPr>
        <w:pStyle w:val="5"/>
        <w:spacing w:before="0" w:after="0" w:line="360" w:lineRule="auto"/>
        <w:jc w:val="center"/>
        <w:rPr>
          <w:rFonts w:ascii="仿宋" w:hAnsi="仿宋" w:eastAsia="仿宋" w:cs="仿宋"/>
          <w:color w:val="auto"/>
          <w:highlight w:val="none"/>
        </w:rPr>
      </w:pPr>
      <w:bookmarkStart w:id="139" w:name="_Toc308164819"/>
      <w:bookmarkStart w:id="140" w:name="_Toc217446078"/>
      <w:r>
        <w:rPr>
          <w:rFonts w:hint="eastAsia" w:ascii="仿宋" w:hAnsi="仿宋" w:eastAsia="仿宋" w:cs="仿宋"/>
          <w:color w:val="auto"/>
          <w:highlight w:val="none"/>
        </w:rPr>
        <w:t>八、询问、质疑和投诉</w:t>
      </w:r>
      <w:bookmarkEnd w:id="139"/>
      <w:bookmarkEnd w:id="140"/>
      <w:bookmarkStart w:id="141" w:name="_Toc217446079"/>
    </w:p>
    <w:bookmarkEnd w:id="141"/>
    <w:p>
      <w:pPr>
        <w:widowControl/>
        <w:spacing w:after="0" w:line="360" w:lineRule="auto"/>
        <w:ind w:firstLine="482" w:firstLineChars="200"/>
        <w:jc w:val="left"/>
        <w:outlineLvl w:val="2"/>
        <w:rPr>
          <w:rFonts w:ascii="仿宋" w:hAnsi="仿宋" w:eastAsia="仿宋" w:cs="仿宋"/>
          <w:color w:val="auto"/>
          <w:sz w:val="24"/>
          <w:highlight w:val="none"/>
        </w:rPr>
      </w:pPr>
      <w:r>
        <w:rPr>
          <w:rFonts w:hint="eastAsia" w:ascii="仿宋" w:hAnsi="仿宋" w:eastAsia="仿宋" w:cs="仿宋"/>
          <w:b/>
          <w:color w:val="auto"/>
          <w:sz w:val="24"/>
          <w:highlight w:val="none"/>
        </w:rPr>
        <w:t>3</w:t>
      </w:r>
      <w:bookmarkEnd w:id="134"/>
      <w:bookmarkEnd w:id="135"/>
      <w:r>
        <w:rPr>
          <w:rFonts w:hint="eastAsia" w:ascii="仿宋" w:hAnsi="仿宋" w:eastAsia="仿宋" w:cs="仿宋"/>
          <w:b/>
          <w:color w:val="auto"/>
          <w:sz w:val="24"/>
          <w:highlight w:val="none"/>
        </w:rPr>
        <w:t>8．</w:t>
      </w:r>
      <w:r>
        <w:rPr>
          <w:rFonts w:hint="eastAsia" w:ascii="仿宋" w:hAnsi="仿宋" w:eastAsia="仿宋" w:cs="仿宋"/>
          <w:color w:val="auto"/>
          <w:sz w:val="24"/>
          <w:highlight w:val="none"/>
        </w:rPr>
        <w:t>询问、质疑、投诉的接收和处理严格按照《中华人民共和国政府采购法》、《中华人民共和国政府采购法实施条例》、《政府采购货物和服务招标投标管理办法》、《</w:t>
      </w:r>
      <w:r>
        <w:rPr>
          <w:rFonts w:hint="eastAsia" w:ascii="仿宋" w:hAnsi="仿宋" w:eastAsia="仿宋" w:cs="仿宋"/>
          <w:bCs/>
          <w:color w:val="auto"/>
          <w:sz w:val="24"/>
          <w:highlight w:val="none"/>
        </w:rPr>
        <w:t>政府采购质疑和投诉办法</w:t>
      </w:r>
      <w:r>
        <w:rPr>
          <w:rFonts w:hint="eastAsia" w:ascii="仿宋" w:hAnsi="仿宋" w:eastAsia="仿宋" w:cs="仿宋"/>
          <w:color w:val="auto"/>
          <w:sz w:val="24"/>
          <w:highlight w:val="none"/>
        </w:rPr>
        <w:t>》、《财政部关于加强政府采购供应商投诉受理审查工作的通知》和《四川省政府采购供应商投诉处理工作规程》的规定办理（详细规定请在四川政府采购网政策法规模块查询）。</w:t>
      </w:r>
    </w:p>
    <w:p>
      <w:pPr>
        <w:pStyle w:val="5"/>
        <w:spacing w:before="0"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t>九、其他</w:t>
      </w:r>
    </w:p>
    <w:p>
      <w:pPr>
        <w:widowControl/>
        <w:spacing w:after="0" w:line="360" w:lineRule="auto"/>
        <w:ind w:firstLine="482" w:firstLineChars="200"/>
        <w:jc w:val="left"/>
        <w:outlineLvl w:val="2"/>
        <w:rPr>
          <w:rFonts w:ascii="仿宋" w:hAnsi="仿宋" w:eastAsia="仿宋" w:cs="仿宋"/>
          <w:color w:val="auto"/>
          <w:sz w:val="24"/>
          <w:highlight w:val="none"/>
        </w:rPr>
      </w:pPr>
      <w:r>
        <w:rPr>
          <w:rFonts w:hint="eastAsia" w:ascii="仿宋" w:hAnsi="仿宋" w:eastAsia="仿宋" w:cs="仿宋"/>
          <w:b/>
          <w:color w:val="auto"/>
          <w:sz w:val="24"/>
          <w:highlight w:val="none"/>
        </w:rPr>
        <w:t>39．</w:t>
      </w:r>
      <w:r>
        <w:rPr>
          <w:rFonts w:hint="eastAsia" w:ascii="仿宋" w:hAnsi="仿宋" w:eastAsia="仿宋" w:cs="仿宋"/>
          <w:color w:val="auto"/>
          <w:sz w:val="24"/>
          <w:highlight w:val="none"/>
        </w:rPr>
        <w:t>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after="0" w:line="360" w:lineRule="auto"/>
        <w:ind w:firstLine="482" w:firstLineChars="200"/>
        <w:jc w:val="left"/>
        <w:outlineLvl w:val="2"/>
        <w:rPr>
          <w:rFonts w:ascii="仿宋" w:hAnsi="仿宋" w:eastAsia="仿宋" w:cs="仿宋"/>
          <w:b/>
          <w:color w:val="auto"/>
          <w:sz w:val="24"/>
          <w:highlight w:val="none"/>
        </w:rPr>
      </w:pPr>
      <w:r>
        <w:rPr>
          <w:rFonts w:hint="eastAsia" w:ascii="仿宋" w:hAnsi="仿宋" w:eastAsia="仿宋" w:cs="仿宋"/>
          <w:b/>
          <w:bCs/>
          <w:color w:val="auto"/>
          <w:sz w:val="24"/>
          <w:highlight w:val="none"/>
        </w:rPr>
        <w:t>40．</w:t>
      </w:r>
      <w:r>
        <w:rPr>
          <w:rFonts w:hint="eastAsia" w:ascii="仿宋" w:hAnsi="仿宋" w:eastAsia="仿宋" w:cs="仿宋"/>
          <w:b/>
          <w:color w:val="auto"/>
          <w:sz w:val="24"/>
          <w:highlight w:val="none"/>
        </w:rPr>
        <w:t>（实质性要求）</w:t>
      </w:r>
      <w:r>
        <w:rPr>
          <w:rFonts w:hint="eastAsia" w:ascii="仿宋" w:hAnsi="仿宋" w:eastAsia="仿宋" w:cs="仿宋"/>
          <w:color w:val="auto"/>
          <w:sz w:val="24"/>
          <w:highlight w:val="none"/>
        </w:rPr>
        <w:t>国家或行业主管部门对采购产品的技术标准、质量标准和资格资质条件等有强制性规定的，必须符合其要求。</w:t>
      </w:r>
      <w:bookmarkStart w:id="142" w:name="_Toc217446083"/>
    </w:p>
    <w:p>
      <w:pPr>
        <w:spacing w:after="0" w:line="360" w:lineRule="auto"/>
        <w:jc w:val="center"/>
        <w:rPr>
          <w:rFonts w:ascii="仿宋" w:hAnsi="仿宋" w:eastAsia="仿宋" w:cs="仿宋"/>
          <w:color w:val="auto"/>
          <w:sz w:val="36"/>
          <w:szCs w:val="36"/>
          <w:highlight w:val="none"/>
        </w:rPr>
        <w:sectPr>
          <w:type w:val="continuous"/>
          <w:pgSz w:w="11907" w:h="16840"/>
          <w:pgMar w:top="1440" w:right="1800" w:bottom="1440" w:left="1800" w:header="851" w:footer="992" w:gutter="0"/>
          <w:pgNumType w:fmt="decimal"/>
          <w:cols w:space="720" w:num="1"/>
          <w:docGrid w:linePitch="312" w:charSpace="0"/>
        </w:sectPr>
      </w:pPr>
      <w:bookmarkStart w:id="143" w:name="_Toc24369"/>
      <w:bookmarkStart w:id="144" w:name="_Toc1368"/>
    </w:p>
    <w:p>
      <w:pPr>
        <w:pStyle w:val="4"/>
        <w:spacing w:before="0" w:after="0" w:line="360" w:lineRule="auto"/>
        <w:jc w:val="center"/>
        <w:rPr>
          <w:rFonts w:ascii="仿宋" w:hAnsi="仿宋" w:eastAsia="仿宋" w:cs="仿宋"/>
          <w:color w:val="auto"/>
          <w:highlight w:val="none"/>
        </w:rPr>
      </w:pPr>
      <w:bookmarkStart w:id="145" w:name="_Toc14613"/>
      <w:bookmarkStart w:id="146" w:name="_Toc12532_WPSOffice_Level1"/>
      <w:bookmarkStart w:id="147" w:name="_Toc32525"/>
      <w:r>
        <w:rPr>
          <w:rFonts w:hint="eastAsia" w:ascii="仿宋" w:hAnsi="仿宋" w:eastAsia="仿宋" w:cs="仿宋"/>
          <w:color w:val="auto"/>
          <w:highlight w:val="none"/>
        </w:rPr>
        <w:t>第三章  投标文件格式</w:t>
      </w:r>
      <w:bookmarkEnd w:id="143"/>
      <w:bookmarkEnd w:id="144"/>
      <w:bookmarkEnd w:id="145"/>
      <w:bookmarkEnd w:id="146"/>
      <w:bookmarkEnd w:id="147"/>
      <w:bookmarkStart w:id="148" w:name="_Toc308164821"/>
      <w:bookmarkStart w:id="149" w:name="_Toc217446082"/>
    </w:p>
    <w:p>
      <w:pPr>
        <w:widowControl/>
        <w:spacing w:after="0" w:line="360" w:lineRule="auto"/>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一、投标人须将用于资格性审查的材料集中编制入投标文件（资格性审查部分），否则在进行资格性审查时不予认可。 </w:t>
      </w:r>
    </w:p>
    <w:p>
      <w:pPr>
        <w:widowControl/>
        <w:spacing w:after="0"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二、本章所制投标文件格式，除格式中明确将该格式作为实质性要求的，一律不具有强制性。</w:t>
      </w:r>
    </w:p>
    <w:p>
      <w:pPr>
        <w:widowControl/>
        <w:spacing w:after="0"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三、本章所制投标文件格式有关表格中的备注栏，由投标人根据自身投标情况作解释性说明，不作为必填项。</w:t>
      </w:r>
    </w:p>
    <w:p>
      <w:pPr>
        <w:widowControl/>
        <w:spacing w:after="0"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四、本章所制投标文件格式中需要填写的相关内容事项，可能会与本采购项目无关，在不改变投标文件原义、不影响本项目采购需求的情况下，投标人可以不予填写，但应当注明。</w:t>
      </w:r>
      <w:bookmarkEnd w:id="138"/>
    </w:p>
    <w:p>
      <w:pPr>
        <w:pStyle w:val="2"/>
        <w:spacing w:after="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五、本章所制</w:t>
      </w:r>
      <w:r>
        <w:rPr>
          <w:rFonts w:hint="eastAsia" w:ascii="仿宋" w:hAnsi="仿宋" w:eastAsia="仿宋" w:cs="仿宋"/>
          <w:color w:val="auto"/>
          <w:sz w:val="24"/>
          <w:highlight w:val="none"/>
        </w:rPr>
        <w:t>投标文件</w:t>
      </w:r>
      <w:r>
        <w:rPr>
          <w:rFonts w:hint="eastAsia" w:ascii="仿宋" w:hAnsi="仿宋" w:eastAsia="仿宋" w:cs="仿宋"/>
          <w:color w:val="auto"/>
          <w:sz w:val="24"/>
          <w:szCs w:val="24"/>
          <w:highlight w:val="none"/>
        </w:rPr>
        <w:t>格式中涉及“法定代表人”的描述，在非法人机构参与投标情况下可修改为“负责人”，在自然人参与投标情况下可修改为“本人”。</w:t>
      </w:r>
    </w:p>
    <w:p>
      <w:pPr>
        <w:pStyle w:val="2"/>
        <w:spacing w:after="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六、本章所制</w:t>
      </w:r>
      <w:r>
        <w:rPr>
          <w:rFonts w:hint="eastAsia" w:ascii="仿宋" w:hAnsi="仿宋" w:eastAsia="仿宋" w:cs="仿宋"/>
          <w:color w:val="auto"/>
          <w:sz w:val="24"/>
          <w:highlight w:val="none"/>
        </w:rPr>
        <w:t>投标文件</w:t>
      </w:r>
      <w:r>
        <w:rPr>
          <w:rFonts w:hint="eastAsia" w:ascii="仿宋" w:hAnsi="仿宋" w:eastAsia="仿宋" w:cs="仿宋"/>
          <w:color w:val="auto"/>
          <w:sz w:val="24"/>
          <w:szCs w:val="24"/>
          <w:highlight w:val="none"/>
        </w:rPr>
        <w:t>格式中“注”的部分，供应商在编制</w:t>
      </w:r>
      <w:r>
        <w:rPr>
          <w:rFonts w:hint="eastAsia" w:ascii="仿宋" w:hAnsi="仿宋" w:eastAsia="仿宋" w:cs="仿宋"/>
          <w:color w:val="auto"/>
          <w:sz w:val="24"/>
          <w:highlight w:val="none"/>
        </w:rPr>
        <w:t>投标文件</w:t>
      </w:r>
      <w:r>
        <w:rPr>
          <w:rFonts w:hint="eastAsia" w:ascii="仿宋" w:hAnsi="仿宋" w:eastAsia="仿宋" w:cs="仿宋"/>
          <w:color w:val="auto"/>
          <w:sz w:val="24"/>
          <w:szCs w:val="24"/>
          <w:highlight w:val="none"/>
        </w:rPr>
        <w:t>时可以删除，也可以保留。</w:t>
      </w:r>
    </w:p>
    <w:p>
      <w:pPr>
        <w:pStyle w:val="2"/>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bookmarkStart w:id="150" w:name="PO_默认文件内容_24"/>
    </w:p>
    <w:p>
      <w:pPr>
        <w:pStyle w:val="5"/>
        <w:spacing w:before="0" w:after="0" w:line="360" w:lineRule="auto"/>
        <w:rPr>
          <w:rFonts w:ascii="仿宋" w:hAnsi="仿宋" w:eastAsia="仿宋" w:cs="仿宋"/>
          <w:b w:val="0"/>
          <w:color w:val="auto"/>
          <w:highlight w:val="none"/>
        </w:rPr>
      </w:pPr>
      <w:r>
        <w:rPr>
          <w:rFonts w:hint="eastAsia" w:ascii="仿宋" w:hAnsi="仿宋" w:eastAsia="仿宋" w:cs="仿宋"/>
          <w:b w:val="0"/>
          <w:color w:val="auto"/>
          <w:highlight w:val="none"/>
        </w:rPr>
        <w:br w:type="page"/>
      </w:r>
      <w:r>
        <w:rPr>
          <w:rStyle w:val="48"/>
          <w:rFonts w:hint="eastAsia" w:ascii="仿宋" w:hAnsi="仿宋" w:eastAsia="仿宋" w:cs="仿宋"/>
          <w:b/>
          <w:bCs/>
          <w:color w:val="auto"/>
          <w:highlight w:val="none"/>
        </w:rPr>
        <w:t>3.1投标文件封面格式</w:t>
      </w:r>
    </w:p>
    <w:p>
      <w:pPr>
        <w:spacing w:after="0" w:line="360" w:lineRule="auto"/>
        <w:rPr>
          <w:rFonts w:ascii="仿宋" w:hAnsi="仿宋" w:eastAsia="仿宋" w:cs="仿宋"/>
          <w:b/>
          <w:color w:val="auto"/>
          <w:sz w:val="32"/>
          <w:szCs w:val="32"/>
          <w:highlight w:val="none"/>
        </w:rPr>
      </w:pPr>
    </w:p>
    <w:p>
      <w:pPr>
        <w:spacing w:after="0" w:line="360" w:lineRule="auto"/>
        <w:jc w:val="center"/>
        <w:rPr>
          <w:rFonts w:ascii="仿宋" w:hAnsi="仿宋" w:eastAsia="仿宋" w:cs="仿宋"/>
          <w:b/>
          <w:color w:val="auto"/>
          <w:sz w:val="72"/>
          <w:highlight w:val="none"/>
        </w:rPr>
      </w:pPr>
      <w:r>
        <w:rPr>
          <w:rFonts w:hint="eastAsia" w:ascii="仿宋" w:hAnsi="仿宋" w:eastAsia="仿宋" w:cs="仿宋"/>
          <w:b/>
          <w:color w:val="auto"/>
          <w:sz w:val="40"/>
          <w:szCs w:val="48"/>
          <w:highlight w:val="none"/>
          <w:u w:val="single"/>
        </w:rPr>
        <w:t>xxxxx</w:t>
      </w:r>
      <w:r>
        <w:rPr>
          <w:rFonts w:hint="eastAsia" w:ascii="仿宋" w:hAnsi="仿宋" w:eastAsia="仿宋" w:cs="仿宋"/>
          <w:b/>
          <w:color w:val="auto"/>
          <w:sz w:val="40"/>
          <w:szCs w:val="48"/>
          <w:highlight w:val="none"/>
        </w:rPr>
        <w:t>项目</w:t>
      </w:r>
    </w:p>
    <w:p>
      <w:pPr>
        <w:spacing w:after="0" w:line="360" w:lineRule="auto"/>
        <w:jc w:val="center"/>
        <w:rPr>
          <w:rFonts w:ascii="仿宋" w:hAnsi="仿宋" w:eastAsia="仿宋" w:cs="仿宋"/>
          <w:b/>
          <w:color w:val="auto"/>
          <w:sz w:val="32"/>
          <w:highlight w:val="none"/>
          <w:u w:val="single"/>
        </w:rPr>
      </w:pPr>
      <w:r>
        <w:rPr>
          <w:rFonts w:hint="eastAsia" w:ascii="仿宋" w:hAnsi="仿宋" w:eastAsia="仿宋" w:cs="仿宋"/>
          <w:b/>
          <w:color w:val="auto"/>
          <w:sz w:val="32"/>
          <w:highlight w:val="none"/>
        </w:rPr>
        <w:t>项目编号：</w:t>
      </w:r>
      <w:r>
        <w:rPr>
          <w:rFonts w:hint="eastAsia" w:ascii="仿宋" w:hAnsi="仿宋" w:eastAsia="仿宋" w:cs="仿宋"/>
          <w:b/>
          <w:color w:val="auto"/>
          <w:sz w:val="40"/>
          <w:szCs w:val="48"/>
          <w:highlight w:val="none"/>
          <w:u w:val="single"/>
        </w:rPr>
        <w:t>xxxxx</w:t>
      </w:r>
    </w:p>
    <w:p>
      <w:pPr>
        <w:spacing w:after="0" w:line="360" w:lineRule="auto"/>
        <w:rPr>
          <w:rFonts w:ascii="仿宋" w:hAnsi="仿宋" w:eastAsia="仿宋" w:cs="仿宋"/>
          <w:b/>
          <w:color w:val="auto"/>
          <w:sz w:val="52"/>
          <w:szCs w:val="52"/>
          <w:highlight w:val="none"/>
        </w:rPr>
      </w:pPr>
    </w:p>
    <w:p>
      <w:pPr>
        <w:spacing w:after="0"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52"/>
          <w:szCs w:val="52"/>
          <w:highlight w:val="none"/>
        </w:rPr>
        <w:t>投标文件</w:t>
      </w:r>
    </w:p>
    <w:p>
      <w:pPr>
        <w:spacing w:after="0" w:line="360" w:lineRule="auto"/>
        <w:jc w:val="left"/>
        <w:rPr>
          <w:rFonts w:ascii="仿宋" w:hAnsi="仿宋" w:eastAsia="仿宋" w:cs="仿宋"/>
          <w:b/>
          <w:color w:val="auto"/>
          <w:sz w:val="32"/>
          <w:highlight w:val="none"/>
        </w:rPr>
      </w:pPr>
    </w:p>
    <w:p>
      <w:pPr>
        <w:spacing w:after="0" w:line="360" w:lineRule="auto"/>
        <w:jc w:val="left"/>
        <w:rPr>
          <w:rFonts w:ascii="仿宋" w:hAnsi="仿宋" w:eastAsia="仿宋" w:cs="仿宋"/>
          <w:b/>
          <w:color w:val="auto"/>
          <w:sz w:val="32"/>
          <w:highlight w:val="none"/>
        </w:rPr>
      </w:pPr>
    </w:p>
    <w:p>
      <w:pPr>
        <w:pStyle w:val="2"/>
        <w:spacing w:after="0" w:line="360" w:lineRule="auto"/>
        <w:rPr>
          <w:rFonts w:ascii="仿宋" w:hAnsi="仿宋" w:eastAsia="仿宋" w:cs="仿宋"/>
          <w:color w:val="auto"/>
          <w:highlight w:val="none"/>
        </w:rPr>
      </w:pPr>
    </w:p>
    <w:p>
      <w:pPr>
        <w:spacing w:after="0" w:line="360" w:lineRule="auto"/>
        <w:jc w:val="left"/>
        <w:rPr>
          <w:rFonts w:ascii="仿宋" w:hAnsi="仿宋" w:eastAsia="仿宋" w:cs="仿宋"/>
          <w:b/>
          <w:color w:val="auto"/>
          <w:sz w:val="32"/>
          <w:highlight w:val="none"/>
        </w:rPr>
      </w:pPr>
    </w:p>
    <w:p>
      <w:pPr>
        <w:spacing w:after="0" w:line="360" w:lineRule="auto"/>
        <w:ind w:firstLine="2570" w:firstLineChars="800"/>
        <w:rPr>
          <w:rFonts w:ascii="仿宋" w:hAnsi="仿宋" w:eastAsia="仿宋" w:cs="仿宋"/>
          <w:b/>
          <w:color w:val="auto"/>
          <w:sz w:val="32"/>
          <w:highlight w:val="none"/>
          <w:u w:val="single"/>
        </w:rPr>
      </w:pPr>
      <w:r>
        <w:rPr>
          <w:rFonts w:hint="eastAsia" w:ascii="仿宋" w:hAnsi="仿宋" w:eastAsia="仿宋" w:cs="仿宋"/>
          <w:b/>
          <w:color w:val="auto"/>
          <w:sz w:val="32"/>
          <w:highlight w:val="none"/>
        </w:rPr>
        <w:t>投标人名称：xxxxx</w:t>
      </w:r>
    </w:p>
    <w:p>
      <w:pPr>
        <w:spacing w:after="0"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投标时间：  年  月   日</w:t>
      </w:r>
    </w:p>
    <w:p>
      <w:pPr>
        <w:spacing w:after="0" w:line="360" w:lineRule="auto"/>
        <w:rPr>
          <w:rFonts w:ascii="仿宋" w:hAnsi="仿宋" w:eastAsia="仿宋" w:cs="仿宋"/>
          <w:b/>
          <w:color w:val="auto"/>
          <w:sz w:val="32"/>
          <w:highlight w:val="none"/>
        </w:rPr>
      </w:pPr>
    </w:p>
    <w:p>
      <w:pPr>
        <w:pStyle w:val="5"/>
        <w:spacing w:before="0" w:after="0" w:line="360" w:lineRule="auto"/>
        <w:rPr>
          <w:rStyle w:val="48"/>
          <w:rFonts w:ascii="仿宋" w:hAnsi="仿宋" w:eastAsia="仿宋" w:cs="仿宋"/>
          <w:b w:val="0"/>
          <w:bCs w:val="0"/>
          <w:color w:val="auto"/>
          <w:highlight w:val="none"/>
        </w:rPr>
      </w:pPr>
      <w:r>
        <w:rPr>
          <w:rFonts w:hint="eastAsia" w:ascii="仿宋" w:hAnsi="仿宋" w:eastAsia="仿宋" w:cs="仿宋"/>
          <w:b w:val="0"/>
          <w:color w:val="auto"/>
          <w:highlight w:val="none"/>
        </w:rPr>
        <w:br w:type="page"/>
      </w:r>
      <w:r>
        <w:rPr>
          <w:rStyle w:val="48"/>
          <w:rFonts w:hint="eastAsia" w:ascii="仿宋" w:hAnsi="仿宋" w:eastAsia="仿宋" w:cs="仿宋"/>
          <w:b/>
          <w:bCs/>
          <w:color w:val="auto"/>
          <w:highlight w:val="none"/>
        </w:rPr>
        <w:t>3.2资格性审查部分</w:t>
      </w:r>
    </w:p>
    <w:p>
      <w:pPr>
        <w:widowControl/>
        <w:spacing w:after="0" w:line="360" w:lineRule="auto"/>
        <w:jc w:val="center"/>
        <w:outlineLvl w:val="2"/>
        <w:rPr>
          <w:rStyle w:val="63"/>
          <w:rFonts w:ascii="仿宋" w:hAnsi="仿宋" w:eastAsia="仿宋" w:cs="仿宋"/>
          <w:color w:val="auto"/>
          <w:highlight w:val="none"/>
        </w:rPr>
      </w:pPr>
      <w:bookmarkStart w:id="151" w:name="_Toc27332_WPSOffice_Level2"/>
      <w:bookmarkStart w:id="152" w:name="_Toc4892_WPSOffice_Level2"/>
      <w:r>
        <w:rPr>
          <w:rStyle w:val="63"/>
          <w:rFonts w:hint="eastAsia" w:ascii="仿宋" w:hAnsi="仿宋" w:eastAsia="仿宋" w:cs="仿宋"/>
          <w:color w:val="auto"/>
          <w:highlight w:val="none"/>
        </w:rPr>
        <w:t>一、承诺函</w:t>
      </w:r>
    </w:p>
    <w:p>
      <w:pPr>
        <w:widowControl/>
        <w:spacing w:after="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利阳致诚国际项目管理有限公司</w:t>
      </w:r>
      <w:r>
        <w:rPr>
          <w:rFonts w:hint="eastAsia" w:ascii="仿宋" w:hAnsi="仿宋" w:eastAsia="仿宋" w:cs="仿宋"/>
          <w:color w:val="auto"/>
          <w:sz w:val="24"/>
          <w:highlight w:val="none"/>
        </w:rPr>
        <w:t>（采购代理机构名称）：</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我单位作为本次采购项目的投标人，根据招标文件要求，现郑重承诺如下：</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一、具备《中华人民共和国政府采购法》第二十二条第一款和本项目规定的条件：</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（一）具有独立承担民事责任的能力；</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（二）具有良好的商业信誉和健全的财务会计制度；</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（三）具有履行合同所必需的设备和专业技术能力；</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（四）有依法缴纳税收和社会保障资金的良好记录；</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（五）参加政府采购活动前三年内，在经营活动中没有重大违法记录；</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（六）法律、行政法规规定的其他条件；</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二、根据采购项目提出的特殊条件。</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三、我公司及现任法定代表人（非法人机构则为主要负责人）不具有行贿犯罪记录；</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五、参加本次招标采购活动，不存在与单位负责人为同一人或者存在直接控股、管理关系的其他供应商参与同一合同项下的政府采购活动的行为。</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六、参加本次招标采购活动，不存在和其他供应商在同一合同项下的采购项目中，同时委托同一个自然人、同一家庭的人员、同一单位的人员作为代理人的行为。本单位未对本次采购项目提供过整体设计、规范编制或者项目管理、监理、检测等服务。未为采购人、采购代理机构在确定采购需求、编制采购文件过程中提供咨询论证。</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七、截至投标文件递交截止日未被列入失信被执行人、重大税收违法案件当事人名单、政府采购严重违法失信行为记录名单。</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八、如本项目评标过程中需要提供样品，则我公司提供的样品即为成交后将要提供的成交产品，我公司对提供样品的性能和质量负责，因样品存在缺陷或者不符合采购文件要求导致未能成交的，我公司愿意承担相应不利后果。</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九、我公司及现任法定代表人（非法人机构则为主要负责人）不具有行贿犯罪记录。</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本公司对上述承诺的内容事项真实性负责。如经查实上述承诺的内容事项存在虚假，我公司愿意接受以提供虚假材料谋取成交追究法律责任。</w:t>
      </w:r>
    </w:p>
    <w:p>
      <w:pPr>
        <w:adjustRightInd w:val="0"/>
        <w:spacing w:after="0" w:line="360" w:lineRule="auto"/>
        <w:ind w:firstLine="480" w:firstLineChars="200"/>
        <w:jc w:val="left"/>
        <w:rPr>
          <w:rFonts w:ascii="仿宋" w:hAnsi="仿宋" w:eastAsia="仿宋" w:cs="仿宋"/>
          <w:color w:val="auto"/>
          <w:sz w:val="24"/>
          <w:highlight w:val="none"/>
        </w:rPr>
      </w:pPr>
    </w:p>
    <w:p>
      <w:pPr>
        <w:pStyle w:val="10"/>
        <w:spacing w:after="0" w:line="360" w:lineRule="auto"/>
        <w:ind w:firstLine="480"/>
        <w:rPr>
          <w:rFonts w:ascii="仿宋" w:hAnsi="仿宋" w:eastAsia="仿宋" w:cs="仿宋"/>
          <w:color w:val="auto"/>
          <w:sz w:val="24"/>
          <w:highlight w:val="none"/>
        </w:rPr>
      </w:pPr>
    </w:p>
    <w:p>
      <w:pPr>
        <w:pStyle w:val="10"/>
        <w:spacing w:after="0" w:line="360" w:lineRule="auto"/>
        <w:ind w:firstLine="480"/>
        <w:rPr>
          <w:rFonts w:ascii="仿宋" w:hAnsi="仿宋" w:eastAsia="仿宋" w:cs="仿宋"/>
          <w:color w:val="auto"/>
          <w:sz w:val="24"/>
          <w:highlight w:val="none"/>
        </w:rPr>
      </w:pPr>
    </w:p>
    <w:p>
      <w:pPr>
        <w:pStyle w:val="10"/>
        <w:spacing w:after="0" w:line="360" w:lineRule="auto"/>
        <w:ind w:firstLine="480"/>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spacing w:after="0" w:line="360" w:lineRule="auto"/>
        <w:ind w:firstLine="480" w:firstLineChars="200"/>
        <w:rPr>
          <w:rFonts w:ascii="仿宋" w:hAnsi="仿宋" w:eastAsia="仿宋" w:cs="仿宋"/>
          <w:color w:val="auto"/>
          <w:sz w:val="24"/>
          <w:highlight w:val="none"/>
        </w:rPr>
      </w:pP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注：1、本承诺函为参考格式，投标人可提供自有格式的承诺函。 </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 </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widowControl/>
        <w:spacing w:after="0" w:line="360" w:lineRule="auto"/>
        <w:jc w:val="center"/>
        <w:outlineLvl w:val="2"/>
        <w:rPr>
          <w:rStyle w:val="63"/>
          <w:rFonts w:ascii="仿宋" w:hAnsi="仿宋" w:eastAsia="仿宋" w:cs="仿宋"/>
          <w:color w:val="auto"/>
          <w:highlight w:val="none"/>
        </w:rPr>
      </w:pPr>
      <w:r>
        <w:rPr>
          <w:rFonts w:hint="eastAsia" w:ascii="仿宋" w:hAnsi="仿宋" w:eastAsia="仿宋" w:cs="仿宋"/>
          <w:color w:val="auto"/>
          <w:sz w:val="24"/>
          <w:highlight w:val="none"/>
        </w:rPr>
        <w:br w:type="page"/>
      </w:r>
      <w:r>
        <w:rPr>
          <w:rStyle w:val="63"/>
          <w:rFonts w:hint="eastAsia" w:ascii="仿宋" w:hAnsi="仿宋" w:eastAsia="仿宋" w:cs="仿宋"/>
          <w:color w:val="auto"/>
          <w:highlight w:val="none"/>
        </w:rPr>
        <w:t>二、具有独立承担民事责任的能力</w:t>
      </w:r>
    </w:p>
    <w:p>
      <w:pPr>
        <w:widowControl/>
        <w:spacing w:after="0" w:line="360" w:lineRule="auto"/>
        <w:ind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（提供营业执照）</w:t>
      </w:r>
    </w:p>
    <w:p>
      <w:pPr>
        <w:spacing w:after="0" w:line="360" w:lineRule="auto"/>
        <w:ind w:firstLine="480" w:firstLineChars="200"/>
        <w:rPr>
          <w:rFonts w:ascii="仿宋" w:hAnsi="仿宋" w:eastAsia="仿宋" w:cs="仿宋"/>
          <w:color w:val="auto"/>
          <w:sz w:val="24"/>
          <w:highlight w:val="none"/>
        </w:rPr>
      </w:pPr>
    </w:p>
    <w:p>
      <w:pPr>
        <w:widowControl/>
        <w:spacing w:after="0" w:line="360" w:lineRule="auto"/>
        <w:jc w:val="center"/>
        <w:outlineLvl w:val="2"/>
        <w:rPr>
          <w:rStyle w:val="63"/>
          <w:rFonts w:ascii="仿宋" w:hAnsi="仿宋" w:eastAsia="仿宋" w:cs="仿宋"/>
          <w:color w:val="auto"/>
          <w:highlight w:val="none"/>
        </w:rPr>
      </w:pPr>
      <w:r>
        <w:rPr>
          <w:rStyle w:val="63"/>
          <w:rFonts w:hint="eastAsia" w:ascii="仿宋" w:hAnsi="仿宋" w:eastAsia="仿宋" w:cs="仿宋"/>
          <w:b w:val="0"/>
          <w:bCs w:val="0"/>
          <w:color w:val="auto"/>
          <w:highlight w:val="none"/>
        </w:rPr>
        <w:br w:type="page"/>
      </w:r>
      <w:r>
        <w:rPr>
          <w:rStyle w:val="63"/>
          <w:rFonts w:hint="eastAsia" w:ascii="仿宋" w:hAnsi="仿宋" w:eastAsia="仿宋" w:cs="仿宋"/>
          <w:color w:val="auto"/>
          <w:highlight w:val="none"/>
        </w:rPr>
        <w:t>三、具有良好的商业信誉的承诺函</w:t>
      </w:r>
    </w:p>
    <w:p>
      <w:pPr>
        <w:widowControl/>
        <w:spacing w:after="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利阳致诚国际项目管理有限公司</w:t>
      </w:r>
      <w:r>
        <w:rPr>
          <w:rFonts w:hint="eastAsia" w:ascii="仿宋" w:hAnsi="仿宋" w:eastAsia="仿宋" w:cs="仿宋"/>
          <w:color w:val="auto"/>
          <w:sz w:val="24"/>
          <w:highlight w:val="none"/>
        </w:rPr>
        <w:t>（采购代理机构名称）：</w:t>
      </w:r>
    </w:p>
    <w:p>
      <w:pPr>
        <w:widowControl/>
        <w:spacing w:after="0" w:line="360" w:lineRule="auto"/>
        <w:ind w:firstLine="480" w:firstLineChars="200"/>
        <w:jc w:val="left"/>
        <w:rPr>
          <w:rFonts w:ascii="仿宋" w:hAnsi="仿宋" w:eastAsia="仿宋" w:cs="仿宋"/>
          <w:color w:val="auto"/>
          <w:sz w:val="24"/>
          <w:highlight w:val="none"/>
        </w:rPr>
      </w:pP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我单位作为本次采购项目的投标人，根据招标文件要求，现郑重承诺如下：</w:t>
      </w:r>
    </w:p>
    <w:p>
      <w:pPr>
        <w:widowControl/>
        <w:spacing w:after="0"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我单位具有良好的商业信誉。</w:t>
      </w:r>
    </w:p>
    <w:p>
      <w:pPr>
        <w:pStyle w:val="10"/>
        <w:spacing w:after="0" w:line="360" w:lineRule="auto"/>
        <w:ind w:firstLine="480"/>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widowControl/>
        <w:spacing w:after="0" w:line="360" w:lineRule="auto"/>
        <w:jc w:val="center"/>
        <w:outlineLvl w:val="2"/>
        <w:rPr>
          <w:rStyle w:val="63"/>
          <w:rFonts w:ascii="仿宋" w:hAnsi="仿宋" w:eastAsia="仿宋" w:cs="仿宋"/>
          <w:color w:val="auto"/>
          <w:highlight w:val="none"/>
        </w:rPr>
      </w:pPr>
      <w:r>
        <w:rPr>
          <w:rFonts w:hint="eastAsia" w:ascii="仿宋" w:hAnsi="仿宋" w:eastAsia="仿宋" w:cs="仿宋"/>
          <w:color w:val="auto"/>
          <w:sz w:val="24"/>
          <w:highlight w:val="none"/>
        </w:rPr>
        <w:br w:type="page"/>
      </w:r>
      <w:r>
        <w:rPr>
          <w:rStyle w:val="63"/>
          <w:rFonts w:hint="eastAsia" w:ascii="仿宋" w:hAnsi="仿宋" w:eastAsia="仿宋" w:cs="仿宋"/>
          <w:color w:val="auto"/>
          <w:highlight w:val="none"/>
        </w:rPr>
        <w:t>四、具有健全的财务会计制度的证明材料</w:t>
      </w:r>
    </w:p>
    <w:p>
      <w:pPr>
        <w:widowControl/>
        <w:spacing w:after="0" w:line="360" w:lineRule="auto"/>
        <w:ind w:firstLine="480" w:firstLineChars="200"/>
        <w:jc w:val="left"/>
        <w:rPr>
          <w:rFonts w:ascii="仿宋" w:hAnsi="仿宋" w:eastAsia="仿宋" w:cs="仿宋"/>
          <w:color w:val="auto"/>
          <w:szCs w:val="21"/>
          <w:highlight w:val="none"/>
        </w:rPr>
      </w:pPr>
      <w:r>
        <w:rPr>
          <w:rFonts w:hint="eastAsia" w:ascii="仿宋" w:hAnsi="仿宋" w:eastAsia="仿宋" w:cs="仿宋"/>
          <w:color w:val="auto"/>
          <w:sz w:val="24"/>
          <w:highlight w:val="none"/>
        </w:rPr>
        <w:t>①可提供2019或2020年经审计的财务报告复印件（至少包含审计报告和审计报告中所涉及的财务报表和报表附注）；②也可提供2019或2020年度供应商内部的财务报表复印件（至少包含资产负债表）；③也可提供距文件递交截止日一年内银行出具的资信证明（复印件）；④供应商注册时间至文件递交截止日不足1年的，也可提供在工商备案的公司章程（复印件）。</w:t>
      </w:r>
    </w:p>
    <w:p>
      <w:pPr>
        <w:widowControl/>
        <w:spacing w:after="0" w:line="360" w:lineRule="auto"/>
        <w:jc w:val="center"/>
        <w:outlineLvl w:val="2"/>
        <w:rPr>
          <w:rStyle w:val="63"/>
          <w:rFonts w:ascii="仿宋" w:hAnsi="仿宋" w:eastAsia="仿宋" w:cs="仿宋"/>
          <w:color w:val="auto"/>
          <w:highlight w:val="none"/>
        </w:rPr>
      </w:pPr>
      <w:r>
        <w:rPr>
          <w:rFonts w:hint="eastAsia" w:ascii="仿宋" w:hAnsi="仿宋" w:eastAsia="仿宋" w:cs="仿宋"/>
          <w:color w:val="auto"/>
          <w:szCs w:val="21"/>
          <w:highlight w:val="none"/>
        </w:rPr>
        <w:br w:type="page"/>
      </w:r>
      <w:r>
        <w:rPr>
          <w:rStyle w:val="63"/>
          <w:rFonts w:hint="eastAsia" w:ascii="仿宋" w:hAnsi="仿宋" w:eastAsia="仿宋" w:cs="仿宋"/>
          <w:color w:val="auto"/>
          <w:highlight w:val="none"/>
        </w:rPr>
        <w:t>五、具有依法缴纳税收和社会保障资金的良好记录誉的承诺函</w:t>
      </w:r>
    </w:p>
    <w:p>
      <w:pPr>
        <w:widowControl/>
        <w:spacing w:after="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利阳致诚国际项目管理有限公司</w:t>
      </w:r>
      <w:r>
        <w:rPr>
          <w:rFonts w:hint="eastAsia" w:ascii="仿宋" w:hAnsi="仿宋" w:eastAsia="仿宋" w:cs="仿宋"/>
          <w:color w:val="auto"/>
          <w:sz w:val="24"/>
          <w:highlight w:val="none"/>
        </w:rPr>
        <w:t>（采购代理机构名称）：</w:t>
      </w:r>
    </w:p>
    <w:p>
      <w:pPr>
        <w:widowControl/>
        <w:spacing w:after="0" w:line="360" w:lineRule="auto"/>
        <w:ind w:firstLine="480" w:firstLineChars="200"/>
        <w:jc w:val="left"/>
        <w:rPr>
          <w:rFonts w:ascii="仿宋" w:hAnsi="仿宋" w:eastAsia="仿宋" w:cs="仿宋"/>
          <w:color w:val="auto"/>
          <w:sz w:val="24"/>
          <w:highlight w:val="none"/>
        </w:rPr>
      </w:pP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我单位作为本次采购项目的投标人，根据招标文件要求，现郑重承诺如下：</w:t>
      </w:r>
    </w:p>
    <w:p>
      <w:pPr>
        <w:widowControl/>
        <w:spacing w:after="0"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我单位具有依法缴纳税收和社会保障资金的良好记录。</w:t>
      </w:r>
    </w:p>
    <w:p>
      <w:pPr>
        <w:pStyle w:val="10"/>
        <w:spacing w:after="0" w:line="360" w:lineRule="auto"/>
        <w:ind w:firstLine="480"/>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widowControl/>
        <w:spacing w:after="0" w:line="360" w:lineRule="auto"/>
        <w:jc w:val="center"/>
        <w:outlineLvl w:val="2"/>
        <w:rPr>
          <w:rStyle w:val="63"/>
          <w:rFonts w:ascii="仿宋" w:hAnsi="仿宋" w:eastAsia="仿宋" w:cs="仿宋"/>
          <w:color w:val="auto"/>
          <w:highlight w:val="none"/>
        </w:rPr>
      </w:pPr>
      <w:r>
        <w:rPr>
          <w:rFonts w:hint="eastAsia" w:ascii="仿宋" w:hAnsi="仿宋" w:eastAsia="仿宋" w:cs="仿宋"/>
          <w:color w:val="auto"/>
          <w:sz w:val="24"/>
          <w:highlight w:val="none"/>
        </w:rPr>
        <w:br w:type="page"/>
      </w:r>
      <w:r>
        <w:rPr>
          <w:rStyle w:val="63"/>
          <w:rFonts w:hint="eastAsia" w:ascii="仿宋" w:hAnsi="仿宋" w:eastAsia="仿宋" w:cs="仿宋"/>
          <w:color w:val="auto"/>
          <w:highlight w:val="none"/>
        </w:rPr>
        <w:t>六、具有履行合同所必需的设备和专业技术能力的承诺函</w:t>
      </w:r>
    </w:p>
    <w:p>
      <w:pPr>
        <w:widowControl/>
        <w:spacing w:after="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利阳致诚国际项目管理有限公司</w:t>
      </w:r>
      <w:r>
        <w:rPr>
          <w:rFonts w:hint="eastAsia" w:ascii="仿宋" w:hAnsi="仿宋" w:eastAsia="仿宋" w:cs="仿宋"/>
          <w:color w:val="auto"/>
          <w:sz w:val="24"/>
          <w:highlight w:val="none"/>
        </w:rPr>
        <w:t>（采购代理机构名称）：</w:t>
      </w:r>
    </w:p>
    <w:p>
      <w:pPr>
        <w:widowControl/>
        <w:spacing w:after="0" w:line="360" w:lineRule="auto"/>
        <w:ind w:firstLine="480" w:firstLineChars="200"/>
        <w:jc w:val="left"/>
        <w:rPr>
          <w:rFonts w:ascii="仿宋" w:hAnsi="仿宋" w:eastAsia="仿宋" w:cs="仿宋"/>
          <w:color w:val="auto"/>
          <w:sz w:val="24"/>
          <w:highlight w:val="none"/>
        </w:rPr>
      </w:pP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我单位作为本次采购项目的投标人，根据招标文件要求，现郑重承诺如下：</w:t>
      </w:r>
    </w:p>
    <w:p>
      <w:pPr>
        <w:widowControl/>
        <w:spacing w:after="0"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我单位具有履行合同所必需的设备和专业技术能力。</w:t>
      </w:r>
    </w:p>
    <w:p>
      <w:pPr>
        <w:pStyle w:val="10"/>
        <w:spacing w:after="0" w:line="360" w:lineRule="auto"/>
        <w:ind w:firstLine="480"/>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widowControl/>
        <w:spacing w:after="0" w:line="360" w:lineRule="auto"/>
        <w:ind w:firstLine="480" w:firstLineChars="200"/>
        <w:jc w:val="left"/>
        <w:rPr>
          <w:rFonts w:ascii="仿宋" w:hAnsi="仿宋" w:eastAsia="仿宋" w:cs="仿宋"/>
          <w:color w:val="auto"/>
          <w:sz w:val="24"/>
          <w:highlight w:val="none"/>
        </w:rPr>
      </w:pPr>
    </w:p>
    <w:p>
      <w:pPr>
        <w:widowControl/>
        <w:spacing w:after="0" w:line="360" w:lineRule="auto"/>
        <w:jc w:val="center"/>
        <w:outlineLvl w:val="2"/>
        <w:rPr>
          <w:rStyle w:val="63"/>
          <w:rFonts w:ascii="仿宋" w:hAnsi="仿宋" w:eastAsia="仿宋" w:cs="仿宋"/>
          <w:color w:val="auto"/>
          <w:highlight w:val="none"/>
        </w:rPr>
      </w:pPr>
      <w:r>
        <w:rPr>
          <w:rStyle w:val="63"/>
          <w:rFonts w:hint="eastAsia" w:ascii="仿宋" w:hAnsi="仿宋" w:eastAsia="仿宋" w:cs="仿宋"/>
          <w:b w:val="0"/>
          <w:bCs w:val="0"/>
          <w:color w:val="auto"/>
          <w:highlight w:val="none"/>
        </w:rPr>
        <w:br w:type="page"/>
      </w:r>
      <w:r>
        <w:rPr>
          <w:rStyle w:val="63"/>
          <w:rFonts w:hint="eastAsia" w:ascii="仿宋" w:hAnsi="仿宋" w:eastAsia="仿宋" w:cs="仿宋"/>
          <w:color w:val="auto"/>
          <w:highlight w:val="none"/>
        </w:rPr>
        <w:t>七、参加政府采购活动前3年内在经营活动中没有重大违法记录的承诺函</w:t>
      </w:r>
    </w:p>
    <w:p>
      <w:pPr>
        <w:widowControl/>
        <w:spacing w:after="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利阳致诚国际项目管理有限公司</w:t>
      </w:r>
      <w:r>
        <w:rPr>
          <w:rFonts w:hint="eastAsia" w:ascii="仿宋" w:hAnsi="仿宋" w:eastAsia="仿宋" w:cs="仿宋"/>
          <w:color w:val="auto"/>
          <w:sz w:val="24"/>
          <w:highlight w:val="none"/>
        </w:rPr>
        <w:t>（采购代理机构名称）：</w:t>
      </w:r>
    </w:p>
    <w:p>
      <w:pPr>
        <w:widowControl/>
        <w:spacing w:after="0" w:line="360" w:lineRule="auto"/>
        <w:ind w:firstLine="480" w:firstLineChars="200"/>
        <w:jc w:val="left"/>
        <w:rPr>
          <w:rFonts w:ascii="仿宋" w:hAnsi="仿宋" w:eastAsia="仿宋" w:cs="仿宋"/>
          <w:color w:val="auto"/>
          <w:sz w:val="24"/>
          <w:highlight w:val="none"/>
        </w:rPr>
      </w:pP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我单位作为本次采购项目的投标人，根据招标文件要求，现郑重承诺如下：</w:t>
      </w:r>
    </w:p>
    <w:p>
      <w:pPr>
        <w:widowControl/>
        <w:spacing w:after="0"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我单位参加政府采购活动前3年内在经营活动中没有重大违法记录。</w:t>
      </w:r>
    </w:p>
    <w:p>
      <w:pPr>
        <w:pStyle w:val="10"/>
        <w:spacing w:after="0" w:line="360" w:lineRule="auto"/>
        <w:ind w:firstLine="480"/>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widowControl/>
        <w:spacing w:after="0" w:line="360" w:lineRule="auto"/>
        <w:jc w:val="center"/>
        <w:outlineLvl w:val="2"/>
        <w:rPr>
          <w:rStyle w:val="63"/>
          <w:rFonts w:ascii="仿宋" w:hAnsi="仿宋" w:eastAsia="仿宋" w:cs="仿宋"/>
          <w:color w:val="auto"/>
          <w:highlight w:val="none"/>
        </w:rPr>
      </w:pPr>
      <w:r>
        <w:rPr>
          <w:rStyle w:val="63"/>
          <w:rFonts w:hint="eastAsia" w:ascii="仿宋" w:hAnsi="仿宋" w:eastAsia="仿宋" w:cs="仿宋"/>
          <w:b w:val="0"/>
          <w:bCs w:val="0"/>
          <w:color w:val="auto"/>
          <w:highlight w:val="none"/>
        </w:rPr>
        <w:br w:type="page"/>
      </w:r>
      <w:r>
        <w:rPr>
          <w:rStyle w:val="63"/>
          <w:rFonts w:hint="eastAsia" w:ascii="仿宋" w:hAnsi="仿宋" w:eastAsia="仿宋" w:cs="仿宋"/>
          <w:color w:val="auto"/>
          <w:highlight w:val="none"/>
        </w:rPr>
        <w:t>八、符合法律、行政法规规定的其他条件的承诺函</w:t>
      </w:r>
    </w:p>
    <w:p>
      <w:pPr>
        <w:widowControl/>
        <w:spacing w:after="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利阳致诚国际项目管理有限公司</w:t>
      </w:r>
      <w:r>
        <w:rPr>
          <w:rFonts w:hint="eastAsia" w:ascii="仿宋" w:hAnsi="仿宋" w:eastAsia="仿宋" w:cs="仿宋"/>
          <w:color w:val="auto"/>
          <w:sz w:val="24"/>
          <w:highlight w:val="none"/>
        </w:rPr>
        <w:t>（采购代理机构名称）：</w:t>
      </w:r>
    </w:p>
    <w:p>
      <w:pPr>
        <w:widowControl/>
        <w:spacing w:after="0" w:line="360" w:lineRule="auto"/>
        <w:ind w:firstLine="480" w:firstLineChars="200"/>
        <w:jc w:val="left"/>
        <w:rPr>
          <w:rFonts w:ascii="仿宋" w:hAnsi="仿宋" w:eastAsia="仿宋" w:cs="仿宋"/>
          <w:color w:val="auto"/>
          <w:sz w:val="24"/>
          <w:highlight w:val="none"/>
        </w:rPr>
      </w:pP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我单位作为本次采购项目的投标人，根据招标文件要求，现郑重承诺如下：</w:t>
      </w:r>
    </w:p>
    <w:p>
      <w:pPr>
        <w:widowControl/>
        <w:spacing w:after="0"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我单位符合法律、行政法规规定的其他条件。</w:t>
      </w:r>
    </w:p>
    <w:p>
      <w:pPr>
        <w:pStyle w:val="10"/>
        <w:spacing w:after="0" w:line="360" w:lineRule="auto"/>
        <w:ind w:firstLine="480"/>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pStyle w:val="6"/>
        <w:spacing w:before="0" w:after="0"/>
        <w:jc w:val="center"/>
        <w:rPr>
          <w:rStyle w:val="63"/>
          <w:rFonts w:ascii="仿宋" w:hAnsi="仿宋" w:eastAsia="仿宋" w:cs="仿宋"/>
          <w:b/>
          <w:bCs/>
          <w:color w:val="auto"/>
          <w:kern w:val="2"/>
          <w:highlight w:val="none"/>
        </w:rPr>
      </w:pPr>
      <w:r>
        <w:rPr>
          <w:rStyle w:val="63"/>
          <w:rFonts w:hint="eastAsia" w:ascii="仿宋" w:hAnsi="仿宋" w:eastAsia="仿宋" w:cs="仿宋"/>
          <w:b/>
          <w:bCs/>
          <w:color w:val="auto"/>
          <w:kern w:val="2"/>
          <w:highlight w:val="none"/>
        </w:rPr>
        <w:br w:type="page"/>
      </w:r>
      <w:r>
        <w:rPr>
          <w:rStyle w:val="63"/>
          <w:rFonts w:hint="eastAsia" w:ascii="仿宋" w:hAnsi="仿宋" w:eastAsia="仿宋" w:cs="仿宋"/>
          <w:b/>
          <w:bCs/>
          <w:color w:val="auto"/>
          <w:kern w:val="2"/>
          <w:highlight w:val="none"/>
        </w:rPr>
        <w:t>九、法定代表人授权书</w:t>
      </w:r>
    </w:p>
    <w:p>
      <w:pPr>
        <w:spacing w:after="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利阳致诚国际项目管理有限公司</w:t>
      </w:r>
      <w:r>
        <w:rPr>
          <w:rFonts w:hint="eastAsia" w:ascii="仿宋" w:hAnsi="仿宋" w:eastAsia="仿宋" w:cs="仿宋"/>
          <w:color w:val="auto"/>
          <w:sz w:val="24"/>
          <w:highlight w:val="none"/>
        </w:rPr>
        <w:t>（采购代理机构名称）：</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本授权声明：（投标人名称）（法定代表人姓名、职务）授权（被授权人姓名、职务）为我方 “ ” 项目（项目编号：）（包号：____）投标活动的合法代表，以我方名义全权处理该项目有关投标、签订合同以及执行合同等一切事宜。</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特此声明。</w:t>
      </w:r>
    </w:p>
    <w:p>
      <w:pPr>
        <w:spacing w:after="0" w:line="360" w:lineRule="auto"/>
        <w:ind w:firstLine="480" w:firstLineChars="200"/>
        <w:rPr>
          <w:rFonts w:ascii="仿宋" w:hAnsi="仿宋" w:eastAsia="仿宋" w:cs="仿宋"/>
          <w:bCs/>
          <w:color w:val="auto"/>
          <w:sz w:val="24"/>
          <w:highlight w:val="none"/>
        </w:rPr>
      </w:pPr>
    </w:p>
    <w:p>
      <w:pPr>
        <w:spacing w:after="0" w:line="360" w:lineRule="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附：（1）法定代表人有效身份证明材料正反面复印件</w:t>
      </w:r>
    </w:p>
    <w:p>
      <w:pPr>
        <w:spacing w:after="0"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（2）授权代表有效身份证明材料正反面复印件</w:t>
      </w:r>
    </w:p>
    <w:p>
      <w:pPr>
        <w:spacing w:after="0" w:line="360" w:lineRule="auto"/>
        <w:rPr>
          <w:rFonts w:ascii="仿宋" w:hAnsi="仿宋" w:eastAsia="仿宋" w:cs="仿宋"/>
          <w:color w:val="auto"/>
          <w:sz w:val="24"/>
          <w:highlight w:val="none"/>
        </w:rPr>
      </w:pPr>
    </w:p>
    <w:p>
      <w:pPr>
        <w:pStyle w:val="2"/>
        <w:spacing w:after="0" w:line="360" w:lineRule="auto"/>
        <w:rPr>
          <w:rFonts w:ascii="仿宋" w:hAnsi="仿宋" w:eastAsia="仿宋" w:cs="仿宋"/>
          <w:color w:val="auto"/>
          <w:sz w:val="24"/>
          <w:highlight w:val="none"/>
        </w:rPr>
      </w:pPr>
    </w:p>
    <w:p>
      <w:pPr>
        <w:spacing w:after="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法定代表人（签字或加盖个人名章）：</w:t>
      </w:r>
    </w:p>
    <w:p>
      <w:pPr>
        <w:spacing w:after="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授权代表（签字或加盖个人名章）：</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    期：年月日</w:t>
      </w: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1、</w:t>
      </w:r>
      <w:r>
        <w:rPr>
          <w:rFonts w:hint="eastAsia" w:ascii="仿宋" w:hAnsi="仿宋" w:eastAsia="仿宋" w:cs="仿宋"/>
          <w:b/>
          <w:color w:val="auto"/>
          <w:sz w:val="24"/>
          <w:highlight w:val="none"/>
        </w:rPr>
        <w:t>法定代表人不亲自参加投标，而授权代表参加投标的适用。</w:t>
      </w:r>
    </w:p>
    <w:p>
      <w:pPr>
        <w:pStyle w:val="9"/>
        <w:spacing w:after="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2、供应商为法人单位时提供“法定代表人授权书”，供应商为其他组织时提供“单位负责人授权书”，供应商为自然人时提供“自然人身份证明材料”。</w:t>
      </w:r>
    </w:p>
    <w:p>
      <w:pPr>
        <w:spacing w:after="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3、身份证明材料包括居民身份证或户口本或军官证或护照等。</w:t>
      </w:r>
    </w:p>
    <w:p>
      <w:pPr>
        <w:spacing w:after="0" w:line="360" w:lineRule="auto"/>
        <w:jc w:val="center"/>
        <w:outlineLvl w:val="2"/>
        <w:rPr>
          <w:rStyle w:val="63"/>
          <w:rFonts w:ascii="仿宋" w:hAnsi="仿宋" w:eastAsia="仿宋" w:cs="仿宋"/>
          <w:color w:val="auto"/>
          <w:highlight w:val="none"/>
        </w:rPr>
      </w:pPr>
      <w:r>
        <w:rPr>
          <w:rFonts w:hint="eastAsia" w:ascii="仿宋" w:hAnsi="仿宋" w:eastAsia="仿宋" w:cs="仿宋"/>
          <w:color w:val="auto"/>
          <w:sz w:val="24"/>
          <w:highlight w:val="none"/>
        </w:rPr>
        <w:br w:type="page"/>
      </w:r>
      <w:bookmarkEnd w:id="151"/>
      <w:bookmarkEnd w:id="152"/>
      <w:r>
        <w:rPr>
          <w:rStyle w:val="63"/>
          <w:rFonts w:hint="eastAsia" w:ascii="仿宋" w:hAnsi="仿宋" w:eastAsia="仿宋" w:cs="仿宋"/>
          <w:color w:val="auto"/>
          <w:highlight w:val="none"/>
        </w:rPr>
        <w:t>十、法定代表人证明书</w:t>
      </w:r>
    </w:p>
    <w:p>
      <w:pPr>
        <w:pStyle w:val="2"/>
        <w:tabs>
          <w:tab w:val="left" w:pos="1519"/>
          <w:tab w:val="left" w:pos="5419"/>
        </w:tabs>
        <w:spacing w:after="0" w:line="360" w:lineRule="auto"/>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u w:val="single"/>
        </w:rPr>
        <w:tab/>
      </w:r>
    </w:p>
    <w:p>
      <w:pPr>
        <w:pStyle w:val="2"/>
        <w:tabs>
          <w:tab w:val="left" w:pos="1519"/>
          <w:tab w:val="left" w:pos="5419"/>
        </w:tabs>
        <w:spacing w:after="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u w:val="single"/>
        </w:rPr>
        <w:tab/>
      </w:r>
    </w:p>
    <w:p>
      <w:pPr>
        <w:pStyle w:val="2"/>
        <w:tabs>
          <w:tab w:val="left" w:pos="1519"/>
          <w:tab w:val="left" w:pos="3079"/>
          <w:tab w:val="left" w:pos="4399"/>
          <w:tab w:val="left" w:pos="5719"/>
          <w:tab w:val="left" w:pos="7939"/>
        </w:tabs>
        <w:spacing w:after="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ab/>
      </w:r>
    </w:p>
    <w:p>
      <w:pPr>
        <w:pStyle w:val="2"/>
        <w:tabs>
          <w:tab w:val="left" w:pos="3295"/>
          <w:tab w:val="left" w:pos="4759"/>
          <w:tab w:val="left" w:pos="6871"/>
        </w:tabs>
        <w:spacing w:after="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本人系</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(投标人名称)的法定代表人/单位负责人。就参加</w:t>
      </w:r>
      <w:r>
        <w:rPr>
          <w:rFonts w:hint="eastAsia" w:ascii="仿宋" w:hAnsi="仿宋" w:eastAsia="仿宋" w:cs="仿宋"/>
          <w:color w:val="auto"/>
          <w:spacing w:val="-16"/>
          <w:sz w:val="24"/>
          <w:szCs w:val="24"/>
          <w:highlight w:val="none"/>
        </w:rPr>
        <w:t>你</w:t>
      </w:r>
      <w:r>
        <w:rPr>
          <w:rFonts w:hint="eastAsia" w:ascii="仿宋" w:hAnsi="仿宋" w:eastAsia="仿宋" w:cs="仿宋"/>
          <w:color w:val="auto"/>
          <w:sz w:val="24"/>
          <w:szCs w:val="24"/>
          <w:highlight w:val="none"/>
        </w:rPr>
        <w:t>单位组织</w:t>
      </w:r>
      <w:r>
        <w:rPr>
          <w:rFonts w:hint="eastAsia" w:ascii="仿宋" w:hAnsi="仿宋" w:eastAsia="仿宋" w:cs="仿宋"/>
          <w:color w:val="auto"/>
          <w:spacing w:val="-24"/>
          <w:sz w:val="24"/>
          <w:szCs w:val="24"/>
          <w:highlight w:val="none"/>
        </w:rPr>
        <w:t>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(项目名称)(项目编号</w:t>
      </w:r>
      <w:r>
        <w:rPr>
          <w:rFonts w:hint="eastAsia" w:ascii="仿宋" w:hAnsi="仿宋" w:eastAsia="仿宋" w:cs="仿宋"/>
          <w:color w:val="auto"/>
          <w:spacing w:val="-24"/>
          <w:sz w:val="24"/>
          <w:szCs w:val="24"/>
          <w:highlight w:val="none"/>
        </w:rPr>
        <w:t>：</w:t>
      </w:r>
      <w:r>
        <w:rPr>
          <w:rFonts w:hint="eastAsia" w:ascii="仿宋" w:hAnsi="仿宋" w:eastAsia="仿宋" w:cs="仿宋"/>
          <w:color w:val="auto"/>
          <w:spacing w:val="-24"/>
          <w:sz w:val="24"/>
          <w:szCs w:val="24"/>
          <w:highlight w:val="none"/>
          <w:u w:val="single"/>
        </w:rPr>
        <w:tab/>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rPr>
        <w:t>的政府采购活动</w:t>
      </w:r>
      <w:r>
        <w:rPr>
          <w:rFonts w:hint="eastAsia" w:ascii="仿宋" w:hAnsi="仿宋" w:eastAsia="仿宋" w:cs="仿宋"/>
          <w:color w:val="auto"/>
          <w:spacing w:val="-22"/>
          <w:sz w:val="24"/>
          <w:szCs w:val="24"/>
          <w:highlight w:val="none"/>
        </w:rPr>
        <w:t>、</w:t>
      </w:r>
      <w:r>
        <w:rPr>
          <w:rFonts w:hint="eastAsia" w:ascii="仿宋" w:hAnsi="仿宋" w:eastAsia="仿宋" w:cs="仿宋"/>
          <w:color w:val="auto"/>
          <w:sz w:val="24"/>
          <w:szCs w:val="24"/>
          <w:highlight w:val="none"/>
        </w:rPr>
        <w:t>合同签</w:t>
      </w:r>
      <w:r>
        <w:rPr>
          <w:rFonts w:hint="eastAsia" w:ascii="仿宋" w:hAnsi="仿宋" w:eastAsia="仿宋" w:cs="仿宋"/>
          <w:color w:val="auto"/>
          <w:spacing w:val="-16"/>
          <w:sz w:val="24"/>
          <w:szCs w:val="24"/>
          <w:highlight w:val="none"/>
        </w:rPr>
        <w:t>订</w:t>
      </w:r>
      <w:r>
        <w:rPr>
          <w:rFonts w:hint="eastAsia" w:ascii="仿宋" w:hAnsi="仿宋" w:eastAsia="仿宋" w:cs="仿宋"/>
          <w:color w:val="auto"/>
          <w:sz w:val="24"/>
          <w:szCs w:val="24"/>
          <w:highlight w:val="none"/>
        </w:rPr>
        <w:t>以及合同履约等一切事宜，我单位均予承认，所产生的法律后果均由我单位承担。</w:t>
      </w:r>
    </w:p>
    <w:p>
      <w:pPr>
        <w:pStyle w:val="2"/>
        <w:spacing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spacing w:after="0" w:line="360" w:lineRule="auto"/>
        <w:ind w:firstLine="480" w:firstLineChars="200"/>
        <w:rPr>
          <w:rFonts w:ascii="仿宋" w:hAnsi="仿宋" w:eastAsia="仿宋" w:cs="仿宋"/>
          <w:color w:val="auto"/>
          <w:sz w:val="24"/>
          <w:highlight w:val="none"/>
        </w:rPr>
      </w:pPr>
    </w:p>
    <w:p>
      <w:pPr>
        <w:spacing w:after="0"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附：（1）法定代表人有效身份证明材料正反面复印件</w:t>
      </w:r>
    </w:p>
    <w:p>
      <w:pPr>
        <w:pStyle w:val="2"/>
        <w:spacing w:after="0" w:line="360" w:lineRule="auto"/>
        <w:rPr>
          <w:rFonts w:ascii="仿宋" w:hAnsi="仿宋" w:eastAsia="仿宋" w:cs="仿宋"/>
          <w:color w:val="auto"/>
          <w:sz w:val="24"/>
          <w:highlight w:val="none"/>
        </w:rPr>
      </w:pPr>
    </w:p>
    <w:p>
      <w:pPr>
        <w:spacing w:after="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法定代表人（签字或加盖个人名章）：</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    期：年月日</w:t>
      </w:r>
    </w:p>
    <w:p>
      <w:pPr>
        <w:spacing w:after="0" w:line="360" w:lineRule="auto"/>
        <w:rPr>
          <w:rFonts w:ascii="仿宋" w:hAnsi="仿宋" w:eastAsia="仿宋" w:cs="仿宋"/>
          <w:color w:val="auto"/>
          <w:highlight w:val="none"/>
        </w:rPr>
      </w:pPr>
    </w:p>
    <w:p>
      <w:pPr>
        <w:spacing w:after="0"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1、</w:t>
      </w:r>
      <w:r>
        <w:rPr>
          <w:rFonts w:hint="eastAsia" w:ascii="仿宋" w:hAnsi="仿宋" w:eastAsia="仿宋" w:cs="仿宋"/>
          <w:b/>
          <w:color w:val="auto"/>
          <w:sz w:val="24"/>
          <w:highlight w:val="none"/>
        </w:rPr>
        <w:t>法定代表人亲自参加投标时适用本证明书。</w:t>
      </w:r>
    </w:p>
    <w:p>
      <w:pPr>
        <w:widowControl/>
        <w:spacing w:after="0"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2、身份证明材料包括居民身份证或户口本或军官证或护照等。</w:t>
      </w:r>
    </w:p>
    <w:p>
      <w:pPr>
        <w:tabs>
          <w:tab w:val="left" w:pos="7665"/>
        </w:tabs>
        <w:spacing w:after="0" w:line="360" w:lineRule="auto"/>
        <w:ind w:firstLine="562" w:firstLineChars="200"/>
        <w:rPr>
          <w:rStyle w:val="63"/>
          <w:rFonts w:ascii="仿宋" w:hAnsi="仿宋" w:eastAsia="仿宋" w:cs="仿宋"/>
          <w:color w:val="auto"/>
          <w:highlight w:val="none"/>
        </w:rPr>
      </w:pPr>
      <w:r>
        <w:rPr>
          <w:rStyle w:val="63"/>
          <w:rFonts w:hint="eastAsia" w:ascii="仿宋" w:hAnsi="仿宋" w:eastAsia="仿宋" w:cs="仿宋"/>
          <w:color w:val="auto"/>
          <w:highlight w:val="none"/>
        </w:rPr>
        <w:br w:type="page"/>
      </w:r>
      <w:r>
        <w:rPr>
          <w:rStyle w:val="63"/>
          <w:rFonts w:hint="eastAsia" w:ascii="仿宋" w:hAnsi="仿宋" w:eastAsia="仿宋" w:cs="仿宋"/>
          <w:color w:val="auto"/>
          <w:highlight w:val="none"/>
        </w:rPr>
        <w:t xml:space="preserve">       十一、资格性审查要求的其他证明材料</w:t>
      </w:r>
    </w:p>
    <w:p>
      <w:pPr>
        <w:pStyle w:val="10"/>
        <w:ind w:firstLine="420"/>
        <w:rPr>
          <w:rFonts w:ascii="仿宋" w:hAnsi="仿宋" w:eastAsia="仿宋" w:cs="仿宋"/>
          <w:color w:val="auto"/>
          <w:highlight w:val="none"/>
        </w:rPr>
      </w:pPr>
    </w:p>
    <w:p>
      <w:pPr>
        <w:pStyle w:val="10"/>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（格式自拟）</w:t>
      </w:r>
    </w:p>
    <w:p>
      <w:pPr>
        <w:pStyle w:val="5"/>
        <w:spacing w:before="0" w:after="0" w:line="360" w:lineRule="auto"/>
        <w:rPr>
          <w:rFonts w:ascii="仿宋" w:hAnsi="仿宋" w:eastAsia="仿宋" w:cs="仿宋"/>
          <w:b w:val="0"/>
          <w:color w:val="auto"/>
          <w:highlight w:val="none"/>
        </w:rPr>
        <w:sectPr>
          <w:footerReference r:id="rId7" w:type="default"/>
          <w:type w:val="continuous"/>
          <w:pgSz w:w="11906" w:h="16838"/>
          <w:pgMar w:top="1440" w:right="1800" w:bottom="1440" w:left="1800" w:header="851" w:footer="992" w:gutter="0"/>
          <w:pgNumType w:fmt="decimal"/>
          <w:cols w:space="720" w:num="1"/>
          <w:docGrid w:type="lines" w:linePitch="312" w:charSpace="0"/>
        </w:sectPr>
      </w:pPr>
    </w:p>
    <w:p>
      <w:pPr>
        <w:spacing w:after="0" w:line="360" w:lineRule="auto"/>
        <w:outlineLvl w:val="1"/>
        <w:rPr>
          <w:rStyle w:val="63"/>
          <w:rFonts w:ascii="仿宋" w:hAnsi="仿宋" w:eastAsia="仿宋" w:cs="仿宋"/>
          <w:color w:val="auto"/>
          <w:highlight w:val="none"/>
        </w:rPr>
      </w:pPr>
      <w:bookmarkStart w:id="153" w:name="_Toc217446086"/>
      <w:r>
        <w:rPr>
          <w:rStyle w:val="48"/>
          <w:rFonts w:hint="eastAsia" w:ascii="仿宋" w:hAnsi="仿宋" w:eastAsia="仿宋" w:cs="仿宋"/>
          <w:color w:val="auto"/>
          <w:highlight w:val="none"/>
        </w:rPr>
        <w:t>3.3服务、商务及其他要求响应部分</w:t>
      </w:r>
    </w:p>
    <w:p>
      <w:pPr>
        <w:spacing w:after="0" w:line="360" w:lineRule="auto"/>
        <w:jc w:val="center"/>
        <w:rPr>
          <w:rStyle w:val="63"/>
          <w:rFonts w:ascii="仿宋" w:hAnsi="仿宋" w:eastAsia="仿宋" w:cs="仿宋"/>
          <w:color w:val="auto"/>
          <w:sz w:val="24"/>
          <w:szCs w:val="24"/>
          <w:highlight w:val="none"/>
        </w:rPr>
      </w:pPr>
    </w:p>
    <w:p>
      <w:pPr>
        <w:spacing w:after="0" w:line="360" w:lineRule="auto"/>
        <w:jc w:val="center"/>
        <w:outlineLvl w:val="2"/>
        <w:rPr>
          <w:rStyle w:val="63"/>
          <w:rFonts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一、开标一览表</w:t>
      </w:r>
    </w:p>
    <w:p>
      <w:pPr>
        <w:spacing w:after="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项目名称：</w:t>
      </w:r>
    </w:p>
    <w:p>
      <w:pPr>
        <w:spacing w:after="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w:t>
      </w:r>
    </w:p>
    <w:p>
      <w:pPr>
        <w:pStyle w:val="2"/>
        <w:rPr>
          <w:color w:val="auto"/>
          <w:highlight w:val="none"/>
        </w:rPr>
      </w:pPr>
    </w:p>
    <w:tbl>
      <w:tblPr>
        <w:tblStyle w:val="34"/>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0" w:type="dxa"/>
          <w:bottom w:w="0" w:type="dxa"/>
          <w:right w:w="0" w:type="dxa"/>
        </w:tblCellMar>
      </w:tblPr>
      <w:tblGrid>
        <w:gridCol w:w="1119"/>
        <w:gridCol w:w="1845"/>
        <w:gridCol w:w="2538"/>
        <w:gridCol w:w="1876"/>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697" w:hRule="atLeast"/>
          <w:jc w:val="center"/>
        </w:trPr>
        <w:tc>
          <w:tcPr>
            <w:tcW w:w="1119" w:type="dxa"/>
            <w:shd w:val="clear" w:color="auto" w:fill="auto"/>
            <w:noWrap w:val="0"/>
            <w:tcMar>
              <w:top w:w="80" w:type="dxa"/>
              <w:left w:w="80" w:type="dxa"/>
              <w:bottom w:w="80" w:type="dxa"/>
              <w:right w:w="80" w:type="dxa"/>
            </w:tcMar>
            <w:vAlign w:val="center"/>
          </w:tcPr>
          <w:p>
            <w:pPr>
              <w:pStyle w:val="99"/>
              <w:spacing w:line="360" w:lineRule="auto"/>
              <w:jc w:val="center"/>
              <w:rPr>
                <w:rFonts w:hint="default" w:ascii="宋体" w:hAnsi="宋体" w:eastAsia="宋体"/>
                <w:b/>
                <w:bCs/>
                <w:color w:val="auto"/>
                <w:sz w:val="22"/>
                <w:szCs w:val="22"/>
                <w:highlight w:val="none"/>
              </w:rPr>
            </w:pPr>
            <w:r>
              <w:rPr>
                <w:rFonts w:ascii="宋体" w:hAnsi="宋体" w:eastAsia="宋体" w:cs="宋体"/>
                <w:b/>
                <w:bCs/>
                <w:color w:val="auto"/>
                <w:kern w:val="1"/>
                <w:sz w:val="22"/>
                <w:szCs w:val="22"/>
                <w:highlight w:val="none"/>
                <w:lang w:val="zh-TW" w:eastAsia="zh-TW"/>
              </w:rPr>
              <w:t>序号</w:t>
            </w:r>
          </w:p>
        </w:tc>
        <w:tc>
          <w:tcPr>
            <w:tcW w:w="1845" w:type="dxa"/>
            <w:shd w:val="clear" w:color="auto" w:fill="auto"/>
            <w:noWrap w:val="0"/>
            <w:tcMar>
              <w:top w:w="80" w:type="dxa"/>
              <w:left w:w="80" w:type="dxa"/>
              <w:bottom w:w="80" w:type="dxa"/>
              <w:right w:w="80" w:type="dxa"/>
            </w:tcMar>
            <w:vAlign w:val="center"/>
          </w:tcPr>
          <w:p>
            <w:pPr>
              <w:pStyle w:val="99"/>
              <w:spacing w:line="360" w:lineRule="auto"/>
              <w:jc w:val="center"/>
              <w:rPr>
                <w:rFonts w:hint="default" w:ascii="宋体" w:hAnsi="宋体" w:eastAsia="宋体"/>
                <w:b/>
                <w:bCs/>
                <w:color w:val="auto"/>
                <w:sz w:val="22"/>
                <w:szCs w:val="22"/>
                <w:highlight w:val="none"/>
              </w:rPr>
            </w:pPr>
            <w:r>
              <w:rPr>
                <w:rFonts w:ascii="宋体" w:hAnsi="宋体" w:eastAsia="宋体" w:cs="宋体"/>
                <w:b/>
                <w:bCs/>
                <w:color w:val="auto"/>
                <w:kern w:val="1"/>
                <w:sz w:val="22"/>
                <w:szCs w:val="22"/>
                <w:highlight w:val="none"/>
                <w:lang w:val="zh-TW" w:eastAsia="zh-TW"/>
              </w:rPr>
              <w:t>服务内容</w:t>
            </w:r>
          </w:p>
        </w:tc>
        <w:tc>
          <w:tcPr>
            <w:tcW w:w="2538" w:type="dxa"/>
            <w:shd w:val="clear" w:color="auto" w:fill="auto"/>
            <w:noWrap w:val="0"/>
            <w:tcMar>
              <w:top w:w="80" w:type="dxa"/>
              <w:left w:w="80" w:type="dxa"/>
              <w:bottom w:w="80" w:type="dxa"/>
              <w:right w:w="80" w:type="dxa"/>
            </w:tcMar>
            <w:vAlign w:val="center"/>
          </w:tcPr>
          <w:p>
            <w:pPr>
              <w:pStyle w:val="99"/>
              <w:spacing w:line="360" w:lineRule="auto"/>
              <w:jc w:val="center"/>
              <w:rPr>
                <w:rFonts w:hint="default" w:ascii="宋体" w:hAnsi="宋体" w:eastAsia="宋体"/>
                <w:b/>
                <w:bCs/>
                <w:color w:val="auto"/>
                <w:sz w:val="22"/>
                <w:szCs w:val="22"/>
                <w:highlight w:val="none"/>
              </w:rPr>
            </w:pPr>
            <w:r>
              <w:rPr>
                <w:rFonts w:ascii="宋体" w:hAnsi="宋体" w:eastAsia="宋体" w:cs="宋体"/>
                <w:b/>
                <w:bCs/>
                <w:color w:val="auto"/>
                <w:kern w:val="1"/>
                <w:sz w:val="22"/>
                <w:szCs w:val="22"/>
                <w:highlight w:val="none"/>
                <w:lang w:val="zh-TW"/>
              </w:rPr>
              <w:t>报价</w:t>
            </w:r>
            <w:r>
              <w:rPr>
                <w:rFonts w:ascii="宋体" w:hAnsi="宋体" w:cs="宋体"/>
                <w:b/>
                <w:bCs/>
                <w:color w:val="auto"/>
                <w:sz w:val="22"/>
                <w:szCs w:val="22"/>
                <w:highlight w:val="none"/>
              </w:rPr>
              <w:t>（</w:t>
            </w:r>
            <w:r>
              <w:rPr>
                <w:rFonts w:hint="eastAsia" w:ascii="宋体" w:hAnsi="宋体" w:eastAsia="宋体" w:cs="宋体"/>
                <w:b/>
                <w:bCs/>
                <w:color w:val="auto"/>
                <w:sz w:val="22"/>
                <w:szCs w:val="22"/>
                <w:highlight w:val="none"/>
                <w:lang w:eastAsia="zh-CN"/>
              </w:rPr>
              <w:t>万元</w:t>
            </w:r>
            <w:r>
              <w:rPr>
                <w:rFonts w:ascii="宋体" w:hAnsi="宋体" w:cs="宋体"/>
                <w:b/>
                <w:bCs/>
                <w:color w:val="auto"/>
                <w:sz w:val="22"/>
                <w:szCs w:val="22"/>
                <w:highlight w:val="none"/>
              </w:rPr>
              <w:t>）</w:t>
            </w:r>
          </w:p>
        </w:tc>
        <w:tc>
          <w:tcPr>
            <w:tcW w:w="1876" w:type="dxa"/>
            <w:shd w:val="clear" w:color="auto" w:fill="auto"/>
            <w:noWrap w:val="0"/>
            <w:tcMar>
              <w:top w:w="80" w:type="dxa"/>
              <w:left w:w="391" w:type="dxa"/>
              <w:bottom w:w="80" w:type="dxa"/>
              <w:right w:w="80" w:type="dxa"/>
            </w:tcMar>
            <w:vAlign w:val="center"/>
          </w:tcPr>
          <w:p>
            <w:pPr>
              <w:pStyle w:val="99"/>
              <w:spacing w:line="360" w:lineRule="auto"/>
              <w:rPr>
                <w:rFonts w:hint="default" w:ascii="宋体" w:hAnsi="宋体" w:eastAsia="宋体"/>
                <w:b/>
                <w:bCs/>
                <w:color w:val="auto"/>
                <w:sz w:val="22"/>
                <w:szCs w:val="22"/>
                <w:highlight w:val="none"/>
              </w:rPr>
            </w:pPr>
            <w:r>
              <w:rPr>
                <w:rFonts w:ascii="宋体" w:hAnsi="宋体" w:eastAsia="宋体" w:cs="宋体"/>
                <w:b/>
                <w:bCs/>
                <w:color w:val="auto"/>
                <w:kern w:val="1"/>
                <w:sz w:val="22"/>
                <w:szCs w:val="22"/>
                <w:highlight w:val="none"/>
                <w:lang w:val="zh-TW" w:eastAsia="zh-TW"/>
              </w:rPr>
              <w:t>服务期限</w:t>
            </w:r>
          </w:p>
        </w:tc>
        <w:tc>
          <w:tcPr>
            <w:tcW w:w="1121" w:type="dxa"/>
            <w:shd w:val="clear" w:color="auto" w:fill="auto"/>
            <w:noWrap w:val="0"/>
            <w:tcMar>
              <w:top w:w="80" w:type="dxa"/>
              <w:left w:w="391" w:type="dxa"/>
              <w:bottom w:w="80" w:type="dxa"/>
              <w:right w:w="80" w:type="dxa"/>
            </w:tcMar>
            <w:vAlign w:val="center"/>
          </w:tcPr>
          <w:p>
            <w:pPr>
              <w:pStyle w:val="99"/>
              <w:spacing w:line="360" w:lineRule="auto"/>
              <w:ind w:left="311" w:hanging="310"/>
              <w:rPr>
                <w:rFonts w:hint="default" w:ascii="宋体" w:hAnsi="宋体" w:eastAsia="宋体"/>
                <w:b/>
                <w:bCs/>
                <w:color w:val="auto"/>
                <w:sz w:val="22"/>
                <w:szCs w:val="22"/>
                <w:highlight w:val="none"/>
              </w:rPr>
            </w:pPr>
            <w:r>
              <w:rPr>
                <w:rFonts w:ascii="宋体" w:hAnsi="宋体" w:eastAsia="宋体" w:cs="宋体"/>
                <w:b/>
                <w:bCs/>
                <w:color w:val="auto"/>
                <w:kern w:val="1"/>
                <w:sz w:val="22"/>
                <w:szCs w:val="22"/>
                <w:highlight w:val="none"/>
                <w:lang w:val="zh-TW" w:eastAsia="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119" w:type="dxa"/>
            <w:shd w:val="clear" w:color="auto" w:fill="auto"/>
            <w:noWrap w:val="0"/>
            <w:tcMar>
              <w:top w:w="80" w:type="dxa"/>
              <w:left w:w="80" w:type="dxa"/>
              <w:bottom w:w="80" w:type="dxa"/>
              <w:right w:w="80" w:type="dxa"/>
            </w:tcMar>
            <w:vAlign w:val="center"/>
          </w:tcPr>
          <w:p>
            <w:pPr>
              <w:pStyle w:val="99"/>
              <w:spacing w:line="360" w:lineRule="auto"/>
              <w:jc w:val="center"/>
              <w:rPr>
                <w:rFonts w:hint="default" w:ascii="宋体" w:hAnsi="宋体" w:eastAsia="宋体"/>
                <w:b/>
                <w:bCs/>
                <w:color w:val="auto"/>
                <w:sz w:val="22"/>
                <w:szCs w:val="22"/>
                <w:highlight w:val="none"/>
              </w:rPr>
            </w:pPr>
          </w:p>
        </w:tc>
        <w:tc>
          <w:tcPr>
            <w:tcW w:w="1845" w:type="dxa"/>
            <w:shd w:val="clear" w:color="auto" w:fill="auto"/>
            <w:noWrap w:val="0"/>
            <w:tcMar>
              <w:top w:w="80" w:type="dxa"/>
              <w:left w:w="80" w:type="dxa"/>
              <w:bottom w:w="80" w:type="dxa"/>
              <w:right w:w="80" w:type="dxa"/>
            </w:tcMar>
            <w:vAlign w:val="center"/>
          </w:tcPr>
          <w:p>
            <w:pPr>
              <w:spacing w:after="0" w:line="360" w:lineRule="auto"/>
              <w:jc w:val="center"/>
              <w:rPr>
                <w:rFonts w:ascii="宋体" w:hAnsi="宋体"/>
                <w:color w:val="auto"/>
                <w:sz w:val="24"/>
                <w:highlight w:val="none"/>
              </w:rPr>
            </w:pPr>
          </w:p>
        </w:tc>
        <w:tc>
          <w:tcPr>
            <w:tcW w:w="2538" w:type="dxa"/>
            <w:shd w:val="clear" w:color="auto" w:fill="auto"/>
            <w:noWrap w:val="0"/>
            <w:tcMar>
              <w:top w:w="80" w:type="dxa"/>
              <w:left w:w="80" w:type="dxa"/>
              <w:bottom w:w="80" w:type="dxa"/>
              <w:right w:w="80" w:type="dxa"/>
            </w:tcMar>
            <w:vAlign w:val="center"/>
          </w:tcPr>
          <w:p>
            <w:pPr>
              <w:spacing w:after="0" w:line="360" w:lineRule="auto"/>
              <w:jc w:val="center"/>
              <w:rPr>
                <w:rFonts w:ascii="宋体" w:hAnsi="宋体"/>
                <w:color w:val="auto"/>
                <w:sz w:val="24"/>
                <w:highlight w:val="none"/>
              </w:rPr>
            </w:pPr>
          </w:p>
        </w:tc>
        <w:tc>
          <w:tcPr>
            <w:tcW w:w="1876" w:type="dxa"/>
            <w:shd w:val="clear" w:color="auto" w:fill="auto"/>
            <w:noWrap w:val="0"/>
            <w:tcMar>
              <w:top w:w="80" w:type="dxa"/>
              <w:left w:w="80" w:type="dxa"/>
              <w:bottom w:w="80" w:type="dxa"/>
              <w:right w:w="80" w:type="dxa"/>
            </w:tcMar>
            <w:vAlign w:val="center"/>
          </w:tcPr>
          <w:p>
            <w:pPr>
              <w:spacing w:after="0" w:line="360" w:lineRule="auto"/>
              <w:jc w:val="center"/>
              <w:rPr>
                <w:rFonts w:ascii="宋体" w:hAnsi="宋体"/>
                <w:color w:val="auto"/>
                <w:sz w:val="24"/>
                <w:highlight w:val="none"/>
              </w:rPr>
            </w:pPr>
          </w:p>
        </w:tc>
        <w:tc>
          <w:tcPr>
            <w:tcW w:w="1121" w:type="dxa"/>
            <w:shd w:val="clear" w:color="auto" w:fill="auto"/>
            <w:noWrap w:val="0"/>
            <w:tcMar>
              <w:top w:w="80" w:type="dxa"/>
              <w:left w:w="80" w:type="dxa"/>
              <w:bottom w:w="80" w:type="dxa"/>
              <w:right w:w="80" w:type="dxa"/>
            </w:tcMar>
            <w:vAlign w:val="center"/>
          </w:tcPr>
          <w:p>
            <w:pPr>
              <w:spacing w:after="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119" w:type="dxa"/>
            <w:vMerge w:val="restart"/>
            <w:shd w:val="clear" w:color="auto" w:fill="auto"/>
            <w:noWrap w:val="0"/>
            <w:tcMar>
              <w:top w:w="80" w:type="dxa"/>
              <w:left w:w="80" w:type="dxa"/>
              <w:bottom w:w="80" w:type="dxa"/>
              <w:right w:w="80" w:type="dxa"/>
            </w:tcMar>
            <w:vAlign w:val="center"/>
          </w:tcPr>
          <w:p>
            <w:pPr>
              <w:pStyle w:val="99"/>
              <w:spacing w:line="360" w:lineRule="auto"/>
              <w:jc w:val="center"/>
              <w:rPr>
                <w:rFonts w:ascii="宋体" w:hAnsi="宋体" w:eastAsia="宋体"/>
                <w:b/>
                <w:bCs/>
                <w:color w:val="auto"/>
                <w:kern w:val="1"/>
                <w:sz w:val="22"/>
                <w:szCs w:val="22"/>
                <w:highlight w:val="none"/>
              </w:rPr>
            </w:pPr>
            <w:r>
              <w:rPr>
                <w:rFonts w:ascii="宋体" w:hAnsi="宋体" w:eastAsia="宋体" w:cs="宋体"/>
                <w:b/>
                <w:bCs/>
                <w:color w:val="auto"/>
                <w:kern w:val="1"/>
                <w:sz w:val="22"/>
                <w:szCs w:val="22"/>
                <w:highlight w:val="none"/>
                <w:lang w:val="zh-TW"/>
              </w:rPr>
              <w:t>报价合计</w:t>
            </w:r>
            <w:r>
              <w:rPr>
                <w:rFonts w:hint="eastAsia" w:ascii="宋体" w:hAnsi="宋体" w:eastAsia="宋体" w:cs="宋体"/>
                <w:b/>
                <w:bCs/>
                <w:color w:val="auto"/>
                <w:kern w:val="1"/>
                <w:sz w:val="22"/>
                <w:szCs w:val="22"/>
                <w:highlight w:val="none"/>
                <w:lang w:val="zh-TW" w:eastAsia="zh-CN"/>
              </w:rPr>
              <w:t>（万元）</w:t>
            </w:r>
          </w:p>
        </w:tc>
        <w:tc>
          <w:tcPr>
            <w:tcW w:w="7380" w:type="dxa"/>
            <w:gridSpan w:val="4"/>
            <w:shd w:val="clear" w:color="auto" w:fill="auto"/>
            <w:noWrap w:val="0"/>
            <w:tcMar>
              <w:top w:w="80" w:type="dxa"/>
              <w:left w:w="80" w:type="dxa"/>
              <w:bottom w:w="80" w:type="dxa"/>
              <w:right w:w="80" w:type="dxa"/>
            </w:tcMar>
            <w:vAlign w:val="center"/>
          </w:tcPr>
          <w:p>
            <w:pPr>
              <w:spacing w:after="0" w:line="360" w:lineRule="auto"/>
              <w:rPr>
                <w:rFonts w:ascii="宋体" w:hAnsi="宋体"/>
                <w:color w:val="auto"/>
                <w:sz w:val="24"/>
                <w:highlight w:val="none"/>
              </w:rPr>
            </w:pPr>
            <w:r>
              <w:rPr>
                <w:rFonts w:ascii="宋体" w:hAnsi="宋体" w:eastAsia="宋体" w:cs="宋体"/>
                <w:color w:val="auto"/>
                <w:kern w:val="1"/>
                <w:highlight w:val="none"/>
                <w:lang w:val="zh-TW"/>
              </w:rPr>
              <w:t>（小写）：</w:t>
            </w:r>
            <w:r>
              <w:rPr>
                <w:rFonts w:ascii="宋体" w:hAnsi="宋体" w:eastAsia="宋体"/>
                <w:color w:val="auto"/>
                <w:kern w:val="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119" w:type="dxa"/>
            <w:vMerge w:val="continue"/>
            <w:shd w:val="clear" w:color="auto" w:fill="auto"/>
            <w:noWrap w:val="0"/>
            <w:tcMar>
              <w:top w:w="80" w:type="dxa"/>
              <w:left w:w="80" w:type="dxa"/>
              <w:bottom w:w="80" w:type="dxa"/>
              <w:right w:w="80" w:type="dxa"/>
            </w:tcMar>
            <w:vAlign w:val="center"/>
          </w:tcPr>
          <w:p>
            <w:pPr>
              <w:spacing w:after="0" w:line="360" w:lineRule="auto"/>
              <w:rPr>
                <w:color w:val="auto"/>
                <w:highlight w:val="none"/>
              </w:rPr>
            </w:pPr>
          </w:p>
        </w:tc>
        <w:tc>
          <w:tcPr>
            <w:tcW w:w="7380" w:type="dxa"/>
            <w:gridSpan w:val="4"/>
            <w:shd w:val="clear" w:color="auto" w:fill="auto"/>
            <w:noWrap w:val="0"/>
            <w:tcMar>
              <w:top w:w="80" w:type="dxa"/>
              <w:left w:w="80" w:type="dxa"/>
              <w:bottom w:w="80" w:type="dxa"/>
              <w:right w:w="80" w:type="dxa"/>
            </w:tcMar>
            <w:vAlign w:val="center"/>
          </w:tcPr>
          <w:p>
            <w:pPr>
              <w:spacing w:after="0" w:line="360" w:lineRule="auto"/>
              <w:rPr>
                <w:rFonts w:hint="eastAsia" w:ascii="宋体" w:hAnsi="宋体" w:eastAsia="宋体"/>
                <w:color w:val="auto"/>
                <w:sz w:val="24"/>
                <w:highlight w:val="none"/>
                <w:lang w:val="en-US" w:eastAsia="zh-CN"/>
              </w:rPr>
            </w:pPr>
            <w:r>
              <w:rPr>
                <w:rFonts w:ascii="宋体" w:hAnsi="宋体" w:eastAsia="宋体" w:cs="宋体"/>
                <w:color w:val="auto"/>
                <w:kern w:val="1"/>
                <w:highlight w:val="none"/>
                <w:lang w:val="zh-TW" w:eastAsia="zh-TW"/>
              </w:rPr>
              <w:t>（大写）：</w:t>
            </w:r>
            <w:r>
              <w:rPr>
                <w:rFonts w:ascii="宋体" w:hAnsi="宋体" w:eastAsia="宋体"/>
                <w:color w:val="auto"/>
                <w:kern w:val="1"/>
                <w:highlight w:val="none"/>
                <w:u w:val="single"/>
              </w:rPr>
              <w:t xml:space="preserve">         </w:t>
            </w:r>
            <w:r>
              <w:rPr>
                <w:rFonts w:hint="eastAsia" w:ascii="宋体" w:hAnsi="宋体" w:eastAsia="宋体"/>
                <w:color w:val="auto"/>
                <w:kern w:val="1"/>
                <w:highlight w:val="none"/>
                <w:u w:val="single"/>
                <w:lang w:val="en-US" w:eastAsia="zh-CN"/>
              </w:rPr>
              <w:t xml:space="preserve"> </w:t>
            </w:r>
          </w:p>
        </w:tc>
      </w:tr>
    </w:tbl>
    <w:p>
      <w:pPr>
        <w:pStyle w:val="2"/>
        <w:rPr>
          <w:rFonts w:hint="eastAsia"/>
          <w:color w:val="auto"/>
          <w:sz w:val="24"/>
          <w:szCs w:val="24"/>
          <w:highlight w:val="none"/>
        </w:rPr>
      </w:pPr>
    </w:p>
    <w:p>
      <w:pPr>
        <w:pStyle w:val="2"/>
        <w:rPr>
          <w:color w:val="auto"/>
          <w:sz w:val="24"/>
          <w:szCs w:val="24"/>
          <w:highlight w:val="none"/>
        </w:rPr>
      </w:pPr>
      <w:r>
        <w:rPr>
          <w:rFonts w:hint="eastAsia"/>
          <w:color w:val="auto"/>
          <w:sz w:val="24"/>
          <w:szCs w:val="24"/>
          <w:highlight w:val="none"/>
        </w:rPr>
        <w:t>注：</w:t>
      </w:r>
    </w:p>
    <w:p>
      <w:pPr>
        <w:adjustRightInd w:val="0"/>
        <w:snapToGrid w:val="0"/>
        <w:spacing w:after="0"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1.报价应是最终用户验收合格后的总价。是投标人响应项目要求的全部采购内容的价格体现，应包括但不限于完成本项目所涉及的人工劳务、货源组织、仓储、运输、配送、搬运及二次搬运、风险、保险、利润、招标代理服务费、验收、税费、售后服务以及国家规定的各项税费等一切费用。</w:t>
      </w:r>
    </w:p>
    <w:p>
      <w:pPr>
        <w:pStyle w:val="29"/>
        <w:ind w:left="0" w:leftChars="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2.“开标一览表”为多页的，每页均需由法定代表人或授权代表签字并盖投标人印章。</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以上表格如不能完全表达清楚投标人认为必要的费用明细，投标人可自行补充。</w:t>
      </w:r>
    </w:p>
    <w:p>
      <w:pPr>
        <w:pStyle w:val="2"/>
        <w:rPr>
          <w:color w:val="auto"/>
          <w:highlight w:val="none"/>
        </w:rPr>
      </w:pPr>
    </w:p>
    <w:p>
      <w:pPr>
        <w:widowControl/>
        <w:spacing w:after="0" w:line="360" w:lineRule="auto"/>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投标人名称：XXXX（单位公章）。</w:t>
      </w:r>
    </w:p>
    <w:p>
      <w:pPr>
        <w:widowControl/>
        <w:spacing w:after="0" w:line="360" w:lineRule="auto"/>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法定代表人/单位负责人或授权代表（签字或加盖个人名章）：XXXX。</w:t>
      </w:r>
    </w:p>
    <w:p>
      <w:pPr>
        <w:widowControl/>
        <w:spacing w:after="0" w:line="360" w:lineRule="auto"/>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日期：XXXX</w:t>
      </w:r>
    </w:p>
    <w:p>
      <w:pPr>
        <w:widowControl/>
        <w:spacing w:after="0" w:line="360" w:lineRule="auto"/>
        <w:jc w:val="center"/>
        <w:rPr>
          <w:rFonts w:ascii="仿宋" w:hAnsi="仿宋" w:eastAsia="仿宋" w:cs="仿宋"/>
          <w:b/>
          <w:color w:val="auto"/>
          <w:sz w:val="28"/>
          <w:szCs w:val="28"/>
          <w:highlight w:val="none"/>
        </w:rPr>
      </w:pPr>
    </w:p>
    <w:p>
      <w:pPr>
        <w:pStyle w:val="2"/>
        <w:rPr>
          <w:rFonts w:ascii="仿宋" w:hAnsi="仿宋" w:eastAsia="仿宋" w:cs="仿宋"/>
          <w:b/>
          <w:color w:val="auto"/>
          <w:highlight w:val="none"/>
        </w:rPr>
      </w:pPr>
    </w:p>
    <w:p>
      <w:pPr>
        <w:rPr>
          <w:color w:val="auto"/>
          <w:highlight w:val="none"/>
        </w:rPr>
      </w:pPr>
    </w:p>
    <w:p>
      <w:pPr>
        <w:widowControl/>
        <w:spacing w:after="0" w:line="360" w:lineRule="auto"/>
        <w:jc w:val="center"/>
        <w:outlineLvl w:val="2"/>
        <w:rPr>
          <w:rFonts w:ascii="仿宋" w:hAnsi="仿宋" w:eastAsia="仿宋" w:cs="仿宋"/>
          <w:b/>
          <w:color w:val="auto"/>
          <w:sz w:val="32"/>
          <w:szCs w:val="32"/>
          <w:highlight w:val="none"/>
        </w:rPr>
      </w:pPr>
      <w:r>
        <w:rPr>
          <w:rFonts w:hint="eastAsia" w:ascii="仿宋" w:hAnsi="仿宋" w:eastAsia="仿宋" w:cs="仿宋"/>
          <w:b/>
          <w:color w:val="auto"/>
          <w:sz w:val="28"/>
          <w:szCs w:val="28"/>
          <w:highlight w:val="none"/>
        </w:rPr>
        <w:t>二、分项报价明细表</w:t>
      </w:r>
    </w:p>
    <w:p>
      <w:pPr>
        <w:spacing w:after="0" w:line="360" w:lineRule="auto"/>
        <w:rPr>
          <w:rFonts w:ascii="仿宋" w:hAnsi="仿宋" w:eastAsia="仿宋" w:cs="仿宋"/>
          <w:bCs/>
          <w:color w:val="auto"/>
          <w:sz w:val="24"/>
          <w:highlight w:val="none"/>
        </w:rPr>
      </w:pPr>
    </w:p>
    <w:p>
      <w:pPr>
        <w:spacing w:after="0" w:line="360" w:lineRule="auto"/>
        <w:rPr>
          <w:rFonts w:ascii="仿宋" w:hAnsi="仿宋" w:eastAsia="仿宋" w:cs="仿宋"/>
          <w:b/>
          <w:color w:val="auto"/>
          <w:sz w:val="24"/>
          <w:highlight w:val="none"/>
        </w:rPr>
      </w:pPr>
    </w:p>
    <w:p>
      <w:pPr>
        <w:spacing w:after="0" w:line="360" w:lineRule="auto"/>
        <w:jc w:val="center"/>
        <w:rPr>
          <w:rFonts w:ascii="仿宋" w:hAnsi="仿宋" w:eastAsia="仿宋" w:cs="仿宋"/>
          <w:b/>
          <w:color w:val="auto"/>
          <w:sz w:val="24"/>
          <w:highlight w:val="none"/>
        </w:rPr>
      </w:pPr>
    </w:p>
    <w:p>
      <w:pPr>
        <w:spacing w:after="0"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24"/>
          <w:highlight w:val="none"/>
        </w:rPr>
        <w:t>（格式自拟）</w:t>
      </w:r>
    </w:p>
    <w:p>
      <w:pPr>
        <w:spacing w:after="0" w:line="360" w:lineRule="auto"/>
        <w:rPr>
          <w:rFonts w:ascii="仿宋" w:hAnsi="仿宋" w:eastAsia="仿宋" w:cs="仿宋"/>
          <w:b/>
          <w:bCs/>
          <w:color w:val="auto"/>
          <w:highlight w:val="none"/>
        </w:rPr>
      </w:pPr>
    </w:p>
    <w:p>
      <w:pPr>
        <w:spacing w:after="0" w:line="360" w:lineRule="auto"/>
        <w:rPr>
          <w:rFonts w:ascii="仿宋" w:hAnsi="仿宋" w:eastAsia="仿宋" w:cs="仿宋"/>
          <w:b/>
          <w:bCs/>
          <w:color w:val="auto"/>
          <w:highlight w:val="none"/>
        </w:rPr>
      </w:pPr>
    </w:p>
    <w:p>
      <w:pPr>
        <w:widowControl/>
        <w:spacing w:after="0"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注：1.投标人须报出投标总价的各个组成部分的报价。</w:t>
      </w:r>
    </w:p>
    <w:p>
      <w:pPr>
        <w:widowControl/>
        <w:spacing w:after="0" w:line="360" w:lineRule="auto"/>
        <w:ind w:firstLine="422" w:firstLineChars="200"/>
        <w:jc w:val="left"/>
        <w:rPr>
          <w:rFonts w:ascii="仿宋" w:hAnsi="仿宋" w:eastAsia="仿宋" w:cs="仿宋"/>
          <w:b/>
          <w:bCs/>
          <w:color w:val="auto"/>
          <w:highlight w:val="none"/>
        </w:rPr>
      </w:pPr>
      <w:r>
        <w:rPr>
          <w:rFonts w:hint="eastAsia" w:ascii="仿宋" w:hAnsi="仿宋" w:eastAsia="仿宋" w:cs="仿宋"/>
          <w:b/>
          <w:bCs/>
          <w:color w:val="auto"/>
          <w:highlight w:val="none"/>
        </w:rPr>
        <w:t>2.“分项报价明细表”各分项报价合计应当与“开标一览表”报价合计相等。</w:t>
      </w:r>
    </w:p>
    <w:p>
      <w:pPr>
        <w:widowControl/>
        <w:spacing w:after="0" w:line="360" w:lineRule="auto"/>
        <w:jc w:val="left"/>
        <w:rPr>
          <w:rFonts w:ascii="仿宋" w:hAnsi="仿宋" w:eastAsia="仿宋" w:cs="仿宋"/>
          <w:b/>
          <w:bCs/>
          <w:color w:val="auto"/>
          <w:highlight w:val="none"/>
        </w:rPr>
      </w:pP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投标人名称：XXXX（单位公章）。</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法定代表人/单位负责人或授权代表（签字或加盖个人名章）：XXXX。</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    期：XXXX。</w:t>
      </w:r>
    </w:p>
    <w:p>
      <w:pPr>
        <w:pStyle w:val="93"/>
        <w:spacing w:after="0" w:line="360" w:lineRule="auto"/>
        <w:jc w:val="center"/>
        <w:outlineLvl w:val="2"/>
        <w:rPr>
          <w:rStyle w:val="63"/>
          <w:rFonts w:ascii="仿宋" w:hAnsi="仿宋" w:eastAsia="仿宋" w:cs="仿宋"/>
          <w:color w:val="auto"/>
          <w:highlight w:val="none"/>
        </w:rPr>
      </w:pPr>
      <w:r>
        <w:rPr>
          <w:rFonts w:hint="eastAsia" w:ascii="仿宋" w:hAnsi="仿宋" w:eastAsia="仿宋" w:cs="仿宋"/>
          <w:color w:val="auto"/>
          <w:sz w:val="24"/>
          <w:highlight w:val="none"/>
        </w:rPr>
        <w:br w:type="page"/>
      </w:r>
      <w:bookmarkEnd w:id="153"/>
      <w:r>
        <w:rPr>
          <w:rStyle w:val="63"/>
          <w:rFonts w:hint="eastAsia" w:ascii="仿宋" w:hAnsi="仿宋" w:eastAsia="仿宋" w:cs="仿宋"/>
          <w:color w:val="auto"/>
          <w:highlight w:val="none"/>
        </w:rPr>
        <w:t>三、投标函</w:t>
      </w:r>
      <w:bookmarkEnd w:id="148"/>
      <w:bookmarkEnd w:id="149"/>
    </w:p>
    <w:p>
      <w:pPr>
        <w:spacing w:after="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利阳致诚国际项目管理有限公司</w:t>
      </w:r>
      <w:r>
        <w:rPr>
          <w:rFonts w:hint="eastAsia" w:ascii="仿宋" w:hAnsi="仿宋" w:eastAsia="仿宋" w:cs="仿宋"/>
          <w:color w:val="auto"/>
          <w:sz w:val="24"/>
          <w:highlight w:val="none"/>
        </w:rPr>
        <w:t>（采购代理机构名称）：</w:t>
      </w:r>
    </w:p>
    <w:p>
      <w:pPr>
        <w:widowControl/>
        <w:spacing w:after="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我方全面研究了“</w:t>
      </w:r>
      <w:r>
        <w:rPr>
          <w:rFonts w:hint="eastAsia" w:ascii="仿宋" w:hAnsi="仿宋" w:eastAsia="仿宋" w:cs="仿宋"/>
          <w:color w:val="auto"/>
          <w:sz w:val="24"/>
          <w:highlight w:val="none"/>
          <w:u w:val="single"/>
        </w:rPr>
        <w:t>XXXXXXXX</w:t>
      </w:r>
      <w:r>
        <w:rPr>
          <w:rFonts w:hint="eastAsia" w:ascii="仿宋" w:hAnsi="仿宋" w:eastAsia="仿宋" w:cs="仿宋"/>
          <w:color w:val="auto"/>
          <w:sz w:val="24"/>
          <w:highlight w:val="none"/>
        </w:rPr>
        <w:t>”项目（招标编号：</w:t>
      </w:r>
      <w:r>
        <w:rPr>
          <w:rFonts w:hint="eastAsia" w:ascii="仿宋" w:hAnsi="仿宋" w:eastAsia="仿宋" w:cs="仿宋"/>
          <w:color w:val="auto"/>
          <w:sz w:val="24"/>
          <w:highlight w:val="none"/>
          <w:u w:val="single"/>
        </w:rPr>
        <w:t>XXXX</w:t>
      </w:r>
      <w:r>
        <w:rPr>
          <w:rFonts w:hint="eastAsia" w:ascii="仿宋" w:hAnsi="仿宋" w:eastAsia="仿宋" w:cs="仿宋"/>
          <w:color w:val="auto"/>
          <w:sz w:val="24"/>
          <w:highlight w:val="none"/>
        </w:rPr>
        <w:t>）招标文件，决定参加贵单位组织的本项目投标。我方授权</w:t>
      </w:r>
      <w:r>
        <w:rPr>
          <w:rFonts w:hint="eastAsia" w:ascii="仿宋" w:hAnsi="仿宋" w:eastAsia="仿宋" w:cs="仿宋"/>
          <w:color w:val="auto"/>
          <w:sz w:val="24"/>
          <w:highlight w:val="none"/>
          <w:u w:val="single"/>
        </w:rPr>
        <w:t xml:space="preserve">XXXX </w:t>
      </w:r>
      <w:r>
        <w:rPr>
          <w:rFonts w:hint="eastAsia" w:ascii="仿宋" w:hAnsi="仿宋" w:eastAsia="仿宋" w:cs="仿宋"/>
          <w:color w:val="auto"/>
          <w:sz w:val="24"/>
          <w:highlight w:val="none"/>
        </w:rPr>
        <w:t>（姓名、职务）代表我方</w:t>
      </w:r>
      <w:r>
        <w:rPr>
          <w:rFonts w:hint="eastAsia" w:ascii="仿宋" w:hAnsi="仿宋" w:eastAsia="仿宋" w:cs="仿宋"/>
          <w:color w:val="auto"/>
          <w:sz w:val="24"/>
          <w:highlight w:val="none"/>
          <w:u w:val="single"/>
        </w:rPr>
        <w:t>XXXXXXXX</w:t>
      </w:r>
      <w:r>
        <w:rPr>
          <w:rFonts w:hint="eastAsia" w:ascii="仿宋" w:hAnsi="仿宋" w:eastAsia="仿宋" w:cs="仿宋"/>
          <w:color w:val="auto"/>
          <w:sz w:val="24"/>
          <w:highlight w:val="none"/>
        </w:rPr>
        <w:t>（投标单位的名称）全权处理本项目投标的有关事宜。</w:t>
      </w:r>
    </w:p>
    <w:p>
      <w:pPr>
        <w:widowControl/>
        <w:spacing w:after="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一、我方自愿按照招标文件规定的各项要求向采购人提供所需</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，总投标价为“开标一览表”中所述价格。</w:t>
      </w:r>
    </w:p>
    <w:p>
      <w:pPr>
        <w:widowControl/>
        <w:spacing w:after="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二、一旦我方中标，我方将严格履行政府采购合同规定的责任和义务。</w:t>
      </w:r>
    </w:p>
    <w:p>
      <w:pPr>
        <w:widowControl/>
        <w:spacing w:after="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三、我方同意本次招标的投标有效期为投标截止之日起</w:t>
      </w:r>
      <w:r>
        <w:rPr>
          <w:rFonts w:hint="eastAsia" w:ascii="仿宋" w:hAnsi="仿宋" w:eastAsia="仿宋" w:cs="仿宋"/>
          <w:color w:val="auto"/>
          <w:sz w:val="24"/>
          <w:highlight w:val="none"/>
          <w:u w:val="single"/>
        </w:rPr>
        <w:t xml:space="preserve">  90  </w:t>
      </w:r>
      <w:r>
        <w:rPr>
          <w:rFonts w:hint="eastAsia" w:ascii="仿宋" w:hAnsi="仿宋" w:eastAsia="仿宋" w:cs="仿宋"/>
          <w:color w:val="auto"/>
          <w:sz w:val="24"/>
          <w:highlight w:val="none"/>
        </w:rPr>
        <w:t>天，并满足招标文件中其他关于投标有效期的实质性要求。</w:t>
      </w:r>
    </w:p>
    <w:p>
      <w:pPr>
        <w:widowControl/>
        <w:spacing w:after="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四、我方愿意提供贵单位可能另外要求的，与投标有关的文件资料，并保证我方已提供和将要提供的文件资料是真实、准确的。</w:t>
      </w:r>
    </w:p>
    <w:p>
      <w:pPr>
        <w:widowControl/>
        <w:spacing w:after="0" w:line="360" w:lineRule="auto"/>
        <w:ind w:firstLine="470" w:firstLineChars="196"/>
        <w:jc w:val="left"/>
        <w:rPr>
          <w:rFonts w:ascii="仿宋" w:hAnsi="仿宋" w:eastAsia="仿宋" w:cs="仿宋"/>
          <w:color w:val="auto"/>
          <w:sz w:val="24"/>
          <w:highlight w:val="none"/>
        </w:rPr>
      </w:pPr>
    </w:p>
    <w:p>
      <w:pPr>
        <w:widowControl/>
        <w:spacing w:after="0" w:line="360" w:lineRule="auto"/>
        <w:ind w:firstLine="470" w:firstLineChars="196"/>
        <w:jc w:val="left"/>
        <w:rPr>
          <w:rFonts w:ascii="仿宋" w:hAnsi="仿宋" w:eastAsia="仿宋" w:cs="仿宋"/>
          <w:color w:val="auto"/>
          <w:sz w:val="24"/>
          <w:highlight w:val="none"/>
        </w:rPr>
      </w:pPr>
    </w:p>
    <w:p>
      <w:pPr>
        <w:widowControl/>
        <w:spacing w:after="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投标人名称：（单位公章）</w:t>
      </w:r>
    </w:p>
    <w:p>
      <w:pPr>
        <w:widowControl/>
        <w:spacing w:after="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通讯地址：</w:t>
      </w:r>
    </w:p>
    <w:p>
      <w:pPr>
        <w:widowControl/>
        <w:spacing w:after="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p>
      <w:pPr>
        <w:widowControl/>
        <w:spacing w:after="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widowControl/>
        <w:spacing w:after="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传    真：</w:t>
      </w:r>
    </w:p>
    <w:p>
      <w:pPr>
        <w:widowControl/>
        <w:spacing w:after="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日    期：年月日</w:t>
      </w:r>
    </w:p>
    <w:p>
      <w:pPr>
        <w:spacing w:after="0" w:line="360" w:lineRule="auto"/>
        <w:jc w:val="center"/>
        <w:outlineLvl w:val="2"/>
        <w:rPr>
          <w:rStyle w:val="63"/>
          <w:rFonts w:ascii="仿宋" w:hAnsi="仿宋" w:eastAsia="仿宋" w:cs="仿宋"/>
          <w:color w:val="auto"/>
          <w:highlight w:val="none"/>
        </w:rPr>
      </w:pPr>
      <w:bookmarkStart w:id="154" w:name="_Toc308164824"/>
      <w:r>
        <w:rPr>
          <w:rFonts w:hint="eastAsia" w:ascii="仿宋" w:hAnsi="仿宋" w:eastAsia="仿宋" w:cs="仿宋"/>
          <w:b/>
          <w:color w:val="auto"/>
          <w:sz w:val="24"/>
          <w:highlight w:val="none"/>
        </w:rPr>
        <w:br w:type="page"/>
      </w:r>
      <w:r>
        <w:rPr>
          <w:rStyle w:val="63"/>
          <w:rFonts w:hint="eastAsia" w:ascii="仿宋" w:hAnsi="仿宋" w:eastAsia="仿宋" w:cs="仿宋"/>
          <w:color w:val="auto"/>
          <w:highlight w:val="none"/>
        </w:rPr>
        <w:t>四、商务应答表</w:t>
      </w:r>
    </w:p>
    <w:p>
      <w:pPr>
        <w:widowControl/>
        <w:spacing w:after="0" w:line="360" w:lineRule="auto"/>
        <w:jc w:val="center"/>
        <w:rPr>
          <w:rFonts w:ascii="仿宋" w:hAnsi="仿宋" w:eastAsia="仿宋" w:cs="仿宋"/>
          <w:b/>
          <w:color w:val="auto"/>
          <w:sz w:val="24"/>
          <w:highlight w:val="none"/>
        </w:rPr>
      </w:pPr>
    </w:p>
    <w:p>
      <w:pPr>
        <w:widowControl/>
        <w:spacing w:after="0"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p>
      <w:pPr>
        <w:widowControl/>
        <w:spacing w:after="0"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项目编号：</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010"/>
        <w:gridCol w:w="2214"/>
        <w:gridCol w:w="1863"/>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vAlign w:val="center"/>
          </w:tcPr>
          <w:p>
            <w:pPr>
              <w:widowControl/>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010" w:type="dxa"/>
            <w:vAlign w:val="center"/>
          </w:tcPr>
          <w:p>
            <w:pPr>
              <w:widowControl/>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招标文件条目号</w:t>
            </w:r>
          </w:p>
        </w:tc>
        <w:tc>
          <w:tcPr>
            <w:tcW w:w="2214" w:type="dxa"/>
            <w:vAlign w:val="center"/>
          </w:tcPr>
          <w:p>
            <w:pPr>
              <w:widowControl/>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招标要求</w:t>
            </w:r>
          </w:p>
        </w:tc>
        <w:tc>
          <w:tcPr>
            <w:tcW w:w="1863" w:type="dxa"/>
            <w:vAlign w:val="center"/>
          </w:tcPr>
          <w:p>
            <w:pPr>
              <w:widowControl/>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投标应答</w:t>
            </w:r>
          </w:p>
        </w:tc>
        <w:tc>
          <w:tcPr>
            <w:tcW w:w="2168" w:type="dxa"/>
            <w:vAlign w:val="center"/>
          </w:tcPr>
          <w:p>
            <w:pPr>
              <w:widowControl/>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偏离情况（正偏离或负偏离或无偏离）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vAlign w:val="center"/>
          </w:tcPr>
          <w:p>
            <w:pPr>
              <w:widowControl/>
              <w:spacing w:after="0" w:line="360" w:lineRule="auto"/>
              <w:jc w:val="center"/>
              <w:rPr>
                <w:rFonts w:ascii="仿宋" w:hAnsi="仿宋" w:eastAsia="仿宋" w:cs="仿宋"/>
                <w:color w:val="auto"/>
                <w:szCs w:val="21"/>
                <w:highlight w:val="none"/>
              </w:rPr>
            </w:pPr>
          </w:p>
        </w:tc>
        <w:tc>
          <w:tcPr>
            <w:tcW w:w="2010" w:type="dxa"/>
            <w:vAlign w:val="center"/>
          </w:tcPr>
          <w:p>
            <w:pPr>
              <w:widowControl/>
              <w:spacing w:after="0" w:line="360" w:lineRule="auto"/>
              <w:jc w:val="center"/>
              <w:rPr>
                <w:rFonts w:ascii="仿宋" w:hAnsi="仿宋" w:eastAsia="仿宋" w:cs="仿宋"/>
                <w:color w:val="auto"/>
                <w:szCs w:val="21"/>
                <w:highlight w:val="none"/>
              </w:rPr>
            </w:pPr>
          </w:p>
        </w:tc>
        <w:tc>
          <w:tcPr>
            <w:tcW w:w="2214" w:type="dxa"/>
            <w:vAlign w:val="center"/>
          </w:tcPr>
          <w:p>
            <w:pPr>
              <w:widowControl/>
              <w:spacing w:after="0" w:line="360" w:lineRule="auto"/>
              <w:jc w:val="center"/>
              <w:rPr>
                <w:rFonts w:ascii="仿宋" w:hAnsi="仿宋" w:eastAsia="仿宋" w:cs="仿宋"/>
                <w:color w:val="auto"/>
                <w:szCs w:val="21"/>
                <w:highlight w:val="none"/>
              </w:rPr>
            </w:pPr>
          </w:p>
        </w:tc>
        <w:tc>
          <w:tcPr>
            <w:tcW w:w="1863" w:type="dxa"/>
            <w:vAlign w:val="center"/>
          </w:tcPr>
          <w:p>
            <w:pPr>
              <w:widowControl/>
              <w:spacing w:after="0" w:line="360" w:lineRule="auto"/>
              <w:jc w:val="center"/>
              <w:rPr>
                <w:rFonts w:ascii="仿宋" w:hAnsi="仿宋" w:eastAsia="仿宋" w:cs="仿宋"/>
                <w:color w:val="auto"/>
                <w:szCs w:val="21"/>
                <w:highlight w:val="none"/>
              </w:rPr>
            </w:pPr>
          </w:p>
        </w:tc>
        <w:tc>
          <w:tcPr>
            <w:tcW w:w="2168" w:type="dxa"/>
            <w:vAlign w:val="center"/>
          </w:tcPr>
          <w:p>
            <w:pPr>
              <w:widowControl/>
              <w:spacing w:after="0"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vAlign w:val="center"/>
          </w:tcPr>
          <w:p>
            <w:pPr>
              <w:widowControl/>
              <w:spacing w:after="0" w:line="360" w:lineRule="auto"/>
              <w:jc w:val="center"/>
              <w:rPr>
                <w:rFonts w:ascii="仿宋" w:hAnsi="仿宋" w:eastAsia="仿宋" w:cs="仿宋"/>
                <w:color w:val="auto"/>
                <w:szCs w:val="21"/>
                <w:highlight w:val="none"/>
              </w:rPr>
            </w:pPr>
          </w:p>
        </w:tc>
        <w:tc>
          <w:tcPr>
            <w:tcW w:w="2010" w:type="dxa"/>
            <w:vAlign w:val="center"/>
          </w:tcPr>
          <w:p>
            <w:pPr>
              <w:widowControl/>
              <w:spacing w:after="0" w:line="360" w:lineRule="auto"/>
              <w:jc w:val="center"/>
              <w:rPr>
                <w:rFonts w:ascii="仿宋" w:hAnsi="仿宋" w:eastAsia="仿宋" w:cs="仿宋"/>
                <w:color w:val="auto"/>
                <w:szCs w:val="21"/>
                <w:highlight w:val="none"/>
              </w:rPr>
            </w:pPr>
          </w:p>
        </w:tc>
        <w:tc>
          <w:tcPr>
            <w:tcW w:w="2214" w:type="dxa"/>
            <w:vAlign w:val="center"/>
          </w:tcPr>
          <w:p>
            <w:pPr>
              <w:widowControl/>
              <w:spacing w:after="0" w:line="360" w:lineRule="auto"/>
              <w:jc w:val="center"/>
              <w:rPr>
                <w:rFonts w:ascii="仿宋" w:hAnsi="仿宋" w:eastAsia="仿宋" w:cs="仿宋"/>
                <w:color w:val="auto"/>
                <w:szCs w:val="21"/>
                <w:highlight w:val="none"/>
              </w:rPr>
            </w:pPr>
          </w:p>
        </w:tc>
        <w:tc>
          <w:tcPr>
            <w:tcW w:w="1863" w:type="dxa"/>
            <w:vAlign w:val="center"/>
          </w:tcPr>
          <w:p>
            <w:pPr>
              <w:widowControl/>
              <w:spacing w:after="0" w:line="360" w:lineRule="auto"/>
              <w:jc w:val="center"/>
              <w:rPr>
                <w:rFonts w:ascii="仿宋" w:hAnsi="仿宋" w:eastAsia="仿宋" w:cs="仿宋"/>
                <w:color w:val="auto"/>
                <w:szCs w:val="21"/>
                <w:highlight w:val="none"/>
              </w:rPr>
            </w:pPr>
          </w:p>
        </w:tc>
        <w:tc>
          <w:tcPr>
            <w:tcW w:w="2168" w:type="dxa"/>
            <w:vAlign w:val="center"/>
          </w:tcPr>
          <w:p>
            <w:pPr>
              <w:widowControl/>
              <w:spacing w:after="0"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vAlign w:val="center"/>
          </w:tcPr>
          <w:p>
            <w:pPr>
              <w:widowControl/>
              <w:spacing w:after="0" w:line="360" w:lineRule="auto"/>
              <w:jc w:val="center"/>
              <w:rPr>
                <w:rFonts w:ascii="仿宋" w:hAnsi="仿宋" w:eastAsia="仿宋" w:cs="仿宋"/>
                <w:color w:val="auto"/>
                <w:szCs w:val="21"/>
                <w:highlight w:val="none"/>
              </w:rPr>
            </w:pPr>
          </w:p>
        </w:tc>
        <w:tc>
          <w:tcPr>
            <w:tcW w:w="2010" w:type="dxa"/>
            <w:vAlign w:val="center"/>
          </w:tcPr>
          <w:p>
            <w:pPr>
              <w:widowControl/>
              <w:spacing w:after="0" w:line="360" w:lineRule="auto"/>
              <w:jc w:val="center"/>
              <w:rPr>
                <w:rFonts w:ascii="仿宋" w:hAnsi="仿宋" w:eastAsia="仿宋" w:cs="仿宋"/>
                <w:color w:val="auto"/>
                <w:szCs w:val="21"/>
                <w:highlight w:val="none"/>
              </w:rPr>
            </w:pPr>
          </w:p>
        </w:tc>
        <w:tc>
          <w:tcPr>
            <w:tcW w:w="2214" w:type="dxa"/>
            <w:vAlign w:val="center"/>
          </w:tcPr>
          <w:p>
            <w:pPr>
              <w:widowControl/>
              <w:spacing w:after="0" w:line="360" w:lineRule="auto"/>
              <w:jc w:val="center"/>
              <w:rPr>
                <w:rFonts w:ascii="仿宋" w:hAnsi="仿宋" w:eastAsia="仿宋" w:cs="仿宋"/>
                <w:color w:val="auto"/>
                <w:szCs w:val="21"/>
                <w:highlight w:val="none"/>
              </w:rPr>
            </w:pPr>
          </w:p>
        </w:tc>
        <w:tc>
          <w:tcPr>
            <w:tcW w:w="1863" w:type="dxa"/>
            <w:vAlign w:val="center"/>
          </w:tcPr>
          <w:p>
            <w:pPr>
              <w:widowControl/>
              <w:spacing w:after="0" w:line="360" w:lineRule="auto"/>
              <w:jc w:val="center"/>
              <w:rPr>
                <w:rFonts w:ascii="仿宋" w:hAnsi="仿宋" w:eastAsia="仿宋" w:cs="仿宋"/>
                <w:color w:val="auto"/>
                <w:szCs w:val="21"/>
                <w:highlight w:val="none"/>
              </w:rPr>
            </w:pPr>
          </w:p>
        </w:tc>
        <w:tc>
          <w:tcPr>
            <w:tcW w:w="2168" w:type="dxa"/>
            <w:vAlign w:val="center"/>
          </w:tcPr>
          <w:p>
            <w:pPr>
              <w:widowControl/>
              <w:spacing w:after="0" w:line="36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vAlign w:val="center"/>
          </w:tcPr>
          <w:p>
            <w:pPr>
              <w:widowControl/>
              <w:spacing w:after="0" w:line="360" w:lineRule="auto"/>
              <w:jc w:val="center"/>
              <w:rPr>
                <w:rFonts w:ascii="仿宋" w:hAnsi="仿宋" w:eastAsia="仿宋" w:cs="仿宋"/>
                <w:color w:val="auto"/>
                <w:szCs w:val="21"/>
                <w:highlight w:val="none"/>
              </w:rPr>
            </w:pPr>
          </w:p>
        </w:tc>
        <w:tc>
          <w:tcPr>
            <w:tcW w:w="2010" w:type="dxa"/>
            <w:vAlign w:val="center"/>
          </w:tcPr>
          <w:p>
            <w:pPr>
              <w:widowControl/>
              <w:spacing w:after="0" w:line="360" w:lineRule="auto"/>
              <w:jc w:val="center"/>
              <w:rPr>
                <w:rFonts w:ascii="仿宋" w:hAnsi="仿宋" w:eastAsia="仿宋" w:cs="仿宋"/>
                <w:color w:val="auto"/>
                <w:szCs w:val="21"/>
                <w:highlight w:val="none"/>
              </w:rPr>
            </w:pPr>
          </w:p>
        </w:tc>
        <w:tc>
          <w:tcPr>
            <w:tcW w:w="2214" w:type="dxa"/>
            <w:vAlign w:val="center"/>
          </w:tcPr>
          <w:p>
            <w:pPr>
              <w:widowControl/>
              <w:spacing w:after="0" w:line="360" w:lineRule="auto"/>
              <w:jc w:val="center"/>
              <w:rPr>
                <w:rFonts w:ascii="仿宋" w:hAnsi="仿宋" w:eastAsia="仿宋" w:cs="仿宋"/>
                <w:color w:val="auto"/>
                <w:szCs w:val="21"/>
                <w:highlight w:val="none"/>
              </w:rPr>
            </w:pPr>
          </w:p>
        </w:tc>
        <w:tc>
          <w:tcPr>
            <w:tcW w:w="1863" w:type="dxa"/>
            <w:vAlign w:val="center"/>
          </w:tcPr>
          <w:p>
            <w:pPr>
              <w:widowControl/>
              <w:spacing w:after="0" w:line="360" w:lineRule="auto"/>
              <w:jc w:val="center"/>
              <w:rPr>
                <w:rFonts w:ascii="仿宋" w:hAnsi="仿宋" w:eastAsia="仿宋" w:cs="仿宋"/>
                <w:color w:val="auto"/>
                <w:szCs w:val="21"/>
                <w:highlight w:val="none"/>
              </w:rPr>
            </w:pPr>
          </w:p>
        </w:tc>
        <w:tc>
          <w:tcPr>
            <w:tcW w:w="2168" w:type="dxa"/>
            <w:vAlign w:val="center"/>
          </w:tcPr>
          <w:p>
            <w:pPr>
              <w:widowControl/>
              <w:spacing w:after="0" w:line="360" w:lineRule="auto"/>
              <w:jc w:val="center"/>
              <w:rPr>
                <w:rFonts w:ascii="仿宋" w:hAnsi="仿宋" w:eastAsia="仿宋" w:cs="仿宋"/>
                <w:color w:val="auto"/>
                <w:szCs w:val="21"/>
                <w:highlight w:val="none"/>
              </w:rPr>
            </w:pPr>
          </w:p>
        </w:tc>
      </w:tr>
    </w:tbl>
    <w:p>
      <w:pPr>
        <w:widowControl/>
        <w:spacing w:after="0" w:line="360" w:lineRule="auto"/>
        <w:ind w:firstLine="482" w:firstLineChars="200"/>
        <w:jc w:val="left"/>
        <w:rPr>
          <w:rFonts w:hint="eastAsia" w:ascii="仿宋" w:hAnsi="仿宋" w:eastAsia="仿宋" w:cs="仿宋"/>
          <w:b/>
          <w:bCs/>
          <w:color w:val="auto"/>
          <w:sz w:val="24"/>
          <w:highlight w:val="none"/>
        </w:rPr>
      </w:pPr>
    </w:p>
    <w:p>
      <w:pPr>
        <w:widowControl/>
        <w:spacing w:after="0"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注：</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1、以上表格格式可增减。</w:t>
      </w:r>
    </w:p>
    <w:p>
      <w:pPr>
        <w:widowControl/>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w:t>
      </w:r>
      <w:r>
        <w:rPr>
          <w:rFonts w:ascii="仿宋" w:hAnsi="仿宋" w:eastAsia="仿宋"/>
          <w:color w:val="auto"/>
          <w:sz w:val="24"/>
          <w:highlight w:val="none"/>
        </w:rPr>
        <w:t xml:space="preserve"> </w:t>
      </w:r>
      <w:r>
        <w:rPr>
          <w:rFonts w:hint="eastAsia" w:ascii="仿宋" w:hAnsi="仿宋" w:eastAsia="仿宋"/>
          <w:color w:val="auto"/>
          <w:sz w:val="24"/>
          <w:highlight w:val="none"/>
        </w:rPr>
        <w:t>供应商必须把招标文件</w:t>
      </w:r>
      <w:r>
        <w:rPr>
          <w:rFonts w:hint="eastAsia" w:ascii="仿宋" w:hAnsi="仿宋" w:eastAsia="仿宋"/>
          <w:b w:val="0"/>
          <w:bCs w:val="0"/>
          <w:color w:val="auto"/>
          <w:sz w:val="24"/>
          <w:highlight w:val="none"/>
        </w:rPr>
        <w:t>第</w:t>
      </w:r>
      <w:r>
        <w:rPr>
          <w:rFonts w:hint="eastAsia" w:ascii="仿宋" w:hAnsi="仿宋" w:eastAsia="仿宋"/>
          <w:b w:val="0"/>
          <w:bCs w:val="0"/>
          <w:color w:val="auto"/>
          <w:sz w:val="24"/>
          <w:highlight w:val="none"/>
          <w:lang w:eastAsia="zh-CN"/>
        </w:rPr>
        <w:t>四</w:t>
      </w:r>
      <w:r>
        <w:rPr>
          <w:rFonts w:hint="eastAsia" w:ascii="仿宋" w:hAnsi="仿宋" w:eastAsia="仿宋"/>
          <w:b w:val="0"/>
          <w:bCs w:val="0"/>
          <w:color w:val="auto"/>
          <w:sz w:val="24"/>
          <w:highlight w:val="none"/>
        </w:rPr>
        <w:t>章</w:t>
      </w:r>
      <w:r>
        <w:rPr>
          <w:rFonts w:hint="eastAsia" w:ascii="仿宋" w:hAnsi="仿宋" w:eastAsia="仿宋"/>
          <w:b w:val="0"/>
          <w:bCs w:val="0"/>
          <w:color w:val="auto"/>
          <w:sz w:val="24"/>
          <w:highlight w:val="none"/>
          <w:lang w:val="en-US" w:eastAsia="zh-CN"/>
        </w:rPr>
        <w:t xml:space="preserve"> “五、商务要求”</w:t>
      </w:r>
      <w:r>
        <w:rPr>
          <w:rFonts w:hint="eastAsia" w:ascii="仿宋" w:hAnsi="仿宋" w:eastAsia="仿宋"/>
          <w:b w:val="0"/>
          <w:bCs w:val="0"/>
          <w:color w:val="auto"/>
          <w:sz w:val="24"/>
          <w:highlight w:val="none"/>
        </w:rPr>
        <w:t>全部要求</w:t>
      </w:r>
      <w:r>
        <w:rPr>
          <w:rFonts w:hint="eastAsia" w:ascii="仿宋" w:hAnsi="仿宋" w:eastAsia="仿宋"/>
          <w:color w:val="auto"/>
          <w:sz w:val="24"/>
          <w:highlight w:val="none"/>
        </w:rPr>
        <w:t>列入此表。</w:t>
      </w:r>
    </w:p>
    <w:p>
      <w:pPr>
        <w:widowControl/>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．按照招标项目的顺序逐条对应填写。</w:t>
      </w:r>
    </w:p>
    <w:p>
      <w:pPr>
        <w:adjustRightInd w:val="0"/>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．供应商必须据实填写，不得虚假填写，否则将取消其投标或中标资格。</w:t>
      </w:r>
    </w:p>
    <w:p>
      <w:pPr>
        <w:adjustRightInd w:val="0"/>
        <w:spacing w:after="0" w:line="360" w:lineRule="auto"/>
        <w:ind w:firstLine="480" w:firstLineChars="200"/>
        <w:jc w:val="left"/>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spacing w:after="0" w:line="360" w:lineRule="auto"/>
        <w:jc w:val="center"/>
        <w:outlineLvl w:val="2"/>
        <w:rPr>
          <w:rStyle w:val="63"/>
          <w:rFonts w:ascii="仿宋" w:hAnsi="仿宋" w:eastAsia="仿宋" w:cs="仿宋"/>
          <w:color w:val="auto"/>
          <w:highlight w:val="none"/>
        </w:rPr>
      </w:pPr>
      <w:r>
        <w:rPr>
          <w:rFonts w:hint="eastAsia" w:ascii="仿宋" w:hAnsi="仿宋" w:eastAsia="仿宋" w:cs="仿宋"/>
          <w:color w:val="auto"/>
          <w:sz w:val="24"/>
          <w:highlight w:val="none"/>
        </w:rPr>
        <w:br w:type="page"/>
      </w:r>
      <w:r>
        <w:rPr>
          <w:rStyle w:val="63"/>
          <w:rFonts w:hint="eastAsia" w:ascii="仿宋" w:hAnsi="仿宋" w:eastAsia="仿宋" w:cs="仿宋"/>
          <w:color w:val="auto"/>
          <w:highlight w:val="none"/>
        </w:rPr>
        <w:t>五、投标人基本情况表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99"/>
        <w:gridCol w:w="1068"/>
        <w:gridCol w:w="1382"/>
        <w:gridCol w:w="1394"/>
        <w:gridCol w:w="1473"/>
        <w:gridCol w:w="176"/>
        <w:gridCol w:w="772"/>
        <w:gridCol w:w="12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9"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7473" w:type="dxa"/>
            <w:gridSpan w:val="7"/>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9"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844" w:type="dxa"/>
            <w:gridSpan w:val="3"/>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473"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156" w:type="dxa"/>
            <w:gridSpan w:val="3"/>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9" w:type="dxa"/>
            <w:vMerge w:val="restart"/>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1068"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776" w:type="dxa"/>
            <w:gridSpan w:val="2"/>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473" w:type="dxa"/>
            <w:vAlign w:val="center"/>
          </w:tcPr>
          <w:p>
            <w:pPr>
              <w:widowControl/>
              <w:spacing w:after="0" w:line="360" w:lineRule="auto"/>
              <w:ind w:firstLine="411" w:firstLineChars="196"/>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2156" w:type="dxa"/>
            <w:gridSpan w:val="3"/>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9" w:type="dxa"/>
            <w:vMerge w:val="continue"/>
            <w:vAlign w:val="center"/>
          </w:tcPr>
          <w:p>
            <w:pPr>
              <w:spacing w:after="0" w:line="360" w:lineRule="auto"/>
              <w:jc w:val="center"/>
              <w:rPr>
                <w:rFonts w:ascii="仿宋" w:hAnsi="仿宋" w:eastAsia="仿宋" w:cs="仿宋"/>
                <w:color w:val="auto"/>
                <w:szCs w:val="21"/>
                <w:highlight w:val="none"/>
              </w:rPr>
            </w:pPr>
          </w:p>
        </w:tc>
        <w:tc>
          <w:tcPr>
            <w:tcW w:w="1068"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776" w:type="dxa"/>
            <w:gridSpan w:val="2"/>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473" w:type="dxa"/>
            <w:vAlign w:val="center"/>
          </w:tcPr>
          <w:p>
            <w:pPr>
              <w:widowControl/>
              <w:spacing w:after="0" w:line="360" w:lineRule="auto"/>
              <w:ind w:firstLine="411" w:firstLineChars="196"/>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2156" w:type="dxa"/>
            <w:gridSpan w:val="3"/>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9"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组织结构</w:t>
            </w:r>
          </w:p>
        </w:tc>
        <w:tc>
          <w:tcPr>
            <w:tcW w:w="7473" w:type="dxa"/>
            <w:gridSpan w:val="7"/>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9"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法定代表人/单位负责人</w:t>
            </w:r>
          </w:p>
        </w:tc>
        <w:tc>
          <w:tcPr>
            <w:tcW w:w="1068"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382"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394"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473"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948" w:type="dxa"/>
            <w:gridSpan w:val="2"/>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08"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9"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1068"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382"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394"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473"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948" w:type="dxa"/>
            <w:gridSpan w:val="2"/>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08"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9"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450" w:type="dxa"/>
            <w:gridSpan w:val="2"/>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5023" w:type="dxa"/>
            <w:gridSpan w:val="5"/>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9"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450" w:type="dxa"/>
            <w:gridSpan w:val="2"/>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394" w:type="dxa"/>
            <w:vMerge w:val="restart"/>
            <w:vAlign w:val="center"/>
          </w:tcPr>
          <w:p>
            <w:pPr>
              <w:widowControl/>
              <w:spacing w:after="0" w:line="360" w:lineRule="auto"/>
              <w:ind w:firstLine="411" w:firstLineChars="196"/>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1649" w:type="dxa"/>
            <w:gridSpan w:val="2"/>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1980" w:type="dxa"/>
            <w:gridSpan w:val="2"/>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9"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450" w:type="dxa"/>
            <w:gridSpan w:val="2"/>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394" w:type="dxa"/>
            <w:vMerge w:val="continue"/>
            <w:vAlign w:val="center"/>
          </w:tcPr>
          <w:p>
            <w:pPr>
              <w:spacing w:after="0" w:line="360" w:lineRule="auto"/>
              <w:jc w:val="center"/>
              <w:rPr>
                <w:rFonts w:ascii="仿宋" w:hAnsi="仿宋" w:eastAsia="仿宋" w:cs="仿宋"/>
                <w:color w:val="auto"/>
                <w:szCs w:val="21"/>
                <w:highlight w:val="none"/>
              </w:rPr>
            </w:pPr>
          </w:p>
        </w:tc>
        <w:tc>
          <w:tcPr>
            <w:tcW w:w="1649" w:type="dxa"/>
            <w:gridSpan w:val="2"/>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1980" w:type="dxa"/>
            <w:gridSpan w:val="2"/>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9"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450" w:type="dxa"/>
            <w:gridSpan w:val="2"/>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394" w:type="dxa"/>
            <w:vMerge w:val="continue"/>
            <w:vAlign w:val="center"/>
          </w:tcPr>
          <w:p>
            <w:pPr>
              <w:spacing w:after="0" w:line="360" w:lineRule="auto"/>
              <w:jc w:val="center"/>
              <w:rPr>
                <w:rFonts w:ascii="仿宋" w:hAnsi="仿宋" w:eastAsia="仿宋" w:cs="仿宋"/>
                <w:color w:val="auto"/>
                <w:szCs w:val="21"/>
                <w:highlight w:val="none"/>
              </w:rPr>
            </w:pPr>
          </w:p>
        </w:tc>
        <w:tc>
          <w:tcPr>
            <w:tcW w:w="1649" w:type="dxa"/>
            <w:gridSpan w:val="2"/>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1980" w:type="dxa"/>
            <w:gridSpan w:val="2"/>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9"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450" w:type="dxa"/>
            <w:gridSpan w:val="2"/>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394" w:type="dxa"/>
            <w:vMerge w:val="continue"/>
            <w:vAlign w:val="center"/>
          </w:tcPr>
          <w:p>
            <w:pPr>
              <w:spacing w:after="0" w:line="360" w:lineRule="auto"/>
              <w:jc w:val="center"/>
              <w:rPr>
                <w:rFonts w:ascii="仿宋" w:hAnsi="仿宋" w:eastAsia="仿宋" w:cs="仿宋"/>
                <w:color w:val="auto"/>
                <w:szCs w:val="21"/>
                <w:highlight w:val="none"/>
              </w:rPr>
            </w:pPr>
          </w:p>
        </w:tc>
        <w:tc>
          <w:tcPr>
            <w:tcW w:w="1649" w:type="dxa"/>
            <w:gridSpan w:val="2"/>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1980" w:type="dxa"/>
            <w:gridSpan w:val="2"/>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9" w:type="dxa"/>
            <w:vAlign w:val="center"/>
          </w:tcPr>
          <w:p>
            <w:pPr>
              <w:widowControl/>
              <w:spacing w:after="0" w:line="360" w:lineRule="auto"/>
              <w:ind w:firstLine="411" w:firstLineChars="196"/>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450" w:type="dxa"/>
            <w:gridSpan w:val="2"/>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394" w:type="dxa"/>
            <w:vMerge w:val="continue"/>
            <w:vAlign w:val="center"/>
          </w:tcPr>
          <w:p>
            <w:pPr>
              <w:spacing w:after="0" w:line="360" w:lineRule="auto"/>
              <w:jc w:val="center"/>
              <w:rPr>
                <w:rFonts w:ascii="仿宋" w:hAnsi="仿宋" w:eastAsia="仿宋" w:cs="仿宋"/>
                <w:color w:val="auto"/>
                <w:szCs w:val="21"/>
                <w:highlight w:val="none"/>
              </w:rPr>
            </w:pPr>
          </w:p>
        </w:tc>
        <w:tc>
          <w:tcPr>
            <w:tcW w:w="1649" w:type="dxa"/>
            <w:gridSpan w:val="2"/>
            <w:vAlign w:val="center"/>
          </w:tcPr>
          <w:p>
            <w:pPr>
              <w:widowControl/>
              <w:spacing w:after="0" w:line="360" w:lineRule="auto"/>
              <w:ind w:firstLine="411" w:firstLineChars="196"/>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1980" w:type="dxa"/>
            <w:gridSpan w:val="2"/>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02" w:hRule="atLeast"/>
        </w:trPr>
        <w:tc>
          <w:tcPr>
            <w:tcW w:w="1699"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7473" w:type="dxa"/>
            <w:gridSpan w:val="7"/>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699" w:type="dxa"/>
            <w:vAlign w:val="center"/>
          </w:tcPr>
          <w:p>
            <w:pPr>
              <w:widowControl/>
              <w:spacing w:after="0" w:line="360" w:lineRule="auto"/>
              <w:ind w:firstLine="411" w:firstLineChars="196"/>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473" w:type="dxa"/>
            <w:gridSpan w:val="7"/>
            <w:vAlign w:val="center"/>
          </w:tcPr>
          <w:p>
            <w:pPr>
              <w:widowControl/>
              <w:spacing w:after="0" w:line="360" w:lineRule="auto"/>
              <w:ind w:firstLine="411" w:firstLineChars="196"/>
              <w:jc w:val="center"/>
              <w:rPr>
                <w:rFonts w:ascii="仿宋" w:hAnsi="仿宋" w:eastAsia="仿宋" w:cs="仿宋"/>
                <w:color w:val="auto"/>
                <w:szCs w:val="21"/>
                <w:highlight w:val="none"/>
              </w:rPr>
            </w:pPr>
          </w:p>
        </w:tc>
      </w:tr>
    </w:tbl>
    <w:p>
      <w:pPr>
        <w:adjustRightInd w:val="0"/>
        <w:spacing w:after="0" w:line="360" w:lineRule="auto"/>
        <w:ind w:firstLine="480" w:firstLineChars="200"/>
        <w:jc w:val="left"/>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pStyle w:val="2"/>
        <w:spacing w:after="0" w:line="360" w:lineRule="auto"/>
        <w:rPr>
          <w:rFonts w:ascii="仿宋" w:hAnsi="仿宋" w:eastAsia="仿宋" w:cs="仿宋"/>
          <w:color w:val="auto"/>
          <w:highlight w:val="none"/>
        </w:rPr>
      </w:pPr>
    </w:p>
    <w:p>
      <w:pPr>
        <w:spacing w:after="0" w:line="360" w:lineRule="auto"/>
        <w:jc w:val="center"/>
        <w:outlineLvl w:val="2"/>
        <w:rPr>
          <w:rStyle w:val="63"/>
          <w:rFonts w:ascii="仿宋" w:hAnsi="仿宋" w:eastAsia="仿宋" w:cs="仿宋"/>
          <w:color w:val="auto"/>
          <w:highlight w:val="none"/>
        </w:rPr>
      </w:pPr>
      <w:r>
        <w:rPr>
          <w:rFonts w:hint="eastAsia" w:ascii="仿宋" w:hAnsi="仿宋" w:eastAsia="仿宋" w:cs="仿宋"/>
          <w:color w:val="auto"/>
          <w:sz w:val="24"/>
          <w:highlight w:val="none"/>
        </w:rPr>
        <w:br w:type="page"/>
      </w:r>
      <w:r>
        <w:rPr>
          <w:rStyle w:val="63"/>
          <w:rFonts w:hint="eastAsia" w:ascii="仿宋" w:hAnsi="仿宋" w:eastAsia="仿宋" w:cs="仿宋"/>
          <w:color w:val="auto"/>
          <w:highlight w:val="none"/>
        </w:rPr>
        <w:t>六、类似项目业绩一览表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71"/>
        <w:gridCol w:w="871"/>
        <w:gridCol w:w="1424"/>
        <w:gridCol w:w="1403"/>
        <w:gridCol w:w="1233"/>
        <w:gridCol w:w="1340"/>
        <w:gridCol w:w="10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1" w:type="dxa"/>
            <w:tcBorders>
              <w:top w:val="single" w:color="auto" w:sz="4" w:space="0"/>
            </w:tcBorders>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71" w:type="dxa"/>
            <w:tcBorders>
              <w:top w:val="single" w:color="auto" w:sz="4" w:space="0"/>
            </w:tcBorders>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合同签订时间</w:t>
            </w:r>
          </w:p>
        </w:tc>
        <w:tc>
          <w:tcPr>
            <w:tcW w:w="1424"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用户名称</w:t>
            </w:r>
          </w:p>
        </w:tc>
        <w:tc>
          <w:tcPr>
            <w:tcW w:w="1403"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1233"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完成时间</w:t>
            </w:r>
          </w:p>
        </w:tc>
        <w:tc>
          <w:tcPr>
            <w:tcW w:w="1340" w:type="dxa"/>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合同金额</w:t>
            </w:r>
          </w:p>
        </w:tc>
        <w:tc>
          <w:tcPr>
            <w:tcW w:w="1056" w:type="dxa"/>
            <w:tcBorders>
              <w:left w:val="single" w:color="auto" w:sz="4" w:space="0"/>
            </w:tcBorders>
            <w:vAlign w:val="center"/>
          </w:tcPr>
          <w:p>
            <w:pPr>
              <w:widowControl/>
              <w:spacing w:after="0" w:line="360" w:lineRule="auto"/>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1"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871"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424"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403"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233"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340"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056" w:type="dxa"/>
            <w:tcBorders>
              <w:left w:val="single" w:color="auto" w:sz="4" w:space="0"/>
            </w:tcBorders>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1"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871"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424"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403"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233"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340"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056" w:type="dxa"/>
            <w:tcBorders>
              <w:left w:val="single" w:color="auto" w:sz="4" w:space="0"/>
            </w:tcBorders>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1"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871"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424"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403"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233"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340"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056" w:type="dxa"/>
            <w:tcBorders>
              <w:left w:val="single" w:color="auto" w:sz="4" w:space="0"/>
            </w:tcBorders>
            <w:vAlign w:val="center"/>
          </w:tcPr>
          <w:p>
            <w:pPr>
              <w:widowControl/>
              <w:spacing w:after="0" w:line="360" w:lineRule="auto"/>
              <w:ind w:firstLine="411" w:firstLineChars="196"/>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1"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871"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424" w:type="dxa"/>
            <w:tcBorders>
              <w:right w:val="single" w:color="auto" w:sz="4" w:space="0"/>
            </w:tcBorders>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403" w:type="dxa"/>
            <w:tcBorders>
              <w:left w:val="single" w:color="auto" w:sz="4" w:space="0"/>
            </w:tcBorders>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233"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340" w:type="dxa"/>
            <w:vAlign w:val="center"/>
          </w:tcPr>
          <w:p>
            <w:pPr>
              <w:widowControl/>
              <w:spacing w:after="0" w:line="360" w:lineRule="auto"/>
              <w:ind w:firstLine="411" w:firstLineChars="196"/>
              <w:jc w:val="center"/>
              <w:rPr>
                <w:rFonts w:ascii="仿宋" w:hAnsi="仿宋" w:eastAsia="仿宋" w:cs="仿宋"/>
                <w:color w:val="auto"/>
                <w:szCs w:val="21"/>
                <w:highlight w:val="none"/>
              </w:rPr>
            </w:pPr>
          </w:p>
        </w:tc>
        <w:tc>
          <w:tcPr>
            <w:tcW w:w="1056" w:type="dxa"/>
            <w:tcBorders>
              <w:left w:val="single" w:color="auto" w:sz="4" w:space="0"/>
            </w:tcBorders>
            <w:vAlign w:val="center"/>
          </w:tcPr>
          <w:p>
            <w:pPr>
              <w:widowControl/>
              <w:spacing w:after="0" w:line="360" w:lineRule="auto"/>
              <w:ind w:firstLine="411" w:firstLineChars="196"/>
              <w:jc w:val="center"/>
              <w:rPr>
                <w:rFonts w:ascii="仿宋" w:hAnsi="仿宋" w:eastAsia="仿宋" w:cs="仿宋"/>
                <w:color w:val="auto"/>
                <w:szCs w:val="21"/>
                <w:highlight w:val="none"/>
              </w:rPr>
            </w:pPr>
          </w:p>
        </w:tc>
      </w:tr>
    </w:tbl>
    <w:p>
      <w:pPr>
        <w:widowControl/>
        <w:spacing w:after="0" w:line="360" w:lineRule="auto"/>
        <w:ind w:firstLine="472" w:firstLineChars="196"/>
        <w:jc w:val="left"/>
        <w:rPr>
          <w:rFonts w:ascii="仿宋" w:hAnsi="仿宋" w:eastAsia="仿宋" w:cs="仿宋"/>
          <w:b/>
          <w:bCs/>
          <w:color w:val="auto"/>
          <w:sz w:val="24"/>
          <w:highlight w:val="none"/>
        </w:rPr>
      </w:pPr>
    </w:p>
    <w:p>
      <w:pPr>
        <w:widowControl/>
        <w:spacing w:after="0" w:line="360" w:lineRule="auto"/>
        <w:ind w:firstLine="472" w:firstLineChars="196"/>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注：以上业绩需提供招标文件要求的有关书面证明材料。</w:t>
      </w:r>
    </w:p>
    <w:p>
      <w:pPr>
        <w:adjustRightInd w:val="0"/>
        <w:spacing w:after="0" w:line="360" w:lineRule="auto"/>
        <w:jc w:val="left"/>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spacing w:after="0" w:line="360" w:lineRule="auto"/>
        <w:jc w:val="center"/>
        <w:outlineLvl w:val="2"/>
        <w:rPr>
          <w:rStyle w:val="63"/>
          <w:rFonts w:ascii="仿宋" w:hAnsi="仿宋" w:eastAsia="仿宋" w:cs="仿宋"/>
          <w:color w:val="auto"/>
          <w:highlight w:val="none"/>
        </w:rPr>
      </w:pPr>
      <w:r>
        <w:rPr>
          <w:rFonts w:hint="eastAsia" w:ascii="仿宋" w:hAnsi="仿宋" w:eastAsia="仿宋" w:cs="仿宋"/>
          <w:color w:val="auto"/>
          <w:sz w:val="24"/>
          <w:highlight w:val="none"/>
        </w:rPr>
        <w:br w:type="page"/>
      </w:r>
      <w:r>
        <w:rPr>
          <w:rStyle w:val="63"/>
          <w:rFonts w:hint="eastAsia" w:ascii="仿宋" w:hAnsi="仿宋" w:eastAsia="仿宋" w:cs="仿宋"/>
          <w:color w:val="auto"/>
          <w:highlight w:val="none"/>
        </w:rPr>
        <w:t>七、关于知识产权的承诺函</w:t>
      </w:r>
    </w:p>
    <w:p>
      <w:pPr>
        <w:pStyle w:val="19"/>
        <w:spacing w:after="0" w:line="360" w:lineRule="auto"/>
        <w:ind w:left="0" w:leftChars="0"/>
        <w:jc w:val="left"/>
        <w:rPr>
          <w:rFonts w:ascii="仿宋" w:hAnsi="仿宋" w:eastAsia="仿宋" w:cs="仿宋"/>
          <w:bCs/>
          <w:color w:val="auto"/>
          <w:sz w:val="24"/>
          <w:highlight w:val="none"/>
        </w:rPr>
      </w:pPr>
      <w:r>
        <w:rPr>
          <w:rFonts w:hint="eastAsia" w:ascii="仿宋" w:hAnsi="仿宋" w:eastAsia="仿宋" w:cs="仿宋"/>
          <w:color w:val="auto"/>
          <w:sz w:val="24"/>
          <w:highlight w:val="none"/>
          <w:u w:val="single"/>
        </w:rPr>
        <w:t>利阳致诚国际项目管理有限公司</w:t>
      </w:r>
      <w:r>
        <w:rPr>
          <w:rFonts w:hint="eastAsia" w:ascii="仿宋" w:hAnsi="仿宋" w:eastAsia="仿宋" w:cs="仿宋"/>
          <w:bCs/>
          <w:color w:val="auto"/>
          <w:sz w:val="24"/>
          <w:highlight w:val="none"/>
        </w:rPr>
        <w:t>（采购代理机构名称）：</w:t>
      </w:r>
    </w:p>
    <w:p>
      <w:pPr>
        <w:pStyle w:val="19"/>
        <w:spacing w:after="0" w:line="360" w:lineRule="auto"/>
        <w:ind w:left="0" w:leftChars="0"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我方作为本次采购项目的投标人，根据招标文件要求，</w:t>
      </w:r>
      <w:r>
        <w:rPr>
          <w:rFonts w:hint="eastAsia" w:ascii="仿宋" w:hAnsi="仿宋" w:eastAsia="仿宋" w:cs="仿宋"/>
          <w:color w:val="auto"/>
          <w:sz w:val="24"/>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pStyle w:val="19"/>
        <w:spacing w:after="0" w:line="360" w:lineRule="auto"/>
        <w:ind w:left="0" w:leftChars="0" w:firstLine="480" w:firstLineChars="200"/>
        <w:jc w:val="left"/>
        <w:rPr>
          <w:rFonts w:ascii="仿宋" w:hAnsi="仿宋" w:eastAsia="仿宋" w:cs="仿宋"/>
          <w:bCs/>
          <w:color w:val="auto"/>
          <w:sz w:val="24"/>
          <w:highlight w:val="none"/>
        </w:rPr>
      </w:pPr>
    </w:p>
    <w:p>
      <w:pPr>
        <w:pStyle w:val="19"/>
        <w:spacing w:after="0" w:line="360" w:lineRule="auto"/>
        <w:ind w:left="0" w:leftChars="0"/>
        <w:rPr>
          <w:rFonts w:ascii="仿宋" w:hAnsi="仿宋" w:eastAsia="仿宋" w:cs="仿宋"/>
          <w:bCs/>
          <w:color w:val="auto"/>
          <w:sz w:val="24"/>
          <w:highlight w:val="none"/>
        </w:rPr>
      </w:pPr>
    </w:p>
    <w:p>
      <w:pPr>
        <w:adjustRightInd w:val="0"/>
        <w:spacing w:after="0"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注：本承诺函为参考格式，投标人可根据招标文件第二章总则中第13条相关要求进行承诺。</w:t>
      </w:r>
    </w:p>
    <w:p>
      <w:pPr>
        <w:adjustRightInd w:val="0"/>
        <w:spacing w:after="0" w:line="360" w:lineRule="auto"/>
        <w:ind w:firstLine="480" w:firstLineChars="200"/>
        <w:jc w:val="left"/>
        <w:rPr>
          <w:rFonts w:ascii="仿宋" w:hAnsi="仿宋" w:eastAsia="仿宋" w:cs="仿宋"/>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p>
    <w:bookmarkEnd w:id="142"/>
    <w:bookmarkEnd w:id="150"/>
    <w:bookmarkEnd w:id="154"/>
    <w:p>
      <w:pPr>
        <w:adjustRightInd w:val="0"/>
        <w:spacing w:after="0" w:line="360" w:lineRule="auto"/>
        <w:ind w:firstLine="480" w:firstLineChars="200"/>
        <w:jc w:val="left"/>
        <w:rPr>
          <w:rFonts w:ascii="仿宋" w:hAnsi="仿宋" w:eastAsia="仿宋" w:cs="仿宋"/>
          <w:color w:val="auto"/>
          <w:sz w:val="24"/>
          <w:highlight w:val="none"/>
        </w:rPr>
      </w:pPr>
      <w:bookmarkStart w:id="155" w:name="PO_默认文件内容_26"/>
      <w:r>
        <w:rPr>
          <w:rFonts w:hint="eastAsia" w:ascii="仿宋" w:hAnsi="仿宋" w:eastAsia="仿宋" w:cs="仿宋"/>
          <w:color w:val="auto"/>
          <w:sz w:val="24"/>
          <w:highlight w:val="none"/>
        </w:rPr>
        <w:t>投标人名称（盖章）：</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widowControl/>
        <w:spacing w:after="0" w:line="360" w:lineRule="auto"/>
        <w:jc w:val="left"/>
        <w:rPr>
          <w:rFonts w:ascii="仿宋" w:hAnsi="仿宋" w:eastAsia="仿宋" w:cs="仿宋"/>
          <w:color w:val="auto"/>
          <w:sz w:val="24"/>
          <w:highlight w:val="none"/>
        </w:rPr>
      </w:pPr>
    </w:p>
    <w:p>
      <w:pPr>
        <w:spacing w:after="0" w:line="360" w:lineRule="auto"/>
        <w:jc w:val="center"/>
        <w:outlineLvl w:val="2"/>
        <w:rPr>
          <w:rStyle w:val="63"/>
          <w:rFonts w:ascii="仿宋" w:hAnsi="仿宋" w:eastAsia="仿宋" w:cs="仿宋"/>
          <w:color w:val="auto"/>
          <w:highlight w:val="none"/>
        </w:rPr>
      </w:pPr>
      <w:bookmarkStart w:id="156" w:name="_Toc217446090"/>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八</w:t>
      </w:r>
      <w:r>
        <w:rPr>
          <w:rStyle w:val="63"/>
          <w:rFonts w:hint="eastAsia" w:ascii="仿宋" w:hAnsi="仿宋" w:eastAsia="仿宋" w:cs="仿宋"/>
          <w:color w:val="auto"/>
          <w:highlight w:val="none"/>
        </w:rPr>
        <w:t>、中小企业（监狱企业）声明函</w:t>
      </w:r>
    </w:p>
    <w:p>
      <w:pPr>
        <w:pStyle w:val="2"/>
        <w:autoSpaceDE w:val="0"/>
        <w:autoSpaceDN w:val="0"/>
        <w:spacing w:after="0" w:line="360" w:lineRule="auto"/>
        <w:ind w:firstLine="438"/>
        <w:rPr>
          <w:rFonts w:ascii="仿宋" w:hAnsi="仿宋" w:eastAsia="仿宋" w:cs="仿宋"/>
          <w:color w:val="auto"/>
          <w:sz w:val="24"/>
          <w:szCs w:val="24"/>
          <w:highlight w:val="none"/>
        </w:rPr>
      </w:pPr>
      <w:r>
        <w:rPr>
          <w:rFonts w:hint="eastAsia" w:ascii="仿宋" w:hAnsi="仿宋" w:eastAsia="仿宋" w:cs="仿宋"/>
          <w:iCs/>
          <w:color w:val="auto"/>
          <w:sz w:val="24"/>
          <w:szCs w:val="24"/>
          <w:highlight w:val="none"/>
        </w:rPr>
        <w:t>本公司（联合体）郑重声明，根据《政府采购促进</w:t>
      </w:r>
      <w:r>
        <w:rPr>
          <w:rFonts w:hint="eastAsia" w:ascii="仿宋" w:hAnsi="仿宋" w:eastAsia="仿宋" w:cs="仿宋"/>
          <w:iCs/>
          <w:color w:val="auto"/>
          <w:spacing w:val="15"/>
          <w:sz w:val="24"/>
          <w:szCs w:val="24"/>
          <w:highlight w:val="none"/>
        </w:rPr>
        <w:t>中小企业发展管理办法》（财库〔2020〕46号）的规定，本公司（联合体）参加 （单位名称）的</w:t>
      </w:r>
      <w:r>
        <w:rPr>
          <w:rFonts w:hint="eastAsia" w:ascii="仿宋" w:hAnsi="仿宋" w:eastAsia="仿宋" w:cs="仿宋"/>
          <w:iCs/>
          <w:color w:val="auto"/>
          <w:spacing w:val="15"/>
          <w:sz w:val="24"/>
          <w:szCs w:val="24"/>
          <w:highlight w:val="none"/>
          <w:u w:val="single"/>
        </w:rPr>
        <w:t xml:space="preserve">        （项目名称）</w:t>
      </w:r>
      <w:r>
        <w:rPr>
          <w:rFonts w:hint="eastAsia" w:ascii="仿宋" w:hAnsi="仿宋" w:eastAsia="仿宋" w:cs="仿宋"/>
          <w:iCs/>
          <w:color w:val="auto"/>
          <w:spacing w:val="15"/>
          <w:sz w:val="24"/>
          <w:szCs w:val="24"/>
          <w:highlight w:val="none"/>
        </w:rPr>
        <w:t>采购活动，</w:t>
      </w:r>
      <w:r>
        <w:rPr>
          <w:rFonts w:hint="eastAsia" w:ascii="仿宋" w:hAnsi="仿宋" w:eastAsia="仿宋" w:cs="仿宋"/>
          <w:iCs/>
          <w:color w:val="auto"/>
          <w:sz w:val="24"/>
          <w:szCs w:val="24"/>
          <w:highlight w:val="none"/>
        </w:rPr>
        <w:t>服务全部由符合政策要求的中小企业承接。相关企业（含联合体中的中小企业、签订分包意向协议的中小企业）的具体情况如下：</w:t>
      </w:r>
    </w:p>
    <w:p>
      <w:pPr>
        <w:pStyle w:val="80"/>
        <w:tabs>
          <w:tab w:val="left" w:pos="1325"/>
          <w:tab w:val="left" w:pos="1326"/>
          <w:tab w:val="left" w:pos="1738"/>
          <w:tab w:val="left" w:pos="4940"/>
          <w:tab w:val="left" w:pos="7156"/>
        </w:tabs>
        <w:spacing w:line="360" w:lineRule="auto"/>
        <w:ind w:firstLine="448" w:firstLineChars="166"/>
        <w:jc w:val="left"/>
        <w:rPr>
          <w:rFonts w:ascii="仿宋" w:hAnsi="仿宋" w:eastAsia="仿宋" w:cs="仿宋"/>
          <w:color w:val="auto"/>
          <w:spacing w:val="15"/>
          <w:sz w:val="24"/>
          <w:highlight w:val="none"/>
        </w:rPr>
      </w:pPr>
      <w:r>
        <w:rPr>
          <w:rFonts w:hint="eastAsia" w:ascii="仿宋" w:hAnsi="仿宋" w:eastAsia="仿宋" w:cs="仿宋"/>
          <w:color w:val="auto"/>
          <w:spacing w:val="15"/>
          <w:sz w:val="24"/>
          <w:highlight w:val="none"/>
        </w:rPr>
        <w:t>1.</w:t>
      </w:r>
      <w:r>
        <w:rPr>
          <w:rFonts w:hint="eastAsia" w:ascii="仿宋" w:hAnsi="仿宋" w:eastAsia="仿宋" w:cs="仿宋"/>
          <w:color w:val="auto"/>
          <w:spacing w:val="15"/>
          <w:sz w:val="24"/>
          <w:highlight w:val="none"/>
          <w:u w:val="single"/>
        </w:rPr>
        <w:t xml:space="preserve">        (标的名称）</w:t>
      </w:r>
      <w:r>
        <w:rPr>
          <w:rFonts w:hint="eastAsia" w:ascii="仿宋" w:hAnsi="仿宋" w:eastAsia="仿宋" w:cs="仿宋"/>
          <w:color w:val="auto"/>
          <w:spacing w:val="15"/>
          <w:sz w:val="24"/>
          <w:highlight w:val="none"/>
        </w:rPr>
        <w:t>，属于</w:t>
      </w:r>
      <w:r>
        <w:rPr>
          <w:rFonts w:hint="eastAsia" w:ascii="仿宋" w:hAnsi="仿宋" w:eastAsia="仿宋" w:cs="仿宋"/>
          <w:color w:val="auto"/>
          <w:spacing w:val="15"/>
          <w:sz w:val="24"/>
          <w:highlight w:val="none"/>
          <w:u w:val="single"/>
        </w:rPr>
        <w:t xml:space="preserve">      （采购文件中明确的所属行业）行业</w:t>
      </w:r>
      <w:r>
        <w:rPr>
          <w:rFonts w:hint="eastAsia" w:ascii="仿宋" w:hAnsi="仿宋" w:eastAsia="仿宋" w:cs="仿宋"/>
          <w:color w:val="auto"/>
          <w:spacing w:val="15"/>
          <w:sz w:val="24"/>
          <w:highlight w:val="none"/>
        </w:rPr>
        <w:t>；承接企业为</w:t>
      </w:r>
      <w:r>
        <w:rPr>
          <w:rFonts w:hint="eastAsia" w:ascii="仿宋" w:hAnsi="仿宋" w:eastAsia="仿宋" w:cs="仿宋"/>
          <w:color w:val="auto"/>
          <w:spacing w:val="15"/>
          <w:sz w:val="24"/>
          <w:highlight w:val="none"/>
          <w:u w:val="single"/>
        </w:rPr>
        <w:t xml:space="preserve">          （企业名称）</w:t>
      </w:r>
      <w:r>
        <w:rPr>
          <w:rFonts w:hint="eastAsia" w:ascii="仿宋" w:hAnsi="仿宋" w:eastAsia="仿宋" w:cs="仿宋"/>
          <w:color w:val="auto"/>
          <w:spacing w:val="15"/>
          <w:sz w:val="24"/>
          <w:highlight w:val="none"/>
        </w:rPr>
        <w:t>，从业人员</w:t>
      </w:r>
      <w:r>
        <w:rPr>
          <w:rFonts w:hint="eastAsia" w:ascii="仿宋" w:hAnsi="仿宋" w:eastAsia="仿宋" w:cs="仿宋"/>
          <w:color w:val="auto"/>
          <w:spacing w:val="15"/>
          <w:sz w:val="24"/>
          <w:highlight w:val="none"/>
          <w:u w:val="single"/>
        </w:rPr>
        <w:tab/>
      </w:r>
      <w:r>
        <w:rPr>
          <w:rFonts w:hint="eastAsia" w:ascii="仿宋" w:hAnsi="仿宋" w:eastAsia="仿宋" w:cs="仿宋"/>
          <w:color w:val="auto"/>
          <w:spacing w:val="15"/>
          <w:sz w:val="24"/>
          <w:highlight w:val="none"/>
        </w:rPr>
        <w:t>人，营业收入为万元，资产总额为</w:t>
      </w:r>
      <w:r>
        <w:rPr>
          <w:rFonts w:hint="eastAsia" w:ascii="仿宋" w:hAnsi="仿宋" w:eastAsia="仿宋" w:cs="仿宋"/>
          <w:color w:val="auto"/>
          <w:spacing w:val="15"/>
          <w:sz w:val="24"/>
          <w:highlight w:val="none"/>
          <w:u w:val="single"/>
        </w:rPr>
        <w:tab/>
      </w:r>
      <w:r>
        <w:rPr>
          <w:rFonts w:hint="eastAsia" w:ascii="仿宋" w:hAnsi="仿宋" w:eastAsia="仿宋" w:cs="仿宋"/>
          <w:color w:val="auto"/>
          <w:spacing w:val="15"/>
          <w:sz w:val="24"/>
          <w:highlight w:val="none"/>
        </w:rPr>
        <w:t>万元，属于</w:t>
      </w:r>
      <w:r>
        <w:rPr>
          <w:rFonts w:hint="eastAsia" w:ascii="仿宋" w:hAnsi="仿宋" w:eastAsia="仿宋" w:cs="仿宋"/>
          <w:color w:val="auto"/>
          <w:spacing w:val="15"/>
          <w:sz w:val="24"/>
          <w:highlight w:val="none"/>
          <w:u w:val="single"/>
        </w:rPr>
        <w:t xml:space="preserve">      （中型企业、小型企业、微型企业）</w:t>
      </w:r>
      <w:r>
        <w:rPr>
          <w:rFonts w:hint="eastAsia" w:ascii="仿宋" w:hAnsi="仿宋" w:eastAsia="仿宋" w:cs="仿宋"/>
          <w:color w:val="auto"/>
          <w:spacing w:val="15"/>
          <w:sz w:val="24"/>
          <w:highlight w:val="none"/>
        </w:rPr>
        <w:t>；</w:t>
      </w:r>
    </w:p>
    <w:p>
      <w:pPr>
        <w:pStyle w:val="2"/>
        <w:autoSpaceDE w:val="0"/>
        <w:autoSpaceDN w:val="0"/>
        <w:spacing w:after="0" w:line="360" w:lineRule="auto"/>
        <w:ind w:firstLine="440"/>
        <w:rPr>
          <w:rFonts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rPr>
        <w:t>2.……</w:t>
      </w:r>
    </w:p>
    <w:p>
      <w:pPr>
        <w:pStyle w:val="2"/>
        <w:autoSpaceDE w:val="0"/>
        <w:autoSpaceDN w:val="0"/>
        <w:spacing w:after="0" w:line="360" w:lineRule="auto"/>
        <w:ind w:firstLine="438"/>
        <w:rPr>
          <w:rFonts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rPr>
        <w:t>以上企业，不属于大企业的分支机构，不存在控股股东为大企业的情形，也不存在与大企业的负责人为同一人的情形。</w:t>
      </w:r>
    </w:p>
    <w:p>
      <w:pPr>
        <w:pStyle w:val="2"/>
        <w:autoSpaceDE w:val="0"/>
        <w:autoSpaceDN w:val="0"/>
        <w:spacing w:after="0" w:line="360" w:lineRule="auto"/>
        <w:ind w:firstLine="438"/>
        <w:rPr>
          <w:rFonts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rPr>
        <w:t>本企业对上述声明内容的真实性负责。如有虚假，将依法承担相应责任。</w:t>
      </w:r>
    </w:p>
    <w:p>
      <w:pPr>
        <w:pStyle w:val="2"/>
        <w:autoSpaceDE w:val="0"/>
        <w:autoSpaceDN w:val="0"/>
        <w:spacing w:after="0" w:line="360" w:lineRule="auto"/>
        <w:ind w:firstLine="438"/>
        <w:rPr>
          <w:rFonts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rPr>
        <w:t>企业名称（盖章）：</w:t>
      </w:r>
    </w:p>
    <w:p>
      <w:pPr>
        <w:pStyle w:val="2"/>
        <w:autoSpaceDE w:val="0"/>
        <w:autoSpaceDN w:val="0"/>
        <w:spacing w:after="0" w:line="360" w:lineRule="auto"/>
        <w:ind w:firstLine="438"/>
        <w:rPr>
          <w:rFonts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rPr>
        <w:t>日期：</w:t>
      </w:r>
    </w:p>
    <w:p>
      <w:pPr>
        <w:pStyle w:val="2"/>
        <w:autoSpaceDE w:val="0"/>
        <w:autoSpaceDN w:val="0"/>
        <w:spacing w:after="0" w:line="360" w:lineRule="auto"/>
        <w:ind w:firstLine="542" w:firstLineChars="200"/>
        <w:rPr>
          <w:rFonts w:ascii="仿宋" w:hAnsi="仿宋" w:eastAsia="仿宋" w:cs="仿宋"/>
          <w:b/>
          <w:bCs/>
          <w:color w:val="auto"/>
          <w:spacing w:val="15"/>
          <w:sz w:val="24"/>
          <w:szCs w:val="24"/>
          <w:highlight w:val="none"/>
        </w:rPr>
      </w:pPr>
      <w:r>
        <w:rPr>
          <w:rFonts w:hint="eastAsia" w:ascii="仿宋" w:hAnsi="仿宋" w:eastAsia="仿宋" w:cs="仿宋"/>
          <w:b/>
          <w:bCs/>
          <w:color w:val="auto"/>
          <w:spacing w:val="15"/>
          <w:sz w:val="24"/>
          <w:szCs w:val="24"/>
          <w:highlight w:val="none"/>
        </w:rPr>
        <w:t>说明：1.从业人员、营业收入、资产总额填报上一年度数据，无上一年度数据的新成立企业可不填报。</w:t>
      </w:r>
    </w:p>
    <w:p>
      <w:pPr>
        <w:pStyle w:val="2"/>
        <w:autoSpaceDE w:val="0"/>
        <w:autoSpaceDN w:val="0"/>
        <w:spacing w:after="0" w:line="360" w:lineRule="auto"/>
        <w:ind w:firstLine="542" w:firstLineChars="200"/>
        <w:rPr>
          <w:rFonts w:ascii="仿宋" w:hAnsi="仿宋" w:eastAsia="仿宋" w:cs="仿宋"/>
          <w:b/>
          <w:bCs/>
          <w:color w:val="auto"/>
          <w:spacing w:val="15"/>
          <w:sz w:val="24"/>
          <w:szCs w:val="24"/>
          <w:highlight w:val="none"/>
        </w:rPr>
      </w:pPr>
      <w:r>
        <w:rPr>
          <w:rFonts w:hint="eastAsia" w:ascii="仿宋" w:hAnsi="仿宋" w:eastAsia="仿宋" w:cs="仿宋"/>
          <w:b/>
          <w:bCs/>
          <w:color w:val="auto"/>
          <w:spacing w:val="15"/>
          <w:sz w:val="24"/>
          <w:szCs w:val="24"/>
          <w:highlight w:val="none"/>
        </w:rPr>
        <w:t>2.如未提供中小企业声明函的，则其评审中的小型、微型企业不能享受招标文件规定的加分，但不影响供应商投标文件的有效性。</w:t>
      </w:r>
    </w:p>
    <w:p>
      <w:pPr>
        <w:pStyle w:val="2"/>
        <w:autoSpaceDE w:val="0"/>
        <w:autoSpaceDN w:val="0"/>
        <w:spacing w:after="0" w:line="360" w:lineRule="auto"/>
        <w:ind w:firstLine="542" w:firstLineChars="200"/>
        <w:rPr>
          <w:rFonts w:ascii="仿宋" w:hAnsi="仿宋" w:eastAsia="仿宋" w:cs="仿宋"/>
          <w:b/>
          <w:bCs/>
          <w:color w:val="auto"/>
          <w:spacing w:val="15"/>
          <w:sz w:val="24"/>
          <w:szCs w:val="24"/>
          <w:highlight w:val="none"/>
        </w:rPr>
      </w:pPr>
      <w:r>
        <w:rPr>
          <w:rFonts w:hint="eastAsia" w:ascii="仿宋" w:hAnsi="仿宋" w:eastAsia="仿宋" w:cs="仿宋"/>
          <w:b/>
          <w:bCs/>
          <w:color w:val="auto"/>
          <w:spacing w:val="15"/>
          <w:sz w:val="24"/>
          <w:szCs w:val="24"/>
          <w:highlight w:val="none"/>
        </w:rPr>
        <w:t>3.投标人参加政府采购活动时，提供虚假中小企业声明函的，以提供虚假材料谋取中标处理。</w:t>
      </w:r>
    </w:p>
    <w:p>
      <w:pPr>
        <w:tabs>
          <w:tab w:val="left" w:pos="7665"/>
        </w:tabs>
        <w:spacing w:after="0" w:line="360" w:lineRule="auto"/>
        <w:ind w:firstLine="542" w:firstLineChars="200"/>
        <w:rPr>
          <w:rFonts w:ascii="仿宋" w:hAnsi="仿宋" w:eastAsia="仿宋" w:cs="仿宋"/>
          <w:color w:val="auto"/>
          <w:sz w:val="24"/>
          <w:highlight w:val="none"/>
        </w:rPr>
      </w:pPr>
      <w:r>
        <w:rPr>
          <w:rFonts w:hint="eastAsia" w:ascii="仿宋" w:hAnsi="仿宋" w:eastAsia="仿宋" w:cs="仿宋"/>
          <w:b/>
          <w:bCs/>
          <w:color w:val="auto"/>
          <w:spacing w:val="15"/>
          <w:sz w:val="24"/>
          <w:highlight w:val="none"/>
        </w:rPr>
        <w:t>4.投标人为非企业单位的，如</w:t>
      </w:r>
      <w:r>
        <w:rPr>
          <w:color w:val="auto"/>
          <w:highlight w:val="none"/>
        </w:rPr>
        <w:fldChar w:fldCharType="begin"/>
      </w:r>
      <w:r>
        <w:rPr>
          <w:color w:val="auto"/>
          <w:highlight w:val="none"/>
        </w:rPr>
        <w:instrText xml:space="preserve"> HYPERLINK "http://www.baidu.com/link?url=iBElULo-d5ZLg5hWr9fKyE9J-RxccwLI-m1Agt9ljL77ObTW5LQjhadjNT2MqWnbLezvMqwfSInjbbIsQiOB-i51ng1O-k9urRWB9JMMNXa_i_MLA720oUeu4HvXUaUSG40sshnLZLbEhVc0Xthfwq" \t "https://www.baidu.com/_blank" </w:instrText>
      </w:r>
      <w:r>
        <w:rPr>
          <w:color w:val="auto"/>
          <w:highlight w:val="none"/>
        </w:rPr>
        <w:fldChar w:fldCharType="separate"/>
      </w:r>
      <w:r>
        <w:rPr>
          <w:rFonts w:hint="eastAsia" w:ascii="仿宋" w:hAnsi="仿宋" w:eastAsia="仿宋" w:cs="仿宋"/>
          <w:b/>
          <w:bCs/>
          <w:color w:val="auto"/>
          <w:spacing w:val="15"/>
          <w:sz w:val="24"/>
          <w:highlight w:val="none"/>
        </w:rPr>
        <w:t>民办非企业</w:t>
      </w:r>
      <w:r>
        <w:rPr>
          <w:rFonts w:hint="eastAsia" w:ascii="仿宋" w:hAnsi="仿宋" w:eastAsia="仿宋" w:cs="仿宋"/>
          <w:b/>
          <w:bCs/>
          <w:color w:val="auto"/>
          <w:spacing w:val="15"/>
          <w:sz w:val="24"/>
          <w:highlight w:val="none"/>
        </w:rPr>
        <w:fldChar w:fldCharType="end"/>
      </w:r>
      <w:r>
        <w:rPr>
          <w:rFonts w:hint="eastAsia" w:ascii="仿宋" w:hAnsi="仿宋" w:eastAsia="仿宋" w:cs="仿宋"/>
          <w:b/>
          <w:bCs/>
          <w:color w:val="auto"/>
          <w:spacing w:val="15"/>
          <w:sz w:val="24"/>
          <w:highlight w:val="none"/>
        </w:rPr>
        <w:t>、基金会、协会、服务中心、农村承包经营户、学会等非工商(市场监管)登记注册的组织均不适用此声明函，不得提供中小企业声明函，提供此声明的，声明无效。</w:t>
      </w:r>
    </w:p>
    <w:p>
      <w:pPr>
        <w:spacing w:after="0" w:line="360" w:lineRule="auto"/>
        <w:jc w:val="center"/>
        <w:rPr>
          <w:rStyle w:val="63"/>
          <w:rFonts w:ascii="仿宋" w:hAnsi="仿宋" w:eastAsia="仿宋" w:cs="仿宋"/>
          <w:color w:val="auto"/>
          <w:highlight w:val="none"/>
        </w:rPr>
      </w:pPr>
    </w:p>
    <w:p>
      <w:pPr>
        <w:spacing w:after="0" w:line="360" w:lineRule="auto"/>
        <w:jc w:val="center"/>
        <w:rPr>
          <w:rStyle w:val="63"/>
          <w:rFonts w:ascii="仿宋" w:hAnsi="仿宋" w:eastAsia="仿宋" w:cs="仿宋"/>
          <w:color w:val="auto"/>
          <w:highlight w:val="none"/>
        </w:rPr>
      </w:pPr>
    </w:p>
    <w:p>
      <w:pPr>
        <w:spacing w:after="0" w:line="360" w:lineRule="auto"/>
        <w:jc w:val="center"/>
        <w:rPr>
          <w:rStyle w:val="63"/>
          <w:rFonts w:ascii="仿宋" w:hAnsi="仿宋" w:eastAsia="仿宋" w:cs="仿宋"/>
          <w:color w:val="auto"/>
          <w:highlight w:val="none"/>
        </w:rPr>
      </w:pPr>
      <w:r>
        <w:rPr>
          <w:rStyle w:val="63"/>
          <w:rFonts w:hint="eastAsia" w:ascii="仿宋" w:hAnsi="仿宋" w:eastAsia="仿宋" w:cs="仿宋"/>
          <w:color w:val="auto"/>
          <w:highlight w:val="none"/>
        </w:rPr>
        <w:t>残疾人福利性单位声明函</w:t>
      </w:r>
    </w:p>
    <w:p>
      <w:pPr>
        <w:spacing w:after="0"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w:t>
      </w:r>
      <w:r>
        <w:rPr>
          <w:rFonts w:hint="eastAsia" w:ascii="仿宋" w:hAnsi="仿宋" w:eastAsia="仿宋" w:cs="仿宋"/>
          <w:b/>
          <w:bCs/>
          <w:color w:val="auto"/>
          <w:spacing w:val="6"/>
          <w:sz w:val="24"/>
          <w:highlight w:val="none"/>
        </w:rPr>
        <w:t>本单位为符合条件的残疾人福利性单位</w:t>
      </w:r>
      <w:r>
        <w:rPr>
          <w:rFonts w:hint="eastAsia" w:ascii="仿宋" w:hAnsi="仿宋" w:eastAsia="仿宋" w:cs="仿宋"/>
          <w:color w:val="auto"/>
          <w:spacing w:val="6"/>
          <w:sz w:val="24"/>
          <w:highlight w:val="none"/>
        </w:rPr>
        <w:t>，且本单位参加</w:t>
      </w:r>
      <w:r>
        <w:rPr>
          <w:rFonts w:hint="eastAsia" w:ascii="仿宋" w:hAnsi="仿宋" w:eastAsia="仿宋" w:cs="仿宋"/>
          <w:color w:val="auto"/>
          <w:sz w:val="24"/>
          <w:highlight w:val="none"/>
          <w:u w:val="single"/>
        </w:rPr>
        <w:t>XXXX</w:t>
      </w:r>
      <w:r>
        <w:rPr>
          <w:rFonts w:hint="eastAsia" w:ascii="仿宋" w:hAnsi="仿宋" w:eastAsia="仿宋" w:cs="仿宋"/>
          <w:color w:val="auto"/>
          <w:spacing w:val="6"/>
          <w:sz w:val="24"/>
          <w:highlight w:val="none"/>
        </w:rPr>
        <w:t>单位的</w:t>
      </w:r>
      <w:r>
        <w:rPr>
          <w:rFonts w:hint="eastAsia" w:ascii="仿宋" w:hAnsi="仿宋" w:eastAsia="仿宋" w:cs="仿宋"/>
          <w:color w:val="auto"/>
          <w:sz w:val="24"/>
          <w:highlight w:val="none"/>
          <w:u w:val="single"/>
        </w:rPr>
        <w:t>XXXX</w:t>
      </w:r>
      <w:r>
        <w:rPr>
          <w:rFonts w:hint="eastAsia" w:ascii="仿宋" w:hAnsi="仿宋" w:eastAsia="仿宋" w:cs="仿宋"/>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after="0"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pPr>
        <w:spacing w:after="0" w:line="360" w:lineRule="auto"/>
        <w:rPr>
          <w:rFonts w:ascii="仿宋" w:hAnsi="仿宋" w:eastAsia="仿宋" w:cs="仿宋"/>
          <w:color w:val="auto"/>
          <w:spacing w:val="6"/>
          <w:sz w:val="24"/>
          <w:highlight w:val="none"/>
        </w:rPr>
      </w:pPr>
    </w:p>
    <w:p>
      <w:pPr>
        <w:spacing w:after="0" w:line="360" w:lineRule="auto"/>
        <w:rPr>
          <w:rFonts w:ascii="仿宋" w:hAnsi="仿宋" w:eastAsia="仿宋" w:cs="仿宋"/>
          <w:color w:val="auto"/>
          <w:spacing w:val="6"/>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spacing w:after="0" w:line="360" w:lineRule="auto"/>
        <w:rPr>
          <w:rFonts w:ascii="仿宋" w:hAnsi="仿宋" w:eastAsia="仿宋" w:cs="仿宋"/>
          <w:color w:val="auto"/>
          <w:sz w:val="24"/>
          <w:highlight w:val="none"/>
        </w:rPr>
      </w:pP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注：1、残疾人福利性单位视同小型、微型企业，享受预留份额、评审中价格扣除等促进中小企业发展的政府采购政策。残疾人福利性单位属于小型、微型企业的，不重复享受政策。</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2、供应商为非残疾人福利性单位的，不得提供此声明。</w:t>
      </w:r>
    </w:p>
    <w:p>
      <w:pPr>
        <w:spacing w:after="0" w:line="360" w:lineRule="auto"/>
        <w:ind w:firstLine="482" w:firstLineChars="200"/>
        <w:rPr>
          <w:rFonts w:ascii="仿宋" w:hAnsi="仿宋" w:eastAsia="仿宋" w:cs="仿宋"/>
          <w:b/>
          <w:bCs/>
          <w:color w:val="auto"/>
          <w:sz w:val="24"/>
          <w:highlight w:val="none"/>
        </w:rPr>
      </w:pPr>
    </w:p>
    <w:p>
      <w:pPr>
        <w:spacing w:after="0" w:line="360" w:lineRule="auto"/>
        <w:rPr>
          <w:rStyle w:val="63"/>
          <w:rFonts w:ascii="仿宋" w:hAnsi="仿宋" w:eastAsia="仿宋" w:cs="仿宋"/>
          <w:b w:val="0"/>
          <w:bCs w:val="0"/>
          <w:color w:val="auto"/>
          <w:highlight w:val="none"/>
        </w:rPr>
        <w:sectPr>
          <w:headerReference r:id="rId8" w:type="default"/>
          <w:pgSz w:w="11906" w:h="16838"/>
          <w:pgMar w:top="1440" w:right="1800" w:bottom="1440" w:left="1800" w:header="851" w:footer="992" w:gutter="0"/>
          <w:pgNumType w:fmt="decimal"/>
          <w:cols w:space="720" w:num="1"/>
          <w:docGrid w:type="lines" w:linePitch="312" w:charSpace="0"/>
        </w:sectPr>
      </w:pPr>
    </w:p>
    <w:p>
      <w:pPr>
        <w:pStyle w:val="2"/>
        <w:tabs>
          <w:tab w:val="left" w:pos="0"/>
        </w:tabs>
        <w:spacing w:after="0" w:line="360" w:lineRule="auto"/>
        <w:jc w:val="center"/>
        <w:rPr>
          <w:rFonts w:ascii="宋体" w:hAnsi="宋体" w:cs="宋体"/>
          <w:b/>
          <w:bCs/>
          <w:color w:val="auto"/>
          <w:highlight w:val="none"/>
        </w:rPr>
      </w:pPr>
      <w:bookmarkStart w:id="157" w:name="_Toc11278"/>
      <w:bookmarkStart w:id="158" w:name="_Toc26771"/>
      <w:bookmarkStart w:id="159" w:name="_Toc17939"/>
      <w:bookmarkStart w:id="160" w:name="_Toc30256"/>
    </w:p>
    <w:p>
      <w:pPr>
        <w:pStyle w:val="2"/>
        <w:tabs>
          <w:tab w:val="left" w:pos="0"/>
        </w:tabs>
        <w:spacing w:after="0" w:line="360" w:lineRule="auto"/>
        <w:jc w:val="center"/>
        <w:rPr>
          <w:rFonts w:ascii="宋体" w:hAnsi="宋体" w:cs="宋体"/>
          <w:color w:val="auto"/>
          <w:highlight w:val="none"/>
        </w:rPr>
      </w:pPr>
      <w:r>
        <w:rPr>
          <w:rFonts w:hint="eastAsia" w:ascii="宋体" w:hAnsi="宋体" w:cs="宋体"/>
          <w:b/>
          <w:bCs/>
          <w:color w:val="auto"/>
          <w:highlight w:val="none"/>
        </w:rPr>
        <w:t>监狱企业相关证明材料(如涉及</w:t>
      </w:r>
      <w:bookmarkEnd w:id="157"/>
      <w:r>
        <w:rPr>
          <w:rFonts w:hint="eastAsia" w:ascii="宋体" w:hAnsi="宋体" w:cs="宋体"/>
          <w:b/>
          <w:bCs/>
          <w:color w:val="auto"/>
          <w:highlight w:val="none"/>
        </w:rPr>
        <w:t>)</w:t>
      </w:r>
      <w:bookmarkEnd w:id="158"/>
      <w:bookmarkEnd w:id="159"/>
      <w:bookmarkEnd w:id="160"/>
    </w:p>
    <w:p>
      <w:pPr>
        <w:pStyle w:val="2"/>
        <w:tabs>
          <w:tab w:val="left" w:pos="0"/>
        </w:tabs>
        <w:spacing w:after="0" w:line="360" w:lineRule="auto"/>
        <w:ind w:firstLine="562" w:firstLineChars="200"/>
        <w:rPr>
          <w:rFonts w:ascii="宋体" w:hAnsi="宋体" w:cs="宋体"/>
          <w:b/>
          <w:bCs/>
          <w:color w:val="auto"/>
          <w:szCs w:val="21"/>
          <w:highlight w:val="none"/>
        </w:rPr>
      </w:pPr>
    </w:p>
    <w:p>
      <w:pPr>
        <w:pStyle w:val="2"/>
        <w:tabs>
          <w:tab w:val="left" w:pos="0"/>
        </w:tabs>
        <w:adjustRightInd w:val="0"/>
        <w:snapToGrid w:val="0"/>
        <w:spacing w:after="0" w:line="360" w:lineRule="auto"/>
        <w:ind w:firstLine="562" w:firstLineChars="200"/>
        <w:rPr>
          <w:rFonts w:ascii="宋体" w:hAnsi="宋体" w:cs="宋体"/>
          <w:b/>
          <w:bCs/>
          <w:color w:val="auto"/>
          <w:szCs w:val="21"/>
          <w:highlight w:val="none"/>
        </w:rPr>
      </w:pPr>
    </w:p>
    <w:p>
      <w:pPr>
        <w:pStyle w:val="2"/>
        <w:tabs>
          <w:tab w:val="left" w:pos="0"/>
        </w:tabs>
        <w:adjustRightInd w:val="0"/>
        <w:snapToGrid w:val="0"/>
        <w:spacing w:after="0" w:line="360" w:lineRule="auto"/>
        <w:ind w:firstLine="482" w:firstLineChars="200"/>
        <w:rPr>
          <w:rFonts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说明：1.监狱企业参加政府采购活动时，应当提供由省级以上监狱管理局、戒毒管理局(含新疆生产建设兵团)出具的属于监狱企业的证明文件。</w:t>
      </w:r>
    </w:p>
    <w:p>
      <w:pPr>
        <w:pStyle w:val="2"/>
        <w:tabs>
          <w:tab w:val="left" w:pos="0"/>
        </w:tabs>
        <w:adjustRightInd w:val="0"/>
        <w:snapToGrid w:val="0"/>
        <w:spacing w:after="0" w:line="360" w:lineRule="auto"/>
        <w:ind w:firstLine="482" w:firstLineChars="200"/>
        <w:rPr>
          <w:rFonts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2.如未提供监狱企业相关证明材料的，则其评审中的监狱企业不能享受招标文件规定的加分，但不影响投标文件的有效性。</w:t>
      </w:r>
    </w:p>
    <w:p>
      <w:pPr>
        <w:pStyle w:val="2"/>
        <w:adjustRightInd w:val="0"/>
        <w:snapToGrid w:val="0"/>
        <w:spacing w:after="0" w:line="360" w:lineRule="auto"/>
        <w:ind w:firstLine="482" w:firstLineChars="200"/>
        <w:rPr>
          <w:rFonts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3.非监狱企业无需提供证明材料。</w:t>
      </w:r>
    </w:p>
    <w:p>
      <w:pPr>
        <w:pStyle w:val="2"/>
        <w:rPr>
          <w:color w:val="auto"/>
          <w:highlight w:val="none"/>
        </w:rPr>
      </w:pPr>
    </w:p>
    <w:p>
      <w:pPr>
        <w:spacing w:after="0" w:line="360" w:lineRule="auto"/>
        <w:jc w:val="center"/>
        <w:outlineLvl w:val="2"/>
        <w:rPr>
          <w:rStyle w:val="63"/>
          <w:rFonts w:ascii="仿宋" w:hAnsi="仿宋" w:eastAsia="仿宋" w:cs="仿宋"/>
          <w:bCs w:val="0"/>
          <w:color w:val="auto"/>
          <w:highlight w:val="none"/>
        </w:rPr>
      </w:pPr>
      <w:r>
        <w:rPr>
          <w:rStyle w:val="63"/>
          <w:rFonts w:hint="eastAsia" w:ascii="仿宋" w:hAnsi="仿宋" w:eastAsia="仿宋" w:cs="仿宋"/>
          <w:b w:val="0"/>
          <w:color w:val="auto"/>
          <w:highlight w:val="none"/>
        </w:rPr>
        <w:br w:type="page"/>
      </w:r>
      <w:r>
        <w:rPr>
          <w:rStyle w:val="63"/>
          <w:rFonts w:hint="eastAsia" w:ascii="仿宋" w:hAnsi="仿宋" w:eastAsia="仿宋" w:cs="仿宋"/>
          <w:bCs w:val="0"/>
          <w:color w:val="auto"/>
          <w:highlight w:val="none"/>
        </w:rPr>
        <w:t>九、技术应答表</w:t>
      </w:r>
    </w:p>
    <w:p>
      <w:pPr>
        <w:widowControl/>
        <w:spacing w:after="0"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p>
      <w:pPr>
        <w:widowControl/>
        <w:spacing w:after="0"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项目编号：</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010"/>
        <w:gridCol w:w="2355"/>
        <w:gridCol w:w="1859"/>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vAlign w:val="center"/>
          </w:tcPr>
          <w:p>
            <w:pPr>
              <w:widowControl/>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010" w:type="dxa"/>
            <w:vAlign w:val="center"/>
          </w:tcPr>
          <w:p>
            <w:pPr>
              <w:widowControl/>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招标文件条目号</w:t>
            </w:r>
          </w:p>
        </w:tc>
        <w:tc>
          <w:tcPr>
            <w:tcW w:w="2355" w:type="dxa"/>
            <w:vAlign w:val="center"/>
          </w:tcPr>
          <w:p>
            <w:pPr>
              <w:widowControl/>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招标文件要求</w:t>
            </w:r>
          </w:p>
        </w:tc>
        <w:tc>
          <w:tcPr>
            <w:tcW w:w="1859" w:type="dxa"/>
            <w:vAlign w:val="center"/>
          </w:tcPr>
          <w:p>
            <w:pPr>
              <w:widowControl/>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投标技术应答</w:t>
            </w:r>
          </w:p>
        </w:tc>
        <w:tc>
          <w:tcPr>
            <w:tcW w:w="2031" w:type="dxa"/>
            <w:vAlign w:val="center"/>
          </w:tcPr>
          <w:p>
            <w:pPr>
              <w:widowControl/>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偏离情况（正偏离或负偏离或无偏离）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tcPr>
          <w:p>
            <w:pPr>
              <w:widowControl/>
              <w:spacing w:after="0" w:line="360" w:lineRule="auto"/>
              <w:jc w:val="left"/>
              <w:rPr>
                <w:rFonts w:ascii="仿宋" w:hAnsi="仿宋" w:eastAsia="仿宋" w:cs="仿宋"/>
                <w:color w:val="auto"/>
                <w:szCs w:val="21"/>
                <w:highlight w:val="none"/>
              </w:rPr>
            </w:pPr>
          </w:p>
        </w:tc>
        <w:tc>
          <w:tcPr>
            <w:tcW w:w="2010" w:type="dxa"/>
          </w:tcPr>
          <w:p>
            <w:pPr>
              <w:widowControl/>
              <w:spacing w:after="0" w:line="360" w:lineRule="auto"/>
              <w:jc w:val="left"/>
              <w:rPr>
                <w:rFonts w:ascii="仿宋" w:hAnsi="仿宋" w:eastAsia="仿宋" w:cs="仿宋"/>
                <w:color w:val="auto"/>
                <w:szCs w:val="21"/>
                <w:highlight w:val="none"/>
              </w:rPr>
            </w:pPr>
          </w:p>
        </w:tc>
        <w:tc>
          <w:tcPr>
            <w:tcW w:w="2355" w:type="dxa"/>
          </w:tcPr>
          <w:p>
            <w:pPr>
              <w:widowControl/>
              <w:spacing w:after="0" w:line="360" w:lineRule="auto"/>
              <w:jc w:val="left"/>
              <w:rPr>
                <w:rFonts w:ascii="仿宋" w:hAnsi="仿宋" w:eastAsia="仿宋" w:cs="仿宋"/>
                <w:color w:val="auto"/>
                <w:szCs w:val="21"/>
                <w:highlight w:val="none"/>
              </w:rPr>
            </w:pPr>
          </w:p>
        </w:tc>
        <w:tc>
          <w:tcPr>
            <w:tcW w:w="1859" w:type="dxa"/>
          </w:tcPr>
          <w:p>
            <w:pPr>
              <w:widowControl/>
              <w:spacing w:after="0" w:line="360" w:lineRule="auto"/>
              <w:jc w:val="left"/>
              <w:rPr>
                <w:rFonts w:ascii="仿宋" w:hAnsi="仿宋" w:eastAsia="仿宋" w:cs="仿宋"/>
                <w:color w:val="auto"/>
                <w:szCs w:val="21"/>
                <w:highlight w:val="none"/>
              </w:rPr>
            </w:pPr>
          </w:p>
        </w:tc>
        <w:tc>
          <w:tcPr>
            <w:tcW w:w="2031" w:type="dxa"/>
          </w:tcPr>
          <w:p>
            <w:pPr>
              <w:widowControl/>
              <w:spacing w:after="0" w:line="360" w:lineRule="auto"/>
              <w:jc w:val="left"/>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tcPr>
          <w:p>
            <w:pPr>
              <w:widowControl/>
              <w:spacing w:after="0" w:line="360" w:lineRule="auto"/>
              <w:jc w:val="left"/>
              <w:rPr>
                <w:rFonts w:ascii="仿宋" w:hAnsi="仿宋" w:eastAsia="仿宋" w:cs="仿宋"/>
                <w:color w:val="auto"/>
                <w:szCs w:val="21"/>
                <w:highlight w:val="none"/>
              </w:rPr>
            </w:pPr>
          </w:p>
        </w:tc>
        <w:tc>
          <w:tcPr>
            <w:tcW w:w="2010" w:type="dxa"/>
          </w:tcPr>
          <w:p>
            <w:pPr>
              <w:widowControl/>
              <w:spacing w:after="0" w:line="360" w:lineRule="auto"/>
              <w:jc w:val="left"/>
              <w:rPr>
                <w:rFonts w:ascii="仿宋" w:hAnsi="仿宋" w:eastAsia="仿宋" w:cs="仿宋"/>
                <w:color w:val="auto"/>
                <w:szCs w:val="21"/>
                <w:highlight w:val="none"/>
              </w:rPr>
            </w:pPr>
          </w:p>
        </w:tc>
        <w:tc>
          <w:tcPr>
            <w:tcW w:w="2355" w:type="dxa"/>
          </w:tcPr>
          <w:p>
            <w:pPr>
              <w:widowControl/>
              <w:spacing w:after="0" w:line="360" w:lineRule="auto"/>
              <w:jc w:val="left"/>
              <w:rPr>
                <w:rFonts w:ascii="仿宋" w:hAnsi="仿宋" w:eastAsia="仿宋" w:cs="仿宋"/>
                <w:color w:val="auto"/>
                <w:szCs w:val="21"/>
                <w:highlight w:val="none"/>
              </w:rPr>
            </w:pPr>
          </w:p>
        </w:tc>
        <w:tc>
          <w:tcPr>
            <w:tcW w:w="1859" w:type="dxa"/>
          </w:tcPr>
          <w:p>
            <w:pPr>
              <w:widowControl/>
              <w:spacing w:after="0" w:line="360" w:lineRule="auto"/>
              <w:jc w:val="left"/>
              <w:rPr>
                <w:rFonts w:ascii="仿宋" w:hAnsi="仿宋" w:eastAsia="仿宋" w:cs="仿宋"/>
                <w:color w:val="auto"/>
                <w:szCs w:val="21"/>
                <w:highlight w:val="none"/>
              </w:rPr>
            </w:pPr>
          </w:p>
        </w:tc>
        <w:tc>
          <w:tcPr>
            <w:tcW w:w="2031" w:type="dxa"/>
          </w:tcPr>
          <w:p>
            <w:pPr>
              <w:widowControl/>
              <w:spacing w:after="0" w:line="360" w:lineRule="auto"/>
              <w:jc w:val="left"/>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tcPr>
          <w:p>
            <w:pPr>
              <w:widowControl/>
              <w:spacing w:after="0" w:line="360" w:lineRule="auto"/>
              <w:jc w:val="left"/>
              <w:rPr>
                <w:rFonts w:ascii="仿宋" w:hAnsi="仿宋" w:eastAsia="仿宋" w:cs="仿宋"/>
                <w:color w:val="auto"/>
                <w:szCs w:val="21"/>
                <w:highlight w:val="none"/>
              </w:rPr>
            </w:pPr>
          </w:p>
        </w:tc>
        <w:tc>
          <w:tcPr>
            <w:tcW w:w="2010" w:type="dxa"/>
          </w:tcPr>
          <w:p>
            <w:pPr>
              <w:widowControl/>
              <w:spacing w:after="0" w:line="360" w:lineRule="auto"/>
              <w:jc w:val="left"/>
              <w:rPr>
                <w:rFonts w:ascii="仿宋" w:hAnsi="仿宋" w:eastAsia="仿宋" w:cs="仿宋"/>
                <w:color w:val="auto"/>
                <w:szCs w:val="21"/>
                <w:highlight w:val="none"/>
              </w:rPr>
            </w:pPr>
          </w:p>
        </w:tc>
        <w:tc>
          <w:tcPr>
            <w:tcW w:w="2355" w:type="dxa"/>
          </w:tcPr>
          <w:p>
            <w:pPr>
              <w:widowControl/>
              <w:spacing w:after="0" w:line="360" w:lineRule="auto"/>
              <w:jc w:val="left"/>
              <w:rPr>
                <w:rFonts w:ascii="仿宋" w:hAnsi="仿宋" w:eastAsia="仿宋" w:cs="仿宋"/>
                <w:color w:val="auto"/>
                <w:szCs w:val="21"/>
                <w:highlight w:val="none"/>
              </w:rPr>
            </w:pPr>
          </w:p>
        </w:tc>
        <w:tc>
          <w:tcPr>
            <w:tcW w:w="1859" w:type="dxa"/>
          </w:tcPr>
          <w:p>
            <w:pPr>
              <w:widowControl/>
              <w:spacing w:after="0" w:line="360" w:lineRule="auto"/>
              <w:jc w:val="left"/>
              <w:rPr>
                <w:rFonts w:ascii="仿宋" w:hAnsi="仿宋" w:eastAsia="仿宋" w:cs="仿宋"/>
                <w:color w:val="auto"/>
                <w:szCs w:val="21"/>
                <w:highlight w:val="none"/>
              </w:rPr>
            </w:pPr>
          </w:p>
        </w:tc>
        <w:tc>
          <w:tcPr>
            <w:tcW w:w="2031" w:type="dxa"/>
          </w:tcPr>
          <w:p>
            <w:pPr>
              <w:widowControl/>
              <w:spacing w:after="0" w:line="360" w:lineRule="auto"/>
              <w:jc w:val="left"/>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tcPr>
          <w:p>
            <w:pPr>
              <w:widowControl/>
              <w:spacing w:after="0" w:line="360" w:lineRule="auto"/>
              <w:jc w:val="left"/>
              <w:rPr>
                <w:rFonts w:ascii="仿宋" w:hAnsi="仿宋" w:eastAsia="仿宋" w:cs="仿宋"/>
                <w:color w:val="auto"/>
                <w:szCs w:val="21"/>
                <w:highlight w:val="none"/>
              </w:rPr>
            </w:pPr>
          </w:p>
        </w:tc>
        <w:tc>
          <w:tcPr>
            <w:tcW w:w="2010" w:type="dxa"/>
          </w:tcPr>
          <w:p>
            <w:pPr>
              <w:widowControl/>
              <w:spacing w:after="0" w:line="360" w:lineRule="auto"/>
              <w:jc w:val="left"/>
              <w:rPr>
                <w:rFonts w:ascii="仿宋" w:hAnsi="仿宋" w:eastAsia="仿宋" w:cs="仿宋"/>
                <w:color w:val="auto"/>
                <w:szCs w:val="21"/>
                <w:highlight w:val="none"/>
              </w:rPr>
            </w:pPr>
          </w:p>
        </w:tc>
        <w:tc>
          <w:tcPr>
            <w:tcW w:w="2355" w:type="dxa"/>
          </w:tcPr>
          <w:p>
            <w:pPr>
              <w:widowControl/>
              <w:spacing w:after="0" w:line="360" w:lineRule="auto"/>
              <w:jc w:val="left"/>
              <w:rPr>
                <w:rFonts w:ascii="仿宋" w:hAnsi="仿宋" w:eastAsia="仿宋" w:cs="仿宋"/>
                <w:color w:val="auto"/>
                <w:szCs w:val="21"/>
                <w:highlight w:val="none"/>
              </w:rPr>
            </w:pPr>
          </w:p>
        </w:tc>
        <w:tc>
          <w:tcPr>
            <w:tcW w:w="1859" w:type="dxa"/>
          </w:tcPr>
          <w:p>
            <w:pPr>
              <w:widowControl/>
              <w:spacing w:after="0" w:line="360" w:lineRule="auto"/>
              <w:jc w:val="left"/>
              <w:rPr>
                <w:rFonts w:ascii="仿宋" w:hAnsi="仿宋" w:eastAsia="仿宋" w:cs="仿宋"/>
                <w:color w:val="auto"/>
                <w:szCs w:val="21"/>
                <w:highlight w:val="none"/>
              </w:rPr>
            </w:pPr>
          </w:p>
        </w:tc>
        <w:tc>
          <w:tcPr>
            <w:tcW w:w="2031" w:type="dxa"/>
          </w:tcPr>
          <w:p>
            <w:pPr>
              <w:widowControl/>
              <w:spacing w:after="0" w:line="360" w:lineRule="auto"/>
              <w:jc w:val="left"/>
              <w:rPr>
                <w:rFonts w:ascii="仿宋" w:hAnsi="仿宋" w:eastAsia="仿宋" w:cs="仿宋"/>
                <w:color w:val="auto"/>
                <w:szCs w:val="21"/>
                <w:highlight w:val="none"/>
              </w:rPr>
            </w:pPr>
          </w:p>
        </w:tc>
      </w:tr>
    </w:tbl>
    <w:p>
      <w:pPr>
        <w:widowControl/>
        <w:spacing w:after="0" w:line="360" w:lineRule="auto"/>
        <w:ind w:firstLine="482" w:firstLineChars="200"/>
        <w:jc w:val="left"/>
        <w:rPr>
          <w:rFonts w:ascii="仿宋" w:hAnsi="仿宋" w:eastAsia="仿宋" w:cs="仿宋"/>
          <w:b/>
          <w:bCs/>
          <w:color w:val="auto"/>
          <w:sz w:val="24"/>
          <w:highlight w:val="none"/>
        </w:rPr>
      </w:pPr>
    </w:p>
    <w:p>
      <w:pPr>
        <w:widowControl/>
        <w:spacing w:after="0"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注：</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1、以上表格格式可增减。</w:t>
      </w:r>
    </w:p>
    <w:p>
      <w:pPr>
        <w:widowControl/>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w:t>
      </w:r>
      <w:r>
        <w:rPr>
          <w:rFonts w:ascii="仿宋" w:hAnsi="仿宋" w:eastAsia="仿宋"/>
          <w:color w:val="auto"/>
          <w:sz w:val="24"/>
          <w:highlight w:val="none"/>
        </w:rPr>
        <w:t xml:space="preserve"> </w:t>
      </w:r>
      <w:r>
        <w:rPr>
          <w:rFonts w:hint="eastAsia" w:ascii="仿宋" w:hAnsi="仿宋" w:eastAsia="仿宋"/>
          <w:color w:val="auto"/>
          <w:sz w:val="24"/>
          <w:highlight w:val="none"/>
        </w:rPr>
        <w:t>供应商必须把招标文件</w:t>
      </w:r>
      <w:r>
        <w:rPr>
          <w:rFonts w:hint="eastAsia" w:ascii="仿宋" w:hAnsi="仿宋" w:eastAsia="仿宋"/>
          <w:b w:val="0"/>
          <w:bCs w:val="0"/>
          <w:color w:val="auto"/>
          <w:sz w:val="24"/>
          <w:highlight w:val="none"/>
        </w:rPr>
        <w:t>第</w:t>
      </w:r>
      <w:r>
        <w:rPr>
          <w:rFonts w:hint="eastAsia" w:ascii="仿宋" w:hAnsi="仿宋" w:eastAsia="仿宋"/>
          <w:b w:val="0"/>
          <w:bCs w:val="0"/>
          <w:color w:val="auto"/>
          <w:sz w:val="24"/>
          <w:highlight w:val="none"/>
          <w:lang w:eastAsia="zh-CN"/>
        </w:rPr>
        <w:t>四</w:t>
      </w:r>
      <w:r>
        <w:rPr>
          <w:rFonts w:hint="eastAsia" w:ascii="仿宋" w:hAnsi="仿宋" w:eastAsia="仿宋"/>
          <w:b w:val="0"/>
          <w:bCs w:val="0"/>
          <w:color w:val="auto"/>
          <w:sz w:val="24"/>
          <w:highlight w:val="none"/>
        </w:rPr>
        <w:t>章</w:t>
      </w:r>
      <w:r>
        <w:rPr>
          <w:rFonts w:hint="eastAsia" w:ascii="仿宋" w:hAnsi="仿宋" w:eastAsia="仿宋"/>
          <w:b w:val="0"/>
          <w:bCs w:val="0"/>
          <w:color w:val="auto"/>
          <w:sz w:val="24"/>
          <w:highlight w:val="none"/>
          <w:lang w:val="en-US" w:eastAsia="zh-CN"/>
        </w:rPr>
        <w:t xml:space="preserve"> “三、技术要求&amp;四、服务要求”</w:t>
      </w:r>
      <w:r>
        <w:rPr>
          <w:rFonts w:hint="eastAsia" w:ascii="仿宋" w:hAnsi="仿宋" w:eastAsia="仿宋"/>
          <w:b w:val="0"/>
          <w:bCs w:val="0"/>
          <w:color w:val="auto"/>
          <w:sz w:val="24"/>
          <w:highlight w:val="none"/>
        </w:rPr>
        <w:t>全部要求</w:t>
      </w:r>
      <w:r>
        <w:rPr>
          <w:rFonts w:hint="eastAsia" w:ascii="仿宋" w:hAnsi="仿宋" w:eastAsia="仿宋"/>
          <w:color w:val="auto"/>
          <w:sz w:val="24"/>
          <w:highlight w:val="none"/>
        </w:rPr>
        <w:t>列入此表。</w:t>
      </w:r>
    </w:p>
    <w:p>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．按照招标项目的顺序逐条对应填写。</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．供应商必须据实填写，不得虚假填写，否则将取消其投标或中标资格。</w:t>
      </w:r>
    </w:p>
    <w:p>
      <w:pPr>
        <w:widowControl/>
        <w:spacing w:after="0" w:line="360" w:lineRule="auto"/>
        <w:ind w:firstLine="472" w:firstLineChars="196"/>
        <w:jc w:val="left"/>
        <w:rPr>
          <w:rFonts w:ascii="仿宋" w:hAnsi="仿宋" w:eastAsia="仿宋" w:cs="仿宋"/>
          <w:b/>
          <w:color w:val="auto"/>
          <w:sz w:val="24"/>
          <w:highlight w:val="none"/>
        </w:rPr>
      </w:pPr>
    </w:p>
    <w:p>
      <w:pPr>
        <w:adjustRightInd w:val="0"/>
        <w:spacing w:after="0" w:line="360" w:lineRule="auto"/>
        <w:ind w:firstLine="480" w:firstLineChars="200"/>
        <w:jc w:val="left"/>
        <w:rPr>
          <w:rFonts w:ascii="仿宋" w:hAnsi="仿宋" w:eastAsia="仿宋" w:cs="仿宋"/>
          <w:color w:val="auto"/>
          <w:sz w:val="24"/>
          <w:highlight w:val="none"/>
        </w:rPr>
      </w:pPr>
    </w:p>
    <w:bookmarkEnd w:id="156"/>
    <w:p>
      <w:pPr>
        <w:adjustRightInd w:val="0"/>
        <w:spacing w:after="0" w:line="360" w:lineRule="auto"/>
        <w:ind w:firstLine="480" w:firstLineChars="200"/>
        <w:jc w:val="left"/>
        <w:rPr>
          <w:rFonts w:ascii="仿宋" w:hAnsi="仿宋" w:eastAsia="仿宋" w:cs="仿宋"/>
          <w:color w:val="auto"/>
          <w:sz w:val="24"/>
          <w:highlight w:val="none"/>
        </w:rPr>
      </w:pPr>
      <w:bookmarkStart w:id="161" w:name="_Toc217446091"/>
      <w:r>
        <w:rPr>
          <w:rFonts w:hint="eastAsia" w:ascii="仿宋" w:hAnsi="仿宋" w:eastAsia="仿宋" w:cs="仿宋"/>
          <w:color w:val="auto"/>
          <w:sz w:val="24"/>
          <w:highlight w:val="none"/>
        </w:rPr>
        <w:t>投标人名称（盖章）：</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spacing w:after="0" w:line="360" w:lineRule="auto"/>
        <w:jc w:val="center"/>
        <w:outlineLvl w:val="2"/>
        <w:rPr>
          <w:rStyle w:val="63"/>
          <w:rFonts w:ascii="仿宋" w:hAnsi="仿宋" w:eastAsia="仿宋" w:cs="仿宋"/>
          <w:bCs w:val="0"/>
          <w:color w:val="auto"/>
          <w:highlight w:val="none"/>
        </w:rPr>
      </w:pPr>
      <w:r>
        <w:rPr>
          <w:rFonts w:hint="eastAsia" w:ascii="仿宋" w:hAnsi="仿宋" w:eastAsia="仿宋" w:cs="仿宋"/>
          <w:b/>
          <w:color w:val="auto"/>
          <w:sz w:val="32"/>
          <w:szCs w:val="32"/>
          <w:highlight w:val="none"/>
        </w:rPr>
        <w:br w:type="page"/>
      </w:r>
      <w:r>
        <w:rPr>
          <w:rStyle w:val="63"/>
          <w:rFonts w:hint="eastAsia" w:ascii="仿宋" w:hAnsi="仿宋" w:eastAsia="仿宋" w:cs="仿宋"/>
          <w:bCs w:val="0"/>
          <w:color w:val="auto"/>
          <w:highlight w:val="none"/>
        </w:rPr>
        <w:t>十、投标人本项目管理、技术、服务人员情况表</w:t>
      </w:r>
      <w:bookmarkEnd w:id="161"/>
    </w:p>
    <w:p>
      <w:pPr>
        <w:pStyle w:val="2"/>
        <w:spacing w:after="0"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（本格式为参考，投标人可根据实际情况进行调整）</w:t>
      </w:r>
    </w:p>
    <w:p>
      <w:pPr>
        <w:widowControl/>
        <w:spacing w:after="0"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p>
      <w:pPr>
        <w:widowControl/>
        <w:spacing w:after="0"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项目编号：</w:t>
      </w:r>
    </w:p>
    <w:p>
      <w:pPr>
        <w:pStyle w:val="2"/>
        <w:rPr>
          <w:rFonts w:ascii="仿宋" w:hAnsi="仿宋" w:eastAsia="仿宋" w:cs="仿宋"/>
          <w:color w:val="auto"/>
          <w:highlight w:val="none"/>
        </w:rPr>
      </w:pPr>
      <w:r>
        <w:rPr>
          <w:rFonts w:hint="eastAsia" w:ascii="仿宋" w:hAnsi="仿宋" w:eastAsia="仿宋" w:cs="仿宋"/>
          <w:b/>
          <w:bCs/>
          <w:color w:val="auto"/>
          <w:sz w:val="24"/>
          <w:szCs w:val="24"/>
          <w:highlight w:val="none"/>
        </w:rPr>
        <w:t>包号：</w:t>
      </w:r>
    </w:p>
    <w:tbl>
      <w:tblPr>
        <w:tblStyle w:val="34"/>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91"/>
        <w:gridCol w:w="992"/>
        <w:gridCol w:w="991"/>
        <w:gridCol w:w="991"/>
        <w:gridCol w:w="991"/>
        <w:gridCol w:w="991"/>
        <w:gridCol w:w="99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90" w:type="dxa"/>
            <w:vMerge w:val="restart"/>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类别</w:t>
            </w:r>
          </w:p>
        </w:tc>
        <w:tc>
          <w:tcPr>
            <w:tcW w:w="991" w:type="dxa"/>
            <w:vMerge w:val="restart"/>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职务</w:t>
            </w:r>
          </w:p>
        </w:tc>
        <w:tc>
          <w:tcPr>
            <w:tcW w:w="992" w:type="dxa"/>
            <w:vMerge w:val="restart"/>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姓名</w:t>
            </w:r>
          </w:p>
        </w:tc>
        <w:tc>
          <w:tcPr>
            <w:tcW w:w="991" w:type="dxa"/>
            <w:vMerge w:val="restart"/>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职称</w:t>
            </w:r>
          </w:p>
        </w:tc>
        <w:tc>
          <w:tcPr>
            <w:tcW w:w="991" w:type="dxa"/>
            <w:vMerge w:val="restart"/>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常住地</w:t>
            </w:r>
          </w:p>
        </w:tc>
        <w:tc>
          <w:tcPr>
            <w:tcW w:w="3965" w:type="dxa"/>
            <w:gridSpan w:val="4"/>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90" w:type="dxa"/>
            <w:vMerge w:val="continue"/>
            <w:vAlign w:val="center"/>
          </w:tcPr>
          <w:p>
            <w:pPr>
              <w:pStyle w:val="100"/>
              <w:snapToGrid w:val="0"/>
              <w:spacing w:after="0"/>
              <w:ind w:firstLine="420"/>
              <w:jc w:val="center"/>
              <w:rPr>
                <w:rFonts w:ascii="仿宋" w:hAnsi="仿宋" w:eastAsia="仿宋" w:cs="仿宋"/>
                <w:color w:val="auto"/>
                <w:kern w:val="0"/>
                <w:sz w:val="21"/>
                <w:szCs w:val="21"/>
                <w:highlight w:val="none"/>
              </w:rPr>
            </w:pPr>
          </w:p>
        </w:tc>
        <w:tc>
          <w:tcPr>
            <w:tcW w:w="991" w:type="dxa"/>
            <w:vMerge w:val="continue"/>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p>
        </w:tc>
        <w:tc>
          <w:tcPr>
            <w:tcW w:w="992" w:type="dxa"/>
            <w:vMerge w:val="continue"/>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p>
        </w:tc>
        <w:tc>
          <w:tcPr>
            <w:tcW w:w="991" w:type="dxa"/>
            <w:vMerge w:val="continue"/>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p>
        </w:tc>
        <w:tc>
          <w:tcPr>
            <w:tcW w:w="991" w:type="dxa"/>
            <w:vMerge w:val="continue"/>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p>
        </w:tc>
        <w:tc>
          <w:tcPr>
            <w:tcW w:w="991" w:type="dxa"/>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证书</w:t>
            </w:r>
          </w:p>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名称</w:t>
            </w:r>
          </w:p>
        </w:tc>
        <w:tc>
          <w:tcPr>
            <w:tcW w:w="991" w:type="dxa"/>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级别</w:t>
            </w:r>
          </w:p>
        </w:tc>
        <w:tc>
          <w:tcPr>
            <w:tcW w:w="992" w:type="dxa"/>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证号</w:t>
            </w:r>
          </w:p>
        </w:tc>
        <w:tc>
          <w:tcPr>
            <w:tcW w:w="991" w:type="dxa"/>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90" w:type="dxa"/>
            <w:vMerge w:val="restart"/>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w:t>
            </w:r>
          </w:p>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人员</w:t>
            </w: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90" w:type="dxa"/>
            <w:vMerge w:val="continue"/>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90" w:type="dxa"/>
            <w:vMerge w:val="continue"/>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90" w:type="dxa"/>
            <w:vMerge w:val="restart"/>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技术</w:t>
            </w:r>
          </w:p>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人员</w:t>
            </w: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90" w:type="dxa"/>
            <w:vMerge w:val="continue"/>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90" w:type="dxa"/>
            <w:vMerge w:val="continue"/>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90" w:type="dxa"/>
            <w:vMerge w:val="restart"/>
            <w:vAlign w:val="center"/>
          </w:tcPr>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w:t>
            </w:r>
          </w:p>
          <w:p>
            <w:pPr>
              <w:pStyle w:val="100"/>
              <w:snapToGrid w:val="0"/>
              <w:spacing w:after="0"/>
              <w:ind w:firstLine="0" w:firstLineChars="0"/>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人员</w:t>
            </w: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90" w:type="dxa"/>
            <w:vMerge w:val="continue"/>
          </w:tcPr>
          <w:p>
            <w:pPr>
              <w:pStyle w:val="100"/>
              <w:snapToGrid w:val="0"/>
              <w:spacing w:after="0"/>
              <w:ind w:firstLine="0" w:firstLineChars="0"/>
              <w:jc w:val="center"/>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90" w:type="dxa"/>
            <w:vMerge w:val="continue"/>
          </w:tcPr>
          <w:p>
            <w:pPr>
              <w:pStyle w:val="100"/>
              <w:snapToGrid w:val="0"/>
              <w:spacing w:after="0"/>
              <w:ind w:firstLine="0" w:firstLineChars="0"/>
              <w:jc w:val="center"/>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2" w:type="dxa"/>
          </w:tcPr>
          <w:p>
            <w:pPr>
              <w:pStyle w:val="100"/>
              <w:snapToGrid w:val="0"/>
              <w:spacing w:after="0"/>
              <w:ind w:firstLine="0" w:firstLineChars="0"/>
              <w:rPr>
                <w:rFonts w:ascii="仿宋" w:hAnsi="仿宋" w:eastAsia="仿宋" w:cs="仿宋"/>
                <w:color w:val="auto"/>
                <w:kern w:val="0"/>
                <w:sz w:val="21"/>
                <w:szCs w:val="21"/>
                <w:highlight w:val="none"/>
              </w:rPr>
            </w:pPr>
          </w:p>
        </w:tc>
        <w:tc>
          <w:tcPr>
            <w:tcW w:w="991" w:type="dxa"/>
          </w:tcPr>
          <w:p>
            <w:pPr>
              <w:pStyle w:val="100"/>
              <w:snapToGrid w:val="0"/>
              <w:spacing w:after="0"/>
              <w:ind w:firstLine="0" w:firstLineChars="0"/>
              <w:rPr>
                <w:rFonts w:ascii="仿宋" w:hAnsi="仿宋" w:eastAsia="仿宋" w:cs="仿宋"/>
                <w:color w:val="auto"/>
                <w:kern w:val="0"/>
                <w:sz w:val="21"/>
                <w:szCs w:val="21"/>
                <w:highlight w:val="none"/>
              </w:rPr>
            </w:pPr>
          </w:p>
        </w:tc>
      </w:tr>
    </w:tbl>
    <w:p>
      <w:pPr>
        <w:adjustRightInd w:val="0"/>
        <w:spacing w:after="0" w:line="360" w:lineRule="auto"/>
        <w:ind w:firstLine="480" w:firstLineChars="200"/>
        <w:jc w:val="left"/>
        <w:rPr>
          <w:rFonts w:ascii="仿宋" w:hAnsi="仿宋" w:eastAsia="仿宋" w:cs="仿宋"/>
          <w:color w:val="auto"/>
          <w:sz w:val="24"/>
          <w:highlight w:val="none"/>
        </w:rPr>
      </w:pPr>
    </w:p>
    <w:p>
      <w:pPr>
        <w:pStyle w:val="10"/>
        <w:spacing w:after="0" w:line="360" w:lineRule="auto"/>
        <w:ind w:firstLine="420"/>
        <w:rPr>
          <w:rFonts w:ascii="仿宋" w:hAnsi="仿宋" w:eastAsia="仿宋" w:cs="仿宋"/>
          <w:color w:val="auto"/>
          <w:highlight w:val="none"/>
        </w:rPr>
      </w:pPr>
    </w:p>
    <w:p>
      <w:pPr>
        <w:adjustRightInd w:val="0"/>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widowControl/>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widowControl/>
        <w:spacing w:after="0" w:line="360" w:lineRule="auto"/>
        <w:ind w:firstLine="472" w:firstLineChars="196"/>
        <w:jc w:val="left"/>
        <w:rPr>
          <w:rFonts w:ascii="仿宋" w:hAnsi="仿宋" w:eastAsia="仿宋" w:cs="仿宋"/>
          <w:b/>
          <w:color w:val="auto"/>
          <w:sz w:val="24"/>
          <w:highlight w:val="none"/>
        </w:rPr>
      </w:pPr>
    </w:p>
    <w:p>
      <w:pPr>
        <w:spacing w:after="0" w:line="360" w:lineRule="auto"/>
        <w:jc w:val="center"/>
        <w:outlineLvl w:val="2"/>
        <w:rPr>
          <w:rStyle w:val="63"/>
          <w:rFonts w:ascii="仿宋" w:hAnsi="仿宋" w:eastAsia="仿宋" w:cs="仿宋"/>
          <w:bCs w:val="0"/>
          <w:color w:val="auto"/>
          <w:highlight w:val="none"/>
        </w:rPr>
      </w:pPr>
      <w:r>
        <w:rPr>
          <w:rFonts w:hint="eastAsia" w:ascii="仿宋" w:hAnsi="仿宋" w:eastAsia="仿宋" w:cs="仿宋"/>
          <w:b/>
          <w:color w:val="auto"/>
          <w:sz w:val="24"/>
          <w:highlight w:val="none"/>
        </w:rPr>
        <w:br w:type="page"/>
      </w:r>
      <w:r>
        <w:rPr>
          <w:rStyle w:val="63"/>
          <w:rFonts w:hint="eastAsia" w:ascii="仿宋" w:hAnsi="仿宋" w:eastAsia="仿宋" w:cs="仿宋"/>
          <w:bCs w:val="0"/>
          <w:color w:val="auto"/>
          <w:highlight w:val="none"/>
        </w:rPr>
        <w:t>十一、实施方案</w:t>
      </w:r>
    </w:p>
    <w:p>
      <w:pPr>
        <w:pStyle w:val="2"/>
        <w:spacing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t>（格式自拟）</w:t>
      </w:r>
    </w:p>
    <w:p>
      <w:pPr>
        <w:pStyle w:val="25"/>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p>
    <w:p>
      <w:pPr>
        <w:pStyle w:val="25"/>
        <w:spacing w:after="0" w:line="360" w:lineRule="auto"/>
        <w:rPr>
          <w:rFonts w:ascii="仿宋" w:hAnsi="仿宋" w:eastAsia="仿宋" w:cs="仿宋"/>
          <w:color w:val="auto"/>
          <w:highlight w:val="none"/>
        </w:rPr>
        <w:sectPr>
          <w:pgSz w:w="11906" w:h="16838"/>
          <w:pgMar w:top="1440" w:right="1800" w:bottom="1440" w:left="1800" w:header="851" w:footer="992" w:gutter="0"/>
          <w:pgNumType w:fmt="decimal"/>
          <w:cols w:space="720" w:num="1"/>
          <w:docGrid w:type="lines" w:linePitch="312" w:charSpace="0"/>
        </w:sectPr>
      </w:pPr>
    </w:p>
    <w:p>
      <w:pPr>
        <w:spacing w:after="0" w:line="360" w:lineRule="auto"/>
        <w:jc w:val="center"/>
        <w:outlineLvl w:val="2"/>
        <w:rPr>
          <w:rStyle w:val="63"/>
          <w:rFonts w:ascii="仿宋" w:hAnsi="仿宋" w:eastAsia="仿宋" w:cs="仿宋"/>
          <w:bCs w:val="0"/>
          <w:color w:val="auto"/>
          <w:highlight w:val="none"/>
        </w:rPr>
      </w:pPr>
      <w:r>
        <w:rPr>
          <w:rStyle w:val="63"/>
          <w:rFonts w:hint="eastAsia" w:ascii="仿宋" w:hAnsi="仿宋" w:eastAsia="仿宋" w:cs="仿宋"/>
          <w:bCs w:val="0"/>
          <w:color w:val="auto"/>
          <w:highlight w:val="none"/>
        </w:rPr>
        <w:t>十二、其他部分</w:t>
      </w:r>
    </w:p>
    <w:p>
      <w:pPr>
        <w:pStyle w:val="2"/>
        <w:spacing w:after="0" w:line="360" w:lineRule="auto"/>
        <w:jc w:val="center"/>
        <w:rPr>
          <w:rFonts w:ascii="仿宋" w:hAnsi="仿宋" w:eastAsia="仿宋" w:cs="仿宋"/>
          <w:color w:val="auto"/>
          <w:highlight w:val="none"/>
        </w:rPr>
      </w:pPr>
      <w:r>
        <w:rPr>
          <w:rFonts w:hint="eastAsia" w:ascii="仿宋" w:hAnsi="仿宋" w:eastAsia="仿宋" w:cs="仿宋"/>
          <w:color w:val="auto"/>
          <w:highlight w:val="none"/>
        </w:rPr>
        <w:t>（格式自拟）</w:t>
      </w:r>
    </w:p>
    <w:bookmarkEnd w:id="155"/>
    <w:p>
      <w:pPr>
        <w:pStyle w:val="4"/>
        <w:spacing w:before="0" w:after="0" w:line="360" w:lineRule="auto"/>
        <w:jc w:val="center"/>
        <w:rPr>
          <w:rFonts w:ascii="仿宋" w:hAnsi="仿宋" w:eastAsia="仿宋" w:cs="仿宋"/>
          <w:color w:val="auto"/>
          <w:highlight w:val="none"/>
        </w:rPr>
      </w:pPr>
      <w:bookmarkStart w:id="162" w:name="_Toc2122"/>
      <w:bookmarkStart w:id="163" w:name="_Toc31277"/>
      <w:bookmarkStart w:id="164" w:name="_Toc7295"/>
      <w:bookmarkStart w:id="165" w:name="_Toc15277_WPSOffice_Level1"/>
      <w:bookmarkStart w:id="166" w:name="_Toc217446093"/>
      <w:bookmarkStart w:id="167" w:name="PO_默认文件内容_32"/>
      <w:r>
        <w:rPr>
          <w:rFonts w:hint="eastAsia" w:ascii="仿宋" w:hAnsi="仿宋" w:eastAsia="仿宋" w:cs="仿宋"/>
          <w:b w:val="0"/>
          <w:bCs w:val="0"/>
          <w:color w:val="auto"/>
          <w:spacing w:val="10"/>
          <w:kern w:val="2"/>
          <w:sz w:val="21"/>
          <w:szCs w:val="28"/>
          <w:highlight w:val="none"/>
        </w:rPr>
        <w:br w:type="page"/>
      </w:r>
      <w:r>
        <w:rPr>
          <w:rFonts w:hint="eastAsia" w:ascii="仿宋" w:hAnsi="仿宋" w:eastAsia="仿宋" w:cs="仿宋"/>
          <w:color w:val="auto"/>
          <w:highlight w:val="none"/>
        </w:rPr>
        <w:t xml:space="preserve">第四章  </w:t>
      </w:r>
      <w:bookmarkEnd w:id="162"/>
      <w:bookmarkEnd w:id="163"/>
      <w:r>
        <w:rPr>
          <w:rFonts w:hint="eastAsia" w:ascii="仿宋" w:hAnsi="仿宋" w:eastAsia="仿宋" w:cs="仿宋"/>
          <w:color w:val="auto"/>
          <w:highlight w:val="none"/>
        </w:rPr>
        <w:t>招标项目服务、商务及其他要求</w:t>
      </w:r>
      <w:bookmarkEnd w:id="164"/>
      <w:bookmarkEnd w:id="165"/>
    </w:p>
    <w:bookmarkEnd w:id="166"/>
    <w:p>
      <w:pPr>
        <w:pStyle w:val="100"/>
        <w:ind w:firstLine="0" w:firstLineChars="0"/>
        <w:rPr>
          <w:rFonts w:ascii="仿宋" w:hAnsi="仿宋" w:eastAsia="仿宋" w:cs="仿宋"/>
          <w:b/>
          <w:color w:val="auto"/>
          <w:sz w:val="28"/>
          <w:highlight w:val="none"/>
        </w:rPr>
      </w:pPr>
      <w:bookmarkStart w:id="168" w:name="_Toc217446094"/>
      <w:bookmarkStart w:id="169" w:name="_Toc11092"/>
      <w:bookmarkStart w:id="170" w:name="_Toc31810"/>
      <w:bookmarkStart w:id="171" w:name="_Toc24786"/>
      <w:r>
        <w:rPr>
          <w:rFonts w:hint="eastAsia" w:ascii="仿宋" w:hAnsi="仿宋" w:eastAsia="仿宋" w:cs="仿宋"/>
          <w:b/>
          <w:color w:val="auto"/>
          <w:sz w:val="28"/>
          <w:highlight w:val="none"/>
        </w:rPr>
        <w:t>一、项目概述</w:t>
      </w:r>
      <w:bookmarkEnd w:id="168"/>
      <w:bookmarkStart w:id="172" w:name="PO_默认文件内容_21"/>
      <w:bookmarkStart w:id="173" w:name="_Toc217446095"/>
    </w:p>
    <w:bookmarkEnd w:id="172"/>
    <w:bookmarkEnd w:id="173"/>
    <w:p>
      <w:pPr>
        <w:rPr>
          <w:rFonts w:ascii="仿宋" w:hAnsi="仿宋" w:eastAsia="仿宋" w:cs="仿宋"/>
          <w:b/>
          <w:bCs/>
          <w:color w:val="auto"/>
          <w:sz w:val="28"/>
          <w:szCs w:val="28"/>
          <w:highlight w:val="none"/>
        </w:rPr>
      </w:pPr>
      <w:bookmarkStart w:id="174" w:name="_Toc497213329"/>
      <w:bookmarkStart w:id="175" w:name="_Toc497142925"/>
      <w:bookmarkStart w:id="176" w:name="_Toc497900722"/>
      <w:bookmarkStart w:id="177" w:name="_Toc496882476"/>
      <w:r>
        <w:rPr>
          <w:rFonts w:hint="eastAsia" w:ascii="仿宋" w:hAnsi="仿宋" w:eastAsia="仿宋" w:cs="仿宋"/>
          <w:b/>
          <w:bCs/>
          <w:color w:val="auto"/>
          <w:sz w:val="28"/>
          <w:szCs w:val="28"/>
          <w:highlight w:val="none"/>
        </w:rPr>
        <w:t>项目概述</w:t>
      </w:r>
      <w:bookmarkEnd w:id="174"/>
      <w:bookmarkEnd w:id="175"/>
      <w:bookmarkEnd w:id="176"/>
      <w:bookmarkEnd w:id="177"/>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青羊区位于成都市核心区域，承担着成都建设全面体现新发展理念的国家中心城市的“中优”使命，随着青羊“宜居、宜业、宜游的新中心城区”城市高速发展，以及“智慧青羊”进程的不断加快，外来人口持续增加，人、车、物的流动，不论从流量还是流速都呈明显加速态势，且流向更加多元化、随机性更强。这些都使得青羊区社会治安形势的日益严峻，治安形势的多样性、复杂性、犯罪作案手段的隐蔽性以及刑事案件地高发，对青羊公安提出了更高的要求。特别是新冠肺炎疫情期间，给公安治安防范工作增加了一系列的特殊性和复杂性，同时对公安“天网”的建设工作也提出了更高的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青羊天网”经过前几期的建设，接入层已经拥有6036路高清网络摄像机的前端感知源点位，以及联网2643路点位（200个辅助卡口、978个社会点位、1465个雪亮工程点位），数据层具有视频图像存储系统和视图库系统，应用层具有四套人脸识别系统、两套视频全结构系统、一套立体化防控平台、一套人脸综合应用平台等应用系统。</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为适应我区社会、经济的高速发展的配套需求，使“青羊天网”能更加有效地发挥维护社会稳定、预防打击犯罪、服务城市管理等作用，进一步提升全区人民群众的安全感和幸福指数，我局对全区“天网”点位布局和使用情况进行了梳理，目前随着城乡一体化的加快，随着城市的发展、周边游升温，当前的“天网”监控系统已不能完全满足公安日常工作需要，我区高发案小区、交通事故易发多发路段、社会治安热点区域、新建道路等重点区域，存在的监控盲区，急需新增补盲点位，同时一部分前期存量天网点位因设备老化或损坏、技术落伍、图像质量差等问题，已无法满足现有业务需求，急需对其进行升级改造。目前公安对智能化应用更加深入的需求和在数据量越来越大的今天，如何提高有用数据的采集量、提高数据（视频及图片）资源共享、提高案件处理效率、提高破案率，是当前摆在我们面前的主要问题。</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在对目前“青羊天网”系统现状及实际需求研究的基础上，提出本项目的建设需求。</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建设目标</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青羊公安为了更好适应青羊区社会、经济的高速发展的配套需求，使“智慧天网”能更加有效地发挥维护社会稳定、预防打击犯罪、服务城市管理、提升公共卫生防疫水平等作用，进一步增强全区人民群众的安全感和幸福指数，对全区“天网”点位布局和使用情况进行了梳理。针对区内案件高发案区域、交通事故易发多发路段、社会治安热点区域、以及全区重要的公共医疗卫生机构周边进行“视频覆盖+全结构化数据采集”点位的针对性增补，形成布局合理、覆盖区域更全面的监控网络，将为刑事案件、治安案件、预防打击犯罪和突发性治安事件等提供可靠的影像资源，为一线警种在办案时提供线索、证据，提高各相关单位/部门办事效率。</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本次项目将继续对智能化应用进行更加深入的投入和应用。重点是在提高有用数据的采集量、提高数据（视频及图片）资源共享、提高案件处理效率、提高破案率等方面进行对应的技术平台功能的升级。</w:t>
      </w:r>
    </w:p>
    <w:p>
      <w:pPr>
        <w:rPr>
          <w:rFonts w:ascii="仿宋" w:hAnsi="仿宋" w:eastAsia="仿宋" w:cs="仿宋"/>
          <w:b/>
          <w:bCs/>
          <w:color w:val="auto"/>
          <w:sz w:val="28"/>
          <w:szCs w:val="28"/>
          <w:highlight w:val="none"/>
        </w:rPr>
      </w:pPr>
      <w:bookmarkStart w:id="178" w:name="_Toc496882477"/>
      <w:bookmarkStart w:id="179" w:name="_Toc497900723"/>
      <w:r>
        <w:rPr>
          <w:rFonts w:hint="eastAsia" w:ascii="仿宋" w:hAnsi="仿宋" w:eastAsia="仿宋" w:cs="仿宋"/>
          <w:b/>
          <w:bCs/>
          <w:color w:val="auto"/>
          <w:sz w:val="28"/>
          <w:szCs w:val="28"/>
          <w:highlight w:val="none"/>
        </w:rPr>
        <w:t>二、采购</w:t>
      </w:r>
      <w:bookmarkEnd w:id="178"/>
      <w:bookmarkEnd w:id="179"/>
      <w:r>
        <w:rPr>
          <w:rFonts w:hint="eastAsia" w:ascii="仿宋" w:hAnsi="仿宋" w:eastAsia="仿宋" w:cs="仿宋"/>
          <w:b/>
          <w:bCs/>
          <w:color w:val="auto"/>
          <w:sz w:val="28"/>
          <w:szCs w:val="28"/>
          <w:highlight w:val="none"/>
        </w:rPr>
        <w:t>内容及设计依据</w:t>
      </w:r>
    </w:p>
    <w:p>
      <w:pPr>
        <w:rPr>
          <w:rFonts w:ascii="仿宋" w:hAnsi="仿宋" w:eastAsia="仿宋" w:cs="仿宋"/>
          <w:b/>
          <w:bCs/>
          <w:color w:val="auto"/>
          <w:sz w:val="28"/>
          <w:szCs w:val="28"/>
          <w:highlight w:val="none"/>
        </w:rPr>
      </w:pPr>
      <w:bookmarkStart w:id="180" w:name="_Toc496882480"/>
      <w:bookmarkStart w:id="181" w:name="_Toc497900726"/>
      <w:r>
        <w:rPr>
          <w:rFonts w:hint="eastAsia" w:ascii="仿宋" w:hAnsi="仿宋" w:eastAsia="仿宋" w:cs="仿宋"/>
          <w:b/>
          <w:bCs/>
          <w:color w:val="auto"/>
          <w:sz w:val="28"/>
          <w:szCs w:val="28"/>
          <w:highlight w:val="none"/>
        </w:rPr>
        <w:t>采购内容</w:t>
      </w:r>
      <w:bookmarkEnd w:id="180"/>
      <w:bookmarkEnd w:id="181"/>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本项目建设升级改造600个天网点位（包括600台球机、600台枪机）、28个天网卡口点位以及相对应的后端视频存储、全结构化系统软硬件、扩容公安视频图像信息数据库、立体化防控平台升级、网络安全设备。</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本项目按1228个点位计算每年的租赁服务费。</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采购内容具体如下：</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（1）升级改造600台400W像素星光级全结构化球机。</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（2）新/改建 600台(升级改造400台、新增200台)400W像素星光级全结构化枪机。</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（3）升级改造28个天网辅助卡口摄像机及后端平台。</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（4）配套存储系统：600台球机、600台枪机、28个天网辅助卡口摄像机的视频集中存储均达到32天。天网摄像机抓拍图片、卡口摄像机抓拍图片集中存储不低于183天，结构化数据不低于366天。</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（5）提供两种全结构化图片流分析应用模块算法软件。</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（6）按照单日1200万张照片的抓拍总量扩容公安视频图像信息数据库。</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（7）立体化防控平台升级。</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（8）流媒体转发能力扩容，提供不低于120路6M码流的流媒体转发能力。</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（9）建设全结构化分析应用系统硬件，部署本项目全结构化图片流分析应用模块算法软件。</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（10）提供本项目相应的前端以及中心所有相关的传输网络、配套的硬件设备和网络安全设备。</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（11）提供本项目所需存放所有后台设备的专用机房及配套设施等。</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（12）提供本项目前端点位建设所需的电力引入建设及维护（含三年电费）。</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（13）包含三年有线光纤、三年整体维护费用（含分局、派出所、警务室、外联单位系统等运维服务，要求维护单位配备不低于5个人2辆车）、系统软件的对接开发及升级服务。</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（14）包含以上系统所有设备、设施及相关对接接口的开发费用以及与天网相关的应急保障工作费用。</w:t>
      </w:r>
    </w:p>
    <w:p>
      <w:pPr>
        <w:spacing w:line="360" w:lineRule="auto"/>
        <w:rPr>
          <w:rFonts w:ascii="仿宋" w:hAnsi="仿宋" w:eastAsia="仿宋" w:cs="仿宋"/>
          <w:color w:val="auto"/>
          <w:sz w:val="24"/>
          <w:highlight w:val="none"/>
        </w:rPr>
      </w:pPr>
      <w:bookmarkStart w:id="182" w:name="_Toc496882481"/>
      <w:bookmarkStart w:id="183" w:name="_Toc497900727"/>
      <w:r>
        <w:rPr>
          <w:rFonts w:hint="eastAsia" w:ascii="仿宋" w:hAnsi="仿宋" w:eastAsia="仿宋" w:cs="仿宋"/>
          <w:color w:val="auto"/>
          <w:sz w:val="24"/>
          <w:highlight w:val="none"/>
        </w:rPr>
        <w:t>设计依据</w:t>
      </w:r>
      <w:bookmarkEnd w:id="182"/>
      <w:bookmarkEnd w:id="183"/>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（1）国标部分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《公共安全视频监控联网系统信息传输、交换、控制技术要求》（GB/T28181-2016）</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《民用闭路监视电视系统工程技术规范》(GB50198-2016)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《建筑及建筑群综合布线工程设计规范》（GB/T50311-2007）</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《安全防范视频监控数字音频视频编解码技术要求》（GB/T25724-2017）</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《安全防范工程技术规范》(GB50348-2018)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《视频安防视频监控系统工程设计规范》（GB50395-2016）</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《建筑物防雷设计规范》(GB50057-2010)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《建筑物电子信息系统防雷技术规范》(GB50343-2012)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《数据中心设计规范》(GB 50174-2017)</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《公共安全视频监控联网信息安全技术要求》（GB 35114-2017）</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（2）公安部行业标准部分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《视频安防监控系统技术要求》（GA/T367-2001）</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《安全防范系统通用图形符号》（GA/T74-2017）</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《视频安防监控系统前端设备控制协议V1.0》（GA/T647-2006）</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《城市监控报警联网系统管理标准第1部分：图像信息釆集、接入、使用管理要求》（GA/T 792.1-2008）</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《视频安防监控系统变速球型摄像机》（GA/T645-2014）</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《安全防范系统雷电浪涌防护技术要求》(GA/T670-2006)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《城市监控报警联网系统合格评定第1部分：系统功能性能检验规范》（GA793.1-2008）</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《城市监控报警联网系统合格评定第2部分：管理平台软件测试规范》（GA793.2-2008）</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《城市监控报警联网系统合格评定第3部分：系统验收规范》（GA793.3-2008）</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《公安视频图像分析系统》（GA/T 1399-2017）</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《公安视频图像信息应用系统》（GA/T 1400-2017）</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（3）政府行业主管单位相关文件（以最新的版本为准）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公安部《城市报警与监控系统建设技术性指导文件》</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公安部《城市报警与监控系统方案设计要素》</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公安部信息通信局《公安信息移动应用系统建设技术指导书》</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公安部信息通信局《公安信息通信网络运行管理暂行规定》</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四川省公安厅《四川省城市报警与监控系统技术规范（征求意见稿）》</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《四川省公安机关监控报警工程建设与验收规范》</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《成都市公安视频图像信息应用系统技术手册》</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《成都市视频专网建设技术手册》</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《成都市公安局人脸识别系统联网应用技术规范》</w:t>
      </w:r>
    </w:p>
    <w:p>
      <w:pPr>
        <w:spacing w:line="360" w:lineRule="auto"/>
        <w:rPr>
          <w:rFonts w:ascii="仿宋" w:hAnsi="仿宋" w:eastAsia="仿宋" w:cs="仿宋"/>
          <w:b/>
          <w:bCs/>
          <w:color w:val="auto"/>
          <w:sz w:val="28"/>
          <w:szCs w:val="28"/>
          <w:highlight w:val="none"/>
        </w:rPr>
      </w:pPr>
      <w:bookmarkStart w:id="184" w:name="_Toc14334"/>
      <w:bookmarkStart w:id="185" w:name="_Toc26355"/>
      <w:bookmarkStart w:id="186" w:name="_Toc94085400"/>
      <w:bookmarkStart w:id="187" w:name="_Toc9639"/>
      <w:bookmarkStart w:id="188" w:name="_Toc31241"/>
      <w:bookmarkStart w:id="189" w:name="_Toc16520"/>
      <w:bookmarkStart w:id="190" w:name="_Toc24173"/>
      <w:r>
        <w:rPr>
          <w:rFonts w:hint="eastAsia" w:ascii="仿宋" w:hAnsi="仿宋" w:eastAsia="仿宋" w:cs="仿宋"/>
          <w:b/>
          <w:bCs/>
          <w:color w:val="auto"/>
          <w:sz w:val="28"/>
          <w:szCs w:val="28"/>
          <w:highlight w:val="none"/>
        </w:rPr>
        <w:t>建设周期</w:t>
      </w:r>
      <w:bookmarkEnd w:id="184"/>
      <w:bookmarkEnd w:id="185"/>
      <w:bookmarkEnd w:id="186"/>
      <w:bookmarkEnd w:id="187"/>
      <w:bookmarkEnd w:id="188"/>
      <w:bookmarkEnd w:id="189"/>
      <w:bookmarkEnd w:id="190"/>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项目建设周期：合同签订后60天。</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项目租赁服务周期：三年。</w:t>
      </w:r>
    </w:p>
    <w:p>
      <w:pPr>
        <w:spacing w:line="360" w:lineRule="auto"/>
        <w:rPr>
          <w:rFonts w:ascii="仿宋" w:hAnsi="仿宋" w:eastAsia="仿宋" w:cs="仿宋"/>
          <w:b/>
          <w:bCs/>
          <w:color w:val="auto"/>
          <w:sz w:val="28"/>
          <w:szCs w:val="28"/>
          <w:highlight w:val="none"/>
        </w:rPr>
      </w:pPr>
      <w:bookmarkStart w:id="191" w:name="_Toc11052"/>
      <w:bookmarkStart w:id="192" w:name="_Toc19706"/>
      <w:bookmarkStart w:id="193" w:name="_Toc94085401"/>
      <w:bookmarkStart w:id="194" w:name="_Toc27491"/>
      <w:bookmarkStart w:id="195" w:name="_Toc16236"/>
      <w:bookmarkStart w:id="196" w:name="_Toc470039545"/>
      <w:bookmarkStart w:id="197" w:name="_Toc12228"/>
      <w:bookmarkStart w:id="198" w:name="_Toc470039627"/>
      <w:bookmarkStart w:id="199" w:name="_Toc20485"/>
      <w:r>
        <w:rPr>
          <w:rFonts w:hint="eastAsia" w:ascii="仿宋" w:hAnsi="仿宋" w:eastAsia="仿宋" w:cs="仿宋"/>
          <w:b/>
          <w:bCs/>
          <w:color w:val="auto"/>
          <w:sz w:val="28"/>
          <w:szCs w:val="28"/>
          <w:highlight w:val="none"/>
        </w:rPr>
        <w:t>项目总投资及资金来源</w:t>
      </w:r>
      <w:bookmarkEnd w:id="191"/>
      <w:bookmarkEnd w:id="192"/>
      <w:bookmarkEnd w:id="193"/>
      <w:bookmarkEnd w:id="194"/>
      <w:bookmarkEnd w:id="195"/>
      <w:bookmarkEnd w:id="196"/>
      <w:bookmarkEnd w:id="197"/>
      <w:bookmarkEnd w:id="198"/>
      <w:bookmarkEnd w:id="199"/>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本次项目系统工程总投资估算额为1080万元/年，一招三年，合同一年一签。本次600个"天网”点位改造，包含升级改造1200台摄像机，28个天网辅助卡口摄像机，按1228路摄像机，平均每路摄像机租赁服务费为 732元/月，每年租赁服务费共计1080万。</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项目资金来源:  青羊区区财政- 财政拨款。</w:t>
      </w:r>
    </w:p>
    <w:p>
      <w:pPr>
        <w:rPr>
          <w:rFonts w:ascii="仿宋" w:hAnsi="仿宋" w:eastAsia="仿宋" w:cs="仿宋"/>
          <w:b/>
          <w:bCs/>
          <w:color w:val="auto"/>
          <w:sz w:val="28"/>
          <w:szCs w:val="28"/>
          <w:highlight w:val="none"/>
        </w:rPr>
      </w:pPr>
      <w:bookmarkStart w:id="200" w:name="_Hlk97147439"/>
      <w:r>
        <w:rPr>
          <w:rFonts w:hint="eastAsia" w:ascii="仿宋" w:hAnsi="仿宋" w:eastAsia="仿宋" w:cs="仿宋"/>
          <w:b/>
          <w:bCs/>
          <w:color w:val="auto"/>
          <w:sz w:val="28"/>
          <w:szCs w:val="28"/>
          <w:highlight w:val="none"/>
        </w:rPr>
        <w:t>三、技术要求</w:t>
      </w:r>
    </w:p>
    <w:p>
      <w:pPr>
        <w:rPr>
          <w:rFonts w:ascii="仿宋" w:hAnsi="仿宋" w:eastAsia="仿宋" w:cs="仿宋"/>
          <w:b/>
          <w:bCs/>
          <w:color w:val="auto"/>
          <w:sz w:val="28"/>
          <w:szCs w:val="28"/>
          <w:highlight w:val="none"/>
        </w:rPr>
      </w:pPr>
      <w:bookmarkStart w:id="201" w:name="_Toc496882479"/>
      <w:bookmarkStart w:id="202" w:name="_Toc497900725"/>
      <w:r>
        <w:rPr>
          <w:rFonts w:hint="eastAsia" w:ascii="仿宋" w:hAnsi="仿宋" w:eastAsia="仿宋" w:cs="仿宋"/>
          <w:b/>
          <w:bCs/>
          <w:color w:val="auto"/>
          <w:sz w:val="28"/>
          <w:szCs w:val="28"/>
          <w:highlight w:val="none"/>
        </w:rPr>
        <w:t>总体要求</w:t>
      </w:r>
      <w:bookmarkEnd w:id="201"/>
      <w:bookmarkEnd w:id="202"/>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*1.根据青羊区城市报警与监控系统建设的实际需要，综合运用电子信息技术、安全防范技术等构成先进、可靠、经济、配套的安全技术防范体系。</w:t>
      </w:r>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*2.系统设计的配置必须遵照国家相关的安全防范技术规程并符合先进、可靠、合理、实用的原则；系统的集成应以结构化、功能模块化、规范化的方式来实现，并使得系统具有高可靠性、良好的开放性和兼容性。</w:t>
      </w:r>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*3.中标人施工前应在相关市政建设主管单位备案，严格按照相关主管部门规范进行施工。</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先进性要求</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*使用视频监控领域的优势技术：视频编码格式采用H.265/H.264 的方式，支持2560×1440像素视频流图像格式， 2560×1440像素的图片格式，并支持向上扩展与向下兼容，图像清晰，可在技术条件允许下满足各种场景下的监控需求。</w:t>
      </w:r>
    </w:p>
    <w:p>
      <w:pPr>
        <w:pStyle w:val="75"/>
        <w:spacing w:line="360" w:lineRule="auto"/>
        <w:ind w:firstLine="480"/>
        <w:rPr>
          <w:rFonts w:ascii="仿宋" w:hAnsi="仿宋" w:eastAsia="仿宋" w:cs="仿宋"/>
          <w:color w:val="auto"/>
          <w:sz w:val="28"/>
          <w:szCs w:val="28"/>
          <w:highlight w:val="none"/>
        </w:rPr>
      </w:pPr>
      <w:r>
        <w:rPr>
          <w:rFonts w:hint="eastAsia" w:ascii="仿宋" w:hAnsi="仿宋" w:eastAsia="仿宋" w:cs="仿宋"/>
          <w:color w:val="auto"/>
          <w:sz w:val="24"/>
          <w:szCs w:val="24"/>
          <w:highlight w:val="none"/>
        </w:rPr>
        <w:t>*采用先进的流媒体技术及分发机制，满足当发生群体事件、突发事件时，多个监控中心并发访问某一热点时，图像的流畅性。</w:t>
      </w:r>
    </w:p>
    <w:p>
      <w:pP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可靠性要求</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*在充分考虑设备和系统可靠的基础上进行集成，釆用成熟、稳定和通用的技术和设备，关键部分有备份、冗余措施，系统软件有备份和维护保障能力。</w:t>
      </w:r>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*设备的平均连续无故障运行时间不低于国家相关技术规程所规定的连续无故障运行时间，能够保证高清城市视频监控系统长期稳定运行，有较强的容错和恢复能力。</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兼容性要求</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*在充分考虑系统内各设备的相互兼容性的基础上进行集成，各子系统能够良好的互联互通，使之构成一个稳定、可靠的系统。</w:t>
      </w:r>
    </w:p>
    <w:p>
      <w:pPr>
        <w:pStyle w:val="75"/>
        <w:spacing w:line="360" w:lineRule="auto"/>
        <w:ind w:firstLine="482"/>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高清城市监控系统内各级中心之间、中心与前端资源和用户终端之间能够有效地进行通信和数据共享，能够实现多厂商、不同规格的设备或子系统间的兼容和互操作。</w:t>
      </w:r>
    </w:p>
    <w:p>
      <w:pPr>
        <w:pStyle w:val="75"/>
        <w:spacing w:line="360" w:lineRule="auto"/>
        <w:ind w:firstLine="482"/>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各系统应满足成都市公安局图像综合应用平台相关接入要求及技术指标并按照规范无偿接入该平台。</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开放性要求</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*系统的设备、接口、存储、编码等具有开放性，系统规模和功能易于扩充，系统配套软件具有升级能力。</w:t>
      </w:r>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*釆用国际通用标准的协议架构，应符合国家标准的第三方业务接口，与第三方业务系统的对接不影响现网业务。</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扩展性要求</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*系统支持平滑扩容模式，后续扩容不影响整体系统构架，平台接入无限制、终端接入数量无人为限制，不影响现有业务。</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规范性要求</w:t>
      </w:r>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*1.系统设计应符合有关设计规范及投标方的管理和使用要求。</w:t>
      </w:r>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控制协议、视频编解码、接口协议、视频文件格式、传输协议、视图库、视图应用等遵循GB/T28181-2016《公共安全视频监控联网系统信息传输、交换、控制技术要求》标准、GA/T1400-2017《公安视频图像信息应用系统》。</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安全性要求</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*系统釆取必要的安全保护措施，不能因某点故障影响整个系统运行。</w:t>
      </w:r>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*防止非法接入、非法访问、病毒感染和黑客攻击，防雷击、过载、断电、电磁干扰和人为破坏等。</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可维护性要求</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*系统具备自检、故障诊断及故障弱化功能，在出现故障时，能得到及时、快速地恢复。</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经济性要求</w:t>
      </w:r>
    </w:p>
    <w:p>
      <w:pPr>
        <w:pStyle w:val="75"/>
        <w:spacing w:line="360" w:lineRule="auto"/>
        <w:ind w:firstLine="482"/>
        <w:rPr>
          <w:rFonts w:ascii="仿宋" w:hAnsi="仿宋" w:eastAsia="仿宋" w:cs="仿宋"/>
          <w:color w:val="auto"/>
          <w:sz w:val="28"/>
          <w:szCs w:val="28"/>
          <w:highlight w:val="none"/>
        </w:rPr>
      </w:pPr>
      <w:r>
        <w:rPr>
          <w:rFonts w:hint="eastAsia" w:ascii="仿宋" w:hAnsi="仿宋" w:eastAsia="仿宋" w:cs="仿宋"/>
          <w:color w:val="auto"/>
          <w:sz w:val="24"/>
          <w:szCs w:val="24"/>
          <w:highlight w:val="none"/>
        </w:rPr>
        <w:t>*在保证符合规范、满足使用要求的前提下，充分考虑设备的性价比指标，综合优化一次性购置安装成本和长期运行维护成本。</w:t>
      </w:r>
    </w:p>
    <w:p>
      <w:pPr>
        <w:rPr>
          <w:rFonts w:ascii="仿宋" w:hAnsi="仿宋" w:eastAsia="仿宋" w:cs="仿宋"/>
          <w:b/>
          <w:bCs/>
          <w:color w:val="auto"/>
          <w:sz w:val="28"/>
          <w:szCs w:val="28"/>
          <w:highlight w:val="none"/>
        </w:rPr>
      </w:pPr>
      <w:bookmarkStart w:id="203" w:name="_Toc496882483"/>
      <w:bookmarkStart w:id="204" w:name="_Toc497900729"/>
      <w:r>
        <w:rPr>
          <w:rFonts w:hint="eastAsia" w:ascii="仿宋" w:hAnsi="仿宋" w:eastAsia="仿宋" w:cs="仿宋"/>
          <w:b/>
          <w:bCs/>
          <w:color w:val="auto"/>
          <w:sz w:val="28"/>
          <w:szCs w:val="28"/>
          <w:highlight w:val="none"/>
        </w:rPr>
        <w:t>前端点位建设要求</w:t>
      </w:r>
      <w:bookmarkEnd w:id="203"/>
      <w:bookmarkEnd w:id="204"/>
    </w:p>
    <w:p>
      <w:pPr>
        <w:rPr>
          <w:rFonts w:ascii="仿宋" w:hAnsi="仿宋" w:eastAsia="仿宋" w:cs="仿宋"/>
          <w:b/>
          <w:bCs/>
          <w:color w:val="auto"/>
          <w:sz w:val="28"/>
          <w:szCs w:val="28"/>
          <w:highlight w:val="none"/>
        </w:rPr>
      </w:pPr>
      <w:bookmarkStart w:id="205" w:name="_Toc497900730"/>
      <w:bookmarkStart w:id="206" w:name="_Toc496882484"/>
      <w:r>
        <w:rPr>
          <w:rFonts w:hint="eastAsia" w:ascii="仿宋" w:hAnsi="仿宋" w:eastAsia="仿宋" w:cs="仿宋"/>
          <w:b/>
          <w:bCs/>
          <w:color w:val="auto"/>
          <w:sz w:val="28"/>
          <w:szCs w:val="28"/>
          <w:highlight w:val="none"/>
        </w:rPr>
        <w:t>前端点位建设基本要求</w:t>
      </w:r>
      <w:bookmarkEnd w:id="205"/>
      <w:bookmarkEnd w:id="206"/>
    </w:p>
    <w:p>
      <w:pPr>
        <w:pStyle w:val="75"/>
        <w:spacing w:line="360" w:lineRule="auto"/>
        <w:ind w:left="15" w:leftChars="7" w:firstLine="458" w:firstLineChars="19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前端感知设备包含全结构化球机600台、全结构化枪机600台、天网辅助卡口抓拍摄像机28套。其中摄像机要求为400万像素的星光级全结构化球机、400万像素的星光级全结构化枪机，其目的是为改善常规"天网"点位夜间的视频效果，确保在超低照度的环境下依然能采集到清晰的视频及抓拍到的人脸、人体、车辆等图片；本批次点位中部分点位将重新进行优化选址。新选址的点位首先满足青羊区三层封控圈的“三横七纵”区域和全区八个重点部位（天府广场、新华宾馆、省委、省信访接待中心、宽窄巷子、火车西站、草堂文博区、财大大运会场馆）区域的监控盲区的需求。重新选址的新建点位数量如果还存在缺口，那么在后期批次的“天网”新增点位建设中进行增补和查漏补缺。应用层面上将按照市局的统一要求，全部按照“视频覆盖+全结构化采集及解析”相结合的方式的进行硬件设备和软件算法的一对一匹配。本次在全区还将筛选出来28个重点路段，对到期的天网辅助卡口点位设备进行升级改造。基于以上的感知源规划原则，依托现有的视频专网，分级整合不同区域、部门间的人、车等资源，建立公安全结构化资源库，构建全结构化视图库，实现视频图像深度解析，形成多维度数据关联应用，推动公安机关警务工作向信息化、智能化转变。</w:t>
      </w:r>
    </w:p>
    <w:p>
      <w:pPr>
        <w:rPr>
          <w:rFonts w:ascii="仿宋" w:hAnsi="仿宋" w:eastAsia="仿宋" w:cs="仿宋"/>
          <w:b/>
          <w:bCs/>
          <w:color w:val="auto"/>
          <w:sz w:val="28"/>
          <w:szCs w:val="28"/>
          <w:highlight w:val="none"/>
        </w:rPr>
      </w:pPr>
      <w:bookmarkStart w:id="207" w:name="_Toc496882486"/>
      <w:bookmarkStart w:id="208" w:name="_Toc497900732"/>
      <w:r>
        <w:rPr>
          <w:rFonts w:hint="eastAsia" w:ascii="仿宋" w:hAnsi="仿宋" w:eastAsia="仿宋" w:cs="仿宋"/>
          <w:b/>
          <w:bCs/>
          <w:color w:val="auto"/>
          <w:sz w:val="28"/>
          <w:szCs w:val="28"/>
          <w:highlight w:val="none"/>
        </w:rPr>
        <w:t>前端点位建设内容</w:t>
      </w:r>
      <w:bookmarkEnd w:id="207"/>
      <w:bookmarkEnd w:id="208"/>
      <w:r>
        <w:rPr>
          <w:rFonts w:hint="eastAsia" w:ascii="仿宋" w:hAnsi="仿宋" w:eastAsia="仿宋" w:cs="仿宋"/>
          <w:b/>
          <w:bCs/>
          <w:color w:val="auto"/>
          <w:sz w:val="28"/>
          <w:szCs w:val="28"/>
          <w:highlight w:val="none"/>
        </w:rPr>
        <w:t>要求</w:t>
      </w:r>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前端监控点位的建设包含以下内容：杆体（含支臂、地笼、简易接地等）、箱体（含插线板、熔纤盘等）、避雷器（电源避雷器、网络信号避雷器）、高清网络摄像机、自动重合闸、设备取电、基础开挖、网络接入设备、网络传输带宽。</w:t>
      </w:r>
    </w:p>
    <w:p>
      <w:pPr>
        <w:rPr>
          <w:rFonts w:ascii="仿宋" w:hAnsi="仿宋" w:eastAsia="仿宋" w:cs="仿宋"/>
          <w:b/>
          <w:bCs/>
          <w:color w:val="auto"/>
          <w:sz w:val="28"/>
          <w:szCs w:val="28"/>
          <w:highlight w:val="none"/>
        </w:rPr>
      </w:pPr>
      <w:bookmarkStart w:id="209" w:name="_Toc496882487"/>
      <w:bookmarkStart w:id="210" w:name="_Toc497900733"/>
      <w:r>
        <w:rPr>
          <w:rFonts w:hint="eastAsia" w:ascii="仿宋" w:hAnsi="仿宋" w:eastAsia="仿宋" w:cs="仿宋"/>
          <w:b/>
          <w:bCs/>
          <w:color w:val="auto"/>
          <w:sz w:val="28"/>
          <w:szCs w:val="28"/>
          <w:highlight w:val="none"/>
        </w:rPr>
        <w:t>杆体要求</w:t>
      </w:r>
      <w:bookmarkEnd w:id="209"/>
      <w:bookmarkEnd w:id="210"/>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1.选用立杆的杆体满足以下要求：</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*1）考虑扩展性，预留摄像机安装位。</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*2）兼顾美观性和实用性。杆体高度和支臂长度满足监控场景的要求。</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*3）杆体表面处理采用内外热浸锌工艺和静电喷塑工艺；镀锌层表面应光滑美观，无褶皱、流坠及锌瘤、起皮、斑点、阴阳面缺陷存在。</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*4）杆体颜色综合城市格调、周边环境、地理位置等因素确定，目前可选标准灰、乳白或深灰。</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*5）杆体选择优质的Q235B钢材一次成型，壁厚不小于6mm；支臂采用镀锌钢管，或者根据需要加工成异型杆体后镀锌，壁厚不小于5mm；底法兰选用优质钢材制作成型，厚度不小于20mm。</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*6）杆体颜色如有特殊要求，须按照公安或者城市管理部门要求实施。</w:t>
      </w:r>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常规杆体的规格和安装：</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*7）主杆高度根据采购人实际需求定制；</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*8）主杆为圆锥形杆体，顶部直径为70mm，底部直径为150mm；</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*9）横臂与主杆焊接牢固；</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*10）主杆离地面2600mm处开出线孔，该孔用Φ50mm铁管焊接引出；</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*11）主杆与箱体联结件焊接为一体，以固定箱体；</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*12）主杆内部预埋一根Φ12mm的PVC管，用于引入电源线，其长度要求达到底部维修孔以下3mm，与底基内预留出的蓝/红色高密度塑料管相连；</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*13）主杆出线孔到横臂之间预留一根穿线铁丝；</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*14)箱体与主杆之间应看不到任何引线，并有防渗水措施；</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*15)维修孔上下共两个，方便穿线及维护；</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*16)底座钢板为380mm×380mm，厚度不小于14mm；</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*17)表面处理：浸锌，刷防锈漆；</w:t>
      </w:r>
    </w:p>
    <w:p>
      <w:pPr>
        <w:pStyle w:val="75"/>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*18)电杆通过安装在基座内的四根螺栓固定在基座上，将电杆、接地体、基座完全安装固定以后，使用C20混凝土将整个法兰盘和电杆底部的四片固定件完全包封，其尺寸为400mm×400mm×150mm；</w:t>
      </w:r>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2.杆体的安全施工要求:</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*杆体作为城市公共区域的建设，必须确保杆体本身的绝对安全，特别当前“天网”存在的一杆多机、多设备的情况。</w:t>
      </w:r>
    </w:p>
    <w:p>
      <w:pPr>
        <w:pStyle w:val="75"/>
        <w:spacing w:line="360" w:lineRule="auto"/>
        <w:ind w:firstLine="482"/>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杆体的引电线路防护、立杆基础、箱体的安装高度、支架承重等方面必须符合城管委、天网办的相关规定。</w:t>
      </w:r>
    </w:p>
    <w:p>
      <w:pPr>
        <w:rPr>
          <w:rFonts w:ascii="仿宋" w:hAnsi="仿宋" w:eastAsia="仿宋" w:cs="仿宋"/>
          <w:color w:val="auto"/>
          <w:sz w:val="28"/>
          <w:szCs w:val="28"/>
          <w:highlight w:val="none"/>
        </w:rPr>
      </w:pPr>
      <w:bookmarkStart w:id="211" w:name="_Toc497900734"/>
      <w:bookmarkStart w:id="212" w:name="_Toc496882488"/>
      <w:r>
        <w:rPr>
          <w:rFonts w:hint="eastAsia" w:ascii="仿宋" w:hAnsi="仿宋" w:eastAsia="仿宋" w:cs="仿宋"/>
          <w:color w:val="auto"/>
          <w:sz w:val="28"/>
          <w:szCs w:val="28"/>
          <w:highlight w:val="none"/>
        </w:rPr>
        <w:t>箱体要求</w:t>
      </w:r>
      <w:bookmarkEnd w:id="211"/>
      <w:bookmarkEnd w:id="212"/>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选用专为高清监控点位设计的箱体，满足以下要求：</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*1.所有的电源、ONU、防雷器、自动重合闸、5G设备等前端辅助设备都可安装在设备箱内。</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*2.具有防雨、防尘、防高温、防盗等功能。</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*3.箱体采用优质冷轧钢板。箱体背板厚度不小于1.2mm，其余面板厚度不小于1.0mm。</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*4.箱体表面喷塑，箱体可根据需要喷涂标识，如“XX公安局视频监控”。</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*5.箱体进线孔有胶套保护，防止各种线缆被刮伤。</w:t>
      </w:r>
    </w:p>
    <w:p>
      <w:pPr>
        <w:rPr>
          <w:rFonts w:ascii="仿宋" w:hAnsi="仿宋" w:eastAsia="仿宋" w:cs="仿宋"/>
          <w:b/>
          <w:bCs/>
          <w:color w:val="auto"/>
          <w:sz w:val="28"/>
          <w:szCs w:val="28"/>
          <w:highlight w:val="none"/>
        </w:rPr>
      </w:pPr>
      <w:bookmarkStart w:id="213" w:name="_Toc496882489"/>
      <w:bookmarkStart w:id="214" w:name="_Toc497900735"/>
      <w:r>
        <w:rPr>
          <w:rFonts w:hint="eastAsia" w:ascii="仿宋" w:hAnsi="仿宋" w:eastAsia="仿宋" w:cs="仿宋"/>
          <w:b/>
          <w:bCs/>
          <w:color w:val="auto"/>
          <w:sz w:val="28"/>
          <w:szCs w:val="28"/>
          <w:highlight w:val="none"/>
        </w:rPr>
        <w:t>防雷接地要求</w:t>
      </w:r>
      <w:bookmarkEnd w:id="213"/>
      <w:bookmarkEnd w:id="214"/>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前端设备安装于室外，易遭到雷电打击，前端设备的电源一般在现场就近取用，易受雷电波影响产生高压和浪涌电流，因此需采用电源防雷措施，摄像机立杆和前端机箱须接地，同时使用优质钢材，采用适当工艺做好密封、散热、防水和防锈等工作。</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*2.避雷设备主要有电源避雷器、信号避雷器以及接地装置。</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对于室外的前端监控点位，防雷接地是保障设备安全必不可少的一项。室外前端点位防雷接地系统包含两个部分，第一部分为：杆箱体的防雷接地，第二部分为：前端设备的防雷接地，按照防雷接地的国家标准：杆箱体防雷接地小于10Ω，前端设备的防雷接地小于10Ω。</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*4.杆箱体防雷接地主要包括：避雷针、小于10Ω接地系统；</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*5.前端设备防雷接地主要包括：电源防雷器、网络信号防雷器、小于10欧姆接地系统。</w:t>
      </w:r>
    </w:p>
    <w:p>
      <w:pPr>
        <w:rPr>
          <w:rFonts w:ascii="仿宋" w:hAnsi="仿宋" w:eastAsia="仿宋" w:cs="仿宋"/>
          <w:b/>
          <w:bCs/>
          <w:color w:val="auto"/>
          <w:sz w:val="28"/>
          <w:szCs w:val="28"/>
          <w:highlight w:val="none"/>
        </w:rPr>
      </w:pPr>
      <w:bookmarkStart w:id="215" w:name="_Toc497900736"/>
      <w:bookmarkStart w:id="216" w:name="_Toc496882490"/>
      <w:r>
        <w:rPr>
          <w:rFonts w:hint="eastAsia" w:ascii="仿宋" w:hAnsi="仿宋" w:eastAsia="仿宋" w:cs="仿宋"/>
          <w:b/>
          <w:bCs/>
          <w:color w:val="auto"/>
          <w:sz w:val="28"/>
          <w:szCs w:val="28"/>
          <w:highlight w:val="none"/>
        </w:rPr>
        <w:t>前端摄像机安装要求</w:t>
      </w:r>
      <w:bookmarkEnd w:id="215"/>
      <w:bookmarkEnd w:id="216"/>
    </w:p>
    <w:p>
      <w:pPr>
        <w:pStyle w:val="75"/>
        <w:spacing w:line="360" w:lineRule="auto"/>
        <w:ind w:left="34" w:leftChars="16" w:firstLine="576" w:firstLineChars="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本项目点位安装和调试由采购人、全结构化分析应用系统提供商、中标人共同成立安装调试小组，并必须满足以下要求：</w:t>
      </w:r>
    </w:p>
    <w:p>
      <w:pPr>
        <w:pStyle w:val="75"/>
        <w:spacing w:line="360" w:lineRule="auto"/>
        <w:ind w:left="34" w:leftChars="16" w:firstLine="576" w:firstLineChars="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*1.摄像机的安装必须由安装调试小组，根据安装位置共同确定摄像机镜头配置方案，并由三方逐一签字确认后再进行安装。</w:t>
      </w:r>
    </w:p>
    <w:p>
      <w:pPr>
        <w:pStyle w:val="75"/>
        <w:spacing w:line="360" w:lineRule="auto"/>
        <w:ind w:left="34" w:leftChars="16" w:firstLine="576" w:firstLineChars="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*2.摄像机安装的高度、角度必须由安装调试小组三方逐一签字确认后再进行安装。镜头可根据现场实际使用场景选配。</w:t>
      </w:r>
    </w:p>
    <w:p>
      <w:pPr>
        <w:pStyle w:val="75"/>
        <w:spacing w:line="360" w:lineRule="auto"/>
        <w:ind w:left="34" w:leftChars="16" w:firstLine="576" w:firstLineChars="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*3.三年合同期内，安装调试小组必须及时监督点位的抓拍数据，及时采取有效措施确保抓拍率。</w:t>
      </w:r>
    </w:p>
    <w:p>
      <w:pPr>
        <w:rPr>
          <w:rFonts w:ascii="仿宋" w:hAnsi="仿宋" w:eastAsia="仿宋" w:cs="仿宋"/>
          <w:b/>
          <w:bCs/>
          <w:color w:val="auto"/>
          <w:sz w:val="28"/>
          <w:szCs w:val="28"/>
          <w:highlight w:val="none"/>
        </w:rPr>
      </w:pPr>
      <w:bookmarkStart w:id="217" w:name="_Toc496882492"/>
      <w:bookmarkStart w:id="218" w:name="_Toc497900738"/>
      <w:r>
        <w:rPr>
          <w:rFonts w:hint="eastAsia" w:ascii="仿宋" w:hAnsi="仿宋" w:eastAsia="仿宋" w:cs="仿宋"/>
          <w:b/>
          <w:bCs/>
          <w:color w:val="auto"/>
          <w:sz w:val="28"/>
          <w:szCs w:val="28"/>
          <w:highlight w:val="none"/>
        </w:rPr>
        <w:t>传输网络建设要求</w:t>
      </w:r>
      <w:bookmarkEnd w:id="217"/>
      <w:bookmarkEnd w:id="218"/>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*所有前端点位链路施工必须规范流程，严禁飞线，所有光纤、电路必须通过地下专用线路管道进行铺设，严禁使用下水管道。</w:t>
      </w:r>
    </w:p>
    <w:p>
      <w:pPr>
        <w:spacing w:line="360" w:lineRule="auto"/>
        <w:rPr>
          <w:rFonts w:ascii="仿宋" w:hAnsi="仿宋" w:eastAsia="仿宋" w:cs="仿宋"/>
          <w:b/>
          <w:bCs/>
          <w:color w:val="auto"/>
          <w:sz w:val="28"/>
          <w:szCs w:val="28"/>
          <w:highlight w:val="none"/>
        </w:rPr>
      </w:pPr>
      <w:bookmarkStart w:id="219" w:name="_Toc489361722"/>
      <w:bookmarkStart w:id="220" w:name="_Toc497900739"/>
      <w:bookmarkStart w:id="221" w:name="_Toc496882493"/>
      <w:r>
        <w:rPr>
          <w:rFonts w:hint="eastAsia" w:ascii="仿宋" w:hAnsi="仿宋" w:eastAsia="仿宋" w:cs="仿宋"/>
          <w:b/>
          <w:bCs/>
          <w:color w:val="auto"/>
          <w:sz w:val="28"/>
          <w:szCs w:val="28"/>
          <w:highlight w:val="none"/>
        </w:rPr>
        <w:t>视频专网</w:t>
      </w:r>
      <w:bookmarkEnd w:id="219"/>
      <w:bookmarkEnd w:id="220"/>
      <w:bookmarkEnd w:id="221"/>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*1.视频专网由市局根据上级公安机关的技术要求统一建设。</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*2.视频专网上所有设备的IP地址由市局统一分配。</w:t>
      </w:r>
    </w:p>
    <w:p>
      <w:pPr>
        <w:spacing w:line="360" w:lineRule="auto"/>
        <w:rPr>
          <w:rFonts w:ascii="仿宋" w:hAnsi="仿宋" w:eastAsia="仿宋" w:cs="仿宋"/>
          <w:color w:val="auto"/>
          <w:sz w:val="28"/>
          <w:szCs w:val="28"/>
          <w:highlight w:val="none"/>
        </w:rPr>
      </w:pPr>
      <w:bookmarkStart w:id="222" w:name="_Toc496882494"/>
      <w:bookmarkStart w:id="223" w:name="_Toc497900740"/>
      <w:r>
        <w:rPr>
          <w:rFonts w:hint="eastAsia" w:ascii="仿宋" w:hAnsi="仿宋" w:eastAsia="仿宋" w:cs="仿宋"/>
          <w:b/>
          <w:bCs/>
          <w:color w:val="auto"/>
          <w:sz w:val="28"/>
          <w:szCs w:val="28"/>
          <w:highlight w:val="none"/>
        </w:rPr>
        <w:t>前端网络带宽设计要求</w:t>
      </w:r>
      <w:bookmarkEnd w:id="222"/>
      <w:bookmarkEnd w:id="223"/>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*1.高清视频流每路保证带宽不低于20Mbps上行速率。</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*2.每路全结构化数据提供不低于10Mbps上行速率。</w:t>
      </w:r>
    </w:p>
    <w:p>
      <w:pPr>
        <w:ind w:firstLine="482"/>
        <w:rPr>
          <w:rFonts w:ascii="仿宋" w:hAnsi="仿宋" w:eastAsia="仿宋" w:cs="仿宋"/>
          <w:b/>
          <w:bCs/>
          <w:color w:val="auto"/>
          <w:sz w:val="24"/>
          <w:highlight w:val="none"/>
        </w:rPr>
      </w:pPr>
    </w:p>
    <w:p>
      <w:pPr>
        <w:rPr>
          <w:rFonts w:ascii="仿宋" w:hAnsi="仿宋" w:eastAsia="仿宋" w:cs="仿宋"/>
          <w:b/>
          <w:bCs/>
          <w:color w:val="auto"/>
          <w:sz w:val="28"/>
          <w:szCs w:val="28"/>
          <w:highlight w:val="none"/>
        </w:rPr>
      </w:pPr>
      <w:bookmarkStart w:id="224" w:name="_Toc497900741"/>
      <w:bookmarkStart w:id="225" w:name="_Toc496882495"/>
      <w:r>
        <w:rPr>
          <w:rFonts w:hint="eastAsia" w:ascii="仿宋" w:hAnsi="仿宋" w:eastAsia="仿宋" w:cs="仿宋"/>
          <w:b/>
          <w:bCs/>
          <w:color w:val="auto"/>
          <w:sz w:val="28"/>
          <w:szCs w:val="28"/>
          <w:highlight w:val="none"/>
        </w:rPr>
        <w:t>存储中心网络要求</w:t>
      </w:r>
      <w:bookmarkEnd w:id="224"/>
      <w:bookmarkEnd w:id="225"/>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存储中心网络必须满足以下使用要求，并且存储中心后期如要升级改造，中标人必须按照实际业务需求进行带宽提升。</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★1.存储中心到天府广场指挥部、青羊区综治中心、区城管局、区公安分局等涉及有业务应用需求的部门，每个部门必须具备两条带宽不小于1000M的光纤链路（一根使用，备用一根）。</w:t>
      </w:r>
      <w:r>
        <w:rPr>
          <w:rFonts w:hint="eastAsia" w:ascii="仿宋" w:hAnsi="仿宋" w:eastAsia="仿宋" w:cs="仿宋"/>
          <w:b/>
          <w:bCs/>
          <w:color w:val="auto"/>
          <w:sz w:val="24"/>
          <w:highlight w:val="none"/>
        </w:rPr>
        <w:t>（提供投标人承诺函原件，格式自拟）</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★2.存储中心到分局14个派出所、5个外驻单位、区14个街道办事处等分局以外涉及有业务应用需求的单位，每个单位具备一条带宽不小于1000M的光纤。</w:t>
      </w:r>
      <w:r>
        <w:rPr>
          <w:rFonts w:hint="eastAsia" w:ascii="仿宋" w:hAnsi="仿宋" w:eastAsia="仿宋" w:cs="仿宋"/>
          <w:b/>
          <w:bCs/>
          <w:color w:val="auto"/>
          <w:sz w:val="24"/>
          <w:highlight w:val="none"/>
        </w:rPr>
        <w:t>（提供投标人承诺函原件，格式自拟）</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★3.存储中心内部局域网络要求不小于10000M，存储中心光纤入口不小于10000M，用于本项目建设的前端感知源数据。</w:t>
      </w:r>
      <w:r>
        <w:rPr>
          <w:rFonts w:hint="eastAsia" w:ascii="仿宋" w:hAnsi="仿宋" w:eastAsia="仿宋" w:cs="仿宋"/>
          <w:b/>
          <w:bCs/>
          <w:color w:val="auto"/>
          <w:sz w:val="24"/>
          <w:highlight w:val="none"/>
        </w:rPr>
        <w:t>（提供投标人承诺函原件，格式自拟）</w:t>
      </w:r>
    </w:p>
    <w:p>
      <w:pPr>
        <w:spacing w:line="360" w:lineRule="auto"/>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全结构化分析应用网络要求</w:t>
      </w:r>
    </w:p>
    <w:p>
      <w:pPr>
        <w:pStyle w:val="102"/>
        <w:spacing w:line="360" w:lineRule="auto"/>
        <w:ind w:firstLine="480"/>
        <w:rPr>
          <w:rFonts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1.所有抓拍的图片流通过采集接口或数据服务接口按视图库标准推送视图库进行存储管理并分发各应用业务单元进行分析处理，不得出现丢帧、卡顿等情况。</w:t>
      </w:r>
    </w:p>
    <w:p>
      <w:pPr>
        <w:pStyle w:val="102"/>
        <w:spacing w:line="360" w:lineRule="auto"/>
        <w:ind w:firstLine="480"/>
        <w:rPr>
          <w:rFonts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2、图片流分发不得影响监控点位自身调阅、观看、存储等业务需求。</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社会资源互联网接入网络要求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随着社会资源接入的增加，现有互联网带宽已显不足，本项目对社会资源接入使用的互联网带宽进行扩容，新增1条100M社会资源互联网接入线路。为保证网络安全，该线路应具备攻击检测、分析溯源和攻击防护能力。</w:t>
      </w:r>
    </w:p>
    <w:p>
      <w:pPr>
        <w:rPr>
          <w:rFonts w:ascii="仿宋" w:hAnsi="仿宋" w:eastAsia="仿宋" w:cs="仿宋"/>
          <w:color w:val="auto"/>
          <w:sz w:val="28"/>
          <w:szCs w:val="28"/>
          <w:highlight w:val="none"/>
        </w:rPr>
      </w:pPr>
      <w:bookmarkStart w:id="226" w:name="_Toc497900742"/>
      <w:bookmarkStart w:id="227" w:name="_Toc496882496"/>
      <w:r>
        <w:rPr>
          <w:rFonts w:hint="eastAsia" w:ascii="仿宋" w:hAnsi="仿宋" w:eastAsia="仿宋" w:cs="仿宋"/>
          <w:b/>
          <w:bCs/>
          <w:color w:val="auto"/>
          <w:sz w:val="28"/>
          <w:szCs w:val="28"/>
          <w:highlight w:val="none"/>
        </w:rPr>
        <w:t>网络性能指标</w:t>
      </w:r>
      <w:bookmarkEnd w:id="226"/>
      <w:bookmarkEnd w:id="227"/>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互联的网络性能指标需要满足通信行业标准YD/T 1171-2015中规定的0 级服务质量等级要求，其对于传输网络的服务质量（QoS）等级标准如下：</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*1.网络时延上限小于150ms。</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*2.时延抖动上限小于50ms。</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*3.丢包率上限小于1×10E-3。</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*4.包误差率上限值 1×10E-4。</w:t>
      </w:r>
    </w:p>
    <w:p>
      <w:pPr>
        <w:pStyle w:val="7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当信息（包括视音频信息、控制信息及报警信息等）经由网络传输时，时延指标满足下列要求：</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*1.前端设备与接入监控中心的信息延迟≤2000ms；</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前端设备与用户端设备间端到端延迟时间（不含解码缓存的延时），即用户端首次发起点播信令到接收到前端设备视频流数据包的时延≤2500ms。其中：区级前端设备与用户端设备间延迟时间≤1500ms，控制指令响应时延≤1000ms。</w:t>
      </w:r>
    </w:p>
    <w:p>
      <w:pPr>
        <w:pStyle w:val="75"/>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*3.前端设备的编码I帧间隔设置应≤1000ms。</w:t>
      </w:r>
    </w:p>
    <w:p>
      <w:pPr>
        <w:rPr>
          <w:rFonts w:ascii="仿宋" w:hAnsi="仿宋" w:eastAsia="仿宋" w:cs="仿宋"/>
          <w:b/>
          <w:bCs/>
          <w:color w:val="auto"/>
          <w:sz w:val="28"/>
          <w:szCs w:val="28"/>
          <w:highlight w:val="none"/>
        </w:rPr>
      </w:pPr>
      <w:bookmarkStart w:id="228" w:name="_Toc94085449"/>
      <w:bookmarkStart w:id="229" w:name="_Toc13067"/>
      <w:bookmarkStart w:id="230" w:name="_Toc23369"/>
      <w:bookmarkStart w:id="231" w:name="_Toc909"/>
      <w:bookmarkStart w:id="232" w:name="_Toc21790"/>
      <w:bookmarkStart w:id="233" w:name="_Toc31724"/>
      <w:bookmarkStart w:id="234" w:name="_Toc4513"/>
      <w:r>
        <w:rPr>
          <w:rFonts w:hint="eastAsia" w:ascii="仿宋" w:hAnsi="仿宋" w:eastAsia="仿宋" w:cs="仿宋"/>
          <w:b/>
          <w:bCs/>
          <w:color w:val="auto"/>
          <w:sz w:val="28"/>
          <w:szCs w:val="28"/>
          <w:highlight w:val="none"/>
        </w:rPr>
        <w:t>全结构化图片流分析应用</w:t>
      </w:r>
      <w:bookmarkEnd w:id="228"/>
      <w:bookmarkEnd w:id="229"/>
      <w:bookmarkEnd w:id="230"/>
      <w:bookmarkEnd w:id="231"/>
      <w:bookmarkEnd w:id="232"/>
      <w:bookmarkEnd w:id="233"/>
      <w:bookmarkEnd w:id="234"/>
      <w:r>
        <w:rPr>
          <w:rFonts w:hint="eastAsia" w:ascii="仿宋" w:hAnsi="仿宋" w:eastAsia="仿宋" w:cs="仿宋"/>
          <w:b/>
          <w:bCs/>
          <w:color w:val="auto"/>
          <w:sz w:val="28"/>
          <w:szCs w:val="28"/>
          <w:highlight w:val="none"/>
        </w:rPr>
        <w:t>系统要求</w:t>
      </w:r>
    </w:p>
    <w:p>
      <w:pPr>
        <w:rPr>
          <w:rFonts w:ascii="仿宋" w:hAnsi="仿宋" w:eastAsia="仿宋" w:cs="仿宋"/>
          <w:b/>
          <w:bCs/>
          <w:color w:val="auto"/>
          <w:sz w:val="28"/>
          <w:szCs w:val="28"/>
          <w:highlight w:val="none"/>
        </w:rPr>
      </w:pPr>
      <w:bookmarkStart w:id="235" w:name="_Toc29456"/>
      <w:bookmarkStart w:id="236" w:name="_Toc7210"/>
      <w:bookmarkStart w:id="237" w:name="_Toc11223"/>
      <w:bookmarkStart w:id="238" w:name="_Toc23343"/>
      <w:bookmarkStart w:id="239" w:name="_Toc94085450"/>
      <w:bookmarkStart w:id="240" w:name="_Toc24256"/>
      <w:bookmarkStart w:id="241" w:name="_Toc13494"/>
      <w:r>
        <w:rPr>
          <w:rFonts w:hint="eastAsia" w:ascii="仿宋" w:hAnsi="仿宋" w:eastAsia="仿宋" w:cs="仿宋"/>
          <w:b/>
          <w:bCs/>
          <w:color w:val="auto"/>
          <w:sz w:val="28"/>
          <w:szCs w:val="28"/>
          <w:highlight w:val="none"/>
        </w:rPr>
        <w:t>全结构化分析应用系统</w:t>
      </w:r>
      <w:bookmarkEnd w:id="235"/>
      <w:bookmarkEnd w:id="236"/>
      <w:bookmarkEnd w:id="237"/>
      <w:bookmarkEnd w:id="238"/>
      <w:bookmarkEnd w:id="239"/>
      <w:bookmarkEnd w:id="240"/>
      <w:bookmarkEnd w:id="241"/>
      <w:r>
        <w:rPr>
          <w:rFonts w:hint="eastAsia" w:ascii="仿宋" w:hAnsi="仿宋" w:eastAsia="仿宋" w:cs="仿宋"/>
          <w:b/>
          <w:bCs/>
          <w:color w:val="auto"/>
          <w:sz w:val="28"/>
          <w:szCs w:val="28"/>
          <w:highlight w:val="none"/>
        </w:rPr>
        <w:t>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*1.必须提供两种全结构化分析应用算法。</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提供全结构化分析应用系统硬件，部署本项目全结构化图片流分析应用模块算法软件。每套全结构化图片流分析应用系统具备接入1200路摄像机，并实现600路全结构化实时解析比对和600路人脸实时解析比对的能力。</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.系统三年内免费升级算法及软件版本，确保采购人使用的是最新算法和软件版本，并根据采购人业务需求，三年内每套全结构化分析应用系统与采购人共同研发不少于五个技战法分析模型。</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每套全结构化分析应用系统均采用多级应用的方式架构，充分整合接入前端各种视频资源和视图库中视频图像资源，建设全结构化分析应用平台提供实时预警功能（动态比对），建设大数据平台提供数据分析挖掘服务功能（静态分析）。</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.每套全结构化分析应用系统均为图片流分析模式，从视图库提取的图片进行实时比对预警，比对预警信息必须推送至综合应用平台展示，必须开放本系统日志调阅接口。</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.每套全结构化分析应用系统必须使用分局统一的黑名单库进行实时比对预警，并确保各自系统自动与分局黑名单库实时同步更新。</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.每套全结构化分析应用系统均需具备对前期建设点位和新增加点位历史数据的存储及大数据研判功能，如轨迹分析、落脚点分析、频次分析、同行分析等。</w:t>
      </w:r>
    </w:p>
    <w:p>
      <w:pPr>
        <w:spacing w:line="360" w:lineRule="auto"/>
        <w:rPr>
          <w:rFonts w:ascii="仿宋" w:hAnsi="仿宋" w:eastAsia="仿宋" w:cs="仿宋"/>
          <w:color w:val="auto"/>
          <w:sz w:val="28"/>
          <w:szCs w:val="28"/>
          <w:highlight w:val="none"/>
        </w:rPr>
      </w:pPr>
      <w:bookmarkStart w:id="242" w:name="_Toc94085451"/>
      <w:bookmarkStart w:id="243" w:name="_Toc31892"/>
      <w:bookmarkStart w:id="244" w:name="_Toc2352"/>
      <w:bookmarkStart w:id="245" w:name="_Toc25889"/>
      <w:bookmarkStart w:id="246" w:name="_Toc24012"/>
      <w:bookmarkStart w:id="247" w:name="_Toc32289"/>
      <w:bookmarkStart w:id="248" w:name="_Toc8522"/>
      <w:r>
        <w:rPr>
          <w:rFonts w:hint="eastAsia" w:ascii="仿宋" w:hAnsi="仿宋" w:eastAsia="仿宋" w:cs="仿宋"/>
          <w:color w:val="auto"/>
          <w:sz w:val="28"/>
          <w:szCs w:val="28"/>
          <w:highlight w:val="none"/>
        </w:rPr>
        <w:t>全结构化图片流分析应用系统对接</w:t>
      </w:r>
      <w:bookmarkEnd w:id="242"/>
      <w:bookmarkEnd w:id="243"/>
      <w:bookmarkEnd w:id="244"/>
      <w:bookmarkEnd w:id="245"/>
      <w:bookmarkEnd w:id="246"/>
      <w:bookmarkEnd w:id="247"/>
      <w:bookmarkEnd w:id="248"/>
      <w:r>
        <w:rPr>
          <w:rFonts w:hint="eastAsia" w:ascii="仿宋" w:hAnsi="仿宋" w:eastAsia="仿宋" w:cs="仿宋"/>
          <w:color w:val="auto"/>
          <w:sz w:val="28"/>
          <w:szCs w:val="28"/>
          <w:highlight w:val="none"/>
        </w:rPr>
        <w:t>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*1.系统需要对接青羊区立体化防控平台和视图库，能够实现所有数据双向推送或调用。</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*2.系统必须与分局现有实时数据实现共享、共用、统一分析，实现与现有所有点位数据（基于视图库）的全量和统一分析处理。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*3.系统做好与青羊区立体化防控平台和视图库数据接口相关对接开发工作，并确保自身系统数据和日志信息按平台统一要求推送和接收。</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*4.系统需通过标准接口将报警信息及图片信息实时传输给分局视图库，提供数据静态分析应用界面调用接口。</w:t>
      </w:r>
    </w:p>
    <w:p>
      <w:pPr>
        <w:rPr>
          <w:rFonts w:ascii="仿宋" w:hAnsi="仿宋" w:eastAsia="仿宋" w:cs="仿宋"/>
          <w:b/>
          <w:bCs/>
          <w:color w:val="auto"/>
          <w:sz w:val="28"/>
          <w:szCs w:val="28"/>
          <w:highlight w:val="none"/>
        </w:rPr>
      </w:pPr>
      <w:bookmarkStart w:id="249" w:name="_Toc94085452"/>
      <w:r>
        <w:rPr>
          <w:rFonts w:hint="eastAsia" w:ascii="仿宋" w:hAnsi="仿宋" w:eastAsia="仿宋" w:cs="仿宋"/>
          <w:b/>
          <w:bCs/>
          <w:color w:val="auto"/>
          <w:sz w:val="28"/>
          <w:szCs w:val="28"/>
          <w:highlight w:val="none"/>
        </w:rPr>
        <w:t>天网辅助卡口应用</w:t>
      </w:r>
      <w:bookmarkEnd w:id="249"/>
      <w:r>
        <w:rPr>
          <w:rFonts w:hint="eastAsia" w:ascii="仿宋" w:hAnsi="仿宋" w:eastAsia="仿宋" w:cs="仿宋"/>
          <w:b/>
          <w:bCs/>
          <w:color w:val="auto"/>
          <w:sz w:val="28"/>
          <w:szCs w:val="28"/>
          <w:highlight w:val="none"/>
        </w:rPr>
        <w:t>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与天网辅助卡口前端摄像机配套的后端平台需满足以下要求：</w:t>
      </w:r>
    </w:p>
    <w:p>
      <w:pPr>
        <w:rPr>
          <w:rFonts w:ascii="仿宋" w:hAnsi="仿宋" w:eastAsia="仿宋" w:cs="仿宋"/>
          <w:b/>
          <w:bCs/>
          <w:color w:val="auto"/>
          <w:sz w:val="28"/>
          <w:szCs w:val="28"/>
          <w:highlight w:val="none"/>
        </w:rPr>
      </w:pPr>
      <w:bookmarkStart w:id="250" w:name="_Toc94085454"/>
      <w:r>
        <w:rPr>
          <w:rFonts w:hint="eastAsia" w:ascii="仿宋" w:hAnsi="仿宋" w:eastAsia="仿宋" w:cs="仿宋"/>
          <w:b/>
          <w:bCs/>
          <w:color w:val="auto"/>
          <w:sz w:val="28"/>
          <w:szCs w:val="28"/>
          <w:highlight w:val="none"/>
        </w:rPr>
        <w:t>视频预览</w:t>
      </w:r>
      <w:bookmarkEnd w:id="250"/>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*1.多窗口支持：支持多种规格画面的组合显示方式，支持自适应宽高比例和满屏窗口显示图像显示模式，支持一机双屏预览方式。</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*2.断线重连：客户端支持在中途预览异常时，进行自动重连，恢复正常预览。</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*3.实时抓图：支持在预览过程中，对视频进行抓图。</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*4.即时录像：支持在预览过程中，对实时视频进行录像。</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*5.一键切换回放：支持在预览时直接到切换对应通道的录像回放画面，同时不影响原先实时预览的画面播放。</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*6.即时回放：支持对即时回放的情景进行二次录像，以及对当前即时回放的情景录像进行本地保存。支持及时回放录像的单帧前进，单帧后退播放。</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*7.即时上墙：支持预览上墙功能，开启后，自动弹出当前监控大屏的布局，可选择其中的一块显示屏，将当前预览的画面直接投送到大屏显示器上。</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*8.电子放大：支持实时预览时对画面的局部进行电子放大，以便对局部细节进行更为集中的查看。</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*9.一键收藏：在视频巡逻、录像回放时，支持通过播放窗口下方的一键收藏按钮，实现对当前所有播放画面的监控点进行批量收藏。</w:t>
      </w:r>
    </w:p>
    <w:p>
      <w:pPr>
        <w:rPr>
          <w:rFonts w:ascii="仿宋" w:hAnsi="仿宋" w:eastAsia="仿宋" w:cs="仿宋"/>
          <w:b/>
          <w:bCs/>
          <w:color w:val="auto"/>
          <w:sz w:val="28"/>
          <w:szCs w:val="28"/>
          <w:highlight w:val="none"/>
        </w:rPr>
      </w:pPr>
      <w:bookmarkStart w:id="251" w:name="_Toc94085455"/>
      <w:r>
        <w:rPr>
          <w:rFonts w:hint="eastAsia" w:ascii="仿宋" w:hAnsi="仿宋" w:eastAsia="仿宋" w:cs="仿宋"/>
          <w:b/>
          <w:bCs/>
          <w:color w:val="auto"/>
          <w:sz w:val="28"/>
          <w:szCs w:val="28"/>
          <w:highlight w:val="none"/>
        </w:rPr>
        <w:t>录像回放</w:t>
      </w:r>
      <w:bookmarkEnd w:id="251"/>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*1.多通道常规录像回放：支持根据回放通道的日期、时间段和录像类型条件，检索录像，检索到相应录像片段后，可进行录像的常规播放；支持多通道同时进行回放。</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*2.回放显示：录像回放时支持多画面的回放显示方式；支持自适应画面宽高比显示和满屏窗口显示图像显示模式；支持回放画面中屏显示和全屏显示两种显示风格；支持多画面同步或异步回放。</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*3.回放控制：支持暂停、拖动播放、快放、慢放、单帧播放。以及多个窗口回放视频的时候同步、异步播放视频。</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*4.录像倒放：客户端支持在录像回放时，进行倒放和倍速倒放、快放、慢放，重现视频场景中的画面。</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*5.录像下载：支持录像下载功能；实时显示下载进度和速度，下载录像文件为MP4格式，支持云存储高速取流下载。</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*6.快速定位：支持可缩放式时间进度条，并支持缩略图真实，定位方便，精确到秒级。播放时与绝对时间精确同步。</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*7.录像抓图：支持对录像抓图功能；支持JPEG、BMP图片格式。</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*8.录像剪辑：支持在录像回放过程中，对回放画面进行录像剪辑。</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*9.播放历史：支持对所有在监控资源中回放的最近多条记录加入到播放历史，在播放历史中可快速进行预览。</w:t>
      </w:r>
    </w:p>
    <w:p>
      <w:pPr>
        <w:rPr>
          <w:rFonts w:ascii="仿宋" w:hAnsi="仿宋" w:eastAsia="仿宋" w:cs="仿宋"/>
          <w:b/>
          <w:bCs/>
          <w:color w:val="auto"/>
          <w:sz w:val="28"/>
          <w:szCs w:val="28"/>
          <w:highlight w:val="none"/>
        </w:rPr>
      </w:pPr>
      <w:bookmarkStart w:id="252" w:name="_Toc94085456"/>
      <w:r>
        <w:rPr>
          <w:rFonts w:hint="eastAsia" w:ascii="仿宋" w:hAnsi="仿宋" w:eastAsia="仿宋" w:cs="仿宋"/>
          <w:b/>
          <w:bCs/>
          <w:color w:val="auto"/>
          <w:sz w:val="28"/>
          <w:szCs w:val="28"/>
          <w:highlight w:val="none"/>
        </w:rPr>
        <w:t>云台</w:t>
      </w:r>
      <w:bookmarkEnd w:id="252"/>
      <w:r>
        <w:rPr>
          <w:rFonts w:hint="eastAsia" w:ascii="仿宋" w:hAnsi="仿宋" w:eastAsia="仿宋" w:cs="仿宋"/>
          <w:b/>
          <w:bCs/>
          <w:color w:val="auto"/>
          <w:sz w:val="28"/>
          <w:szCs w:val="28"/>
          <w:highlight w:val="none"/>
        </w:rPr>
        <w:t>操作</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*1.云台控制：提供全方位的云台控制方式，可通过云台控制面板，视频画面，键盘方式控制云台。包括云台的旋转和自动扫描、镜头的变倍变焦、预置位的设置和启动、守望位的设置、巡航轨迹的调用。</w:t>
      </w:r>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云台锁定：支持用户按优先级进行云台控制的功能，高优先级用户可以在低优先级用户使用时进行控制权的抢占或锁定，低优先级用户不能再使用，同级别的用户满足先到先得的原则获得控制权。高优先级用户对视频图像的控制权进行抢占后系统自动向低优先级用户发出提示信息。</w:t>
      </w:r>
    </w:p>
    <w:p>
      <w:pPr>
        <w:rPr>
          <w:rFonts w:ascii="仿宋" w:hAnsi="仿宋" w:eastAsia="仿宋" w:cs="仿宋"/>
          <w:b/>
          <w:bCs/>
          <w:color w:val="auto"/>
          <w:sz w:val="28"/>
          <w:szCs w:val="28"/>
          <w:highlight w:val="none"/>
        </w:rPr>
      </w:pPr>
      <w:bookmarkStart w:id="253" w:name="_Toc94085457"/>
      <w:r>
        <w:rPr>
          <w:rFonts w:hint="eastAsia" w:ascii="仿宋" w:hAnsi="仿宋" w:eastAsia="仿宋" w:cs="仿宋"/>
          <w:b/>
          <w:bCs/>
          <w:color w:val="auto"/>
          <w:sz w:val="28"/>
          <w:szCs w:val="28"/>
          <w:highlight w:val="none"/>
        </w:rPr>
        <w:t>车辆检索</w:t>
      </w:r>
      <w:bookmarkEnd w:id="253"/>
    </w:p>
    <w:p>
      <w:pPr>
        <w:spacing w:before="192" w:after="192"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车辆检索提供多维度、多条件查询方式，利用车牌号码或车牌关键字，以及设置过车时段、过车区域、过车类型等搜索条件，查询车辆专题库内的机动车辆、异常牌照车辆、违法车辆、布控车辆及红名单车辆的过车信息。通过列表、小图、大图的展示模式让用户更直观的查看过车信息。</w:t>
      </w:r>
    </w:p>
    <w:p>
      <w:pPr>
        <w:spacing w:line="360" w:lineRule="auto"/>
        <w:ind w:firstLine="480"/>
        <w:rPr>
          <w:rFonts w:ascii="仿宋" w:hAnsi="仿宋" w:eastAsia="仿宋" w:cs="仿宋"/>
          <w:color w:val="auto"/>
          <w:sz w:val="24"/>
          <w:highlight w:val="none"/>
        </w:rPr>
      </w:pPr>
      <w:bookmarkStart w:id="254" w:name="_Toc94085458"/>
      <w:r>
        <w:rPr>
          <w:rFonts w:hint="eastAsia" w:ascii="仿宋" w:hAnsi="仿宋" w:eastAsia="仿宋" w:cs="仿宋"/>
          <w:color w:val="auto"/>
          <w:sz w:val="24"/>
          <w:highlight w:val="none"/>
        </w:rPr>
        <w:t>*2.车辆属性检索</w:t>
      </w:r>
      <w:bookmarkEnd w:id="254"/>
      <w:r>
        <w:rPr>
          <w:rFonts w:hint="eastAsia" w:ascii="仿宋" w:hAnsi="仿宋" w:eastAsia="仿宋" w:cs="仿宋"/>
          <w:color w:val="auto"/>
          <w:sz w:val="24"/>
          <w:highlight w:val="none"/>
        </w:rPr>
        <w:t>：当用户进行车辆属性检索时，可以选择检索时段（今天、昨天，一周内或者自定义），选择要检索的监控点范围、过车类型（正常车辆、违法车辆、无牌车辆等）、车牌号码（模糊或精确）、结果是否关联人脸、车辆特征（正向、是够有天窗、是否有挂件、主副驾驶是否系安全带、车身是否喷字等）、车辆颜色、车辆品牌、车辆类型（货车、轿车、面包车等）、车牌类型、车牌颜色等。平台向用户返回抓拍详细信息（采集抓拍地点、时间、车道名称、抓拍图片、具体车牌号）、抓拍地理位置以及人脸关联信息等。同时，用户可通过详细信息页面关联到车辆档案应用。</w:t>
      </w:r>
    </w:p>
    <w:p>
      <w:pPr>
        <w:rPr>
          <w:rFonts w:ascii="仿宋" w:hAnsi="仿宋" w:eastAsia="仿宋" w:cs="仿宋"/>
          <w:b/>
          <w:bCs/>
          <w:color w:val="auto"/>
          <w:sz w:val="28"/>
          <w:szCs w:val="28"/>
          <w:highlight w:val="none"/>
        </w:rPr>
      </w:pPr>
      <w:bookmarkStart w:id="255" w:name="_Toc497900747"/>
      <w:bookmarkStart w:id="256" w:name="_Toc496882501"/>
      <w:bookmarkStart w:id="257" w:name="_Toc94085460"/>
      <w:r>
        <w:rPr>
          <w:rFonts w:hint="eastAsia" w:ascii="仿宋" w:hAnsi="仿宋" w:eastAsia="仿宋" w:cs="仿宋"/>
          <w:b/>
          <w:bCs/>
          <w:color w:val="auto"/>
          <w:sz w:val="28"/>
          <w:szCs w:val="28"/>
          <w:highlight w:val="none"/>
        </w:rPr>
        <w:t>新增存储系统的要求</w:t>
      </w:r>
      <w:bookmarkEnd w:id="255"/>
      <w:bookmarkEnd w:id="256"/>
    </w:p>
    <w:p>
      <w:pPr>
        <w:spacing w:line="360" w:lineRule="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前端缓存要求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*采用不小于64G V10规格的TF卡。</w:t>
      </w:r>
    </w:p>
    <w:p>
      <w:pPr>
        <w:spacing w:line="360" w:lineRule="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后端视频存储要求</w:t>
      </w:r>
    </w:p>
    <w:p>
      <w:pPr>
        <w:spacing w:line="360" w:lineRule="auto"/>
        <w:ind w:firstLine="480"/>
        <w:rPr>
          <w:rFonts w:ascii="仿宋" w:hAnsi="仿宋" w:eastAsia="仿宋" w:cs="仿宋"/>
          <w:b/>
          <w:color w:val="auto"/>
          <w:sz w:val="24"/>
          <w:highlight w:val="none"/>
        </w:rPr>
      </w:pPr>
      <w:r>
        <w:rPr>
          <w:rFonts w:hint="eastAsia" w:ascii="仿宋" w:hAnsi="仿宋" w:eastAsia="仿宋" w:cs="仿宋"/>
          <w:color w:val="auto"/>
          <w:sz w:val="24"/>
          <w:highlight w:val="none"/>
        </w:rPr>
        <w:t>*1.存储的视频码流不低于4Mbps，1228台前端摄像机每路视频流存储时间不低于32天（以大月31天+1天的录像覆盖冗余），</w:t>
      </w:r>
      <w:r>
        <w:rPr>
          <w:rFonts w:hint="eastAsia" w:ascii="仿宋" w:hAnsi="仿宋" w:eastAsia="仿宋" w:cs="仿宋"/>
          <w:b/>
          <w:color w:val="auto"/>
          <w:sz w:val="24"/>
          <w:highlight w:val="none"/>
        </w:rPr>
        <w:t>视频存储裸容量计算公式：（600+600+28）x4x60</w:t>
      </w:r>
      <w:r>
        <w:rPr>
          <w:rFonts w:ascii="仿宋" w:hAnsi="仿宋" w:eastAsia="仿宋" w:cs="仿宋"/>
          <w:b/>
          <w:color w:val="auto"/>
          <w:sz w:val="24"/>
          <w:highlight w:val="none"/>
        </w:rPr>
        <w:t>x</w:t>
      </w:r>
      <w:r>
        <w:rPr>
          <w:rFonts w:hint="eastAsia" w:ascii="仿宋" w:hAnsi="仿宋" w:eastAsia="仿宋" w:cs="仿宋"/>
          <w:b/>
          <w:color w:val="auto"/>
          <w:sz w:val="24"/>
          <w:highlight w:val="none"/>
        </w:rPr>
        <w:t>60</w:t>
      </w:r>
      <w:r>
        <w:rPr>
          <w:rFonts w:ascii="仿宋" w:hAnsi="仿宋" w:eastAsia="仿宋" w:cs="仿宋"/>
          <w:b/>
          <w:color w:val="auto"/>
          <w:sz w:val="24"/>
          <w:highlight w:val="none"/>
        </w:rPr>
        <w:t>x</w:t>
      </w:r>
      <w:r>
        <w:rPr>
          <w:rFonts w:hint="eastAsia" w:ascii="仿宋" w:hAnsi="仿宋" w:eastAsia="仿宋" w:cs="仿宋"/>
          <w:b/>
          <w:color w:val="auto"/>
          <w:sz w:val="24"/>
          <w:highlight w:val="none"/>
        </w:rPr>
        <w:t>24</w:t>
      </w:r>
      <w:r>
        <w:rPr>
          <w:rFonts w:ascii="仿宋" w:hAnsi="仿宋" w:eastAsia="仿宋" w:cs="仿宋"/>
          <w:b/>
          <w:color w:val="auto"/>
          <w:sz w:val="24"/>
          <w:highlight w:val="none"/>
        </w:rPr>
        <w:t>x</w:t>
      </w:r>
      <w:r>
        <w:rPr>
          <w:rFonts w:hint="eastAsia" w:ascii="仿宋" w:hAnsi="仿宋" w:eastAsia="仿宋" w:cs="仿宋"/>
          <w:b/>
          <w:color w:val="auto"/>
          <w:sz w:val="24"/>
          <w:highlight w:val="none"/>
        </w:rPr>
        <w:t>32/8/1024/1024=1619T</w:t>
      </w:r>
      <w:r>
        <w:rPr>
          <w:rFonts w:hint="eastAsia" w:ascii="仿宋" w:hAnsi="仿宋" w:eastAsia="仿宋" w:cs="仿宋"/>
          <w:color w:val="auto"/>
          <w:sz w:val="24"/>
          <w:highlight w:val="none"/>
        </w:rPr>
        <w:t>。</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*2.后端存储设备采用企业级存储硬盘，采用RAID5+全局热备机制。</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*3.后端存储设备应接入市局视频共享平台青羊子平台，满足平台的统一管理。</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扩容视图库要求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分局已建立视频图像信息数据库，接收采集设备及各类型采集系统发送的数据（含视频、图像及其他数据），为人脸综合应用平台、各人脸大数据算法平台及其他公安视频图像分析系统/设备提供接入认证与鉴权服务，接收以上系统/设备发送的分析结果数据，所有人脸抓拍机抓拍的图片及视频流按视图库标准推送视图库进行存储管理并分发各应用业务单元进行分析处理。视图库通过数据服务接口为公安视频图像信息应用平台或其他公安信息应用系统提供接入认证与鉴权、视频图像信息对象的创建读取更新删除等操作、布控与告警、订阅与通知等服务；视图库根据需要通过定制接口接收其他公安信息应用系统的数据。视图库需支持通过统一的认证与鉴权系统进行用户权限管理。已建的青羊区立体化防控平台，实现各类数据分类管理、分类应用、分类统计，并基于已有数据源，研发公安定制功能和分析模型。</w:t>
      </w:r>
    </w:p>
    <w:p>
      <w:pPr>
        <w:rPr>
          <w:rFonts w:ascii="仿宋" w:hAnsi="仿宋" w:eastAsia="仿宋" w:cs="仿宋"/>
          <w:b/>
          <w:bCs/>
          <w:color w:val="auto"/>
          <w:sz w:val="28"/>
          <w:szCs w:val="28"/>
          <w:highlight w:val="none"/>
        </w:rPr>
      </w:pPr>
      <w:bookmarkStart w:id="258" w:name="_Toc13557"/>
      <w:bookmarkStart w:id="259" w:name="_Toc94085446"/>
      <w:bookmarkStart w:id="260" w:name="_Toc16969"/>
      <w:bookmarkStart w:id="261" w:name="_Toc17642"/>
      <w:bookmarkStart w:id="262" w:name="_Toc834"/>
      <w:bookmarkStart w:id="263" w:name="_Toc22870"/>
      <w:r>
        <w:rPr>
          <w:rFonts w:hint="eastAsia" w:ascii="仿宋" w:hAnsi="仿宋" w:eastAsia="仿宋" w:cs="仿宋"/>
          <w:b/>
          <w:bCs/>
          <w:color w:val="auto"/>
          <w:sz w:val="28"/>
          <w:szCs w:val="28"/>
          <w:highlight w:val="none"/>
        </w:rPr>
        <w:t>视图库系统</w:t>
      </w:r>
      <w:bookmarkEnd w:id="258"/>
      <w:bookmarkEnd w:id="259"/>
      <w:bookmarkEnd w:id="260"/>
      <w:bookmarkEnd w:id="261"/>
      <w:bookmarkEnd w:id="262"/>
      <w:bookmarkEnd w:id="263"/>
      <w:r>
        <w:rPr>
          <w:rFonts w:hint="eastAsia" w:ascii="仿宋" w:hAnsi="仿宋" w:eastAsia="仿宋" w:cs="仿宋"/>
          <w:b/>
          <w:bCs/>
          <w:color w:val="auto"/>
          <w:sz w:val="28"/>
          <w:szCs w:val="28"/>
          <w:highlight w:val="none"/>
        </w:rPr>
        <w:t>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*1.视图库建设需符合公安部、四川省公安厅、成都市公安局相关技术规范和标准，明确数据标识编码规范，然后对结构化和非结构化数据进行标准接入，完成内外部系统和平台间的数据同步。</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*2.系统应支持基于视频图像信息对象特征属性及其组合的查询与检索功能，提供查询与检索接口。</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视图入库要求：对已建和新建的各种离线/在线采集设备或系统，可通过视图库服务接口采集数据，或者通过标准数据采集工具进行数据抽取，转换成标准格式存于视图库中。对新建的各系统平台，可按照视图库标准模式进行视图入库。</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存储服务要求：支持对车辆图片、人像图片、结构化信息、文本及日志、报警信息等进行存储，数据存储和服务的格式满足标准要求进行分类存储管理。系统应采用高性能、大容量的分布式数据库存储系统以及云存储系统支持海量数据的存储和应用需求，并且支持在线平滑的扩展存储容量和系统性能。</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*5.其他功能要求：提供注册保活、对象CRUD操作、订阅通知、联网服务：与采集设备、应用平台、分析系统间进行保活机制；提供标准接口GA/T1400.3，汇聚接口，大数据接口；上下级视图库级联和联动。</w:t>
      </w:r>
    </w:p>
    <w:p>
      <w:pPr>
        <w:rPr>
          <w:rFonts w:ascii="仿宋" w:hAnsi="仿宋" w:eastAsia="仿宋" w:cs="仿宋"/>
          <w:b/>
          <w:bCs/>
          <w:color w:val="auto"/>
          <w:sz w:val="28"/>
          <w:szCs w:val="28"/>
          <w:highlight w:val="none"/>
        </w:rPr>
      </w:pPr>
      <w:bookmarkStart w:id="264" w:name="_Toc9898"/>
      <w:bookmarkStart w:id="265" w:name="_Toc23979"/>
      <w:bookmarkStart w:id="266" w:name="_Toc94085447"/>
      <w:bookmarkStart w:id="267" w:name="_Toc26649"/>
      <w:bookmarkStart w:id="268" w:name="_Toc19601"/>
      <w:bookmarkStart w:id="269" w:name="_Toc18716"/>
      <w:r>
        <w:rPr>
          <w:rFonts w:hint="eastAsia" w:ascii="仿宋" w:hAnsi="仿宋" w:eastAsia="仿宋" w:cs="仿宋"/>
          <w:b/>
          <w:bCs/>
          <w:color w:val="auto"/>
          <w:sz w:val="28"/>
          <w:szCs w:val="28"/>
          <w:highlight w:val="none"/>
        </w:rPr>
        <w:t>视图库系统对接</w:t>
      </w:r>
      <w:bookmarkEnd w:id="264"/>
      <w:bookmarkEnd w:id="265"/>
      <w:bookmarkEnd w:id="266"/>
      <w:bookmarkEnd w:id="267"/>
      <w:bookmarkEnd w:id="268"/>
      <w:bookmarkEnd w:id="269"/>
      <w:r>
        <w:rPr>
          <w:rFonts w:hint="eastAsia" w:ascii="仿宋" w:hAnsi="仿宋" w:eastAsia="仿宋" w:cs="仿宋"/>
          <w:b/>
          <w:bCs/>
          <w:color w:val="auto"/>
          <w:sz w:val="28"/>
          <w:szCs w:val="28"/>
          <w:highlight w:val="none"/>
        </w:rPr>
        <w:t>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*1.系统需要能对接青羊区已建和本次新建的各全结构化分析应用系统、感知源点位数据研判系统、青羊区立体化防控平台，能够实现所有数据双向推送或调用。</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*2.系统做好与青羊区立体化防控平台、感知源点位数据研判平台数据接口相关对接开发工作，并确保自身系统数据和日志信息按平台统一要求推送。</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*3.系统需要将青羊区立体防控系统、临时照片库等系统平台的已有人、车视图数据无缝迁移至视图库。</w:t>
      </w:r>
    </w:p>
    <w:p>
      <w:pPr>
        <w:spacing w:line="360" w:lineRule="auto"/>
        <w:ind w:firstLine="480"/>
        <w:rPr>
          <w:rFonts w:ascii="仿宋" w:hAnsi="仿宋" w:eastAsia="仿宋" w:cs="仿宋"/>
          <w:b/>
          <w:bCs/>
          <w:color w:val="auto"/>
          <w:sz w:val="24"/>
          <w:highlight w:val="none"/>
        </w:rPr>
      </w:pPr>
      <w:r>
        <w:rPr>
          <w:rFonts w:hint="eastAsia" w:ascii="仿宋" w:hAnsi="仿宋" w:eastAsia="仿宋" w:cs="仿宋"/>
          <w:color w:val="auto"/>
          <w:sz w:val="24"/>
          <w:highlight w:val="none"/>
        </w:rPr>
        <w:t>*4.与社会信息接入平台对接，汇入智慧小区所有注册人员及进出门人脸及相关结构化信息，实现智慧小区基础信息增、删、改、查，将智慧小区进出布控报警(将小区照片推送至各全结构化分析应用系统，并获得布控报警信息)，布控黑名单及报警信息与青羊区立体化防控平台联动。</w:t>
      </w:r>
    </w:p>
    <w:p>
      <w:pPr>
        <w:rPr>
          <w:rFonts w:ascii="仿宋" w:hAnsi="仿宋" w:eastAsia="仿宋" w:cs="仿宋"/>
          <w:b/>
          <w:bCs/>
          <w:color w:val="auto"/>
          <w:sz w:val="28"/>
          <w:szCs w:val="28"/>
          <w:highlight w:val="none"/>
        </w:rPr>
      </w:pPr>
      <w:bookmarkStart w:id="270" w:name="_Toc21245"/>
      <w:bookmarkStart w:id="271" w:name="_Toc31078"/>
      <w:bookmarkStart w:id="272" w:name="_Toc5118"/>
      <w:bookmarkStart w:id="273" w:name="_Toc22305"/>
      <w:bookmarkStart w:id="274" w:name="_Toc94085448"/>
      <w:bookmarkStart w:id="275" w:name="_Toc6125"/>
      <w:r>
        <w:rPr>
          <w:rFonts w:hint="eastAsia" w:ascii="仿宋" w:hAnsi="仿宋" w:eastAsia="仿宋" w:cs="仿宋"/>
          <w:b/>
          <w:bCs/>
          <w:color w:val="auto"/>
          <w:sz w:val="28"/>
          <w:szCs w:val="28"/>
          <w:highlight w:val="none"/>
        </w:rPr>
        <w:t>视图库扩容</w:t>
      </w:r>
      <w:bookmarkEnd w:id="270"/>
      <w:bookmarkEnd w:id="271"/>
      <w:bookmarkEnd w:id="272"/>
      <w:bookmarkEnd w:id="273"/>
      <w:bookmarkEnd w:id="274"/>
      <w:bookmarkEnd w:id="275"/>
      <w:r>
        <w:rPr>
          <w:rFonts w:hint="eastAsia" w:ascii="仿宋" w:hAnsi="仿宋" w:eastAsia="仿宋" w:cs="仿宋"/>
          <w:b/>
          <w:bCs/>
          <w:color w:val="auto"/>
          <w:sz w:val="28"/>
          <w:szCs w:val="28"/>
          <w:highlight w:val="none"/>
        </w:rPr>
        <w:t>要求</w:t>
      </w:r>
    </w:p>
    <w:p>
      <w:pPr>
        <w:spacing w:line="360" w:lineRule="auto"/>
        <w:ind w:firstLine="480"/>
        <w:jc w:val="left"/>
        <w:rPr>
          <w:rFonts w:ascii="仿宋" w:hAnsi="仿宋" w:eastAsia="仿宋" w:cs="仿宋"/>
          <w:b/>
          <w:color w:val="auto"/>
          <w:sz w:val="24"/>
          <w:highlight w:val="none"/>
        </w:rPr>
      </w:pPr>
      <w:r>
        <w:rPr>
          <w:rFonts w:hint="eastAsia" w:ascii="仿宋" w:hAnsi="仿宋" w:eastAsia="仿宋" w:cs="仿宋"/>
          <w:color w:val="auto"/>
          <w:sz w:val="24"/>
          <w:highlight w:val="none"/>
        </w:rPr>
        <w:t>*视图库扩容规模按照每天新增1200万条抓拍数据进行计算，抓拍数据包含场景图（大图）600KB、人脸图（小图）50KB、人体图（小图）100KB、车辆图（小图）120KB及对应结构化数据（2KB），按照场景图（大图）、人脸图（小图）、人体图（小图）、车辆图保存183天（小图），结构化数据保存366天计算，</w:t>
      </w:r>
      <w:r>
        <w:rPr>
          <w:rFonts w:hint="eastAsia" w:ascii="仿宋" w:hAnsi="仿宋" w:eastAsia="仿宋" w:cs="仿宋"/>
          <w:b/>
          <w:color w:val="auto"/>
          <w:sz w:val="24"/>
          <w:highlight w:val="none"/>
        </w:rPr>
        <w:t>图片存储裸容量计算公式 ：（（1200</w:t>
      </w:r>
      <w:r>
        <w:rPr>
          <w:rFonts w:ascii="仿宋" w:hAnsi="仿宋" w:eastAsia="仿宋" w:cs="仿宋"/>
          <w:b/>
          <w:color w:val="auto"/>
          <w:sz w:val="24"/>
          <w:highlight w:val="none"/>
        </w:rPr>
        <w:t>x</w:t>
      </w:r>
      <w:r>
        <w:rPr>
          <w:rFonts w:hint="eastAsia" w:ascii="仿宋" w:hAnsi="仿宋" w:eastAsia="仿宋" w:cs="仿宋"/>
          <w:b/>
          <w:color w:val="auto"/>
          <w:sz w:val="24"/>
          <w:highlight w:val="none"/>
        </w:rPr>
        <w:t>2000</w:t>
      </w:r>
      <w:r>
        <w:rPr>
          <w:rFonts w:ascii="仿宋" w:hAnsi="仿宋" w:eastAsia="仿宋" w:cs="仿宋"/>
          <w:b/>
          <w:color w:val="auto"/>
          <w:sz w:val="24"/>
          <w:highlight w:val="none"/>
        </w:rPr>
        <w:t>x</w:t>
      </w:r>
      <w:r>
        <w:rPr>
          <w:rFonts w:hint="eastAsia" w:ascii="仿宋" w:hAnsi="仿宋" w:eastAsia="仿宋" w:cs="仿宋"/>
          <w:b/>
          <w:color w:val="auto"/>
          <w:sz w:val="24"/>
          <w:highlight w:val="none"/>
        </w:rPr>
        <w:t>50+600</w:t>
      </w:r>
      <w:r>
        <w:rPr>
          <w:rFonts w:ascii="仿宋" w:hAnsi="仿宋" w:eastAsia="仿宋" w:cs="仿宋"/>
          <w:b/>
          <w:color w:val="auto"/>
          <w:sz w:val="24"/>
          <w:highlight w:val="none"/>
        </w:rPr>
        <w:t>x</w:t>
      </w:r>
      <w:r>
        <w:rPr>
          <w:rFonts w:hint="eastAsia" w:ascii="仿宋" w:hAnsi="仿宋" w:eastAsia="仿宋" w:cs="仿宋"/>
          <w:b/>
          <w:color w:val="auto"/>
          <w:sz w:val="24"/>
          <w:highlight w:val="none"/>
        </w:rPr>
        <w:t>2000</w:t>
      </w:r>
      <w:r>
        <w:rPr>
          <w:rFonts w:ascii="仿宋" w:hAnsi="仿宋" w:eastAsia="仿宋" w:cs="仿宋"/>
          <w:b/>
          <w:color w:val="auto"/>
          <w:sz w:val="24"/>
          <w:highlight w:val="none"/>
        </w:rPr>
        <w:t>x</w:t>
      </w:r>
      <w:r>
        <w:rPr>
          <w:rFonts w:hint="eastAsia" w:ascii="仿宋" w:hAnsi="仿宋" w:eastAsia="仿宋" w:cs="仿宋"/>
          <w:b/>
          <w:color w:val="auto"/>
          <w:sz w:val="24"/>
          <w:highlight w:val="none"/>
        </w:rPr>
        <w:t>100+600</w:t>
      </w:r>
      <w:r>
        <w:rPr>
          <w:rFonts w:ascii="仿宋" w:hAnsi="仿宋" w:eastAsia="仿宋" w:cs="仿宋"/>
          <w:b/>
          <w:color w:val="auto"/>
          <w:sz w:val="24"/>
          <w:highlight w:val="none"/>
        </w:rPr>
        <w:t>x</w:t>
      </w:r>
      <w:r>
        <w:rPr>
          <w:rFonts w:hint="eastAsia" w:ascii="仿宋" w:hAnsi="仿宋" w:eastAsia="仿宋" w:cs="仿宋"/>
          <w:b/>
          <w:color w:val="auto"/>
          <w:sz w:val="24"/>
          <w:highlight w:val="none"/>
        </w:rPr>
        <w:t>2000</w:t>
      </w:r>
      <w:r>
        <w:rPr>
          <w:rFonts w:ascii="仿宋" w:hAnsi="仿宋" w:eastAsia="仿宋" w:cs="仿宋"/>
          <w:b/>
          <w:color w:val="auto"/>
          <w:sz w:val="24"/>
          <w:highlight w:val="none"/>
        </w:rPr>
        <w:t>x</w:t>
      </w:r>
      <w:r>
        <w:rPr>
          <w:rFonts w:hint="eastAsia" w:ascii="仿宋" w:hAnsi="仿宋" w:eastAsia="仿宋" w:cs="仿宋"/>
          <w:b/>
          <w:color w:val="auto"/>
          <w:sz w:val="24"/>
          <w:highlight w:val="none"/>
        </w:rPr>
        <w:t>120+1200</w:t>
      </w:r>
      <w:r>
        <w:rPr>
          <w:rFonts w:ascii="仿宋" w:hAnsi="仿宋" w:eastAsia="仿宋" w:cs="仿宋"/>
          <w:b/>
          <w:color w:val="auto"/>
          <w:sz w:val="24"/>
          <w:highlight w:val="none"/>
        </w:rPr>
        <w:t>x</w:t>
      </w:r>
      <w:r>
        <w:rPr>
          <w:rFonts w:hint="eastAsia" w:ascii="仿宋" w:hAnsi="仿宋" w:eastAsia="仿宋" w:cs="仿宋"/>
          <w:b/>
          <w:color w:val="auto"/>
          <w:sz w:val="24"/>
          <w:highlight w:val="none"/>
        </w:rPr>
        <w:t>（2000+2000+2000）</w:t>
      </w:r>
      <w:r>
        <w:rPr>
          <w:rFonts w:ascii="仿宋" w:hAnsi="仿宋" w:eastAsia="仿宋" w:cs="仿宋"/>
          <w:b/>
          <w:color w:val="auto"/>
          <w:sz w:val="24"/>
          <w:highlight w:val="none"/>
        </w:rPr>
        <w:t>x</w:t>
      </w:r>
      <w:r>
        <w:rPr>
          <w:rFonts w:hint="eastAsia" w:ascii="仿宋" w:hAnsi="仿宋" w:eastAsia="仿宋" w:cs="仿宋"/>
          <w:b/>
          <w:color w:val="auto"/>
          <w:sz w:val="24"/>
          <w:highlight w:val="none"/>
        </w:rPr>
        <w:t>600）</w:t>
      </w:r>
      <w:r>
        <w:rPr>
          <w:rFonts w:ascii="仿宋" w:hAnsi="仿宋" w:eastAsia="仿宋" w:cs="仿宋"/>
          <w:b/>
          <w:color w:val="auto"/>
          <w:sz w:val="24"/>
          <w:highlight w:val="none"/>
        </w:rPr>
        <w:t>x</w:t>
      </w:r>
      <w:r>
        <w:rPr>
          <w:rFonts w:hint="eastAsia" w:ascii="仿宋" w:hAnsi="仿宋" w:eastAsia="仿宋" w:cs="仿宋"/>
          <w:b/>
          <w:color w:val="auto"/>
          <w:sz w:val="24"/>
          <w:highlight w:val="none"/>
        </w:rPr>
        <w:t>183+12000000</w:t>
      </w:r>
      <w:r>
        <w:rPr>
          <w:rFonts w:ascii="仿宋" w:hAnsi="仿宋" w:eastAsia="仿宋" w:cs="仿宋"/>
          <w:b/>
          <w:color w:val="auto"/>
          <w:sz w:val="24"/>
          <w:highlight w:val="none"/>
        </w:rPr>
        <w:t>x</w:t>
      </w:r>
      <w:r>
        <w:rPr>
          <w:rFonts w:hint="eastAsia" w:ascii="仿宋" w:hAnsi="仿宋" w:eastAsia="仿宋" w:cs="仿宋"/>
          <w:b/>
          <w:color w:val="auto"/>
          <w:sz w:val="24"/>
          <w:highlight w:val="none"/>
        </w:rPr>
        <w:t>2</w:t>
      </w:r>
      <w:r>
        <w:rPr>
          <w:rFonts w:ascii="仿宋" w:hAnsi="仿宋" w:eastAsia="仿宋" w:cs="仿宋"/>
          <w:b/>
          <w:color w:val="auto"/>
          <w:sz w:val="24"/>
          <w:highlight w:val="none"/>
        </w:rPr>
        <w:t>x</w:t>
      </w:r>
      <w:r>
        <w:rPr>
          <w:rFonts w:hint="eastAsia" w:ascii="仿宋" w:hAnsi="仿宋" w:eastAsia="仿宋" w:cs="仿宋"/>
          <w:b/>
          <w:color w:val="auto"/>
          <w:sz w:val="24"/>
          <w:highlight w:val="none"/>
        </w:rPr>
        <w:t>366）/1024/1024/1024=810T，并考虑完善的存储冗余安全机制。</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青羊区立体化防控平台功能升级</w:t>
      </w:r>
      <w:bookmarkEnd w:id="257"/>
      <w:r>
        <w:rPr>
          <w:rFonts w:hint="eastAsia" w:ascii="仿宋" w:hAnsi="仿宋" w:eastAsia="仿宋" w:cs="仿宋"/>
          <w:b/>
          <w:bCs/>
          <w:color w:val="auto"/>
          <w:sz w:val="28"/>
          <w:szCs w:val="28"/>
          <w:highlight w:val="none"/>
        </w:rPr>
        <w:t>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根据青羊区公安分局需求对青羊区立体化防控平台进行功能升级，对接青羊分局现有信息化系统，实现指挥、勤务、督察信息一屏展示，指令一机下达等功能。</w:t>
      </w:r>
    </w:p>
    <w:p>
      <w:pPr>
        <w:rPr>
          <w:rFonts w:ascii="仿宋" w:hAnsi="仿宋" w:eastAsia="仿宋" w:cs="仿宋"/>
          <w:b/>
          <w:bCs/>
          <w:color w:val="auto"/>
          <w:sz w:val="28"/>
          <w:szCs w:val="28"/>
          <w:highlight w:val="none"/>
        </w:rPr>
      </w:pPr>
      <w:bookmarkStart w:id="276" w:name="_Toc94085461"/>
      <w:r>
        <w:rPr>
          <w:rFonts w:hint="eastAsia" w:ascii="仿宋" w:hAnsi="仿宋" w:eastAsia="仿宋" w:cs="仿宋"/>
          <w:b/>
          <w:bCs/>
          <w:color w:val="auto"/>
          <w:sz w:val="28"/>
          <w:szCs w:val="28"/>
          <w:highlight w:val="none"/>
        </w:rPr>
        <w:t>指挥功能模块升级</w:t>
      </w:r>
      <w:bookmarkEnd w:id="276"/>
      <w:r>
        <w:rPr>
          <w:rFonts w:hint="eastAsia" w:ascii="仿宋" w:hAnsi="仿宋" w:eastAsia="仿宋" w:cs="仿宋"/>
          <w:b/>
          <w:bCs/>
          <w:color w:val="auto"/>
          <w:sz w:val="28"/>
          <w:szCs w:val="28"/>
          <w:highlight w:val="none"/>
        </w:rPr>
        <w:t>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*升级后的指挥功能模块需完成警情接收、分配警情处置单位、指令下发、警情处置状态展示、处置数据统计分析等指挥流程的闭环。</w:t>
      </w:r>
    </w:p>
    <w:p>
      <w:pPr>
        <w:rPr>
          <w:rFonts w:ascii="仿宋" w:hAnsi="仿宋" w:eastAsia="仿宋" w:cs="仿宋"/>
          <w:b/>
          <w:bCs/>
          <w:color w:val="auto"/>
          <w:sz w:val="28"/>
          <w:szCs w:val="28"/>
          <w:highlight w:val="none"/>
        </w:rPr>
      </w:pPr>
      <w:bookmarkStart w:id="277" w:name="_Toc94085462"/>
      <w:r>
        <w:rPr>
          <w:rFonts w:hint="eastAsia" w:ascii="仿宋" w:hAnsi="仿宋" w:eastAsia="仿宋" w:cs="仿宋"/>
          <w:b/>
          <w:bCs/>
          <w:color w:val="auto"/>
          <w:sz w:val="28"/>
          <w:szCs w:val="28"/>
          <w:highlight w:val="none"/>
        </w:rPr>
        <w:t>勤务报备功能模块升级</w:t>
      </w:r>
      <w:bookmarkEnd w:id="277"/>
      <w:r>
        <w:rPr>
          <w:rFonts w:hint="eastAsia" w:ascii="仿宋" w:hAnsi="仿宋" w:eastAsia="仿宋" w:cs="仿宋"/>
          <w:b/>
          <w:bCs/>
          <w:color w:val="auto"/>
          <w:sz w:val="28"/>
          <w:szCs w:val="28"/>
          <w:highlight w:val="none"/>
        </w:rPr>
        <w:t>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升级后的勤务报备功能模块需实现对分局民警的值班报备管理功能。通过勤务报备功能模块，准确的反映出各个任务下的人、车、定位呼叫设备之间的关系。为图上指挥，呼叫到人，为下派任务、推送指令奠定了基础。同时，也为指挥中心提供了当前单位的值班警力、备勤警力、可调度警力的统计数据。功能方面涵盖勤务日常报备、勤务综合统计、勤务类型管理、警员分组、警车分组、设备分组、武器分组等功能。</w:t>
      </w:r>
    </w:p>
    <w:p>
      <w:pPr>
        <w:rPr>
          <w:rFonts w:ascii="仿宋" w:hAnsi="仿宋" w:eastAsia="仿宋" w:cs="仿宋"/>
          <w:b/>
          <w:bCs/>
          <w:color w:val="auto"/>
          <w:sz w:val="28"/>
          <w:szCs w:val="28"/>
          <w:highlight w:val="none"/>
        </w:rPr>
      </w:pPr>
      <w:bookmarkStart w:id="278" w:name="_Toc94085463"/>
      <w:r>
        <w:rPr>
          <w:rFonts w:hint="eastAsia" w:ascii="仿宋" w:hAnsi="仿宋" w:eastAsia="仿宋" w:cs="仿宋"/>
          <w:b/>
          <w:bCs/>
          <w:color w:val="auto"/>
          <w:sz w:val="28"/>
          <w:szCs w:val="28"/>
          <w:highlight w:val="none"/>
        </w:rPr>
        <w:t>督察功能模块升级</w:t>
      </w:r>
      <w:bookmarkEnd w:id="278"/>
      <w:r>
        <w:rPr>
          <w:rFonts w:hint="eastAsia" w:ascii="仿宋" w:hAnsi="仿宋" w:eastAsia="仿宋" w:cs="仿宋"/>
          <w:b/>
          <w:bCs/>
          <w:color w:val="auto"/>
          <w:sz w:val="28"/>
          <w:szCs w:val="28"/>
          <w:highlight w:val="none"/>
        </w:rPr>
        <w:t>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*升级后的督察功能模块需通过对接分局各业务单位、基层队所的音视频采集设备系统、存储设备系统等，实现对执法程序、监控图像、日常工作的统一管理、分析和调用，实现对警务工作的实时监督。</w:t>
      </w:r>
    </w:p>
    <w:p>
      <w:pPr>
        <w:rPr>
          <w:rFonts w:ascii="仿宋" w:hAnsi="仿宋" w:eastAsia="仿宋" w:cs="仿宋"/>
          <w:b/>
          <w:bCs/>
          <w:color w:val="auto"/>
          <w:sz w:val="28"/>
          <w:szCs w:val="28"/>
          <w:highlight w:val="none"/>
        </w:rPr>
      </w:pPr>
      <w:bookmarkStart w:id="279" w:name="_Toc59635101"/>
      <w:bookmarkStart w:id="280" w:name="_Toc3224"/>
      <w:bookmarkStart w:id="281" w:name="_Toc30849"/>
      <w:bookmarkStart w:id="282" w:name="_Toc18762"/>
      <w:bookmarkStart w:id="283" w:name="_Toc31976"/>
      <w:bookmarkStart w:id="284" w:name="_Toc26688"/>
      <w:bookmarkStart w:id="285" w:name="_Toc22607"/>
      <w:bookmarkStart w:id="286" w:name="_Toc94085465"/>
      <w:r>
        <w:rPr>
          <w:rFonts w:hint="eastAsia" w:ascii="仿宋" w:hAnsi="仿宋" w:eastAsia="仿宋" w:cs="仿宋"/>
          <w:b/>
          <w:bCs/>
          <w:color w:val="auto"/>
          <w:sz w:val="28"/>
          <w:szCs w:val="28"/>
          <w:highlight w:val="none"/>
        </w:rPr>
        <w:t>机房支撑网络</w:t>
      </w:r>
      <w:bookmarkEnd w:id="279"/>
      <w:bookmarkEnd w:id="280"/>
      <w:bookmarkEnd w:id="281"/>
      <w:bookmarkEnd w:id="282"/>
      <w:bookmarkEnd w:id="283"/>
      <w:bookmarkEnd w:id="284"/>
      <w:bookmarkEnd w:id="285"/>
      <w:r>
        <w:rPr>
          <w:rFonts w:hint="eastAsia" w:ascii="仿宋" w:hAnsi="仿宋" w:eastAsia="仿宋" w:cs="仿宋"/>
          <w:b/>
          <w:bCs/>
          <w:color w:val="auto"/>
          <w:sz w:val="28"/>
          <w:szCs w:val="28"/>
          <w:highlight w:val="none"/>
        </w:rPr>
        <w:t>设计及管理</w:t>
      </w:r>
      <w:bookmarkEnd w:id="286"/>
      <w:r>
        <w:rPr>
          <w:rFonts w:hint="eastAsia" w:ascii="仿宋" w:hAnsi="仿宋" w:eastAsia="仿宋" w:cs="仿宋"/>
          <w:b/>
          <w:bCs/>
          <w:color w:val="auto"/>
          <w:sz w:val="28"/>
          <w:szCs w:val="28"/>
          <w:highlight w:val="none"/>
        </w:rPr>
        <w:t>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*机房网络需承载视频图像存储、青羊区立体化防控平台、视图库、人脸系统，为保障视频存储、图片流存储以及全结构化分析应用的机房带宽需求，本项目后端机房网络按万兆局域网设计。</w:t>
      </w:r>
    </w:p>
    <w:p>
      <w:pPr>
        <w:rPr>
          <w:rFonts w:ascii="仿宋" w:hAnsi="仿宋" w:eastAsia="仿宋" w:cs="仿宋"/>
          <w:b/>
          <w:bCs/>
          <w:color w:val="auto"/>
          <w:sz w:val="28"/>
          <w:szCs w:val="28"/>
          <w:highlight w:val="none"/>
        </w:rPr>
      </w:pPr>
      <w:bookmarkStart w:id="287" w:name="_Toc59635102"/>
      <w:bookmarkStart w:id="288" w:name="_Toc18261"/>
      <w:bookmarkStart w:id="289" w:name="_Toc25129"/>
      <w:bookmarkStart w:id="290" w:name="_Toc624"/>
      <w:bookmarkStart w:id="291" w:name="_Toc94085466"/>
      <w:bookmarkStart w:id="292" w:name="_Toc4861"/>
      <w:bookmarkStart w:id="293" w:name="_Toc24945"/>
      <w:bookmarkStart w:id="294" w:name="_Toc31126"/>
      <w:r>
        <w:rPr>
          <w:rFonts w:hint="eastAsia" w:ascii="仿宋" w:hAnsi="仿宋" w:eastAsia="仿宋" w:cs="仿宋"/>
          <w:b/>
          <w:bCs/>
          <w:color w:val="auto"/>
          <w:sz w:val="28"/>
          <w:szCs w:val="28"/>
          <w:highlight w:val="none"/>
        </w:rPr>
        <w:t>市局视频共享平台青羊子平台流媒体转发能力扩容要求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*（1）为本项目提供不低于120路6M码流的流媒体转发能力。</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流媒体服务器负责流媒体数据获取及分发机制、云台控制指令的转发管理。按照平台的流媒体转发机制提供流媒体转发服务：多个用户请求同一视频，流媒体服务器保持摄像机的一个连接并将获得的实时视频流进行转发。</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*（3）单台流媒体服务器并发性能不低于400Mbps。</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*（4）流媒体服务器支持主动和被动连接方式，支持远程运维升级和统一网管。</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*（5）流媒体服务器应接入平台，满足平台的统一调度管理。</w:t>
      </w:r>
    </w:p>
    <w:p>
      <w:pPr>
        <w:rPr>
          <w:rFonts w:ascii="仿宋" w:hAnsi="仿宋" w:eastAsia="仿宋" w:cs="仿宋"/>
          <w:b/>
          <w:bCs/>
          <w:color w:val="auto"/>
          <w:sz w:val="28"/>
          <w:szCs w:val="28"/>
          <w:highlight w:val="none"/>
        </w:rPr>
      </w:pPr>
      <w:bookmarkStart w:id="295" w:name="_Toc9316"/>
      <w:bookmarkStart w:id="296" w:name="_Toc21213"/>
      <w:bookmarkStart w:id="297" w:name="_Toc94085470"/>
      <w:bookmarkStart w:id="298" w:name="_Toc6152"/>
      <w:bookmarkStart w:id="299" w:name="_Toc28776"/>
      <w:bookmarkStart w:id="300" w:name="_Toc6564"/>
      <w:bookmarkStart w:id="301" w:name="_Toc20863"/>
      <w:r>
        <w:rPr>
          <w:rFonts w:hint="eastAsia" w:ascii="仿宋" w:hAnsi="仿宋" w:eastAsia="仿宋" w:cs="仿宋"/>
          <w:b/>
          <w:bCs/>
          <w:color w:val="auto"/>
          <w:sz w:val="28"/>
          <w:szCs w:val="28"/>
          <w:highlight w:val="none"/>
        </w:rPr>
        <w:t>网络安全</w:t>
      </w:r>
      <w:bookmarkEnd w:id="295"/>
      <w:bookmarkEnd w:id="296"/>
      <w:bookmarkEnd w:id="297"/>
      <w:bookmarkEnd w:id="298"/>
      <w:bookmarkEnd w:id="299"/>
      <w:bookmarkEnd w:id="300"/>
      <w:bookmarkEnd w:id="301"/>
      <w:r>
        <w:rPr>
          <w:rFonts w:hint="eastAsia" w:ascii="仿宋" w:hAnsi="仿宋" w:eastAsia="仿宋" w:cs="仿宋"/>
          <w:b/>
          <w:bCs/>
          <w:color w:val="auto"/>
          <w:sz w:val="28"/>
          <w:szCs w:val="28"/>
          <w:highlight w:val="none"/>
        </w:rPr>
        <w:t>建设需求</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分局网络安全建设采取分期建设思路，在已完成的“物理环境安全”、“区域边界安全”和“通信网络安全”基础上，本期计划建设一套网络防火墙系统，加强对网络攻击的防范。后期再根据视频专网内实时的网络架构、状态，逐步实施其余安全管控手段，最终提高整个专网的整体安全状态。</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lang w:val="en-US" w:eastAsia="zh-CN"/>
        </w:rPr>
        <w:t>本项目中涉及信息安全产品相关的，供应商须提供"中国网络安全审查技术与认证中心（原中国信息安全认证中心）"证书或其前身"中国信息安全认证中心"证书，提供相关证书复印件并加盖公章。</w:t>
      </w:r>
    </w:p>
    <w:p>
      <w:pPr>
        <w:spacing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项目所需主要设备清单及参数质量要求</w:t>
      </w:r>
    </w:p>
    <w:tbl>
      <w:tblPr>
        <w:tblStyle w:val="34"/>
        <w:tblW w:w="50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354"/>
        <w:gridCol w:w="24"/>
        <w:gridCol w:w="5104"/>
        <w:gridCol w:w="24"/>
        <w:gridCol w:w="794"/>
        <w:gridCol w:w="24"/>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9" w:type="pct"/>
            <w:shd w:val="clear" w:color="000000" w:fill="D8D8D8"/>
            <w:vAlign w:val="center"/>
          </w:tcPr>
          <w:p>
            <w:pPr>
              <w:pStyle w:val="103"/>
              <w:spacing w:line="240" w:lineRule="auto"/>
              <w:rPr>
                <w:rFonts w:ascii="仿宋" w:hAnsi="仿宋" w:eastAsia="仿宋" w:cs="仿宋"/>
                <w:b/>
                <w:bCs/>
                <w:color w:val="auto"/>
                <w:highlight w:val="none"/>
              </w:rPr>
            </w:pPr>
            <w:r>
              <w:rPr>
                <w:rFonts w:hint="eastAsia" w:ascii="仿宋" w:hAnsi="仿宋" w:eastAsia="仿宋" w:cs="仿宋"/>
                <w:color w:val="auto"/>
                <w:highlight w:val="none"/>
              </w:rPr>
              <w:t>序号</w:t>
            </w:r>
          </w:p>
        </w:tc>
        <w:tc>
          <w:tcPr>
            <w:tcW w:w="735" w:type="pct"/>
            <w:shd w:val="clear" w:color="000000" w:fill="D8D8D8"/>
            <w:vAlign w:val="center"/>
          </w:tcPr>
          <w:p>
            <w:pPr>
              <w:pStyle w:val="103"/>
              <w:spacing w:line="240" w:lineRule="auto"/>
              <w:rPr>
                <w:rFonts w:ascii="仿宋" w:hAnsi="仿宋" w:eastAsia="仿宋" w:cs="仿宋"/>
                <w:b/>
                <w:bCs/>
                <w:color w:val="auto"/>
                <w:highlight w:val="none"/>
              </w:rPr>
            </w:pPr>
            <w:r>
              <w:rPr>
                <w:rFonts w:hint="eastAsia" w:ascii="仿宋" w:hAnsi="仿宋" w:eastAsia="仿宋" w:cs="仿宋"/>
                <w:color w:val="auto"/>
                <w:highlight w:val="none"/>
              </w:rPr>
              <w:t>设备名称</w:t>
            </w:r>
          </w:p>
        </w:tc>
        <w:tc>
          <w:tcPr>
            <w:tcW w:w="2784" w:type="pct"/>
            <w:gridSpan w:val="2"/>
            <w:shd w:val="clear" w:color="000000" w:fill="D8D8D8"/>
            <w:vAlign w:val="center"/>
          </w:tcPr>
          <w:p>
            <w:pPr>
              <w:pStyle w:val="103"/>
              <w:spacing w:line="240" w:lineRule="auto"/>
              <w:rPr>
                <w:rFonts w:ascii="仿宋" w:hAnsi="仿宋" w:eastAsia="仿宋" w:cs="仿宋"/>
                <w:b/>
                <w:bCs/>
                <w:color w:val="auto"/>
                <w:highlight w:val="none"/>
              </w:rPr>
            </w:pPr>
            <w:r>
              <w:rPr>
                <w:rFonts w:hint="eastAsia" w:ascii="仿宋" w:hAnsi="仿宋" w:eastAsia="仿宋" w:cs="仿宋"/>
                <w:color w:val="auto"/>
                <w:highlight w:val="none"/>
              </w:rPr>
              <w:t>设备参数</w:t>
            </w:r>
          </w:p>
        </w:tc>
        <w:tc>
          <w:tcPr>
            <w:tcW w:w="444" w:type="pct"/>
            <w:gridSpan w:val="2"/>
            <w:shd w:val="clear" w:color="000000" w:fill="D8D8D8"/>
            <w:vAlign w:val="center"/>
          </w:tcPr>
          <w:p>
            <w:pPr>
              <w:pStyle w:val="103"/>
              <w:spacing w:line="240" w:lineRule="auto"/>
              <w:rPr>
                <w:rFonts w:ascii="仿宋" w:hAnsi="仿宋" w:eastAsia="仿宋" w:cs="仿宋"/>
                <w:b/>
                <w:bCs/>
                <w:color w:val="auto"/>
                <w:highlight w:val="none"/>
              </w:rPr>
            </w:pPr>
            <w:r>
              <w:rPr>
                <w:rFonts w:hint="eastAsia" w:ascii="仿宋" w:hAnsi="仿宋" w:eastAsia="仿宋" w:cs="仿宋"/>
                <w:color w:val="auto"/>
                <w:highlight w:val="none"/>
              </w:rPr>
              <w:t>单位</w:t>
            </w:r>
          </w:p>
        </w:tc>
        <w:tc>
          <w:tcPr>
            <w:tcW w:w="608" w:type="pct"/>
            <w:gridSpan w:val="2"/>
            <w:shd w:val="clear" w:color="000000" w:fill="D8D8D8"/>
            <w:vAlign w:val="center"/>
          </w:tcPr>
          <w:p>
            <w:pPr>
              <w:pStyle w:val="103"/>
              <w:spacing w:line="240" w:lineRule="auto"/>
              <w:rPr>
                <w:rFonts w:ascii="仿宋" w:hAnsi="仿宋" w:eastAsia="仿宋" w:cs="仿宋"/>
                <w:b/>
                <w:bCs/>
                <w:color w:val="auto"/>
                <w:highlight w:val="none"/>
              </w:rPr>
            </w:pPr>
            <w:r>
              <w:rPr>
                <w:rFonts w:hint="eastAsia" w:ascii="仿宋" w:hAnsi="仿宋" w:eastAsia="仿宋" w:cs="仿宋"/>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000" w:type="pct"/>
            <w:gridSpan w:val="8"/>
            <w:shd w:val="clear" w:color="000000" w:fill="FFFFFF"/>
            <w:vAlign w:val="center"/>
          </w:tcPr>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（一）“600个”天网”点位”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9" w:type="pct"/>
            <w:vAlign w:val="center"/>
          </w:tcPr>
          <w:p>
            <w:pPr>
              <w:pStyle w:val="103"/>
              <w:spacing w:line="240" w:lineRule="auto"/>
              <w:rPr>
                <w:rFonts w:ascii="仿宋" w:hAnsi="仿宋" w:eastAsia="仿宋" w:cs="仿宋"/>
                <w:b/>
                <w:color w:val="auto"/>
                <w:highlight w:val="none"/>
              </w:rPr>
            </w:pPr>
            <w:r>
              <w:rPr>
                <w:rFonts w:hint="eastAsia" w:ascii="仿宋" w:hAnsi="仿宋" w:eastAsia="仿宋" w:cs="仿宋"/>
                <w:color w:val="auto"/>
                <w:highlight w:val="none"/>
              </w:rPr>
              <w:t>1</w:t>
            </w:r>
          </w:p>
        </w:tc>
        <w:tc>
          <w:tcPr>
            <w:tcW w:w="748" w:type="pct"/>
            <w:gridSpan w:val="2"/>
            <w:vAlign w:val="center"/>
          </w:tcPr>
          <w:p>
            <w:pPr>
              <w:pStyle w:val="103"/>
              <w:spacing w:line="240" w:lineRule="auto"/>
              <w:rPr>
                <w:rFonts w:ascii="仿宋" w:hAnsi="仿宋" w:eastAsia="仿宋" w:cs="仿宋"/>
                <w:b/>
                <w:color w:val="auto"/>
                <w:highlight w:val="none"/>
              </w:rPr>
            </w:pPr>
            <w:r>
              <w:rPr>
                <w:rFonts w:hint="eastAsia" w:ascii="仿宋" w:hAnsi="仿宋" w:eastAsia="仿宋" w:cs="仿宋"/>
                <w:color w:val="auto"/>
                <w:highlight w:val="none"/>
              </w:rPr>
              <w:sym w:font="Wingdings 2" w:char="F098"/>
            </w:r>
            <w:r>
              <w:rPr>
                <w:rFonts w:hint="eastAsia" w:ascii="仿宋" w:hAnsi="仿宋" w:eastAsia="仿宋" w:cs="仿宋"/>
                <w:color w:val="auto"/>
                <w:highlight w:val="none"/>
              </w:rPr>
              <w:t>400万像素球机</w:t>
            </w:r>
          </w:p>
        </w:tc>
        <w:tc>
          <w:tcPr>
            <w:tcW w:w="2784" w:type="pct"/>
            <w:gridSpan w:val="2"/>
            <w:vAlign w:val="center"/>
          </w:tcPr>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*1.图像传感器传感器靶面尺寸需≥1/1.8英寸。</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*2.支持三码流技术，主码流高清视频图像分辨率与帧率不低于2560×1440@25fps。</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*3.内置GPU芯片。</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*4.支持同时进行人脸、人体、机动车、非机动车的抓拍及识别功能。</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*5.支持GB/T28181-2016和GA/T 1400-2017协议。</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*6.支持H.264、H.265、MJPEG视频编码格式。</w:t>
            </w:r>
          </w:p>
          <w:p>
            <w:pPr>
              <w:pStyle w:val="103"/>
              <w:spacing w:line="240" w:lineRule="auto"/>
              <w:jc w:val="left"/>
              <w:rPr>
                <w:rFonts w:ascii="仿宋" w:hAnsi="仿宋" w:eastAsia="仿宋" w:cs="仿宋"/>
                <w:color w:val="auto"/>
                <w:highlight w:val="none"/>
              </w:rPr>
            </w:pPr>
            <w:r>
              <w:rPr>
                <w:rFonts w:hint="eastAsia" w:ascii="仿宋" w:hAnsi="仿宋" w:eastAsia="仿宋" w:cs="仿宋"/>
                <w:bCs/>
                <w:color w:val="auto"/>
                <w:highlight w:val="none"/>
              </w:rPr>
              <w:t>*7.支持最低照度：彩色≤0.001 lx，黑白≤0.0001 lx。</w:t>
            </w:r>
          </w:p>
          <w:p>
            <w:pPr>
              <w:pStyle w:val="103"/>
              <w:spacing w:line="240" w:lineRule="auto"/>
              <w:jc w:val="left"/>
              <w:rPr>
                <w:rFonts w:ascii="仿宋" w:hAnsi="仿宋" w:eastAsia="仿宋" w:cs="仿宋"/>
                <w:bCs/>
                <w:color w:val="auto"/>
                <w:highlight w:val="none"/>
              </w:rPr>
            </w:pPr>
            <w:r>
              <w:rPr>
                <w:rFonts w:hint="eastAsia" w:ascii="仿宋" w:hAnsi="仿宋" w:eastAsia="仿宋" w:cs="仿宋"/>
                <w:color w:val="auto"/>
                <w:highlight w:val="none"/>
              </w:rPr>
              <w:t>*8.支持水平旋转范围360°连续旋转，垂直旋转范围不小于-20°~90°。</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*9. 支持≥23倍光学变倍，最大焦距≥146mm，红外距离≥180米。</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*10.支持自动白平衡，3D降噪，电子透雾，电子防抖，背光补偿，强光抑制，断网续传。</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*11.具有≥1个RJ45 10M/100M自适应以太网口、≥1对音频输入/输出接口、≥2路报警输入、≥1路报警输出。</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*12.支持本地存储功能，支持存储卡容量≥64G。</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*13.正常工作温度范围≥-20℃— +60℃。</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*14.防护等级≥IP66。</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*15.具有防雷、防浪涌、防突波保护。</w:t>
            </w:r>
          </w:p>
        </w:tc>
        <w:tc>
          <w:tcPr>
            <w:tcW w:w="444" w:type="pct"/>
            <w:gridSpan w:val="2"/>
            <w:vAlign w:val="center"/>
          </w:tcPr>
          <w:p>
            <w:pPr>
              <w:pStyle w:val="103"/>
              <w:spacing w:line="240" w:lineRule="auto"/>
              <w:rPr>
                <w:rFonts w:ascii="仿宋" w:hAnsi="仿宋" w:eastAsia="仿宋" w:cs="仿宋"/>
                <w:b/>
                <w:color w:val="auto"/>
                <w:highlight w:val="none"/>
              </w:rPr>
            </w:pPr>
            <w:r>
              <w:rPr>
                <w:rFonts w:hint="eastAsia" w:ascii="仿宋" w:hAnsi="仿宋" w:eastAsia="仿宋" w:cs="仿宋"/>
                <w:color w:val="auto"/>
                <w:highlight w:val="none"/>
              </w:rPr>
              <w:t>台</w:t>
            </w:r>
          </w:p>
        </w:tc>
        <w:tc>
          <w:tcPr>
            <w:tcW w:w="595" w:type="pct"/>
            <w:vAlign w:val="center"/>
          </w:tcPr>
          <w:p>
            <w:pPr>
              <w:pStyle w:val="103"/>
              <w:spacing w:line="240" w:lineRule="auto"/>
              <w:rPr>
                <w:rFonts w:ascii="仿宋" w:hAnsi="仿宋" w:eastAsia="仿宋" w:cs="仿宋"/>
                <w:b/>
                <w:color w:val="auto"/>
                <w:highlight w:val="none"/>
              </w:rPr>
            </w:pPr>
            <w:r>
              <w:rPr>
                <w:rFonts w:hint="eastAsia" w:ascii="仿宋" w:hAnsi="仿宋" w:eastAsia="仿宋" w:cs="仿宋"/>
                <w:color w:val="auto"/>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9" w:type="pct"/>
            <w:vAlign w:val="center"/>
          </w:tcPr>
          <w:p>
            <w:pPr>
              <w:pStyle w:val="103"/>
              <w:spacing w:line="240" w:lineRule="auto"/>
              <w:rPr>
                <w:rFonts w:ascii="仿宋" w:hAnsi="仿宋" w:eastAsia="仿宋" w:cs="仿宋"/>
                <w:b/>
                <w:color w:val="auto"/>
                <w:highlight w:val="none"/>
              </w:rPr>
            </w:pPr>
            <w:r>
              <w:rPr>
                <w:rFonts w:hint="eastAsia" w:ascii="仿宋" w:hAnsi="仿宋" w:eastAsia="仿宋" w:cs="仿宋"/>
                <w:color w:val="auto"/>
                <w:highlight w:val="none"/>
              </w:rPr>
              <w:t>2</w:t>
            </w:r>
          </w:p>
        </w:tc>
        <w:tc>
          <w:tcPr>
            <w:tcW w:w="748" w:type="pct"/>
            <w:gridSpan w:val="2"/>
            <w:vAlign w:val="center"/>
          </w:tcPr>
          <w:p>
            <w:pPr>
              <w:pStyle w:val="103"/>
              <w:spacing w:line="240" w:lineRule="auto"/>
              <w:rPr>
                <w:rFonts w:ascii="仿宋" w:hAnsi="仿宋" w:eastAsia="仿宋" w:cs="仿宋"/>
                <w:b/>
                <w:color w:val="auto"/>
                <w:highlight w:val="none"/>
              </w:rPr>
            </w:pPr>
            <w:r>
              <w:rPr>
                <w:rFonts w:hint="eastAsia" w:ascii="仿宋" w:hAnsi="仿宋" w:eastAsia="仿宋" w:cs="仿宋"/>
                <w:color w:val="auto"/>
                <w:highlight w:val="none"/>
              </w:rPr>
              <w:sym w:font="Wingdings 2" w:char="F098"/>
            </w:r>
            <w:r>
              <w:rPr>
                <w:rFonts w:hint="eastAsia" w:ascii="仿宋" w:hAnsi="仿宋" w:eastAsia="仿宋" w:cs="仿宋"/>
                <w:color w:val="auto"/>
                <w:highlight w:val="none"/>
              </w:rPr>
              <w:t>400万像素枪机</w:t>
            </w:r>
          </w:p>
        </w:tc>
        <w:tc>
          <w:tcPr>
            <w:tcW w:w="2784" w:type="pct"/>
            <w:gridSpan w:val="2"/>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bCs/>
                <w:color w:val="auto"/>
                <w:highlight w:val="none"/>
              </w:rPr>
              <w:t>*</w:t>
            </w:r>
            <w:r>
              <w:rPr>
                <w:rFonts w:hint="eastAsia" w:ascii="仿宋" w:hAnsi="仿宋" w:eastAsia="仿宋" w:cs="仿宋"/>
                <w:color w:val="auto"/>
                <w:highlight w:val="none"/>
              </w:rPr>
              <w:t>1.图像传感器靶面尺寸≥1/1.8英寸，内置电动变焦镜头，电动变焦范围≥8-32mm。</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*2.支持三码流技术，主码流高清视频图像分辨率与帧率不低于2560×1440@25fps。</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*3.内置GPU芯片。</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*4.支持同时进行人脸、人体、机动车、非机动车的抓拍及识别功能。</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*5.支持GB/T 28181-2016和GA/T 1400-2017协议。</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*6.支持H.264、H.265、MJPEG视频编码格式。</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*7.支持最低照度：彩色≤0.001 lx，黑白≤0.0001 lx。</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*8.支持自动白平衡，3D降噪，电子透雾，电子防抖，背光补偿，强光抑制，断网续传。</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*9.纯人脸抓拍模式下：支持不低于30张人脸检测，支持检出两眼瞳距≤40像素点的人脸图片。</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*10.支持本地存储功能，支持存储卡容量≥64G。</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*11.具有≥1个RJ45 10M/100M自适应以太网口、≥1对音频输入/输出接口、≥2路报警输入、≥1路报警输出。</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*12.正常工作温度范围≥-20℃— +60℃。</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*13.防护等级≥IP66。</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*14.具有防雷、防浪涌、防突波保护。</w:t>
            </w:r>
          </w:p>
        </w:tc>
        <w:tc>
          <w:tcPr>
            <w:tcW w:w="444" w:type="pct"/>
            <w:gridSpan w:val="2"/>
            <w:vAlign w:val="center"/>
          </w:tcPr>
          <w:p>
            <w:pPr>
              <w:pStyle w:val="103"/>
              <w:spacing w:line="240" w:lineRule="auto"/>
              <w:rPr>
                <w:rFonts w:ascii="仿宋" w:hAnsi="仿宋" w:eastAsia="仿宋" w:cs="仿宋"/>
                <w:b/>
                <w:color w:val="auto"/>
                <w:highlight w:val="none"/>
              </w:rPr>
            </w:pPr>
            <w:r>
              <w:rPr>
                <w:rFonts w:hint="eastAsia" w:ascii="仿宋" w:hAnsi="仿宋" w:eastAsia="仿宋" w:cs="仿宋"/>
                <w:color w:val="auto"/>
                <w:highlight w:val="none"/>
              </w:rPr>
              <w:t>台</w:t>
            </w:r>
          </w:p>
        </w:tc>
        <w:tc>
          <w:tcPr>
            <w:tcW w:w="595" w:type="pct"/>
            <w:vAlign w:val="center"/>
          </w:tcPr>
          <w:p>
            <w:pPr>
              <w:pStyle w:val="103"/>
              <w:spacing w:line="240" w:lineRule="auto"/>
              <w:rPr>
                <w:rFonts w:ascii="仿宋" w:hAnsi="仿宋" w:eastAsia="仿宋" w:cs="仿宋"/>
                <w:b/>
                <w:color w:val="auto"/>
                <w:highlight w:val="none"/>
              </w:rPr>
            </w:pPr>
            <w:r>
              <w:rPr>
                <w:rFonts w:hint="eastAsia" w:ascii="仿宋" w:hAnsi="仿宋" w:eastAsia="仿宋" w:cs="仿宋"/>
                <w:color w:val="auto"/>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000" w:type="pct"/>
            <w:gridSpan w:val="8"/>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（二）28个天网辅助卡口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9"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1</w:t>
            </w:r>
          </w:p>
        </w:tc>
        <w:tc>
          <w:tcPr>
            <w:tcW w:w="748"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sym w:font="Wingdings 2" w:char="F098"/>
            </w:r>
            <w:r>
              <w:rPr>
                <w:rFonts w:hint="eastAsia" w:ascii="仿宋" w:hAnsi="仿宋" w:eastAsia="仿宋" w:cs="仿宋"/>
                <w:color w:val="auto"/>
                <w:highlight w:val="none"/>
              </w:rPr>
              <w:t>卡口摄像机</w:t>
            </w:r>
          </w:p>
        </w:tc>
        <w:tc>
          <w:tcPr>
            <w:tcW w:w="2784" w:type="pct"/>
            <w:gridSpan w:val="2"/>
            <w:vAlign w:val="center"/>
          </w:tcPr>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*1.设备采用防护罩及高清相机一体化设计，支持电动变焦。</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*2.传感器≥1/1.8英寸 800万像素CMOS，抓拍图片分辨率不小于3840 × 2160，可覆盖不低于2个车道。</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*3.车辆捕获率应≥99%，车牌识别准确率应≥ 95%；</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*4.支持机动车车牌颜色识别，包括：蓝、黄、黑、白、绿（大型新能源汽车号牌、小型新能源汽车号牌、拖拉机号牌）等。</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5.支持不低于20种车型，包括SUV、MPV、小型轿车、微型轿车、面包车、皮卡车、货车、小型货车、小型客车、中型客车、大型客车、集装箱卡车、微型卡车、吊车、油罐车、混凝土搅拌车、平板拖车、两厢轿车、三厢轿车、跑车等。</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*6.支持GB/T 28181-2016和GA/T 1400-2017协议。</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*7.支持H.264、H.265、MJPEG视频编码格式。</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*8.支持本地存储功能，支持存储卡容量≥64G。</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*9.具有≥1个RJ45 10M/100M自适应以太网口、≥1对音频输入/输出接口、≥1路报警输出。</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*10.正常工作温度范围≥-20℃— +60℃。</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*11.防护等级≥IP66。</w:t>
            </w:r>
          </w:p>
          <w:p>
            <w:pPr>
              <w:pStyle w:val="103"/>
              <w:spacing w:line="240" w:lineRule="auto"/>
              <w:jc w:val="left"/>
              <w:rPr>
                <w:rFonts w:ascii="仿宋" w:hAnsi="仿宋" w:eastAsia="仿宋" w:cs="仿宋"/>
                <w:color w:val="auto"/>
                <w:highlight w:val="none"/>
              </w:rPr>
            </w:pPr>
            <w:r>
              <w:rPr>
                <w:rFonts w:hint="eastAsia" w:ascii="仿宋" w:hAnsi="仿宋" w:eastAsia="仿宋" w:cs="仿宋"/>
                <w:bCs/>
                <w:color w:val="auto"/>
                <w:highlight w:val="none"/>
              </w:rPr>
              <w:t>*12.具有防雷、防浪涌、防突波保护。</w:t>
            </w:r>
          </w:p>
        </w:tc>
        <w:tc>
          <w:tcPr>
            <w:tcW w:w="444"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台</w:t>
            </w:r>
          </w:p>
        </w:tc>
        <w:tc>
          <w:tcPr>
            <w:tcW w:w="595"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9"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2</w:t>
            </w:r>
          </w:p>
        </w:tc>
        <w:tc>
          <w:tcPr>
            <w:tcW w:w="748"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sym w:font="Wingdings 2" w:char="F098"/>
            </w:r>
            <w:r>
              <w:rPr>
                <w:rFonts w:hint="eastAsia" w:ascii="仿宋" w:hAnsi="仿宋" w:eastAsia="仿宋" w:cs="仿宋"/>
                <w:color w:val="auto"/>
                <w:highlight w:val="none"/>
              </w:rPr>
              <w:t>补光灯</w:t>
            </w:r>
          </w:p>
        </w:tc>
        <w:tc>
          <w:tcPr>
            <w:tcW w:w="2784" w:type="pct"/>
            <w:gridSpan w:val="2"/>
            <w:vAlign w:val="center"/>
          </w:tcPr>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*1.光源类型：大功率LED。</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*2.LED灯珠数量：≥16颗。</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*3.发光角度：40°。</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*4.最佳补光距离：不低于16米-25米。</w:t>
            </w:r>
          </w:p>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*5.触发方式：光敏控制。</w:t>
            </w:r>
          </w:p>
          <w:p>
            <w:pPr>
              <w:pStyle w:val="103"/>
              <w:spacing w:line="240" w:lineRule="auto"/>
              <w:jc w:val="left"/>
              <w:rPr>
                <w:rFonts w:ascii="仿宋" w:hAnsi="仿宋" w:eastAsia="仿宋" w:cs="仿宋"/>
                <w:color w:val="auto"/>
                <w:highlight w:val="none"/>
              </w:rPr>
            </w:pPr>
            <w:r>
              <w:rPr>
                <w:rFonts w:hint="eastAsia" w:ascii="仿宋" w:hAnsi="仿宋" w:eastAsia="仿宋" w:cs="仿宋"/>
                <w:bCs/>
                <w:color w:val="auto"/>
                <w:highlight w:val="none"/>
              </w:rPr>
              <w:t>*6.防护等级不低于IP66。</w:t>
            </w:r>
          </w:p>
        </w:tc>
        <w:tc>
          <w:tcPr>
            <w:tcW w:w="444"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台</w:t>
            </w:r>
          </w:p>
        </w:tc>
        <w:tc>
          <w:tcPr>
            <w:tcW w:w="595"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9"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3</w:t>
            </w:r>
          </w:p>
        </w:tc>
        <w:tc>
          <w:tcPr>
            <w:tcW w:w="748"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车辆卡口平台</w:t>
            </w:r>
          </w:p>
        </w:tc>
        <w:tc>
          <w:tcPr>
            <w:tcW w:w="2784" w:type="pct"/>
            <w:gridSpan w:val="2"/>
            <w:vAlign w:val="center"/>
          </w:tcPr>
          <w:p>
            <w:pPr>
              <w:pStyle w:val="103"/>
              <w:spacing w:line="240" w:lineRule="auto"/>
              <w:jc w:val="left"/>
              <w:rPr>
                <w:rFonts w:ascii="仿宋" w:hAnsi="仿宋" w:eastAsia="仿宋" w:cs="仿宋"/>
                <w:bCs/>
                <w:color w:val="auto"/>
                <w:highlight w:val="none"/>
              </w:rPr>
            </w:pPr>
            <w:r>
              <w:rPr>
                <w:rFonts w:hint="eastAsia" w:ascii="仿宋" w:hAnsi="仿宋" w:eastAsia="仿宋" w:cs="仿宋"/>
                <w:bCs/>
                <w:color w:val="auto"/>
                <w:highlight w:val="none"/>
              </w:rPr>
              <w:t>*</w:t>
            </w:r>
            <w:r>
              <w:rPr>
                <w:rFonts w:hint="eastAsia" w:ascii="仿宋" w:hAnsi="仿宋" w:eastAsia="仿宋" w:cs="仿宋"/>
                <w:color w:val="auto"/>
                <w:highlight w:val="none"/>
              </w:rPr>
              <w:t>1.</w:t>
            </w:r>
            <w:r>
              <w:rPr>
                <w:rFonts w:hint="eastAsia" w:ascii="仿宋" w:hAnsi="仿宋" w:eastAsia="仿宋" w:cs="仿宋"/>
                <w:bCs/>
                <w:color w:val="auto"/>
                <w:highlight w:val="none"/>
              </w:rPr>
              <w:t>满足“车辆卡口应用要求”的后端平台软硬件</w:t>
            </w:r>
          </w:p>
        </w:tc>
        <w:tc>
          <w:tcPr>
            <w:tcW w:w="444"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套</w:t>
            </w:r>
          </w:p>
        </w:tc>
        <w:tc>
          <w:tcPr>
            <w:tcW w:w="595"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000" w:type="pct"/>
            <w:gridSpan w:val="8"/>
            <w:shd w:val="clear" w:color="auto" w:fill="FFFFFF"/>
            <w:vAlign w:val="center"/>
          </w:tcPr>
          <w:p>
            <w:pPr>
              <w:pStyle w:val="103"/>
              <w:spacing w:line="240" w:lineRule="auto"/>
              <w:jc w:val="left"/>
              <w:rPr>
                <w:rFonts w:ascii="仿宋" w:hAnsi="仿宋" w:eastAsia="仿宋" w:cs="仿宋"/>
                <w:b/>
                <w:color w:val="auto"/>
                <w:highlight w:val="none"/>
              </w:rPr>
            </w:pPr>
            <w:r>
              <w:rPr>
                <w:rFonts w:hint="eastAsia" w:ascii="仿宋" w:hAnsi="仿宋" w:eastAsia="仿宋" w:cs="仿宋"/>
                <w:color w:val="auto"/>
                <w:highlight w:val="none"/>
              </w:rPr>
              <w:t>（三）、球机+枪机+天网辅助卡口相关后端视频存储主要设备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29" w:type="pct"/>
            <w:shd w:val="clear" w:color="000000" w:fill="FFFFFF"/>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1</w:t>
            </w:r>
          </w:p>
        </w:tc>
        <w:tc>
          <w:tcPr>
            <w:tcW w:w="735" w:type="pct"/>
            <w:shd w:val="clear" w:color="000000" w:fill="FFFFFF"/>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存储服务器</w:t>
            </w:r>
          </w:p>
        </w:tc>
        <w:tc>
          <w:tcPr>
            <w:tcW w:w="2784" w:type="pct"/>
            <w:gridSpan w:val="2"/>
            <w:shd w:val="clear" w:color="000000" w:fill="FFFFFF"/>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*1.主频≥2.1G Hz、≥四核64位处理器；≥32G高速缓存；内嵌存储专用系统；≥24盘位（系统不占用数据盘位，系统部署在单独盘位上）；≥2个万兆口；≥4个千兆口。</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*2.支持硬盘热插拔；1+1冗余电源；提供本地及远程阵列配置及管理软件。</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*3.接入市局视频共享平台青羊子平台，满足平台的统一管理。</w:t>
            </w:r>
          </w:p>
        </w:tc>
        <w:tc>
          <w:tcPr>
            <w:tcW w:w="444" w:type="pct"/>
            <w:gridSpan w:val="2"/>
            <w:shd w:val="clear" w:color="000000" w:fill="FFFFFF"/>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台</w:t>
            </w:r>
          </w:p>
        </w:tc>
        <w:tc>
          <w:tcPr>
            <w:tcW w:w="608" w:type="pct"/>
            <w:gridSpan w:val="2"/>
            <w:shd w:val="clear" w:color="000000" w:fill="FFFFFF"/>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根据本项目视频存储容量匹配具体数量进行配置。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9" w:type="pct"/>
            <w:shd w:val="clear" w:color="000000" w:fill="FFFFFF"/>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2</w:t>
            </w:r>
          </w:p>
        </w:tc>
        <w:tc>
          <w:tcPr>
            <w:tcW w:w="735" w:type="pct"/>
            <w:shd w:val="clear" w:color="000000" w:fill="FFFFFF"/>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硬盘</w:t>
            </w:r>
          </w:p>
        </w:tc>
        <w:tc>
          <w:tcPr>
            <w:tcW w:w="2784" w:type="pct"/>
            <w:gridSpan w:val="2"/>
            <w:shd w:val="clear" w:color="000000" w:fill="FFFFFF"/>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*1.企业级SATA硬盘，3.5英寸，不低于7200转。</w:t>
            </w:r>
          </w:p>
        </w:tc>
        <w:tc>
          <w:tcPr>
            <w:tcW w:w="444" w:type="pct"/>
            <w:gridSpan w:val="2"/>
            <w:shd w:val="clear" w:color="000000" w:fill="FFFFFF"/>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块</w:t>
            </w:r>
          </w:p>
        </w:tc>
        <w:tc>
          <w:tcPr>
            <w:tcW w:w="608" w:type="pct"/>
            <w:gridSpan w:val="2"/>
            <w:shd w:val="clear" w:color="000000" w:fill="FFFFFF"/>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投标人根据本项目视频存储需求匹配具体数量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000" w:type="pct"/>
            <w:gridSpan w:val="8"/>
            <w:shd w:val="clear" w:color="000000" w:fill="FFFFFF"/>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（四）、全结构化图片流分析应用算法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1</w:t>
            </w:r>
          </w:p>
        </w:tc>
        <w:tc>
          <w:tcPr>
            <w:tcW w:w="748"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全结构化图片流分析应用模块算法</w:t>
            </w:r>
          </w:p>
        </w:tc>
        <w:tc>
          <w:tcPr>
            <w:tcW w:w="2784" w:type="pct"/>
            <w:gridSpan w:val="2"/>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*1.支持实时解析图片流，获取人脸、人体、车辆、非机动车抓拍信息。</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*2.系统支持平滑扩容，增加接入前端的数量时在现有系统中增加服务器数量即可实现平滑扩容。</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*3.支持亿级底库下以图搜图秒级检索。</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*4.具备黑名单(或布控库、监视名单)容量不低于1000万。</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*5.支持在人脸被遮挡不大于 1/2（遮挡方式为戴口罩）的情况下，采用人脸抓拍图片进行验证，人脸检出率大于等于99%。</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*6.支持回放报警前后 10 秒内的视频片段或全景图片。</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7.支持目标检测布控，包含人群聚集、主驾驶员放下遮阳板、驾驶员打电话、入侵检测、副驾驶未系安全带、驾驶员未系安全带、摩托车禁行、渣土车禁行等。（提供公安部相关检测机构出具的检测报告复印件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▲8.支持建立识别类型的布控，如：人脸布控、人体布控、机动车布控、非机动车布控、机动车牌布控、非机动车牌布控。（提供公安部相关检测机构出具的检测报告复印件并加盖投标人公章（鲜章）证明）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9.支持按照追踪档案、追踪速度、追踪时间、摄像机、解析路数等进行抓拍图检索，可对未解析的摄像机自动创建解析任务。检索结果支持按照相似度、目标类型、摄像机点位聚合展示。（提供公安部相关检测机构出具的检测报告复印件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▲10.支持对瞳间距最小10像素的人脸图片进行检出和抓拍。(提供公安部所属检验机构出具的检测报告复印件并加盖投标人公章）。</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▲11.支持对瞳间距最小10像素的人脸图片进行识别比对。(提供公安部所属检验机构出具的检测报告复印件并加盖投标人公章）。</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12.支持按属于群体、档案类型、加入团伙时间、出没时间、出没地点、人员战法标签进行检索，检索结果可以展示团伙名称和人员数量。点击检索结果可查看结果详情，包括团伙人员数、团伙类型，可以展示团伙关系图谱。（提供公安部相关检测机构出具的检测报告复印件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13.支持通过新建人体画像或者从历史画像中选择人体画像进行相类似的人体抓拍图图片检索。支持编辑人体画像的发型、帽子、上衣、下衣、外套、鞋、包、配饰（眼镜、领带、面罩）、衣服颜色、衣服纹理、衣服标志。支持将人体画像保存至人体画像模板，并且可以对模板中的人体画像进行二次编辑。（提供公安部相关检测机构出具的检测报告复印件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14.支持新建自定义技战法。技战法内容包括技战法标签、人员类型、防控单元类型、技战法状态、分析范围和规则。技战法状态包括是否开启技战法、是否持续分析。分析范围包括匹配战法、性别、年龄段。规则包括聚集行为、出没情况、亲密度、首次出现、感知离开、多区域出没、排除人员、底库。（提供公安部相关检测机构出具的检测报告复印件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15.支持对指定的两个档案的关系进行碰撞，可以以图谱形式展示。关系图谱可以展示两个档案的共同好友和二度好友关系，支持按人员接触关系积分、群体类型筛选关系图谱。（提供公安部相关检测机构出具的检测报告复印件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16.支持展示人员的首次出现时间、地点，最后出现时间、地点、距今天数对人员进行活动分析：是否为常住人员、近期活跃、已离开辖区、常访区域、活动时段、活动天数、战法标签标签、异常行为标签、自定义标签、关联移动设备top3，好友top3，所属团伙卡片。（提供公安部相关检测机构出具的检测报告复印件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17.人像智能应用系统应支持亿级底库下以图搜图秒级检索人脸图片功能；支持20亿静态库人脸数据存储检索功能，以图搜图平均响应时间小于等于0.2秒。（提供公安部相关检测机构出具的检测报告复印件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▲18.支持人脸抓拍图片时空库规模不小于80亿的情况下，以图搜图检索平均响应时间不大于0.2秒。（提供公安部相关检测机构出具的检测报告复印件并加盖投标人公章（鲜章）证明）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19.具备实时聚类归档功能，且实时聚类归档时间不超过分钟级，系统实名身份库不少于1亿特征数据情况下，可实现新增人脸抓拍照片实时聚类归档，在1亿实名档案下，人脸图片实名聚类归档准确率≥99.9%，误聚率≤0.1%，召回率≥99.9%，漏聚率≤0.1%。（提供公安部相关检测机构出具的检测报告复印件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▲20.支持图片流单场景同时检出人脸数量不少于300个，视频流单画面不少于100个。（提供公安部相关检测机构出具的检测报告复印件并加盖投标人公章（鲜章）证明）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▲21.处理大规模人像照片数据时，人像照片建模速度不低于3000张/秒。（提供公安部相关检测机构出具的检测报告复印件并加盖投标人公章（鲜章）证明）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▲22.支持对离线视频文件进行分析，支持avi，mp4， mpg，mov，flv，mkv等视频格式。（提供公安部相关检测机构出具的检测报告复印件并加盖投标人公章（鲜章）证明）</w:t>
            </w:r>
          </w:p>
        </w:tc>
        <w:tc>
          <w:tcPr>
            <w:tcW w:w="444"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套</w:t>
            </w:r>
          </w:p>
        </w:tc>
        <w:tc>
          <w:tcPr>
            <w:tcW w:w="595"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不少于2套，每套具备接入1200路摄像机，并实现600路全结构化实时解析比对和600路人脸实时解析比对的能力。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000" w:type="pct"/>
            <w:gridSpan w:val="8"/>
            <w:vAlign w:val="center"/>
          </w:tcPr>
          <w:p>
            <w:pPr>
              <w:pStyle w:val="103"/>
              <w:spacing w:line="240" w:lineRule="auto"/>
              <w:jc w:val="left"/>
              <w:rPr>
                <w:rFonts w:ascii="仿宋" w:hAnsi="仿宋" w:eastAsia="仿宋" w:cs="仿宋"/>
                <w:b/>
                <w:color w:val="auto"/>
                <w:highlight w:val="none"/>
              </w:rPr>
            </w:pPr>
            <w:r>
              <w:rPr>
                <w:rFonts w:hint="eastAsia" w:ascii="仿宋" w:hAnsi="仿宋" w:eastAsia="仿宋" w:cs="仿宋"/>
                <w:bCs/>
                <w:color w:val="auto"/>
                <w:highlight w:val="none"/>
              </w:rPr>
              <w:t>（五）、公安视频图像信息数据库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9" w:type="pct"/>
            <w:vAlign w:val="center"/>
          </w:tcPr>
          <w:p>
            <w:pPr>
              <w:pStyle w:val="103"/>
              <w:spacing w:line="240" w:lineRule="auto"/>
              <w:rPr>
                <w:rFonts w:ascii="仿宋" w:hAnsi="仿宋" w:eastAsia="仿宋" w:cs="仿宋"/>
                <w:b/>
                <w:color w:val="auto"/>
                <w:highlight w:val="none"/>
              </w:rPr>
            </w:pPr>
            <w:r>
              <w:rPr>
                <w:rFonts w:hint="eastAsia" w:ascii="仿宋" w:hAnsi="仿宋" w:eastAsia="仿宋" w:cs="仿宋"/>
                <w:color w:val="auto"/>
                <w:highlight w:val="none"/>
              </w:rPr>
              <w:t>1</w:t>
            </w:r>
          </w:p>
        </w:tc>
        <w:tc>
          <w:tcPr>
            <w:tcW w:w="735" w:type="pct"/>
            <w:vAlign w:val="center"/>
          </w:tcPr>
          <w:p>
            <w:pPr>
              <w:pStyle w:val="103"/>
              <w:spacing w:line="240" w:lineRule="auto"/>
              <w:rPr>
                <w:rFonts w:ascii="仿宋" w:hAnsi="仿宋" w:eastAsia="仿宋" w:cs="仿宋"/>
                <w:b/>
                <w:color w:val="auto"/>
                <w:highlight w:val="none"/>
              </w:rPr>
            </w:pPr>
            <w:r>
              <w:rPr>
                <w:rFonts w:hint="eastAsia" w:ascii="仿宋" w:hAnsi="仿宋" w:eastAsia="仿宋" w:cs="仿宋"/>
                <w:color w:val="auto"/>
                <w:highlight w:val="none"/>
              </w:rPr>
              <w:t>视图库</w:t>
            </w:r>
          </w:p>
        </w:tc>
        <w:tc>
          <w:tcPr>
            <w:tcW w:w="2784" w:type="pct"/>
            <w:gridSpan w:val="2"/>
            <w:vAlign w:val="center"/>
          </w:tcPr>
          <w:p>
            <w:pPr>
              <w:pStyle w:val="103"/>
              <w:spacing w:line="240" w:lineRule="auto"/>
              <w:jc w:val="left"/>
              <w:rPr>
                <w:rFonts w:ascii="仿宋" w:hAnsi="仿宋" w:eastAsia="仿宋" w:cs="仿宋"/>
                <w:b/>
                <w:color w:val="auto"/>
                <w:highlight w:val="none"/>
              </w:rPr>
            </w:pPr>
            <w:r>
              <w:rPr>
                <w:rFonts w:hint="eastAsia" w:ascii="仿宋" w:hAnsi="仿宋" w:eastAsia="仿宋" w:cs="仿宋"/>
                <w:color w:val="auto"/>
                <w:highlight w:val="none"/>
              </w:rPr>
              <w:t>*1.视图库扩容规模按照：每天新增1200万条抓拍数据进行计算，数据包含场景图（大图）600KB、人脸图（小图）50KB、人体图（小图）100KB、车辆图（小图）120KB及对应结构化数据（2KB），存储时限要求为：大图及小图存储不少于183天，结构化数据存储不少于366天。</w:t>
            </w:r>
          </w:p>
        </w:tc>
        <w:tc>
          <w:tcPr>
            <w:tcW w:w="444" w:type="pct"/>
            <w:gridSpan w:val="2"/>
            <w:vAlign w:val="center"/>
          </w:tcPr>
          <w:p>
            <w:pPr>
              <w:pStyle w:val="103"/>
              <w:spacing w:line="240" w:lineRule="auto"/>
              <w:rPr>
                <w:rFonts w:ascii="仿宋" w:hAnsi="仿宋" w:eastAsia="仿宋" w:cs="仿宋"/>
                <w:b/>
                <w:color w:val="auto"/>
                <w:highlight w:val="none"/>
              </w:rPr>
            </w:pPr>
            <w:r>
              <w:rPr>
                <w:rFonts w:hint="eastAsia" w:ascii="仿宋" w:hAnsi="仿宋" w:eastAsia="仿宋" w:cs="仿宋"/>
                <w:color w:val="auto"/>
                <w:highlight w:val="none"/>
              </w:rPr>
              <w:t>套</w:t>
            </w:r>
          </w:p>
        </w:tc>
        <w:tc>
          <w:tcPr>
            <w:tcW w:w="608" w:type="pct"/>
            <w:gridSpan w:val="2"/>
            <w:vAlign w:val="center"/>
          </w:tcPr>
          <w:p>
            <w:pPr>
              <w:pStyle w:val="103"/>
              <w:spacing w:line="240" w:lineRule="auto"/>
              <w:rPr>
                <w:rFonts w:ascii="仿宋" w:hAnsi="仿宋" w:eastAsia="仿宋" w:cs="仿宋"/>
                <w:b/>
                <w:color w:val="auto"/>
                <w:highlight w:val="none"/>
              </w:rPr>
            </w:pPr>
            <w:r>
              <w:rPr>
                <w:rFonts w:hint="eastAsia" w:ascii="仿宋" w:hAnsi="仿宋" w:eastAsia="仿宋" w:cs="仿宋"/>
                <w:color w:val="auto"/>
                <w:highlight w:val="none"/>
              </w:rPr>
              <w:t>投标人根据本项目图片和结构化数据存储需求进行具体配置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00" w:type="pct"/>
            <w:gridSpan w:val="8"/>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（六）、青羊区立体化防控平台功能升级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1</w:t>
            </w:r>
          </w:p>
        </w:tc>
        <w:tc>
          <w:tcPr>
            <w:tcW w:w="735"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青羊区立体化防控平台功能升级</w:t>
            </w:r>
          </w:p>
        </w:tc>
        <w:tc>
          <w:tcPr>
            <w:tcW w:w="2784" w:type="pct"/>
            <w:gridSpan w:val="2"/>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*1.根据青羊区公安分局需求对青羊区立体化防控平台进行功能升级，对接青羊分局现有信息化系统，实现指挥、勤务、督查信息一屏展示，指令一机下达等功能。</w:t>
            </w:r>
          </w:p>
        </w:tc>
        <w:tc>
          <w:tcPr>
            <w:tcW w:w="444"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项</w:t>
            </w:r>
          </w:p>
        </w:tc>
        <w:tc>
          <w:tcPr>
            <w:tcW w:w="608"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（七）、流媒体转发扩容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1</w:t>
            </w:r>
          </w:p>
        </w:tc>
        <w:tc>
          <w:tcPr>
            <w:tcW w:w="735"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流媒体服务器</w:t>
            </w:r>
          </w:p>
        </w:tc>
        <w:tc>
          <w:tcPr>
            <w:tcW w:w="2784" w:type="pct"/>
            <w:gridSpan w:val="2"/>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*1.CPU：≥56线程。</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*2.内存：≥64G。</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*3.系统盘：≥2x1THDD 。</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*4.应用数据盘：≥1x6TB HDD （数据盘）。</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*5.RAID卡：支持RAID 0/1/10。</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*6.千兆网卡。</w:t>
            </w:r>
          </w:p>
        </w:tc>
        <w:tc>
          <w:tcPr>
            <w:tcW w:w="444"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台</w:t>
            </w:r>
          </w:p>
        </w:tc>
        <w:tc>
          <w:tcPr>
            <w:tcW w:w="608"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（八）、全结构化分析应用系统硬件设备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1</w:t>
            </w:r>
          </w:p>
        </w:tc>
        <w:tc>
          <w:tcPr>
            <w:tcW w:w="735"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全结构化分析应用系统硬件设备</w:t>
            </w:r>
          </w:p>
        </w:tc>
        <w:tc>
          <w:tcPr>
            <w:tcW w:w="2784" w:type="pct"/>
            <w:gridSpan w:val="2"/>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用于部署本项目全结构化图片流分析应用模块算法软件。每套支持全结构化图片流分析应用模块算法每天720万张图片流进行实时处理、分析。投标人按照要求自行提供相关硬件设备清单。硬件配置要求：通用X86架构服务器，单台配置≥2颗，≥18核的高性能处理器，主频≥2.2GHz，≥4x64G DDR4内存，配置的GPU加速器规格不低于NVIDIA T4卡，GPU加速器数量按实际情况配备。</w:t>
            </w:r>
          </w:p>
        </w:tc>
        <w:tc>
          <w:tcPr>
            <w:tcW w:w="444"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套</w:t>
            </w:r>
          </w:p>
        </w:tc>
        <w:tc>
          <w:tcPr>
            <w:tcW w:w="608"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（九）网络安全系统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1</w:t>
            </w:r>
          </w:p>
        </w:tc>
        <w:tc>
          <w:tcPr>
            <w:tcW w:w="735" w:type="pct"/>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防火墙</w:t>
            </w:r>
          </w:p>
        </w:tc>
        <w:tc>
          <w:tcPr>
            <w:tcW w:w="2784" w:type="pct"/>
            <w:gridSpan w:val="2"/>
            <w:vAlign w:val="center"/>
          </w:tcPr>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*1.1U机架式设备，≥8个千兆电口，≥2个千兆光口。</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*2.整机吞吐量≥1Gbps，每秒新建连接数≥0.3万，最大并发连接数≥30万。</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*3.访问控制策略支持基于源/目的IP，源/目的端口，源/目的区域，用户（组），应用/服务类型的细化控制方式。</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*4.支持二层模式（透明模式）、三层模式（路由和NAT模式）和混合模式。</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*5.支持静态路由、等价路由，支持RIP、RIPng；OSPFv2/v3动态路由协议。</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▲6.支持对被保护对象的流量进行分析，通过对流量日志的统计整理，智能生成包过滤策略，提高运维人员工作效率。（提供第三方产品检测报告复印件和产品配置截图，并加盖投标人公章（鲜章）证明）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▲7.支持通过命令行的方式对设备内部数据流进行分析，可快速定位造成故障的防火墙内部功能模块，便于进行故障排查。（提供第三方产品检测报告复印件和产品配置截图，并加盖投标人公章（鲜章）证明）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*8.支持IPv4／v6 NAT地址转换，支持源目的地址转换，目的地址转换和双向地址转换，支持针对源IP或者目的IP进行连接数控制，支持MPLS协议。</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*9.支持多虚一部署，可将两台物理设备虚拟化成一台逻辑上的设备。</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▲10.支持对安全策略进行冗余分析，并支持按不同时间段筛选未匹配的策略功能，且可以对其进行禁/启用或者删除操作。（提供第三方产品检测报告复印件和产品配置截图，并加盖投标人公章（鲜章）证明）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▲11.支持IP信誉黑名单。（提供第三方产品检测报告复印件和产品配置截图，并加盖投标人公章（鲜章）证明）</w:t>
            </w:r>
          </w:p>
          <w:p>
            <w:pPr>
              <w:pStyle w:val="103"/>
              <w:spacing w:line="240" w:lineRule="auto"/>
              <w:jc w:val="left"/>
              <w:rPr>
                <w:rFonts w:ascii="仿宋" w:hAnsi="仿宋" w:eastAsia="仿宋" w:cs="仿宋"/>
                <w:color w:val="auto"/>
                <w:highlight w:val="none"/>
              </w:rPr>
            </w:pPr>
            <w:r>
              <w:rPr>
                <w:rFonts w:hint="eastAsia" w:ascii="仿宋" w:hAnsi="仿宋" w:eastAsia="仿宋" w:cs="仿宋"/>
                <w:color w:val="auto"/>
                <w:highlight w:val="none"/>
              </w:rPr>
              <w:t>*12.支持SYN Flood、ICMP Flood、UDP Flood、ARP Flood攻击防护，支持IP地址扫描，端口扫描防护，支持ARP欺骗防护功能、支持IP协议异常报文检测和TCP协议异常报文检测。</w:t>
            </w:r>
          </w:p>
        </w:tc>
        <w:tc>
          <w:tcPr>
            <w:tcW w:w="444"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套</w:t>
            </w:r>
          </w:p>
        </w:tc>
        <w:tc>
          <w:tcPr>
            <w:tcW w:w="608" w:type="pct"/>
            <w:gridSpan w:val="2"/>
            <w:vAlign w:val="center"/>
          </w:tcPr>
          <w:p>
            <w:pPr>
              <w:pStyle w:val="103"/>
              <w:spacing w:line="240" w:lineRule="auto"/>
              <w:rPr>
                <w:rFonts w:ascii="仿宋" w:hAnsi="仿宋" w:eastAsia="仿宋" w:cs="仿宋"/>
                <w:color w:val="auto"/>
                <w:highlight w:val="none"/>
              </w:rPr>
            </w:pPr>
            <w:r>
              <w:rPr>
                <w:rFonts w:hint="eastAsia" w:ascii="仿宋" w:hAnsi="仿宋" w:eastAsia="仿宋" w:cs="仿宋"/>
                <w:color w:val="auto"/>
                <w:highlight w:val="none"/>
              </w:rPr>
              <w:t>1</w:t>
            </w:r>
          </w:p>
        </w:tc>
      </w:tr>
    </w:tbl>
    <w:p>
      <w:pPr>
        <w:pStyle w:val="75"/>
        <w:spacing w:line="360" w:lineRule="auto"/>
        <w:ind w:firstLine="480"/>
        <w:rPr>
          <w:rFonts w:ascii="仿宋" w:hAnsi="仿宋" w:eastAsia="仿宋" w:cs="仿宋"/>
          <w:color w:val="auto"/>
          <w:szCs w:val="24"/>
          <w:highlight w:val="none"/>
        </w:rPr>
      </w:pPr>
    </w:p>
    <w:bookmarkEnd w:id="200"/>
    <w:bookmarkEnd w:id="287"/>
    <w:bookmarkEnd w:id="288"/>
    <w:bookmarkEnd w:id="289"/>
    <w:bookmarkEnd w:id="290"/>
    <w:bookmarkEnd w:id="291"/>
    <w:bookmarkEnd w:id="292"/>
    <w:bookmarkEnd w:id="293"/>
    <w:bookmarkEnd w:id="294"/>
    <w:p>
      <w:pPr>
        <w:rPr>
          <w:rFonts w:ascii="仿宋" w:hAnsi="仿宋" w:eastAsia="仿宋" w:cs="仿宋"/>
          <w:b/>
          <w:bCs/>
          <w:color w:val="auto"/>
          <w:sz w:val="28"/>
          <w:szCs w:val="32"/>
          <w:highlight w:val="none"/>
        </w:rPr>
      </w:pPr>
      <w:bookmarkStart w:id="302" w:name="_Toc496882509"/>
      <w:bookmarkStart w:id="303" w:name="_Toc497900755"/>
      <w:r>
        <w:rPr>
          <w:rFonts w:hint="eastAsia" w:ascii="仿宋" w:hAnsi="仿宋" w:eastAsia="仿宋" w:cs="仿宋"/>
          <w:b/>
          <w:bCs/>
          <w:color w:val="auto"/>
          <w:sz w:val="28"/>
          <w:szCs w:val="32"/>
          <w:highlight w:val="none"/>
        </w:rPr>
        <w:t>四、服务要求</w:t>
      </w:r>
    </w:p>
    <w:bookmarkEnd w:id="302"/>
    <w:bookmarkEnd w:id="303"/>
    <w:p>
      <w:pPr>
        <w:rPr>
          <w:rFonts w:ascii="仿宋" w:hAnsi="仿宋" w:eastAsia="仿宋" w:cs="仿宋"/>
          <w:b/>
          <w:bCs/>
          <w:color w:val="auto"/>
          <w:sz w:val="28"/>
          <w:szCs w:val="32"/>
          <w:highlight w:val="none"/>
        </w:rPr>
      </w:pPr>
      <w:bookmarkStart w:id="304" w:name="_Toc497900756"/>
      <w:bookmarkStart w:id="305" w:name="_Toc496882510"/>
      <w:r>
        <w:rPr>
          <w:rFonts w:hint="eastAsia" w:ascii="仿宋" w:hAnsi="仿宋" w:eastAsia="仿宋" w:cs="仿宋"/>
          <w:b/>
          <w:bCs/>
          <w:color w:val="auto"/>
          <w:sz w:val="28"/>
          <w:szCs w:val="32"/>
          <w:highlight w:val="none"/>
        </w:rPr>
        <w:t>机房</w:t>
      </w:r>
      <w:bookmarkEnd w:id="304"/>
      <w:bookmarkEnd w:id="305"/>
      <w:r>
        <w:rPr>
          <w:rFonts w:hint="eastAsia" w:ascii="仿宋" w:hAnsi="仿宋" w:eastAsia="仿宋" w:cs="仿宋"/>
          <w:b/>
          <w:bCs/>
          <w:color w:val="auto"/>
          <w:sz w:val="28"/>
          <w:szCs w:val="32"/>
          <w:highlight w:val="none"/>
        </w:rPr>
        <w:t>管理要求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此次项目建设，中标人应提供不小于100平米专业的独立机房。要求配备机房精密空调、稳定的市电接入（市电负荷要有冗余完成未来1-3年的设备的持续增加）、UPS、门禁管理系统、视频监控系统，保证机房温度、湿度等运行环境。机房监控应无死角，录像至少保存90天以上。</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*（2）指定专人负责日常值守和管理。技术支撑工程师及相关人员进入机房必须由采购人授权，对机房内任何设施的操作必须得到</w:t>
      </w:r>
      <w:bookmarkStart w:id="306" w:name="_Toc3104"/>
      <w:r>
        <w:rPr>
          <w:rFonts w:hint="eastAsia" w:ascii="仿宋" w:hAnsi="仿宋" w:eastAsia="仿宋" w:cs="仿宋"/>
          <w:color w:val="auto"/>
          <w:sz w:val="24"/>
          <w:highlight w:val="none"/>
        </w:rPr>
        <w:t>采购人同意。</w:t>
      </w:r>
    </w:p>
    <w:p>
      <w:pPr>
        <w:spacing w:line="360" w:lineRule="auto"/>
        <w:ind w:firstLine="480"/>
        <w:rPr>
          <w:rFonts w:ascii="仿宋" w:hAnsi="仿宋" w:eastAsia="仿宋" w:cs="仿宋"/>
          <w:color w:val="auto"/>
          <w:sz w:val="28"/>
          <w:szCs w:val="28"/>
          <w:highlight w:val="none"/>
        </w:rPr>
      </w:pPr>
      <w:r>
        <w:rPr>
          <w:rFonts w:hint="eastAsia" w:ascii="仿宋" w:hAnsi="仿宋" w:eastAsia="仿宋" w:cs="仿宋"/>
          <w:color w:val="auto"/>
          <w:sz w:val="24"/>
          <w:highlight w:val="none"/>
        </w:rPr>
        <w:t>*（3）应制定详细且切实可行的机房管理制度并严格</w:t>
      </w:r>
      <w:bookmarkEnd w:id="306"/>
      <w:bookmarkStart w:id="307" w:name="_Toc497900757"/>
      <w:bookmarkStart w:id="308" w:name="_Toc496882511"/>
      <w:r>
        <w:rPr>
          <w:rFonts w:hint="eastAsia" w:ascii="仿宋" w:hAnsi="仿宋" w:eastAsia="仿宋" w:cs="仿宋"/>
          <w:color w:val="auto"/>
          <w:sz w:val="24"/>
          <w:highlight w:val="none"/>
        </w:rPr>
        <w:t>落实。</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故障</w:t>
      </w:r>
      <w:bookmarkEnd w:id="307"/>
      <w:bookmarkEnd w:id="308"/>
      <w:r>
        <w:rPr>
          <w:rFonts w:hint="eastAsia" w:ascii="仿宋" w:hAnsi="仿宋" w:eastAsia="仿宋" w:cs="仿宋"/>
          <w:b/>
          <w:bCs/>
          <w:color w:val="auto"/>
          <w:sz w:val="28"/>
          <w:szCs w:val="28"/>
          <w:highlight w:val="none"/>
        </w:rPr>
        <w:t>响应要求</w:t>
      </w:r>
    </w:p>
    <w:p>
      <w:pPr>
        <w:ind w:firstLine="480"/>
        <w:rPr>
          <w:rFonts w:ascii="仿宋" w:hAnsi="仿宋" w:eastAsia="仿宋" w:cs="仿宋"/>
          <w:color w:val="auto"/>
          <w:sz w:val="24"/>
          <w:highlight w:val="none"/>
        </w:rPr>
      </w:pPr>
      <w:r>
        <w:rPr>
          <w:rFonts w:hint="eastAsia" w:ascii="仿宋" w:hAnsi="仿宋" w:eastAsia="仿宋" w:cs="仿宋"/>
          <w:color w:val="auto"/>
          <w:sz w:val="24"/>
          <w:highlight w:val="none"/>
        </w:rPr>
        <w:t>根据对设备问题的严重程度和影响程度的不同，要求如下：</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01"/>
        <w:gridCol w:w="2642"/>
        <w:gridCol w:w="1172"/>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58"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序号</w:t>
            </w:r>
          </w:p>
        </w:tc>
        <w:tc>
          <w:tcPr>
            <w:tcW w:w="718"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故障级别</w:t>
            </w:r>
          </w:p>
        </w:tc>
        <w:tc>
          <w:tcPr>
            <w:tcW w:w="1457"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故障分类</w:t>
            </w:r>
          </w:p>
        </w:tc>
        <w:tc>
          <w:tcPr>
            <w:tcW w:w="647"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响应时限</w:t>
            </w:r>
          </w:p>
        </w:tc>
        <w:tc>
          <w:tcPr>
            <w:tcW w:w="1818"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恢复时限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358"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highlight w:val="none"/>
              </w:rPr>
              <w:t>*</w:t>
            </w:r>
            <w:r>
              <w:rPr>
                <w:rFonts w:hint="eastAsia" w:ascii="仿宋" w:hAnsi="仿宋" w:eastAsia="仿宋" w:cs="仿宋"/>
                <w:bCs/>
                <w:color w:val="auto"/>
                <w:sz w:val="21"/>
                <w:szCs w:val="21"/>
                <w:highlight w:val="none"/>
              </w:rPr>
              <w:t>1</w:t>
            </w:r>
          </w:p>
        </w:tc>
        <w:tc>
          <w:tcPr>
            <w:tcW w:w="718"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一级故障</w:t>
            </w:r>
          </w:p>
        </w:tc>
        <w:tc>
          <w:tcPr>
            <w:tcW w:w="1457"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前端设备损坏，点位断电、点位断网、平台系统无法使用</w:t>
            </w:r>
          </w:p>
        </w:tc>
        <w:tc>
          <w:tcPr>
            <w:tcW w:w="647"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7×24小时及时响应</w:t>
            </w:r>
          </w:p>
        </w:tc>
        <w:tc>
          <w:tcPr>
            <w:tcW w:w="1818"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2小时到达现场，12小时内恢复（遇不可抗力，恢复时限顺延）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358"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highlight w:val="none"/>
              </w:rPr>
              <w:t>*</w:t>
            </w:r>
            <w:r>
              <w:rPr>
                <w:rFonts w:hint="eastAsia" w:ascii="仿宋" w:hAnsi="仿宋" w:eastAsia="仿宋" w:cs="仿宋"/>
                <w:bCs/>
                <w:color w:val="auto"/>
                <w:sz w:val="21"/>
                <w:szCs w:val="21"/>
                <w:highlight w:val="none"/>
              </w:rPr>
              <w:t>2</w:t>
            </w:r>
          </w:p>
        </w:tc>
        <w:tc>
          <w:tcPr>
            <w:tcW w:w="718"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二级故障</w:t>
            </w:r>
          </w:p>
        </w:tc>
        <w:tc>
          <w:tcPr>
            <w:tcW w:w="1457"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前端设备无法控制、视频质量异常、平台系统部分功能模块出现故障</w:t>
            </w:r>
          </w:p>
        </w:tc>
        <w:tc>
          <w:tcPr>
            <w:tcW w:w="647"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7×24小时及时响应</w:t>
            </w:r>
          </w:p>
        </w:tc>
        <w:tc>
          <w:tcPr>
            <w:tcW w:w="1818"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3小时到达现场，24小时内恢复（遇不可抗力，恢复时限顺延）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358"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highlight w:val="none"/>
              </w:rPr>
              <w:t>*</w:t>
            </w:r>
            <w:r>
              <w:rPr>
                <w:rFonts w:hint="eastAsia" w:ascii="仿宋" w:hAnsi="仿宋" w:eastAsia="仿宋" w:cs="仿宋"/>
                <w:bCs/>
                <w:color w:val="auto"/>
                <w:sz w:val="21"/>
                <w:szCs w:val="21"/>
                <w:highlight w:val="none"/>
              </w:rPr>
              <w:t>3</w:t>
            </w:r>
          </w:p>
        </w:tc>
        <w:tc>
          <w:tcPr>
            <w:tcW w:w="718"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三级故障</w:t>
            </w:r>
          </w:p>
        </w:tc>
        <w:tc>
          <w:tcPr>
            <w:tcW w:w="1457"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前端设备污浊、视频画面受阻。</w:t>
            </w:r>
          </w:p>
        </w:tc>
        <w:tc>
          <w:tcPr>
            <w:tcW w:w="647"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7×24小时及时响应</w:t>
            </w:r>
          </w:p>
        </w:tc>
        <w:tc>
          <w:tcPr>
            <w:tcW w:w="1818" w:type="pct"/>
            <w:noWrap/>
            <w:vAlign w:val="center"/>
          </w:tcPr>
          <w:p>
            <w:pPr>
              <w:pStyle w:val="77"/>
              <w:spacing w:line="440" w:lineRule="exact"/>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4小时到达现场，48小时内恢复（遇不可抗力，恢复时限顺延</w:t>
            </w:r>
            <w:bookmarkStart w:id="309" w:name="_Toc497900758"/>
            <w:bookmarkStart w:id="310" w:name="_Toc496882512"/>
            <w:r>
              <w:rPr>
                <w:rFonts w:hint="eastAsia" w:ascii="仿宋" w:hAnsi="仿宋" w:eastAsia="仿宋" w:cs="仿宋"/>
                <w:bCs/>
                <w:color w:val="auto"/>
                <w:sz w:val="21"/>
                <w:szCs w:val="21"/>
                <w:highlight w:val="none"/>
              </w:rPr>
              <w:t>）</w:t>
            </w:r>
          </w:p>
        </w:tc>
      </w:tr>
    </w:tbl>
    <w:p>
      <w:pPr>
        <w:rPr>
          <w:rFonts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rPr>
        <w:t>应急</w:t>
      </w:r>
      <w:bookmarkEnd w:id="309"/>
      <w:bookmarkEnd w:id="310"/>
      <w:r>
        <w:rPr>
          <w:rFonts w:hint="eastAsia" w:ascii="仿宋" w:hAnsi="仿宋" w:eastAsia="仿宋" w:cs="仿宋"/>
          <w:b/>
          <w:bCs/>
          <w:color w:val="auto"/>
          <w:sz w:val="28"/>
          <w:szCs w:val="32"/>
          <w:highlight w:val="none"/>
        </w:rPr>
        <w:t>响应要求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针对于青羊区重大事件、重要会议，敏感节点、节假日等情况分别按照一级、二级、三级响应模式进行安全保障。</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*（1）一级响应：安排应急处置小组提前60分钟到达现场待命，进行现场设备、技术保障；</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*（2）二级响应：安排应急处置小组提前30分钟到达现场待命，进行现场设备、技术保障；</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*（3）三级响应：根据任务要求到现场或提供远程技术</w:t>
      </w:r>
      <w:bookmarkStart w:id="311" w:name="_Toc496882513"/>
      <w:bookmarkStart w:id="312" w:name="_Toc497900759"/>
      <w:r>
        <w:rPr>
          <w:rFonts w:hint="eastAsia" w:ascii="仿宋" w:hAnsi="仿宋" w:eastAsia="仿宋" w:cs="仿宋"/>
          <w:color w:val="auto"/>
          <w:sz w:val="24"/>
          <w:highlight w:val="none"/>
        </w:rPr>
        <w:t>保障。</w:t>
      </w:r>
    </w:p>
    <w:p>
      <w:pPr>
        <w:rPr>
          <w:rFonts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rPr>
        <w:t>软硬件</w:t>
      </w:r>
      <w:bookmarkEnd w:id="311"/>
      <w:bookmarkEnd w:id="312"/>
      <w:r>
        <w:rPr>
          <w:rFonts w:hint="eastAsia" w:ascii="仿宋" w:hAnsi="仿宋" w:eastAsia="仿宋" w:cs="仿宋"/>
          <w:b/>
          <w:bCs/>
          <w:color w:val="auto"/>
          <w:sz w:val="28"/>
          <w:szCs w:val="32"/>
          <w:highlight w:val="none"/>
        </w:rPr>
        <w:t>保障要求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本项目建设所有软硬件如线缆、软件、硬件模块等，包括未列出而系统实施又必需的软件、硬件需配齐以构成一套完整实用系统，如有任何遗漏，由投标人免费补齐。投标人还应提供包括随机的辅助材料设备、专用电线电缆、随机软件、技术资料（包括操作手册、使用指南等）、设备运行所必需的随机消耗材料，相应的技术服务与质量保证。</w:t>
      </w:r>
      <w:r>
        <w:rPr>
          <w:rFonts w:hint="eastAsia" w:ascii="仿宋" w:hAnsi="仿宋" w:eastAsia="仿宋" w:cs="仿宋"/>
          <w:b/>
          <w:bCs/>
          <w:color w:val="auto"/>
          <w:sz w:val="24"/>
          <w:highlight w:val="none"/>
        </w:rPr>
        <w:t>（提供投标人承诺函原件，格式自拟）</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★（2）对于标“</w:t>
      </w:r>
      <w:r>
        <w:rPr>
          <w:rFonts w:hint="eastAsia" w:ascii="仿宋" w:hAnsi="仿宋" w:eastAsia="仿宋" w:cs="仿宋"/>
          <w:color w:val="auto"/>
          <w:sz w:val="24"/>
          <w:highlight w:val="none"/>
        </w:rPr>
        <w:sym w:font="Wingdings 2" w:char="F098"/>
      </w:r>
      <w:r>
        <w:rPr>
          <w:rFonts w:hint="eastAsia" w:ascii="仿宋" w:hAnsi="仿宋" w:eastAsia="仿宋" w:cs="仿宋"/>
          <w:color w:val="auto"/>
          <w:sz w:val="24"/>
          <w:highlight w:val="none"/>
        </w:rPr>
        <w:t>”符号的产品，投标人需保证产品及配件为生产厂商的全新正品。</w:t>
      </w:r>
      <w:r>
        <w:rPr>
          <w:rFonts w:hint="eastAsia" w:ascii="仿宋" w:hAnsi="仿宋" w:eastAsia="仿宋" w:cs="仿宋"/>
          <w:b/>
          <w:bCs/>
          <w:color w:val="auto"/>
          <w:sz w:val="24"/>
          <w:highlight w:val="none"/>
        </w:rPr>
        <w:t>（提供投标人承诺函原件，格式自拟）</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设备运行期间生成的所有数据、图片、信息及二次开发产生的所有信息归采购人所有，投标人无任何权限进行相关处置或提供给任何第三方加以应用，服务期满后或者设备需要更新时，原设备上的所有数据必须在采购方技术人员监督下进行清除或者格式化。</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*（4）后期采购人需要增加监控平台或者更换监控中心位置时，投标人需要提供免费光纤迁改、免费搭建平台及提供必要的监控设施。</w:t>
      </w:r>
    </w:p>
    <w:p>
      <w:pPr>
        <w:spacing w:line="360" w:lineRule="auto"/>
        <w:ind w:firstLine="480"/>
        <w:rPr>
          <w:rFonts w:ascii="仿宋" w:hAnsi="仿宋" w:eastAsia="仿宋" w:cs="仿宋"/>
          <w:color w:val="auto"/>
          <w:sz w:val="24"/>
          <w:highlight w:val="none"/>
        </w:rPr>
      </w:pPr>
      <w:bookmarkStart w:id="313" w:name="_Hlk95593693"/>
      <w:r>
        <w:rPr>
          <w:rFonts w:hint="eastAsia" w:ascii="仿宋" w:hAnsi="仿宋" w:eastAsia="仿宋" w:cs="仿宋"/>
          <w:color w:val="auto"/>
          <w:sz w:val="24"/>
          <w:highlight w:val="none"/>
        </w:rPr>
        <w:t>★</w:t>
      </w:r>
      <w:bookmarkEnd w:id="313"/>
      <w:r>
        <w:rPr>
          <w:rFonts w:hint="eastAsia" w:ascii="仿宋" w:hAnsi="仿宋" w:eastAsia="仿宋" w:cs="仿宋"/>
          <w:color w:val="auto"/>
          <w:sz w:val="24"/>
          <w:highlight w:val="none"/>
        </w:rPr>
        <w:t>（5）投标人在服务期内安排一名专业技术人员驻点青羊区公安分局，原则按照5×8小时负责技术保障，如遇特殊情况，服从青羊区公安分局安排。</w:t>
      </w:r>
      <w:r>
        <w:rPr>
          <w:rFonts w:hint="eastAsia" w:ascii="仿宋" w:hAnsi="仿宋" w:eastAsia="仿宋" w:cs="仿宋"/>
          <w:b/>
          <w:bCs/>
          <w:color w:val="auto"/>
          <w:sz w:val="24"/>
          <w:highlight w:val="none"/>
        </w:rPr>
        <w:t>（提供投标人承诺函原件，格式自拟）</w:t>
      </w:r>
    </w:p>
    <w:p>
      <w:pPr>
        <w:rPr>
          <w:rFonts w:ascii="仿宋" w:hAnsi="仿宋" w:eastAsia="仿宋" w:cs="仿宋"/>
          <w:b/>
          <w:bCs/>
          <w:color w:val="auto"/>
          <w:sz w:val="28"/>
          <w:szCs w:val="32"/>
          <w:highlight w:val="none"/>
        </w:rPr>
      </w:pPr>
      <w:bookmarkStart w:id="314" w:name="_Toc496882514"/>
      <w:bookmarkStart w:id="315" w:name="_Toc497900760"/>
      <w:r>
        <w:rPr>
          <w:rFonts w:hint="eastAsia" w:ascii="仿宋" w:hAnsi="仿宋" w:eastAsia="仿宋" w:cs="仿宋"/>
          <w:b/>
          <w:bCs/>
          <w:color w:val="auto"/>
          <w:sz w:val="28"/>
          <w:szCs w:val="32"/>
          <w:highlight w:val="none"/>
        </w:rPr>
        <w:t>维护保障技术</w:t>
      </w:r>
      <w:bookmarkEnd w:id="314"/>
      <w:bookmarkEnd w:id="315"/>
      <w:r>
        <w:rPr>
          <w:rFonts w:hint="eastAsia" w:ascii="仿宋" w:hAnsi="仿宋" w:eastAsia="仿宋" w:cs="仿宋"/>
          <w:b/>
          <w:bCs/>
          <w:color w:val="auto"/>
          <w:sz w:val="28"/>
          <w:szCs w:val="32"/>
          <w:highlight w:val="none"/>
        </w:rPr>
        <w:t>服务要求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针对该监控项目的特点以及项目的重要性，为了更好的完成技术支持和服务工作，需成立针对该项目技术支持与服务队伍。支持与服务应主要遵循以下原则：以处理故障，保障系统安全畅通为第一原则；快速响应原则；备件</w:t>
      </w:r>
      <w:bookmarkStart w:id="316" w:name="_Toc420341133"/>
      <w:bookmarkStart w:id="317" w:name="_Toc25211"/>
      <w:bookmarkStart w:id="318" w:name="_Toc419875982"/>
      <w:bookmarkStart w:id="319" w:name="_Toc313921360"/>
      <w:bookmarkStart w:id="320" w:name="_Toc353285772"/>
      <w:r>
        <w:rPr>
          <w:rFonts w:hint="eastAsia" w:ascii="仿宋" w:hAnsi="仿宋" w:eastAsia="仿宋" w:cs="仿宋"/>
          <w:color w:val="auto"/>
          <w:sz w:val="24"/>
          <w:highlight w:val="none"/>
        </w:rPr>
        <w:t>先行原则。</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（1）本地化服</w:t>
      </w:r>
      <w:bookmarkEnd w:id="316"/>
      <w:bookmarkEnd w:id="317"/>
      <w:bookmarkEnd w:id="318"/>
      <w:bookmarkEnd w:id="319"/>
      <w:bookmarkEnd w:id="320"/>
      <w:r>
        <w:rPr>
          <w:rFonts w:hint="eastAsia" w:ascii="仿宋" w:hAnsi="仿宋" w:eastAsia="仿宋" w:cs="仿宋"/>
          <w:color w:val="auto"/>
          <w:sz w:val="24"/>
          <w:highlight w:val="none"/>
        </w:rPr>
        <w:t>务</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*针对本项目的的特点提供方便的、快速响应的本地化服务，包括设备与系统的调试、培训、排障</w:t>
      </w:r>
      <w:bookmarkStart w:id="321" w:name="_技术支持服务内容和措施"/>
      <w:bookmarkEnd w:id="321"/>
      <w:bookmarkStart w:id="322" w:name="_Toc313921361"/>
      <w:bookmarkStart w:id="323" w:name="_Toc420341134"/>
      <w:bookmarkStart w:id="324" w:name="_Toc419875983"/>
      <w:bookmarkStart w:id="325" w:name="_Toc23688"/>
      <w:bookmarkStart w:id="326" w:name="_Toc353285773"/>
      <w:r>
        <w:rPr>
          <w:rFonts w:hint="eastAsia" w:ascii="仿宋" w:hAnsi="仿宋" w:eastAsia="仿宋" w:cs="仿宋"/>
          <w:color w:val="auto"/>
          <w:sz w:val="24"/>
          <w:highlight w:val="none"/>
        </w:rPr>
        <w:t>等。</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w:t>
      </w:r>
      <w:bookmarkEnd w:id="322"/>
      <w:bookmarkEnd w:id="323"/>
      <w:bookmarkEnd w:id="324"/>
      <w:bookmarkEnd w:id="325"/>
      <w:bookmarkEnd w:id="326"/>
      <w:r>
        <w:rPr>
          <w:rFonts w:hint="eastAsia" w:ascii="仿宋" w:hAnsi="仿宋" w:eastAsia="仿宋" w:cs="仿宋"/>
          <w:color w:val="auto"/>
          <w:sz w:val="24"/>
          <w:highlight w:val="none"/>
        </w:rPr>
        <w:t>服务措施</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*成立由软、硬件与系统集成工程师组成的技术支持及售后服务小组，为本项目提供全程的售后技术支持与服务。</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（3）服务方式</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*1.远程服务：通过电话、网络等方式远程提供服务。</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*2.现场服务：赴客户现场或故障现场提供</w:t>
      </w:r>
      <w:bookmarkStart w:id="327" w:name="_Toc15506"/>
      <w:r>
        <w:rPr>
          <w:rFonts w:hint="eastAsia" w:ascii="仿宋" w:hAnsi="仿宋" w:eastAsia="仿宋" w:cs="仿宋"/>
          <w:color w:val="auto"/>
          <w:sz w:val="24"/>
          <w:highlight w:val="none"/>
        </w:rPr>
        <w:t>服务。</w:t>
      </w:r>
      <w:bookmarkEnd w:id="327"/>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（4）服务内容</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*1.7×24小时服务电话，解答咨询问题、提供技术支持、接受投诉建议。</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*2.技术咨</w:t>
      </w:r>
      <w:bookmarkStart w:id="328" w:name="_响应式服务"/>
      <w:bookmarkEnd w:id="328"/>
      <w:bookmarkStart w:id="329" w:name="_Toc313921363"/>
      <w:bookmarkStart w:id="330" w:name="_Toc353285775"/>
      <w:bookmarkStart w:id="331" w:name="_Toc31139"/>
      <w:r>
        <w:rPr>
          <w:rFonts w:hint="eastAsia" w:ascii="仿宋" w:hAnsi="仿宋" w:eastAsia="仿宋" w:cs="仿宋"/>
          <w:color w:val="auto"/>
          <w:sz w:val="24"/>
          <w:highlight w:val="none"/>
        </w:rPr>
        <w:t>询服务。</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*3.响</w:t>
      </w:r>
      <w:bookmarkEnd w:id="329"/>
      <w:bookmarkEnd w:id="330"/>
      <w:bookmarkEnd w:id="331"/>
      <w:r>
        <w:rPr>
          <w:rFonts w:hint="eastAsia" w:ascii="仿宋" w:hAnsi="仿宋" w:eastAsia="仿宋" w:cs="仿宋"/>
          <w:color w:val="auto"/>
          <w:sz w:val="24"/>
          <w:highlight w:val="none"/>
        </w:rPr>
        <w:t>应式服务：自项目竣工验收合格之日起在合同约定服务期内及时响应服务需求并在相关时限内处理解决</w:t>
      </w:r>
      <w:bookmarkStart w:id="332" w:name="_Toc313921364"/>
      <w:bookmarkStart w:id="333" w:name="_Toc353285776"/>
      <w:bookmarkStart w:id="334" w:name="_Toc18248"/>
      <w:r>
        <w:rPr>
          <w:rFonts w:hint="eastAsia" w:ascii="仿宋" w:hAnsi="仿宋" w:eastAsia="仿宋" w:cs="仿宋"/>
          <w:color w:val="auto"/>
          <w:sz w:val="24"/>
          <w:highlight w:val="none"/>
        </w:rPr>
        <w:t>。</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*4.文档提供和</w:t>
      </w:r>
      <w:bookmarkEnd w:id="332"/>
      <w:bookmarkEnd w:id="333"/>
      <w:bookmarkEnd w:id="334"/>
      <w:r>
        <w:rPr>
          <w:rFonts w:hint="eastAsia" w:ascii="仿宋" w:hAnsi="仿宋" w:eastAsia="仿宋" w:cs="仿宋"/>
          <w:color w:val="auto"/>
          <w:sz w:val="24"/>
          <w:highlight w:val="none"/>
        </w:rPr>
        <w:t>更新服务：提供完整的软、硬件产品的文档。当产品升级后，提供更新后</w:t>
      </w:r>
      <w:bookmarkStart w:id="335" w:name="_Toc2158"/>
      <w:bookmarkStart w:id="336" w:name="_Toc234824652"/>
      <w:bookmarkStart w:id="337" w:name="_Toc419875984"/>
      <w:bookmarkStart w:id="338" w:name="_Toc26583"/>
      <w:bookmarkStart w:id="339" w:name="_Toc353285779"/>
      <w:bookmarkStart w:id="340" w:name="_Toc313921367"/>
      <w:bookmarkStart w:id="341" w:name="_Toc267940510"/>
      <w:bookmarkStart w:id="342" w:name="_Toc218225468"/>
      <w:bookmarkStart w:id="343" w:name="_Toc420341135"/>
      <w:bookmarkStart w:id="344" w:name="_Toc218158696"/>
      <w:bookmarkStart w:id="345" w:name="_Toc252204741"/>
      <w:r>
        <w:rPr>
          <w:rFonts w:hint="eastAsia" w:ascii="仿宋" w:hAnsi="仿宋" w:eastAsia="仿宋" w:cs="仿宋"/>
          <w:color w:val="auto"/>
          <w:sz w:val="24"/>
          <w:highlight w:val="none"/>
        </w:rPr>
        <w:t>的文档。</w:t>
      </w:r>
      <w:bookmarkEnd w:id="335"/>
      <w:bookmarkEnd w:id="336"/>
      <w:bookmarkEnd w:id="337"/>
      <w:bookmarkEnd w:id="338"/>
      <w:bookmarkEnd w:id="339"/>
      <w:bookmarkEnd w:id="340"/>
      <w:bookmarkEnd w:id="341"/>
      <w:bookmarkEnd w:id="342"/>
      <w:bookmarkEnd w:id="343"/>
      <w:bookmarkEnd w:id="344"/>
      <w:bookmarkEnd w:id="345"/>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培训服务：每年安排不低于4次（每次不低于1个工作日）的相关技术培训工作。培训内容和方式包括系统日常操作培训、系统日常维护培训、典型故障排除培训、系统安全培训、随工现场培训。服务期内，本项目中系统设备的软硬件如需升级，升级前后中标人应对采购人相关人员进行相应的</w:t>
      </w:r>
      <w:bookmarkStart w:id="346" w:name="_Toc497900761"/>
      <w:bookmarkStart w:id="347" w:name="_Toc496882515"/>
      <w:r>
        <w:rPr>
          <w:rFonts w:hint="eastAsia" w:ascii="仿宋" w:hAnsi="仿宋" w:eastAsia="仿宋" w:cs="仿宋"/>
          <w:color w:val="auto"/>
          <w:sz w:val="24"/>
          <w:highlight w:val="none"/>
        </w:rPr>
        <w:t>培训。</w:t>
      </w:r>
      <w:bookmarkEnd w:id="346"/>
      <w:bookmarkEnd w:id="347"/>
    </w:p>
    <w:p>
      <w:pPr>
        <w:rPr>
          <w:rFonts w:ascii="仿宋" w:hAnsi="仿宋" w:eastAsia="仿宋" w:cs="仿宋"/>
          <w:color w:val="auto"/>
          <w:highlight w:val="none"/>
        </w:rPr>
      </w:pPr>
    </w:p>
    <w:p>
      <w:pPr>
        <w:rPr>
          <w:rFonts w:ascii="仿宋" w:hAnsi="仿宋" w:eastAsia="仿宋" w:cs="仿宋"/>
          <w:color w:val="auto"/>
          <w:highlight w:val="none"/>
        </w:rPr>
        <w:sectPr>
          <w:footerReference r:id="rId9" w:type="default"/>
          <w:footerReference r:id="rId10" w:type="even"/>
          <w:type w:val="continuous"/>
          <w:pgSz w:w="11906" w:h="16838"/>
          <w:pgMar w:top="2098" w:right="1474" w:bottom="1984" w:left="1587" w:header="851" w:footer="1588" w:gutter="0"/>
          <w:pgNumType w:fmt="decimal"/>
          <w:cols w:space="720" w:num="1"/>
          <w:docGrid w:type="lines" w:linePitch="312" w:charSpace="0"/>
        </w:sectPr>
      </w:pPr>
    </w:p>
    <w:p>
      <w:pPr>
        <w:rPr>
          <w:rFonts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rPr>
        <w:t>五、商务要求：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*1、服务期限：本项目服务期为三年，合同一年一签。</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▲2、建设周期：合同签订后60天内完成所有设备及软件安装调试并经成都市公安局青羊区分局确认后交付使用，服务期自交付使用之日起开始计算。</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*3、质量要求：达到国家或行业现行技术标准。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*4、验收标准：根据国家相关规定、招标要求和投标文件进行验收。</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★5、服务期内应根据采购人实际需求，提供不超过本项目总点位数10%的免费移点服务。</w:t>
      </w:r>
      <w:r>
        <w:rPr>
          <w:rFonts w:hint="eastAsia" w:ascii="仿宋" w:hAnsi="仿宋" w:eastAsia="仿宋" w:cs="仿宋"/>
          <w:b/>
          <w:bCs/>
          <w:color w:val="auto"/>
          <w:sz w:val="24"/>
          <w:highlight w:val="none"/>
        </w:rPr>
        <w:t>（提供投标人承诺函原件，格式自拟）</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★6、三年合同期内及合同期满后，本项目所涉及的前端杆体使用权归采购人所有，所有权归中标人所有。合同期满后，中标人不得随意拆除在前端杆体安装的设备，且已安装的设备不得收取杆体租用费。</w:t>
      </w:r>
      <w:r>
        <w:rPr>
          <w:rFonts w:hint="eastAsia" w:ascii="仿宋" w:hAnsi="仿宋" w:eastAsia="仿宋" w:cs="仿宋"/>
          <w:b/>
          <w:bCs/>
          <w:color w:val="auto"/>
          <w:sz w:val="24"/>
          <w:highlight w:val="none"/>
        </w:rPr>
        <w:t>（提供投标人承诺函原件，格式自拟）</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★7、三年合同期满后，此次建设的摄像机、全结构化分析应用系统和视图库、存储等软硬件及所有数据信息归采购人所有。</w:t>
      </w:r>
      <w:r>
        <w:rPr>
          <w:rFonts w:hint="eastAsia" w:ascii="仿宋" w:hAnsi="仿宋" w:eastAsia="仿宋" w:cs="仿宋"/>
          <w:b/>
          <w:bCs/>
          <w:color w:val="auto"/>
          <w:sz w:val="24"/>
          <w:highlight w:val="none"/>
        </w:rPr>
        <w:t>（提供投标人承诺函原件，格式自拟）</w:t>
      </w:r>
    </w:p>
    <w:p>
      <w:pPr>
        <w:spacing w:line="360" w:lineRule="auto"/>
        <w:ind w:firstLine="480"/>
        <w:rPr>
          <w:rFonts w:ascii="仿宋" w:hAnsi="仿宋" w:eastAsia="仿宋" w:cs="仿宋"/>
          <w:b/>
          <w:bCs/>
          <w:color w:val="auto"/>
          <w:sz w:val="24"/>
          <w:highlight w:val="none"/>
        </w:rPr>
      </w:pPr>
      <w:r>
        <w:rPr>
          <w:rFonts w:hint="eastAsia" w:ascii="仿宋" w:hAnsi="仿宋" w:eastAsia="仿宋" w:cs="仿宋"/>
          <w:color w:val="auto"/>
          <w:sz w:val="24"/>
          <w:highlight w:val="none"/>
        </w:rPr>
        <w:t>★8、若采购人向中标人另行采购本项目所涉及的相同产品和服务时，中标人须按照不超过此次投标价格向采购人供货。</w:t>
      </w:r>
      <w:r>
        <w:rPr>
          <w:rFonts w:hint="eastAsia" w:ascii="仿宋" w:hAnsi="仿宋" w:eastAsia="仿宋" w:cs="仿宋"/>
          <w:b/>
          <w:bCs/>
          <w:color w:val="auto"/>
          <w:sz w:val="24"/>
          <w:highlight w:val="none"/>
        </w:rPr>
        <w:t>（提供投标人承诺函原件，格式自拟）</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9、付款方式</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*根据考核办法及扣费标准，经验收合格后，采购人按季度支付费用。</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10、考核办法及扣费标准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系统运行考核采取工作差错记分方式，通过对未按时限或未完成的维护工作量统计，计算未达标工作所占比例，作为前后端系统运行维护工作差错，内容为外场维护差错。</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（1）外场维护故障超时率</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*1.中标人应提供《系统月运行报告》，报告中应体现出故障时长、恢复处理情况，经业主方签字认可后作为考核依据。</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月前后端监控点位摄像头故障超时率应不超过10%，不超过10%时，超时率为1。超时率计算公式为：（当月所有前后端监控点位摄像头故障超出24小时后的累计时长+中心设备故障超出6小时后的累计时长×该中心故障造成前后端监控点位故障摄像头数量）÷（前后端监控点位摄像头数量×当月总天数×24小时）。</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（2）维护错误</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*1.未经业主方允许，撤离或更换项目人员、服务内容、施工单位的，记10分。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*2.前后端系统巡查过程中，未及时发现、上报与前后端设施（含设备监控区域内、外）残缺、破损、遮挡、遗失或设置冲突的，记10分。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*3.未按要求开展前后端系统每月维护保养、清洁的，记10分。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*4.未按要求完成前后端系统迁改工程的，记10分。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*5.未按时完成业主方特定要求的设备检查和标定工作的，记5分。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*6.未按要求完成业主方特定要求的设备功能调整和优化工作的，记5分。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*7.7×24小时内服务热线无人接听，响应不及时的，记2分。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*8.未响应业主方要求，提供技术服务、组织技术培训工作的，记2分。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（3）考核差错记分办法</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每月系统运行维护差错记分为：</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*1.当月差错计分=外场维护故障超时率×100-维护错误</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*2.当月差错计分高于90分，即认定服务为合格，则按照原金额支付。</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如低于90分则按照以下公式支付：</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*3.每月应结算金额=项目总费用÷租赁期（月）×（当月差错计分÷100）</w:t>
      </w:r>
    </w:p>
    <w:p>
      <w:pPr>
        <w:ind w:firstLine="480"/>
        <w:rPr>
          <w:rFonts w:ascii="仿宋" w:hAnsi="仿宋" w:eastAsia="仿宋" w:cs="仿宋"/>
          <w:color w:val="auto"/>
          <w:highlight w:val="none"/>
        </w:rPr>
      </w:pPr>
    </w:p>
    <w:p>
      <w:pPr>
        <w:ind w:firstLine="480"/>
        <w:rPr>
          <w:rFonts w:ascii="仿宋" w:hAnsi="仿宋" w:eastAsia="仿宋" w:cs="仿宋"/>
          <w:color w:val="auto"/>
          <w:highlight w:val="none"/>
        </w:rPr>
      </w:pPr>
    </w:p>
    <w:p>
      <w:pPr>
        <w:spacing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注：</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本章中标“★”号的为本次招标项目的实质性要求，不允许有负偏离，否则作无效投标处理。</w:t>
      </w:r>
    </w:p>
    <w:p>
      <w:pPr>
        <w:rPr>
          <w:rFonts w:ascii="仿宋" w:hAnsi="仿宋" w:eastAsia="仿宋" w:cs="仿宋"/>
          <w:color w:val="auto"/>
          <w:sz w:val="24"/>
          <w:highlight w:val="none"/>
        </w:rPr>
      </w:pPr>
    </w:p>
    <w:p>
      <w:pPr>
        <w:pStyle w:val="2"/>
        <w:rPr>
          <w:rFonts w:ascii="仿宋" w:hAnsi="仿宋" w:eastAsia="仿宋" w:cs="仿宋"/>
          <w:color w:val="auto"/>
          <w:highlight w:val="none"/>
        </w:rPr>
        <w:sectPr>
          <w:footerReference r:id="rId11" w:type="default"/>
          <w:type w:val="continuous"/>
          <w:pgSz w:w="11906" w:h="16838"/>
          <w:pgMar w:top="1440" w:right="1800" w:bottom="1440" w:left="1800" w:header="851" w:footer="992" w:gutter="0"/>
          <w:pgNumType w:fmt="decimal"/>
          <w:cols w:space="720" w:num="1"/>
          <w:docGrid w:type="lines" w:linePitch="319" w:charSpace="0"/>
        </w:sectPr>
      </w:pPr>
    </w:p>
    <w:p>
      <w:pPr>
        <w:pStyle w:val="3"/>
        <w:rPr>
          <w:color w:val="auto"/>
          <w:highlight w:val="none"/>
        </w:rPr>
      </w:pPr>
    </w:p>
    <w:p>
      <w:pPr>
        <w:pStyle w:val="4"/>
        <w:spacing w:before="0" w:after="0" w:line="360" w:lineRule="auto"/>
        <w:jc w:val="center"/>
        <w:rPr>
          <w:rFonts w:ascii="仿宋" w:hAnsi="仿宋" w:eastAsia="仿宋" w:cs="仿宋"/>
          <w:color w:val="auto"/>
          <w:sz w:val="24"/>
          <w:highlight w:val="none"/>
        </w:rPr>
      </w:pPr>
      <w:bookmarkStart w:id="348" w:name="_Toc29606_WPSOffice_Level1"/>
      <w:bookmarkStart w:id="349" w:name="_Toc22447"/>
      <w:r>
        <w:rPr>
          <w:rFonts w:hint="eastAsia" w:ascii="仿宋" w:hAnsi="仿宋" w:eastAsia="仿宋" w:cs="仿宋"/>
          <w:color w:val="auto"/>
          <w:highlight w:val="none"/>
        </w:rPr>
        <w:t>第五章  资格性审查</w:t>
      </w:r>
      <w:bookmarkEnd w:id="348"/>
      <w:bookmarkEnd w:id="349"/>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资格性审查时因断电、断网、系统故障或其他不可抗力等因素，导致资格审查小组无法通过系统阅读投标文件进行审查的，待系统恢复后继续审查。出现上述情况时，采购代理机构将通知各投标人。</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2.资格性审查标准见下表：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48"/>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资格性审查项</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具有独立承担民事责任的能力</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具有良好的商业信誉</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提供具有良好的商业信誉的承诺函。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具有健全的财务会计制度的证明材料</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①可提供2019或2020年经审计的财务报告复印件（至少包含审计报告和审计报告中所涉及的财务报表和报表附注）；②也可提供2019或2020年度供应商内部的财务报表复印件（至少包含资产负债表）；③也可提供距文件递交截止日一年内银行出具的资信证明（复印件）；④供应商注册时间至文件递交截止日不足1年的，也可提供在工商备案的公司章程（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具有依法缴纳税收和社会保障资金的良好记录</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提供具有依法缴纳税收和社会保障资金的良好记录的承诺函。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具有履行合同所必需的设备和专业技术能力</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提供具有履行合同所必需的设备和专业技术能力的承诺函。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提供参加政府采购活动前3年内在经营活动中没有重大违法记录的承诺函。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符合法律、行政法规规定的其他条件</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提供符合法律、行政法规规定的其他条件的承诺函。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根据采购项目提出的特殊条件</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ascii="仿宋" w:hAnsi="仿宋" w:eastAsia="仿宋" w:cs="仿宋"/>
                <w:color w:val="auto"/>
                <w:szCs w:val="21"/>
                <w:highlight w:val="none"/>
              </w:rPr>
              <w:t>投标人为分支机构的需提供具备独立承担民事责任能力的总公司对分支机构的授权。</w:t>
            </w:r>
            <w:r>
              <w:rPr>
                <w:rFonts w:hint="eastAsia" w:ascii="仿宋" w:hAnsi="仿宋" w:eastAsia="仿宋" w:cs="仿宋"/>
                <w:color w:val="auto"/>
                <w:szCs w:val="21"/>
                <w:highlight w:val="none"/>
              </w:rPr>
              <w:t>（授权书）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参加本次投标活动代表的证明材料</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（1）法定代表人/单位负责人授权书原件及法定代表人/单位负责人、授权代表身份证明材料复印件（法定代表人/单位负责人授权他人参与投标时需要提供）。</w:t>
            </w:r>
          </w:p>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（2）法定代表人/单位负责人证明书原件及法定代表人/单位负责人身份证明材料复印件（法定代表人/单位负责人亲自参加投标时需要提供）。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信用信息查询</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人/采购代理机构将通过“信用中国”网站（www.creditchina.gov.cn）、“中国政府采购网”网站（www.ccgp.gov.cn）等渠道查询供应商在开标之日前的信用记录，拒绝列入失信被执行人名单、重大税收违法案件当事人名单、政府采购严重违法失信行为记录名单中的供应商参加本项目投标。【说明：供应商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不属于其他国家相关法律法规规定的禁止参加投标的供应商</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（1）根据招标文件的要求不属于禁止参加投标或投标无效的供应商；</w:t>
            </w:r>
          </w:p>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（2）资格审查小组未发现或者未知晓投标人存在属于国家相关法律法规规定的禁止参加投标或投标无效的供应商。</w:t>
            </w:r>
          </w:p>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【说明：供应商无须提供证明材料，上传空白页即可，不对本项上传的材料作资格审查】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投标文件资格性审查部分签章</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均按招标文件要求签章。【说明：供应商无须提供证明材料，上传空白页即可，不对本项上传的材料作资格审查】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投标文件资格性审查部分的语言</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语言符合招标文件的要求。【说明：供应商无须提供证明材料，上传空白页即可，不对本项上传的材料作资格审查】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848"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联合体投标</w:t>
            </w:r>
          </w:p>
        </w:tc>
        <w:tc>
          <w:tcPr>
            <w:tcW w:w="6451"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非联合体投标。【说明：供应商无须提供证明材料，上传空白页即可，不对本项上传的材料作资格审查】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8"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注：以上证明材料均需加盖公章。</w:t>
            </w:r>
          </w:p>
        </w:tc>
      </w:tr>
    </w:tbl>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4.“信用中国”和“中国政府采购网”网站查询结果，将以纸质截图或将截图保存至电子介质的形式留存。</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5.通过资格性审查的供应商＜3名，本次采购失败。</w:t>
      </w:r>
    </w:p>
    <w:p>
      <w:pPr>
        <w:spacing w:after="0"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br w:type="page"/>
      </w:r>
      <w:bookmarkStart w:id="350" w:name="_Toc24701_WPSOffice_Level1"/>
      <w:bookmarkStart w:id="351" w:name="_Toc19078"/>
      <w:r>
        <w:rPr>
          <w:rFonts w:hint="eastAsia" w:ascii="仿宋" w:hAnsi="仿宋" w:eastAsia="仿宋" w:cs="仿宋"/>
          <w:b/>
          <w:bCs/>
          <w:color w:val="auto"/>
          <w:sz w:val="44"/>
          <w:szCs w:val="44"/>
          <w:highlight w:val="none"/>
        </w:rPr>
        <w:t>第六章  评标办法</w:t>
      </w:r>
      <w:bookmarkEnd w:id="169"/>
      <w:bookmarkEnd w:id="170"/>
      <w:bookmarkEnd w:id="171"/>
      <w:bookmarkEnd w:id="350"/>
      <w:bookmarkEnd w:id="351"/>
      <w:bookmarkStart w:id="352" w:name="_Hlt101846155"/>
      <w:bookmarkEnd w:id="352"/>
      <w:bookmarkStart w:id="353" w:name="_Toc183582280"/>
      <w:bookmarkStart w:id="354" w:name="_Toc217446097"/>
      <w:bookmarkStart w:id="355" w:name="_Toc208849007"/>
      <w:bookmarkStart w:id="356" w:name="_Toc183682415"/>
    </w:p>
    <w:p>
      <w:pPr>
        <w:pStyle w:val="5"/>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总则</w:t>
      </w:r>
      <w:bookmarkEnd w:id="353"/>
      <w:bookmarkEnd w:id="354"/>
      <w:bookmarkEnd w:id="355"/>
      <w:bookmarkEnd w:id="356"/>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 根据《中华人民共和国政府采购法》、《中华人民共和国政府采购法实施条例》、《政府采购货物和服务招标投标管理办法》等法律制度，结合采购项目特点制定本评标办法。</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 评标工作由采购代理机构负责组织，具体评标事务由采购代理机构依法组建的评标委员会负责。评标委员会由采购人代表和有关技术、经济、法律等方面的专家组成。</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 评标工作应遵循公平、公正、科学及择优的原则，并以相同的评标程序和标准对待所有的投标人。</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 评标委员会按照招标文件规定的评标方法和标准进行评标，并独立履行下列职责：</w:t>
      </w:r>
    </w:p>
    <w:p>
      <w:pPr>
        <w:spacing w:after="0" w:line="360" w:lineRule="auto"/>
        <w:ind w:firstLine="480" w:firstLineChars="200"/>
        <w:jc w:val="left"/>
        <w:rPr>
          <w:rFonts w:ascii="仿宋" w:hAnsi="仿宋" w:eastAsia="仿宋" w:cs="仿宋"/>
          <w:color w:val="auto"/>
          <w:sz w:val="24"/>
          <w:highlight w:val="none"/>
        </w:rPr>
      </w:pPr>
      <w:bookmarkStart w:id="357" w:name="_Toc217446098"/>
      <w:r>
        <w:rPr>
          <w:rFonts w:hint="eastAsia" w:ascii="仿宋" w:hAnsi="仿宋" w:eastAsia="仿宋" w:cs="仿宋"/>
          <w:color w:val="auto"/>
          <w:sz w:val="24"/>
          <w:highlight w:val="none"/>
        </w:rPr>
        <w:t>（一）熟悉和理解招标文件；</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（二）审查供应商（已通过资格审查）的投标文件是否满足招标文件要求，并作出评价；</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（三）根据需要要求招标采购单位对招标文件作出解释；根据需要要求供应商对投标文件有关事项作出澄清、说明或者更正；</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（四）推荐中标候选供应商，或者受采购人委托确定中标供应商；</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（五）起草评标报告并进行签署；</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（六）向招标采购单位、财政部门或者其他监督部门报告非法干预评标工作的行为；</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（七）法律、法规和规章规定的其他职责。</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 评标过程独立、保密。投标人非法干预评标过程的行为将导致其投标文件作为无效处理。</w:t>
      </w:r>
    </w:p>
    <w:p>
      <w:pPr>
        <w:spacing w:after="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 评标委员会评价投标文件的响应性，对于投标人而言，除评标委员会要求其澄清、说明或者更正而提供的资料外，仅依据投标文件本身的内容，不寻求其他外部证据。</w:t>
      </w:r>
    </w:p>
    <w:p>
      <w:pPr>
        <w:pStyle w:val="5"/>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评标</w:t>
      </w:r>
      <w:bookmarkEnd w:id="357"/>
      <w:r>
        <w:rPr>
          <w:rFonts w:hint="eastAsia" w:ascii="仿宋" w:hAnsi="仿宋" w:eastAsia="仿宋" w:cs="仿宋"/>
          <w:color w:val="auto"/>
          <w:sz w:val="24"/>
          <w:szCs w:val="24"/>
          <w:highlight w:val="none"/>
        </w:rPr>
        <w:t>方法</w:t>
      </w:r>
    </w:p>
    <w:p>
      <w:pPr>
        <w:spacing w:after="0" w:line="360" w:lineRule="auto"/>
        <w:ind w:firstLine="480" w:firstLineChars="200"/>
        <w:rPr>
          <w:rFonts w:ascii="仿宋" w:hAnsi="仿宋" w:eastAsia="仿宋" w:cs="仿宋"/>
          <w:color w:val="auto"/>
          <w:sz w:val="24"/>
          <w:highlight w:val="none"/>
        </w:rPr>
      </w:pPr>
      <w:bookmarkStart w:id="358" w:name="_Toc217446099"/>
      <w:bookmarkStart w:id="359" w:name="_Toc217446103"/>
      <w:r>
        <w:rPr>
          <w:rFonts w:hint="eastAsia" w:ascii="仿宋" w:hAnsi="仿宋" w:eastAsia="仿宋" w:cs="仿宋"/>
          <w:color w:val="auto"/>
          <w:sz w:val="24"/>
          <w:highlight w:val="none"/>
        </w:rPr>
        <w:t>2.1本项目评标方法为：</w:t>
      </w:r>
      <w:r>
        <w:rPr>
          <w:rFonts w:hint="eastAsia" w:ascii="仿宋" w:hAnsi="仿宋" w:eastAsia="仿宋" w:cs="仿宋"/>
          <w:b/>
          <w:bCs/>
          <w:color w:val="auto"/>
          <w:sz w:val="24"/>
          <w:highlight w:val="none"/>
        </w:rPr>
        <w:t>综合评分法</w:t>
      </w:r>
      <w:r>
        <w:rPr>
          <w:rFonts w:hint="eastAsia" w:ascii="仿宋" w:hAnsi="仿宋" w:eastAsia="仿宋" w:cs="仿宋"/>
          <w:color w:val="auto"/>
          <w:sz w:val="24"/>
          <w:highlight w:val="none"/>
        </w:rPr>
        <w:t>。</w:t>
      </w:r>
    </w:p>
    <w:p>
      <w:pPr>
        <w:pStyle w:val="5"/>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评标程序</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3.1符合性审查</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3.1.2符合性审查标准见下表（按以下顺序审查）：</w:t>
      </w:r>
    </w:p>
    <w:tbl>
      <w:tblPr>
        <w:tblStyle w:val="3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006"/>
        <w:gridCol w:w="6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00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符合性审查项</w:t>
            </w:r>
          </w:p>
        </w:tc>
        <w:tc>
          <w:tcPr>
            <w:tcW w:w="659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ind w:firstLine="426" w:firstLineChars="202"/>
              <w:rPr>
                <w:rFonts w:ascii="仿宋" w:hAnsi="仿宋" w:eastAsia="仿宋" w:cs="仿宋"/>
                <w:color w:val="auto"/>
                <w:szCs w:val="21"/>
                <w:highlight w:val="none"/>
              </w:rPr>
            </w:pPr>
            <w:r>
              <w:rPr>
                <w:rFonts w:hint="eastAsia" w:ascii="仿宋" w:hAnsi="仿宋" w:eastAsia="仿宋" w:cs="仿宋"/>
                <w:b/>
                <w:color w:val="auto"/>
                <w:szCs w:val="21"/>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00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投标文件服务、商务及其他要求响应部分组成</w:t>
            </w:r>
          </w:p>
        </w:tc>
        <w:tc>
          <w:tcPr>
            <w:tcW w:w="659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符合招标文件“第二章-总则-第14条投标文件的组成”规定要求。【说明：无须提供证明材料，上传空白页即可，不对本项上传的材料作符合性审查】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00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投标文件服务、商务及其他要求响应部分签章</w:t>
            </w:r>
          </w:p>
        </w:tc>
        <w:tc>
          <w:tcPr>
            <w:tcW w:w="659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均按招标文件要求签章。【说明：无须提供证明材料，上传空白页即可，不对本项上传的材料作符合性审查】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00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投标文件服务、商务及其他要求响应部分的计量单位、语言、报价货币、投标有效期</w:t>
            </w:r>
          </w:p>
        </w:tc>
        <w:tc>
          <w:tcPr>
            <w:tcW w:w="659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计量单位、语言、报价货币、投标有效期均符合招标文件的要求。【说明：无须提供证明材料，上传空白页即可，不对本项上传的材料作符合性审查】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00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tc>
        <w:tc>
          <w:tcPr>
            <w:tcW w:w="659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开标记录、投标文件【注：（1）报价唯一（说明：投标报价出现下列情况的，按以下原则处理，并以修正后的价格作为投标人的投标报价：①投标文件中的大写金额和小写金额不一致的，以大写金额为准，但大写金额出现文字错误，导致金额无法判断的除外；②单价金额小数点或者百分比有明显错位的，以总价为准，并修改单价；③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如因断电、断网、系统故障或其他不可抗力等因素，导致系统无法使用的，由投标人按评标委员会的要求进行澄清或者说明。（5）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00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第四章实质性要求</w:t>
            </w:r>
          </w:p>
        </w:tc>
        <w:tc>
          <w:tcPr>
            <w:tcW w:w="659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投标文件均实质性响应招标文件中实质性的技术、服务、商务和其他要求。【说明：须提供相关证明材料】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00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进口产品</w:t>
            </w:r>
          </w:p>
        </w:tc>
        <w:tc>
          <w:tcPr>
            <w:tcW w:w="659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招标文件中未载明“允许采购进口产品”的产品，投标产品为国产产品。【说明：无须提供证明材料，上传空白页即可，不对本项上传的材料作符合性审查】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00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不属于禁止参加投标或投标无效的供应商</w:t>
            </w:r>
          </w:p>
        </w:tc>
        <w:tc>
          <w:tcPr>
            <w:tcW w:w="659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（1）根据招标文件的要求不属于禁止参加投标或投标无效的供应商；</w:t>
            </w:r>
          </w:p>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（2）评标委员会未发现或者未知晓投标人存在属于国家相关法律法规规定的禁止参加投标或投标无效的供应商。</w:t>
            </w:r>
          </w:p>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00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除资格性审查要求的证明材料外，招标文件要求提供的其他证明材料</w:t>
            </w:r>
          </w:p>
        </w:tc>
        <w:tc>
          <w:tcPr>
            <w:tcW w:w="6594"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除资格性审查要求的证明材料外，招标文件要求提供的其他证明材料（如有）。【说明：无须提供证明材料，上传空白页即可，不对本项上传的材料作符合性审查】</w:t>
            </w:r>
          </w:p>
        </w:tc>
      </w:tr>
    </w:tbl>
    <w:p>
      <w:pPr>
        <w:spacing w:after="0" w:line="360" w:lineRule="auto"/>
        <w:rPr>
          <w:rFonts w:ascii="仿宋" w:hAnsi="仿宋" w:eastAsia="仿宋" w:cs="仿宋"/>
          <w:color w:val="auto"/>
          <w:sz w:val="24"/>
          <w:highlight w:val="none"/>
        </w:rPr>
      </w:pP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3.1.4通过符合性审查的供应商＜3名，本项目采购失败。</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3.2解释、澄清有关问题</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评标过程中，评标委员会认为招标文件有关事项表述不明确或需要说明的，可以提请招标代理机构书面解释。招标代理机构的解释不得改变招标文件的原义或者影响公平、公正，解释事项如果涉及投标人权益的以有利于投标人的原则进行解释。</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3.2.3澄清应当不超出投标文件的范围、不实质性改变投标文件的内容、不影响投标人的公平竞争、不导致投标文件从不响应招标文件变为响应招标文件的条件。下列内容不得澄清：</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(1)投标人投标文件中不响应招标文件规定的技术参数指标和商务应答；</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(2)投标人投标文件中未提供的证明其是否符合招标文件资格性、符合性规定要求的相关材料。</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(3)投标人投标文件中的材料因印刷、影印等不清晰而难以辨认的。</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3.2.4投标文件报价出现下列情况的，不需要投标人澄清，按以下原则处理：</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(1)大写金额和小写金额不一致的，以大写金额为准，但大写金额出现文字错误，导致金额无法判断的除外；</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(2)单价金额小数点或者百分比有明显错位的，以总价为准，并修改单价；</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(3)总价金额与按单价汇总金额不一致的，以单价金额计算结果为准。</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同时出现两种以上不一致的，按照前款规定的顺序修正。修正后的报价经投标人确认后产生约束力，投标人不确认的，其投标无效。</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3.2.5对不同语言文本投标文件的解释发生异议的，以中文文本为准。</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3.2.6评标结束之前，投标人应随时关注系统提示，及时通过“政府采购云平台”在线响应评标委员会发出的澄清、说明或补正要求，签章并确认提交成功。逾时回复将不能提交，视为投标人自行放弃，其损失由投标人承担。</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评标委员会应当积极履行澄清、说明或者更正的职责，不得滥用权力。</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3.3比较与评价</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按招标文件中规定的评标细则及标准，对符合性检查合格的投标文件进行商务和服务评估，综合比较与评价。</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3.4复核</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评分汇总结束后，评标委员会应当进行复核，特别要对拟推荐为中标候选供应商的、报价最低的、投标文件被认定为无效的进行重点复核。</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评标结果汇总完成后，评标委员会拟出具评审报告前，招标代理机构应当组织2名以上的工作人员，在采购现场监督人员的监督之下，依据有关的法律制度和采购文件对评审结果进行复核，出具复核报告。</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评标结果汇总完成后，除下列情形外，任何人不得修改评标结果：</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（1）分值汇总计算错误的；</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（2）分项评分超出评分标准范围的；</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（3）评标委员会成员对客观评审因素评分不一致的；</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（4）经评标委员会认定评分畸高、畸低的。</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报告签署前，经复核发现存在以上情形之一的，评标委员会应当当场修改评标结果，并在评标报告中记载；评标报告签署后，采购人或者代理机构发现存在以上情形之一的，应当组织原评标委员会进行重新评审，重新评审改变评标结果的，书面报告本级财政部门。</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3.5确定中标候选人名单</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投标人综合得分从高到低进行排序，确定1至3名中标候选人。综合得分相同的，按投标报价由低到高顺序排列，得分且投标报价相同的并列。投标文件满足招标文件全部实质性要求，且按照评审因素的量化指标评审得分最高的投标人为排名第一的中标候选人。</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3.6编写评标报告</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评标报告是评标委员会根据全体评标成员签字的原始评标记录和评标结果编写的报告，其主要内容包括：</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（1）招标公告刊登的媒体名称、开标日期和地点；</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（2）投标人名单和评标委员会成员名单；</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（3）评标方法和标准；</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（4）开标记录和评标情况及说明，包括投标无效投标人名单及原因；</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（5）评标结果，确定的中标候选人名单或者经采购人委托直接确定的中标人；</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（6）其他需要说明的情况，包括评标过程中投标人根据评标委员会要求进行的澄清、说明或者补正，评标委员会成员的更换等； </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（7）报价最高的投标人为中标候选人的，评标委员会应当对其报价的合理性予以特别说明。</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5"/>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 评标争议处理规则</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在评审过程中，对于符合性审查、对投标人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招标代理机构书面反映。采购人或招标代理机构收到书面反映后，应当书面报告采购项目同级财政部门依法处理。</w:t>
      </w:r>
    </w:p>
    <w:p>
      <w:pPr>
        <w:pStyle w:val="5"/>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 评标细则及标准</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评标委员会只对通过初审的投标文件，根据招标文件的要求采用相同的评标程序、评分办法及标准进行评价和比较。</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本次综合评分的因素是：价格等。</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评标委员会成员应依据招标文件规定的评分标准和方法独立打分。</w:t>
      </w: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5.1评分办法</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本次评标采用综合评分法，由评标委员会各成员独立对通过初审（资格检查和符合性检查）的投标人的投标文件进行评审和打分，评标得分＝（A1＋A2＋……＋An）/n1+（B1＋B2＋……＋Bn）/ n2+（C1＋C2＋……＋Cn）/ n3，A1、A2……An分别为每个经济类评委的打分，n1为经济类评委人数；B1、B2＋……Bn 分别为每个技术类评委（含采购人代表）的打分，n2为技术类评委（含采购人代表）人数；C1、C2……Cn 分别为评审委员会每个成员的打分，n3为评委人数。</w:t>
      </w:r>
    </w:p>
    <w:p>
      <w:pPr>
        <w:spacing w:after="0" w:line="360" w:lineRule="auto"/>
        <w:ind w:firstLine="482" w:firstLineChars="200"/>
        <w:rPr>
          <w:rFonts w:ascii="仿宋" w:hAnsi="仿宋" w:eastAsia="仿宋" w:cs="仿宋"/>
          <w:b/>
          <w:bCs/>
          <w:color w:val="auto"/>
          <w:sz w:val="24"/>
          <w:highlight w:val="none"/>
        </w:rPr>
      </w:pPr>
    </w:p>
    <w:p>
      <w:pPr>
        <w:spacing w:after="0"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5.2评分标准</w:t>
      </w:r>
    </w:p>
    <w:tbl>
      <w:tblPr>
        <w:tblStyle w:val="34"/>
        <w:tblW w:w="5431" w:type="pct"/>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448"/>
        <w:gridCol w:w="904"/>
        <w:gridCol w:w="526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65"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782"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评分因素</w:t>
            </w:r>
          </w:p>
        </w:tc>
        <w:tc>
          <w:tcPr>
            <w:tcW w:w="488"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分值</w:t>
            </w:r>
          </w:p>
        </w:tc>
        <w:tc>
          <w:tcPr>
            <w:tcW w:w="2840"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评分标准</w:t>
            </w:r>
            <w:r>
              <w:rPr>
                <w:rFonts w:ascii="仿宋" w:hAnsi="仿宋" w:eastAsia="仿宋"/>
                <w:color w:val="auto"/>
                <w:szCs w:val="21"/>
                <w:highlight w:val="none"/>
              </w:rPr>
              <w:t xml:space="preserve"> .</w:t>
            </w:r>
          </w:p>
        </w:tc>
        <w:tc>
          <w:tcPr>
            <w:tcW w:w="523"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365" w:type="pc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1</w:t>
            </w:r>
          </w:p>
        </w:tc>
        <w:tc>
          <w:tcPr>
            <w:tcW w:w="782"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报价</w:t>
            </w:r>
          </w:p>
        </w:tc>
        <w:tc>
          <w:tcPr>
            <w:tcW w:w="488" w:type="pc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10</w:t>
            </w:r>
          </w:p>
        </w:tc>
        <w:tc>
          <w:tcPr>
            <w:tcW w:w="2840" w:type="pct"/>
            <w:shd w:val="clear" w:color="auto" w:fill="auto"/>
            <w:vAlign w:val="center"/>
          </w:tcPr>
          <w:p>
            <w:pPr>
              <w:spacing w:after="0" w:line="240" w:lineRule="auto"/>
              <w:rPr>
                <w:rFonts w:hint="eastAsia" w:ascii="仿宋" w:hAnsi="仿宋" w:eastAsia="仿宋"/>
                <w:color w:val="auto"/>
                <w:szCs w:val="21"/>
                <w:highlight w:val="none"/>
                <w:lang w:eastAsia="zh-CN"/>
              </w:rPr>
            </w:pPr>
            <w:r>
              <w:rPr>
                <w:rFonts w:ascii="仿宋" w:hAnsi="仿宋" w:eastAsia="仿宋"/>
                <w:color w:val="auto"/>
                <w:szCs w:val="21"/>
                <w:highlight w:val="none"/>
              </w:rPr>
              <w:t xml:space="preserve">1. </w:t>
            </w:r>
            <w:r>
              <w:rPr>
                <w:rFonts w:hint="eastAsia" w:ascii="仿宋" w:hAnsi="仿宋" w:eastAsia="仿宋"/>
                <w:color w:val="auto"/>
                <w:szCs w:val="21"/>
                <w:highlight w:val="none"/>
              </w:rPr>
              <w:t>投标人如为监狱企业或小型或微型企业或残疾人福利性单位的，则给予其投标报价10%的价格扣除，用扣除后的价格参与评审；</w:t>
            </w:r>
          </w:p>
          <w:p>
            <w:pPr>
              <w:spacing w:after="0" w:line="240" w:lineRule="auto"/>
              <w:rPr>
                <w:rFonts w:hint="eastAsia" w:ascii="仿宋" w:hAnsi="仿宋" w:eastAsia="仿宋"/>
                <w:color w:val="auto"/>
                <w:szCs w:val="21"/>
                <w:highlight w:val="none"/>
                <w:lang w:eastAsia="zh-CN"/>
              </w:rPr>
            </w:pPr>
            <w:r>
              <w:rPr>
                <w:rFonts w:ascii="仿宋" w:hAnsi="仿宋" w:eastAsia="仿宋"/>
                <w:color w:val="auto"/>
                <w:szCs w:val="21"/>
                <w:highlight w:val="none"/>
              </w:rPr>
              <w:t xml:space="preserve">2. </w:t>
            </w:r>
            <w:r>
              <w:rPr>
                <w:rFonts w:hint="eastAsia" w:ascii="仿宋" w:hAnsi="仿宋" w:eastAsia="仿宋"/>
                <w:color w:val="auto"/>
                <w:szCs w:val="21"/>
                <w:highlight w:val="none"/>
              </w:rPr>
              <w:t>经专家评审的最低有效投标报价作为评审基准价；</w:t>
            </w:r>
          </w:p>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3.报价得分=（评审基准价／投标报价）×10。</w:t>
            </w:r>
          </w:p>
          <w:p>
            <w:pPr>
              <w:spacing w:after="0" w:line="240" w:lineRule="auto"/>
              <w:rPr>
                <w:rFonts w:ascii="仿宋" w:hAnsi="仿宋" w:eastAsia="仿宋"/>
                <w:color w:val="auto"/>
                <w:szCs w:val="21"/>
                <w:highlight w:val="none"/>
              </w:rPr>
            </w:pPr>
            <w:r>
              <w:rPr>
                <w:rFonts w:hint="eastAsia" w:ascii="仿宋" w:hAnsi="仿宋" w:eastAsia="仿宋"/>
                <w:color w:val="auto"/>
                <w:szCs w:val="21"/>
                <w:highlight w:val="none"/>
              </w:rPr>
              <w:t>注：评分的取值按四舍五入法，保留小数点后两位。</w:t>
            </w:r>
          </w:p>
        </w:tc>
        <w:tc>
          <w:tcPr>
            <w:tcW w:w="523"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365" w:type="pc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2</w:t>
            </w:r>
          </w:p>
        </w:tc>
        <w:tc>
          <w:tcPr>
            <w:tcW w:w="782"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主要产品参数符合性</w:t>
            </w:r>
          </w:p>
        </w:tc>
        <w:tc>
          <w:tcPr>
            <w:tcW w:w="488" w:type="pc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40</w:t>
            </w:r>
          </w:p>
        </w:tc>
        <w:tc>
          <w:tcPr>
            <w:tcW w:w="2840" w:type="pct"/>
            <w:shd w:val="clear" w:color="auto" w:fill="auto"/>
            <w:vAlign w:val="center"/>
          </w:tcPr>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针对招标文件“技术要求”章节中的标“*”、标“▲”项进行评分，全部满足得40分。不满足招标文件要求的，按以下原则扣分：</w:t>
            </w:r>
          </w:p>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标“▲”项总共20个，总分20分，每有一项不满足扣1分，扣完为止。</w:t>
            </w:r>
          </w:p>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标“*”项总共200个，总分20分，每有一项不满足扣0.1分，扣完为止。</w:t>
            </w:r>
          </w:p>
          <w:p>
            <w:pPr>
              <w:spacing w:after="0" w:line="240" w:lineRule="auto"/>
              <w:rPr>
                <w:rFonts w:ascii="仿宋" w:hAnsi="仿宋" w:eastAsia="仿宋"/>
                <w:color w:val="auto"/>
                <w:szCs w:val="21"/>
                <w:highlight w:val="none"/>
              </w:rPr>
            </w:pPr>
            <w:r>
              <w:rPr>
                <w:rFonts w:hint="eastAsia" w:ascii="仿宋" w:hAnsi="仿宋" w:eastAsia="仿宋"/>
                <w:color w:val="auto"/>
                <w:szCs w:val="21"/>
                <w:highlight w:val="none"/>
              </w:rPr>
              <w:t>注：1.招标文件“项目所需主要设备清单及参数质量要求”的“全结构化图片流分析应用模块算法”及“防火墙”标“▲”项共20项，允许由多家算法厂商混合满足，投标人根据情况自行配置。2.标“▲”条款属于重要技术参数，投标人未按要求提供佐证材料的，视为标“▲”条款负偏离，在本项予以扣分。标“*”条款以技术偏离表响应为准。</w:t>
            </w:r>
          </w:p>
        </w:tc>
        <w:tc>
          <w:tcPr>
            <w:tcW w:w="523"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65" w:type="pc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3</w:t>
            </w:r>
          </w:p>
        </w:tc>
        <w:tc>
          <w:tcPr>
            <w:tcW w:w="782"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系统技术方案</w:t>
            </w:r>
          </w:p>
        </w:tc>
        <w:tc>
          <w:tcPr>
            <w:tcW w:w="488" w:type="pc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9</w:t>
            </w:r>
          </w:p>
        </w:tc>
        <w:tc>
          <w:tcPr>
            <w:tcW w:w="2840" w:type="pct"/>
            <w:shd w:val="clear" w:color="auto" w:fill="auto"/>
            <w:vAlign w:val="center"/>
          </w:tcPr>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投标人应根据本项目的技术要求，制定切实可行、科学合理、详细明确的系统技术方案。根据投标人的系统技术方案（包括前端点位布点设计、前端点位带宽计算、前端视频存储方案、视频集中存储方案、视图库存储方案、全结构化分析应用系统方案等内容），方案齐全且合理可行的，得9分，方案内容每少一项扣1.5分，每有一项存在缺陷的扣1分，扣完为止。</w:t>
            </w:r>
          </w:p>
          <w:p>
            <w:pPr>
              <w:spacing w:after="0" w:line="240" w:lineRule="auto"/>
              <w:rPr>
                <w:rFonts w:ascii="仿宋" w:hAnsi="仿宋" w:eastAsia="仿宋"/>
                <w:color w:val="auto"/>
                <w:szCs w:val="21"/>
                <w:highlight w:val="none"/>
              </w:rPr>
            </w:pPr>
            <w:r>
              <w:rPr>
                <w:rFonts w:hint="eastAsia" w:ascii="仿宋" w:hAnsi="仿宋" w:eastAsia="仿宋"/>
                <w:color w:val="auto"/>
                <w:szCs w:val="21"/>
                <w:highlight w:val="none"/>
              </w:rPr>
              <w:t>注：缺陷是指内容与实际情况不符或存在偏差或过于简略或存在无关的内容或分析内容有缺失或不满足要求。</w:t>
            </w:r>
          </w:p>
        </w:tc>
        <w:tc>
          <w:tcPr>
            <w:tcW w:w="523"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365" w:type="pc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4</w:t>
            </w:r>
          </w:p>
        </w:tc>
        <w:tc>
          <w:tcPr>
            <w:tcW w:w="782"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服务及商务要求符合性</w:t>
            </w:r>
          </w:p>
        </w:tc>
        <w:tc>
          <w:tcPr>
            <w:tcW w:w="488" w:type="pc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12</w:t>
            </w:r>
          </w:p>
        </w:tc>
        <w:tc>
          <w:tcPr>
            <w:tcW w:w="2840" w:type="pct"/>
            <w:shd w:val="clear" w:color="auto" w:fill="auto"/>
            <w:vAlign w:val="center"/>
          </w:tcPr>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根据招标文件“服务要求”、“商务要求”章节中的标“*”、标“▲”项进行评分，全部满足得12分。不满足招标文件要求的，按以下原则扣分：</w:t>
            </w:r>
          </w:p>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标“▲”项总共2个，总分3分，每有一项不满足扣1.5分，扣完为止。</w:t>
            </w:r>
          </w:p>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标“*”项总36个，总分9分，每有一项不满足扣0.25分，扣完为止。</w:t>
            </w:r>
          </w:p>
          <w:p>
            <w:pPr>
              <w:spacing w:after="0" w:line="240" w:lineRule="auto"/>
              <w:rPr>
                <w:rFonts w:ascii="仿宋" w:hAnsi="仿宋" w:eastAsia="仿宋"/>
                <w:color w:val="auto"/>
                <w:szCs w:val="21"/>
                <w:highlight w:val="none"/>
              </w:rPr>
            </w:pPr>
            <w:r>
              <w:rPr>
                <w:rFonts w:hint="eastAsia" w:ascii="仿宋" w:hAnsi="仿宋" w:eastAsia="仿宋"/>
                <w:color w:val="auto"/>
                <w:szCs w:val="21"/>
                <w:highlight w:val="none"/>
              </w:rPr>
              <w:t>注：标“*”和标“▲”条款以对应的偏离表响应为准。</w:t>
            </w:r>
          </w:p>
        </w:tc>
        <w:tc>
          <w:tcPr>
            <w:tcW w:w="523"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65" w:type="pc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5</w:t>
            </w:r>
          </w:p>
        </w:tc>
        <w:tc>
          <w:tcPr>
            <w:tcW w:w="782"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项目实施方案</w:t>
            </w:r>
          </w:p>
        </w:tc>
        <w:tc>
          <w:tcPr>
            <w:tcW w:w="488" w:type="pc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8</w:t>
            </w:r>
          </w:p>
        </w:tc>
        <w:tc>
          <w:tcPr>
            <w:tcW w:w="2840" w:type="pct"/>
            <w:shd w:val="clear" w:color="auto" w:fill="auto"/>
            <w:vAlign w:val="center"/>
          </w:tcPr>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根据投标人的项目实施方案（包括实施队伍人员结构、实施计划、质量保障措施、验收计划等内容），方案齐全且合理的，得8分，方案内容每少一项扣2分，每有一项存在缺陷的扣1分，扣完为止。</w:t>
            </w:r>
          </w:p>
          <w:p>
            <w:pPr>
              <w:spacing w:after="0" w:line="240" w:lineRule="auto"/>
              <w:rPr>
                <w:rFonts w:ascii="仿宋" w:hAnsi="仿宋" w:eastAsia="仿宋"/>
                <w:color w:val="auto"/>
                <w:szCs w:val="21"/>
                <w:highlight w:val="none"/>
              </w:rPr>
            </w:pPr>
            <w:r>
              <w:rPr>
                <w:rFonts w:hint="eastAsia" w:ascii="仿宋" w:hAnsi="仿宋" w:eastAsia="仿宋"/>
                <w:color w:val="auto"/>
                <w:szCs w:val="21"/>
                <w:highlight w:val="none"/>
              </w:rPr>
              <w:t>注：缺陷是指内容与实际情况不符或存在偏差或过于简略或存在无关的内容或分析内容有缺失或不满足要求。</w:t>
            </w:r>
          </w:p>
        </w:tc>
        <w:tc>
          <w:tcPr>
            <w:tcW w:w="523" w:type="pc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65" w:type="pct"/>
            <w:vMerge w:val="restar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6</w:t>
            </w:r>
          </w:p>
        </w:tc>
        <w:tc>
          <w:tcPr>
            <w:tcW w:w="782" w:type="pct"/>
            <w:vMerge w:val="restar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服务方案</w:t>
            </w:r>
          </w:p>
        </w:tc>
        <w:tc>
          <w:tcPr>
            <w:tcW w:w="488" w:type="pc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9</w:t>
            </w:r>
          </w:p>
        </w:tc>
        <w:tc>
          <w:tcPr>
            <w:tcW w:w="2840" w:type="pct"/>
            <w:shd w:val="clear" w:color="auto" w:fill="auto"/>
            <w:vAlign w:val="center"/>
          </w:tcPr>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根据投标人的服务方案（包括服务具体内容、服务团队人员、备品备件、服务作业计划、巡检计划、对出现故障的监控系统的维护手段等内容），方案齐全且合理的，得9分，方案内容每少一项扣1.5分，每有一项存在缺陷的扣1分，扣完为止。</w:t>
            </w:r>
          </w:p>
          <w:p>
            <w:pPr>
              <w:spacing w:after="0" w:line="240" w:lineRule="auto"/>
              <w:rPr>
                <w:rFonts w:ascii="仿宋" w:hAnsi="仿宋" w:eastAsia="仿宋"/>
                <w:color w:val="auto"/>
                <w:szCs w:val="21"/>
                <w:highlight w:val="none"/>
              </w:rPr>
            </w:pPr>
            <w:r>
              <w:rPr>
                <w:rFonts w:hint="eastAsia" w:ascii="仿宋" w:hAnsi="仿宋" w:eastAsia="仿宋"/>
                <w:color w:val="auto"/>
                <w:szCs w:val="21"/>
                <w:highlight w:val="none"/>
              </w:rPr>
              <w:t>注：缺陷是指内容与项目实际情况不符，或存在偏差，或过于简略，或存在无关的内容，或不满足要求。</w:t>
            </w:r>
          </w:p>
        </w:tc>
        <w:tc>
          <w:tcPr>
            <w:tcW w:w="523" w:type="pct"/>
            <w:shd w:val="clear" w:color="auto" w:fill="auto"/>
            <w:vAlign w:val="center"/>
          </w:tcPr>
          <w:p>
            <w:pPr>
              <w:spacing w:after="0" w:line="240" w:lineRule="auto"/>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65" w:type="pct"/>
            <w:vMerge w:val="continue"/>
            <w:vAlign w:val="center"/>
          </w:tcPr>
          <w:p>
            <w:pPr>
              <w:spacing w:after="0" w:line="240" w:lineRule="auto"/>
              <w:rPr>
                <w:rFonts w:ascii="仿宋" w:hAnsi="仿宋" w:eastAsia="仿宋"/>
                <w:color w:val="auto"/>
                <w:szCs w:val="21"/>
                <w:highlight w:val="none"/>
              </w:rPr>
            </w:pPr>
          </w:p>
        </w:tc>
        <w:tc>
          <w:tcPr>
            <w:tcW w:w="782" w:type="pct"/>
            <w:vMerge w:val="continue"/>
            <w:vAlign w:val="center"/>
          </w:tcPr>
          <w:p>
            <w:pPr>
              <w:spacing w:after="0" w:line="240" w:lineRule="auto"/>
              <w:rPr>
                <w:rFonts w:ascii="仿宋" w:hAnsi="仿宋" w:eastAsia="仿宋"/>
                <w:color w:val="auto"/>
                <w:szCs w:val="21"/>
                <w:highlight w:val="none"/>
              </w:rPr>
            </w:pPr>
          </w:p>
        </w:tc>
        <w:tc>
          <w:tcPr>
            <w:tcW w:w="488" w:type="pc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2</w:t>
            </w:r>
          </w:p>
        </w:tc>
        <w:tc>
          <w:tcPr>
            <w:tcW w:w="2840" w:type="pct"/>
            <w:shd w:val="clear" w:color="auto" w:fill="auto"/>
            <w:vAlign w:val="center"/>
          </w:tcPr>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在投标人服务团队人员中，每提供一名具备专业技术人员证书（如信息系统管理工程师或PMP或一级建造师等，同一人具有多项证书按照一人计算）的得1分，最高得2分。</w:t>
            </w:r>
          </w:p>
          <w:p>
            <w:pPr>
              <w:spacing w:after="0" w:line="240" w:lineRule="auto"/>
              <w:rPr>
                <w:rFonts w:ascii="仿宋" w:hAnsi="仿宋" w:eastAsia="仿宋"/>
                <w:color w:val="auto"/>
                <w:szCs w:val="21"/>
                <w:highlight w:val="none"/>
              </w:rPr>
            </w:pPr>
            <w:r>
              <w:rPr>
                <w:rFonts w:hint="eastAsia" w:ascii="仿宋" w:hAnsi="仿宋" w:eastAsia="仿宋"/>
                <w:color w:val="auto"/>
                <w:szCs w:val="21"/>
                <w:highlight w:val="none"/>
              </w:rPr>
              <w:t>注：提供身份证复印件、在职证明材料和相关证书复印件进行佐证，未提供佐证材料的，不得分。</w:t>
            </w:r>
          </w:p>
        </w:tc>
        <w:tc>
          <w:tcPr>
            <w:tcW w:w="969" w:type="dxa"/>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65" w:type="pct"/>
            <w:vMerge w:val="restar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7</w:t>
            </w:r>
          </w:p>
        </w:tc>
        <w:tc>
          <w:tcPr>
            <w:tcW w:w="782" w:type="pct"/>
            <w:vMerge w:val="restart"/>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投标人履约能力</w:t>
            </w:r>
          </w:p>
        </w:tc>
        <w:tc>
          <w:tcPr>
            <w:tcW w:w="488" w:type="pct"/>
            <w:shd w:val="clear" w:color="auto" w:fill="auto"/>
            <w:vAlign w:val="center"/>
          </w:tcPr>
          <w:p>
            <w:pPr>
              <w:spacing w:after="0" w:line="240" w:lineRule="auto"/>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4</w:t>
            </w:r>
          </w:p>
        </w:tc>
        <w:tc>
          <w:tcPr>
            <w:tcW w:w="2840" w:type="pct"/>
            <w:shd w:val="clear" w:color="auto" w:fill="auto"/>
            <w:vAlign w:val="center"/>
          </w:tcPr>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投标人自2018年1月1日以来（合同签订日期），每具有一个类似项目业绩的，得1分，最高得</w:t>
            </w: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分。不提供的不得分。</w:t>
            </w:r>
          </w:p>
          <w:p>
            <w:pPr>
              <w:spacing w:after="0" w:line="240" w:lineRule="auto"/>
              <w:rPr>
                <w:rFonts w:ascii="仿宋" w:hAnsi="仿宋" w:eastAsia="仿宋"/>
                <w:color w:val="auto"/>
                <w:szCs w:val="21"/>
                <w:highlight w:val="none"/>
              </w:rPr>
            </w:pPr>
            <w:r>
              <w:rPr>
                <w:rFonts w:hint="eastAsia" w:ascii="仿宋" w:hAnsi="仿宋" w:eastAsia="仿宋"/>
                <w:color w:val="auto"/>
                <w:szCs w:val="21"/>
                <w:highlight w:val="none"/>
              </w:rPr>
              <w:t>注：1.提供项目合同（协议）复印件或中标（成交）通知书。2.同一项目不同年度签订的合同为一个业绩。</w:t>
            </w:r>
          </w:p>
        </w:tc>
        <w:tc>
          <w:tcPr>
            <w:tcW w:w="969" w:type="dxa"/>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65" w:type="pct"/>
            <w:vMerge w:val="continue"/>
            <w:vAlign w:val="center"/>
          </w:tcPr>
          <w:p>
            <w:pPr>
              <w:spacing w:after="0" w:line="240" w:lineRule="auto"/>
              <w:rPr>
                <w:rFonts w:ascii="仿宋" w:hAnsi="仿宋" w:eastAsia="仿宋"/>
                <w:color w:val="auto"/>
                <w:szCs w:val="21"/>
                <w:highlight w:val="none"/>
              </w:rPr>
            </w:pPr>
          </w:p>
        </w:tc>
        <w:tc>
          <w:tcPr>
            <w:tcW w:w="782" w:type="pct"/>
            <w:vMerge w:val="continue"/>
            <w:vAlign w:val="center"/>
          </w:tcPr>
          <w:p>
            <w:pPr>
              <w:spacing w:after="0" w:line="240" w:lineRule="auto"/>
              <w:rPr>
                <w:rFonts w:ascii="仿宋" w:hAnsi="仿宋" w:eastAsia="仿宋"/>
                <w:color w:val="auto"/>
                <w:szCs w:val="21"/>
                <w:highlight w:val="none"/>
              </w:rPr>
            </w:pPr>
          </w:p>
        </w:tc>
        <w:tc>
          <w:tcPr>
            <w:tcW w:w="488" w:type="pct"/>
            <w:shd w:val="clear" w:color="auto" w:fill="auto"/>
            <w:vAlign w:val="center"/>
          </w:tcPr>
          <w:p>
            <w:pPr>
              <w:spacing w:after="0" w:line="240" w:lineRule="auto"/>
              <w:jc w:val="center"/>
              <w:rPr>
                <w:rFonts w:ascii="仿宋" w:hAnsi="仿宋" w:eastAsia="仿宋"/>
                <w:color w:val="auto"/>
                <w:szCs w:val="21"/>
                <w:highlight w:val="none"/>
              </w:rPr>
            </w:pPr>
            <w:r>
              <w:rPr>
                <w:rFonts w:ascii="仿宋" w:hAnsi="仿宋" w:eastAsia="仿宋"/>
                <w:color w:val="auto"/>
                <w:szCs w:val="21"/>
                <w:highlight w:val="none"/>
              </w:rPr>
              <w:t>6</w:t>
            </w:r>
          </w:p>
        </w:tc>
        <w:tc>
          <w:tcPr>
            <w:tcW w:w="2840" w:type="pct"/>
            <w:shd w:val="clear" w:color="auto" w:fill="auto"/>
            <w:vAlign w:val="center"/>
          </w:tcPr>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考虑到本项目涉及互联网链路和服务，要求投标人对互联网出口提供云安全防范服务，</w:t>
            </w:r>
            <w:bookmarkStart w:id="360" w:name="_Hlk95820277"/>
            <w:r>
              <w:rPr>
                <w:rFonts w:hint="eastAsia" w:ascii="仿宋" w:hAnsi="仿宋" w:eastAsia="仿宋"/>
                <w:color w:val="auto"/>
                <w:szCs w:val="21"/>
                <w:highlight w:val="none"/>
              </w:rPr>
              <w:t>具备攻击检测、分析溯源和攻击防护能力</w:t>
            </w:r>
            <w:bookmarkEnd w:id="360"/>
            <w:r>
              <w:rPr>
                <w:rFonts w:hint="eastAsia" w:ascii="仿宋" w:hAnsi="仿宋" w:eastAsia="仿宋"/>
                <w:color w:val="auto"/>
                <w:szCs w:val="21"/>
                <w:highlight w:val="none"/>
              </w:rPr>
              <w:t>，因此：</w:t>
            </w:r>
          </w:p>
          <w:p>
            <w:pPr>
              <w:spacing w:after="0" w:line="240" w:lineRule="auto"/>
              <w:rPr>
                <w:rFonts w:hint="eastAsia" w:ascii="仿宋" w:hAnsi="仿宋" w:eastAsia="仿宋"/>
                <w:color w:val="auto"/>
                <w:szCs w:val="21"/>
                <w:highlight w:val="none"/>
                <w:lang w:eastAsia="zh-CN"/>
              </w:rPr>
            </w:pPr>
            <w:r>
              <w:rPr>
                <w:rFonts w:hint="eastAsia" w:ascii="仿宋" w:hAnsi="仿宋" w:eastAsia="仿宋"/>
                <w:color w:val="auto"/>
                <w:szCs w:val="21"/>
                <w:highlight w:val="none"/>
              </w:rPr>
              <w:t>1.投标人或其上级公司具有网络安全试点示范项目（DDoS攻击防护平台、网站安全专家服务系统、DNS域名安全系统）获得工信部授牌的，每提供一项授牌认证得1分，最高得3分，不提供的不得分。</w:t>
            </w:r>
          </w:p>
          <w:p>
            <w:pPr>
              <w:spacing w:after="0" w:line="240" w:lineRule="auto"/>
              <w:rPr>
                <w:rFonts w:ascii="仿宋" w:hAnsi="仿宋" w:eastAsia="仿宋"/>
                <w:color w:val="auto"/>
                <w:szCs w:val="21"/>
                <w:highlight w:val="none"/>
              </w:rPr>
            </w:pPr>
            <w:r>
              <w:rPr>
                <w:rFonts w:hint="eastAsia" w:ascii="仿宋" w:hAnsi="仿宋" w:eastAsia="仿宋"/>
                <w:color w:val="auto"/>
                <w:szCs w:val="21"/>
                <w:highlight w:val="none"/>
              </w:rPr>
              <w:t>2.投标人或其上级公司具备2Tbps级DDoS攻击防护能力并提供具有CMA或CNAS标识的检验报告的得3分，不提供的不得分。</w:t>
            </w:r>
          </w:p>
          <w:p>
            <w:pPr>
              <w:spacing w:after="0" w:line="240" w:lineRule="auto"/>
              <w:rPr>
                <w:rFonts w:ascii="仿宋" w:hAnsi="仿宋" w:eastAsia="仿宋"/>
                <w:color w:val="auto"/>
                <w:szCs w:val="21"/>
                <w:highlight w:val="none"/>
              </w:rPr>
            </w:pPr>
            <w:r>
              <w:rPr>
                <w:rFonts w:hint="eastAsia" w:ascii="仿宋" w:hAnsi="仿宋" w:eastAsia="仿宋"/>
                <w:color w:val="auto"/>
                <w:szCs w:val="21"/>
                <w:highlight w:val="none"/>
              </w:rPr>
              <w:t>注：1-2项提供相关证明材料复印件加盖投标人公章（鲜章），“投标人或其上级公司”的关系是指：投标人或投标人母公司或投标人母公司所属集团公司</w:t>
            </w:r>
            <w:r>
              <w:rPr>
                <w:rFonts w:hint="eastAsia" w:ascii="仿宋" w:hAnsi="仿宋" w:eastAsia="仿宋"/>
                <w:b/>
                <w:color w:val="auto"/>
                <w:szCs w:val="21"/>
                <w:highlight w:val="none"/>
              </w:rPr>
              <w:t>及下属单位。</w:t>
            </w:r>
          </w:p>
        </w:tc>
        <w:tc>
          <w:tcPr>
            <w:tcW w:w="969" w:type="dxa"/>
            <w:shd w:val="clear" w:color="auto" w:fill="auto"/>
            <w:vAlign w:val="center"/>
          </w:tcPr>
          <w:p>
            <w:pPr>
              <w:spacing w:after="0" w:line="240" w:lineRule="auto"/>
              <w:jc w:val="center"/>
              <w:rPr>
                <w:rFonts w:ascii="仿宋" w:hAnsi="仿宋" w:eastAsia="仿宋"/>
                <w:color w:val="auto"/>
                <w:szCs w:val="21"/>
                <w:highlight w:val="none"/>
              </w:rPr>
            </w:pPr>
            <w:r>
              <w:rPr>
                <w:rFonts w:hint="eastAsia" w:ascii="仿宋" w:hAnsi="仿宋" w:eastAsia="仿宋"/>
                <w:color w:val="auto"/>
                <w:szCs w:val="21"/>
                <w:highlight w:val="none"/>
                <w:lang w:eastAsia="zh-CN"/>
              </w:rPr>
              <w:t>共同评分因素</w:t>
            </w:r>
          </w:p>
        </w:tc>
      </w:tr>
    </w:tbl>
    <w:p>
      <w:pPr>
        <w:pStyle w:val="33"/>
        <w:ind w:firstLine="240"/>
        <w:rPr>
          <w:color w:val="auto"/>
          <w:highlight w:val="none"/>
        </w:rPr>
      </w:pPr>
    </w:p>
    <w:p>
      <w:pPr>
        <w:pStyle w:val="5"/>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 废标</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本次政府采购活动中，出现下列情形之一的，予以废标：</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（1）符合专业条件的投标人或者对招标文件作实质响应的投标人不足三家的；</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（3）投标人的报价均超过了采购预算，采购人不能支付的；</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（4）因重大变故，采购任务取消的；</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废标后，招标代理机构将在“四川政府采购网”上公告。</w:t>
      </w:r>
    </w:p>
    <w:p>
      <w:pPr>
        <w:pStyle w:val="5"/>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 定标</w:t>
      </w:r>
    </w:p>
    <w:p>
      <w:pPr>
        <w:spacing w:after="0"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7.1定标原则</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本项目根据评标委员会确定的中标候选人名单，采购人按顺序确定1名中标人。中标候选供应商并列的，由采购人采取随机抽取的方式确定中标人。</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采购人在收到评标报告5个工作日内未按评标报告推荐的中标候选人顺序确定中标人，又不能说明合法理由的，视同按评标报告推荐的顺序确定排名第一的中标候选人为中标人。</w:t>
      </w:r>
    </w:p>
    <w:p>
      <w:pPr>
        <w:spacing w:after="0" w:line="360" w:lineRule="auto"/>
        <w:ind w:firstLine="482" w:firstLineChars="200"/>
        <w:rPr>
          <w:rFonts w:ascii="仿宋" w:hAnsi="仿宋" w:eastAsia="仿宋" w:cs="仿宋"/>
          <w:color w:val="auto"/>
          <w:highlight w:val="none"/>
        </w:rPr>
      </w:pPr>
      <w:r>
        <w:rPr>
          <w:rFonts w:hint="eastAsia" w:ascii="仿宋" w:hAnsi="仿宋" w:eastAsia="仿宋" w:cs="仿宋"/>
          <w:b/>
          <w:bCs/>
          <w:color w:val="auto"/>
          <w:sz w:val="24"/>
          <w:highlight w:val="none"/>
        </w:rPr>
        <w:t>7.2定标程序</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（1）评审委员会将评审情况写出书面报告。</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（2）招标代理机构在评审结束之日起2个工作日内将评审报告送采购人。</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（3）采购人在收到评审报告后三个工作日内，按照评审报告中推荐的中标候选人顺序确定中标人。</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（4）根据采购人确定的中标人，招标代理机构在“四川政府采购网”上发布中标公告，同时向中标人发出中标通知书。</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（5）采购人、招标代理机构不解释中标或未中标原因，不退回投标文件和其他投标资料。</w:t>
      </w:r>
    </w:p>
    <w:p>
      <w:pPr>
        <w:pStyle w:val="5"/>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 评标专家在政府采购活动中承担以下义务</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（1）遵纪守法，客观、公正、廉洁地履行职责。</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按照政府采购法律法规和采购文件的规定要求对投标人的资格条件和投标人提供的产品价格、技术、服务等方面严格进行独立评审，提供科学合理、公平公正的评审意见，参与起草评审报告，并予签字确认。</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（3）保守秘密。不得泄漏投标人的投标文件及知悉的商业秘密，不得向投标人透露评审情况。</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（4）发现投标人在政府采购活动中有不正当竞争或恶意串通等违规行为，及时向政府采购评审工作的组织者或财政部门报告并加以制止。</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（5）发现采购人、招标代理机构及其工作人员在政府采购活动中有干预评审、发表倾向性和歧视性言论、受贿或者接受投标人的其他好处及其他违法违规行为，及时向财政部门报告。</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（6）解答有关方面对政府采购评审工作中有关问题的询问，配合采购人或者招标代理机构答复投标人的询问、质疑，配合财政部门的投诉处理工作等事宜。</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（7）法律、法规和规章规定的其他义务。</w:t>
      </w:r>
    </w:p>
    <w:p>
      <w:pPr>
        <w:pStyle w:val="5"/>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 评标委员会及其成员不得有下列行为</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（1）确定参与评标至评标结束前私自接触投标人；</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（2）接受投标人提出的与投标文件不一致的澄清或者说明，除招标文件明确可以澄清的除外；</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（3）违反评标纪律发表倾向性意见或者征询采购人的倾向性意见；</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（4）对需要专业判断的主观评审因素协商评分；</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（5）在评标过程中擅离职守，影响评标程序正常进行的；</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（6）记录、复制或者带走任何评标资料；</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（7）其他不遵守评标纪律的行为。</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评标委员会成员有前款第一至五项行为之一的，其评审意见无效，并不得获取评审劳务报酬和报销异地评审差旅费。</w:t>
      </w:r>
    </w:p>
    <w:p>
      <w:pPr>
        <w:pStyle w:val="5"/>
        <w:spacing w:before="0" w:after="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 评审专家在政府采购活动中应当遵守以下工作纪律</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（1）遵行《政府采购法》第十二条和《政府采购法实施条例》第九条及政府采购相关法律法规关于回避的规定。</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（2）应邀按时参加评审和咨询活动，遵守评标区管理规定。</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进入评标区之前应将所有的通信设备存入招标代理机构指定的存放处。评标专家不得以任何方式将通信设备带入评标区，否则将被取消其当次项目的评标资格。遇特殊情况不能出席或途中遇阻不能按时参加评审或咨询的，应及时告知财政部门或者采购人或者招标代理机构，不得私自转托他人。</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（4）不得参加与自己有利害关系的政府采购项目的评审活动。对与自己有利害关系的评审项目，如受到邀请，应主动提出回避。财政部门、采购人或招标代理机构也可要求该评审专家回避。</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（5）评审过程中关闭通讯设备，不得与外界联系。因发生不可预见情况，确实需要与外界联系的，在监督人员监督之下办理。</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（7）在评标过程中和评标结束后，不得记录、复制或带走任何评标资料，除因规定的义务外，不得向外界透露评标内容。</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（8）服从评标现场招标代理机构的现场秩序管理，接受评标现场监督人员的合法监督。</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（9）遵守有关廉洁自律规定，不得私下接触投标人，不得收受投标人及有关业务单位和个人的财物或好处，不得接受采购组织单位的请托。</w:t>
      </w:r>
    </w:p>
    <w:p>
      <w:pPr>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（10）有关部门（机构）制定的其他评审工作纪律。</w:t>
      </w:r>
    </w:p>
    <w:p>
      <w:pPr>
        <w:spacing w:after="0" w:line="360" w:lineRule="auto"/>
        <w:rPr>
          <w:rFonts w:ascii="仿宋" w:hAnsi="仿宋" w:eastAsia="仿宋" w:cs="仿宋"/>
          <w:color w:val="auto"/>
          <w:sz w:val="24"/>
          <w:highlight w:val="none"/>
        </w:rPr>
      </w:pPr>
    </w:p>
    <w:bookmarkEnd w:id="358"/>
    <w:bookmarkEnd w:id="359"/>
    <w:p>
      <w:pPr>
        <w:spacing w:after="0" w:line="520" w:lineRule="exact"/>
        <w:jc w:val="center"/>
        <w:rPr>
          <w:rFonts w:ascii="仿宋" w:hAnsi="仿宋" w:eastAsia="仿宋" w:cs="仿宋"/>
          <w:b/>
          <w:bCs/>
          <w:color w:val="auto"/>
          <w:sz w:val="32"/>
          <w:szCs w:val="32"/>
          <w:highlight w:val="none"/>
        </w:rPr>
      </w:pPr>
      <w:bookmarkStart w:id="361" w:name="_Toc5845"/>
      <w:bookmarkStart w:id="362" w:name="_Toc23042"/>
      <w:bookmarkStart w:id="363" w:name="_Toc16152"/>
      <w:r>
        <w:rPr>
          <w:rFonts w:hint="eastAsia" w:ascii="仿宋" w:hAnsi="仿宋" w:eastAsia="仿宋" w:cs="仿宋"/>
          <w:color w:val="auto"/>
          <w:highlight w:val="none"/>
        </w:rPr>
        <w:br w:type="page"/>
      </w:r>
      <w:bookmarkStart w:id="364" w:name="_Toc18105"/>
      <w:bookmarkStart w:id="365" w:name="_Toc17449_WPSOffice_Level1"/>
      <w:r>
        <w:rPr>
          <w:rFonts w:hint="eastAsia" w:ascii="仿宋" w:hAnsi="仿宋" w:eastAsia="仿宋" w:cs="仿宋"/>
          <w:b/>
          <w:bCs/>
          <w:color w:val="auto"/>
          <w:sz w:val="32"/>
          <w:szCs w:val="32"/>
          <w:highlight w:val="none"/>
        </w:rPr>
        <w:t xml:space="preserve">第七章  </w:t>
      </w:r>
      <w:bookmarkEnd w:id="167"/>
      <w:bookmarkEnd w:id="361"/>
      <w:bookmarkEnd w:id="362"/>
      <w:bookmarkEnd w:id="363"/>
      <w:bookmarkEnd w:id="364"/>
      <w:bookmarkEnd w:id="365"/>
      <w:bookmarkStart w:id="366" w:name="PO_默认文件内容_36"/>
      <w:bookmarkStart w:id="367" w:name="_Hlk67575895"/>
      <w:bookmarkStart w:id="368" w:name="_Toc217446108"/>
      <w:r>
        <w:rPr>
          <w:rFonts w:hint="eastAsia" w:ascii="仿宋" w:hAnsi="仿宋" w:eastAsia="仿宋" w:cs="仿宋"/>
          <w:b/>
          <w:bCs/>
          <w:color w:val="auto"/>
          <w:sz w:val="32"/>
          <w:szCs w:val="32"/>
          <w:highlight w:val="none"/>
        </w:rPr>
        <w:t>政府采购合同</w:t>
      </w:r>
    </w:p>
    <w:p>
      <w:pPr>
        <w:pStyle w:val="2"/>
        <w:jc w:val="center"/>
        <w:rPr>
          <w:rFonts w:ascii="仿宋" w:hAnsi="仿宋" w:eastAsia="仿宋" w:cs="仿宋"/>
          <w:color w:val="auto"/>
          <w:highlight w:val="none"/>
        </w:rPr>
      </w:pPr>
    </w:p>
    <w:bookmarkEnd w:id="366"/>
    <w:bookmarkEnd w:id="367"/>
    <w:bookmarkEnd w:id="368"/>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合同编号：XXXX。</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签订地点：XXXX。</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签订时间：XXXX年XX月XX日。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采购人（甲方）：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供应商（乙方）：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依据《中华人民共和国民法典》、《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pPr>
        <w:numPr>
          <w:ilvl w:val="0"/>
          <w:numId w:val="3"/>
        </w:numPr>
        <w:spacing w:line="360" w:lineRule="auto"/>
        <w:rPr>
          <w:rFonts w:ascii="仿宋" w:hAnsi="仿宋" w:eastAsia="仿宋" w:cs="仿宋"/>
          <w:b/>
          <w:color w:val="auto"/>
          <w:sz w:val="24"/>
          <w:highlight w:val="none"/>
        </w:rPr>
      </w:pPr>
      <w:bookmarkStart w:id="369" w:name="_Toc24556_WPSOffice_Level2"/>
      <w:bookmarkStart w:id="370" w:name="_Toc12353_WPSOffice_Level2"/>
      <w:r>
        <w:rPr>
          <w:rFonts w:hint="eastAsia" w:ascii="仿宋" w:hAnsi="仿宋" w:eastAsia="仿宋" w:cs="仿宋"/>
          <w:b/>
          <w:color w:val="auto"/>
          <w:sz w:val="24"/>
          <w:highlight w:val="none"/>
        </w:rPr>
        <w:t>项目基本情况</w:t>
      </w:r>
      <w:bookmarkEnd w:id="369"/>
      <w:bookmarkEnd w:id="370"/>
    </w:p>
    <w:p>
      <w:pPr>
        <w:numPr>
          <w:ilvl w:val="0"/>
          <w:numId w:val="3"/>
        </w:numPr>
        <w:spacing w:line="360" w:lineRule="auto"/>
        <w:rPr>
          <w:rFonts w:ascii="仿宋" w:hAnsi="仿宋" w:eastAsia="仿宋" w:cs="仿宋"/>
          <w:color w:val="auto"/>
          <w:sz w:val="24"/>
          <w:highlight w:val="none"/>
        </w:rPr>
      </w:pPr>
      <w:bookmarkStart w:id="371" w:name="_Toc13964_WPSOffice_Level2"/>
      <w:bookmarkStart w:id="372" w:name="_Toc23965_WPSOffice_Level2"/>
      <w:r>
        <w:rPr>
          <w:rFonts w:hint="eastAsia" w:ascii="仿宋" w:hAnsi="仿宋" w:eastAsia="仿宋" w:cs="仿宋"/>
          <w:b/>
          <w:color w:val="auto"/>
          <w:sz w:val="24"/>
          <w:highlight w:val="none"/>
        </w:rPr>
        <w:t>合同期限</w:t>
      </w:r>
      <w:bookmarkEnd w:id="371"/>
      <w:bookmarkEnd w:id="372"/>
    </w:p>
    <w:p>
      <w:pPr>
        <w:numPr>
          <w:ilvl w:val="0"/>
          <w:numId w:val="3"/>
        </w:numPr>
        <w:spacing w:line="360" w:lineRule="auto"/>
        <w:rPr>
          <w:rFonts w:ascii="仿宋" w:hAnsi="仿宋" w:eastAsia="仿宋" w:cs="仿宋"/>
          <w:b/>
          <w:color w:val="auto"/>
          <w:sz w:val="24"/>
          <w:highlight w:val="none"/>
        </w:rPr>
      </w:pPr>
      <w:bookmarkStart w:id="373" w:name="_Toc23597_WPSOffice_Level2"/>
      <w:bookmarkStart w:id="374" w:name="_Toc11144_WPSOffice_Level2"/>
      <w:bookmarkStart w:id="375" w:name="_Toc185395249"/>
      <w:bookmarkStart w:id="376" w:name="_Toc232492928"/>
      <w:bookmarkStart w:id="377" w:name="_Toc225244852"/>
      <w:bookmarkStart w:id="378" w:name="_Toc211911348"/>
      <w:bookmarkStart w:id="379" w:name="_Toc239568418"/>
      <w:bookmarkStart w:id="380" w:name="_Toc251768862"/>
      <w:bookmarkStart w:id="381" w:name="_Toc238984975"/>
      <w:bookmarkStart w:id="382" w:name="_Toc212019594"/>
      <w:bookmarkStart w:id="383" w:name="_Toc211854449"/>
      <w:bookmarkStart w:id="384" w:name="_Toc237145406"/>
      <w:bookmarkStart w:id="385" w:name="_Toc225654644"/>
      <w:bookmarkStart w:id="386" w:name="_Toc247334841"/>
      <w:bookmarkStart w:id="387" w:name="_Toc283019214"/>
      <w:bookmarkStart w:id="388" w:name="_Toc225670751"/>
      <w:bookmarkStart w:id="389" w:name="_Toc239233914"/>
      <w:bookmarkStart w:id="390" w:name="_Toc241833903"/>
      <w:bookmarkStart w:id="391" w:name="_Toc282696226"/>
      <w:bookmarkStart w:id="392" w:name="_Toc286993786"/>
      <w:r>
        <w:rPr>
          <w:rFonts w:hint="eastAsia" w:ascii="仿宋" w:hAnsi="仿宋" w:eastAsia="仿宋" w:cs="仿宋"/>
          <w:b/>
          <w:color w:val="auto"/>
          <w:sz w:val="24"/>
          <w:highlight w:val="none"/>
        </w:rPr>
        <w:t>服务内容与质量标准</w:t>
      </w:r>
      <w:bookmarkEnd w:id="373"/>
      <w:bookmarkEnd w:id="374"/>
    </w:p>
    <w:p>
      <w:pPr>
        <w:spacing w:line="360" w:lineRule="auto"/>
        <w:ind w:left="567"/>
        <w:rPr>
          <w:rFonts w:ascii="仿宋" w:hAnsi="仿宋" w:eastAsia="仿宋" w:cs="仿宋"/>
          <w:color w:val="auto"/>
          <w:sz w:val="24"/>
          <w:highlight w:val="none"/>
        </w:rPr>
      </w:pPr>
      <w:r>
        <w:rPr>
          <w:rFonts w:hint="eastAsia" w:ascii="仿宋" w:hAnsi="仿宋" w:eastAsia="仿宋" w:cs="仿宋"/>
          <w:color w:val="auto"/>
          <w:sz w:val="24"/>
          <w:highlight w:val="none"/>
        </w:rPr>
        <w:t>1、XXXX；</w:t>
      </w:r>
    </w:p>
    <w:p>
      <w:pPr>
        <w:spacing w:line="360" w:lineRule="auto"/>
        <w:ind w:left="567"/>
        <w:rPr>
          <w:rFonts w:ascii="仿宋" w:hAnsi="仿宋" w:eastAsia="仿宋" w:cs="仿宋"/>
          <w:color w:val="auto"/>
          <w:sz w:val="24"/>
          <w:highlight w:val="none"/>
        </w:rPr>
      </w:pPr>
      <w:r>
        <w:rPr>
          <w:rFonts w:hint="eastAsia" w:ascii="仿宋" w:hAnsi="仿宋" w:eastAsia="仿宋" w:cs="仿宋"/>
          <w:color w:val="auto"/>
          <w:sz w:val="24"/>
          <w:highlight w:val="none"/>
        </w:rPr>
        <w:t>2、XXXX；</w:t>
      </w:r>
    </w:p>
    <w:p>
      <w:pPr>
        <w:spacing w:line="360" w:lineRule="auto"/>
        <w:ind w:left="567"/>
        <w:rPr>
          <w:rFonts w:ascii="仿宋" w:hAnsi="仿宋" w:eastAsia="仿宋" w:cs="仿宋"/>
          <w:color w:val="auto"/>
          <w:sz w:val="24"/>
          <w:highlight w:val="none"/>
        </w:rPr>
      </w:pPr>
      <w:r>
        <w:rPr>
          <w:rFonts w:hint="eastAsia" w:ascii="仿宋" w:hAnsi="仿宋" w:eastAsia="仿宋" w:cs="仿宋"/>
          <w:color w:val="auto"/>
          <w:sz w:val="24"/>
          <w:highlight w:val="none"/>
        </w:rPr>
        <w:t>3、XXXX．</w:t>
      </w:r>
    </w:p>
    <w:p>
      <w:pPr>
        <w:numPr>
          <w:ilvl w:val="0"/>
          <w:numId w:val="3"/>
        </w:numPr>
        <w:spacing w:line="360" w:lineRule="auto"/>
        <w:rPr>
          <w:rFonts w:ascii="仿宋" w:hAnsi="仿宋" w:eastAsia="仿宋" w:cs="仿宋"/>
          <w:b/>
          <w:color w:val="auto"/>
          <w:sz w:val="24"/>
          <w:highlight w:val="none"/>
        </w:rPr>
      </w:pPr>
      <w:bookmarkStart w:id="393" w:name="_Toc18159_WPSOffice_Level2"/>
      <w:bookmarkStart w:id="394" w:name="_Toc11083_WPSOffice_Level2"/>
      <w:r>
        <w:rPr>
          <w:rFonts w:hint="eastAsia" w:ascii="仿宋" w:hAnsi="仿宋" w:eastAsia="仿宋" w:cs="仿宋"/>
          <w:b/>
          <w:color w:val="auto"/>
          <w:sz w:val="24"/>
          <w:highlight w:val="none"/>
        </w:rPr>
        <w:t>服务费用及支付方式</w:t>
      </w:r>
      <w:bookmarkEnd w:id="393"/>
      <w:bookmarkEnd w:id="394"/>
    </w:p>
    <w:p>
      <w:pPr>
        <w:numPr>
          <w:ilvl w:val="0"/>
          <w:numId w:val="4"/>
        </w:numPr>
        <w:spacing w:line="360" w:lineRule="auto"/>
        <w:ind w:left="0" w:firstLine="567"/>
        <w:rPr>
          <w:rFonts w:ascii="仿宋" w:hAnsi="仿宋" w:eastAsia="仿宋" w:cs="仿宋"/>
          <w:b/>
          <w:color w:val="auto"/>
          <w:sz w:val="24"/>
          <w:highlight w:val="none"/>
        </w:rPr>
      </w:pPr>
      <w:r>
        <w:rPr>
          <w:rFonts w:hint="eastAsia" w:ascii="仿宋" w:hAnsi="仿宋" w:eastAsia="仿宋" w:cs="仿宋"/>
          <w:b/>
          <w:color w:val="auto"/>
          <w:sz w:val="24"/>
          <w:highlight w:val="none"/>
        </w:rPr>
        <w:t>本项目服务费用由以下组成：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1、XX万元；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2、XX万元；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3、XX万元。</w:t>
      </w:r>
    </w:p>
    <w:p>
      <w:pPr>
        <w:numPr>
          <w:ilvl w:val="0"/>
          <w:numId w:val="4"/>
        </w:numPr>
        <w:tabs>
          <w:tab w:val="left" w:pos="780"/>
        </w:tabs>
        <w:spacing w:line="360" w:lineRule="auto"/>
        <w:ind w:left="0" w:firstLine="567"/>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服务费支付方式： </w:t>
      </w:r>
    </w:p>
    <w:p>
      <w:pPr>
        <w:numPr>
          <w:ilvl w:val="0"/>
          <w:numId w:val="3"/>
        </w:numPr>
        <w:spacing w:line="360" w:lineRule="auto"/>
        <w:rPr>
          <w:rFonts w:ascii="仿宋" w:hAnsi="仿宋" w:eastAsia="仿宋" w:cs="仿宋"/>
          <w:b/>
          <w:color w:val="auto"/>
          <w:sz w:val="24"/>
          <w:highlight w:val="none"/>
        </w:rPr>
      </w:pPr>
      <w:bookmarkStart w:id="395" w:name="_Toc2167_WPSOffice_Level2"/>
      <w:bookmarkStart w:id="396" w:name="_Toc4051_WPSOffice_Level2"/>
      <w:r>
        <w:rPr>
          <w:rFonts w:hint="eastAsia" w:ascii="仿宋" w:hAnsi="仿宋" w:eastAsia="仿宋" w:cs="仿宋"/>
          <w:b/>
          <w:color w:val="auto"/>
          <w:sz w:val="24"/>
          <w:highlight w:val="none"/>
        </w:rPr>
        <w:t>知识产权</w:t>
      </w:r>
      <w:bookmarkEnd w:id="395"/>
      <w:bookmarkEnd w:id="396"/>
    </w:p>
    <w:p>
      <w:pPr>
        <w:tabs>
          <w:tab w:val="left" w:pos="144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乙方应保证所提供的服务或其任何一部分均不会侵犯任何第三方的专利权、商标权或著作权。</w:t>
      </w:r>
    </w:p>
    <w:p>
      <w:pPr>
        <w:numPr>
          <w:ilvl w:val="0"/>
          <w:numId w:val="3"/>
        </w:numPr>
        <w:spacing w:line="360" w:lineRule="auto"/>
        <w:rPr>
          <w:rFonts w:ascii="仿宋" w:hAnsi="仿宋" w:eastAsia="仿宋" w:cs="仿宋"/>
          <w:b/>
          <w:color w:val="auto"/>
          <w:sz w:val="24"/>
          <w:highlight w:val="none"/>
        </w:rPr>
      </w:pPr>
      <w:bookmarkStart w:id="397" w:name="_Toc1356_WPSOffice_Level2"/>
      <w:bookmarkStart w:id="398" w:name="_Toc20624_WPSOffice_Level2"/>
      <w:r>
        <w:rPr>
          <w:rFonts w:hint="eastAsia" w:ascii="仿宋" w:hAnsi="仿宋" w:eastAsia="仿宋" w:cs="仿宋"/>
          <w:b/>
          <w:color w:val="auto"/>
          <w:sz w:val="24"/>
          <w:highlight w:val="none"/>
        </w:rPr>
        <w:t>无产权瑕疵条款</w:t>
      </w:r>
      <w:bookmarkEnd w:id="397"/>
      <w:bookmarkEnd w:id="398"/>
    </w:p>
    <w:p>
      <w:pPr>
        <w:tabs>
          <w:tab w:val="left" w:pos="144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乙方保证所提供的服务的所有权完全属于乙方且无任何抵押、查封等产权瑕疵。如有产权瑕疵的，视为乙方违约。乙方应负担由此而产生的一切损失。</w:t>
      </w:r>
    </w:p>
    <w:p>
      <w:pPr>
        <w:numPr>
          <w:ilvl w:val="0"/>
          <w:numId w:val="3"/>
        </w:numPr>
        <w:spacing w:line="360" w:lineRule="auto"/>
        <w:rPr>
          <w:rFonts w:ascii="仿宋" w:hAnsi="仿宋" w:eastAsia="仿宋" w:cs="仿宋"/>
          <w:b/>
          <w:color w:val="auto"/>
          <w:sz w:val="24"/>
          <w:highlight w:val="none"/>
        </w:rPr>
      </w:pPr>
      <w:bookmarkStart w:id="399" w:name="_Toc4136_WPSOffice_Level2"/>
      <w:bookmarkStart w:id="400" w:name="_Toc23515_WPSOffice_Level2"/>
      <w:r>
        <w:rPr>
          <w:rFonts w:hint="eastAsia" w:ascii="仿宋" w:hAnsi="仿宋" w:eastAsia="仿宋" w:cs="仿宋"/>
          <w:b/>
          <w:color w:val="auto"/>
          <w:sz w:val="24"/>
          <w:highlight w:val="none"/>
        </w:rPr>
        <w:t>履约保证金</w:t>
      </w:r>
      <w:bookmarkEnd w:id="399"/>
      <w:bookmarkEnd w:id="400"/>
    </w:p>
    <w:p>
      <w:pP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1、乙方交纳人民币</w:t>
      </w:r>
      <w:r>
        <w:rPr>
          <w:rFonts w:hint="eastAsia" w:ascii="仿宋" w:hAnsi="仿宋" w:eastAsia="仿宋" w:cs="仿宋"/>
          <w:color w:val="auto"/>
          <w:sz w:val="24"/>
          <w:highlight w:val="none"/>
        </w:rPr>
        <w:t>XX</w:t>
      </w:r>
      <w:r>
        <w:rPr>
          <w:rFonts w:hint="eastAsia" w:ascii="仿宋" w:hAnsi="仿宋" w:eastAsia="仿宋" w:cs="仿宋"/>
          <w:bCs/>
          <w:color w:val="auto"/>
          <w:sz w:val="24"/>
          <w:highlight w:val="none"/>
        </w:rPr>
        <w:t>元作为本合同的履约保证金。</w:t>
      </w:r>
    </w:p>
    <w:p>
      <w:pP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2、履约保证金作为违约金的一部分及用于补偿甲方因乙方不能履行合同义务而蒙受的损失。</w:t>
      </w:r>
    </w:p>
    <w:p>
      <w:pPr>
        <w:numPr>
          <w:ilvl w:val="0"/>
          <w:numId w:val="3"/>
        </w:numPr>
        <w:spacing w:line="360" w:lineRule="auto"/>
        <w:rPr>
          <w:rFonts w:ascii="仿宋" w:hAnsi="仿宋" w:eastAsia="仿宋" w:cs="仿宋"/>
          <w:b/>
          <w:color w:val="auto"/>
          <w:sz w:val="24"/>
          <w:highlight w:val="none"/>
        </w:rPr>
      </w:pPr>
      <w:bookmarkStart w:id="401" w:name="_Toc23216_WPSOffice_Level2"/>
      <w:bookmarkStart w:id="402" w:name="_Toc18407_WPSOffice_Level2"/>
      <w:r>
        <w:rPr>
          <w:rFonts w:hint="eastAsia" w:ascii="仿宋" w:hAnsi="仿宋" w:eastAsia="仿宋" w:cs="仿宋"/>
          <w:b/>
          <w:color w:val="auto"/>
          <w:sz w:val="24"/>
          <w:highlight w:val="none"/>
        </w:rPr>
        <w:t>甲方的权利和义务</w:t>
      </w:r>
      <w:bookmarkEnd w:id="401"/>
      <w:bookmarkEnd w:id="402"/>
    </w:p>
    <w:p>
      <w:pP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3、负责检查监督乙方管理工作的实施及制度的执行情况。</w:t>
      </w:r>
    </w:p>
    <w:p>
      <w:pP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4、根据本合同规定，按时向乙方支付应付服务费用。</w:t>
      </w:r>
    </w:p>
    <w:p>
      <w:pP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5、国家法律、法规所规定由甲方承担的其它责任。</w:t>
      </w:r>
    </w:p>
    <w:p>
      <w:pPr>
        <w:numPr>
          <w:ilvl w:val="0"/>
          <w:numId w:val="3"/>
        </w:numPr>
        <w:spacing w:line="360" w:lineRule="auto"/>
        <w:rPr>
          <w:rFonts w:ascii="仿宋" w:hAnsi="仿宋" w:eastAsia="仿宋" w:cs="仿宋"/>
          <w:b/>
          <w:color w:val="auto"/>
          <w:sz w:val="24"/>
          <w:highlight w:val="none"/>
        </w:rPr>
      </w:pPr>
      <w:bookmarkStart w:id="403" w:name="_Toc28651_WPSOffice_Level2"/>
      <w:bookmarkStart w:id="404" w:name="_Toc29426_WPSOffice_Level2"/>
      <w:r>
        <w:rPr>
          <w:rFonts w:hint="eastAsia" w:ascii="仿宋" w:hAnsi="仿宋" w:eastAsia="仿宋" w:cs="仿宋"/>
          <w:b/>
          <w:color w:val="auto"/>
          <w:sz w:val="24"/>
          <w:highlight w:val="none"/>
        </w:rPr>
        <w:t>乙方的权利和义务</w:t>
      </w:r>
      <w:bookmarkEnd w:id="403"/>
      <w:bookmarkEnd w:id="404"/>
    </w:p>
    <w:p>
      <w:pP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5、国家法律、法规所规定由乙方承担的其它责任。</w:t>
      </w:r>
    </w:p>
    <w:p>
      <w:pPr>
        <w:numPr>
          <w:ilvl w:val="0"/>
          <w:numId w:val="3"/>
        </w:numPr>
        <w:spacing w:line="360" w:lineRule="auto"/>
        <w:rPr>
          <w:rFonts w:ascii="仿宋" w:hAnsi="仿宋" w:eastAsia="仿宋" w:cs="仿宋"/>
          <w:b/>
          <w:color w:val="auto"/>
          <w:sz w:val="24"/>
          <w:highlight w:val="none"/>
        </w:rPr>
      </w:pPr>
      <w:bookmarkStart w:id="405" w:name="_Toc12689_WPSOffice_Level2"/>
      <w:bookmarkStart w:id="406" w:name="_Toc22285_WPSOffice_Level2"/>
      <w:r>
        <w:rPr>
          <w:rFonts w:hint="eastAsia" w:ascii="仿宋" w:hAnsi="仿宋" w:eastAsia="仿宋" w:cs="仿宋"/>
          <w:b/>
          <w:color w:val="auto"/>
          <w:sz w:val="24"/>
          <w:highlight w:val="none"/>
        </w:rPr>
        <w:t>违约责任</w:t>
      </w:r>
      <w:bookmarkEnd w:id="405"/>
      <w:bookmarkEnd w:id="406"/>
    </w:p>
    <w:p>
      <w:pP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3"/>
        </w:numPr>
        <w:spacing w:line="360" w:lineRule="auto"/>
        <w:rPr>
          <w:rFonts w:ascii="仿宋" w:hAnsi="仿宋" w:eastAsia="仿宋" w:cs="仿宋"/>
          <w:b/>
          <w:color w:val="auto"/>
          <w:sz w:val="24"/>
          <w:highlight w:val="none"/>
        </w:rPr>
      </w:pPr>
      <w:bookmarkStart w:id="407" w:name="_Toc9930_WPSOffice_Level2"/>
      <w:r>
        <w:rPr>
          <w:rFonts w:hint="eastAsia" w:ascii="仿宋" w:hAnsi="仿宋" w:eastAsia="仿宋" w:cs="仿宋"/>
          <w:b/>
          <w:color w:val="auto"/>
          <w:sz w:val="24"/>
          <w:highlight w:val="none"/>
        </w:rPr>
        <w:t>不可抗力事件处理</w:t>
      </w:r>
      <w:bookmarkEnd w:id="407"/>
    </w:p>
    <w:p>
      <w:pPr>
        <w:tabs>
          <w:tab w:val="left" w:pos="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2、不可抗力事件发生后，应立即通知对方，并寄送有关权威机构出具的证明。</w:t>
      </w:r>
    </w:p>
    <w:p>
      <w:pPr>
        <w:tabs>
          <w:tab w:val="left" w:pos="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3、不可抗力事件延续XX天以上，双方应通过友好协商，确定是否继续履行合同。</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numPr>
          <w:ilvl w:val="0"/>
          <w:numId w:val="3"/>
        </w:numPr>
        <w:spacing w:line="360" w:lineRule="auto"/>
        <w:rPr>
          <w:rFonts w:ascii="仿宋" w:hAnsi="仿宋" w:eastAsia="仿宋" w:cs="仿宋"/>
          <w:b/>
          <w:color w:val="auto"/>
          <w:sz w:val="24"/>
          <w:highlight w:val="none"/>
        </w:rPr>
      </w:pPr>
      <w:bookmarkStart w:id="408" w:name="_Toc251768867"/>
      <w:bookmarkStart w:id="409" w:name="_Toc241833908"/>
      <w:bookmarkStart w:id="410" w:name="_Toc225670756"/>
      <w:bookmarkStart w:id="411" w:name="_Toc239568423"/>
      <w:bookmarkStart w:id="412" w:name="_Toc31579_WPSOffice_Level2"/>
      <w:bookmarkStart w:id="413" w:name="_Toc212019599"/>
      <w:bookmarkStart w:id="414" w:name="_Toc211911353"/>
      <w:bookmarkStart w:id="415" w:name="_Toc237145411"/>
      <w:bookmarkStart w:id="416" w:name="_Toc232492933"/>
      <w:bookmarkStart w:id="417" w:name="_Toc247334846"/>
      <w:bookmarkStart w:id="418" w:name="_Toc286993792"/>
      <w:bookmarkStart w:id="419" w:name="_Toc12653_WPSOffice_Level2"/>
      <w:bookmarkStart w:id="420" w:name="_Toc211854454"/>
      <w:bookmarkStart w:id="421" w:name="_Toc225654649"/>
      <w:bookmarkStart w:id="422" w:name="_Toc225244857"/>
      <w:bookmarkStart w:id="423" w:name="_Toc238984980"/>
      <w:bookmarkStart w:id="424" w:name="_Toc185395254"/>
      <w:bookmarkStart w:id="425" w:name="_Toc239233919"/>
      <w:r>
        <w:rPr>
          <w:rFonts w:hint="eastAsia" w:ascii="仿宋" w:hAnsi="仿宋" w:eastAsia="仿宋" w:cs="仿宋"/>
          <w:b/>
          <w:color w:val="auto"/>
          <w:sz w:val="24"/>
          <w:highlight w:val="none"/>
        </w:rPr>
        <w:t>解决合同纠纷的方式</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tabs>
          <w:tab w:val="left" w:pos="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2、仲裁裁决应为最终决定，并对双方具有约束力。</w:t>
      </w:r>
    </w:p>
    <w:p>
      <w:pPr>
        <w:tabs>
          <w:tab w:val="left" w:pos="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3、除另有裁决外，仲裁费应由败诉方负担。 </w:t>
      </w:r>
    </w:p>
    <w:p>
      <w:pPr>
        <w:tabs>
          <w:tab w:val="left" w:pos="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4、在仲裁期间，除正在进行仲裁部分外，合同其他部分继续执行。  </w:t>
      </w:r>
    </w:p>
    <w:p>
      <w:pPr>
        <w:numPr>
          <w:ilvl w:val="0"/>
          <w:numId w:val="3"/>
        </w:numPr>
        <w:spacing w:line="360" w:lineRule="auto"/>
        <w:rPr>
          <w:rFonts w:ascii="仿宋" w:hAnsi="仿宋" w:eastAsia="仿宋" w:cs="仿宋"/>
          <w:b/>
          <w:color w:val="auto"/>
          <w:sz w:val="24"/>
          <w:highlight w:val="none"/>
        </w:rPr>
      </w:pPr>
      <w:bookmarkStart w:id="426" w:name="_Toc185395255"/>
      <w:bookmarkStart w:id="427" w:name="_Toc241833909"/>
      <w:bookmarkStart w:id="428" w:name="_Toc283019219"/>
      <w:bookmarkStart w:id="429" w:name="_Toc225670757"/>
      <w:bookmarkStart w:id="430" w:name="_Toc238984981"/>
      <w:bookmarkStart w:id="431" w:name="_Toc211911354"/>
      <w:bookmarkStart w:id="432" w:name="_Toc232492934"/>
      <w:bookmarkStart w:id="433" w:name="_Toc225654650"/>
      <w:bookmarkStart w:id="434" w:name="_Toc211854455"/>
      <w:bookmarkStart w:id="435" w:name="_Toc247334847"/>
      <w:bookmarkStart w:id="436" w:name="_Toc282696231"/>
      <w:bookmarkStart w:id="437" w:name="_Toc212019600"/>
      <w:bookmarkStart w:id="438" w:name="_Toc225244858"/>
      <w:bookmarkStart w:id="439" w:name="_Toc286993793"/>
      <w:bookmarkStart w:id="440" w:name="_Toc239568424"/>
      <w:bookmarkStart w:id="441" w:name="_Toc237145412"/>
      <w:bookmarkStart w:id="442" w:name="_Toc239233920"/>
      <w:bookmarkStart w:id="443" w:name="_Toc251768868"/>
      <w:bookmarkStart w:id="444" w:name="_Toc19069_WPSOffice_Level2"/>
      <w:bookmarkStart w:id="445" w:name="_Toc10503_WPSOffice_Level2"/>
      <w:r>
        <w:rPr>
          <w:rFonts w:hint="eastAsia" w:ascii="仿宋" w:hAnsi="仿宋" w:eastAsia="仿宋" w:cs="仿宋"/>
          <w:b/>
          <w:color w:val="auto"/>
          <w:sz w:val="24"/>
          <w:highlight w:val="none"/>
        </w:rPr>
        <w:t>合同</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Fonts w:hint="eastAsia" w:ascii="仿宋" w:hAnsi="仿宋" w:eastAsia="仿宋" w:cs="仿宋"/>
          <w:b/>
          <w:color w:val="auto"/>
          <w:sz w:val="24"/>
          <w:highlight w:val="none"/>
        </w:rPr>
        <w:t>生效及其他</w:t>
      </w:r>
      <w:bookmarkEnd w:id="444"/>
      <w:bookmarkEnd w:id="445"/>
    </w:p>
    <w:p>
      <w:pPr>
        <w:pStyle w:val="74"/>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1、合同经双方法定代表人或授权委托代理人签字并加盖单位公章后生效。</w:t>
      </w:r>
    </w:p>
    <w:p>
      <w:pPr>
        <w:pStyle w:val="74"/>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2、合同执行中涉及采购资金和采购内容修改或补充的，须经政府采购监管部门审批，并签书面补充协议报政府采购监督管理部门备案，方可作为主合同不可分割的一部分。</w:t>
      </w:r>
    </w:p>
    <w:p>
      <w:pPr>
        <w:pStyle w:val="74"/>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3、本合同一式XX份，自双方签章之日起起效。甲方XX份，乙方XX份，政府采购代理机构XX份，同级财政部门备案XX份，具有同等法律效力。</w:t>
      </w:r>
    </w:p>
    <w:p>
      <w:pPr>
        <w:numPr>
          <w:ilvl w:val="0"/>
          <w:numId w:val="3"/>
        </w:numPr>
        <w:spacing w:line="360" w:lineRule="auto"/>
        <w:rPr>
          <w:rFonts w:ascii="仿宋" w:hAnsi="仿宋" w:eastAsia="仿宋" w:cs="仿宋"/>
          <w:b/>
          <w:color w:val="auto"/>
          <w:sz w:val="24"/>
          <w:highlight w:val="none"/>
        </w:rPr>
      </w:pPr>
      <w:bookmarkStart w:id="446" w:name="_Toc14459_WPSOffice_Level2"/>
      <w:bookmarkStart w:id="447" w:name="_Toc28162_WPSOffice_Level2"/>
      <w:r>
        <w:rPr>
          <w:rFonts w:hint="eastAsia" w:ascii="仿宋" w:hAnsi="仿宋" w:eastAsia="仿宋" w:cs="仿宋"/>
          <w:b/>
          <w:color w:val="auto"/>
          <w:sz w:val="24"/>
          <w:highlight w:val="none"/>
        </w:rPr>
        <w:t>附件</w:t>
      </w:r>
      <w:bookmarkEnd w:id="446"/>
      <w:bookmarkEnd w:id="447"/>
    </w:p>
    <w:p>
      <w:pPr>
        <w:pStyle w:val="74"/>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1、项目招标文件</w:t>
      </w:r>
    </w:p>
    <w:p>
      <w:pPr>
        <w:pStyle w:val="74"/>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2、项目修改澄清文件</w:t>
      </w:r>
    </w:p>
    <w:p>
      <w:pPr>
        <w:pStyle w:val="74"/>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3、项目投标文件</w:t>
      </w:r>
    </w:p>
    <w:p>
      <w:pPr>
        <w:pStyle w:val="74"/>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4、中标通知书</w:t>
      </w:r>
    </w:p>
    <w:p>
      <w:pPr>
        <w:pStyle w:val="74"/>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5、其他</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   （盖章）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乙方：   （盖章）</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法定代表人（授权代表）：           法定代表人（授权代表）：</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                         地    址：</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账号：                             账号：</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    话：                         电    话：</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                         传    真：</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签约日期：XX年XX月XX日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签约日期：XX年XX月XX日</w:t>
      </w:r>
    </w:p>
    <w:p>
      <w:pPr>
        <w:spacing w:after="0" w:line="360" w:lineRule="auto"/>
        <w:ind w:firstLine="466" w:firstLineChars="200"/>
        <w:rPr>
          <w:rFonts w:ascii="仿宋" w:hAnsi="仿宋" w:eastAsia="仿宋" w:cs="仿宋"/>
          <w:color w:val="auto"/>
          <w:sz w:val="24"/>
          <w:highlight w:val="none"/>
        </w:rPr>
      </w:pPr>
      <w:r>
        <w:rPr>
          <w:rFonts w:hint="eastAsia" w:ascii="仿宋" w:hAnsi="仿宋" w:eastAsia="仿宋" w:cs="仿宋"/>
          <w:b/>
          <w:bCs/>
          <w:color w:val="auto"/>
          <w:spacing w:val="-4"/>
          <w:sz w:val="24"/>
          <w:highlight w:val="none"/>
        </w:rPr>
        <w:t>注：合同条款可根据采购人及中标人签订合同时的实际情况进行修改调整。</w:t>
      </w:r>
    </w:p>
    <w:p>
      <w:pPr>
        <w:spacing w:after="0" w:line="360" w:lineRule="auto"/>
        <w:rPr>
          <w:rFonts w:ascii="仿宋" w:hAnsi="仿宋" w:eastAsia="仿宋" w:cs="仿宋"/>
          <w:color w:val="auto"/>
          <w:sz w:val="24"/>
          <w:highlight w:val="none"/>
        </w:rPr>
      </w:pPr>
    </w:p>
    <w:p>
      <w:pPr>
        <w:spacing w:after="0" w:line="360" w:lineRule="auto"/>
        <w:ind w:firstLine="480" w:firstLineChars="200"/>
        <w:rPr>
          <w:rFonts w:ascii="仿宋" w:hAnsi="仿宋" w:eastAsia="仿宋" w:cs="仿宋"/>
          <w:color w:val="auto"/>
          <w:sz w:val="24"/>
          <w:highlight w:val="none"/>
        </w:rPr>
      </w:pPr>
    </w:p>
    <w:p>
      <w:pPr>
        <w:widowControl/>
        <w:spacing w:after="0" w:line="360" w:lineRule="auto"/>
        <w:rPr>
          <w:rFonts w:ascii="仿宋" w:hAnsi="仿宋" w:eastAsia="仿宋" w:cs="仿宋"/>
          <w:b/>
          <w:bCs/>
          <w:color w:val="auto"/>
          <w:highlight w:val="none"/>
        </w:rPr>
      </w:pPr>
      <w:r>
        <w:rPr>
          <w:rFonts w:hint="eastAsia" w:ascii="仿宋" w:hAnsi="仿宋" w:eastAsia="仿宋" w:cs="仿宋"/>
          <w:color w:val="auto"/>
          <w:szCs w:val="21"/>
          <w:highlight w:val="none"/>
        </w:rPr>
        <w:br w:type="page"/>
      </w:r>
      <w:r>
        <w:rPr>
          <w:rFonts w:hint="eastAsia" w:ascii="仿宋" w:hAnsi="仿宋" w:eastAsia="仿宋" w:cs="仿宋"/>
          <w:b/>
          <w:bCs/>
          <w:color w:val="auto"/>
          <w:sz w:val="24"/>
          <w:highlight w:val="none"/>
        </w:rPr>
        <w:t>附件一：</w:t>
      </w:r>
      <w:r>
        <w:rPr>
          <w:rFonts w:hint="eastAsia" w:ascii="仿宋" w:hAnsi="仿宋" w:eastAsia="仿宋" w:cs="仿宋"/>
          <w:b/>
          <w:bCs/>
          <w:color w:val="auto"/>
          <w:highlight w:val="none"/>
        </w:rPr>
        <w:t>《四川省财政厅关于推进四川省政府采购供应商信用融资工作的通知》(川财采〔2018〕123号文)</w:t>
      </w:r>
    </w:p>
    <w:p>
      <w:pPr>
        <w:pStyle w:val="31"/>
        <w:spacing w:before="0" w:beforeAutospacing="0" w:after="0" w:afterAutospacing="0" w:line="360" w:lineRule="auto"/>
        <w:rPr>
          <w:rFonts w:ascii="仿宋" w:hAnsi="仿宋" w:eastAsia="仿宋" w:cs="仿宋"/>
          <w:b/>
          <w:bCs/>
          <w:color w:val="auto"/>
          <w:sz w:val="24"/>
          <w:szCs w:val="24"/>
          <w:highlight w:val="none"/>
        </w:rPr>
      </w:pPr>
      <w:r>
        <w:rPr>
          <w:rFonts w:hint="eastAsia" w:ascii="仿宋" w:hAnsi="仿宋" w:eastAsia="仿宋" w:cs="仿宋"/>
          <w:b/>
          <w:bCs/>
          <w:color w:val="auto"/>
          <w:highlight w:val="none"/>
        </w:rPr>
        <w:t>查询链接：</w:t>
      </w:r>
      <w:r>
        <w:rPr>
          <w:rFonts w:hint="eastAsia" w:ascii="仿宋" w:hAnsi="仿宋" w:eastAsia="仿宋" w:cs="仿宋"/>
          <w:b/>
          <w:bCs/>
          <w:color w:val="auto"/>
          <w:sz w:val="24"/>
          <w:szCs w:val="24"/>
          <w:highlight w:val="none"/>
        </w:rPr>
        <w:t>http://www.ccgp-sichuan.gov.cn/view/staticpags/sjzcfg/40288687657ff75501672fd954532414.html</w:t>
      </w:r>
    </w:p>
    <w:p>
      <w:pPr>
        <w:widowControl/>
        <w:spacing w:after="0" w:line="360" w:lineRule="auto"/>
        <w:rPr>
          <w:rFonts w:ascii="仿宋" w:hAnsi="仿宋" w:eastAsia="仿宋" w:cs="仿宋"/>
          <w:color w:val="auto"/>
          <w:highlight w:val="none"/>
        </w:rPr>
      </w:pPr>
    </w:p>
    <w:p>
      <w:pPr>
        <w:widowControl/>
        <w:spacing w:after="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drawing>
          <wp:inline distT="0" distB="0" distL="0" distR="0">
            <wp:extent cx="5305425" cy="1863090"/>
            <wp:effectExtent l="1905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noChangeArrowheads="1"/>
                    </pic:cNvPicPr>
                  </pic:nvPicPr>
                  <pic:blipFill>
                    <a:blip r:embed="rId14"/>
                    <a:srcRect/>
                    <a:stretch>
                      <a:fillRect/>
                    </a:stretch>
                  </pic:blipFill>
                  <pic:spPr>
                    <a:xfrm>
                      <a:off x="0" y="0"/>
                      <a:ext cx="5305425" cy="1863090"/>
                    </a:xfrm>
                    <a:prstGeom prst="rect">
                      <a:avLst/>
                    </a:prstGeom>
                    <a:noFill/>
                    <a:ln w="9525" cmpd="sng">
                      <a:noFill/>
                      <a:miter lim="800000"/>
                      <a:headEnd/>
                      <a:tailEnd/>
                    </a:ln>
                  </pic:spPr>
                </pic:pic>
              </a:graphicData>
            </a:graphic>
          </wp:inline>
        </w:drawing>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各市（州）、扩权县（市）财政局，各省直机关、事业单位、团体组织，各金融机构，各采购代理机构，各政府采购供应商：</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一、融资概念</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二、基本原则</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（一）财政引导，市场运行</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（二）建立机制，服务银企</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（三）优质优惠，加强扶持</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三、基本条件</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（一）银行暨“政采贷”金融产品</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1、征集。</w:t>
      </w:r>
      <w:r>
        <w:rPr>
          <w:rFonts w:hint="eastAsia" w:ascii="仿宋" w:hAnsi="仿宋" w:eastAsia="仿宋" w:cs="仿宋"/>
          <w:color w:val="auto"/>
          <w:sz w:val="24"/>
          <w:szCs w:val="24"/>
          <w:highlight w:val="none"/>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银行提供的“政采贷”产品应当满足“无抵押担保、程序简便、利率优惠、放款及时”的基本条件以及本通知其他相关规定。</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银行申请材料中应当载明其自愿提供“政采贷”产品，自担风险，不得要求或者变相要求财政部门和采购人为其提供风险担保、承诺。</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2、公示。</w:t>
      </w:r>
      <w:r>
        <w:rPr>
          <w:rFonts w:hint="eastAsia" w:ascii="仿宋" w:hAnsi="仿宋" w:eastAsia="仿宋" w:cs="仿宋"/>
          <w:color w:val="auto"/>
          <w:sz w:val="24"/>
          <w:szCs w:val="24"/>
          <w:highlight w:val="none"/>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（二）供应商</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政府采购供应商向银行申请“政采贷”，应当满足下列基本条件：</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color w:val="auto"/>
          <w:sz w:val="24"/>
          <w:szCs w:val="24"/>
          <w:highlight w:val="none"/>
        </w:rPr>
        <w:t>具有依法承担民事责任的能力；</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具有依法履行政府采购合同的能力；</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参加的政府采购活动未被财政部门依法暂停、责令重新开展或者认定中标、成交无效；</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color w:val="auto"/>
          <w:sz w:val="24"/>
          <w:szCs w:val="24"/>
          <w:highlight w:val="none"/>
        </w:rPr>
        <w:t>无《政府采购法》第二十二条第一款第（五）项所称的重大违法记录；</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color w:val="auto"/>
          <w:sz w:val="24"/>
          <w:szCs w:val="24"/>
          <w:highlight w:val="none"/>
        </w:rPr>
        <w:t>未被法院、市场监管、税务、银行等部门单位纳入失信名单且在有效期内；</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color w:val="auto"/>
          <w:sz w:val="24"/>
          <w:szCs w:val="24"/>
          <w:highlight w:val="none"/>
        </w:rPr>
        <w:t>在一定期限内的（银行可以具体确定）政府采购合同履约过程中或者其他经营活动履约过程中，无不依法履约被有关行政部门行政处罚的或者产生法律纠纷被法院、仲裁机构判决、裁决败诉的；</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color w:val="auto"/>
          <w:sz w:val="24"/>
          <w:szCs w:val="24"/>
          <w:highlight w:val="none"/>
        </w:rPr>
        <w:t>其他银行要求的不属于提供财产抵押或第三方担保的条件。</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四、构建平台</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四川省财政厅将在四川政府采购网统一构建四川省“政采贷”信息化服务平台，推进四川省“政采贷”工作信息化建设。</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五、财金互动</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六、基本流程</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（一）意向申请</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31"/>
        <w:spacing w:before="0" w:beforeAutospacing="0" w:after="0" w:afterAutospacing="0"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（二）正式申请</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（三）贷款审查</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（四）信息报送</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（五）资金支付</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政府采购资金支付过程中，银行需要查询采购资金支付进程有关信息的，财政部门和采购人应当支持。</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七、职责要求</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color w:val="auto"/>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color w:val="auto"/>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color w:val="auto"/>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（四）</w:t>
      </w:r>
      <w:r>
        <w:rPr>
          <w:rFonts w:hint="eastAsia" w:ascii="仿宋" w:hAnsi="仿宋" w:eastAsia="仿宋" w:cs="仿宋"/>
          <w:color w:val="auto"/>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（五）</w:t>
      </w:r>
      <w:r>
        <w:rPr>
          <w:rFonts w:hint="eastAsia" w:ascii="仿宋" w:hAnsi="仿宋" w:eastAsia="仿宋" w:cs="仿宋"/>
          <w:color w:val="auto"/>
          <w:sz w:val="24"/>
          <w:szCs w:val="24"/>
          <w:highlight w:val="none"/>
        </w:rPr>
        <w:t>供应商应当依法参加政府采购活动，公平竞争，诚实守信，严格按照政府采购合同履约，严格按照借款合同偿还债务。</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（六）</w:t>
      </w:r>
      <w:r>
        <w:rPr>
          <w:rFonts w:hint="eastAsia" w:ascii="仿宋" w:hAnsi="仿宋" w:eastAsia="仿宋" w:cs="仿宋"/>
          <w:color w:val="auto"/>
          <w:sz w:val="24"/>
          <w:szCs w:val="24"/>
          <w:highlight w:val="none"/>
        </w:rPr>
        <w:t>财政部门、采购人、采购代理机构及其他有关单位和个人不得违规干预供应商选择“政采贷”银行及其产品，也不得违规干预银行向供应商进行贷款。</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（七）</w:t>
      </w:r>
      <w:r>
        <w:rPr>
          <w:rFonts w:hint="eastAsia" w:ascii="仿宋" w:hAnsi="仿宋" w:eastAsia="仿宋" w:cs="仿宋"/>
          <w:color w:val="auto"/>
          <w:sz w:val="24"/>
          <w:szCs w:val="24"/>
          <w:highlight w:val="none"/>
        </w:rPr>
        <w:t>相关单位和个人在开展“政采贷”工作过程中，发现新问题、新情况或者有意见建议的，请及时向四川省财政厅反馈。</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八、违规处理</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（一）银行违规处理</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（二）供应商违规处理</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31"/>
        <w:spacing w:before="0" w:beforeAutospacing="0" w:after="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（三）其他违规处理</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31"/>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附件：四川省“政采贷”信息统计表</w:t>
      </w:r>
    </w:p>
    <w:p>
      <w:pPr>
        <w:widowControl/>
        <w:spacing w:after="0" w:line="360" w:lineRule="auto"/>
        <w:rPr>
          <w:rFonts w:ascii="仿宋" w:hAnsi="仿宋" w:eastAsia="仿宋" w:cs="仿宋"/>
          <w:b/>
          <w:bCs/>
          <w:color w:val="auto"/>
          <w:sz w:val="24"/>
          <w:highlight w:val="none"/>
        </w:rPr>
      </w:pPr>
      <w:r>
        <w:rPr>
          <w:rFonts w:hint="eastAsia" w:ascii="仿宋" w:hAnsi="仿宋" w:eastAsia="仿宋" w:cs="仿宋"/>
          <w:color w:val="auto"/>
          <w:kern w:val="0"/>
          <w:sz w:val="24"/>
          <w:highlight w:val="none"/>
        </w:rPr>
        <w:drawing>
          <wp:anchor distT="0" distB="0" distL="114300" distR="114300" simplePos="0" relativeHeight="251659264" behindDoc="0" locked="0" layoutInCell="1" allowOverlap="1">
            <wp:simplePos x="0" y="0"/>
            <wp:positionH relativeFrom="column">
              <wp:posOffset>3808095</wp:posOffset>
            </wp:positionH>
            <wp:positionV relativeFrom="paragraph">
              <wp:posOffset>446405</wp:posOffset>
            </wp:positionV>
            <wp:extent cx="1771650" cy="1781175"/>
            <wp:effectExtent l="19050" t="0" r="0" b="0"/>
            <wp:wrapSquare wrapText="bothSides"/>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noChangeArrowheads="1"/>
                    </pic:cNvPicPr>
                  </pic:nvPicPr>
                  <pic:blipFill>
                    <a:blip r:embed="rId15"/>
                    <a:srcRect/>
                    <a:stretch>
                      <a:fillRect/>
                    </a:stretch>
                  </pic:blipFill>
                  <pic:spPr>
                    <a:xfrm>
                      <a:off x="0" y="0"/>
                      <a:ext cx="1771650" cy="1781175"/>
                    </a:xfrm>
                    <a:prstGeom prst="rect">
                      <a:avLst/>
                    </a:prstGeom>
                    <a:noFill/>
                    <a:ln w="9525" cmpd="sng">
                      <a:noFill/>
                      <a:miter lim="800000"/>
                      <a:headEnd/>
                      <a:tailEnd/>
                    </a:ln>
                  </pic:spPr>
                </pic:pic>
              </a:graphicData>
            </a:graphic>
          </wp:anchor>
        </w:drawing>
      </w: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附件二：成都市财政局  中国人民银行成都分行营业管理部关于印发《成都市中小企业政府采购信用融资暂行办法》和《成都市级支持中小企业政府采购信用融资实施方案》的通知（成财采〔2019〕17号）</w:t>
      </w:r>
    </w:p>
    <w:p>
      <w:pPr>
        <w:widowControl/>
        <w:spacing w:after="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查询链接：</w:t>
      </w:r>
      <w:r>
        <w:rPr>
          <w:color w:val="auto"/>
          <w:highlight w:val="none"/>
        </w:rPr>
        <w:fldChar w:fldCharType="begin"/>
      </w:r>
      <w:r>
        <w:rPr>
          <w:color w:val="auto"/>
          <w:highlight w:val="none"/>
        </w:rPr>
        <w:instrText xml:space="preserve"> HYPERLINK "http://cdcz.chengdu.gov.cn/cdsczj/c116726/2019-03/13/content_7d81ae9c2a1e48968c7839a9c5b88ccd.shtml" </w:instrText>
      </w:r>
      <w:r>
        <w:rPr>
          <w:color w:val="auto"/>
          <w:highlight w:val="none"/>
        </w:rPr>
        <w:fldChar w:fldCharType="separate"/>
      </w:r>
      <w:r>
        <w:rPr>
          <w:rStyle w:val="42"/>
          <w:rFonts w:hint="eastAsia" w:ascii="仿宋" w:hAnsi="仿宋" w:eastAsia="仿宋" w:cs="仿宋"/>
          <w:b/>
          <w:bCs/>
          <w:color w:val="auto"/>
          <w:sz w:val="24"/>
          <w:highlight w:val="none"/>
        </w:rPr>
        <w:t>http://cdcz.chengdu.gov.cn/cdsczj/c116726/2019-03/13/content_7d81ae9c2a1e48968c7839a9c5b88ccd.shtml</w:t>
      </w:r>
      <w:r>
        <w:rPr>
          <w:rStyle w:val="42"/>
          <w:rFonts w:hint="eastAsia" w:ascii="仿宋" w:hAnsi="仿宋" w:eastAsia="仿宋" w:cs="仿宋"/>
          <w:b/>
          <w:bCs/>
          <w:color w:val="auto"/>
          <w:sz w:val="24"/>
          <w:highlight w:val="none"/>
        </w:rPr>
        <w:fldChar w:fldCharType="end"/>
      </w:r>
    </w:p>
    <w:p>
      <w:pPr>
        <w:widowControl/>
        <w:spacing w:after="0" w:line="360" w:lineRule="auto"/>
        <w:rPr>
          <w:rFonts w:ascii="仿宋" w:hAnsi="仿宋" w:eastAsia="仿宋" w:cs="仿宋"/>
          <w:b/>
          <w:bCs/>
          <w:color w:val="auto"/>
          <w:sz w:val="24"/>
          <w:highlight w:val="none"/>
        </w:rPr>
      </w:pPr>
    </w:p>
    <w:tbl>
      <w:tblPr>
        <w:tblStyle w:val="34"/>
        <w:tblW w:w="0" w:type="auto"/>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snapToGrid w:val="0"/>
              <w:spacing w:after="0" w:line="360" w:lineRule="auto"/>
              <w:jc w:val="distribute"/>
              <w:rPr>
                <w:rFonts w:ascii="仿宋" w:hAnsi="仿宋" w:eastAsia="仿宋" w:cs="仿宋"/>
                <w:color w:val="auto"/>
                <w:sz w:val="66"/>
                <w:szCs w:val="66"/>
                <w:highlight w:val="none"/>
              </w:rPr>
            </w:pPr>
            <w:r>
              <w:rPr>
                <w:rFonts w:hint="eastAsia" w:ascii="仿宋" w:hAnsi="仿宋" w:eastAsia="仿宋" w:cs="仿宋"/>
                <w:color w:val="auto"/>
                <w:sz w:val="66"/>
                <w:szCs w:val="66"/>
                <w:highlight w:val="none"/>
              </w:rPr>
              <w:t>成都市财政局</w:t>
            </w:r>
          </w:p>
        </w:tc>
        <w:tc>
          <w:tcPr>
            <w:tcW w:w="1580" w:type="dxa"/>
            <w:vMerge w:val="restart"/>
            <w:vAlign w:val="center"/>
          </w:tcPr>
          <w:p>
            <w:pPr>
              <w:snapToGrid w:val="0"/>
              <w:spacing w:after="0" w:line="360" w:lineRule="auto"/>
              <w:jc w:val="center"/>
              <w:rPr>
                <w:rFonts w:ascii="仿宋" w:hAnsi="仿宋" w:eastAsia="仿宋" w:cs="仿宋"/>
                <w:color w:val="auto"/>
                <w:sz w:val="66"/>
                <w:szCs w:val="66"/>
                <w:highlight w:val="none"/>
              </w:rPr>
            </w:pPr>
            <w:r>
              <w:rPr>
                <w:rFonts w:hint="eastAsia" w:ascii="仿宋" w:hAnsi="仿宋" w:eastAsia="仿宋" w:cs="仿宋"/>
                <w:color w:val="auto"/>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snapToGrid w:val="0"/>
              <w:spacing w:after="0" w:line="360" w:lineRule="auto"/>
              <w:jc w:val="distribute"/>
              <w:rPr>
                <w:rFonts w:ascii="仿宋" w:hAnsi="仿宋" w:eastAsia="仿宋" w:cs="仿宋"/>
                <w:color w:val="auto"/>
                <w:spacing w:val="-20"/>
                <w:w w:val="82"/>
                <w:sz w:val="62"/>
                <w:szCs w:val="62"/>
                <w:highlight w:val="none"/>
              </w:rPr>
            </w:pPr>
            <w:r>
              <w:rPr>
                <w:rFonts w:hint="eastAsia" w:ascii="仿宋" w:hAnsi="仿宋" w:eastAsia="仿宋" w:cs="仿宋"/>
                <w:color w:val="auto"/>
                <w:spacing w:val="-20"/>
                <w:w w:val="82"/>
                <w:sz w:val="62"/>
                <w:szCs w:val="62"/>
                <w:highlight w:val="none"/>
              </w:rPr>
              <w:t>中国人民银行成都分行营业管理部</w:t>
            </w:r>
          </w:p>
        </w:tc>
        <w:tc>
          <w:tcPr>
            <w:tcW w:w="1580" w:type="dxa"/>
            <w:vMerge w:val="continue"/>
            <w:vAlign w:val="center"/>
          </w:tcPr>
          <w:p>
            <w:pPr>
              <w:snapToGrid w:val="0"/>
              <w:spacing w:after="0" w:line="360" w:lineRule="auto"/>
              <w:jc w:val="center"/>
              <w:rPr>
                <w:rFonts w:ascii="仿宋" w:hAnsi="仿宋" w:eastAsia="仿宋" w:cs="仿宋"/>
                <w:color w:val="auto"/>
                <w:sz w:val="66"/>
                <w:szCs w:val="66"/>
                <w:highlight w:val="none"/>
              </w:rPr>
            </w:pPr>
          </w:p>
        </w:tc>
      </w:tr>
    </w:tbl>
    <w:p>
      <w:pPr>
        <w:snapToGrid w:val="0"/>
        <w:spacing w:after="0" w:line="360" w:lineRule="auto"/>
        <w:jc w:val="center"/>
        <w:rPr>
          <w:rFonts w:ascii="仿宋" w:hAnsi="仿宋" w:eastAsia="仿宋" w:cs="仿宋"/>
          <w:color w:val="auto"/>
          <w:highlight w:val="none"/>
        </w:rPr>
      </w:pPr>
    </w:p>
    <w:p>
      <w:pPr>
        <w:spacing w:after="0" w:line="360" w:lineRule="auto"/>
        <w:jc w:val="center"/>
        <w:rPr>
          <w:rFonts w:ascii="仿宋" w:hAnsi="仿宋" w:eastAsia="仿宋" w:cs="仿宋"/>
          <w:color w:val="auto"/>
          <w:highlight w:val="none"/>
        </w:rPr>
      </w:pPr>
      <w:r>
        <w:rPr>
          <w:rFonts w:ascii="仿宋" w:hAnsi="仿宋" w:eastAsia="仿宋" w:cs="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320675</wp:posOffset>
                </wp:positionV>
                <wp:extent cx="5618480" cy="0"/>
                <wp:effectExtent l="0" t="9525" r="1270" b="9525"/>
                <wp:wrapNone/>
                <wp:docPr id="10" name="直接连接符 3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39" o:spid="_x0000_s1026" o:spt="20" style="position:absolute;left:0pt;margin-left:0pt;margin-top:25.25pt;height:0pt;width:442.4pt;z-index:251660288;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O/uPvWAAAABgEAAA8AAAAAAAAAAQAgAAAAIgAAAGRycy9kb3ducmV2LnhtbFBLAQIU&#10;ABQAAAAIAIdO4kBXH8sY9QEAAOkDAAAOAAAAAAAAAAEAIAAAACUBAABkcnMvZTJvRG9jLnhtbFBL&#10;BQYAAAAABgAGAFkBAACMBQAAAAA=&#10;">
                <v:fill on="f" focussize="0,0"/>
                <v:stroke weight="1.5pt" color="#FF0000" joinstyle="round"/>
                <v:imagedata o:title=""/>
                <o:lock v:ext="edit" aspectratio="f"/>
              </v:line>
            </w:pict>
          </mc:Fallback>
        </mc:AlternateContent>
      </w:r>
      <w:r>
        <w:rPr>
          <w:rFonts w:hint="eastAsia" w:ascii="仿宋" w:hAnsi="仿宋" w:eastAsia="仿宋" w:cs="仿宋"/>
          <w:color w:val="auto"/>
          <w:highlight w:val="none"/>
        </w:rPr>
        <w:t>成财采〔2019〕17号</w:t>
      </w:r>
    </w:p>
    <w:p>
      <w:pPr>
        <w:topLinePunct/>
        <w:spacing w:after="0" w:line="360" w:lineRule="auto"/>
        <w:jc w:val="center"/>
        <w:rPr>
          <w:rFonts w:ascii="仿宋" w:hAnsi="仿宋" w:eastAsia="仿宋" w:cs="仿宋"/>
          <w:color w:val="auto"/>
          <w:highlight w:val="none"/>
        </w:rPr>
      </w:pPr>
    </w:p>
    <w:p>
      <w:pPr>
        <w:topLinePunct/>
        <w:snapToGrid w:val="0"/>
        <w:spacing w:after="0" w:line="360" w:lineRule="auto"/>
        <w:jc w:val="center"/>
        <w:rPr>
          <w:rFonts w:ascii="仿宋" w:hAnsi="仿宋" w:eastAsia="仿宋" w:cs="仿宋"/>
          <w:color w:val="auto"/>
          <w:spacing w:val="-18"/>
          <w:sz w:val="40"/>
          <w:szCs w:val="44"/>
          <w:highlight w:val="none"/>
        </w:rPr>
      </w:pPr>
      <w:bookmarkStart w:id="448" w:name="_Toc8510_WPSOffice_Level1"/>
      <w:r>
        <w:rPr>
          <w:rFonts w:hint="eastAsia" w:ascii="仿宋" w:hAnsi="仿宋" w:eastAsia="仿宋" w:cs="仿宋"/>
          <w:color w:val="auto"/>
          <w:spacing w:val="-18"/>
          <w:sz w:val="40"/>
          <w:szCs w:val="44"/>
          <w:highlight w:val="none"/>
        </w:rPr>
        <w:t>成都市财政局  中国人民银行成都分行营业管理部</w:t>
      </w:r>
      <w:bookmarkEnd w:id="448"/>
    </w:p>
    <w:p>
      <w:pPr>
        <w:topLinePunct/>
        <w:snapToGrid w:val="0"/>
        <w:spacing w:after="0" w:line="360" w:lineRule="auto"/>
        <w:jc w:val="center"/>
        <w:rPr>
          <w:rFonts w:ascii="仿宋" w:hAnsi="仿宋" w:eastAsia="仿宋" w:cs="仿宋"/>
          <w:color w:val="auto"/>
          <w:sz w:val="40"/>
          <w:szCs w:val="44"/>
          <w:highlight w:val="none"/>
        </w:rPr>
      </w:pPr>
      <w:bookmarkStart w:id="449" w:name="_Toc7584_WPSOffice_Level1"/>
      <w:r>
        <w:rPr>
          <w:rFonts w:hint="eastAsia" w:ascii="仿宋" w:hAnsi="仿宋" w:eastAsia="仿宋" w:cs="仿宋"/>
          <w:color w:val="auto"/>
          <w:sz w:val="40"/>
          <w:szCs w:val="44"/>
          <w:highlight w:val="none"/>
        </w:rPr>
        <w:t>关于印发《成都市中小企业政府采购信用融资</w:t>
      </w:r>
      <w:bookmarkEnd w:id="449"/>
    </w:p>
    <w:p>
      <w:pPr>
        <w:topLinePunct/>
        <w:snapToGrid w:val="0"/>
        <w:spacing w:after="0" w:line="360" w:lineRule="auto"/>
        <w:jc w:val="center"/>
        <w:rPr>
          <w:rFonts w:ascii="仿宋" w:hAnsi="仿宋" w:eastAsia="仿宋" w:cs="仿宋"/>
          <w:color w:val="auto"/>
          <w:sz w:val="40"/>
          <w:szCs w:val="44"/>
          <w:highlight w:val="none"/>
        </w:rPr>
      </w:pPr>
      <w:bookmarkStart w:id="450" w:name="_Toc10694_WPSOffice_Level1"/>
      <w:r>
        <w:rPr>
          <w:rFonts w:hint="eastAsia" w:ascii="仿宋" w:hAnsi="仿宋" w:eastAsia="仿宋" w:cs="仿宋"/>
          <w:color w:val="auto"/>
          <w:sz w:val="40"/>
          <w:szCs w:val="44"/>
          <w:highlight w:val="none"/>
        </w:rPr>
        <w:t>暂行办法》和《成都市级支持中小企业</w:t>
      </w:r>
      <w:bookmarkEnd w:id="450"/>
    </w:p>
    <w:p>
      <w:pPr>
        <w:topLinePunct/>
        <w:snapToGrid w:val="0"/>
        <w:spacing w:after="0" w:line="360" w:lineRule="auto"/>
        <w:jc w:val="center"/>
        <w:rPr>
          <w:rFonts w:ascii="仿宋" w:hAnsi="仿宋" w:eastAsia="仿宋" w:cs="仿宋"/>
          <w:color w:val="auto"/>
          <w:sz w:val="40"/>
          <w:szCs w:val="44"/>
          <w:highlight w:val="none"/>
        </w:rPr>
      </w:pPr>
      <w:bookmarkStart w:id="451" w:name="_Toc3298_WPSOffice_Level1"/>
      <w:r>
        <w:rPr>
          <w:rFonts w:hint="eastAsia" w:ascii="仿宋" w:hAnsi="仿宋" w:eastAsia="仿宋" w:cs="仿宋"/>
          <w:color w:val="auto"/>
          <w:sz w:val="40"/>
          <w:szCs w:val="44"/>
          <w:highlight w:val="none"/>
        </w:rPr>
        <w:t>政府采购信用融资实施方案》的通知</w:t>
      </w:r>
      <w:bookmarkEnd w:id="451"/>
    </w:p>
    <w:p>
      <w:pPr>
        <w:spacing w:after="0" w:line="360" w:lineRule="auto"/>
        <w:jc w:val="center"/>
        <w:rPr>
          <w:rFonts w:ascii="仿宋" w:hAnsi="仿宋" w:eastAsia="仿宋" w:cs="仿宋"/>
          <w:color w:val="auto"/>
          <w:highlight w:val="none"/>
        </w:rPr>
      </w:pPr>
    </w:p>
    <w:p>
      <w:pPr>
        <w:widowControl/>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成都天府新区、高新区财政金融局，各区（市）县财政局，市级各部门、单位，各银行业金融机构：</w:t>
      </w:r>
    </w:p>
    <w:p>
      <w:pPr>
        <w:widowControl/>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一、高度重视、迅速行动</w:t>
      </w:r>
    </w:p>
    <w:p>
      <w:pPr>
        <w:widowControl/>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二、明确责任、压茬推进</w:t>
      </w:r>
    </w:p>
    <w:p>
      <w:pPr>
        <w:widowControl/>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三、优化服务、营造氛围</w:t>
      </w:r>
    </w:p>
    <w:p>
      <w:pPr>
        <w:widowControl/>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spacing w:after="0" w:line="360" w:lineRule="auto"/>
        <w:ind w:firstLine="480" w:firstLineChars="200"/>
        <w:rPr>
          <w:rFonts w:ascii="仿宋" w:hAnsi="仿宋" w:eastAsia="仿宋" w:cs="仿宋"/>
          <w:color w:val="auto"/>
          <w:sz w:val="24"/>
          <w:highlight w:val="none"/>
        </w:rPr>
      </w:pPr>
    </w:p>
    <w:p>
      <w:pPr>
        <w:widowControl/>
        <w:spacing w:after="0" w:line="360" w:lineRule="auto"/>
        <w:ind w:firstLine="480" w:firstLineChars="200"/>
        <w:rPr>
          <w:rFonts w:ascii="仿宋" w:hAnsi="仿宋" w:eastAsia="仿宋" w:cs="仿宋"/>
          <w:color w:val="auto"/>
          <w:sz w:val="24"/>
          <w:highlight w:val="none"/>
        </w:rPr>
      </w:pPr>
      <w:bookmarkStart w:id="452" w:name="_Toc27291_WPSOffice_Level1"/>
      <w:r>
        <w:rPr>
          <w:rFonts w:hint="eastAsia" w:ascii="仿宋" w:hAnsi="仿宋" w:eastAsia="仿宋" w:cs="仿宋"/>
          <w:color w:val="auto"/>
          <w:sz w:val="24"/>
          <w:highlight w:val="none"/>
        </w:rPr>
        <w:t>附件：1．成都市中小企业政府采购信用融资暂行办法</w:t>
      </w:r>
      <w:bookmarkEnd w:id="452"/>
    </w:p>
    <w:p>
      <w:pPr>
        <w:widowControl/>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2．成都市级支持中小企业政府采购信用融资实施方案</w:t>
      </w:r>
    </w:p>
    <w:p>
      <w:pPr>
        <w:pStyle w:val="13"/>
        <w:widowControl/>
        <w:topLinePunct/>
        <w:spacing w:after="0" w:line="360" w:lineRule="auto"/>
        <w:ind w:firstLine="0"/>
        <w:rPr>
          <w:rFonts w:ascii="仿宋" w:hAnsi="仿宋" w:eastAsia="仿宋" w:cs="仿宋"/>
          <w:color w:val="auto"/>
          <w:sz w:val="24"/>
          <w:szCs w:val="24"/>
          <w:highlight w:val="none"/>
        </w:rPr>
      </w:pPr>
    </w:p>
    <w:p>
      <w:pPr>
        <w:pStyle w:val="13"/>
        <w:widowControl/>
        <w:topLinePunct/>
        <w:spacing w:after="0" w:line="360" w:lineRule="auto"/>
        <w:ind w:firstLine="480" w:firstLineChars="200"/>
        <w:rPr>
          <w:rFonts w:ascii="仿宋" w:hAnsi="仿宋" w:eastAsia="仿宋" w:cs="仿宋"/>
          <w:color w:val="auto"/>
          <w:sz w:val="24"/>
          <w:szCs w:val="24"/>
          <w:highlight w:val="none"/>
        </w:rPr>
      </w:pPr>
    </w:p>
    <w:p>
      <w:pPr>
        <w:widowControl/>
        <w:tabs>
          <w:tab w:val="left" w:pos="7584"/>
        </w:tabs>
        <w:topLinePunct/>
        <w:spacing w:after="0" w:line="360" w:lineRule="auto"/>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成都市财政局         中国人民银行成都分行营业管理部</w:t>
      </w:r>
    </w:p>
    <w:p>
      <w:pPr>
        <w:widowControl/>
        <w:tabs>
          <w:tab w:val="left" w:pos="7584"/>
        </w:tabs>
        <w:topLinePunct/>
        <w:spacing w:after="0" w:line="360" w:lineRule="auto"/>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2019年2月26日</w:t>
      </w:r>
    </w:p>
    <w:p>
      <w:pPr>
        <w:spacing w:after="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topLinePunct/>
        <w:spacing w:after="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附件1</w:t>
      </w:r>
    </w:p>
    <w:p>
      <w:pPr>
        <w:topLinePunct/>
        <w:spacing w:after="0" w:line="360" w:lineRule="auto"/>
        <w:rPr>
          <w:rFonts w:ascii="仿宋" w:hAnsi="仿宋" w:eastAsia="仿宋" w:cs="仿宋"/>
          <w:color w:val="auto"/>
          <w:sz w:val="24"/>
          <w:highlight w:val="none"/>
        </w:rPr>
      </w:pPr>
    </w:p>
    <w:p>
      <w:pPr>
        <w:topLinePunct/>
        <w:snapToGrid w:val="0"/>
        <w:spacing w:after="0" w:line="360" w:lineRule="auto"/>
        <w:jc w:val="center"/>
        <w:rPr>
          <w:rFonts w:ascii="仿宋" w:hAnsi="仿宋" w:eastAsia="仿宋" w:cs="仿宋"/>
          <w:color w:val="auto"/>
          <w:sz w:val="24"/>
          <w:highlight w:val="none"/>
        </w:rPr>
      </w:pPr>
      <w:bookmarkStart w:id="453" w:name="_Toc9017_WPSOffice_Level1"/>
      <w:r>
        <w:rPr>
          <w:rFonts w:hint="eastAsia" w:ascii="仿宋" w:hAnsi="仿宋" w:eastAsia="仿宋" w:cs="仿宋"/>
          <w:color w:val="auto"/>
          <w:sz w:val="24"/>
          <w:highlight w:val="none"/>
        </w:rPr>
        <w:t>成都市中小企业政府采购信用融资暂行办法</w:t>
      </w:r>
      <w:bookmarkEnd w:id="453"/>
    </w:p>
    <w:p>
      <w:pPr>
        <w:topLinePunct/>
        <w:spacing w:after="0" w:line="360" w:lineRule="auto"/>
        <w:jc w:val="center"/>
        <w:rPr>
          <w:rFonts w:ascii="仿宋" w:hAnsi="仿宋" w:eastAsia="仿宋" w:cs="仿宋"/>
          <w:color w:val="auto"/>
          <w:sz w:val="24"/>
          <w:highlight w:val="none"/>
        </w:rPr>
      </w:pPr>
      <w:bookmarkStart w:id="454" w:name="_Toc3891_WPSOffice_Level1"/>
      <w:r>
        <w:rPr>
          <w:rFonts w:hint="eastAsia" w:ascii="仿宋" w:hAnsi="仿宋" w:eastAsia="仿宋" w:cs="仿宋"/>
          <w:color w:val="auto"/>
          <w:sz w:val="24"/>
          <w:highlight w:val="none"/>
        </w:rPr>
        <w:t>第一章  总  则</w:t>
      </w:r>
      <w:bookmarkEnd w:id="454"/>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第一条（政策依据）</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第二条（适用范围）</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成都市行政区域内政府采购信用融资适用本办法。</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第三条（术语定义）</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本办法所称政府采购信用融资，是指融资机构以信用审查为基础，依据政府采购合同，按相应的优惠政策向申请融资的中小企业（以下简称供应商）提供资金支持的融资模式。</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本办法所称融资机构，是指在成都市属地注册或设立分支机构，有意向按照本办法开展政府采购信用融资业务，经同级财政部门确定的银行机构。</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本办法所称中小企业，包括中型、小型及微型企业，其划型标准按照国家相关规定执行。</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第四条（基本原则）</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政府采购信用融资工作坚持政府引导、市场主导，自愿选择、自担风险，诚实信用、互惠共赢的原则，切实发挥市场在资源配置中的决定性作用。</w:t>
      </w:r>
    </w:p>
    <w:p>
      <w:pPr>
        <w:topLinePunct/>
        <w:spacing w:after="0" w:line="360" w:lineRule="auto"/>
        <w:ind w:firstLine="480" w:firstLineChars="200"/>
        <w:jc w:val="center"/>
        <w:rPr>
          <w:rFonts w:ascii="仿宋" w:hAnsi="仿宋" w:eastAsia="仿宋" w:cs="仿宋"/>
          <w:color w:val="auto"/>
          <w:sz w:val="24"/>
          <w:highlight w:val="none"/>
        </w:rPr>
      </w:pPr>
      <w:bookmarkStart w:id="455" w:name="_Toc10295_WPSOffice_Level1"/>
      <w:r>
        <w:rPr>
          <w:rFonts w:hint="eastAsia" w:ascii="仿宋" w:hAnsi="仿宋" w:eastAsia="仿宋" w:cs="仿宋"/>
          <w:color w:val="auto"/>
          <w:sz w:val="24"/>
          <w:highlight w:val="none"/>
        </w:rPr>
        <w:t>第二章  融资优惠</w:t>
      </w:r>
      <w:bookmarkEnd w:id="455"/>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第五条（融资方式）</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供应商无需提供财产抵押或第三方担保，凭借政府采购合同向融资机构申请融资，融资机构根据其授信政策为供应商提供信用贷款。</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第六条（融资额度）</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融资额度原则上不超过政府采购合同金额。</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第七条（融资利率）</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融资机构向供应商提供融资的利率应低于同期一般中小企业的贷款利率。融资利率上浮比例原则上不超过中国人民银行公布的同期贷款基准利率的30%。</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第八条（融资期限）</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融资期限原则上与政府采购合同履行期限一致。</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第九条（融资效率）</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第十条（融资业务升级）</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对履约记录良好、诚信资质高的供应商，融资机构应当在授信额度、融资审查、融资利率等方面给予更大支持，促进供应商依法诚信经营。</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第十一条（贷款风险补贴）</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spacing w:after="0" w:line="360" w:lineRule="auto"/>
        <w:ind w:firstLine="480" w:firstLineChars="200"/>
        <w:jc w:val="center"/>
        <w:rPr>
          <w:rFonts w:ascii="仿宋" w:hAnsi="仿宋" w:eastAsia="仿宋" w:cs="仿宋"/>
          <w:color w:val="auto"/>
          <w:sz w:val="24"/>
          <w:highlight w:val="none"/>
        </w:rPr>
      </w:pPr>
      <w:bookmarkStart w:id="456" w:name="_Toc11015_WPSOffice_Level1"/>
      <w:r>
        <w:rPr>
          <w:rFonts w:hint="eastAsia" w:ascii="仿宋" w:hAnsi="仿宋" w:eastAsia="仿宋" w:cs="仿宋"/>
          <w:color w:val="auto"/>
          <w:sz w:val="24"/>
          <w:highlight w:val="none"/>
        </w:rPr>
        <w:t>第三章  融资流程</w:t>
      </w:r>
      <w:bookmarkEnd w:id="456"/>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第十二条（融资流程）</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（一）信息发布。采购人应当在发布的采购公告和采购文件中载明采购项目可提供信用融资的信息。</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（二）融资申请。有融资需求的供应商自主选择提供政府采购信用融资服务的融资机构及产品，并按要求提供申请资料。</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（三）融资审查。融资机构对供应商的融资申请进行审查，并向供应商反馈审查及融资额度等情况。</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（四）账户确认。供应商须在合作融资机构开立结算账户，并与采购人在政府采购合同中或通过签订补充协议的方式约定唯一收款账户，融资机构对唯一收款账户进行确认和锁定。</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（五）放款。融资机构对政府采购合同及融资相关信息进行确认，并向供应商提供相应的融资产品。</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（六）贷款归还。采购人按相关规定和合同约定将合同资金支付至约定的唯一收款账户。</w:t>
      </w:r>
    </w:p>
    <w:p>
      <w:pPr>
        <w:topLinePunct/>
        <w:spacing w:after="0" w:line="360" w:lineRule="auto"/>
        <w:ind w:firstLine="480" w:firstLineChars="200"/>
        <w:jc w:val="center"/>
        <w:rPr>
          <w:rFonts w:ascii="仿宋" w:hAnsi="仿宋" w:eastAsia="仿宋" w:cs="仿宋"/>
          <w:color w:val="auto"/>
          <w:sz w:val="24"/>
          <w:highlight w:val="none"/>
        </w:rPr>
      </w:pPr>
      <w:bookmarkStart w:id="457" w:name="_Toc19188_WPSOffice_Level1"/>
      <w:r>
        <w:rPr>
          <w:rFonts w:hint="eastAsia" w:ascii="仿宋" w:hAnsi="仿宋" w:eastAsia="仿宋" w:cs="仿宋"/>
          <w:color w:val="auto"/>
          <w:sz w:val="24"/>
          <w:highlight w:val="none"/>
        </w:rPr>
        <w:t>第四章  职责分工</w:t>
      </w:r>
      <w:bookmarkEnd w:id="457"/>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第十三条（财政部门职责）</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第十四条（融资机构主管部门职责）</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引导融资机构依法依规开展政府采购信用融资。推动成都市政府采购监督管理系统与中征应收账款融资服务平台直联，实现政府采购信用融资线上办理，加强与财政部门的信息共享。</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第十五条（采购人职责）</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第十六条（融资机构职责）</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第十七条（供应商职责）</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spacing w:after="0" w:line="360" w:lineRule="auto"/>
        <w:ind w:firstLine="480" w:firstLineChars="200"/>
        <w:jc w:val="center"/>
        <w:rPr>
          <w:rFonts w:ascii="仿宋" w:hAnsi="仿宋" w:eastAsia="仿宋" w:cs="仿宋"/>
          <w:color w:val="auto"/>
          <w:sz w:val="24"/>
          <w:highlight w:val="none"/>
        </w:rPr>
      </w:pPr>
      <w:bookmarkStart w:id="458" w:name="_Toc31814_WPSOffice_Level1"/>
      <w:r>
        <w:rPr>
          <w:rFonts w:hint="eastAsia" w:ascii="仿宋" w:hAnsi="仿宋" w:eastAsia="仿宋" w:cs="仿宋"/>
          <w:color w:val="auto"/>
          <w:sz w:val="24"/>
          <w:highlight w:val="none"/>
        </w:rPr>
        <w:t>第五章 监督管理</w:t>
      </w:r>
      <w:bookmarkEnd w:id="458"/>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第十八条（采购人监管）</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采购人不执行政府采购信用融资政策，或不正当干预供应商选择合作融资机构，或无故拖延和拒付采购资金的，财政部门视情节进行约谈、通报直至暂停拨付财政资金。</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第十九条（融资机构监管）</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融资机构违反规定开展政府采购信用融资业务，对政府采购造成负面影响的，财政部门视情节取消其参与政府采购信用融资的业务权限。</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第二十条（供应商监管）</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第二十一条</w:t>
      </w:r>
      <w:bookmarkStart w:id="459" w:name="BM24558847_25425864_3"/>
      <w:bookmarkEnd w:id="459"/>
      <w:r>
        <w:rPr>
          <w:rFonts w:hint="eastAsia" w:ascii="仿宋" w:hAnsi="仿宋" w:eastAsia="仿宋" w:cs="仿宋"/>
          <w:color w:val="auto"/>
          <w:sz w:val="24"/>
          <w:highlight w:val="none"/>
        </w:rPr>
        <w:t>（相关单位及工作人员监管）</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各相关单位及其工作人员在履行职责中存在滥用职权、玩忽职守、徇私舞弊等违法违纪行为的，依照有关规定处理，涉嫌犯罪的，移送司法机关处理。</w:t>
      </w:r>
    </w:p>
    <w:p>
      <w:pPr>
        <w:topLinePunct/>
        <w:spacing w:after="0" w:line="360" w:lineRule="auto"/>
        <w:ind w:firstLine="480" w:firstLineChars="200"/>
        <w:jc w:val="center"/>
        <w:rPr>
          <w:rFonts w:ascii="仿宋" w:hAnsi="仿宋" w:eastAsia="仿宋" w:cs="仿宋"/>
          <w:color w:val="auto"/>
          <w:sz w:val="24"/>
          <w:highlight w:val="none"/>
        </w:rPr>
      </w:pPr>
      <w:bookmarkStart w:id="460" w:name="_Toc22129_WPSOffice_Level1"/>
      <w:r>
        <w:rPr>
          <w:rFonts w:hint="eastAsia" w:ascii="仿宋" w:hAnsi="仿宋" w:eastAsia="仿宋" w:cs="仿宋"/>
          <w:color w:val="auto"/>
          <w:sz w:val="24"/>
          <w:highlight w:val="none"/>
        </w:rPr>
        <w:t>第六章  附  则</w:t>
      </w:r>
      <w:bookmarkEnd w:id="460"/>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第二十二条（解释相关）</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本办法由市财政局会同中国人民银行成都分行营业管理部负责解释。</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第二十三条（施行相关）</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本办法自印发之日起施行。市财政局、市金融办2013年12月9日印发的《关于开展中小企业政府采购信用担保及融资试点工作的通知》（成财采〔2013〕200号）同时废止。</w:t>
      </w:r>
    </w:p>
    <w:p>
      <w:pPr>
        <w:spacing w:after="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topLinePunct/>
        <w:spacing w:after="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附件2</w:t>
      </w:r>
    </w:p>
    <w:p>
      <w:pPr>
        <w:topLinePunct/>
        <w:spacing w:after="0" w:line="360" w:lineRule="auto"/>
        <w:ind w:firstLine="480" w:firstLineChars="200"/>
        <w:rPr>
          <w:rFonts w:ascii="仿宋" w:hAnsi="仿宋" w:eastAsia="仿宋" w:cs="仿宋"/>
          <w:color w:val="auto"/>
          <w:sz w:val="24"/>
          <w:highlight w:val="none"/>
        </w:rPr>
      </w:pPr>
    </w:p>
    <w:p>
      <w:pPr>
        <w:topLinePunct/>
        <w:snapToGrid w:val="0"/>
        <w:spacing w:after="0" w:line="360" w:lineRule="auto"/>
        <w:jc w:val="center"/>
        <w:rPr>
          <w:rFonts w:ascii="仿宋" w:hAnsi="仿宋" w:eastAsia="仿宋" w:cs="仿宋"/>
          <w:color w:val="auto"/>
          <w:sz w:val="24"/>
          <w:highlight w:val="none"/>
        </w:rPr>
      </w:pPr>
      <w:bookmarkStart w:id="461" w:name="_Toc22840_WPSOffice_Level1"/>
      <w:r>
        <w:rPr>
          <w:rFonts w:hint="eastAsia" w:ascii="仿宋" w:hAnsi="仿宋" w:eastAsia="仿宋" w:cs="仿宋"/>
          <w:color w:val="auto"/>
          <w:sz w:val="24"/>
          <w:highlight w:val="none"/>
        </w:rPr>
        <w:t>成都市级支持中小企业政府采购</w:t>
      </w:r>
      <w:bookmarkEnd w:id="461"/>
    </w:p>
    <w:p>
      <w:pPr>
        <w:topLinePunct/>
        <w:snapToGrid w:val="0"/>
        <w:spacing w:after="0" w:line="360" w:lineRule="auto"/>
        <w:jc w:val="center"/>
        <w:rPr>
          <w:rFonts w:ascii="仿宋" w:hAnsi="仿宋" w:eastAsia="仿宋" w:cs="仿宋"/>
          <w:color w:val="auto"/>
          <w:sz w:val="24"/>
          <w:highlight w:val="none"/>
        </w:rPr>
      </w:pPr>
      <w:bookmarkStart w:id="462" w:name="_Toc18942_WPSOffice_Level1"/>
      <w:r>
        <w:rPr>
          <w:rFonts w:hint="eastAsia" w:ascii="仿宋" w:hAnsi="仿宋" w:eastAsia="仿宋" w:cs="仿宋"/>
          <w:color w:val="auto"/>
          <w:sz w:val="24"/>
          <w:highlight w:val="none"/>
        </w:rPr>
        <w:t>信用融资实施方案</w:t>
      </w:r>
      <w:bookmarkEnd w:id="462"/>
    </w:p>
    <w:p>
      <w:pPr>
        <w:topLinePunct/>
        <w:spacing w:after="0" w:line="360" w:lineRule="auto"/>
        <w:ind w:firstLine="480" w:firstLineChars="200"/>
        <w:rPr>
          <w:rFonts w:ascii="仿宋" w:hAnsi="仿宋" w:eastAsia="仿宋" w:cs="仿宋"/>
          <w:color w:val="auto"/>
          <w:sz w:val="24"/>
          <w:highlight w:val="none"/>
        </w:rPr>
      </w:pP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一、目标任务</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二、适用范围</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本《实施方案》适用于成都市本级政府采购信用融资工作。</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三、基本原则 </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四、组织实施</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（一）宣传动员</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（二）融资机构选择</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（1）融资机构基本情况；</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（2）政府采购信用融资实施方案（包括授信政策、融资产品、贷款利率及其它优惠措施、业务流程及各环节办结时间、联系方式等）；</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（3）关于遵照《暂行办法》和《实施方案》开展政府采购信用融资业务的承诺；</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（4）关于政府采购信用融资业务风险及系统对接研发费用自行承担的承诺。</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2．系统对接。融资机构成功报名后，须按要求完成政府采购信用融资业务与成都市政府采购监督管理系统的技术对接。</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3．确定融资机构。市财政局将完成系统对接的融资机构确定为我市开展政府采购信用融资业务的融资机构，并在成都市政府采购监督管理系统集中展示，为供应商开展融资提供指引。</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（三）其他事项</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五、相关要求</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（一）加强组织领导。</w:t>
      </w:r>
      <w:r>
        <w:rPr>
          <w:rFonts w:hint="eastAsia" w:ascii="仿宋" w:hAnsi="仿宋" w:eastAsia="仿宋" w:cs="仿宋"/>
          <w:color w:val="auto"/>
          <w:kern w:val="0"/>
          <w:sz w:val="24"/>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仿宋" w:hAnsi="仿宋" w:eastAsia="仿宋" w:cs="仿宋"/>
          <w:color w:val="auto"/>
          <w:sz w:val="24"/>
          <w:highlight w:val="none"/>
        </w:rPr>
        <w:t>全面、有序、科学推进政府采购信用融资工作。</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（二）注重协调配合。</w:t>
      </w:r>
      <w:r>
        <w:rPr>
          <w:rFonts w:hint="eastAsia" w:ascii="仿宋" w:hAnsi="仿宋" w:eastAsia="仿宋" w:cs="仿宋"/>
          <w:color w:val="auto"/>
          <w:kern w:val="0"/>
          <w:sz w:val="24"/>
          <w:highlight w:val="none"/>
        </w:rPr>
        <w:t>市财政局、中国人民银行成都分行营业管理部及采购人</w:t>
      </w:r>
      <w:r>
        <w:rPr>
          <w:rFonts w:hint="eastAsia" w:ascii="仿宋" w:hAnsi="仿宋" w:eastAsia="仿宋" w:cs="仿宋"/>
          <w:color w:val="auto"/>
          <w:sz w:val="24"/>
          <w:highlight w:val="none"/>
        </w:rPr>
        <w:t>等有关单位要根据职责任务，及时协调解决工作中遇到的困难和问题，积极</w:t>
      </w:r>
      <w:r>
        <w:rPr>
          <w:rFonts w:hint="eastAsia" w:ascii="仿宋" w:hAnsi="仿宋" w:eastAsia="仿宋" w:cs="仿宋"/>
          <w:color w:val="auto"/>
          <w:kern w:val="0"/>
          <w:sz w:val="24"/>
          <w:highlight w:val="none"/>
        </w:rPr>
        <w:t>创造条件主动服务，帮助有融资需求、符合条件的供应商实现政府采购信用融资，促进中小企业又好又快发展</w:t>
      </w:r>
      <w:r>
        <w:rPr>
          <w:rFonts w:hint="eastAsia" w:ascii="仿宋" w:hAnsi="仿宋" w:eastAsia="仿宋" w:cs="仿宋"/>
          <w:color w:val="auto"/>
          <w:sz w:val="24"/>
          <w:highlight w:val="none"/>
        </w:rPr>
        <w:t>。</w:t>
      </w:r>
    </w:p>
    <w:p>
      <w:pPr>
        <w:topLinePunct/>
        <w:spacing w:after="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topLinePunct/>
        <w:spacing w:after="0" w:line="360" w:lineRule="auto"/>
        <w:jc w:val="left"/>
        <w:rPr>
          <w:rFonts w:ascii="仿宋" w:hAnsi="仿宋" w:eastAsia="仿宋" w:cs="仿宋"/>
          <w:b/>
          <w:bCs/>
          <w:color w:val="auto"/>
          <w:sz w:val="28"/>
          <w:szCs w:val="36"/>
          <w:highlight w:val="none"/>
        </w:rPr>
        <w:sectPr>
          <w:pgSz w:w="11906" w:h="16838"/>
          <w:pgMar w:top="1440" w:right="1800" w:bottom="1440" w:left="1800" w:header="851" w:footer="992" w:gutter="0"/>
          <w:pgNumType w:fmt="decimal"/>
          <w:cols w:space="720" w:num="1"/>
          <w:docGrid w:type="lines" w:linePitch="319" w:charSpace="0"/>
        </w:sectPr>
      </w:pPr>
    </w:p>
    <w:p>
      <w:pPr>
        <w:spacing w:after="0" w:line="360" w:lineRule="auto"/>
        <w:outlineLvl w:val="1"/>
        <w:rPr>
          <w:rFonts w:ascii="仿宋" w:hAnsi="仿宋" w:eastAsia="仿宋" w:cs="仿宋"/>
          <w:b/>
          <w:bCs/>
          <w:color w:val="auto"/>
          <w:sz w:val="24"/>
          <w:szCs w:val="32"/>
          <w:highlight w:val="none"/>
        </w:rPr>
      </w:pPr>
      <w:bookmarkStart w:id="463" w:name="_Toc17800_WPSOffice_Level1"/>
      <w:r>
        <w:rPr>
          <w:rFonts w:hint="eastAsia" w:ascii="仿宋" w:hAnsi="仿宋" w:eastAsia="仿宋" w:cs="仿宋"/>
          <w:b/>
          <w:bCs/>
          <w:color w:val="auto"/>
          <w:sz w:val="24"/>
          <w:szCs w:val="32"/>
          <w:highlight w:val="none"/>
        </w:rPr>
        <w:t>附件三：政府采购云平台使用介绍</w:t>
      </w:r>
      <w:bookmarkEnd w:id="463"/>
    </w:p>
    <w:p>
      <w:pPr>
        <w:spacing w:after="0" w:line="360" w:lineRule="auto"/>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1.输入网址：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42"/>
          <w:rFonts w:hint="eastAsia" w:ascii="仿宋" w:hAnsi="仿宋" w:eastAsia="仿宋" w:cs="仿宋"/>
          <w:b/>
          <w:bCs/>
          <w:color w:val="auto"/>
          <w:sz w:val="24"/>
          <w:szCs w:val="32"/>
          <w:highlight w:val="none"/>
        </w:rPr>
        <w:t>https://www.zcygov.cn</w:t>
      </w:r>
      <w:r>
        <w:rPr>
          <w:rStyle w:val="42"/>
          <w:rFonts w:hint="eastAsia" w:ascii="仿宋" w:hAnsi="仿宋" w:eastAsia="仿宋" w:cs="仿宋"/>
          <w:b/>
          <w:bCs/>
          <w:color w:val="auto"/>
          <w:sz w:val="24"/>
          <w:szCs w:val="32"/>
          <w:highlight w:val="none"/>
        </w:rPr>
        <w:fldChar w:fldCharType="end"/>
      </w:r>
    </w:p>
    <w:p>
      <w:pPr>
        <w:spacing w:after="0" w:line="360" w:lineRule="auto"/>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2.选择与项目对应的行政区域如：四川省-成都市-成都市本级</w:t>
      </w: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drawing>
          <wp:inline distT="0" distB="0" distL="0" distR="0">
            <wp:extent cx="6694170" cy="418401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6"/>
                    <a:srcRect/>
                    <a:stretch>
                      <a:fillRect/>
                    </a:stretch>
                  </pic:blipFill>
                  <pic:spPr>
                    <a:xfrm>
                      <a:off x="0" y="0"/>
                      <a:ext cx="6694170" cy="4184015"/>
                    </a:xfrm>
                    <a:prstGeom prst="rect">
                      <a:avLst/>
                    </a:prstGeom>
                    <a:noFill/>
                    <a:ln w="9525" cmpd="sng">
                      <a:noFill/>
                      <a:miter lim="800000"/>
                      <a:headEnd/>
                      <a:tailEnd/>
                    </a:ln>
                  </pic:spPr>
                </pic:pic>
              </a:graphicData>
            </a:graphic>
          </wp:inline>
        </w:drawing>
      </w:r>
    </w:p>
    <w:p>
      <w:pPr>
        <w:pStyle w:val="2"/>
        <w:spacing w:after="0" w:line="360" w:lineRule="auto"/>
        <w:rPr>
          <w:rFonts w:ascii="仿宋" w:hAnsi="仿宋" w:eastAsia="仿宋" w:cs="仿宋"/>
          <w:color w:val="auto"/>
          <w:highlight w:val="none"/>
        </w:rPr>
      </w:pPr>
    </w:p>
    <w:p>
      <w:pPr>
        <w:numPr>
          <w:ilvl w:val="0"/>
          <w:numId w:val="5"/>
        </w:numPr>
        <w:spacing w:after="0" w:line="360" w:lineRule="auto"/>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点击操作指南-供应商</w:t>
      </w:r>
    </w:p>
    <w:p>
      <w:pPr>
        <w:kinsoku w:val="0"/>
        <w:wordWrap w:val="0"/>
        <w:topLinePunct/>
        <w:spacing w:after="0" w:line="360" w:lineRule="auto"/>
        <w:rPr>
          <w:rFonts w:ascii="仿宋" w:hAnsi="仿宋" w:eastAsia="仿宋" w:cs="仿宋"/>
          <w:b/>
          <w:bCs/>
          <w:color w:val="auto"/>
          <w:highlight w:val="none"/>
        </w:rPr>
      </w:pPr>
      <w:r>
        <w:rPr>
          <w:rFonts w:hint="eastAsia" w:ascii="仿宋" w:hAnsi="仿宋" w:eastAsia="仿宋" w:cs="仿宋"/>
          <w:color w:val="auto"/>
          <w:highlight w:val="none"/>
        </w:rPr>
        <w:drawing>
          <wp:inline distT="0" distB="0" distL="0" distR="0">
            <wp:extent cx="8850630" cy="4589145"/>
            <wp:effectExtent l="19050" t="0" r="762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7"/>
                    <a:srcRect/>
                    <a:stretch>
                      <a:fillRect/>
                    </a:stretch>
                  </pic:blipFill>
                  <pic:spPr>
                    <a:xfrm>
                      <a:off x="0" y="0"/>
                      <a:ext cx="8850630" cy="4589145"/>
                    </a:xfrm>
                    <a:prstGeom prst="rect">
                      <a:avLst/>
                    </a:prstGeom>
                    <a:noFill/>
                    <a:ln w="9525" cmpd="sng">
                      <a:noFill/>
                      <a:miter lim="800000"/>
                      <a:headEnd/>
                      <a:tailEnd/>
                    </a:ln>
                  </pic:spPr>
                </pic:pic>
              </a:graphicData>
            </a:graphic>
          </wp:inline>
        </w:drawing>
      </w:r>
      <w:r>
        <w:rPr>
          <w:rFonts w:hint="eastAsia" w:ascii="仿宋" w:hAnsi="仿宋" w:eastAsia="仿宋" w:cs="仿宋"/>
          <w:color w:val="auto"/>
          <w:highlight w:val="none"/>
        </w:rPr>
        <w:br w:type="page"/>
      </w:r>
      <w:r>
        <w:rPr>
          <w:rFonts w:hint="eastAsia" w:ascii="仿宋" w:hAnsi="仿宋" w:eastAsia="仿宋" w:cs="仿宋"/>
          <w:b/>
          <w:bCs/>
          <w:color w:val="auto"/>
          <w:sz w:val="24"/>
          <w:szCs w:val="32"/>
          <w:highlight w:val="none"/>
        </w:rPr>
        <w:t>4.进入政采云供应商学习专题页面</w:t>
      </w:r>
      <w:r>
        <w:rPr>
          <w:rFonts w:hint="eastAsia" w:ascii="仿宋" w:hAnsi="仿宋" w:eastAsia="仿宋" w:cs="仿宋"/>
          <w:b/>
          <w:bCs/>
          <w:color w:val="auto"/>
          <w:highlight w:val="none"/>
        </w:rPr>
        <w:t>（https://edu.zcygov.cn/luban/xxzt-chengdu-gys?utm=a0017.b1347.cl50.5.0917bc90b7bb11eb807c353645758db6）</w:t>
      </w:r>
    </w:p>
    <w:p>
      <w:pPr>
        <w:pStyle w:val="93"/>
        <w:spacing w:after="0" w:line="360" w:lineRule="auto"/>
        <w:rPr>
          <w:rFonts w:ascii="仿宋" w:hAnsi="仿宋" w:eastAsia="仿宋" w:cs="仿宋"/>
          <w:color w:val="auto"/>
          <w:highlight w:val="none"/>
        </w:rPr>
      </w:pP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256395" cy="4606290"/>
            <wp:effectExtent l="19050" t="0" r="190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8"/>
                    <a:srcRect/>
                    <a:stretch>
                      <a:fillRect/>
                    </a:stretch>
                  </pic:blipFill>
                  <pic:spPr>
                    <a:xfrm>
                      <a:off x="0" y="0"/>
                      <a:ext cx="9256395" cy="4606290"/>
                    </a:xfrm>
                    <a:prstGeom prst="rect">
                      <a:avLst/>
                    </a:prstGeom>
                    <a:noFill/>
                    <a:ln w="9525" cmpd="sng">
                      <a:noFill/>
                      <a:miter lim="800000"/>
                      <a:headEnd/>
                      <a:tailEnd/>
                    </a:ln>
                  </pic:spPr>
                </pic:pic>
              </a:graphicData>
            </a:graphic>
          </wp:inline>
        </w:drawing>
      </w:r>
    </w:p>
    <w:p>
      <w:pPr>
        <w:spacing w:after="0" w:line="360" w:lineRule="auto"/>
        <w:rPr>
          <w:rFonts w:ascii="仿宋" w:hAnsi="仿宋" w:eastAsia="仿宋" w:cs="仿宋"/>
          <w:b/>
          <w:bCs/>
          <w:color w:val="auto"/>
          <w:sz w:val="24"/>
          <w:szCs w:val="32"/>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4"/>
          <w:szCs w:val="32"/>
          <w:highlight w:val="none"/>
        </w:rPr>
        <w:t>5.供应商资讯服务渠道</w:t>
      </w: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377045" cy="3364230"/>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9"/>
                    <a:srcRect/>
                    <a:stretch>
                      <a:fillRect/>
                    </a:stretch>
                  </pic:blipFill>
                  <pic:spPr>
                    <a:xfrm>
                      <a:off x="0" y="0"/>
                      <a:ext cx="9377045" cy="3364230"/>
                    </a:xfrm>
                    <a:prstGeom prst="rect">
                      <a:avLst/>
                    </a:prstGeom>
                    <a:noFill/>
                    <a:ln w="9525" cmpd="sng">
                      <a:noFill/>
                      <a:miter lim="800000"/>
                      <a:headEnd/>
                      <a:tailEnd/>
                    </a:ln>
                  </pic:spPr>
                </pic:pic>
              </a:graphicData>
            </a:graphic>
          </wp:inline>
        </w:drawing>
      </w: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4"/>
          <w:szCs w:val="32"/>
          <w:highlight w:val="none"/>
        </w:rPr>
        <w:t>6.入驻政府采购云平台（注册）</w:t>
      </w: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drawing>
          <wp:inline distT="0" distB="0" distL="0" distR="0">
            <wp:extent cx="8850630" cy="3605530"/>
            <wp:effectExtent l="19050" t="0" r="762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20"/>
                    <a:srcRect/>
                    <a:stretch>
                      <a:fillRect/>
                    </a:stretch>
                  </pic:blipFill>
                  <pic:spPr>
                    <a:xfrm>
                      <a:off x="0" y="0"/>
                      <a:ext cx="8850630" cy="3605530"/>
                    </a:xfrm>
                    <a:prstGeom prst="rect">
                      <a:avLst/>
                    </a:prstGeom>
                    <a:noFill/>
                    <a:ln w="9525" cmpd="sng">
                      <a:noFill/>
                      <a:miter lim="800000"/>
                      <a:headEnd/>
                      <a:tailEnd/>
                    </a:ln>
                  </pic:spPr>
                </pic:pic>
              </a:graphicData>
            </a:graphic>
          </wp:inline>
        </w:drawing>
      </w:r>
    </w:p>
    <w:p>
      <w:pPr>
        <w:spacing w:after="0" w:line="360" w:lineRule="auto"/>
        <w:rPr>
          <w:rFonts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4"/>
          <w:szCs w:val="32"/>
          <w:highlight w:val="none"/>
        </w:rPr>
        <w:t>7.下载《供应商政府采购项目电子交易操作指南》</w:t>
      </w:r>
    </w:p>
    <w:p>
      <w:pPr>
        <w:spacing w:after="0" w:line="360" w:lineRule="auto"/>
        <w:rPr>
          <w:rFonts w:ascii="仿宋" w:hAnsi="仿宋" w:eastAsia="仿宋" w:cs="仿宋"/>
          <w:color w:val="auto"/>
          <w:sz w:val="24"/>
          <w:highlight w:val="none"/>
        </w:rPr>
      </w:pPr>
      <w:r>
        <w:rPr>
          <w:rFonts w:hint="eastAsia" w:ascii="仿宋" w:hAnsi="仿宋" w:eastAsia="仿宋" w:cs="仿宋"/>
          <w:color w:val="auto"/>
          <w:highlight w:val="none"/>
        </w:rPr>
        <w:drawing>
          <wp:inline distT="0" distB="0" distL="0" distR="0">
            <wp:extent cx="7962265" cy="4416425"/>
            <wp:effectExtent l="19050" t="0" r="635"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21"/>
                    <a:srcRect/>
                    <a:stretch>
                      <a:fillRect/>
                    </a:stretch>
                  </pic:blipFill>
                  <pic:spPr>
                    <a:xfrm>
                      <a:off x="0" y="0"/>
                      <a:ext cx="7962265" cy="4416425"/>
                    </a:xfrm>
                    <a:prstGeom prst="rect">
                      <a:avLst/>
                    </a:prstGeom>
                    <a:noFill/>
                    <a:ln w="9525" cmpd="sng">
                      <a:noFill/>
                      <a:miter lim="800000"/>
                      <a:headEnd/>
                      <a:tailEnd/>
                    </a:ln>
                    <a:effectLst/>
                  </pic:spPr>
                </pic:pic>
              </a:graphicData>
            </a:graphic>
          </wp:inline>
        </w:drawing>
      </w:r>
    </w:p>
    <w:sectPr>
      <w:type w:val="continuous"/>
      <w:pgSz w:w="16838" w:h="11906" w:orient="landscape"/>
      <w:pgMar w:top="1440" w:right="1800" w:bottom="1440" w:left="1800" w:header="851" w:footer="992" w:gutter="0"/>
      <w:pgNumType w:fmt="decimal"/>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Eʩ">
    <w:altName w:val="微软雅黑"/>
    <w:panose1 w:val="00000000000000000000"/>
    <w:charset w:val="00"/>
    <w:family w:val="auto"/>
    <w:pitch w:val="default"/>
    <w:sig w:usb0="00000000" w:usb1="00000000" w:usb2="00000000" w:usb3="00000000" w:csb0="00040001" w:csb1="00000000"/>
  </w:font>
  <w:font w:name="楷体à.ā">
    <w:altName w:val="宋体"/>
    <w:panose1 w:val="00000000000000000000"/>
    <w:charset w:val="86"/>
    <w:family w:val="roman"/>
    <w:pitch w:val="default"/>
    <w:sig w:usb0="00000000" w:usb1="00000000" w:usb2="00000010" w:usb3="00000000" w:csb0="00040000"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ヒラギノ角ゴ Pro W3">
    <w:altName w:val="MS UI Gothic"/>
    <w:panose1 w:val="00000000000000000000"/>
    <w:charset w:val="80"/>
    <w:family w:val="auto"/>
    <w:pitch w:val="default"/>
    <w:sig w:usb0="00000000" w:usb1="00000000" w:usb2="00000012" w:usb3="00000000" w:csb0="0002000D" w:csb1="00000000"/>
  </w:font>
  <w:font w:name="MS UI Gothic">
    <w:panose1 w:val="020B0600070205080204"/>
    <w:charset w:val="80"/>
    <w:family w:val="auto"/>
    <w:pitch w:val="default"/>
    <w:sig w:usb0="E00002FF" w:usb1="6AC7FDFB" w:usb2="00000012" w:usb3="00000000" w:csb0="4002009F" w:csb1="DFD70000"/>
  </w:font>
  <w:font w:name="Consolas">
    <w:panose1 w:val="020B0609020204030204"/>
    <w:charset w:val="00"/>
    <w:family w:val="modern"/>
    <w:pitch w:val="default"/>
    <w:sig w:usb0="E10002FF" w:usb1="4000FCFF" w:usb2="00000009" w:usb3="00000000" w:csb0="6000019F" w:csb1="DFD7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方正仿宋">
    <w:altName w:val="仿宋"/>
    <w:panose1 w:val="00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gHIsgBAACa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KSEsctTvz888f51+P54Tt5&#10;m/XpA9SYdhcwMQ3v/YC5sx/QmWkPKtr8RUIE46ju6aKuHBIR+dFquVpVGBIYmy+Iz56ehwjpg/SW&#10;ZKOhEcdXVOXHT5DG1DklV3P+VhtTRmjcXw7EzB6Wex97zFYadsNEaOfbE/LpcfINdbjolJiPDoXN&#10;SzIbcTZ2s3EIUe+7skW5HoR3h4RNlN5yhRF2KowjK+ym9co78ee9ZD39U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GYByLIAQAAmgMAAA4AAAAAAAAAAQAgAAAAHgEAAGRycy9lMm9Eb2Mu&#10;eG1sUEsFBgAAAAAGAAYAWQEAAFgFA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jBlMgBAACa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15S4rjFiV++f7v8+HX5+ZXU&#10;WZ8hQINp9wET0/jGj5i7+AGdmfaoos1fJEQwjuqer+rKMRGRH9Xruq4wJDC2XBCfPTwPEdJb6S3J&#10;Rksjjq+oyk/vIU2pS0qu5vydNqaM0Li/HIiZPSz3PvWYrTTux5nQ3ndn5DPg5FvqcNEpMe8cCpuX&#10;ZDHiYuwX4xiiPvRli3I9CK+PCZsoveUKE+xcGEdW2M3rlXfiz3vJevilt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9IwZTIAQAAmgMAAA4AAAAAAAAAAQAgAAAAHgEAAGRycy9lMm9Eb2Mu&#10;eG1sUEsFBgAAAAAGAAYAWQEAAFgFA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YuSckBAACa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p5i5JyQEAAJoDAAAOAAAAAAAAAAEAIAAAAB4BAABkcnMvZTJvRG9j&#10;LnhtbFBLBQYAAAAABgAGAFkBAABZBQ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rPr>
                              <w:rFonts w:eastAsia="方正仿宋"/>
                            </w:rPr>
                          </w:pPr>
                          <w:r>
                            <w:fldChar w:fldCharType="begin"/>
                          </w:r>
                          <w:r>
                            <w:instrText xml:space="preserve"> PAGE  \* MERGEFORMAT </w:instrText>
                          </w:r>
                          <w:r>
                            <w:fldChar w:fldCharType="separate"/>
                          </w:r>
                          <w:r>
                            <w:rPr>
                              <w:rFonts w:hint="eastAsia"/>
                            </w:rPr>
                            <w:t>2</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WxlwvwkCAAAUBAAADgAAAAAAAAABACAAAAAeAQAAZHJz&#10;L2Uyb0RvYy54bWxQSwUGAAAAAAYABgBZAQAAmQUAAAAA&#10;">
              <v:fill on="f" focussize="0,0"/>
              <v:stroke on="f"/>
              <v:imagedata o:title=""/>
              <o:lock v:ext="edit" aspectratio="f"/>
              <v:textbox inset="0mm,0mm,0mm,0mm" style="mso-fit-shape-to-text:t;">
                <w:txbxContent>
                  <w:p>
                    <w:pPr>
                      <w:pStyle w:val="21"/>
                      <w:rPr>
                        <w:rFonts w:eastAsia="方正仿宋"/>
                      </w:rPr>
                    </w:pPr>
                    <w:r>
                      <w:fldChar w:fldCharType="begin"/>
                    </w:r>
                    <w:r>
                      <w:instrText xml:space="preserve"> PAGE  \* MERGEFORMAT </w:instrText>
                    </w:r>
                    <w:r>
                      <w:fldChar w:fldCharType="separate"/>
                    </w:r>
                    <w:r>
                      <w:rPr>
                        <w:rFonts w:hint="eastAsia"/>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s0FccBAACb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4SUljluc+OX7t8uPX5efX8my&#10;CNQHqDHvIWBmGt74AZOzcNkP6My8BxVt/iIjgnGU93yVVw6JiPxovVqvKwwJjM0XxGG35yFCeiu9&#10;JdloaMT5FVn56T2kMXVOydWcv9fGlBka95cDMbOH3XrMVhr2w9T43rdn5NPj6BvqcNMpMe8cKpu3&#10;ZDbibOxn4xiiPnRljXI9CK+PCZsoveUKI+xUGGdW2E37lZfiz3vJuv1T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MMs0FccBAACbAwAADgAAAAAAAAABACAAAAAeAQAAZHJzL2Uyb0RvYy54&#10;bWxQSwUGAAAAAAYABgBZAQAAVwU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85</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spacing w:line="240"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5E64E"/>
    <w:multiLevelType w:val="singleLevel"/>
    <w:tmpl w:val="A025E64E"/>
    <w:lvl w:ilvl="0" w:tentative="0">
      <w:start w:val="5"/>
      <w:numFmt w:val="decimal"/>
      <w:suff w:val="nothing"/>
      <w:lvlText w:val="%1．"/>
      <w:lvlJc w:val="left"/>
    </w:lvl>
  </w:abstractNum>
  <w:abstractNum w:abstractNumId="1">
    <w:nsid w:val="1517B247"/>
    <w:multiLevelType w:val="singleLevel"/>
    <w:tmpl w:val="1517B247"/>
    <w:lvl w:ilvl="0" w:tentative="0">
      <w:start w:val="3"/>
      <w:numFmt w:val="decimal"/>
      <w:lvlText w:val="%1."/>
      <w:lvlJc w:val="left"/>
      <w:pPr>
        <w:tabs>
          <w:tab w:val="left" w:pos="312"/>
        </w:tabs>
      </w:pPr>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4">
    <w:nsid w:val="549217BB"/>
    <w:multiLevelType w:val="singleLevel"/>
    <w:tmpl w:val="549217BB"/>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dit="readOnly" w:enforcement="0"/>
  <w:defaultTabStop w:val="420"/>
  <w:drawingGridVerticalSpacing w:val="159"/>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96"/>
    <w:rsid w:val="00002E81"/>
    <w:rsid w:val="00007AD8"/>
    <w:rsid w:val="00014438"/>
    <w:rsid w:val="00016256"/>
    <w:rsid w:val="00017150"/>
    <w:rsid w:val="00022E18"/>
    <w:rsid w:val="00026152"/>
    <w:rsid w:val="000304B0"/>
    <w:rsid w:val="00031B04"/>
    <w:rsid w:val="00036751"/>
    <w:rsid w:val="00036EEF"/>
    <w:rsid w:val="00060BF7"/>
    <w:rsid w:val="0006108D"/>
    <w:rsid w:val="00062AA7"/>
    <w:rsid w:val="00063B2E"/>
    <w:rsid w:val="000705EB"/>
    <w:rsid w:val="00072E9C"/>
    <w:rsid w:val="00075C5E"/>
    <w:rsid w:val="000760E2"/>
    <w:rsid w:val="00090B42"/>
    <w:rsid w:val="000912B1"/>
    <w:rsid w:val="00091BAB"/>
    <w:rsid w:val="00093327"/>
    <w:rsid w:val="00095107"/>
    <w:rsid w:val="000965E1"/>
    <w:rsid w:val="000A133D"/>
    <w:rsid w:val="000A1509"/>
    <w:rsid w:val="000A246A"/>
    <w:rsid w:val="000A2A8E"/>
    <w:rsid w:val="000A30C8"/>
    <w:rsid w:val="000A36FB"/>
    <w:rsid w:val="000A3DA2"/>
    <w:rsid w:val="000A70F2"/>
    <w:rsid w:val="000B36E8"/>
    <w:rsid w:val="000B4220"/>
    <w:rsid w:val="000C297C"/>
    <w:rsid w:val="000C6FE5"/>
    <w:rsid w:val="000C7011"/>
    <w:rsid w:val="000D22E0"/>
    <w:rsid w:val="000D2B0E"/>
    <w:rsid w:val="000D717B"/>
    <w:rsid w:val="000E010C"/>
    <w:rsid w:val="000E6D82"/>
    <w:rsid w:val="000F5A22"/>
    <w:rsid w:val="000F7505"/>
    <w:rsid w:val="00101EBF"/>
    <w:rsid w:val="00102351"/>
    <w:rsid w:val="001040AB"/>
    <w:rsid w:val="001068FD"/>
    <w:rsid w:val="00107A0B"/>
    <w:rsid w:val="00110DCE"/>
    <w:rsid w:val="00114138"/>
    <w:rsid w:val="0011541B"/>
    <w:rsid w:val="0011592E"/>
    <w:rsid w:val="001169EC"/>
    <w:rsid w:val="0011722E"/>
    <w:rsid w:val="00120CE2"/>
    <w:rsid w:val="00125E97"/>
    <w:rsid w:val="001300AD"/>
    <w:rsid w:val="001324D0"/>
    <w:rsid w:val="00133455"/>
    <w:rsid w:val="001364F4"/>
    <w:rsid w:val="0014031B"/>
    <w:rsid w:val="001406AF"/>
    <w:rsid w:val="001567DA"/>
    <w:rsid w:val="001635E5"/>
    <w:rsid w:val="00165A6D"/>
    <w:rsid w:val="00172A27"/>
    <w:rsid w:val="001730FE"/>
    <w:rsid w:val="00175CF1"/>
    <w:rsid w:val="0017673A"/>
    <w:rsid w:val="00177C67"/>
    <w:rsid w:val="00181D0E"/>
    <w:rsid w:val="001867AC"/>
    <w:rsid w:val="00190666"/>
    <w:rsid w:val="0019289D"/>
    <w:rsid w:val="00194D30"/>
    <w:rsid w:val="00194FCB"/>
    <w:rsid w:val="0019506D"/>
    <w:rsid w:val="00196E92"/>
    <w:rsid w:val="00197444"/>
    <w:rsid w:val="0019755D"/>
    <w:rsid w:val="001A34F3"/>
    <w:rsid w:val="001A6131"/>
    <w:rsid w:val="001A7C62"/>
    <w:rsid w:val="001B171B"/>
    <w:rsid w:val="001B1735"/>
    <w:rsid w:val="001B3EC5"/>
    <w:rsid w:val="001B65F3"/>
    <w:rsid w:val="001B65F9"/>
    <w:rsid w:val="001B6CE3"/>
    <w:rsid w:val="001C03A0"/>
    <w:rsid w:val="001C3D51"/>
    <w:rsid w:val="001C6ECA"/>
    <w:rsid w:val="001C78E7"/>
    <w:rsid w:val="001D4748"/>
    <w:rsid w:val="001D4C75"/>
    <w:rsid w:val="001D6279"/>
    <w:rsid w:val="001D6C0F"/>
    <w:rsid w:val="001E68A7"/>
    <w:rsid w:val="001E69D8"/>
    <w:rsid w:val="001E6A53"/>
    <w:rsid w:val="001E7DDD"/>
    <w:rsid w:val="001F1BA6"/>
    <w:rsid w:val="001F7393"/>
    <w:rsid w:val="001F76E7"/>
    <w:rsid w:val="0020039F"/>
    <w:rsid w:val="00202A19"/>
    <w:rsid w:val="00203A74"/>
    <w:rsid w:val="00204199"/>
    <w:rsid w:val="002067C3"/>
    <w:rsid w:val="002120E1"/>
    <w:rsid w:val="002129B6"/>
    <w:rsid w:val="0021461E"/>
    <w:rsid w:val="0021593A"/>
    <w:rsid w:val="00215C39"/>
    <w:rsid w:val="00216109"/>
    <w:rsid w:val="00217312"/>
    <w:rsid w:val="0022001E"/>
    <w:rsid w:val="00220922"/>
    <w:rsid w:val="00225D67"/>
    <w:rsid w:val="002267CE"/>
    <w:rsid w:val="00227396"/>
    <w:rsid w:val="002345F1"/>
    <w:rsid w:val="00234CA2"/>
    <w:rsid w:val="0023577B"/>
    <w:rsid w:val="00237A14"/>
    <w:rsid w:val="00237A7C"/>
    <w:rsid w:val="00246798"/>
    <w:rsid w:val="002556EC"/>
    <w:rsid w:val="00260B93"/>
    <w:rsid w:val="002636ED"/>
    <w:rsid w:val="00264AC7"/>
    <w:rsid w:val="00266675"/>
    <w:rsid w:val="002703ED"/>
    <w:rsid w:val="002703F8"/>
    <w:rsid w:val="00271AF9"/>
    <w:rsid w:val="00285A63"/>
    <w:rsid w:val="00286762"/>
    <w:rsid w:val="0029646E"/>
    <w:rsid w:val="002967CE"/>
    <w:rsid w:val="00297306"/>
    <w:rsid w:val="00297E79"/>
    <w:rsid w:val="002A11AD"/>
    <w:rsid w:val="002A3283"/>
    <w:rsid w:val="002A4171"/>
    <w:rsid w:val="002B0731"/>
    <w:rsid w:val="002B1E39"/>
    <w:rsid w:val="002B2897"/>
    <w:rsid w:val="002B3F90"/>
    <w:rsid w:val="002B734E"/>
    <w:rsid w:val="002C195F"/>
    <w:rsid w:val="002C46CB"/>
    <w:rsid w:val="002C48FA"/>
    <w:rsid w:val="002D042C"/>
    <w:rsid w:val="002D4ECA"/>
    <w:rsid w:val="002E1CA5"/>
    <w:rsid w:val="002E328B"/>
    <w:rsid w:val="002E4062"/>
    <w:rsid w:val="002E5C9A"/>
    <w:rsid w:val="002E7E75"/>
    <w:rsid w:val="002F7A01"/>
    <w:rsid w:val="00301A28"/>
    <w:rsid w:val="003028D5"/>
    <w:rsid w:val="00303F53"/>
    <w:rsid w:val="00305EE6"/>
    <w:rsid w:val="003070DB"/>
    <w:rsid w:val="003073D8"/>
    <w:rsid w:val="00307829"/>
    <w:rsid w:val="00312575"/>
    <w:rsid w:val="00313703"/>
    <w:rsid w:val="00314A71"/>
    <w:rsid w:val="00314DE6"/>
    <w:rsid w:val="00315A3E"/>
    <w:rsid w:val="00316280"/>
    <w:rsid w:val="00316EB4"/>
    <w:rsid w:val="003208BA"/>
    <w:rsid w:val="003226A5"/>
    <w:rsid w:val="0032327E"/>
    <w:rsid w:val="003300C6"/>
    <w:rsid w:val="003300EE"/>
    <w:rsid w:val="00330905"/>
    <w:rsid w:val="00330FC4"/>
    <w:rsid w:val="00331608"/>
    <w:rsid w:val="003343CF"/>
    <w:rsid w:val="003354C8"/>
    <w:rsid w:val="00336716"/>
    <w:rsid w:val="00337243"/>
    <w:rsid w:val="00345C82"/>
    <w:rsid w:val="00346B52"/>
    <w:rsid w:val="00347D55"/>
    <w:rsid w:val="00351DDE"/>
    <w:rsid w:val="00354F55"/>
    <w:rsid w:val="0036210F"/>
    <w:rsid w:val="00363398"/>
    <w:rsid w:val="0036414E"/>
    <w:rsid w:val="003651A1"/>
    <w:rsid w:val="00367B8E"/>
    <w:rsid w:val="00370B3A"/>
    <w:rsid w:val="003733EE"/>
    <w:rsid w:val="003738E0"/>
    <w:rsid w:val="003741DF"/>
    <w:rsid w:val="00374A00"/>
    <w:rsid w:val="003750DB"/>
    <w:rsid w:val="003759E8"/>
    <w:rsid w:val="00376884"/>
    <w:rsid w:val="00385A23"/>
    <w:rsid w:val="00394D48"/>
    <w:rsid w:val="00397CB0"/>
    <w:rsid w:val="003A079A"/>
    <w:rsid w:val="003A1A59"/>
    <w:rsid w:val="003A32A6"/>
    <w:rsid w:val="003A6A7E"/>
    <w:rsid w:val="003B5631"/>
    <w:rsid w:val="003C6641"/>
    <w:rsid w:val="003C739B"/>
    <w:rsid w:val="003D09DE"/>
    <w:rsid w:val="003D2186"/>
    <w:rsid w:val="003D3C37"/>
    <w:rsid w:val="003D3DAF"/>
    <w:rsid w:val="003E03F4"/>
    <w:rsid w:val="003E15DF"/>
    <w:rsid w:val="003E1ABC"/>
    <w:rsid w:val="003E363C"/>
    <w:rsid w:val="003E42D6"/>
    <w:rsid w:val="003F1176"/>
    <w:rsid w:val="00401B24"/>
    <w:rsid w:val="00402FFA"/>
    <w:rsid w:val="00413901"/>
    <w:rsid w:val="0041486D"/>
    <w:rsid w:val="00414E18"/>
    <w:rsid w:val="00415F60"/>
    <w:rsid w:val="00416ED9"/>
    <w:rsid w:val="0043058E"/>
    <w:rsid w:val="00431D6C"/>
    <w:rsid w:val="00434342"/>
    <w:rsid w:val="00437902"/>
    <w:rsid w:val="00445E84"/>
    <w:rsid w:val="004476A3"/>
    <w:rsid w:val="00447BA7"/>
    <w:rsid w:val="00450051"/>
    <w:rsid w:val="00451428"/>
    <w:rsid w:val="0045177D"/>
    <w:rsid w:val="00454E0D"/>
    <w:rsid w:val="004557B0"/>
    <w:rsid w:val="00457401"/>
    <w:rsid w:val="00460537"/>
    <w:rsid w:val="004639E2"/>
    <w:rsid w:val="004747CA"/>
    <w:rsid w:val="0047571F"/>
    <w:rsid w:val="00477902"/>
    <w:rsid w:val="00480F86"/>
    <w:rsid w:val="00482AB7"/>
    <w:rsid w:val="004836E9"/>
    <w:rsid w:val="004927B6"/>
    <w:rsid w:val="00493260"/>
    <w:rsid w:val="00494396"/>
    <w:rsid w:val="004A0508"/>
    <w:rsid w:val="004A30DB"/>
    <w:rsid w:val="004A6CAA"/>
    <w:rsid w:val="004B0037"/>
    <w:rsid w:val="004B30A1"/>
    <w:rsid w:val="004B4362"/>
    <w:rsid w:val="004B4A5A"/>
    <w:rsid w:val="004B6A2D"/>
    <w:rsid w:val="004C42FC"/>
    <w:rsid w:val="004C61F6"/>
    <w:rsid w:val="004D1262"/>
    <w:rsid w:val="004D1906"/>
    <w:rsid w:val="004D3115"/>
    <w:rsid w:val="004D491F"/>
    <w:rsid w:val="004D59D1"/>
    <w:rsid w:val="004D7F14"/>
    <w:rsid w:val="004E1110"/>
    <w:rsid w:val="004E26F0"/>
    <w:rsid w:val="004E451D"/>
    <w:rsid w:val="004E4B68"/>
    <w:rsid w:val="004E4E93"/>
    <w:rsid w:val="004E6460"/>
    <w:rsid w:val="004F037A"/>
    <w:rsid w:val="004F1700"/>
    <w:rsid w:val="004F5CFF"/>
    <w:rsid w:val="00503DB5"/>
    <w:rsid w:val="00504A4E"/>
    <w:rsid w:val="00506075"/>
    <w:rsid w:val="00506C10"/>
    <w:rsid w:val="00507348"/>
    <w:rsid w:val="00507A82"/>
    <w:rsid w:val="00507FA7"/>
    <w:rsid w:val="00514808"/>
    <w:rsid w:val="00516CD7"/>
    <w:rsid w:val="005212C2"/>
    <w:rsid w:val="005212C4"/>
    <w:rsid w:val="0052133F"/>
    <w:rsid w:val="00521906"/>
    <w:rsid w:val="00522C34"/>
    <w:rsid w:val="00523BC6"/>
    <w:rsid w:val="00532B9C"/>
    <w:rsid w:val="00534D59"/>
    <w:rsid w:val="00535A0F"/>
    <w:rsid w:val="0054150E"/>
    <w:rsid w:val="00542838"/>
    <w:rsid w:val="00543735"/>
    <w:rsid w:val="00550AED"/>
    <w:rsid w:val="00551D4E"/>
    <w:rsid w:val="00553CAF"/>
    <w:rsid w:val="005545BE"/>
    <w:rsid w:val="005556BE"/>
    <w:rsid w:val="00556240"/>
    <w:rsid w:val="00561BDA"/>
    <w:rsid w:val="00562C92"/>
    <w:rsid w:val="00567CCE"/>
    <w:rsid w:val="005717CE"/>
    <w:rsid w:val="005724DC"/>
    <w:rsid w:val="00572826"/>
    <w:rsid w:val="00575FAE"/>
    <w:rsid w:val="00576A9F"/>
    <w:rsid w:val="00580755"/>
    <w:rsid w:val="00583F6C"/>
    <w:rsid w:val="00584872"/>
    <w:rsid w:val="00584A71"/>
    <w:rsid w:val="00586BFF"/>
    <w:rsid w:val="0059308F"/>
    <w:rsid w:val="0059523C"/>
    <w:rsid w:val="005962C4"/>
    <w:rsid w:val="005A3B30"/>
    <w:rsid w:val="005A5D20"/>
    <w:rsid w:val="005A6B70"/>
    <w:rsid w:val="005A6BCF"/>
    <w:rsid w:val="005B2A38"/>
    <w:rsid w:val="005B3504"/>
    <w:rsid w:val="005B383D"/>
    <w:rsid w:val="005C1259"/>
    <w:rsid w:val="005C3558"/>
    <w:rsid w:val="005C5F85"/>
    <w:rsid w:val="005C7DD5"/>
    <w:rsid w:val="005D07BF"/>
    <w:rsid w:val="005D2D57"/>
    <w:rsid w:val="005D3A0A"/>
    <w:rsid w:val="005D7308"/>
    <w:rsid w:val="005E112B"/>
    <w:rsid w:val="005E25E7"/>
    <w:rsid w:val="005E25EC"/>
    <w:rsid w:val="005E2AB7"/>
    <w:rsid w:val="005E3F8F"/>
    <w:rsid w:val="005E5F2F"/>
    <w:rsid w:val="005E6359"/>
    <w:rsid w:val="005E709D"/>
    <w:rsid w:val="005F037D"/>
    <w:rsid w:val="006005C1"/>
    <w:rsid w:val="00605736"/>
    <w:rsid w:val="00614A60"/>
    <w:rsid w:val="00614DC0"/>
    <w:rsid w:val="00615BEE"/>
    <w:rsid w:val="00621550"/>
    <w:rsid w:val="006243C6"/>
    <w:rsid w:val="00624CF3"/>
    <w:rsid w:val="00627859"/>
    <w:rsid w:val="006310EB"/>
    <w:rsid w:val="00632B8B"/>
    <w:rsid w:val="00634B10"/>
    <w:rsid w:val="00635699"/>
    <w:rsid w:val="006363E3"/>
    <w:rsid w:val="00636410"/>
    <w:rsid w:val="006404FC"/>
    <w:rsid w:val="00640A83"/>
    <w:rsid w:val="00650926"/>
    <w:rsid w:val="00665C6C"/>
    <w:rsid w:val="00672C40"/>
    <w:rsid w:val="00680D58"/>
    <w:rsid w:val="00681C06"/>
    <w:rsid w:val="0068412C"/>
    <w:rsid w:val="0068490D"/>
    <w:rsid w:val="00685341"/>
    <w:rsid w:val="006853DD"/>
    <w:rsid w:val="00690CCA"/>
    <w:rsid w:val="00690F30"/>
    <w:rsid w:val="006918DD"/>
    <w:rsid w:val="00696FA3"/>
    <w:rsid w:val="00697C2D"/>
    <w:rsid w:val="006A4F7D"/>
    <w:rsid w:val="006B1BDD"/>
    <w:rsid w:val="006B4813"/>
    <w:rsid w:val="006C34CB"/>
    <w:rsid w:val="006C5A79"/>
    <w:rsid w:val="006D0C87"/>
    <w:rsid w:val="006D23FC"/>
    <w:rsid w:val="006D76E4"/>
    <w:rsid w:val="006E06B7"/>
    <w:rsid w:val="006E2549"/>
    <w:rsid w:val="006E4C50"/>
    <w:rsid w:val="006E6822"/>
    <w:rsid w:val="006F1ACB"/>
    <w:rsid w:val="006F1E8E"/>
    <w:rsid w:val="006F29BA"/>
    <w:rsid w:val="006F2FC8"/>
    <w:rsid w:val="006F52E3"/>
    <w:rsid w:val="006F6F3F"/>
    <w:rsid w:val="007014F1"/>
    <w:rsid w:val="0070241A"/>
    <w:rsid w:val="00702FC0"/>
    <w:rsid w:val="007037FA"/>
    <w:rsid w:val="00704120"/>
    <w:rsid w:val="00704D34"/>
    <w:rsid w:val="00705F4F"/>
    <w:rsid w:val="00706260"/>
    <w:rsid w:val="0070720E"/>
    <w:rsid w:val="00707412"/>
    <w:rsid w:val="007171DF"/>
    <w:rsid w:val="007203FD"/>
    <w:rsid w:val="00721BDE"/>
    <w:rsid w:val="00725C5E"/>
    <w:rsid w:val="00727510"/>
    <w:rsid w:val="00731235"/>
    <w:rsid w:val="00732B25"/>
    <w:rsid w:val="007343BC"/>
    <w:rsid w:val="0073552E"/>
    <w:rsid w:val="00735868"/>
    <w:rsid w:val="00737C32"/>
    <w:rsid w:val="00744711"/>
    <w:rsid w:val="0075240E"/>
    <w:rsid w:val="00760C67"/>
    <w:rsid w:val="00771E82"/>
    <w:rsid w:val="00775E7A"/>
    <w:rsid w:val="00776BF1"/>
    <w:rsid w:val="0078341B"/>
    <w:rsid w:val="007935F3"/>
    <w:rsid w:val="0079593C"/>
    <w:rsid w:val="007A18B5"/>
    <w:rsid w:val="007A67DE"/>
    <w:rsid w:val="007A683D"/>
    <w:rsid w:val="007A6B50"/>
    <w:rsid w:val="007A6B90"/>
    <w:rsid w:val="007B008A"/>
    <w:rsid w:val="007B3F35"/>
    <w:rsid w:val="007B59CD"/>
    <w:rsid w:val="007B6747"/>
    <w:rsid w:val="007B6A6C"/>
    <w:rsid w:val="007D0FB9"/>
    <w:rsid w:val="007D1567"/>
    <w:rsid w:val="007D7C0B"/>
    <w:rsid w:val="007E0AA4"/>
    <w:rsid w:val="007E1AA4"/>
    <w:rsid w:val="007E1BEE"/>
    <w:rsid w:val="007E2E12"/>
    <w:rsid w:val="007E32EA"/>
    <w:rsid w:val="007E45EB"/>
    <w:rsid w:val="007E61D1"/>
    <w:rsid w:val="007F2892"/>
    <w:rsid w:val="007F4A47"/>
    <w:rsid w:val="007F4B05"/>
    <w:rsid w:val="007F5172"/>
    <w:rsid w:val="007F6C76"/>
    <w:rsid w:val="007F7237"/>
    <w:rsid w:val="007F75DC"/>
    <w:rsid w:val="0080109F"/>
    <w:rsid w:val="00806D28"/>
    <w:rsid w:val="00807ADB"/>
    <w:rsid w:val="008120D6"/>
    <w:rsid w:val="00813637"/>
    <w:rsid w:val="008137EA"/>
    <w:rsid w:val="00814FCC"/>
    <w:rsid w:val="00817496"/>
    <w:rsid w:val="00817AAE"/>
    <w:rsid w:val="008244D1"/>
    <w:rsid w:val="00824A1E"/>
    <w:rsid w:val="0082520E"/>
    <w:rsid w:val="00827C45"/>
    <w:rsid w:val="00827C4C"/>
    <w:rsid w:val="00827FA3"/>
    <w:rsid w:val="00830EB8"/>
    <w:rsid w:val="008316D4"/>
    <w:rsid w:val="00832264"/>
    <w:rsid w:val="00832DB8"/>
    <w:rsid w:val="00835165"/>
    <w:rsid w:val="00835F45"/>
    <w:rsid w:val="00837748"/>
    <w:rsid w:val="00840853"/>
    <w:rsid w:val="0084215B"/>
    <w:rsid w:val="00842B97"/>
    <w:rsid w:val="00850CA7"/>
    <w:rsid w:val="00852BD7"/>
    <w:rsid w:val="00855FB8"/>
    <w:rsid w:val="00863FD7"/>
    <w:rsid w:val="0086411B"/>
    <w:rsid w:val="00864238"/>
    <w:rsid w:val="00876DBD"/>
    <w:rsid w:val="0088435F"/>
    <w:rsid w:val="008844FA"/>
    <w:rsid w:val="0088578D"/>
    <w:rsid w:val="0088585D"/>
    <w:rsid w:val="00892200"/>
    <w:rsid w:val="0089237C"/>
    <w:rsid w:val="00893DAE"/>
    <w:rsid w:val="008957B0"/>
    <w:rsid w:val="00897D22"/>
    <w:rsid w:val="008A2AF9"/>
    <w:rsid w:val="008B1E46"/>
    <w:rsid w:val="008B4CCA"/>
    <w:rsid w:val="008B5C9C"/>
    <w:rsid w:val="008B71C7"/>
    <w:rsid w:val="008D3790"/>
    <w:rsid w:val="008D5F79"/>
    <w:rsid w:val="008E349C"/>
    <w:rsid w:val="008E489D"/>
    <w:rsid w:val="008E5771"/>
    <w:rsid w:val="008F1DDF"/>
    <w:rsid w:val="008F69DC"/>
    <w:rsid w:val="00902096"/>
    <w:rsid w:val="009035AC"/>
    <w:rsid w:val="00904A04"/>
    <w:rsid w:val="009069BA"/>
    <w:rsid w:val="00906B19"/>
    <w:rsid w:val="00906E38"/>
    <w:rsid w:val="00906E67"/>
    <w:rsid w:val="00906EFC"/>
    <w:rsid w:val="00907E27"/>
    <w:rsid w:val="00911B93"/>
    <w:rsid w:val="00912412"/>
    <w:rsid w:val="00912979"/>
    <w:rsid w:val="009138CF"/>
    <w:rsid w:val="00913E3F"/>
    <w:rsid w:val="009158D4"/>
    <w:rsid w:val="009164B3"/>
    <w:rsid w:val="009168D9"/>
    <w:rsid w:val="00916F97"/>
    <w:rsid w:val="00923162"/>
    <w:rsid w:val="009251C5"/>
    <w:rsid w:val="009257B9"/>
    <w:rsid w:val="00932F3D"/>
    <w:rsid w:val="0093312C"/>
    <w:rsid w:val="00933CAA"/>
    <w:rsid w:val="00940C67"/>
    <w:rsid w:val="0094114F"/>
    <w:rsid w:val="00944128"/>
    <w:rsid w:val="0094761A"/>
    <w:rsid w:val="00947BCD"/>
    <w:rsid w:val="009507AB"/>
    <w:rsid w:val="00951749"/>
    <w:rsid w:val="00953456"/>
    <w:rsid w:val="00955688"/>
    <w:rsid w:val="0095678E"/>
    <w:rsid w:val="00964C19"/>
    <w:rsid w:val="00965B2F"/>
    <w:rsid w:val="009662BC"/>
    <w:rsid w:val="009667DB"/>
    <w:rsid w:val="009676AA"/>
    <w:rsid w:val="009753F0"/>
    <w:rsid w:val="00977945"/>
    <w:rsid w:val="00985ED3"/>
    <w:rsid w:val="00990D83"/>
    <w:rsid w:val="00990F54"/>
    <w:rsid w:val="00992DFA"/>
    <w:rsid w:val="00993802"/>
    <w:rsid w:val="0099546F"/>
    <w:rsid w:val="00996F31"/>
    <w:rsid w:val="009979FD"/>
    <w:rsid w:val="009A0B08"/>
    <w:rsid w:val="009A57EC"/>
    <w:rsid w:val="009A6ECD"/>
    <w:rsid w:val="009B0D8F"/>
    <w:rsid w:val="009B1577"/>
    <w:rsid w:val="009B3F19"/>
    <w:rsid w:val="009B4CCB"/>
    <w:rsid w:val="009B6D5B"/>
    <w:rsid w:val="009B7BA3"/>
    <w:rsid w:val="009C1572"/>
    <w:rsid w:val="009C212F"/>
    <w:rsid w:val="009C23E6"/>
    <w:rsid w:val="009C51C3"/>
    <w:rsid w:val="009C613A"/>
    <w:rsid w:val="009D5489"/>
    <w:rsid w:val="009D60C2"/>
    <w:rsid w:val="009E223E"/>
    <w:rsid w:val="009E4DF7"/>
    <w:rsid w:val="009E66AF"/>
    <w:rsid w:val="009F0956"/>
    <w:rsid w:val="009F0D87"/>
    <w:rsid w:val="009F1C97"/>
    <w:rsid w:val="009F4796"/>
    <w:rsid w:val="009F4AFF"/>
    <w:rsid w:val="009F72AD"/>
    <w:rsid w:val="00A01D50"/>
    <w:rsid w:val="00A02ADE"/>
    <w:rsid w:val="00A0326D"/>
    <w:rsid w:val="00A0428C"/>
    <w:rsid w:val="00A12EDC"/>
    <w:rsid w:val="00A13E8A"/>
    <w:rsid w:val="00A2044B"/>
    <w:rsid w:val="00A20D61"/>
    <w:rsid w:val="00A214F2"/>
    <w:rsid w:val="00A23584"/>
    <w:rsid w:val="00A30A91"/>
    <w:rsid w:val="00A34123"/>
    <w:rsid w:val="00A41976"/>
    <w:rsid w:val="00A41F18"/>
    <w:rsid w:val="00A43E09"/>
    <w:rsid w:val="00A44B42"/>
    <w:rsid w:val="00A44C13"/>
    <w:rsid w:val="00A46048"/>
    <w:rsid w:val="00A47F49"/>
    <w:rsid w:val="00A519CC"/>
    <w:rsid w:val="00A53201"/>
    <w:rsid w:val="00A55B4C"/>
    <w:rsid w:val="00A56F18"/>
    <w:rsid w:val="00A57FAB"/>
    <w:rsid w:val="00A61AC1"/>
    <w:rsid w:val="00A63261"/>
    <w:rsid w:val="00A632E6"/>
    <w:rsid w:val="00A64A7B"/>
    <w:rsid w:val="00A66FE3"/>
    <w:rsid w:val="00A72A4A"/>
    <w:rsid w:val="00A73275"/>
    <w:rsid w:val="00A73AA3"/>
    <w:rsid w:val="00A73C7A"/>
    <w:rsid w:val="00A75066"/>
    <w:rsid w:val="00A75910"/>
    <w:rsid w:val="00A77BAE"/>
    <w:rsid w:val="00A82D03"/>
    <w:rsid w:val="00A95415"/>
    <w:rsid w:val="00A977BB"/>
    <w:rsid w:val="00AA1C81"/>
    <w:rsid w:val="00AA3393"/>
    <w:rsid w:val="00AA351C"/>
    <w:rsid w:val="00AA6433"/>
    <w:rsid w:val="00AA7D2D"/>
    <w:rsid w:val="00AB0302"/>
    <w:rsid w:val="00AB40B8"/>
    <w:rsid w:val="00AB61E1"/>
    <w:rsid w:val="00AB7BF3"/>
    <w:rsid w:val="00AC2643"/>
    <w:rsid w:val="00AC3E85"/>
    <w:rsid w:val="00AC4DE2"/>
    <w:rsid w:val="00AC5321"/>
    <w:rsid w:val="00AC5406"/>
    <w:rsid w:val="00AC6736"/>
    <w:rsid w:val="00AD0386"/>
    <w:rsid w:val="00AD0A60"/>
    <w:rsid w:val="00AD35B6"/>
    <w:rsid w:val="00AD40EC"/>
    <w:rsid w:val="00AD76EC"/>
    <w:rsid w:val="00AE2756"/>
    <w:rsid w:val="00AE3136"/>
    <w:rsid w:val="00AE5163"/>
    <w:rsid w:val="00AE55DC"/>
    <w:rsid w:val="00AE64BB"/>
    <w:rsid w:val="00AF220B"/>
    <w:rsid w:val="00AF32B7"/>
    <w:rsid w:val="00AF5EB2"/>
    <w:rsid w:val="00B074A9"/>
    <w:rsid w:val="00B10AAD"/>
    <w:rsid w:val="00B122D1"/>
    <w:rsid w:val="00B150CC"/>
    <w:rsid w:val="00B2007F"/>
    <w:rsid w:val="00B21FF4"/>
    <w:rsid w:val="00B238C8"/>
    <w:rsid w:val="00B243DE"/>
    <w:rsid w:val="00B25023"/>
    <w:rsid w:val="00B253EC"/>
    <w:rsid w:val="00B26FEA"/>
    <w:rsid w:val="00B27E55"/>
    <w:rsid w:val="00B46B9A"/>
    <w:rsid w:val="00B5064C"/>
    <w:rsid w:val="00B50900"/>
    <w:rsid w:val="00B5278E"/>
    <w:rsid w:val="00B52A1D"/>
    <w:rsid w:val="00B54097"/>
    <w:rsid w:val="00B55398"/>
    <w:rsid w:val="00B5745A"/>
    <w:rsid w:val="00B57B8A"/>
    <w:rsid w:val="00B6069D"/>
    <w:rsid w:val="00B67AD7"/>
    <w:rsid w:val="00B7030D"/>
    <w:rsid w:val="00B74F62"/>
    <w:rsid w:val="00B76F0A"/>
    <w:rsid w:val="00B80536"/>
    <w:rsid w:val="00B84513"/>
    <w:rsid w:val="00B8457B"/>
    <w:rsid w:val="00B849AD"/>
    <w:rsid w:val="00B87940"/>
    <w:rsid w:val="00B919BB"/>
    <w:rsid w:val="00B95CB7"/>
    <w:rsid w:val="00B95F58"/>
    <w:rsid w:val="00B96ED0"/>
    <w:rsid w:val="00B97136"/>
    <w:rsid w:val="00B9715A"/>
    <w:rsid w:val="00B976C4"/>
    <w:rsid w:val="00BA12D2"/>
    <w:rsid w:val="00BA157F"/>
    <w:rsid w:val="00BA1B22"/>
    <w:rsid w:val="00BA3C31"/>
    <w:rsid w:val="00BA45B1"/>
    <w:rsid w:val="00BA56EA"/>
    <w:rsid w:val="00BA5A1E"/>
    <w:rsid w:val="00BA6484"/>
    <w:rsid w:val="00BA6D4C"/>
    <w:rsid w:val="00BB3849"/>
    <w:rsid w:val="00BB47C5"/>
    <w:rsid w:val="00BB5969"/>
    <w:rsid w:val="00BC1700"/>
    <w:rsid w:val="00BC2CEB"/>
    <w:rsid w:val="00BC2F90"/>
    <w:rsid w:val="00BC3689"/>
    <w:rsid w:val="00BC5BF2"/>
    <w:rsid w:val="00BC5FFF"/>
    <w:rsid w:val="00BC613E"/>
    <w:rsid w:val="00BC7F8A"/>
    <w:rsid w:val="00BD3CEA"/>
    <w:rsid w:val="00BD577F"/>
    <w:rsid w:val="00BE71D3"/>
    <w:rsid w:val="00BF4179"/>
    <w:rsid w:val="00BF4D11"/>
    <w:rsid w:val="00BF596E"/>
    <w:rsid w:val="00C0043C"/>
    <w:rsid w:val="00C01ECC"/>
    <w:rsid w:val="00C027CC"/>
    <w:rsid w:val="00C049EB"/>
    <w:rsid w:val="00C065C5"/>
    <w:rsid w:val="00C06829"/>
    <w:rsid w:val="00C076EC"/>
    <w:rsid w:val="00C100AD"/>
    <w:rsid w:val="00C16C1B"/>
    <w:rsid w:val="00C177A5"/>
    <w:rsid w:val="00C21D6F"/>
    <w:rsid w:val="00C2388F"/>
    <w:rsid w:val="00C251CE"/>
    <w:rsid w:val="00C32B7A"/>
    <w:rsid w:val="00C351E4"/>
    <w:rsid w:val="00C35DF4"/>
    <w:rsid w:val="00C36C73"/>
    <w:rsid w:val="00C421B6"/>
    <w:rsid w:val="00C45E4B"/>
    <w:rsid w:val="00C5022C"/>
    <w:rsid w:val="00C508C1"/>
    <w:rsid w:val="00C511E3"/>
    <w:rsid w:val="00C522C1"/>
    <w:rsid w:val="00C54028"/>
    <w:rsid w:val="00C54267"/>
    <w:rsid w:val="00C573F3"/>
    <w:rsid w:val="00C620DD"/>
    <w:rsid w:val="00C63A38"/>
    <w:rsid w:val="00C71858"/>
    <w:rsid w:val="00C72D09"/>
    <w:rsid w:val="00C76884"/>
    <w:rsid w:val="00C81912"/>
    <w:rsid w:val="00C8585D"/>
    <w:rsid w:val="00C865EB"/>
    <w:rsid w:val="00C94F51"/>
    <w:rsid w:val="00C955E0"/>
    <w:rsid w:val="00CA67F2"/>
    <w:rsid w:val="00CB1E84"/>
    <w:rsid w:val="00CB308B"/>
    <w:rsid w:val="00CB41D2"/>
    <w:rsid w:val="00CB48DC"/>
    <w:rsid w:val="00CC5F99"/>
    <w:rsid w:val="00CC6366"/>
    <w:rsid w:val="00CC68CA"/>
    <w:rsid w:val="00CD23C8"/>
    <w:rsid w:val="00CE1B22"/>
    <w:rsid w:val="00CE4310"/>
    <w:rsid w:val="00CE4D93"/>
    <w:rsid w:val="00CE7ECB"/>
    <w:rsid w:val="00CF14CB"/>
    <w:rsid w:val="00CF1560"/>
    <w:rsid w:val="00CF27A1"/>
    <w:rsid w:val="00CF2811"/>
    <w:rsid w:val="00CF2ED9"/>
    <w:rsid w:val="00CF2F76"/>
    <w:rsid w:val="00CF396F"/>
    <w:rsid w:val="00CF3CD2"/>
    <w:rsid w:val="00CF47BE"/>
    <w:rsid w:val="00D000EC"/>
    <w:rsid w:val="00D01A9B"/>
    <w:rsid w:val="00D02E7F"/>
    <w:rsid w:val="00D05321"/>
    <w:rsid w:val="00D13549"/>
    <w:rsid w:val="00D161C7"/>
    <w:rsid w:val="00D2353A"/>
    <w:rsid w:val="00D316C7"/>
    <w:rsid w:val="00D3319D"/>
    <w:rsid w:val="00D3484D"/>
    <w:rsid w:val="00D35E79"/>
    <w:rsid w:val="00D418C7"/>
    <w:rsid w:val="00D42338"/>
    <w:rsid w:val="00D42A79"/>
    <w:rsid w:val="00D42F50"/>
    <w:rsid w:val="00D453B3"/>
    <w:rsid w:val="00D457E7"/>
    <w:rsid w:val="00D50AB5"/>
    <w:rsid w:val="00D52173"/>
    <w:rsid w:val="00D53546"/>
    <w:rsid w:val="00D617A3"/>
    <w:rsid w:val="00D65D51"/>
    <w:rsid w:val="00D67157"/>
    <w:rsid w:val="00D7091B"/>
    <w:rsid w:val="00D73B4C"/>
    <w:rsid w:val="00D7441E"/>
    <w:rsid w:val="00D77383"/>
    <w:rsid w:val="00D773C7"/>
    <w:rsid w:val="00D805D4"/>
    <w:rsid w:val="00D846B8"/>
    <w:rsid w:val="00D84743"/>
    <w:rsid w:val="00D8613A"/>
    <w:rsid w:val="00D868C4"/>
    <w:rsid w:val="00D903AF"/>
    <w:rsid w:val="00D90F59"/>
    <w:rsid w:val="00D9143C"/>
    <w:rsid w:val="00D91537"/>
    <w:rsid w:val="00DA1E5D"/>
    <w:rsid w:val="00DA25EF"/>
    <w:rsid w:val="00DA4A29"/>
    <w:rsid w:val="00DA51BA"/>
    <w:rsid w:val="00DA6C14"/>
    <w:rsid w:val="00DC09C7"/>
    <w:rsid w:val="00DC103C"/>
    <w:rsid w:val="00DC1A76"/>
    <w:rsid w:val="00DD1B05"/>
    <w:rsid w:val="00DD2EFD"/>
    <w:rsid w:val="00DD4C4F"/>
    <w:rsid w:val="00DD4C9F"/>
    <w:rsid w:val="00DD5BDA"/>
    <w:rsid w:val="00DE25B3"/>
    <w:rsid w:val="00DE3B1C"/>
    <w:rsid w:val="00DE40E4"/>
    <w:rsid w:val="00DE44FF"/>
    <w:rsid w:val="00DE4D28"/>
    <w:rsid w:val="00DF3C31"/>
    <w:rsid w:val="00E01326"/>
    <w:rsid w:val="00E01F8E"/>
    <w:rsid w:val="00E04E6B"/>
    <w:rsid w:val="00E14F06"/>
    <w:rsid w:val="00E17D3C"/>
    <w:rsid w:val="00E21DB2"/>
    <w:rsid w:val="00E21EEB"/>
    <w:rsid w:val="00E22F39"/>
    <w:rsid w:val="00E248BB"/>
    <w:rsid w:val="00E275F6"/>
    <w:rsid w:val="00E310A1"/>
    <w:rsid w:val="00E31536"/>
    <w:rsid w:val="00E336C5"/>
    <w:rsid w:val="00E35AE6"/>
    <w:rsid w:val="00E36E25"/>
    <w:rsid w:val="00E46283"/>
    <w:rsid w:val="00E47B16"/>
    <w:rsid w:val="00E51527"/>
    <w:rsid w:val="00E51D6C"/>
    <w:rsid w:val="00E55CA7"/>
    <w:rsid w:val="00E55E19"/>
    <w:rsid w:val="00E61C9F"/>
    <w:rsid w:val="00E62188"/>
    <w:rsid w:val="00E63D6F"/>
    <w:rsid w:val="00E64F68"/>
    <w:rsid w:val="00E67189"/>
    <w:rsid w:val="00E716D6"/>
    <w:rsid w:val="00E71735"/>
    <w:rsid w:val="00E75990"/>
    <w:rsid w:val="00E77958"/>
    <w:rsid w:val="00E81B9F"/>
    <w:rsid w:val="00E837A1"/>
    <w:rsid w:val="00E83889"/>
    <w:rsid w:val="00E83AF9"/>
    <w:rsid w:val="00E83BC1"/>
    <w:rsid w:val="00E84353"/>
    <w:rsid w:val="00E8533C"/>
    <w:rsid w:val="00E863AF"/>
    <w:rsid w:val="00E868B6"/>
    <w:rsid w:val="00E86ED2"/>
    <w:rsid w:val="00E87879"/>
    <w:rsid w:val="00E87BAC"/>
    <w:rsid w:val="00E90175"/>
    <w:rsid w:val="00E902A4"/>
    <w:rsid w:val="00E902A6"/>
    <w:rsid w:val="00EB54DE"/>
    <w:rsid w:val="00EB68AB"/>
    <w:rsid w:val="00EB6A49"/>
    <w:rsid w:val="00EB764A"/>
    <w:rsid w:val="00EC166C"/>
    <w:rsid w:val="00EC4AC3"/>
    <w:rsid w:val="00EC4F93"/>
    <w:rsid w:val="00EC6334"/>
    <w:rsid w:val="00ED1DC2"/>
    <w:rsid w:val="00ED2FDB"/>
    <w:rsid w:val="00ED46D0"/>
    <w:rsid w:val="00ED4D98"/>
    <w:rsid w:val="00ED565B"/>
    <w:rsid w:val="00ED661A"/>
    <w:rsid w:val="00ED7A68"/>
    <w:rsid w:val="00EE4440"/>
    <w:rsid w:val="00EE6D41"/>
    <w:rsid w:val="00EE6DF7"/>
    <w:rsid w:val="00EE6F14"/>
    <w:rsid w:val="00F148EA"/>
    <w:rsid w:val="00F1691A"/>
    <w:rsid w:val="00F20C27"/>
    <w:rsid w:val="00F24508"/>
    <w:rsid w:val="00F2458F"/>
    <w:rsid w:val="00F269E0"/>
    <w:rsid w:val="00F26E4F"/>
    <w:rsid w:val="00F26FBC"/>
    <w:rsid w:val="00F308BA"/>
    <w:rsid w:val="00F30F2E"/>
    <w:rsid w:val="00F32C53"/>
    <w:rsid w:val="00F32E93"/>
    <w:rsid w:val="00F3325B"/>
    <w:rsid w:val="00F42037"/>
    <w:rsid w:val="00F43258"/>
    <w:rsid w:val="00F43C59"/>
    <w:rsid w:val="00F504BB"/>
    <w:rsid w:val="00F54847"/>
    <w:rsid w:val="00F55083"/>
    <w:rsid w:val="00F61ABF"/>
    <w:rsid w:val="00F62521"/>
    <w:rsid w:val="00F63291"/>
    <w:rsid w:val="00F6393F"/>
    <w:rsid w:val="00F67E3B"/>
    <w:rsid w:val="00F75040"/>
    <w:rsid w:val="00F75689"/>
    <w:rsid w:val="00F75A68"/>
    <w:rsid w:val="00F77320"/>
    <w:rsid w:val="00F81882"/>
    <w:rsid w:val="00F8248A"/>
    <w:rsid w:val="00F86D38"/>
    <w:rsid w:val="00F93F50"/>
    <w:rsid w:val="00F94479"/>
    <w:rsid w:val="00F95A37"/>
    <w:rsid w:val="00F95AC4"/>
    <w:rsid w:val="00FA083D"/>
    <w:rsid w:val="00FA3199"/>
    <w:rsid w:val="00FA3562"/>
    <w:rsid w:val="00FA3653"/>
    <w:rsid w:val="00FA4264"/>
    <w:rsid w:val="00FA456D"/>
    <w:rsid w:val="00FA7624"/>
    <w:rsid w:val="00FB0145"/>
    <w:rsid w:val="00FB01D1"/>
    <w:rsid w:val="00FB0AC2"/>
    <w:rsid w:val="00FB5EC1"/>
    <w:rsid w:val="00FB6C34"/>
    <w:rsid w:val="00FB7E82"/>
    <w:rsid w:val="00FC0553"/>
    <w:rsid w:val="00FC1AB5"/>
    <w:rsid w:val="00FC5AC5"/>
    <w:rsid w:val="00FC6E32"/>
    <w:rsid w:val="00FD14A7"/>
    <w:rsid w:val="00FD2E8E"/>
    <w:rsid w:val="00FD70DB"/>
    <w:rsid w:val="00FE0947"/>
    <w:rsid w:val="00FE31E8"/>
    <w:rsid w:val="00FE45BA"/>
    <w:rsid w:val="00FE5A31"/>
    <w:rsid w:val="00FE6AA7"/>
    <w:rsid w:val="00FE6B0B"/>
    <w:rsid w:val="00FF1086"/>
    <w:rsid w:val="00FF1FF8"/>
    <w:rsid w:val="00FF5A28"/>
    <w:rsid w:val="00FF658A"/>
    <w:rsid w:val="00FF7B67"/>
    <w:rsid w:val="01076BD6"/>
    <w:rsid w:val="014E2E85"/>
    <w:rsid w:val="015D404C"/>
    <w:rsid w:val="016B3CA6"/>
    <w:rsid w:val="0178340B"/>
    <w:rsid w:val="01B55201"/>
    <w:rsid w:val="01CD7511"/>
    <w:rsid w:val="022E6D4C"/>
    <w:rsid w:val="02317836"/>
    <w:rsid w:val="023A425A"/>
    <w:rsid w:val="02413EDA"/>
    <w:rsid w:val="02430B2B"/>
    <w:rsid w:val="02461D0A"/>
    <w:rsid w:val="028D3D23"/>
    <w:rsid w:val="02967657"/>
    <w:rsid w:val="02A20EE6"/>
    <w:rsid w:val="02D94B26"/>
    <w:rsid w:val="02E836CB"/>
    <w:rsid w:val="02EC61A5"/>
    <w:rsid w:val="02FF01F9"/>
    <w:rsid w:val="030C5B36"/>
    <w:rsid w:val="0310140E"/>
    <w:rsid w:val="03386882"/>
    <w:rsid w:val="034053A0"/>
    <w:rsid w:val="034A4C13"/>
    <w:rsid w:val="03797367"/>
    <w:rsid w:val="03C93DE4"/>
    <w:rsid w:val="03CF276F"/>
    <w:rsid w:val="03FE0DCE"/>
    <w:rsid w:val="03FE7515"/>
    <w:rsid w:val="04104985"/>
    <w:rsid w:val="042716ED"/>
    <w:rsid w:val="045451B7"/>
    <w:rsid w:val="045E20AA"/>
    <w:rsid w:val="04AA07F7"/>
    <w:rsid w:val="04D131E5"/>
    <w:rsid w:val="04D332DA"/>
    <w:rsid w:val="05052E25"/>
    <w:rsid w:val="053112AC"/>
    <w:rsid w:val="0557499A"/>
    <w:rsid w:val="05650B26"/>
    <w:rsid w:val="05A95255"/>
    <w:rsid w:val="05AF103D"/>
    <w:rsid w:val="05D209A6"/>
    <w:rsid w:val="05DE2191"/>
    <w:rsid w:val="060F6F5B"/>
    <w:rsid w:val="062126EF"/>
    <w:rsid w:val="0662250D"/>
    <w:rsid w:val="06754761"/>
    <w:rsid w:val="069756C9"/>
    <w:rsid w:val="06A92F28"/>
    <w:rsid w:val="06C93B0D"/>
    <w:rsid w:val="06EA41D2"/>
    <w:rsid w:val="06F82B78"/>
    <w:rsid w:val="071340FA"/>
    <w:rsid w:val="072E42E3"/>
    <w:rsid w:val="07AE5D26"/>
    <w:rsid w:val="07D729CE"/>
    <w:rsid w:val="07DE6C1B"/>
    <w:rsid w:val="07E32A26"/>
    <w:rsid w:val="07FB31AA"/>
    <w:rsid w:val="08110D5F"/>
    <w:rsid w:val="08404482"/>
    <w:rsid w:val="08484C90"/>
    <w:rsid w:val="08680C8A"/>
    <w:rsid w:val="0894460D"/>
    <w:rsid w:val="08A1103E"/>
    <w:rsid w:val="08AD349A"/>
    <w:rsid w:val="08B756C0"/>
    <w:rsid w:val="08E541DE"/>
    <w:rsid w:val="08F12495"/>
    <w:rsid w:val="09067486"/>
    <w:rsid w:val="093749F8"/>
    <w:rsid w:val="093E116A"/>
    <w:rsid w:val="095247AA"/>
    <w:rsid w:val="0968446C"/>
    <w:rsid w:val="09880AD8"/>
    <w:rsid w:val="09D34D18"/>
    <w:rsid w:val="09E127BA"/>
    <w:rsid w:val="09FC6205"/>
    <w:rsid w:val="0A2F1B36"/>
    <w:rsid w:val="0A353553"/>
    <w:rsid w:val="0A912C2F"/>
    <w:rsid w:val="0AA5328F"/>
    <w:rsid w:val="0AAD5F6D"/>
    <w:rsid w:val="0AF10EF9"/>
    <w:rsid w:val="0B0037FF"/>
    <w:rsid w:val="0B013BD1"/>
    <w:rsid w:val="0B061D9D"/>
    <w:rsid w:val="0B134589"/>
    <w:rsid w:val="0B1A0512"/>
    <w:rsid w:val="0B443B5A"/>
    <w:rsid w:val="0B4B09AA"/>
    <w:rsid w:val="0B502ED7"/>
    <w:rsid w:val="0B7E48FD"/>
    <w:rsid w:val="0BC33169"/>
    <w:rsid w:val="0BC41155"/>
    <w:rsid w:val="0BEF2F56"/>
    <w:rsid w:val="0BFB0153"/>
    <w:rsid w:val="0C556782"/>
    <w:rsid w:val="0CA00E3D"/>
    <w:rsid w:val="0CFC2EE8"/>
    <w:rsid w:val="0D161EA6"/>
    <w:rsid w:val="0D417D41"/>
    <w:rsid w:val="0D5B72FA"/>
    <w:rsid w:val="0D954675"/>
    <w:rsid w:val="0E2F068D"/>
    <w:rsid w:val="0E545AFA"/>
    <w:rsid w:val="0E711104"/>
    <w:rsid w:val="0E7C3468"/>
    <w:rsid w:val="0E8A2DA6"/>
    <w:rsid w:val="0F4628FA"/>
    <w:rsid w:val="0F542DC7"/>
    <w:rsid w:val="0F594D76"/>
    <w:rsid w:val="0F7439E1"/>
    <w:rsid w:val="0F7909EA"/>
    <w:rsid w:val="0F8845FF"/>
    <w:rsid w:val="0F9B2B5E"/>
    <w:rsid w:val="0FA15D82"/>
    <w:rsid w:val="0FB34829"/>
    <w:rsid w:val="0FBF4AFD"/>
    <w:rsid w:val="0FC72A8E"/>
    <w:rsid w:val="0FCB20E9"/>
    <w:rsid w:val="0FD13773"/>
    <w:rsid w:val="0FF24AF1"/>
    <w:rsid w:val="0FFD5B1D"/>
    <w:rsid w:val="10535E24"/>
    <w:rsid w:val="105B51DC"/>
    <w:rsid w:val="10784503"/>
    <w:rsid w:val="10AC44B6"/>
    <w:rsid w:val="10B02E63"/>
    <w:rsid w:val="10C14D02"/>
    <w:rsid w:val="10C30DD6"/>
    <w:rsid w:val="10D637A4"/>
    <w:rsid w:val="113A30DB"/>
    <w:rsid w:val="113F67BF"/>
    <w:rsid w:val="11430797"/>
    <w:rsid w:val="11437209"/>
    <w:rsid w:val="114C1021"/>
    <w:rsid w:val="119C617B"/>
    <w:rsid w:val="11AB20BD"/>
    <w:rsid w:val="11B24E3D"/>
    <w:rsid w:val="11C22947"/>
    <w:rsid w:val="11C96F3F"/>
    <w:rsid w:val="11EF02D6"/>
    <w:rsid w:val="120E4215"/>
    <w:rsid w:val="124F7D66"/>
    <w:rsid w:val="12843821"/>
    <w:rsid w:val="129C5457"/>
    <w:rsid w:val="12C853FC"/>
    <w:rsid w:val="12EA4DF1"/>
    <w:rsid w:val="12FF612F"/>
    <w:rsid w:val="1308440F"/>
    <w:rsid w:val="13404493"/>
    <w:rsid w:val="135607B7"/>
    <w:rsid w:val="13B37B42"/>
    <w:rsid w:val="13B6593C"/>
    <w:rsid w:val="13BB5EEE"/>
    <w:rsid w:val="13D0618E"/>
    <w:rsid w:val="13D72E28"/>
    <w:rsid w:val="14122513"/>
    <w:rsid w:val="144B74A1"/>
    <w:rsid w:val="14537884"/>
    <w:rsid w:val="14593BBF"/>
    <w:rsid w:val="1479358B"/>
    <w:rsid w:val="148970AE"/>
    <w:rsid w:val="148F0D11"/>
    <w:rsid w:val="14B538EB"/>
    <w:rsid w:val="14CE6CAD"/>
    <w:rsid w:val="14D56C28"/>
    <w:rsid w:val="14EF424A"/>
    <w:rsid w:val="1516763A"/>
    <w:rsid w:val="151C338A"/>
    <w:rsid w:val="15493997"/>
    <w:rsid w:val="155270A5"/>
    <w:rsid w:val="1565002B"/>
    <w:rsid w:val="15764134"/>
    <w:rsid w:val="15CA3A84"/>
    <w:rsid w:val="15E45DCF"/>
    <w:rsid w:val="15FB5013"/>
    <w:rsid w:val="164973BC"/>
    <w:rsid w:val="164A629B"/>
    <w:rsid w:val="167236B1"/>
    <w:rsid w:val="16A67E6D"/>
    <w:rsid w:val="16B903F1"/>
    <w:rsid w:val="16D229E9"/>
    <w:rsid w:val="16DC282A"/>
    <w:rsid w:val="173D66F2"/>
    <w:rsid w:val="17430389"/>
    <w:rsid w:val="175442C4"/>
    <w:rsid w:val="175C0959"/>
    <w:rsid w:val="17694069"/>
    <w:rsid w:val="176E4294"/>
    <w:rsid w:val="177143F1"/>
    <w:rsid w:val="177941D0"/>
    <w:rsid w:val="179D7CAF"/>
    <w:rsid w:val="17AD3734"/>
    <w:rsid w:val="17AD7718"/>
    <w:rsid w:val="17DC532F"/>
    <w:rsid w:val="17E33F38"/>
    <w:rsid w:val="17E858DF"/>
    <w:rsid w:val="17EF566D"/>
    <w:rsid w:val="18652550"/>
    <w:rsid w:val="186E548D"/>
    <w:rsid w:val="187947EE"/>
    <w:rsid w:val="18800267"/>
    <w:rsid w:val="18E27E46"/>
    <w:rsid w:val="18F93885"/>
    <w:rsid w:val="190B3F4D"/>
    <w:rsid w:val="19201D08"/>
    <w:rsid w:val="19237A10"/>
    <w:rsid w:val="196659D9"/>
    <w:rsid w:val="19731B79"/>
    <w:rsid w:val="198122A9"/>
    <w:rsid w:val="19951777"/>
    <w:rsid w:val="19990732"/>
    <w:rsid w:val="19CD112C"/>
    <w:rsid w:val="19DA2B3D"/>
    <w:rsid w:val="19EE3608"/>
    <w:rsid w:val="19FD3FF2"/>
    <w:rsid w:val="1A024AC4"/>
    <w:rsid w:val="1A4B679D"/>
    <w:rsid w:val="1A9759BA"/>
    <w:rsid w:val="1AA57B5F"/>
    <w:rsid w:val="1ACE6C96"/>
    <w:rsid w:val="1B003F95"/>
    <w:rsid w:val="1B1B0BBF"/>
    <w:rsid w:val="1B260840"/>
    <w:rsid w:val="1B2721FB"/>
    <w:rsid w:val="1B2A6089"/>
    <w:rsid w:val="1B2F566F"/>
    <w:rsid w:val="1B3D298F"/>
    <w:rsid w:val="1B5426F3"/>
    <w:rsid w:val="1B67421D"/>
    <w:rsid w:val="1B8E24F5"/>
    <w:rsid w:val="1B9845A6"/>
    <w:rsid w:val="1BD22BA4"/>
    <w:rsid w:val="1BE761D2"/>
    <w:rsid w:val="1C0950E5"/>
    <w:rsid w:val="1C1D195D"/>
    <w:rsid w:val="1C1F5E41"/>
    <w:rsid w:val="1C2407D2"/>
    <w:rsid w:val="1C392717"/>
    <w:rsid w:val="1C522081"/>
    <w:rsid w:val="1C625ADA"/>
    <w:rsid w:val="1CC125D0"/>
    <w:rsid w:val="1CFC4FA1"/>
    <w:rsid w:val="1D1A7B5E"/>
    <w:rsid w:val="1D314742"/>
    <w:rsid w:val="1D60242D"/>
    <w:rsid w:val="1D6D041F"/>
    <w:rsid w:val="1DB73C31"/>
    <w:rsid w:val="1DDE4865"/>
    <w:rsid w:val="1E316915"/>
    <w:rsid w:val="1E3B7996"/>
    <w:rsid w:val="1E5006DD"/>
    <w:rsid w:val="1E626810"/>
    <w:rsid w:val="1E7C1444"/>
    <w:rsid w:val="1E7D4154"/>
    <w:rsid w:val="1EAC6734"/>
    <w:rsid w:val="1EB360CF"/>
    <w:rsid w:val="1ECD0004"/>
    <w:rsid w:val="1EDE0AA2"/>
    <w:rsid w:val="1EE44777"/>
    <w:rsid w:val="1F057771"/>
    <w:rsid w:val="1F3A1F0D"/>
    <w:rsid w:val="1F4F2CDB"/>
    <w:rsid w:val="1F515A41"/>
    <w:rsid w:val="1F612C70"/>
    <w:rsid w:val="1F773899"/>
    <w:rsid w:val="1F863DB0"/>
    <w:rsid w:val="1FA20A5A"/>
    <w:rsid w:val="1FF27915"/>
    <w:rsid w:val="1FF314D8"/>
    <w:rsid w:val="202A6CAB"/>
    <w:rsid w:val="20711CD8"/>
    <w:rsid w:val="208E2D86"/>
    <w:rsid w:val="20A41BDD"/>
    <w:rsid w:val="20FB6B7F"/>
    <w:rsid w:val="21240B75"/>
    <w:rsid w:val="21274B8C"/>
    <w:rsid w:val="21320020"/>
    <w:rsid w:val="21354379"/>
    <w:rsid w:val="21432F64"/>
    <w:rsid w:val="214D230E"/>
    <w:rsid w:val="21927F51"/>
    <w:rsid w:val="21C203C7"/>
    <w:rsid w:val="21D218F6"/>
    <w:rsid w:val="21EE38EF"/>
    <w:rsid w:val="21F35B7F"/>
    <w:rsid w:val="223407FF"/>
    <w:rsid w:val="224A72AF"/>
    <w:rsid w:val="225223EF"/>
    <w:rsid w:val="22547760"/>
    <w:rsid w:val="22700ECC"/>
    <w:rsid w:val="22723839"/>
    <w:rsid w:val="227436F4"/>
    <w:rsid w:val="227C659F"/>
    <w:rsid w:val="229E0110"/>
    <w:rsid w:val="22AD05E4"/>
    <w:rsid w:val="22C008B6"/>
    <w:rsid w:val="22ED3802"/>
    <w:rsid w:val="230B6C59"/>
    <w:rsid w:val="23B00B6B"/>
    <w:rsid w:val="23C823BC"/>
    <w:rsid w:val="23E53AEE"/>
    <w:rsid w:val="24057464"/>
    <w:rsid w:val="24083F81"/>
    <w:rsid w:val="244F55CB"/>
    <w:rsid w:val="248555FD"/>
    <w:rsid w:val="24A42D4D"/>
    <w:rsid w:val="24C7382C"/>
    <w:rsid w:val="24D34D10"/>
    <w:rsid w:val="24F3261C"/>
    <w:rsid w:val="24F46692"/>
    <w:rsid w:val="25014A25"/>
    <w:rsid w:val="254A3931"/>
    <w:rsid w:val="255A0643"/>
    <w:rsid w:val="257E30B7"/>
    <w:rsid w:val="25CB6313"/>
    <w:rsid w:val="25D57113"/>
    <w:rsid w:val="25E54982"/>
    <w:rsid w:val="25EB3462"/>
    <w:rsid w:val="263C5A0B"/>
    <w:rsid w:val="26607ED1"/>
    <w:rsid w:val="266B71A0"/>
    <w:rsid w:val="269D7C54"/>
    <w:rsid w:val="26AD1445"/>
    <w:rsid w:val="26D60601"/>
    <w:rsid w:val="26E51EF5"/>
    <w:rsid w:val="26FE01DA"/>
    <w:rsid w:val="27A2224D"/>
    <w:rsid w:val="27BC0CDE"/>
    <w:rsid w:val="27E50CA8"/>
    <w:rsid w:val="27E948ED"/>
    <w:rsid w:val="28012834"/>
    <w:rsid w:val="28017784"/>
    <w:rsid w:val="284C385E"/>
    <w:rsid w:val="285A52C3"/>
    <w:rsid w:val="287F157E"/>
    <w:rsid w:val="28955618"/>
    <w:rsid w:val="28A139E0"/>
    <w:rsid w:val="28D41922"/>
    <w:rsid w:val="28DD78F7"/>
    <w:rsid w:val="29031F65"/>
    <w:rsid w:val="29291736"/>
    <w:rsid w:val="294411F8"/>
    <w:rsid w:val="297E1C0E"/>
    <w:rsid w:val="29986DA9"/>
    <w:rsid w:val="29CC726F"/>
    <w:rsid w:val="29D23CA4"/>
    <w:rsid w:val="29D5537D"/>
    <w:rsid w:val="29EB158B"/>
    <w:rsid w:val="2A304D9F"/>
    <w:rsid w:val="2A3360DB"/>
    <w:rsid w:val="2A491D72"/>
    <w:rsid w:val="2A634A21"/>
    <w:rsid w:val="2A6F7B63"/>
    <w:rsid w:val="2A8E2E5D"/>
    <w:rsid w:val="2A9905A2"/>
    <w:rsid w:val="2AA14B6D"/>
    <w:rsid w:val="2AA71E03"/>
    <w:rsid w:val="2AD02892"/>
    <w:rsid w:val="2AE110C1"/>
    <w:rsid w:val="2AED414D"/>
    <w:rsid w:val="2B7A199A"/>
    <w:rsid w:val="2B812B85"/>
    <w:rsid w:val="2B86149B"/>
    <w:rsid w:val="2BA56218"/>
    <w:rsid w:val="2BB97180"/>
    <w:rsid w:val="2C3E571B"/>
    <w:rsid w:val="2C5300D5"/>
    <w:rsid w:val="2C5F3F9C"/>
    <w:rsid w:val="2C840F94"/>
    <w:rsid w:val="2C925684"/>
    <w:rsid w:val="2CA06F79"/>
    <w:rsid w:val="2CBB3F8E"/>
    <w:rsid w:val="2CF429B8"/>
    <w:rsid w:val="2D122431"/>
    <w:rsid w:val="2D2540F2"/>
    <w:rsid w:val="2D2864D4"/>
    <w:rsid w:val="2D3B2EA5"/>
    <w:rsid w:val="2D6405B3"/>
    <w:rsid w:val="2D6A35EE"/>
    <w:rsid w:val="2D6F1C24"/>
    <w:rsid w:val="2D7D20F5"/>
    <w:rsid w:val="2DAA40C0"/>
    <w:rsid w:val="2DD32383"/>
    <w:rsid w:val="2DE50909"/>
    <w:rsid w:val="2E074350"/>
    <w:rsid w:val="2E130D88"/>
    <w:rsid w:val="2E520DDC"/>
    <w:rsid w:val="2E6F2442"/>
    <w:rsid w:val="2E8D1750"/>
    <w:rsid w:val="2E917FC7"/>
    <w:rsid w:val="2EA11FF9"/>
    <w:rsid w:val="2EB1759E"/>
    <w:rsid w:val="2ED06B3A"/>
    <w:rsid w:val="2EE72320"/>
    <w:rsid w:val="2EE8455C"/>
    <w:rsid w:val="2F051595"/>
    <w:rsid w:val="2F2B3BBA"/>
    <w:rsid w:val="2F3B75E1"/>
    <w:rsid w:val="2F556E64"/>
    <w:rsid w:val="2FC414F3"/>
    <w:rsid w:val="2FE60929"/>
    <w:rsid w:val="2FF058D0"/>
    <w:rsid w:val="304911C9"/>
    <w:rsid w:val="304D1B3B"/>
    <w:rsid w:val="308B2FC0"/>
    <w:rsid w:val="30D0752A"/>
    <w:rsid w:val="30D70117"/>
    <w:rsid w:val="30E42F09"/>
    <w:rsid w:val="310F427D"/>
    <w:rsid w:val="311B7D55"/>
    <w:rsid w:val="31274B61"/>
    <w:rsid w:val="31292EFD"/>
    <w:rsid w:val="31475EA3"/>
    <w:rsid w:val="314B29C9"/>
    <w:rsid w:val="316626E3"/>
    <w:rsid w:val="31922776"/>
    <w:rsid w:val="31951E5D"/>
    <w:rsid w:val="31B441AF"/>
    <w:rsid w:val="31CA5A33"/>
    <w:rsid w:val="31E36769"/>
    <w:rsid w:val="32200D97"/>
    <w:rsid w:val="32381309"/>
    <w:rsid w:val="326474DA"/>
    <w:rsid w:val="327A6488"/>
    <w:rsid w:val="32A81084"/>
    <w:rsid w:val="32D70991"/>
    <w:rsid w:val="32F535F5"/>
    <w:rsid w:val="33016458"/>
    <w:rsid w:val="33060E4C"/>
    <w:rsid w:val="330F2A34"/>
    <w:rsid w:val="33564AB2"/>
    <w:rsid w:val="339E6C88"/>
    <w:rsid w:val="33AF226D"/>
    <w:rsid w:val="33B2679E"/>
    <w:rsid w:val="33D36B9A"/>
    <w:rsid w:val="33DC14FA"/>
    <w:rsid w:val="34022683"/>
    <w:rsid w:val="341C3972"/>
    <w:rsid w:val="3446360A"/>
    <w:rsid w:val="34533BEE"/>
    <w:rsid w:val="345859F0"/>
    <w:rsid w:val="346336DD"/>
    <w:rsid w:val="34B346C3"/>
    <w:rsid w:val="34F34C56"/>
    <w:rsid w:val="3517036E"/>
    <w:rsid w:val="35300F78"/>
    <w:rsid w:val="3558075F"/>
    <w:rsid w:val="35780F77"/>
    <w:rsid w:val="357A5788"/>
    <w:rsid w:val="35A67BFC"/>
    <w:rsid w:val="35A876A1"/>
    <w:rsid w:val="35C50183"/>
    <w:rsid w:val="35EC2159"/>
    <w:rsid w:val="35F114A2"/>
    <w:rsid w:val="360308BC"/>
    <w:rsid w:val="36147632"/>
    <w:rsid w:val="364D0EC0"/>
    <w:rsid w:val="36530971"/>
    <w:rsid w:val="36561BAE"/>
    <w:rsid w:val="36610C56"/>
    <w:rsid w:val="366B24CA"/>
    <w:rsid w:val="36951B8D"/>
    <w:rsid w:val="36A8145F"/>
    <w:rsid w:val="36DD69F4"/>
    <w:rsid w:val="37133678"/>
    <w:rsid w:val="3728410F"/>
    <w:rsid w:val="376916D4"/>
    <w:rsid w:val="376D4076"/>
    <w:rsid w:val="376E6E4C"/>
    <w:rsid w:val="37806B15"/>
    <w:rsid w:val="379F4ECC"/>
    <w:rsid w:val="37E43FA4"/>
    <w:rsid w:val="38095396"/>
    <w:rsid w:val="3816397A"/>
    <w:rsid w:val="383E2875"/>
    <w:rsid w:val="385666E5"/>
    <w:rsid w:val="38847839"/>
    <w:rsid w:val="389B40D1"/>
    <w:rsid w:val="38A27BCA"/>
    <w:rsid w:val="38AD0ACD"/>
    <w:rsid w:val="38C7007B"/>
    <w:rsid w:val="38DB70E7"/>
    <w:rsid w:val="38E42223"/>
    <w:rsid w:val="38E7021B"/>
    <w:rsid w:val="38FC22BD"/>
    <w:rsid w:val="39172BE0"/>
    <w:rsid w:val="391E6375"/>
    <w:rsid w:val="39202A58"/>
    <w:rsid w:val="39392ABC"/>
    <w:rsid w:val="394D32FB"/>
    <w:rsid w:val="39BD163F"/>
    <w:rsid w:val="39C2558C"/>
    <w:rsid w:val="39C278E6"/>
    <w:rsid w:val="39C643B9"/>
    <w:rsid w:val="39E44C3D"/>
    <w:rsid w:val="39E45F4A"/>
    <w:rsid w:val="39E73097"/>
    <w:rsid w:val="3A104D6D"/>
    <w:rsid w:val="3A3827C5"/>
    <w:rsid w:val="3A6746EC"/>
    <w:rsid w:val="3A7D1C34"/>
    <w:rsid w:val="3A8D1522"/>
    <w:rsid w:val="3A915AD0"/>
    <w:rsid w:val="3A9264EB"/>
    <w:rsid w:val="3AB47E17"/>
    <w:rsid w:val="3ABF774F"/>
    <w:rsid w:val="3AC1651A"/>
    <w:rsid w:val="3ACE34FD"/>
    <w:rsid w:val="3AD14E8A"/>
    <w:rsid w:val="3AD16F1E"/>
    <w:rsid w:val="3AFB05CE"/>
    <w:rsid w:val="3B17506D"/>
    <w:rsid w:val="3B192EFF"/>
    <w:rsid w:val="3B3F00FE"/>
    <w:rsid w:val="3BA93B16"/>
    <w:rsid w:val="3BC71655"/>
    <w:rsid w:val="3BC96FFE"/>
    <w:rsid w:val="3BCE25E6"/>
    <w:rsid w:val="3C085B4E"/>
    <w:rsid w:val="3C0F295B"/>
    <w:rsid w:val="3C1B106D"/>
    <w:rsid w:val="3C22183D"/>
    <w:rsid w:val="3C5D7C20"/>
    <w:rsid w:val="3C6F5B49"/>
    <w:rsid w:val="3C9278F9"/>
    <w:rsid w:val="3CE10C9A"/>
    <w:rsid w:val="3CE360C2"/>
    <w:rsid w:val="3CEA2ACF"/>
    <w:rsid w:val="3D0C77C5"/>
    <w:rsid w:val="3D0F6B72"/>
    <w:rsid w:val="3D177406"/>
    <w:rsid w:val="3D314871"/>
    <w:rsid w:val="3D48523F"/>
    <w:rsid w:val="3D5D6F35"/>
    <w:rsid w:val="3D7E1160"/>
    <w:rsid w:val="3D8B06B4"/>
    <w:rsid w:val="3DA97210"/>
    <w:rsid w:val="3DC46A40"/>
    <w:rsid w:val="3DDF4E96"/>
    <w:rsid w:val="3E0E3745"/>
    <w:rsid w:val="3E3D0410"/>
    <w:rsid w:val="3E7A0654"/>
    <w:rsid w:val="3E983572"/>
    <w:rsid w:val="3EBD4315"/>
    <w:rsid w:val="3EE62806"/>
    <w:rsid w:val="3EF04A46"/>
    <w:rsid w:val="3F0C3653"/>
    <w:rsid w:val="3F0F483A"/>
    <w:rsid w:val="3F3618F0"/>
    <w:rsid w:val="3F5129F4"/>
    <w:rsid w:val="3FC14E74"/>
    <w:rsid w:val="3FCE61D4"/>
    <w:rsid w:val="40275E65"/>
    <w:rsid w:val="4030360B"/>
    <w:rsid w:val="403B5BF5"/>
    <w:rsid w:val="403C7C0C"/>
    <w:rsid w:val="404A6865"/>
    <w:rsid w:val="40731D0B"/>
    <w:rsid w:val="40951536"/>
    <w:rsid w:val="409E0EFE"/>
    <w:rsid w:val="40A1083C"/>
    <w:rsid w:val="40BD25B1"/>
    <w:rsid w:val="40CD1FE8"/>
    <w:rsid w:val="40E82D7E"/>
    <w:rsid w:val="41110BED"/>
    <w:rsid w:val="41540A99"/>
    <w:rsid w:val="41680E74"/>
    <w:rsid w:val="41A03ED4"/>
    <w:rsid w:val="41A07B4E"/>
    <w:rsid w:val="41B16534"/>
    <w:rsid w:val="41BC1F10"/>
    <w:rsid w:val="41DD7028"/>
    <w:rsid w:val="4215147E"/>
    <w:rsid w:val="42486DEF"/>
    <w:rsid w:val="424B3AFB"/>
    <w:rsid w:val="424E798B"/>
    <w:rsid w:val="42C0154B"/>
    <w:rsid w:val="42D53026"/>
    <w:rsid w:val="42D75368"/>
    <w:rsid w:val="42E250CC"/>
    <w:rsid w:val="42E83D10"/>
    <w:rsid w:val="42F22E36"/>
    <w:rsid w:val="42FA221D"/>
    <w:rsid w:val="430C0D36"/>
    <w:rsid w:val="43532722"/>
    <w:rsid w:val="436572AC"/>
    <w:rsid w:val="43765341"/>
    <w:rsid w:val="43847091"/>
    <w:rsid w:val="439731C5"/>
    <w:rsid w:val="43AC19E7"/>
    <w:rsid w:val="43CA0AF5"/>
    <w:rsid w:val="440F50B7"/>
    <w:rsid w:val="44310E14"/>
    <w:rsid w:val="44334623"/>
    <w:rsid w:val="44697270"/>
    <w:rsid w:val="44DE6DB1"/>
    <w:rsid w:val="4588546E"/>
    <w:rsid w:val="45B22EC1"/>
    <w:rsid w:val="45E60474"/>
    <w:rsid w:val="45F4565B"/>
    <w:rsid w:val="45F95218"/>
    <w:rsid w:val="46122789"/>
    <w:rsid w:val="464D6318"/>
    <w:rsid w:val="465800AA"/>
    <w:rsid w:val="46886E13"/>
    <w:rsid w:val="4690524E"/>
    <w:rsid w:val="46936A1F"/>
    <w:rsid w:val="46C1077C"/>
    <w:rsid w:val="46CE0949"/>
    <w:rsid w:val="47152426"/>
    <w:rsid w:val="47323011"/>
    <w:rsid w:val="473D2379"/>
    <w:rsid w:val="475D52DA"/>
    <w:rsid w:val="476756F9"/>
    <w:rsid w:val="47753770"/>
    <w:rsid w:val="47756B56"/>
    <w:rsid w:val="477E69BA"/>
    <w:rsid w:val="478F3EA7"/>
    <w:rsid w:val="47A10F0B"/>
    <w:rsid w:val="47AD3F78"/>
    <w:rsid w:val="47B82CDA"/>
    <w:rsid w:val="47D93D2B"/>
    <w:rsid w:val="4800175D"/>
    <w:rsid w:val="482B5C12"/>
    <w:rsid w:val="48496C5B"/>
    <w:rsid w:val="484B79B9"/>
    <w:rsid w:val="488A3BCE"/>
    <w:rsid w:val="48C237B4"/>
    <w:rsid w:val="48DD73F7"/>
    <w:rsid w:val="48E55278"/>
    <w:rsid w:val="48E6104E"/>
    <w:rsid w:val="48FB0FBB"/>
    <w:rsid w:val="492C3528"/>
    <w:rsid w:val="498A6479"/>
    <w:rsid w:val="498C3E0D"/>
    <w:rsid w:val="49B4651F"/>
    <w:rsid w:val="49B7789F"/>
    <w:rsid w:val="49D066E0"/>
    <w:rsid w:val="49D434D6"/>
    <w:rsid w:val="49D639C4"/>
    <w:rsid w:val="49E329B9"/>
    <w:rsid w:val="4A3756E1"/>
    <w:rsid w:val="4A3B5AAC"/>
    <w:rsid w:val="4A596D09"/>
    <w:rsid w:val="4A6A012D"/>
    <w:rsid w:val="4A885F03"/>
    <w:rsid w:val="4A9C1DE8"/>
    <w:rsid w:val="4AED1B3A"/>
    <w:rsid w:val="4AF47255"/>
    <w:rsid w:val="4B1B27CA"/>
    <w:rsid w:val="4B3C1A19"/>
    <w:rsid w:val="4BA85A03"/>
    <w:rsid w:val="4C1E6F74"/>
    <w:rsid w:val="4C1F5596"/>
    <w:rsid w:val="4C6512DA"/>
    <w:rsid w:val="4CA9590C"/>
    <w:rsid w:val="4CE6400E"/>
    <w:rsid w:val="4CF906E8"/>
    <w:rsid w:val="4D116A1C"/>
    <w:rsid w:val="4D20123A"/>
    <w:rsid w:val="4D2F60F9"/>
    <w:rsid w:val="4D5670A7"/>
    <w:rsid w:val="4D5D051F"/>
    <w:rsid w:val="4D5D1F52"/>
    <w:rsid w:val="4D6B297D"/>
    <w:rsid w:val="4DAC7D4C"/>
    <w:rsid w:val="4DBC63C0"/>
    <w:rsid w:val="4DC60AB7"/>
    <w:rsid w:val="4E07242E"/>
    <w:rsid w:val="4E540763"/>
    <w:rsid w:val="4E606CED"/>
    <w:rsid w:val="4E72442D"/>
    <w:rsid w:val="4EA43DEF"/>
    <w:rsid w:val="4EB0364A"/>
    <w:rsid w:val="4EF1559A"/>
    <w:rsid w:val="4F406FF7"/>
    <w:rsid w:val="4F46255D"/>
    <w:rsid w:val="4F567FAC"/>
    <w:rsid w:val="4F5D7111"/>
    <w:rsid w:val="4F7020F0"/>
    <w:rsid w:val="4F8729A1"/>
    <w:rsid w:val="4F8E36B5"/>
    <w:rsid w:val="4FA45F82"/>
    <w:rsid w:val="4FC20AA7"/>
    <w:rsid w:val="4FE80B78"/>
    <w:rsid w:val="4FF026F6"/>
    <w:rsid w:val="4FFD0AB6"/>
    <w:rsid w:val="50420770"/>
    <w:rsid w:val="50582EBF"/>
    <w:rsid w:val="505F1EFD"/>
    <w:rsid w:val="506C50B1"/>
    <w:rsid w:val="507C1B99"/>
    <w:rsid w:val="50B70587"/>
    <w:rsid w:val="50F2027E"/>
    <w:rsid w:val="50F97C91"/>
    <w:rsid w:val="513D1102"/>
    <w:rsid w:val="514122EC"/>
    <w:rsid w:val="515B375C"/>
    <w:rsid w:val="515F4148"/>
    <w:rsid w:val="518347D8"/>
    <w:rsid w:val="518B34DC"/>
    <w:rsid w:val="519A03E7"/>
    <w:rsid w:val="51C32097"/>
    <w:rsid w:val="51F651B2"/>
    <w:rsid w:val="521024B8"/>
    <w:rsid w:val="521C4275"/>
    <w:rsid w:val="52230157"/>
    <w:rsid w:val="523978C1"/>
    <w:rsid w:val="528864CB"/>
    <w:rsid w:val="5292269A"/>
    <w:rsid w:val="529B0DE9"/>
    <w:rsid w:val="52DD0A68"/>
    <w:rsid w:val="52EC7E76"/>
    <w:rsid w:val="53050A50"/>
    <w:rsid w:val="53116663"/>
    <w:rsid w:val="53265EE0"/>
    <w:rsid w:val="532720D7"/>
    <w:rsid w:val="532A4949"/>
    <w:rsid w:val="53423C6C"/>
    <w:rsid w:val="5345588D"/>
    <w:rsid w:val="536515F2"/>
    <w:rsid w:val="5376467E"/>
    <w:rsid w:val="538C5DFD"/>
    <w:rsid w:val="539501DC"/>
    <w:rsid w:val="53AB4BF3"/>
    <w:rsid w:val="53B034DF"/>
    <w:rsid w:val="53B355FD"/>
    <w:rsid w:val="53CE4273"/>
    <w:rsid w:val="53D44433"/>
    <w:rsid w:val="53F25463"/>
    <w:rsid w:val="54526B91"/>
    <w:rsid w:val="54651589"/>
    <w:rsid w:val="54734ACB"/>
    <w:rsid w:val="54783F3B"/>
    <w:rsid w:val="548B37A3"/>
    <w:rsid w:val="54BA656D"/>
    <w:rsid w:val="54BF5E10"/>
    <w:rsid w:val="54DE0F4F"/>
    <w:rsid w:val="54DF4B64"/>
    <w:rsid w:val="54E53259"/>
    <w:rsid w:val="54E97D97"/>
    <w:rsid w:val="54EA5BF7"/>
    <w:rsid w:val="55297615"/>
    <w:rsid w:val="55356900"/>
    <w:rsid w:val="558F1FD7"/>
    <w:rsid w:val="55AD11FF"/>
    <w:rsid w:val="55B769EE"/>
    <w:rsid w:val="55EA5842"/>
    <w:rsid w:val="56015F2E"/>
    <w:rsid w:val="560B1770"/>
    <w:rsid w:val="56125393"/>
    <w:rsid w:val="563D07A6"/>
    <w:rsid w:val="564A138F"/>
    <w:rsid w:val="565B2644"/>
    <w:rsid w:val="566F3BE9"/>
    <w:rsid w:val="56797DA1"/>
    <w:rsid w:val="568527A9"/>
    <w:rsid w:val="56F52A0D"/>
    <w:rsid w:val="57153616"/>
    <w:rsid w:val="572B20A7"/>
    <w:rsid w:val="57787D9B"/>
    <w:rsid w:val="577C1E80"/>
    <w:rsid w:val="5788757C"/>
    <w:rsid w:val="579E6879"/>
    <w:rsid w:val="57B4627B"/>
    <w:rsid w:val="57B80D32"/>
    <w:rsid w:val="57D20586"/>
    <w:rsid w:val="57E5750F"/>
    <w:rsid w:val="580C459C"/>
    <w:rsid w:val="58682E29"/>
    <w:rsid w:val="588769BB"/>
    <w:rsid w:val="588C0AAD"/>
    <w:rsid w:val="58AA3B72"/>
    <w:rsid w:val="58C14269"/>
    <w:rsid w:val="58F05AD9"/>
    <w:rsid w:val="590236C1"/>
    <w:rsid w:val="59036554"/>
    <w:rsid w:val="590A3E65"/>
    <w:rsid w:val="591579D5"/>
    <w:rsid w:val="59200143"/>
    <w:rsid w:val="597822CA"/>
    <w:rsid w:val="59A44EA2"/>
    <w:rsid w:val="59C147E0"/>
    <w:rsid w:val="59C80A03"/>
    <w:rsid w:val="59D17464"/>
    <w:rsid w:val="5A066EA4"/>
    <w:rsid w:val="5A1F4654"/>
    <w:rsid w:val="5A4F2C18"/>
    <w:rsid w:val="5A5B2881"/>
    <w:rsid w:val="5A6D4ABA"/>
    <w:rsid w:val="5A720611"/>
    <w:rsid w:val="5A7E7B53"/>
    <w:rsid w:val="5A812E59"/>
    <w:rsid w:val="5A880D80"/>
    <w:rsid w:val="5A995DAB"/>
    <w:rsid w:val="5ABA7460"/>
    <w:rsid w:val="5AC23634"/>
    <w:rsid w:val="5ACB453D"/>
    <w:rsid w:val="5AF779F8"/>
    <w:rsid w:val="5B567151"/>
    <w:rsid w:val="5B8E672D"/>
    <w:rsid w:val="5B947F8E"/>
    <w:rsid w:val="5B9C24F1"/>
    <w:rsid w:val="5B9E50D3"/>
    <w:rsid w:val="5BB46CAC"/>
    <w:rsid w:val="5C105F94"/>
    <w:rsid w:val="5C251D7A"/>
    <w:rsid w:val="5C5F056F"/>
    <w:rsid w:val="5C724B48"/>
    <w:rsid w:val="5CBF064C"/>
    <w:rsid w:val="5CBF1046"/>
    <w:rsid w:val="5CFA1CEF"/>
    <w:rsid w:val="5D280866"/>
    <w:rsid w:val="5D2C49EA"/>
    <w:rsid w:val="5D330E59"/>
    <w:rsid w:val="5D400C12"/>
    <w:rsid w:val="5D6B45FE"/>
    <w:rsid w:val="5D752595"/>
    <w:rsid w:val="5D7E5D81"/>
    <w:rsid w:val="5DA15C08"/>
    <w:rsid w:val="5DB73653"/>
    <w:rsid w:val="5DC534F4"/>
    <w:rsid w:val="5DE44F8E"/>
    <w:rsid w:val="5DF60096"/>
    <w:rsid w:val="5DFF7801"/>
    <w:rsid w:val="5E1763BF"/>
    <w:rsid w:val="5E2F576D"/>
    <w:rsid w:val="5E4274C8"/>
    <w:rsid w:val="5E6907E3"/>
    <w:rsid w:val="5E6F4DE2"/>
    <w:rsid w:val="5E941605"/>
    <w:rsid w:val="5E9C6357"/>
    <w:rsid w:val="5EB52F60"/>
    <w:rsid w:val="5EC44200"/>
    <w:rsid w:val="5EC82C37"/>
    <w:rsid w:val="5EDD4F31"/>
    <w:rsid w:val="5EF210D2"/>
    <w:rsid w:val="5F042BD4"/>
    <w:rsid w:val="5F0E6C5C"/>
    <w:rsid w:val="5F230F76"/>
    <w:rsid w:val="5F2447E2"/>
    <w:rsid w:val="5F2872ED"/>
    <w:rsid w:val="5F2E3DA5"/>
    <w:rsid w:val="5FC47F6A"/>
    <w:rsid w:val="600B28B6"/>
    <w:rsid w:val="602A170A"/>
    <w:rsid w:val="603B22A6"/>
    <w:rsid w:val="60437933"/>
    <w:rsid w:val="605A28BD"/>
    <w:rsid w:val="606846AF"/>
    <w:rsid w:val="607D2763"/>
    <w:rsid w:val="60C87184"/>
    <w:rsid w:val="60D6252D"/>
    <w:rsid w:val="610B183C"/>
    <w:rsid w:val="61134F5B"/>
    <w:rsid w:val="6122217B"/>
    <w:rsid w:val="614E30F6"/>
    <w:rsid w:val="61613AC5"/>
    <w:rsid w:val="616B75B8"/>
    <w:rsid w:val="617C4235"/>
    <w:rsid w:val="618113BE"/>
    <w:rsid w:val="619233FA"/>
    <w:rsid w:val="61A709F6"/>
    <w:rsid w:val="61AF1761"/>
    <w:rsid w:val="61D640C8"/>
    <w:rsid w:val="621D5FD0"/>
    <w:rsid w:val="625351F3"/>
    <w:rsid w:val="62553A9B"/>
    <w:rsid w:val="625D0D83"/>
    <w:rsid w:val="627B7721"/>
    <w:rsid w:val="628D77F7"/>
    <w:rsid w:val="62A00205"/>
    <w:rsid w:val="62A954D2"/>
    <w:rsid w:val="62CC5473"/>
    <w:rsid w:val="62D73225"/>
    <w:rsid w:val="62F569D6"/>
    <w:rsid w:val="630C7A3C"/>
    <w:rsid w:val="634535EC"/>
    <w:rsid w:val="63933968"/>
    <w:rsid w:val="63D635A2"/>
    <w:rsid w:val="63D66BDA"/>
    <w:rsid w:val="63D66D3A"/>
    <w:rsid w:val="63DC35F1"/>
    <w:rsid w:val="641759F5"/>
    <w:rsid w:val="6441634D"/>
    <w:rsid w:val="6445786C"/>
    <w:rsid w:val="646679B9"/>
    <w:rsid w:val="64922A50"/>
    <w:rsid w:val="64BE491B"/>
    <w:rsid w:val="64D329CF"/>
    <w:rsid w:val="650426DD"/>
    <w:rsid w:val="654E35AF"/>
    <w:rsid w:val="657235AB"/>
    <w:rsid w:val="657F0CDB"/>
    <w:rsid w:val="65C02314"/>
    <w:rsid w:val="65C15063"/>
    <w:rsid w:val="65FA5B9B"/>
    <w:rsid w:val="661F59D0"/>
    <w:rsid w:val="662E56F4"/>
    <w:rsid w:val="663F19B5"/>
    <w:rsid w:val="667B36D0"/>
    <w:rsid w:val="66843452"/>
    <w:rsid w:val="673C1207"/>
    <w:rsid w:val="67557264"/>
    <w:rsid w:val="67753BC9"/>
    <w:rsid w:val="67AC14B0"/>
    <w:rsid w:val="67F5613D"/>
    <w:rsid w:val="68452A8B"/>
    <w:rsid w:val="68517281"/>
    <w:rsid w:val="68567627"/>
    <w:rsid w:val="685A6385"/>
    <w:rsid w:val="685F2CAB"/>
    <w:rsid w:val="69000390"/>
    <w:rsid w:val="690715CF"/>
    <w:rsid w:val="691E0CA2"/>
    <w:rsid w:val="69215E32"/>
    <w:rsid w:val="69247457"/>
    <w:rsid w:val="6944771E"/>
    <w:rsid w:val="696207B4"/>
    <w:rsid w:val="698377BF"/>
    <w:rsid w:val="698A4060"/>
    <w:rsid w:val="69E14866"/>
    <w:rsid w:val="69FE38D7"/>
    <w:rsid w:val="6A394550"/>
    <w:rsid w:val="6A3B5037"/>
    <w:rsid w:val="6A6122EB"/>
    <w:rsid w:val="6A674179"/>
    <w:rsid w:val="6AE07478"/>
    <w:rsid w:val="6B1B7F4E"/>
    <w:rsid w:val="6B2D7560"/>
    <w:rsid w:val="6B397792"/>
    <w:rsid w:val="6B665E1C"/>
    <w:rsid w:val="6B74153B"/>
    <w:rsid w:val="6B7867DE"/>
    <w:rsid w:val="6B7A0E17"/>
    <w:rsid w:val="6B80005A"/>
    <w:rsid w:val="6B976723"/>
    <w:rsid w:val="6BA90006"/>
    <w:rsid w:val="6BCA1195"/>
    <w:rsid w:val="6BD265B2"/>
    <w:rsid w:val="6BF65381"/>
    <w:rsid w:val="6C0434F7"/>
    <w:rsid w:val="6C161E18"/>
    <w:rsid w:val="6C196224"/>
    <w:rsid w:val="6C2F1783"/>
    <w:rsid w:val="6C673F69"/>
    <w:rsid w:val="6C684978"/>
    <w:rsid w:val="6C717588"/>
    <w:rsid w:val="6C796258"/>
    <w:rsid w:val="6CBB08C6"/>
    <w:rsid w:val="6CE56BD0"/>
    <w:rsid w:val="6CF56458"/>
    <w:rsid w:val="6D083B18"/>
    <w:rsid w:val="6D2A351D"/>
    <w:rsid w:val="6D2B1629"/>
    <w:rsid w:val="6D2C5AA6"/>
    <w:rsid w:val="6D2F041C"/>
    <w:rsid w:val="6D476EFE"/>
    <w:rsid w:val="6D483AA3"/>
    <w:rsid w:val="6D650525"/>
    <w:rsid w:val="6D8F44B2"/>
    <w:rsid w:val="6DC878A1"/>
    <w:rsid w:val="6E163112"/>
    <w:rsid w:val="6E2C0631"/>
    <w:rsid w:val="6E304E54"/>
    <w:rsid w:val="6E3431D3"/>
    <w:rsid w:val="6E3B78E1"/>
    <w:rsid w:val="6E5B3FEE"/>
    <w:rsid w:val="6E815E20"/>
    <w:rsid w:val="6E82756A"/>
    <w:rsid w:val="6EAD493E"/>
    <w:rsid w:val="6EC35D97"/>
    <w:rsid w:val="6EDD2382"/>
    <w:rsid w:val="6EF601EB"/>
    <w:rsid w:val="6F3C13C4"/>
    <w:rsid w:val="6F3D2BD0"/>
    <w:rsid w:val="6F4D4377"/>
    <w:rsid w:val="6F4F1FA2"/>
    <w:rsid w:val="6F827E1F"/>
    <w:rsid w:val="6F8D0467"/>
    <w:rsid w:val="6F957411"/>
    <w:rsid w:val="6FBE33DD"/>
    <w:rsid w:val="6FD11BD1"/>
    <w:rsid w:val="6FEF748A"/>
    <w:rsid w:val="701B4AA1"/>
    <w:rsid w:val="70462C1D"/>
    <w:rsid w:val="70695629"/>
    <w:rsid w:val="706E2CC7"/>
    <w:rsid w:val="70850E58"/>
    <w:rsid w:val="70F65B1B"/>
    <w:rsid w:val="712B7FB7"/>
    <w:rsid w:val="717778CF"/>
    <w:rsid w:val="71C9438B"/>
    <w:rsid w:val="71DF4622"/>
    <w:rsid w:val="71EB232F"/>
    <w:rsid w:val="71F22395"/>
    <w:rsid w:val="72141830"/>
    <w:rsid w:val="723F5D4E"/>
    <w:rsid w:val="72E03AF4"/>
    <w:rsid w:val="732F3A9D"/>
    <w:rsid w:val="73310943"/>
    <w:rsid w:val="733C66BA"/>
    <w:rsid w:val="735B575F"/>
    <w:rsid w:val="736E713E"/>
    <w:rsid w:val="73821076"/>
    <w:rsid w:val="7385232B"/>
    <w:rsid w:val="73AA2969"/>
    <w:rsid w:val="73B22405"/>
    <w:rsid w:val="73B8474E"/>
    <w:rsid w:val="73BD24C1"/>
    <w:rsid w:val="73CF1F2D"/>
    <w:rsid w:val="73D81DDE"/>
    <w:rsid w:val="73FC1BEE"/>
    <w:rsid w:val="73FE741E"/>
    <w:rsid w:val="741D456D"/>
    <w:rsid w:val="743A7953"/>
    <w:rsid w:val="744700FB"/>
    <w:rsid w:val="74493A8B"/>
    <w:rsid w:val="747A1ED6"/>
    <w:rsid w:val="74822716"/>
    <w:rsid w:val="74A77D79"/>
    <w:rsid w:val="74BB2C8C"/>
    <w:rsid w:val="74EB298F"/>
    <w:rsid w:val="74EE2280"/>
    <w:rsid w:val="74F53D91"/>
    <w:rsid w:val="74FD694C"/>
    <w:rsid w:val="750D3D28"/>
    <w:rsid w:val="753A02FB"/>
    <w:rsid w:val="756176A1"/>
    <w:rsid w:val="756D5BF5"/>
    <w:rsid w:val="75B1536A"/>
    <w:rsid w:val="75B71D6A"/>
    <w:rsid w:val="75BE0954"/>
    <w:rsid w:val="75C5459B"/>
    <w:rsid w:val="75E21089"/>
    <w:rsid w:val="76467434"/>
    <w:rsid w:val="765866EF"/>
    <w:rsid w:val="766429FA"/>
    <w:rsid w:val="76834049"/>
    <w:rsid w:val="768A172A"/>
    <w:rsid w:val="76B02C75"/>
    <w:rsid w:val="76CF7D85"/>
    <w:rsid w:val="76D45B66"/>
    <w:rsid w:val="76E152EC"/>
    <w:rsid w:val="76FE2417"/>
    <w:rsid w:val="771E653D"/>
    <w:rsid w:val="77222009"/>
    <w:rsid w:val="772C5557"/>
    <w:rsid w:val="77344790"/>
    <w:rsid w:val="7763578D"/>
    <w:rsid w:val="77AD7409"/>
    <w:rsid w:val="77C6297D"/>
    <w:rsid w:val="780E5394"/>
    <w:rsid w:val="78127254"/>
    <w:rsid w:val="78160310"/>
    <w:rsid w:val="787C23D5"/>
    <w:rsid w:val="788E700F"/>
    <w:rsid w:val="7898254F"/>
    <w:rsid w:val="78CC5819"/>
    <w:rsid w:val="78E15F80"/>
    <w:rsid w:val="78FF7DA7"/>
    <w:rsid w:val="792523D8"/>
    <w:rsid w:val="79372C5B"/>
    <w:rsid w:val="793853B6"/>
    <w:rsid w:val="793C225F"/>
    <w:rsid w:val="794006DB"/>
    <w:rsid w:val="795E0019"/>
    <w:rsid w:val="798422C6"/>
    <w:rsid w:val="799916B7"/>
    <w:rsid w:val="79D23352"/>
    <w:rsid w:val="79D85CE8"/>
    <w:rsid w:val="79E247BB"/>
    <w:rsid w:val="79F55340"/>
    <w:rsid w:val="7A153D5D"/>
    <w:rsid w:val="7A1C0A51"/>
    <w:rsid w:val="7A1E0BB7"/>
    <w:rsid w:val="7A2E2066"/>
    <w:rsid w:val="7A322C02"/>
    <w:rsid w:val="7A397975"/>
    <w:rsid w:val="7A431925"/>
    <w:rsid w:val="7A7108C7"/>
    <w:rsid w:val="7A751EE9"/>
    <w:rsid w:val="7A8F300C"/>
    <w:rsid w:val="7AA57264"/>
    <w:rsid w:val="7ACE0A84"/>
    <w:rsid w:val="7AEA5AC6"/>
    <w:rsid w:val="7AEC3BBE"/>
    <w:rsid w:val="7AF65F04"/>
    <w:rsid w:val="7AFB12FA"/>
    <w:rsid w:val="7B052BD7"/>
    <w:rsid w:val="7B072853"/>
    <w:rsid w:val="7B5B2FAF"/>
    <w:rsid w:val="7B7B60D4"/>
    <w:rsid w:val="7B900800"/>
    <w:rsid w:val="7BA10F88"/>
    <w:rsid w:val="7BE72E44"/>
    <w:rsid w:val="7C016746"/>
    <w:rsid w:val="7C585216"/>
    <w:rsid w:val="7C726FF8"/>
    <w:rsid w:val="7C81141E"/>
    <w:rsid w:val="7C82365F"/>
    <w:rsid w:val="7CA44252"/>
    <w:rsid w:val="7CC00193"/>
    <w:rsid w:val="7D3E5BA4"/>
    <w:rsid w:val="7D477432"/>
    <w:rsid w:val="7D594983"/>
    <w:rsid w:val="7D9B66E0"/>
    <w:rsid w:val="7DA40457"/>
    <w:rsid w:val="7DB479EE"/>
    <w:rsid w:val="7DBB30FD"/>
    <w:rsid w:val="7DCD6635"/>
    <w:rsid w:val="7DF23C70"/>
    <w:rsid w:val="7E272313"/>
    <w:rsid w:val="7E3F5C57"/>
    <w:rsid w:val="7E415B82"/>
    <w:rsid w:val="7E4A1BBE"/>
    <w:rsid w:val="7E802FA3"/>
    <w:rsid w:val="7E990BE1"/>
    <w:rsid w:val="7E9C1324"/>
    <w:rsid w:val="7ED12C6A"/>
    <w:rsid w:val="7ED41DA3"/>
    <w:rsid w:val="7EE36967"/>
    <w:rsid w:val="7EE4001F"/>
    <w:rsid w:val="7F006586"/>
    <w:rsid w:val="7F1C6649"/>
    <w:rsid w:val="7F1D6609"/>
    <w:rsid w:val="7F253C0E"/>
    <w:rsid w:val="7F3E0DD7"/>
    <w:rsid w:val="7F4108E0"/>
    <w:rsid w:val="7F50760E"/>
    <w:rsid w:val="7F5D75FB"/>
    <w:rsid w:val="7F6746E1"/>
    <w:rsid w:val="7F9663C3"/>
    <w:rsid w:val="7F9D0028"/>
    <w:rsid w:val="7FA345E5"/>
    <w:rsid w:val="7FBE0FFC"/>
    <w:rsid w:val="7FC2173E"/>
    <w:rsid w:val="7FC40573"/>
    <w:rsid w:val="BFFD2244"/>
    <w:rsid w:val="FF91D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uiPriority="0" w:name="HTML Preformatted"/>
    <w:lsdException w:qFormat="1" w:uiPriority="0" w:semiHidden="0" w:name="HTML Sample"/>
    <w:lsdException w:uiPriority="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8"/>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63"/>
    <w:qFormat/>
    <w:uiPriority w:val="0"/>
    <w:pPr>
      <w:keepNext/>
      <w:keepLines/>
      <w:spacing w:before="120" w:after="120" w:line="360" w:lineRule="auto"/>
      <w:outlineLvl w:val="2"/>
    </w:pPr>
    <w:rPr>
      <w:b/>
      <w:bCs/>
      <w:kern w:val="0"/>
      <w:sz w:val="28"/>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1"/>
    <w:qFormat/>
    <w:uiPriority w:val="99"/>
    <w:pPr>
      <w:spacing w:line="480" w:lineRule="exact"/>
    </w:pPr>
    <w:rPr>
      <w:rFonts w:ascii="仿宋_GB2312" w:eastAsia="仿宋_GB2312"/>
      <w:sz w:val="28"/>
      <w:szCs w:val="28"/>
    </w:rPr>
  </w:style>
  <w:style w:type="paragraph" w:styleId="3">
    <w:name w:val="Quote"/>
    <w:basedOn w:val="1"/>
    <w:next w:val="1"/>
    <w:qFormat/>
    <w:uiPriority w:val="29"/>
    <w:pPr>
      <w:spacing w:after="0" w:line="360" w:lineRule="auto"/>
    </w:pPr>
    <w:rPr>
      <w:i/>
      <w:iCs/>
      <w:color w:val="000000"/>
      <w:sz w:val="24"/>
    </w:rPr>
  </w:style>
  <w:style w:type="paragraph" w:styleId="8">
    <w:name w:val="toc 7"/>
    <w:basedOn w:val="1"/>
    <w:next w:val="1"/>
    <w:qFormat/>
    <w:uiPriority w:val="0"/>
    <w:pPr>
      <w:ind w:left="2520" w:leftChars="1200"/>
    </w:pPr>
  </w:style>
  <w:style w:type="paragraph" w:styleId="9">
    <w:name w:val="index 8"/>
    <w:basedOn w:val="1"/>
    <w:next w:val="1"/>
    <w:qFormat/>
    <w:uiPriority w:val="0"/>
    <w:pPr>
      <w:spacing w:line="276" w:lineRule="auto"/>
      <w:jc w:val="left"/>
    </w:pPr>
    <w:rPr>
      <w:rFonts w:ascii="宋体" w:hAnsi="宋体"/>
      <w:color w:val="FF0000"/>
      <w:szCs w:val="21"/>
    </w:rPr>
  </w:style>
  <w:style w:type="paragraph" w:styleId="10">
    <w:name w:val="Normal Indent"/>
    <w:basedOn w:val="1"/>
    <w:link w:val="54"/>
    <w:qFormat/>
    <w:uiPriority w:val="0"/>
    <w:pPr>
      <w:ind w:firstLine="200" w:firstLineChars="200"/>
    </w:pPr>
  </w:style>
  <w:style w:type="paragraph" w:styleId="11">
    <w:name w:val="Document Map"/>
    <w:basedOn w:val="1"/>
    <w:link w:val="60"/>
    <w:qFormat/>
    <w:uiPriority w:val="0"/>
    <w:rPr>
      <w:rFonts w:ascii="宋体"/>
      <w:sz w:val="18"/>
      <w:szCs w:val="18"/>
    </w:rPr>
  </w:style>
  <w:style w:type="paragraph" w:styleId="12">
    <w:name w:val="annotation text"/>
    <w:basedOn w:val="1"/>
    <w:link w:val="51"/>
    <w:qFormat/>
    <w:uiPriority w:val="99"/>
    <w:pPr>
      <w:jc w:val="left"/>
    </w:pPr>
  </w:style>
  <w:style w:type="paragraph" w:styleId="13">
    <w:name w:val="Body Text Indent"/>
    <w:basedOn w:val="1"/>
    <w:qFormat/>
    <w:uiPriority w:val="0"/>
    <w:pPr>
      <w:ind w:firstLine="630"/>
    </w:pPr>
    <w:rPr>
      <w:sz w:val="32"/>
      <w:szCs w:val="20"/>
    </w:rPr>
  </w:style>
  <w:style w:type="paragraph" w:styleId="14">
    <w:name w:val="Block Text"/>
    <w:basedOn w:val="1"/>
    <w:qFormat/>
    <w:uiPriority w:val="0"/>
    <w:pPr>
      <w:spacing w:after="120"/>
      <w:ind w:left="1440" w:leftChars="700" w:right="700" w:rightChars="700"/>
    </w:p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Plain Text"/>
    <w:basedOn w:val="1"/>
    <w:qFormat/>
    <w:uiPriority w:val="0"/>
    <w:rPr>
      <w:rFonts w:hAnsi="Courier New"/>
    </w:rPr>
  </w:style>
  <w:style w:type="paragraph" w:styleId="18">
    <w:name w:val="toc 8"/>
    <w:basedOn w:val="1"/>
    <w:next w:val="1"/>
    <w:qFormat/>
    <w:uiPriority w:val="0"/>
    <w:pPr>
      <w:ind w:left="2940" w:leftChars="1400"/>
    </w:p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47"/>
    <w:qFormat/>
    <w:uiPriority w:val="99"/>
    <w:rPr>
      <w:sz w:val="18"/>
      <w:szCs w:val="18"/>
    </w:rPr>
  </w:style>
  <w:style w:type="paragraph" w:styleId="21">
    <w:name w:val="footer"/>
    <w:basedOn w:val="1"/>
    <w:link w:val="55"/>
    <w:qFormat/>
    <w:uiPriority w:val="99"/>
    <w:pPr>
      <w:tabs>
        <w:tab w:val="center" w:pos="4153"/>
        <w:tab w:val="right" w:pos="8306"/>
      </w:tabs>
      <w:snapToGrid w:val="0"/>
      <w:jc w:val="left"/>
    </w:pPr>
    <w:rPr>
      <w:sz w:val="18"/>
      <w:szCs w:val="20"/>
    </w:rPr>
  </w:style>
  <w:style w:type="paragraph" w:styleId="22">
    <w:name w:val="header"/>
    <w:basedOn w:val="1"/>
    <w:link w:val="64"/>
    <w:qFormat/>
    <w:uiPriority w:val="99"/>
    <w:pPr>
      <w:pBdr>
        <w:bottom w:val="single" w:color="auto" w:sz="6" w:space="1"/>
      </w:pBdr>
      <w:tabs>
        <w:tab w:val="center" w:pos="4153"/>
        <w:tab w:val="right" w:pos="8306"/>
      </w:tabs>
      <w:snapToGrid w:val="0"/>
      <w:jc w:val="center"/>
    </w:pPr>
    <w:rPr>
      <w:sz w:val="18"/>
      <w:szCs w:val="20"/>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Subtitle"/>
    <w:basedOn w:val="1"/>
    <w:next w:val="1"/>
    <w:qFormat/>
    <w:uiPriority w:val="11"/>
    <w:pPr>
      <w:jc w:val="center"/>
    </w:pPr>
    <w:rPr>
      <w:spacing w:val="10"/>
      <w:szCs w:val="28"/>
    </w:rPr>
  </w:style>
  <w:style w:type="paragraph" w:styleId="26">
    <w:name w:val="List"/>
    <w:basedOn w:val="1"/>
    <w:qFormat/>
    <w:uiPriority w:val="0"/>
    <w:pPr>
      <w:ind w:left="200" w:hanging="200" w:hangingChars="200"/>
    </w:pPr>
    <w:rPr>
      <w:rFonts w:hAnsi="Calibri" w:eastAsia="微软雅黑"/>
    </w:rPr>
  </w:style>
  <w:style w:type="paragraph" w:styleId="27">
    <w:name w:val="toc 6"/>
    <w:basedOn w:val="1"/>
    <w:next w:val="1"/>
    <w:qFormat/>
    <w:uiPriority w:val="0"/>
    <w:pPr>
      <w:ind w:left="2100" w:leftChars="1000"/>
    </w:pPr>
  </w:style>
  <w:style w:type="paragraph" w:styleId="28">
    <w:name w:val="toc 2"/>
    <w:basedOn w:val="1"/>
    <w:next w:val="1"/>
    <w:qFormat/>
    <w:uiPriority w:val="0"/>
    <w:pPr>
      <w:ind w:left="420" w:leftChars="200"/>
    </w:pPr>
  </w:style>
  <w:style w:type="paragraph" w:styleId="29">
    <w:name w:val="toc 9"/>
    <w:basedOn w:val="1"/>
    <w:next w:val="1"/>
    <w:qFormat/>
    <w:uiPriority w:val="0"/>
    <w:pPr>
      <w:ind w:left="3360" w:leftChars="1600"/>
    </w:pPr>
  </w:style>
  <w:style w:type="paragraph" w:styleId="30">
    <w:name w:val="Body Text 2"/>
    <w:qFormat/>
    <w:uiPriority w:val="0"/>
    <w:pPr>
      <w:spacing w:after="120" w:line="480" w:lineRule="auto"/>
    </w:pPr>
    <w:rPr>
      <w:rFonts w:ascii="Times New Roman" w:hAnsi="Times New Roman" w:eastAsia="Arial Unicode MS" w:cs="Arial Unicode MS"/>
      <w:color w:val="000000"/>
      <w:kern w:val="2"/>
      <w:sz w:val="21"/>
      <w:szCs w:val="21"/>
      <w:lang w:val="en-US" w:eastAsia="zh-CN" w:bidi="ar-SA"/>
    </w:rPr>
  </w:style>
  <w:style w:type="paragraph" w:styleId="31">
    <w:name w:val="Normal (Web)"/>
    <w:basedOn w:val="1"/>
    <w:qFormat/>
    <w:uiPriority w:val="0"/>
    <w:pPr>
      <w:widowControl/>
      <w:spacing w:before="100" w:beforeAutospacing="1" w:after="100" w:afterAutospacing="1"/>
      <w:jc w:val="left"/>
    </w:pPr>
    <w:rPr>
      <w:rFonts w:ascii="宋体"/>
      <w:kern w:val="0"/>
      <w:sz w:val="18"/>
      <w:szCs w:val="18"/>
    </w:rPr>
  </w:style>
  <w:style w:type="paragraph" w:styleId="32">
    <w:name w:val="annotation subject"/>
    <w:basedOn w:val="12"/>
    <w:next w:val="12"/>
    <w:link w:val="65"/>
    <w:qFormat/>
    <w:uiPriority w:val="0"/>
    <w:rPr>
      <w:b/>
      <w:bCs/>
    </w:rPr>
  </w:style>
  <w:style w:type="paragraph" w:styleId="33">
    <w:name w:val="Body Text First Indent"/>
    <w:basedOn w:val="2"/>
    <w:link w:val="56"/>
    <w:unhideWhenUsed/>
    <w:qFormat/>
    <w:uiPriority w:val="99"/>
    <w:pPr>
      <w:widowControl/>
      <w:spacing w:after="120" w:line="259" w:lineRule="auto"/>
      <w:ind w:firstLine="420" w:firstLineChars="100"/>
      <w:jc w:val="left"/>
    </w:pPr>
    <w:rPr>
      <w:rFonts w:ascii="宋体" w:hAnsi="宋体" w:eastAsia="宋体" w:cs="宋体"/>
      <w:kern w:val="0"/>
      <w:sz w:val="24"/>
      <w:szCs w:val="24"/>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page number"/>
    <w:qFormat/>
    <w:uiPriority w:val="0"/>
  </w:style>
  <w:style w:type="character" w:styleId="39">
    <w:name w:val="FollowedHyperlink"/>
    <w:unhideWhenUsed/>
    <w:qFormat/>
    <w:uiPriority w:val="99"/>
    <w:rPr>
      <w:color w:val="954F72"/>
      <w:u w:val="single"/>
    </w:rPr>
  </w:style>
  <w:style w:type="character" w:styleId="40">
    <w:name w:val="HTML Definition"/>
    <w:unhideWhenUsed/>
    <w:qFormat/>
    <w:uiPriority w:val="0"/>
  </w:style>
  <w:style w:type="character" w:styleId="41">
    <w:name w:val="HTML Variable"/>
    <w:unhideWhenUsed/>
    <w:qFormat/>
    <w:uiPriority w:val="0"/>
  </w:style>
  <w:style w:type="character" w:styleId="42">
    <w:name w:val="Hyperlink"/>
    <w:unhideWhenUsed/>
    <w:qFormat/>
    <w:uiPriority w:val="99"/>
    <w:rPr>
      <w:color w:val="0563C1"/>
      <w:u w:val="single"/>
    </w:rPr>
  </w:style>
  <w:style w:type="character" w:styleId="43">
    <w:name w:val="HTML Code"/>
    <w:unhideWhenUsed/>
    <w:qFormat/>
    <w:uiPriority w:val="0"/>
    <w:rPr>
      <w:rFonts w:ascii="Courier New" w:hAnsi="Courier New"/>
      <w:sz w:val="20"/>
    </w:rPr>
  </w:style>
  <w:style w:type="character" w:styleId="44">
    <w:name w:val="annotation reference"/>
    <w:qFormat/>
    <w:uiPriority w:val="0"/>
    <w:rPr>
      <w:sz w:val="21"/>
      <w:szCs w:val="21"/>
    </w:rPr>
  </w:style>
  <w:style w:type="character" w:styleId="45">
    <w:name w:val="HTML Cite"/>
    <w:unhideWhenUsed/>
    <w:qFormat/>
    <w:uiPriority w:val="0"/>
  </w:style>
  <w:style w:type="character" w:styleId="46">
    <w:name w:val="HTML Sample"/>
    <w:unhideWhenUsed/>
    <w:qFormat/>
    <w:uiPriority w:val="0"/>
    <w:rPr>
      <w:rFonts w:ascii="Courier New" w:hAnsi="Courier New"/>
    </w:rPr>
  </w:style>
  <w:style w:type="character" w:customStyle="1" w:styleId="47">
    <w:name w:val="批注框文本 Char"/>
    <w:link w:val="20"/>
    <w:qFormat/>
    <w:uiPriority w:val="99"/>
    <w:rPr>
      <w:kern w:val="2"/>
      <w:sz w:val="18"/>
      <w:szCs w:val="18"/>
    </w:rPr>
  </w:style>
  <w:style w:type="character" w:customStyle="1" w:styleId="48">
    <w:name w:val="标题 2 Char"/>
    <w:link w:val="5"/>
    <w:qFormat/>
    <w:uiPriority w:val="9"/>
    <w:rPr>
      <w:rFonts w:ascii="Arial" w:hAnsi="Arial" w:eastAsia="黑体"/>
      <w:b/>
      <w:bCs/>
      <w:sz w:val="32"/>
      <w:szCs w:val="32"/>
    </w:rPr>
  </w:style>
  <w:style w:type="character" w:customStyle="1" w:styleId="49">
    <w:name w:val="font111"/>
    <w:qFormat/>
    <w:uiPriority w:val="0"/>
    <w:rPr>
      <w:rFonts w:hint="default" w:ascii="Eʩ" w:hAnsi="Eʩ" w:eastAsia="Eʩ" w:cs="Eʩ"/>
      <w:color w:val="000000"/>
      <w:sz w:val="21"/>
      <w:szCs w:val="21"/>
      <w:u w:val="single"/>
    </w:rPr>
  </w:style>
  <w:style w:type="character" w:customStyle="1" w:styleId="50">
    <w:name w:val="img"/>
    <w:qFormat/>
    <w:uiPriority w:val="0"/>
  </w:style>
  <w:style w:type="character" w:customStyle="1" w:styleId="51">
    <w:name w:val="批注文字 Char"/>
    <w:link w:val="12"/>
    <w:qFormat/>
    <w:uiPriority w:val="99"/>
    <w:rPr>
      <w:kern w:val="2"/>
      <w:sz w:val="21"/>
      <w:szCs w:val="24"/>
    </w:rPr>
  </w:style>
  <w:style w:type="character" w:customStyle="1" w:styleId="52">
    <w:name w:val="font71"/>
    <w:basedOn w:val="36"/>
    <w:qFormat/>
    <w:uiPriority w:val="0"/>
    <w:rPr>
      <w:rFonts w:hint="eastAsia" w:ascii="宋体" w:hAnsi="宋体" w:eastAsia="宋体" w:cs="宋体"/>
      <w:b/>
      <w:bCs/>
      <w:color w:val="000000"/>
      <w:sz w:val="21"/>
      <w:szCs w:val="21"/>
      <w:u w:val="none"/>
    </w:rPr>
  </w:style>
  <w:style w:type="character" w:customStyle="1" w:styleId="53">
    <w:name w:val="font112"/>
    <w:basedOn w:val="36"/>
    <w:qFormat/>
    <w:uiPriority w:val="0"/>
    <w:rPr>
      <w:rFonts w:hint="eastAsia" w:ascii="宋体" w:hAnsi="宋体" w:eastAsia="宋体" w:cs="宋体"/>
      <w:color w:val="000000"/>
      <w:sz w:val="21"/>
      <w:szCs w:val="21"/>
      <w:u w:val="single"/>
    </w:rPr>
  </w:style>
  <w:style w:type="character" w:customStyle="1" w:styleId="54">
    <w:name w:val="正文缩进 Char"/>
    <w:link w:val="10"/>
    <w:qFormat/>
    <w:uiPriority w:val="0"/>
    <w:rPr>
      <w:kern w:val="2"/>
      <w:sz w:val="21"/>
      <w:szCs w:val="24"/>
    </w:rPr>
  </w:style>
  <w:style w:type="character" w:customStyle="1" w:styleId="55">
    <w:name w:val="页脚 Char"/>
    <w:link w:val="21"/>
    <w:qFormat/>
    <w:uiPriority w:val="99"/>
    <w:rPr>
      <w:kern w:val="2"/>
      <w:sz w:val="18"/>
    </w:rPr>
  </w:style>
  <w:style w:type="character" w:customStyle="1" w:styleId="56">
    <w:name w:val="正文首行缩进 Char"/>
    <w:link w:val="33"/>
    <w:qFormat/>
    <w:uiPriority w:val="99"/>
    <w:rPr>
      <w:rFonts w:ascii="宋体" w:hAnsi="宋体" w:eastAsia="仿宋_GB2312" w:cs="宋体"/>
      <w:kern w:val="2"/>
      <w:sz w:val="24"/>
      <w:szCs w:val="24"/>
    </w:rPr>
  </w:style>
  <w:style w:type="character" w:customStyle="1" w:styleId="57">
    <w:name w:val="font101"/>
    <w:qFormat/>
    <w:uiPriority w:val="0"/>
    <w:rPr>
      <w:rFonts w:hint="eastAsia" w:ascii="宋体" w:hAnsi="宋体" w:eastAsia="宋体" w:cs="宋体"/>
      <w:color w:val="000000"/>
      <w:sz w:val="21"/>
      <w:szCs w:val="21"/>
      <w:u w:val="single"/>
    </w:rPr>
  </w:style>
  <w:style w:type="character" w:customStyle="1" w:styleId="58">
    <w:name w:val="font81"/>
    <w:basedOn w:val="36"/>
    <w:qFormat/>
    <w:uiPriority w:val="0"/>
    <w:rPr>
      <w:rFonts w:hint="eastAsia" w:ascii="宋体" w:hAnsi="宋体" w:eastAsia="宋体" w:cs="宋体"/>
      <w:b/>
      <w:bCs/>
      <w:color w:val="000000"/>
      <w:sz w:val="21"/>
      <w:szCs w:val="21"/>
      <w:u w:val="single"/>
    </w:rPr>
  </w:style>
  <w:style w:type="character" w:customStyle="1" w:styleId="59">
    <w:name w:val="img1"/>
    <w:qFormat/>
    <w:uiPriority w:val="0"/>
  </w:style>
  <w:style w:type="character" w:customStyle="1" w:styleId="60">
    <w:name w:val="文档结构图 Char"/>
    <w:link w:val="11"/>
    <w:qFormat/>
    <w:uiPriority w:val="0"/>
    <w:rPr>
      <w:rFonts w:ascii="宋体"/>
      <w:kern w:val="2"/>
      <w:sz w:val="18"/>
      <w:szCs w:val="18"/>
    </w:rPr>
  </w:style>
  <w:style w:type="character" w:customStyle="1" w:styleId="61">
    <w:name w:val="正文文本 Char1"/>
    <w:link w:val="2"/>
    <w:qFormat/>
    <w:uiPriority w:val="99"/>
    <w:rPr>
      <w:rFonts w:ascii="仿宋_GB2312" w:eastAsia="仿宋_GB2312"/>
      <w:kern w:val="2"/>
      <w:sz w:val="28"/>
      <w:szCs w:val="28"/>
    </w:rPr>
  </w:style>
  <w:style w:type="character" w:customStyle="1" w:styleId="62">
    <w:name w:val="标题 1 Char"/>
    <w:link w:val="4"/>
    <w:qFormat/>
    <w:uiPriority w:val="0"/>
    <w:rPr>
      <w:b/>
      <w:bCs/>
      <w:kern w:val="44"/>
      <w:sz w:val="44"/>
      <w:szCs w:val="44"/>
    </w:rPr>
  </w:style>
  <w:style w:type="character" w:customStyle="1" w:styleId="63">
    <w:name w:val="标题 3 Char"/>
    <w:link w:val="6"/>
    <w:qFormat/>
    <w:uiPriority w:val="0"/>
    <w:rPr>
      <w:b/>
      <w:bCs/>
      <w:sz w:val="28"/>
      <w:szCs w:val="32"/>
    </w:rPr>
  </w:style>
  <w:style w:type="character" w:customStyle="1" w:styleId="64">
    <w:name w:val="页眉 Char"/>
    <w:link w:val="22"/>
    <w:qFormat/>
    <w:uiPriority w:val="99"/>
    <w:rPr>
      <w:kern w:val="2"/>
      <w:sz w:val="18"/>
    </w:rPr>
  </w:style>
  <w:style w:type="character" w:customStyle="1" w:styleId="65">
    <w:name w:val="批注主题 Char"/>
    <w:link w:val="32"/>
    <w:qFormat/>
    <w:uiPriority w:val="0"/>
    <w:rPr>
      <w:b/>
      <w:bCs/>
      <w:kern w:val="2"/>
      <w:sz w:val="21"/>
      <w:szCs w:val="24"/>
    </w:rPr>
  </w:style>
  <w:style w:type="character" w:customStyle="1" w:styleId="66">
    <w:name w:val="font31"/>
    <w:qFormat/>
    <w:uiPriority w:val="0"/>
    <w:rPr>
      <w:rFonts w:hint="eastAsia" w:ascii="宋体" w:hAnsi="宋体" w:eastAsia="宋体" w:cs="宋体"/>
      <w:color w:val="000000"/>
      <w:sz w:val="21"/>
      <w:szCs w:val="21"/>
      <w:u w:val="none"/>
    </w:rPr>
  </w:style>
  <w:style w:type="character" w:customStyle="1" w:styleId="67">
    <w:name w:val="font01"/>
    <w:qFormat/>
    <w:uiPriority w:val="0"/>
    <w:rPr>
      <w:rFonts w:ascii="Arial" w:hAnsi="Arial" w:cs="Arial"/>
      <w:color w:val="000000"/>
      <w:sz w:val="22"/>
      <w:szCs w:val="22"/>
      <w:u w:val="none"/>
    </w:rPr>
  </w:style>
  <w:style w:type="character" w:customStyle="1" w:styleId="68">
    <w:name w:val="正文文本 Char"/>
    <w:qFormat/>
    <w:uiPriority w:val="99"/>
    <w:rPr>
      <w:rFonts w:ascii="宋体" w:hAnsi="宋体" w:eastAsia="宋体" w:cs="宋体"/>
      <w:kern w:val="0"/>
      <w:sz w:val="24"/>
    </w:rPr>
  </w:style>
  <w:style w:type="character" w:customStyle="1" w:styleId="69">
    <w:name w:val="font91"/>
    <w:qFormat/>
    <w:uiPriority w:val="0"/>
    <w:rPr>
      <w:rFonts w:hint="eastAsia" w:ascii="宋体" w:hAnsi="宋体" w:eastAsia="宋体" w:cs="宋体"/>
      <w:color w:val="FF0000"/>
      <w:sz w:val="21"/>
      <w:szCs w:val="21"/>
      <w:u w:val="single"/>
    </w:rPr>
  </w:style>
  <w:style w:type="character" w:customStyle="1" w:styleId="70">
    <w:name w:val="批注文字 Char1"/>
    <w:qFormat/>
    <w:uiPriority w:val="0"/>
    <w:rPr>
      <w:rFonts w:ascii="Times New Roman" w:hAnsi="Times New Roman" w:eastAsia="宋体" w:cs="Times New Roman"/>
      <w:szCs w:val="24"/>
    </w:rPr>
  </w:style>
  <w:style w:type="character" w:customStyle="1" w:styleId="71">
    <w:name w:val="font61"/>
    <w:basedOn w:val="36"/>
    <w:qFormat/>
    <w:uiPriority w:val="0"/>
    <w:rPr>
      <w:rFonts w:hint="eastAsia" w:ascii="宋体" w:hAnsi="宋体" w:eastAsia="宋体" w:cs="宋体"/>
      <w:color w:val="000000"/>
      <w:sz w:val="21"/>
      <w:szCs w:val="21"/>
      <w:u w:val="none"/>
    </w:rPr>
  </w:style>
  <w:style w:type="character" w:customStyle="1" w:styleId="72">
    <w:name w:val="apple-converted-space"/>
    <w:qFormat/>
    <w:uiPriority w:val="0"/>
  </w:style>
  <w:style w:type="paragraph" w:customStyle="1" w:styleId="73">
    <w:name w:val="Default"/>
    <w:next w:val="1"/>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74">
    <w:name w:val="列出段落1"/>
    <w:basedOn w:val="1"/>
    <w:qFormat/>
    <w:uiPriority w:val="0"/>
    <w:pPr>
      <w:ind w:firstLine="420" w:firstLineChars="200"/>
    </w:pPr>
  </w:style>
  <w:style w:type="paragraph" w:customStyle="1" w:styleId="75">
    <w:name w:val="正文2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76">
    <w:name w:val="正文首行缩进两字符"/>
    <w:basedOn w:val="1"/>
    <w:qFormat/>
    <w:uiPriority w:val="0"/>
    <w:pPr>
      <w:spacing w:line="360" w:lineRule="auto"/>
      <w:ind w:firstLine="200" w:firstLineChars="200"/>
    </w:pPr>
  </w:style>
  <w:style w:type="paragraph" w:customStyle="1" w:styleId="77">
    <w:name w:val="表格"/>
    <w:basedOn w:val="1"/>
    <w:qFormat/>
    <w:uiPriority w:val="0"/>
    <w:pPr>
      <w:spacing w:line="400" w:lineRule="exact"/>
    </w:pPr>
    <w:rPr>
      <w:sz w:val="24"/>
    </w:rPr>
  </w:style>
  <w:style w:type="paragraph" w:customStyle="1" w:styleId="78">
    <w:name w:val="12、表格内左对齐正文"/>
    <w:basedOn w:val="1"/>
    <w:qFormat/>
    <w:uiPriority w:val="0"/>
    <w:pPr>
      <w:tabs>
        <w:tab w:val="left" w:pos="0"/>
      </w:tabs>
      <w:wordWrap w:val="0"/>
      <w:topLinePunct/>
      <w:spacing w:line="360" w:lineRule="exact"/>
      <w:ind w:left="48" w:leftChars="20"/>
    </w:pPr>
    <w:rPr>
      <w:snapToGrid w:val="0"/>
    </w:rPr>
  </w:style>
  <w:style w:type="paragraph" w:styleId="79">
    <w:name w:val="No Spacing"/>
    <w:qFormat/>
    <w:uiPriority w:val="1"/>
    <w:pPr>
      <w:widowControl w:val="0"/>
      <w:ind w:firstLine="200" w:firstLineChars="200"/>
      <w:jc w:val="both"/>
    </w:pPr>
    <w:rPr>
      <w:rFonts w:ascii="Calibri" w:hAnsi="Calibri" w:eastAsia="宋体" w:cs="Times New Roman"/>
      <w:kern w:val="2"/>
      <w:sz w:val="24"/>
      <w:szCs w:val="22"/>
      <w:lang w:val="en-US" w:eastAsia="zh-CN" w:bidi="ar-SA"/>
    </w:rPr>
  </w:style>
  <w:style w:type="paragraph" w:styleId="80">
    <w:name w:val="List Paragraph"/>
    <w:basedOn w:val="1"/>
    <w:qFormat/>
    <w:uiPriority w:val="34"/>
    <w:pPr>
      <w:spacing w:after="0" w:line="240" w:lineRule="auto"/>
      <w:ind w:firstLine="420" w:firstLineChars="200"/>
    </w:pPr>
  </w:style>
  <w:style w:type="paragraph" w:customStyle="1" w:styleId="81">
    <w:name w:val="正文格式"/>
    <w:qFormat/>
    <w:uiPriority w:val="0"/>
    <w:pPr>
      <w:spacing w:line="360" w:lineRule="auto"/>
      <w:ind w:firstLine="200" w:firstLineChars="200"/>
    </w:pPr>
    <w:rPr>
      <w:rFonts w:ascii="Calibri" w:hAnsi="Calibri" w:eastAsia="宋体" w:cs="Times New Roman"/>
      <w:kern w:val="2"/>
      <w:sz w:val="28"/>
      <w:szCs w:val="22"/>
      <w:lang w:val="en-US" w:eastAsia="zh-CN" w:bidi="ar-SA"/>
    </w:rPr>
  </w:style>
  <w:style w:type="paragraph" w:customStyle="1" w:styleId="82">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83">
    <w:name w:val="Table Paragraph"/>
    <w:basedOn w:val="1"/>
    <w:qFormat/>
    <w:uiPriority w:val="1"/>
    <w:rPr>
      <w:rFonts w:ascii="宋体" w:hAnsi="宋体" w:cs="宋体"/>
      <w:lang w:val="zh-CN" w:bidi="zh-CN"/>
    </w:rPr>
  </w:style>
  <w:style w:type="paragraph" w:customStyle="1" w:styleId="84">
    <w:name w:val="样式 首行缩进:  2 字符"/>
    <w:basedOn w:val="1"/>
    <w:qFormat/>
    <w:uiPriority w:val="0"/>
    <w:pPr>
      <w:spacing w:line="400" w:lineRule="exact"/>
      <w:ind w:firstLine="200" w:firstLineChars="200"/>
    </w:pPr>
    <w:rPr>
      <w:rFonts w:cs="宋体"/>
      <w:sz w:val="24"/>
    </w:rPr>
  </w:style>
  <w:style w:type="paragraph" w:customStyle="1" w:styleId="85">
    <w:name w:val="WPSOffice手动目录 1"/>
    <w:qFormat/>
    <w:uiPriority w:val="0"/>
    <w:rPr>
      <w:rFonts w:ascii="Times New Roman" w:hAnsi="Times New Roman" w:eastAsia="宋体" w:cs="Times New Roman"/>
      <w:lang w:val="en-US" w:eastAsia="zh-CN" w:bidi="ar-SA"/>
    </w:rPr>
  </w:style>
  <w:style w:type="paragraph" w:customStyle="1" w:styleId="86">
    <w:name w:val="_Style 33"/>
    <w:basedOn w:val="1"/>
    <w:next w:val="80"/>
    <w:qFormat/>
    <w:uiPriority w:val="0"/>
    <w:pPr>
      <w:ind w:firstLine="420" w:firstLineChars="200"/>
    </w:pPr>
    <w:rPr>
      <w:rFonts w:ascii="宋体"/>
      <w:kern w:val="0"/>
      <w:sz w:val="18"/>
      <w:szCs w:val="18"/>
    </w:rPr>
  </w:style>
  <w:style w:type="paragraph" w:customStyle="1" w:styleId="87">
    <w:name w:val="13、表格内居中正文"/>
    <w:basedOn w:val="1"/>
    <w:qFormat/>
    <w:uiPriority w:val="0"/>
    <w:pPr>
      <w:tabs>
        <w:tab w:val="left" w:pos="0"/>
      </w:tabs>
      <w:wordWrap w:val="0"/>
      <w:topLinePunct/>
      <w:spacing w:line="360" w:lineRule="exact"/>
      <w:jc w:val="center"/>
    </w:pPr>
  </w:style>
  <w:style w:type="paragraph" w:customStyle="1" w:styleId="88">
    <w:name w:val="正文格式（正式）"/>
    <w:basedOn w:val="1"/>
    <w:qFormat/>
    <w:uiPriority w:val="0"/>
    <w:pPr>
      <w:ind w:firstLine="200" w:firstLineChars="200"/>
    </w:pPr>
    <w:rPr>
      <w:rFonts w:ascii="Calibri" w:hAnsi="Calibri" w:cs="宋体"/>
      <w:szCs w:val="20"/>
    </w:rPr>
  </w:style>
  <w:style w:type="paragraph" w:customStyle="1" w:styleId="8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91">
    <w:name w:val="标题 5（有编号）（绿盟科技）"/>
    <w:basedOn w:val="1"/>
    <w:next w:val="92"/>
    <w:qFormat/>
    <w:uiPriority w:val="0"/>
    <w:pPr>
      <w:keepNext/>
      <w:keepLines/>
      <w:spacing w:before="280" w:after="156" w:line="377" w:lineRule="auto"/>
      <w:jc w:val="left"/>
      <w:outlineLvl w:val="4"/>
    </w:pPr>
    <w:rPr>
      <w:rFonts w:ascii="Arial" w:hAnsi="Arial" w:eastAsia="黑体"/>
      <w:b/>
      <w:sz w:val="24"/>
      <w:szCs w:val="28"/>
    </w:rPr>
  </w:style>
  <w:style w:type="paragraph" w:customStyle="1" w:styleId="92">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93">
    <w:name w:val="表格文字"/>
    <w:basedOn w:val="1"/>
    <w:qFormat/>
    <w:uiPriority w:val="0"/>
    <w:pPr>
      <w:autoSpaceDE w:val="0"/>
      <w:autoSpaceDN w:val="0"/>
      <w:adjustRightInd w:val="0"/>
      <w:jc w:val="left"/>
    </w:pPr>
  </w:style>
  <w:style w:type="paragraph" w:customStyle="1" w:styleId="94">
    <w:name w:val="_Style 1"/>
    <w:basedOn w:val="1"/>
    <w:qFormat/>
    <w:uiPriority w:val="0"/>
    <w:pPr>
      <w:spacing w:after="0" w:line="240" w:lineRule="auto"/>
      <w:ind w:firstLine="420" w:firstLineChars="200"/>
    </w:pPr>
    <w:rPr>
      <w:szCs w:val="22"/>
    </w:rPr>
  </w:style>
  <w:style w:type="paragraph" w:customStyle="1" w:styleId="95">
    <w:name w:val="Body text|21"/>
    <w:basedOn w:val="1"/>
    <w:qFormat/>
    <w:uiPriority w:val="99"/>
    <w:pPr>
      <w:shd w:val="clear" w:color="auto" w:fill="FFFFFF"/>
      <w:spacing w:line="490" w:lineRule="exact"/>
      <w:ind w:firstLine="460"/>
      <w:jc w:val="distribute"/>
    </w:pPr>
    <w:rPr>
      <w:rFonts w:ascii="PMingLiUfalt" w:hAnsi="PMingLiUfalt" w:eastAsia="PMingLiUfalt" w:cs="PMingLiUfalt"/>
      <w:sz w:val="20"/>
      <w:szCs w:val="20"/>
    </w:rPr>
  </w:style>
  <w:style w:type="paragraph" w:customStyle="1" w:styleId="96">
    <w:name w:val="Char Char Char"/>
    <w:basedOn w:val="1"/>
    <w:qFormat/>
    <w:uiPriority w:val="0"/>
  </w:style>
  <w:style w:type="paragraph" w:customStyle="1" w:styleId="97">
    <w:name w:val="_Style 5"/>
    <w:basedOn w:val="1"/>
    <w:qFormat/>
    <w:uiPriority w:val="0"/>
    <w:pPr>
      <w:ind w:firstLine="420"/>
    </w:pPr>
    <w:rPr>
      <w:rFonts w:ascii="Calibri" w:hAnsi="Calibri"/>
      <w:szCs w:val="22"/>
    </w:rPr>
  </w:style>
  <w:style w:type="paragraph" w:customStyle="1" w:styleId="98">
    <w:name w:val="正文1"/>
    <w:qFormat/>
    <w:uiPriority w:val="0"/>
    <w:pPr>
      <w:widowControl w:val="0"/>
      <w:adjustRightInd w:val="0"/>
      <w:spacing w:after="160" w:line="312" w:lineRule="atLeast"/>
      <w:jc w:val="both"/>
      <w:textAlignment w:val="baseline"/>
    </w:pPr>
    <w:rPr>
      <w:rFonts w:ascii="宋体" w:hAnsi="Times New Roman" w:eastAsia="宋体" w:cs="Times New Roman"/>
      <w:sz w:val="34"/>
      <w:szCs w:val="22"/>
      <w:lang w:val="en-US" w:eastAsia="zh-CN" w:bidi="ar-SA"/>
    </w:rPr>
  </w:style>
  <w:style w:type="paragraph" w:customStyle="1" w:styleId="99">
    <w:name w:val="正文 A"/>
    <w:next w:val="2"/>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00">
    <w:name w:val="GW-正文"/>
    <w:basedOn w:val="1"/>
    <w:qFormat/>
    <w:uiPriority w:val="0"/>
    <w:pPr>
      <w:spacing w:line="360" w:lineRule="auto"/>
      <w:ind w:firstLine="200" w:firstLineChars="200"/>
    </w:pPr>
    <w:rPr>
      <w:rFonts w:eastAsia="仿宋_GB2312"/>
      <w:sz w:val="24"/>
    </w:rPr>
  </w:style>
  <w:style w:type="paragraph" w:customStyle="1" w:styleId="101">
    <w:name w:val="01、普通正文"/>
    <w:basedOn w:val="1"/>
    <w:qFormat/>
    <w:uiPriority w:val="0"/>
    <w:pPr>
      <w:tabs>
        <w:tab w:val="left" w:pos="0"/>
      </w:tabs>
      <w:wordWrap w:val="0"/>
      <w:topLinePunct/>
    </w:pPr>
    <w:rPr>
      <w:snapToGrid w:val="0"/>
    </w:rPr>
  </w:style>
  <w:style w:type="paragraph" w:customStyle="1" w:styleId="102">
    <w:name w:val="*正文"/>
    <w:basedOn w:val="1"/>
    <w:qFormat/>
    <w:uiPriority w:val="0"/>
    <w:pPr>
      <w:spacing w:after="0"/>
    </w:pPr>
    <w:rPr>
      <w:rFonts w:ascii="宋体" w:hAnsi="宋体" w:eastAsia="微软雅黑"/>
      <w:sz w:val="22"/>
    </w:rPr>
  </w:style>
  <w:style w:type="paragraph" w:customStyle="1" w:styleId="103">
    <w:name w:val="图表"/>
    <w:basedOn w:val="1"/>
    <w:next w:val="1"/>
    <w:qFormat/>
    <w:locked/>
    <w:uiPriority w:val="6"/>
    <w:pPr>
      <w:spacing w:after="0"/>
      <w:jc w:val="center"/>
    </w:pPr>
    <w:rPr>
      <w:kern w:val="21"/>
      <w:szCs w:val="20"/>
    </w:rPr>
  </w:style>
  <w:style w:type="table" w:customStyle="1" w:styleId="104">
    <w:name w:val="Table Normal"/>
    <w:qFormat/>
    <w:uiPriority w:val="0"/>
    <w:tblPr>
      <w:tblCellMar>
        <w:top w:w="0" w:type="dxa"/>
        <w:left w:w="0" w:type="dxa"/>
        <w:bottom w:w="0" w:type="dxa"/>
        <w:right w:w="0" w:type="dxa"/>
      </w:tblCellMar>
    </w:tblPr>
  </w:style>
  <w:style w:type="table" w:customStyle="1" w:styleId="105">
    <w:name w:val="网格型1"/>
    <w:basedOn w:val="34"/>
    <w:qFormat/>
    <w:uiPriority w:val="0"/>
    <w:rPr>
      <w:rFonts w:ascii="Consolas" w:hAnsi="Consolas" w:eastAsia="等线" w:cs="Consola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68163D-37E8-4EA4-95B5-81CA8EB20C6A}">
  <ds:schemaRefs/>
</ds:datastoreItem>
</file>

<file path=docProps/app.xml><?xml version="1.0" encoding="utf-8"?>
<Properties xmlns="http://schemas.openxmlformats.org/officeDocument/2006/extended-properties" xmlns:vt="http://schemas.openxmlformats.org/officeDocument/2006/docPropsVTypes">
  <Template>Normal</Template>
  <Pages>123</Pages>
  <Words>10285</Words>
  <Characters>58631</Characters>
  <Lines>488</Lines>
  <Paragraphs>137</Paragraphs>
  <TotalTime>2</TotalTime>
  <ScaleCrop>false</ScaleCrop>
  <LinksUpToDate>false</LinksUpToDate>
  <CharactersWithSpaces>68779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2022-03-02T13:41:00Z</dcterms:created>
  <dc:creator>s</dc:creator>
  <cp:lastModifiedBy>用户1</cp:lastModifiedBy>
  <cp:lastPrinted>2022-03-03T03:40:00Z</cp:lastPrinted>
  <dcterms:modified xsi:type="dcterms:W3CDTF">2022-03-03T07:28:27Z</dcterms:modified>
  <dc:title>招标编号：xxxx [xxxx] 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1FB42FBB2F934D839BD408AE52F2E7A0</vt:lpwstr>
  </property>
</Properties>
</file>