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5"/>
        <w:spacing w:after="0" w:line="360" w:lineRule="auto"/>
        <w:jc w:val="both"/>
        <w:rPr>
          <w:rFonts w:hint="eastAsia" w:ascii="仿宋" w:hAnsi="仿宋" w:eastAsia="仿宋" w:cs="仿宋"/>
          <w:color w:val="auto"/>
          <w:highlight w:val="none"/>
        </w:rPr>
      </w:pPr>
      <w:bookmarkStart w:id="0" w:name="_Toc23740"/>
    </w:p>
    <w:p>
      <w:pPr>
        <w:pStyle w:val="2"/>
        <w:spacing w:after="0" w:line="360" w:lineRule="auto"/>
        <w:jc w:val="center"/>
        <w:rPr>
          <w:rFonts w:hint="eastAsia" w:ascii="仿宋" w:hAnsi="仿宋" w:eastAsia="仿宋" w:cs="仿宋"/>
          <w:b/>
          <w:color w:val="auto"/>
          <w:sz w:val="48"/>
          <w:szCs w:val="48"/>
          <w:highlight w:val="none"/>
          <w:lang w:val="zh-CN"/>
        </w:rPr>
      </w:pPr>
      <w:r>
        <w:rPr>
          <w:rFonts w:hint="eastAsia" w:ascii="仿宋" w:hAnsi="仿宋" w:eastAsia="仿宋" w:cs="仿宋"/>
          <w:color w:val="auto"/>
          <w:highlight w:val="none"/>
        </w:rPr>
        <w:drawing>
          <wp:inline distT="0" distB="0" distL="114300" distR="114300">
            <wp:extent cx="2419350" cy="1247775"/>
            <wp:effectExtent l="0" t="0" r="3810" b="1905"/>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4"/>
                    <a:stretch>
                      <a:fillRect/>
                    </a:stretch>
                  </pic:blipFill>
                  <pic:spPr>
                    <a:xfrm>
                      <a:off x="0" y="0"/>
                      <a:ext cx="2419350" cy="1247775"/>
                    </a:xfrm>
                    <a:prstGeom prst="rect">
                      <a:avLst/>
                    </a:prstGeom>
                    <a:noFill/>
                    <a:ln>
                      <a:noFill/>
                    </a:ln>
                  </pic:spPr>
                </pic:pic>
              </a:graphicData>
            </a:graphic>
          </wp:inline>
        </w:drawing>
      </w:r>
    </w:p>
    <w:p>
      <w:pPr>
        <w:pStyle w:val="2"/>
        <w:spacing w:after="0" w:line="360" w:lineRule="auto"/>
        <w:jc w:val="center"/>
        <w:rPr>
          <w:rFonts w:hint="eastAsia" w:ascii="仿宋" w:hAnsi="仿宋" w:eastAsia="仿宋" w:cs="仿宋"/>
          <w:b/>
          <w:color w:val="auto"/>
          <w:sz w:val="48"/>
          <w:szCs w:val="48"/>
          <w:highlight w:val="none"/>
          <w:lang w:val="zh-CN"/>
        </w:rPr>
      </w:pPr>
    </w:p>
    <w:p>
      <w:pPr>
        <w:pStyle w:val="2"/>
        <w:spacing w:after="0" w:line="360" w:lineRule="auto"/>
        <w:jc w:val="center"/>
        <w:rPr>
          <w:rFonts w:hint="eastAsia" w:ascii="仿宋" w:hAnsi="仿宋" w:eastAsia="仿宋" w:cs="仿宋"/>
          <w:b/>
          <w:color w:val="auto"/>
          <w:sz w:val="48"/>
          <w:szCs w:val="48"/>
          <w:highlight w:val="none"/>
          <w:lang w:val="zh-CN"/>
        </w:rPr>
      </w:pPr>
      <w:r>
        <w:rPr>
          <w:rFonts w:hint="eastAsia" w:ascii="仿宋" w:hAnsi="仿宋" w:eastAsia="仿宋" w:cs="仿宋"/>
          <w:b/>
          <w:color w:val="auto"/>
          <w:sz w:val="48"/>
          <w:szCs w:val="48"/>
          <w:highlight w:val="none"/>
          <w:lang w:val="zh-CN"/>
        </w:rPr>
        <w:t>成都市双流区中医医院</w:t>
      </w:r>
    </w:p>
    <w:p>
      <w:pPr>
        <w:pStyle w:val="2"/>
        <w:spacing w:after="0" w:line="360" w:lineRule="auto"/>
        <w:jc w:val="center"/>
        <w:rPr>
          <w:rFonts w:hint="eastAsia" w:ascii="仿宋" w:hAnsi="仿宋" w:eastAsia="仿宋" w:cs="仿宋"/>
          <w:b/>
          <w:color w:val="auto"/>
          <w:sz w:val="48"/>
          <w:szCs w:val="48"/>
          <w:highlight w:val="none"/>
          <w:lang w:val="zh-CN"/>
        </w:rPr>
      </w:pPr>
      <w:r>
        <w:rPr>
          <w:rFonts w:hint="eastAsia" w:ascii="仿宋" w:hAnsi="仿宋" w:eastAsia="仿宋" w:cs="仿宋"/>
          <w:b/>
          <w:color w:val="auto"/>
          <w:sz w:val="48"/>
          <w:szCs w:val="48"/>
          <w:highlight w:val="none"/>
          <w:lang w:val="zh-CN"/>
        </w:rPr>
        <w:t>2021年第二批医疗设备采购项目</w:t>
      </w:r>
    </w:p>
    <w:p>
      <w:pPr>
        <w:pStyle w:val="2"/>
        <w:spacing w:after="0" w:line="360" w:lineRule="auto"/>
        <w:jc w:val="center"/>
        <w:rPr>
          <w:rFonts w:hint="eastAsia" w:ascii="仿宋" w:hAnsi="仿宋" w:eastAsia="仿宋" w:cs="仿宋"/>
          <w:b/>
          <w:bCs/>
          <w:color w:val="auto"/>
          <w:kern w:val="0"/>
          <w:sz w:val="32"/>
          <w:szCs w:val="32"/>
          <w:highlight w:val="none"/>
          <w:lang w:val="en-US"/>
        </w:rPr>
      </w:pPr>
      <w:r>
        <w:rPr>
          <w:rFonts w:hint="eastAsia" w:ascii="仿宋" w:hAnsi="仿宋" w:eastAsia="仿宋" w:cs="仿宋"/>
          <w:b/>
          <w:color w:val="auto"/>
          <w:sz w:val="32"/>
          <w:szCs w:val="32"/>
          <w:highlight w:val="none"/>
        </w:rPr>
        <w:t>招标编号：510122202100577</w:t>
      </w:r>
    </w:p>
    <w:p>
      <w:pPr>
        <w:pStyle w:val="25"/>
        <w:spacing w:after="0" w:line="360" w:lineRule="auto"/>
        <w:rPr>
          <w:rFonts w:hint="eastAsia" w:ascii="仿宋" w:hAnsi="仿宋" w:eastAsia="仿宋" w:cs="仿宋"/>
          <w:color w:val="auto"/>
          <w:highlight w:val="none"/>
        </w:rPr>
      </w:pPr>
    </w:p>
    <w:p>
      <w:pPr>
        <w:pStyle w:val="2"/>
        <w:spacing w:after="0" w:line="360" w:lineRule="auto"/>
        <w:jc w:val="center"/>
        <w:rPr>
          <w:rFonts w:hint="eastAsia" w:ascii="仿宋" w:hAnsi="仿宋" w:eastAsia="仿宋" w:cs="仿宋"/>
          <w:b/>
          <w:color w:val="auto"/>
          <w:sz w:val="84"/>
          <w:szCs w:val="84"/>
          <w:highlight w:val="none"/>
        </w:rPr>
      </w:pPr>
    </w:p>
    <w:p>
      <w:pPr>
        <w:pStyle w:val="2"/>
        <w:spacing w:after="0" w:line="360" w:lineRule="auto"/>
        <w:jc w:val="center"/>
        <w:rPr>
          <w:rFonts w:hint="eastAsia" w:ascii="仿宋" w:hAnsi="仿宋" w:eastAsia="仿宋" w:cs="仿宋"/>
          <w:b/>
          <w:color w:val="auto"/>
          <w:sz w:val="84"/>
          <w:szCs w:val="84"/>
          <w:highlight w:val="none"/>
        </w:rPr>
      </w:pPr>
      <w:r>
        <w:rPr>
          <w:rFonts w:hint="eastAsia" w:ascii="仿宋" w:hAnsi="仿宋" w:eastAsia="仿宋" w:cs="仿宋"/>
          <w:b/>
          <w:color w:val="auto"/>
          <w:sz w:val="84"/>
          <w:szCs w:val="84"/>
          <w:highlight w:val="none"/>
        </w:rPr>
        <w:t>招标文件</w:t>
      </w:r>
    </w:p>
    <w:p>
      <w:pPr>
        <w:rPr>
          <w:rFonts w:hint="eastAsia" w:ascii="仿宋" w:hAnsi="仿宋" w:eastAsia="仿宋" w:cs="仿宋"/>
          <w:color w:val="auto"/>
          <w:highlight w:val="none"/>
        </w:rPr>
      </w:pPr>
    </w:p>
    <w:p>
      <w:pPr>
        <w:pStyle w:val="2"/>
        <w:rPr>
          <w:rFonts w:hint="eastAsia" w:ascii="仿宋" w:hAnsi="仿宋" w:eastAsia="仿宋" w:cs="仿宋"/>
          <w:color w:val="auto"/>
          <w:highlight w:val="none"/>
        </w:rPr>
      </w:pPr>
    </w:p>
    <w:tbl>
      <w:tblPr>
        <w:tblStyle w:val="3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336"/>
        <w:gridCol w:w="18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232" w:type="dxa"/>
            <w:gridSpan w:val="2"/>
            <w:noWrap w:val="0"/>
            <w:vAlign w:val="top"/>
          </w:tcPr>
          <w:p>
            <w:pPr>
              <w:pStyle w:val="2"/>
              <w:spacing w:after="0" w:line="360" w:lineRule="auto"/>
              <w:jc w:val="center"/>
              <w:rPr>
                <w:rFonts w:hint="eastAsia" w:ascii="仿宋" w:hAnsi="仿宋" w:eastAsia="仿宋" w:cs="仿宋"/>
                <w:b/>
                <w:color w:val="auto"/>
                <w:sz w:val="32"/>
                <w:szCs w:val="32"/>
                <w:highlight w:val="none"/>
                <w:vertAlign w:val="baseline"/>
              </w:rPr>
            </w:pPr>
            <w:r>
              <w:rPr>
                <w:rFonts w:hint="eastAsia" w:ascii="仿宋" w:hAnsi="仿宋" w:eastAsia="仿宋" w:cs="仿宋"/>
                <w:b/>
                <w:color w:val="auto"/>
                <w:sz w:val="32"/>
                <w:szCs w:val="32"/>
                <w:highlight w:val="none"/>
              </w:rPr>
              <w:t>中国·四川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336" w:type="dxa"/>
            <w:noWrap w:val="0"/>
            <w:vAlign w:val="top"/>
          </w:tcPr>
          <w:p>
            <w:pPr>
              <w:pStyle w:val="2"/>
              <w:spacing w:after="0" w:line="360" w:lineRule="auto"/>
              <w:jc w:val="center"/>
              <w:rPr>
                <w:rFonts w:hint="eastAsia" w:ascii="仿宋" w:hAnsi="仿宋" w:eastAsia="仿宋" w:cs="仿宋"/>
                <w:b/>
                <w:color w:val="auto"/>
                <w:sz w:val="32"/>
                <w:szCs w:val="32"/>
                <w:highlight w:val="none"/>
                <w:vertAlign w:val="baseline"/>
              </w:rPr>
            </w:pPr>
            <w:r>
              <w:rPr>
                <w:rFonts w:hint="eastAsia" w:ascii="仿宋" w:hAnsi="仿宋" w:eastAsia="仿宋" w:cs="仿宋"/>
                <w:b/>
                <w:color w:val="auto"/>
                <w:sz w:val="32"/>
                <w:szCs w:val="32"/>
                <w:highlight w:val="none"/>
                <w:vertAlign w:val="baseline"/>
                <w:lang w:val="zh-CN"/>
              </w:rPr>
              <w:t>成都市双流区中医医院</w:t>
            </w:r>
          </w:p>
        </w:tc>
        <w:tc>
          <w:tcPr>
            <w:tcW w:w="1896" w:type="dxa"/>
            <w:vMerge w:val="restart"/>
            <w:noWrap w:val="0"/>
            <w:vAlign w:val="center"/>
          </w:tcPr>
          <w:p>
            <w:pPr>
              <w:pStyle w:val="2"/>
              <w:spacing w:after="0" w:line="360" w:lineRule="auto"/>
              <w:jc w:val="center"/>
              <w:rPr>
                <w:rFonts w:hint="eastAsia" w:ascii="仿宋" w:hAnsi="仿宋" w:eastAsia="仿宋" w:cs="仿宋"/>
                <w:b/>
                <w:color w:val="auto"/>
                <w:sz w:val="32"/>
                <w:szCs w:val="32"/>
                <w:highlight w:val="none"/>
                <w:vertAlign w:val="baseline"/>
              </w:rPr>
            </w:pPr>
            <w:r>
              <w:rPr>
                <w:rFonts w:hint="eastAsia" w:ascii="仿宋" w:hAnsi="仿宋" w:eastAsia="仿宋" w:cs="仿宋"/>
                <w:b/>
                <w:color w:val="auto"/>
                <w:sz w:val="32"/>
                <w:szCs w:val="32"/>
                <w:highlight w:val="none"/>
              </w:rPr>
              <w:t>共同编制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336" w:type="dxa"/>
            <w:noWrap w:val="0"/>
            <w:vAlign w:val="top"/>
          </w:tcPr>
          <w:p>
            <w:pPr>
              <w:pStyle w:val="2"/>
              <w:spacing w:after="0" w:line="360" w:lineRule="auto"/>
              <w:jc w:val="center"/>
              <w:rPr>
                <w:rFonts w:hint="eastAsia" w:ascii="仿宋" w:hAnsi="仿宋" w:eastAsia="仿宋" w:cs="仿宋"/>
                <w:b/>
                <w:color w:val="auto"/>
                <w:sz w:val="32"/>
                <w:szCs w:val="32"/>
                <w:highlight w:val="none"/>
                <w:vertAlign w:val="baseline"/>
              </w:rPr>
            </w:pPr>
            <w:r>
              <w:rPr>
                <w:rFonts w:hint="eastAsia" w:ascii="仿宋" w:hAnsi="仿宋" w:eastAsia="仿宋" w:cs="仿宋"/>
                <w:b/>
                <w:color w:val="auto"/>
                <w:sz w:val="32"/>
                <w:szCs w:val="32"/>
                <w:highlight w:val="none"/>
              </w:rPr>
              <w:t>利阳致诚国际项目管理有限公司</w:t>
            </w:r>
          </w:p>
        </w:tc>
        <w:tc>
          <w:tcPr>
            <w:tcW w:w="1896" w:type="dxa"/>
            <w:vMerge w:val="continue"/>
            <w:noWrap w:val="0"/>
            <w:vAlign w:val="top"/>
          </w:tcPr>
          <w:p>
            <w:pPr>
              <w:pStyle w:val="2"/>
              <w:spacing w:after="0" w:line="360" w:lineRule="auto"/>
              <w:jc w:val="center"/>
              <w:rPr>
                <w:rFonts w:hint="eastAsia" w:ascii="仿宋" w:hAnsi="仿宋" w:eastAsia="仿宋" w:cs="仿宋"/>
                <w:b/>
                <w:color w:val="auto"/>
                <w:sz w:val="32"/>
                <w:szCs w:val="32"/>
                <w:highlight w:val="none"/>
                <w:vertAlign w:val="baseli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232" w:type="dxa"/>
            <w:gridSpan w:val="2"/>
            <w:noWrap w:val="0"/>
            <w:vAlign w:val="top"/>
          </w:tcPr>
          <w:p>
            <w:pPr>
              <w:pStyle w:val="2"/>
              <w:spacing w:after="0" w:line="360" w:lineRule="auto"/>
              <w:jc w:val="center"/>
              <w:rPr>
                <w:rFonts w:hint="eastAsia" w:ascii="仿宋" w:hAnsi="仿宋" w:eastAsia="仿宋" w:cs="仿宋"/>
                <w:b/>
                <w:color w:val="auto"/>
                <w:sz w:val="32"/>
                <w:szCs w:val="32"/>
                <w:highlight w:val="none"/>
                <w:vertAlign w:val="baseline"/>
              </w:rPr>
            </w:pPr>
            <w:r>
              <w:rPr>
                <w:rFonts w:hint="eastAsia" w:ascii="仿宋" w:hAnsi="仿宋" w:eastAsia="仿宋" w:cs="仿宋"/>
                <w:b/>
                <w:color w:val="auto"/>
                <w:sz w:val="32"/>
                <w:szCs w:val="32"/>
                <w:highlight w:val="none"/>
              </w:rPr>
              <w:t>2021年</w:t>
            </w:r>
            <w:r>
              <w:rPr>
                <w:rFonts w:hint="eastAsia" w:ascii="仿宋" w:hAnsi="仿宋" w:eastAsia="仿宋" w:cs="仿宋"/>
                <w:b/>
                <w:color w:val="auto"/>
                <w:sz w:val="32"/>
                <w:szCs w:val="32"/>
                <w:highlight w:val="none"/>
                <w:lang w:val="en-US" w:eastAsia="zh-CN"/>
              </w:rPr>
              <w:t>12</w:t>
            </w:r>
            <w:r>
              <w:rPr>
                <w:rFonts w:hint="eastAsia" w:ascii="仿宋" w:hAnsi="仿宋" w:eastAsia="仿宋" w:cs="仿宋"/>
                <w:b/>
                <w:color w:val="auto"/>
                <w:sz w:val="32"/>
                <w:szCs w:val="32"/>
                <w:highlight w:val="none"/>
              </w:rPr>
              <w:t>月</w:t>
            </w:r>
          </w:p>
        </w:tc>
      </w:tr>
    </w:tbl>
    <w:p>
      <w:pPr>
        <w:pStyle w:val="2"/>
        <w:spacing w:after="0" w:line="360" w:lineRule="auto"/>
        <w:jc w:val="center"/>
        <w:rPr>
          <w:rFonts w:hint="eastAsia" w:ascii="仿宋" w:hAnsi="仿宋" w:eastAsia="仿宋" w:cs="仿宋"/>
          <w:b/>
          <w:color w:val="auto"/>
          <w:sz w:val="36"/>
          <w:szCs w:val="36"/>
          <w:highlight w:val="none"/>
        </w:rPr>
        <w:sectPr>
          <w:headerReference r:id="rId5" w:type="default"/>
          <w:footerReference r:id="rId6" w:type="default"/>
          <w:type w:val="continuous"/>
          <w:pgSz w:w="11907" w:h="16840"/>
          <w:pgMar w:top="1440" w:right="1800" w:bottom="1440" w:left="1800" w:header="851" w:footer="992" w:gutter="0"/>
          <w:pgNumType w:fmt="decimal" w:start="1"/>
          <w:cols w:space="720" w:num="1"/>
          <w:docGrid w:linePitch="312" w:charSpace="0"/>
        </w:sectPr>
      </w:pPr>
    </w:p>
    <w:p>
      <w:pPr>
        <w:rPr>
          <w:rFonts w:hint="eastAsia" w:ascii="仿宋" w:hAnsi="仿宋" w:eastAsia="仿宋" w:cs="仿宋"/>
          <w:color w:val="auto"/>
          <w:highlight w:val="none"/>
        </w:rPr>
      </w:pPr>
    </w:p>
    <w:p>
      <w:pPr>
        <w:pStyle w:val="3"/>
        <w:spacing w:before="0" w:after="0" w:line="360" w:lineRule="auto"/>
        <w:jc w:val="center"/>
        <w:rPr>
          <w:rFonts w:hint="eastAsia" w:ascii="仿宋" w:hAnsi="仿宋" w:eastAsia="仿宋" w:cs="仿宋"/>
          <w:color w:val="auto"/>
          <w:highlight w:val="none"/>
        </w:rPr>
      </w:pPr>
      <w:bookmarkStart w:id="1" w:name="_Toc31963"/>
      <w:bookmarkStart w:id="2" w:name="_Toc6322"/>
      <w:r>
        <w:rPr>
          <w:rFonts w:hint="eastAsia" w:ascii="仿宋" w:hAnsi="仿宋" w:eastAsia="仿宋" w:cs="仿宋"/>
          <w:color w:val="auto"/>
          <w:highlight w:val="none"/>
        </w:rPr>
        <w:t>政府采购廉洁承诺书</w:t>
      </w:r>
      <w:bookmarkEnd w:id="0"/>
      <w:bookmarkEnd w:id="1"/>
      <w:bookmarkEnd w:id="2"/>
    </w:p>
    <w:p>
      <w:pPr>
        <w:spacing w:after="0" w:line="360" w:lineRule="auto"/>
        <w:ind w:firstLine="480" w:firstLineChars="200"/>
        <w:jc w:val="left"/>
        <w:rPr>
          <w:rFonts w:hint="eastAsia" w:ascii="仿宋" w:hAnsi="仿宋" w:eastAsia="仿宋" w:cs="仿宋"/>
          <w:color w:val="auto"/>
          <w:sz w:val="24"/>
          <w:szCs w:val="32"/>
          <w:highlight w:val="none"/>
          <w:lang w:val="zh-CN"/>
        </w:rPr>
      </w:pPr>
      <w:r>
        <w:rPr>
          <w:rFonts w:hint="eastAsia" w:ascii="仿宋" w:hAnsi="仿宋" w:eastAsia="仿宋" w:cs="仿宋"/>
          <w:color w:val="auto"/>
          <w:sz w:val="24"/>
          <w:szCs w:val="32"/>
          <w:highlight w:val="none"/>
          <w:lang w:val="zh-CN"/>
        </w:rPr>
        <w:t>为加强招标投标活动中的廉政建设，坚决维护国家利益和社会公共利益，进一步规范招标投标市场，宣扬公平竞争的风气，努力提供优质、细心、专业的服务，为采购人创造价值，防止发生违法违纪行为，落实公开、公平、公正的原则，根据国家有关法律、法规和廉政建设责任制的规定，本招标代理机构作如下承诺：</w:t>
      </w:r>
    </w:p>
    <w:p>
      <w:pPr>
        <w:spacing w:after="0" w:line="360" w:lineRule="auto"/>
        <w:ind w:firstLine="480" w:firstLineChars="200"/>
        <w:jc w:val="left"/>
        <w:rPr>
          <w:rFonts w:hint="eastAsia" w:ascii="仿宋" w:hAnsi="仿宋" w:eastAsia="仿宋" w:cs="仿宋"/>
          <w:color w:val="auto"/>
          <w:sz w:val="24"/>
          <w:szCs w:val="32"/>
          <w:highlight w:val="none"/>
          <w:lang w:val="zh-CN"/>
        </w:rPr>
      </w:pPr>
      <w:r>
        <w:rPr>
          <w:rFonts w:hint="eastAsia" w:ascii="仿宋" w:hAnsi="仿宋" w:eastAsia="仿宋" w:cs="仿宋"/>
          <w:color w:val="auto"/>
          <w:sz w:val="24"/>
          <w:szCs w:val="32"/>
          <w:highlight w:val="none"/>
          <w:lang w:val="zh-CN"/>
        </w:rPr>
        <w:t>1、不与他人串通，</w:t>
      </w:r>
      <w:r>
        <w:rPr>
          <w:rFonts w:hint="eastAsia" w:ascii="仿宋" w:hAnsi="仿宋" w:eastAsia="仿宋" w:cs="仿宋"/>
          <w:color w:val="auto"/>
          <w:sz w:val="24"/>
          <w:szCs w:val="32"/>
          <w:highlight w:val="none"/>
        </w:rPr>
        <w:t>泄露</w:t>
      </w:r>
      <w:r>
        <w:rPr>
          <w:rFonts w:hint="eastAsia" w:ascii="仿宋" w:hAnsi="仿宋" w:eastAsia="仿宋" w:cs="仿宋"/>
          <w:color w:val="auto"/>
          <w:sz w:val="24"/>
          <w:szCs w:val="32"/>
          <w:highlight w:val="none"/>
          <w:lang w:val="zh-CN"/>
        </w:rPr>
        <w:t>招标投标机密。</w:t>
      </w:r>
    </w:p>
    <w:p>
      <w:pPr>
        <w:spacing w:after="0" w:line="360" w:lineRule="auto"/>
        <w:ind w:firstLine="480" w:firstLineChars="200"/>
        <w:jc w:val="left"/>
        <w:rPr>
          <w:rFonts w:hint="eastAsia" w:ascii="仿宋" w:hAnsi="仿宋" w:eastAsia="仿宋" w:cs="仿宋"/>
          <w:color w:val="auto"/>
          <w:sz w:val="24"/>
          <w:szCs w:val="32"/>
          <w:highlight w:val="none"/>
          <w:lang w:val="zh-CN"/>
        </w:rPr>
      </w:pPr>
      <w:r>
        <w:rPr>
          <w:rFonts w:hint="eastAsia" w:ascii="仿宋" w:hAnsi="仿宋" w:eastAsia="仿宋" w:cs="仿宋"/>
          <w:color w:val="auto"/>
          <w:sz w:val="24"/>
          <w:szCs w:val="32"/>
          <w:highlight w:val="none"/>
          <w:lang w:val="zh-CN"/>
        </w:rPr>
        <w:t>2、不与采购人、供应商串通投标。</w:t>
      </w:r>
    </w:p>
    <w:p>
      <w:pPr>
        <w:spacing w:after="0" w:line="360" w:lineRule="auto"/>
        <w:ind w:firstLine="480" w:firstLineChars="200"/>
        <w:jc w:val="left"/>
        <w:rPr>
          <w:rFonts w:hint="eastAsia" w:ascii="仿宋" w:hAnsi="仿宋" w:eastAsia="仿宋" w:cs="仿宋"/>
          <w:color w:val="auto"/>
          <w:sz w:val="24"/>
          <w:szCs w:val="32"/>
          <w:highlight w:val="none"/>
          <w:lang w:val="zh-CN"/>
        </w:rPr>
      </w:pPr>
      <w:r>
        <w:rPr>
          <w:rFonts w:hint="eastAsia" w:ascii="仿宋" w:hAnsi="仿宋" w:eastAsia="仿宋" w:cs="仿宋"/>
          <w:color w:val="auto"/>
          <w:sz w:val="24"/>
          <w:szCs w:val="32"/>
          <w:highlight w:val="none"/>
          <w:lang w:val="zh-CN"/>
        </w:rPr>
        <w:t>3、不向评标专家支付合理报酬以外的</w:t>
      </w:r>
      <w:r>
        <w:rPr>
          <w:rFonts w:hint="eastAsia" w:ascii="仿宋" w:hAnsi="仿宋" w:eastAsia="仿宋" w:cs="仿宋"/>
          <w:color w:val="auto"/>
          <w:sz w:val="24"/>
          <w:szCs w:val="32"/>
          <w:highlight w:val="none"/>
        </w:rPr>
        <w:t>费用，包括并不限于</w:t>
      </w:r>
      <w:r>
        <w:rPr>
          <w:rFonts w:hint="eastAsia" w:ascii="仿宋" w:hAnsi="仿宋" w:eastAsia="仿宋" w:cs="仿宋"/>
          <w:color w:val="auto"/>
          <w:sz w:val="24"/>
          <w:szCs w:val="32"/>
          <w:highlight w:val="none"/>
          <w:lang w:val="zh-CN"/>
        </w:rPr>
        <w:t>现金、购物卡、礼品、实物等，</w:t>
      </w:r>
      <w:r>
        <w:rPr>
          <w:rFonts w:hint="eastAsia" w:ascii="仿宋" w:hAnsi="仿宋" w:eastAsia="仿宋" w:cs="仿宋"/>
          <w:color w:val="auto"/>
          <w:sz w:val="24"/>
          <w:szCs w:val="32"/>
          <w:highlight w:val="none"/>
        </w:rPr>
        <w:t>不进行</w:t>
      </w:r>
      <w:r>
        <w:rPr>
          <w:rFonts w:hint="eastAsia" w:ascii="仿宋" w:hAnsi="仿宋" w:eastAsia="仿宋" w:cs="仿宋"/>
          <w:color w:val="auto"/>
          <w:sz w:val="24"/>
          <w:szCs w:val="32"/>
          <w:highlight w:val="none"/>
          <w:lang w:val="zh-CN"/>
        </w:rPr>
        <w:t>其他可能影响客观公正评审的活动。</w:t>
      </w:r>
    </w:p>
    <w:p>
      <w:pPr>
        <w:spacing w:after="0" w:line="360" w:lineRule="auto"/>
        <w:ind w:firstLine="480" w:firstLineChars="200"/>
        <w:jc w:val="left"/>
        <w:rPr>
          <w:rFonts w:hint="eastAsia" w:ascii="仿宋" w:hAnsi="仿宋" w:eastAsia="仿宋" w:cs="仿宋"/>
          <w:color w:val="auto"/>
          <w:sz w:val="24"/>
          <w:szCs w:val="32"/>
          <w:highlight w:val="none"/>
          <w:lang w:val="zh-CN"/>
        </w:rPr>
      </w:pPr>
      <w:r>
        <w:rPr>
          <w:rFonts w:hint="eastAsia" w:ascii="仿宋" w:hAnsi="仿宋" w:eastAsia="仿宋" w:cs="仿宋"/>
          <w:color w:val="auto"/>
          <w:sz w:val="24"/>
          <w:szCs w:val="32"/>
          <w:highlight w:val="none"/>
          <w:lang w:val="zh-CN"/>
        </w:rPr>
        <w:t>4、不向招标投标监督人员或机构请客、送礼及组织其它有可能影响客观公正监督的活动。</w:t>
      </w:r>
    </w:p>
    <w:p>
      <w:pPr>
        <w:spacing w:after="0" w:line="360" w:lineRule="auto"/>
        <w:ind w:firstLine="480" w:firstLineChars="200"/>
        <w:jc w:val="left"/>
        <w:rPr>
          <w:rFonts w:hint="eastAsia" w:ascii="仿宋" w:hAnsi="仿宋" w:eastAsia="仿宋" w:cs="仿宋"/>
          <w:color w:val="auto"/>
          <w:sz w:val="24"/>
          <w:szCs w:val="32"/>
          <w:highlight w:val="none"/>
          <w:lang w:val="zh-CN"/>
        </w:rPr>
      </w:pPr>
      <w:r>
        <w:rPr>
          <w:rFonts w:hint="eastAsia" w:ascii="仿宋" w:hAnsi="仿宋" w:eastAsia="仿宋" w:cs="仿宋"/>
          <w:color w:val="auto"/>
          <w:sz w:val="24"/>
          <w:szCs w:val="32"/>
          <w:highlight w:val="none"/>
        </w:rPr>
        <w:t>5、</w:t>
      </w:r>
      <w:r>
        <w:rPr>
          <w:rFonts w:hint="eastAsia" w:ascii="仿宋" w:hAnsi="仿宋" w:eastAsia="仿宋" w:cs="仿宋"/>
          <w:color w:val="auto"/>
          <w:sz w:val="24"/>
          <w:szCs w:val="32"/>
          <w:highlight w:val="none"/>
          <w:lang w:val="zh-CN"/>
        </w:rPr>
        <w:t>不向采购人提供任何不正当利益的方式谋求合作关系。</w:t>
      </w:r>
    </w:p>
    <w:p>
      <w:pPr>
        <w:spacing w:after="0" w:line="360" w:lineRule="auto"/>
        <w:ind w:firstLine="480" w:firstLineChars="200"/>
        <w:jc w:val="left"/>
        <w:rPr>
          <w:rFonts w:hint="eastAsia" w:ascii="仿宋" w:hAnsi="仿宋" w:eastAsia="仿宋" w:cs="仿宋"/>
          <w:color w:val="auto"/>
          <w:sz w:val="24"/>
          <w:szCs w:val="32"/>
          <w:highlight w:val="none"/>
          <w:lang w:val="zh-CN"/>
        </w:rPr>
      </w:pPr>
      <w:r>
        <w:rPr>
          <w:rFonts w:hint="eastAsia" w:ascii="仿宋" w:hAnsi="仿宋" w:eastAsia="仿宋" w:cs="仿宋"/>
          <w:color w:val="auto"/>
          <w:sz w:val="24"/>
          <w:szCs w:val="32"/>
          <w:highlight w:val="none"/>
        </w:rPr>
        <w:t>6、</w:t>
      </w:r>
      <w:r>
        <w:rPr>
          <w:rFonts w:hint="eastAsia" w:ascii="仿宋" w:hAnsi="仿宋" w:eastAsia="仿宋" w:cs="仿宋"/>
          <w:color w:val="auto"/>
          <w:sz w:val="24"/>
          <w:szCs w:val="32"/>
          <w:highlight w:val="none"/>
          <w:lang w:val="zh-CN"/>
        </w:rPr>
        <w:t>不采取恶性竞争等不正当手段竞争业务。</w:t>
      </w:r>
    </w:p>
    <w:p>
      <w:pPr>
        <w:spacing w:after="0" w:line="360" w:lineRule="auto"/>
        <w:ind w:firstLine="480" w:firstLineChars="200"/>
        <w:jc w:val="left"/>
        <w:rPr>
          <w:rFonts w:hint="eastAsia" w:ascii="仿宋" w:hAnsi="仿宋" w:eastAsia="仿宋" w:cs="仿宋"/>
          <w:color w:val="auto"/>
          <w:sz w:val="24"/>
          <w:szCs w:val="32"/>
          <w:highlight w:val="none"/>
          <w:lang w:val="zh-CN"/>
        </w:rPr>
      </w:pPr>
      <w:r>
        <w:rPr>
          <w:rFonts w:hint="eastAsia" w:ascii="仿宋" w:hAnsi="仿宋" w:eastAsia="仿宋" w:cs="仿宋"/>
          <w:color w:val="auto"/>
          <w:sz w:val="24"/>
          <w:szCs w:val="32"/>
          <w:highlight w:val="none"/>
        </w:rPr>
        <w:t>7、禁止一切</w:t>
      </w:r>
      <w:r>
        <w:rPr>
          <w:rFonts w:hint="eastAsia" w:ascii="仿宋" w:hAnsi="仿宋" w:eastAsia="仿宋" w:cs="仿宋"/>
          <w:color w:val="auto"/>
          <w:sz w:val="24"/>
          <w:szCs w:val="32"/>
          <w:highlight w:val="none"/>
          <w:lang w:val="zh-CN"/>
        </w:rPr>
        <w:t>行贿倾向、建议等行为。</w:t>
      </w:r>
    </w:p>
    <w:p>
      <w:pPr>
        <w:spacing w:after="0" w:line="360" w:lineRule="auto"/>
        <w:ind w:firstLine="480" w:firstLineChars="200"/>
        <w:jc w:val="left"/>
        <w:rPr>
          <w:rFonts w:hint="eastAsia" w:ascii="仿宋" w:hAnsi="仿宋" w:eastAsia="仿宋" w:cs="仿宋"/>
          <w:color w:val="auto"/>
          <w:sz w:val="24"/>
          <w:szCs w:val="32"/>
          <w:highlight w:val="none"/>
          <w:lang w:val="zh-CN"/>
        </w:rPr>
      </w:pPr>
      <w:r>
        <w:rPr>
          <w:rFonts w:hint="eastAsia" w:ascii="仿宋" w:hAnsi="仿宋" w:eastAsia="仿宋" w:cs="仿宋"/>
          <w:color w:val="auto"/>
          <w:sz w:val="24"/>
          <w:szCs w:val="32"/>
          <w:highlight w:val="none"/>
        </w:rPr>
        <w:t>8、</w:t>
      </w:r>
      <w:r>
        <w:rPr>
          <w:rFonts w:hint="eastAsia" w:ascii="仿宋" w:hAnsi="仿宋" w:eastAsia="仿宋" w:cs="仿宋"/>
          <w:color w:val="auto"/>
          <w:sz w:val="24"/>
          <w:szCs w:val="32"/>
          <w:highlight w:val="none"/>
          <w:lang w:val="zh-CN"/>
        </w:rPr>
        <w:t>禁止员工有索贿、受贿等行为。</w:t>
      </w:r>
    </w:p>
    <w:p>
      <w:pPr>
        <w:spacing w:after="0" w:line="360" w:lineRule="auto"/>
        <w:ind w:firstLine="480" w:firstLineChars="200"/>
        <w:jc w:val="left"/>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9、严格遵守国家和省、市、区以及监管部门关于加强党风廉政建设的各项规定，加强对员工的廉政监督，积极开展廉政教育和职业道德教育，杜绝员工违纪违法行为的发生。</w:t>
      </w:r>
    </w:p>
    <w:p>
      <w:pPr>
        <w:spacing w:after="0" w:line="360" w:lineRule="auto"/>
        <w:ind w:firstLine="480" w:firstLineChars="200"/>
        <w:jc w:val="left"/>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lang w:val="zh-CN"/>
        </w:rPr>
        <w:t>本承诺书由承诺人盖章签字生效，如出现上述行为，</w:t>
      </w:r>
      <w:r>
        <w:rPr>
          <w:rFonts w:hint="eastAsia" w:ascii="仿宋" w:hAnsi="仿宋" w:eastAsia="仿宋" w:cs="仿宋"/>
          <w:color w:val="auto"/>
          <w:sz w:val="24"/>
          <w:szCs w:val="32"/>
          <w:highlight w:val="none"/>
        </w:rPr>
        <w:t>承诺人</w:t>
      </w:r>
      <w:r>
        <w:rPr>
          <w:rFonts w:hint="eastAsia" w:ascii="仿宋" w:hAnsi="仿宋" w:eastAsia="仿宋" w:cs="仿宋"/>
          <w:color w:val="auto"/>
          <w:sz w:val="24"/>
          <w:szCs w:val="32"/>
          <w:highlight w:val="none"/>
          <w:lang w:val="zh-CN"/>
        </w:rPr>
        <w:t>自愿承担相关责任，接受招标投标监督管理部门、纪检监察机关或司法机关调查处理。如发现本单位员工个人出现违反廉洁纪律的行为，各方均有权提醒并督促其纠正，或直接向我公司投诉、举报，经核查属实的，</w:t>
      </w:r>
      <w:r>
        <w:rPr>
          <w:rFonts w:hint="eastAsia" w:ascii="仿宋" w:hAnsi="仿宋" w:eastAsia="仿宋" w:cs="仿宋"/>
          <w:color w:val="auto"/>
          <w:sz w:val="24"/>
          <w:szCs w:val="32"/>
          <w:highlight w:val="none"/>
        </w:rPr>
        <w:t>将</w:t>
      </w:r>
      <w:r>
        <w:rPr>
          <w:rFonts w:hint="eastAsia" w:ascii="仿宋" w:hAnsi="仿宋" w:eastAsia="仿宋" w:cs="仿宋"/>
          <w:color w:val="auto"/>
          <w:sz w:val="24"/>
          <w:szCs w:val="32"/>
          <w:highlight w:val="none"/>
          <w:lang w:val="zh-CN"/>
        </w:rPr>
        <w:t>严格按照公司规定处理，涉及违法违纪的将追究相关法律责任。</w:t>
      </w:r>
    </w:p>
    <w:p>
      <w:pPr>
        <w:spacing w:after="0" w:line="360" w:lineRule="auto"/>
        <w:ind w:firstLine="480" w:firstLineChars="200"/>
        <w:jc w:val="left"/>
        <w:rPr>
          <w:rFonts w:hint="eastAsia" w:ascii="仿宋" w:hAnsi="仿宋" w:eastAsia="仿宋" w:cs="仿宋"/>
          <w:color w:val="auto"/>
          <w:sz w:val="24"/>
          <w:szCs w:val="32"/>
          <w:highlight w:val="none"/>
          <w:lang w:val="zh-CN"/>
        </w:rPr>
      </w:pPr>
      <w:r>
        <w:rPr>
          <w:rFonts w:hint="eastAsia" w:ascii="仿宋" w:hAnsi="仿宋" w:eastAsia="仿宋" w:cs="仿宋"/>
          <w:color w:val="auto"/>
          <w:sz w:val="24"/>
          <w:szCs w:val="32"/>
          <w:highlight w:val="none"/>
          <w:lang w:val="zh-CN"/>
        </w:rPr>
        <w:t>请各采购人及供应商监督！</w:t>
      </w:r>
    </w:p>
    <w:p>
      <w:pPr>
        <w:pStyle w:val="2"/>
        <w:spacing w:after="0" w:line="360" w:lineRule="auto"/>
        <w:rPr>
          <w:rFonts w:hint="eastAsia" w:ascii="仿宋" w:hAnsi="仿宋" w:eastAsia="仿宋" w:cs="仿宋"/>
          <w:color w:val="auto"/>
          <w:highlight w:val="none"/>
        </w:rPr>
      </w:pPr>
    </w:p>
    <w:p>
      <w:pPr>
        <w:spacing w:after="0" w:line="360" w:lineRule="auto"/>
        <w:jc w:val="right"/>
        <w:rPr>
          <w:rFonts w:hint="eastAsia" w:ascii="仿宋" w:hAnsi="仿宋" w:eastAsia="仿宋" w:cs="仿宋"/>
          <w:color w:val="auto"/>
          <w:sz w:val="24"/>
          <w:szCs w:val="32"/>
          <w:highlight w:val="none"/>
          <w:lang w:val="zh-CN"/>
        </w:rPr>
      </w:pPr>
      <w:r>
        <w:rPr>
          <w:rFonts w:hint="eastAsia" w:ascii="仿宋" w:hAnsi="仿宋" w:eastAsia="仿宋" w:cs="仿宋"/>
          <w:color w:val="auto"/>
          <w:sz w:val="24"/>
          <w:szCs w:val="32"/>
          <w:highlight w:val="none"/>
          <w:lang w:val="zh-CN"/>
        </w:rPr>
        <w:t>招标代理机构：利阳致诚国际项目管理有限公司</w:t>
      </w:r>
    </w:p>
    <w:p>
      <w:pPr>
        <w:spacing w:after="0" w:line="360" w:lineRule="auto"/>
        <w:jc w:val="center"/>
        <w:rPr>
          <w:rFonts w:hint="eastAsia" w:ascii="仿宋" w:hAnsi="仿宋" w:eastAsia="仿宋" w:cs="仿宋"/>
          <w:b/>
          <w:bCs/>
          <w:color w:val="auto"/>
          <w:sz w:val="28"/>
          <w:szCs w:val="28"/>
          <w:highlight w:val="none"/>
        </w:rPr>
      </w:pPr>
      <w:bookmarkStart w:id="3" w:name="_Hlt101843627"/>
      <w:bookmarkEnd w:id="3"/>
      <w:bookmarkStart w:id="4" w:name="_Hlt101233737"/>
      <w:bookmarkEnd w:id="4"/>
      <w:bookmarkStart w:id="5" w:name="_Toc24584"/>
      <w:bookmarkStart w:id="6" w:name="_Toc6066"/>
      <w:r>
        <w:rPr>
          <w:rFonts w:hint="eastAsia" w:ascii="仿宋" w:hAnsi="仿宋" w:eastAsia="仿宋" w:cs="仿宋"/>
          <w:color w:val="auto"/>
          <w:highlight w:val="none"/>
          <w:lang w:val="zh-CN"/>
        </w:rPr>
        <w:br w:type="page"/>
      </w:r>
      <w:r>
        <w:rPr>
          <w:rFonts w:hint="eastAsia" w:ascii="仿宋" w:hAnsi="仿宋" w:eastAsia="仿宋" w:cs="仿宋"/>
          <w:b/>
          <w:bCs/>
          <w:color w:val="auto"/>
          <w:sz w:val="28"/>
          <w:szCs w:val="28"/>
          <w:highlight w:val="none"/>
        </w:rPr>
        <w:t>交通指引</w:t>
      </w:r>
    </w:p>
    <w:p>
      <w:pPr>
        <w:spacing w:after="0" w:line="360" w:lineRule="auto"/>
        <w:ind w:firstLine="480" w:firstLineChars="200"/>
        <w:rPr>
          <w:rFonts w:hint="eastAsia" w:ascii="仿宋" w:hAnsi="仿宋" w:eastAsia="仿宋" w:cs="仿宋"/>
          <w:color w:val="auto"/>
          <w:sz w:val="24"/>
          <w:highlight w:val="none"/>
        </w:rPr>
      </w:pP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利阳致诚国际项目管理有限公司</w:t>
      </w:r>
      <w:r>
        <w:rPr>
          <w:rFonts w:hint="eastAsia" w:ascii="仿宋" w:hAnsi="仿宋" w:eastAsia="仿宋" w:cs="仿宋"/>
          <w:color w:val="auto"/>
          <w:sz w:val="24"/>
          <w:highlight w:val="none"/>
        </w:rPr>
        <w:t>位于成都市锦江区三色路163号银海芯座1栋1单元14层，可采用以下交通方式：</w:t>
      </w:r>
    </w:p>
    <w:p>
      <w:pPr>
        <w:numPr>
          <w:ilvl w:val="0"/>
          <w:numId w:val="2"/>
        </w:numPr>
        <w:spacing w:after="0"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地铁：地铁6号线金石路地铁站B出口，沿金石路步行210米，再沿墨香路步行350米即可到达。（如下图）</w:t>
      </w:r>
    </w:p>
    <w:p>
      <w:pPr>
        <w:spacing w:after="0" w:line="360" w:lineRule="auto"/>
        <w:ind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drawing>
          <wp:anchor distT="0" distB="0" distL="114300" distR="114300" simplePos="0" relativeHeight="251661312" behindDoc="0" locked="0" layoutInCell="1" allowOverlap="1">
            <wp:simplePos x="0" y="0"/>
            <wp:positionH relativeFrom="column">
              <wp:posOffset>-160020</wp:posOffset>
            </wp:positionH>
            <wp:positionV relativeFrom="paragraph">
              <wp:posOffset>203200</wp:posOffset>
            </wp:positionV>
            <wp:extent cx="5612130" cy="3507740"/>
            <wp:effectExtent l="0" t="0" r="11430" b="12700"/>
            <wp:wrapSquare wrapText="bothSides"/>
            <wp:docPr id="2" name="图片 1" descr="利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利阳"/>
                    <pic:cNvPicPr>
                      <a:picLocks noChangeAspect="1"/>
                    </pic:cNvPicPr>
                  </pic:nvPicPr>
                  <pic:blipFill>
                    <a:blip r:embed="rId15"/>
                    <a:stretch>
                      <a:fillRect/>
                    </a:stretch>
                  </pic:blipFill>
                  <pic:spPr>
                    <a:xfrm>
                      <a:off x="0" y="0"/>
                      <a:ext cx="5612130" cy="3507740"/>
                    </a:xfrm>
                    <a:prstGeom prst="rect">
                      <a:avLst/>
                    </a:prstGeom>
                    <a:noFill/>
                    <a:ln>
                      <a:noFill/>
                    </a:ln>
                  </pic:spPr>
                </pic:pic>
              </a:graphicData>
            </a:graphic>
          </wp:anchor>
        </w:drawing>
      </w:r>
    </w:p>
    <w:p>
      <w:pPr>
        <w:spacing w:after="0" w:line="360" w:lineRule="auto"/>
        <w:ind w:firstLine="480" w:firstLineChars="200"/>
        <w:rPr>
          <w:rFonts w:hint="eastAsia" w:ascii="仿宋" w:hAnsi="仿宋" w:eastAsia="仿宋" w:cs="仿宋"/>
          <w:color w:val="auto"/>
          <w:sz w:val="24"/>
          <w:highlight w:val="none"/>
        </w:rPr>
      </w:pP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2.自驾：导航输入“银海芯座”，由停车场入口进入，再乘坐A栋电梯到达目的地。</w:t>
      </w:r>
    </w:p>
    <w:p>
      <w:pPr>
        <w:spacing w:after="0" w:line="360" w:lineRule="auto"/>
        <w:jc w:val="center"/>
        <w:rPr>
          <w:rFonts w:hint="eastAsia" w:ascii="仿宋" w:hAnsi="仿宋" w:eastAsia="仿宋" w:cs="仿宋"/>
          <w:b/>
          <w:bCs/>
          <w:color w:val="auto"/>
          <w:sz w:val="28"/>
          <w:szCs w:val="28"/>
          <w:highlight w:val="none"/>
        </w:rPr>
      </w:pPr>
      <w:r>
        <w:rPr>
          <w:rFonts w:hint="eastAsia" w:ascii="仿宋" w:hAnsi="仿宋" w:eastAsia="仿宋" w:cs="仿宋"/>
          <w:color w:val="auto"/>
          <w:sz w:val="24"/>
          <w:highlight w:val="none"/>
        </w:rPr>
        <w:br w:type="page"/>
      </w:r>
      <w:r>
        <w:rPr>
          <w:rFonts w:hint="eastAsia" w:ascii="仿宋" w:hAnsi="仿宋" w:eastAsia="仿宋" w:cs="仿宋"/>
          <w:b/>
          <w:bCs/>
          <w:color w:val="auto"/>
          <w:sz w:val="28"/>
          <w:szCs w:val="28"/>
          <w:highlight w:val="none"/>
        </w:rPr>
        <w:t>温馨提示</w:t>
      </w:r>
    </w:p>
    <w:p>
      <w:pPr>
        <w:spacing w:after="0"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各供应商：</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欢迎参与本次采购活动，为优化政府采购营商环境，减少供应商参加政府采购活动成本，温馨提示如下：</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一、报名：注意报名的截止时间、报名的方式以及需要提供的资料，任何一项不满足的将拒绝接收。</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保证金：如项目收取保证金，供应商应在规定截止时间前足额交纳，以到账时间为准。未中标（成交）供应商的保证金将在结果公告后5个工作日内原路径退还，中标（成交）供应商应凭借采购合同复印件办理保证金退还，我司将在5个工作日内原路径退还。</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三、制作投标（响应）文件：注意采购文件中的资格要求和实质性要求，任何一条不满足的将作无效处理。注意采购文件中的评分要求，未按要求提供证明材料的将不予认可。</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四、投标（响应）：注意投标（响应）截止时间和递交文件的地点，未按要求密封或逾期送达的将拒绝接收。</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五、结果查询：结果公告将在发布采购公告的同一网站进行公布，供应商应自行关注，任何询问项目评审情况和中标（成交）情况的行为都将被拒绝。</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六、服务费：中标（成交）结果公布后，中标（成交）人应及时足额缴纳服务费，我司在收到服务费后才可开具发票。</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七、中标（成交）通知书：我司工作人员将在项目结果公告发布时通知中标（成交）的供应商领取中标（成交）通知书，中标（成交）人应携带单位介绍信原件及领取人身份证复印件（原件备查）前往我司办理领手续。</w:t>
      </w:r>
    </w:p>
    <w:p>
      <w:pPr>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八、采购合同：中标（成交）人应在招标文件规定的期限内凭中标（成交）通知书与采购人签订采购合同。</w:t>
      </w:r>
    </w:p>
    <w:p>
      <w:pPr>
        <w:spacing w:after="0" w:line="360" w:lineRule="auto"/>
        <w:ind w:firstLine="420" w:firstLineChars="200"/>
        <w:jc w:val="center"/>
        <w:rPr>
          <w:rFonts w:hint="eastAsia" w:ascii="仿宋" w:hAnsi="仿宋" w:eastAsia="仿宋" w:cs="仿宋"/>
          <w:b/>
          <w:bCs/>
          <w:color w:val="auto"/>
          <w:sz w:val="40"/>
          <w:szCs w:val="40"/>
          <w:highlight w:val="none"/>
        </w:rPr>
      </w:pPr>
      <w:r>
        <w:rPr>
          <w:rFonts w:hint="eastAsia" w:ascii="仿宋" w:hAnsi="仿宋" w:eastAsia="仿宋" w:cs="仿宋"/>
          <w:color w:val="auto"/>
          <w:highlight w:val="none"/>
          <w:lang w:val="zh-CN"/>
        </w:rPr>
        <w:br w:type="page"/>
      </w:r>
      <w:r>
        <w:rPr>
          <w:rFonts w:hint="eastAsia" w:ascii="仿宋" w:hAnsi="仿宋" w:eastAsia="仿宋" w:cs="仿宋"/>
          <w:b/>
          <w:bCs/>
          <w:color w:val="auto"/>
          <w:sz w:val="40"/>
          <w:szCs w:val="40"/>
          <w:highlight w:val="none"/>
        </w:rPr>
        <w:t>目  录</w:t>
      </w:r>
    </w:p>
    <w:p>
      <w:pPr>
        <w:pStyle w:val="2"/>
        <w:rPr>
          <w:rFonts w:hint="eastAsia"/>
          <w:color w:val="auto"/>
          <w:highlight w:val="none"/>
        </w:rPr>
      </w:pPr>
    </w:p>
    <w:p>
      <w:pPr>
        <w:pStyle w:val="97"/>
        <w:keepNext w:val="0"/>
        <w:keepLines w:val="0"/>
        <w:pageBreakBefore w:val="0"/>
        <w:tabs>
          <w:tab w:val="right" w:leader="dot" w:pos="8307"/>
        </w:tabs>
        <w:kinsoku/>
        <w:wordWrap/>
        <w:overflowPunct/>
        <w:topLinePunct w:val="0"/>
        <w:autoSpaceDE/>
        <w:autoSpaceDN/>
        <w:bidi w:val="0"/>
        <w:adjustRightInd/>
        <w:snapToGrid/>
        <w:spacing w:line="480" w:lineRule="auto"/>
        <w:textAlignment w:val="auto"/>
        <w:rPr>
          <w:color w:val="auto"/>
          <w:sz w:val="32"/>
          <w:szCs w:val="32"/>
          <w:highlight w:val="none"/>
        </w:rPr>
      </w:pPr>
      <w:r>
        <w:rPr>
          <w:rFonts w:hint="eastAsia" w:ascii="仿宋" w:hAnsi="仿宋" w:eastAsia="仿宋" w:cs="仿宋"/>
          <w:color w:val="auto"/>
          <w:sz w:val="48"/>
          <w:szCs w:val="48"/>
          <w:highlight w:val="none"/>
        </w:rPr>
        <w:fldChar w:fldCharType="begin"/>
      </w:r>
      <w:r>
        <w:rPr>
          <w:rFonts w:hint="eastAsia" w:ascii="仿宋" w:hAnsi="仿宋" w:eastAsia="仿宋" w:cs="仿宋"/>
          <w:color w:val="auto"/>
          <w:sz w:val="48"/>
          <w:szCs w:val="48"/>
          <w:highlight w:val="none"/>
        </w:rPr>
        <w:instrText xml:space="preserve">TOC \o "1-1" \h \u </w:instrText>
      </w:r>
      <w:r>
        <w:rPr>
          <w:rFonts w:hint="eastAsia" w:ascii="仿宋" w:hAnsi="仿宋" w:eastAsia="仿宋" w:cs="仿宋"/>
          <w:color w:val="auto"/>
          <w:sz w:val="48"/>
          <w:szCs w:val="48"/>
          <w:highlight w:val="none"/>
        </w:rPr>
        <w:fldChar w:fldCharType="separate"/>
      </w:r>
      <w:r>
        <w:rPr>
          <w:rFonts w:hint="eastAsia" w:ascii="仿宋" w:hAnsi="仿宋" w:eastAsia="仿宋" w:cs="仿宋"/>
          <w:color w:val="auto"/>
          <w:sz w:val="32"/>
          <w:szCs w:val="48"/>
          <w:highlight w:val="none"/>
        </w:rPr>
        <w:fldChar w:fldCharType="begin"/>
      </w:r>
      <w:r>
        <w:rPr>
          <w:rFonts w:hint="eastAsia" w:ascii="仿宋" w:hAnsi="仿宋" w:eastAsia="仿宋" w:cs="仿宋"/>
          <w:color w:val="auto"/>
          <w:sz w:val="32"/>
          <w:szCs w:val="48"/>
          <w:highlight w:val="none"/>
        </w:rPr>
        <w:instrText xml:space="preserve"> HYPERLINK \l _Toc6322 </w:instrText>
      </w:r>
      <w:r>
        <w:rPr>
          <w:rFonts w:hint="eastAsia" w:ascii="仿宋" w:hAnsi="仿宋" w:eastAsia="仿宋" w:cs="仿宋"/>
          <w:color w:val="auto"/>
          <w:sz w:val="32"/>
          <w:szCs w:val="48"/>
          <w:highlight w:val="none"/>
        </w:rPr>
        <w:fldChar w:fldCharType="separate"/>
      </w:r>
      <w:r>
        <w:rPr>
          <w:rFonts w:hint="eastAsia" w:ascii="仿宋" w:hAnsi="仿宋" w:eastAsia="仿宋" w:cs="仿宋"/>
          <w:color w:val="auto"/>
          <w:sz w:val="32"/>
          <w:szCs w:val="32"/>
          <w:highlight w:val="none"/>
        </w:rPr>
        <w:t>政府采购廉洁承诺书</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_Toc6322 \h </w:instrText>
      </w:r>
      <w:r>
        <w:rPr>
          <w:color w:val="auto"/>
          <w:sz w:val="32"/>
          <w:szCs w:val="32"/>
          <w:highlight w:val="none"/>
        </w:rPr>
        <w:fldChar w:fldCharType="separate"/>
      </w:r>
      <w:r>
        <w:rPr>
          <w:color w:val="auto"/>
          <w:sz w:val="32"/>
          <w:szCs w:val="32"/>
          <w:highlight w:val="none"/>
        </w:rPr>
        <w:t>2</w:t>
      </w:r>
      <w:r>
        <w:rPr>
          <w:color w:val="auto"/>
          <w:sz w:val="32"/>
          <w:szCs w:val="32"/>
          <w:highlight w:val="none"/>
        </w:rPr>
        <w:fldChar w:fldCharType="end"/>
      </w:r>
      <w:r>
        <w:rPr>
          <w:rFonts w:hint="eastAsia" w:ascii="仿宋" w:hAnsi="仿宋" w:eastAsia="仿宋" w:cs="仿宋"/>
          <w:color w:val="auto"/>
          <w:sz w:val="32"/>
          <w:szCs w:val="48"/>
          <w:highlight w:val="none"/>
        </w:rPr>
        <w:fldChar w:fldCharType="end"/>
      </w:r>
    </w:p>
    <w:p>
      <w:pPr>
        <w:pStyle w:val="97"/>
        <w:keepNext w:val="0"/>
        <w:keepLines w:val="0"/>
        <w:pageBreakBefore w:val="0"/>
        <w:tabs>
          <w:tab w:val="right" w:leader="dot" w:pos="8307"/>
        </w:tabs>
        <w:kinsoku/>
        <w:wordWrap/>
        <w:overflowPunct/>
        <w:topLinePunct w:val="0"/>
        <w:autoSpaceDE/>
        <w:autoSpaceDN/>
        <w:bidi w:val="0"/>
        <w:adjustRightInd/>
        <w:snapToGrid/>
        <w:spacing w:line="480" w:lineRule="auto"/>
        <w:textAlignment w:val="auto"/>
        <w:rPr>
          <w:color w:val="auto"/>
          <w:sz w:val="32"/>
          <w:szCs w:val="32"/>
          <w:highlight w:val="none"/>
        </w:rPr>
      </w:pPr>
      <w:r>
        <w:rPr>
          <w:rFonts w:hint="eastAsia" w:ascii="仿宋" w:hAnsi="仿宋" w:eastAsia="仿宋" w:cs="仿宋"/>
          <w:color w:val="auto"/>
          <w:sz w:val="32"/>
          <w:szCs w:val="48"/>
          <w:highlight w:val="none"/>
        </w:rPr>
        <w:fldChar w:fldCharType="begin"/>
      </w:r>
      <w:r>
        <w:rPr>
          <w:rFonts w:hint="eastAsia" w:ascii="仿宋" w:hAnsi="仿宋" w:eastAsia="仿宋" w:cs="仿宋"/>
          <w:color w:val="auto"/>
          <w:sz w:val="32"/>
          <w:szCs w:val="48"/>
          <w:highlight w:val="none"/>
        </w:rPr>
        <w:instrText xml:space="preserve"> HYPERLINK \l _Toc26744 </w:instrText>
      </w:r>
      <w:r>
        <w:rPr>
          <w:rFonts w:hint="eastAsia" w:ascii="仿宋" w:hAnsi="仿宋" w:eastAsia="仿宋" w:cs="仿宋"/>
          <w:color w:val="auto"/>
          <w:sz w:val="32"/>
          <w:szCs w:val="48"/>
          <w:highlight w:val="none"/>
        </w:rPr>
        <w:fldChar w:fldCharType="separate"/>
      </w:r>
      <w:r>
        <w:rPr>
          <w:rFonts w:hint="eastAsia" w:ascii="仿宋" w:hAnsi="仿宋" w:eastAsia="仿宋" w:cs="仿宋"/>
          <w:color w:val="auto"/>
          <w:sz w:val="32"/>
          <w:szCs w:val="32"/>
          <w:highlight w:val="none"/>
        </w:rPr>
        <w:t>第一章  投标邀请</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_Toc26744 \h </w:instrText>
      </w:r>
      <w:r>
        <w:rPr>
          <w:color w:val="auto"/>
          <w:sz w:val="32"/>
          <w:szCs w:val="32"/>
          <w:highlight w:val="none"/>
        </w:rPr>
        <w:fldChar w:fldCharType="separate"/>
      </w:r>
      <w:r>
        <w:rPr>
          <w:color w:val="auto"/>
          <w:sz w:val="32"/>
          <w:szCs w:val="32"/>
          <w:highlight w:val="none"/>
        </w:rPr>
        <w:t>6</w:t>
      </w:r>
      <w:r>
        <w:rPr>
          <w:color w:val="auto"/>
          <w:sz w:val="32"/>
          <w:szCs w:val="32"/>
          <w:highlight w:val="none"/>
        </w:rPr>
        <w:fldChar w:fldCharType="end"/>
      </w:r>
      <w:r>
        <w:rPr>
          <w:rFonts w:hint="eastAsia" w:ascii="仿宋" w:hAnsi="仿宋" w:eastAsia="仿宋" w:cs="仿宋"/>
          <w:color w:val="auto"/>
          <w:sz w:val="32"/>
          <w:szCs w:val="48"/>
          <w:highlight w:val="none"/>
        </w:rPr>
        <w:fldChar w:fldCharType="end"/>
      </w:r>
    </w:p>
    <w:p>
      <w:pPr>
        <w:pStyle w:val="97"/>
        <w:keepNext w:val="0"/>
        <w:keepLines w:val="0"/>
        <w:pageBreakBefore w:val="0"/>
        <w:tabs>
          <w:tab w:val="right" w:leader="dot" w:pos="8307"/>
        </w:tabs>
        <w:kinsoku/>
        <w:wordWrap/>
        <w:overflowPunct/>
        <w:topLinePunct w:val="0"/>
        <w:autoSpaceDE/>
        <w:autoSpaceDN/>
        <w:bidi w:val="0"/>
        <w:adjustRightInd/>
        <w:snapToGrid/>
        <w:spacing w:line="480" w:lineRule="auto"/>
        <w:textAlignment w:val="auto"/>
        <w:rPr>
          <w:color w:val="auto"/>
          <w:sz w:val="32"/>
          <w:szCs w:val="32"/>
          <w:highlight w:val="none"/>
        </w:rPr>
      </w:pPr>
      <w:r>
        <w:rPr>
          <w:rFonts w:hint="eastAsia" w:ascii="仿宋" w:hAnsi="仿宋" w:eastAsia="仿宋" w:cs="仿宋"/>
          <w:color w:val="auto"/>
          <w:sz w:val="32"/>
          <w:szCs w:val="48"/>
          <w:highlight w:val="none"/>
        </w:rPr>
        <w:fldChar w:fldCharType="begin"/>
      </w:r>
      <w:r>
        <w:rPr>
          <w:rFonts w:hint="eastAsia" w:ascii="仿宋" w:hAnsi="仿宋" w:eastAsia="仿宋" w:cs="仿宋"/>
          <w:color w:val="auto"/>
          <w:sz w:val="32"/>
          <w:szCs w:val="48"/>
          <w:highlight w:val="none"/>
        </w:rPr>
        <w:instrText xml:space="preserve"> HYPERLINK \l _Toc6773 </w:instrText>
      </w:r>
      <w:r>
        <w:rPr>
          <w:rFonts w:hint="eastAsia" w:ascii="仿宋" w:hAnsi="仿宋" w:eastAsia="仿宋" w:cs="仿宋"/>
          <w:color w:val="auto"/>
          <w:sz w:val="32"/>
          <w:szCs w:val="48"/>
          <w:highlight w:val="none"/>
        </w:rPr>
        <w:fldChar w:fldCharType="separate"/>
      </w:r>
      <w:r>
        <w:rPr>
          <w:rFonts w:hint="eastAsia" w:ascii="仿宋" w:hAnsi="仿宋" w:eastAsia="仿宋" w:cs="仿宋"/>
          <w:color w:val="auto"/>
          <w:sz w:val="32"/>
          <w:szCs w:val="32"/>
          <w:highlight w:val="none"/>
        </w:rPr>
        <w:t>第二章  投标人须知</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_Toc6773 \h </w:instrText>
      </w:r>
      <w:r>
        <w:rPr>
          <w:color w:val="auto"/>
          <w:sz w:val="32"/>
          <w:szCs w:val="32"/>
          <w:highlight w:val="none"/>
        </w:rPr>
        <w:fldChar w:fldCharType="separate"/>
      </w:r>
      <w:r>
        <w:rPr>
          <w:color w:val="auto"/>
          <w:sz w:val="32"/>
          <w:szCs w:val="32"/>
          <w:highlight w:val="none"/>
        </w:rPr>
        <w:t>10</w:t>
      </w:r>
      <w:r>
        <w:rPr>
          <w:color w:val="auto"/>
          <w:sz w:val="32"/>
          <w:szCs w:val="32"/>
          <w:highlight w:val="none"/>
        </w:rPr>
        <w:fldChar w:fldCharType="end"/>
      </w:r>
      <w:r>
        <w:rPr>
          <w:rFonts w:hint="eastAsia" w:ascii="仿宋" w:hAnsi="仿宋" w:eastAsia="仿宋" w:cs="仿宋"/>
          <w:color w:val="auto"/>
          <w:sz w:val="32"/>
          <w:szCs w:val="48"/>
          <w:highlight w:val="none"/>
        </w:rPr>
        <w:fldChar w:fldCharType="end"/>
      </w:r>
    </w:p>
    <w:p>
      <w:pPr>
        <w:pStyle w:val="97"/>
        <w:keepNext w:val="0"/>
        <w:keepLines w:val="0"/>
        <w:pageBreakBefore w:val="0"/>
        <w:tabs>
          <w:tab w:val="right" w:leader="dot" w:pos="8307"/>
        </w:tabs>
        <w:kinsoku/>
        <w:wordWrap/>
        <w:overflowPunct/>
        <w:topLinePunct w:val="0"/>
        <w:autoSpaceDE/>
        <w:autoSpaceDN/>
        <w:bidi w:val="0"/>
        <w:adjustRightInd/>
        <w:snapToGrid/>
        <w:spacing w:line="480" w:lineRule="auto"/>
        <w:textAlignment w:val="auto"/>
        <w:rPr>
          <w:color w:val="auto"/>
          <w:sz w:val="32"/>
          <w:szCs w:val="32"/>
          <w:highlight w:val="none"/>
        </w:rPr>
      </w:pPr>
      <w:r>
        <w:rPr>
          <w:rFonts w:hint="eastAsia" w:ascii="仿宋" w:hAnsi="仿宋" w:eastAsia="仿宋" w:cs="仿宋"/>
          <w:color w:val="auto"/>
          <w:sz w:val="32"/>
          <w:szCs w:val="48"/>
          <w:highlight w:val="none"/>
        </w:rPr>
        <w:fldChar w:fldCharType="begin"/>
      </w:r>
      <w:r>
        <w:rPr>
          <w:rFonts w:hint="eastAsia" w:ascii="仿宋" w:hAnsi="仿宋" w:eastAsia="仿宋" w:cs="仿宋"/>
          <w:color w:val="auto"/>
          <w:sz w:val="32"/>
          <w:szCs w:val="48"/>
          <w:highlight w:val="none"/>
        </w:rPr>
        <w:instrText xml:space="preserve"> HYPERLINK \l _Toc22719 </w:instrText>
      </w:r>
      <w:r>
        <w:rPr>
          <w:rFonts w:hint="eastAsia" w:ascii="仿宋" w:hAnsi="仿宋" w:eastAsia="仿宋" w:cs="仿宋"/>
          <w:color w:val="auto"/>
          <w:sz w:val="32"/>
          <w:szCs w:val="48"/>
          <w:highlight w:val="none"/>
        </w:rPr>
        <w:fldChar w:fldCharType="separate"/>
      </w:r>
      <w:r>
        <w:rPr>
          <w:rFonts w:hint="eastAsia" w:ascii="仿宋" w:hAnsi="仿宋" w:eastAsia="仿宋" w:cs="仿宋"/>
          <w:color w:val="auto"/>
          <w:sz w:val="32"/>
          <w:szCs w:val="32"/>
          <w:highlight w:val="none"/>
        </w:rPr>
        <w:t>第三章  投标文件格式</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_Toc22719 \h </w:instrText>
      </w:r>
      <w:r>
        <w:rPr>
          <w:color w:val="auto"/>
          <w:sz w:val="32"/>
          <w:szCs w:val="32"/>
          <w:highlight w:val="none"/>
        </w:rPr>
        <w:fldChar w:fldCharType="separate"/>
      </w:r>
      <w:r>
        <w:rPr>
          <w:color w:val="auto"/>
          <w:sz w:val="32"/>
          <w:szCs w:val="32"/>
          <w:highlight w:val="none"/>
        </w:rPr>
        <w:t>30</w:t>
      </w:r>
      <w:r>
        <w:rPr>
          <w:color w:val="auto"/>
          <w:sz w:val="32"/>
          <w:szCs w:val="32"/>
          <w:highlight w:val="none"/>
        </w:rPr>
        <w:fldChar w:fldCharType="end"/>
      </w:r>
      <w:r>
        <w:rPr>
          <w:rFonts w:hint="eastAsia" w:ascii="仿宋" w:hAnsi="仿宋" w:eastAsia="仿宋" w:cs="仿宋"/>
          <w:color w:val="auto"/>
          <w:sz w:val="32"/>
          <w:szCs w:val="48"/>
          <w:highlight w:val="none"/>
        </w:rPr>
        <w:fldChar w:fldCharType="end"/>
      </w:r>
    </w:p>
    <w:p>
      <w:pPr>
        <w:pStyle w:val="97"/>
        <w:keepNext w:val="0"/>
        <w:keepLines w:val="0"/>
        <w:pageBreakBefore w:val="0"/>
        <w:tabs>
          <w:tab w:val="right" w:leader="dot" w:pos="8307"/>
        </w:tabs>
        <w:kinsoku/>
        <w:wordWrap/>
        <w:overflowPunct/>
        <w:topLinePunct w:val="0"/>
        <w:autoSpaceDE/>
        <w:autoSpaceDN/>
        <w:bidi w:val="0"/>
        <w:adjustRightInd/>
        <w:snapToGrid/>
        <w:spacing w:line="480" w:lineRule="auto"/>
        <w:textAlignment w:val="auto"/>
        <w:rPr>
          <w:color w:val="auto"/>
          <w:sz w:val="32"/>
          <w:szCs w:val="32"/>
          <w:highlight w:val="none"/>
        </w:rPr>
      </w:pPr>
      <w:r>
        <w:rPr>
          <w:rFonts w:hint="eastAsia" w:ascii="仿宋" w:hAnsi="仿宋" w:eastAsia="仿宋" w:cs="仿宋"/>
          <w:color w:val="auto"/>
          <w:sz w:val="32"/>
          <w:szCs w:val="48"/>
          <w:highlight w:val="none"/>
        </w:rPr>
        <w:fldChar w:fldCharType="begin"/>
      </w:r>
      <w:r>
        <w:rPr>
          <w:rFonts w:hint="eastAsia" w:ascii="仿宋" w:hAnsi="仿宋" w:eastAsia="仿宋" w:cs="仿宋"/>
          <w:color w:val="auto"/>
          <w:sz w:val="32"/>
          <w:szCs w:val="48"/>
          <w:highlight w:val="none"/>
        </w:rPr>
        <w:instrText xml:space="preserve"> HYPERLINK \l _Toc14484 </w:instrText>
      </w:r>
      <w:r>
        <w:rPr>
          <w:rFonts w:hint="eastAsia" w:ascii="仿宋" w:hAnsi="仿宋" w:eastAsia="仿宋" w:cs="仿宋"/>
          <w:color w:val="auto"/>
          <w:sz w:val="32"/>
          <w:szCs w:val="48"/>
          <w:highlight w:val="none"/>
        </w:rPr>
        <w:fldChar w:fldCharType="separate"/>
      </w:r>
      <w:r>
        <w:rPr>
          <w:rFonts w:hint="eastAsia" w:ascii="仿宋" w:hAnsi="仿宋" w:eastAsia="仿宋" w:cs="仿宋"/>
          <w:color w:val="auto"/>
          <w:sz w:val="32"/>
          <w:szCs w:val="32"/>
          <w:highlight w:val="none"/>
        </w:rPr>
        <w:t>第四章  招标项目服务、商务及其他要求</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_Toc14484 \h </w:instrText>
      </w:r>
      <w:r>
        <w:rPr>
          <w:color w:val="auto"/>
          <w:sz w:val="32"/>
          <w:szCs w:val="32"/>
          <w:highlight w:val="none"/>
        </w:rPr>
        <w:fldChar w:fldCharType="separate"/>
      </w:r>
      <w:r>
        <w:rPr>
          <w:color w:val="auto"/>
          <w:sz w:val="32"/>
          <w:szCs w:val="32"/>
          <w:highlight w:val="none"/>
        </w:rPr>
        <w:t>59</w:t>
      </w:r>
      <w:r>
        <w:rPr>
          <w:color w:val="auto"/>
          <w:sz w:val="32"/>
          <w:szCs w:val="32"/>
          <w:highlight w:val="none"/>
        </w:rPr>
        <w:fldChar w:fldCharType="end"/>
      </w:r>
      <w:r>
        <w:rPr>
          <w:rFonts w:hint="eastAsia" w:ascii="仿宋" w:hAnsi="仿宋" w:eastAsia="仿宋" w:cs="仿宋"/>
          <w:color w:val="auto"/>
          <w:sz w:val="32"/>
          <w:szCs w:val="48"/>
          <w:highlight w:val="none"/>
        </w:rPr>
        <w:fldChar w:fldCharType="end"/>
      </w:r>
    </w:p>
    <w:p>
      <w:pPr>
        <w:pStyle w:val="97"/>
        <w:keepNext w:val="0"/>
        <w:keepLines w:val="0"/>
        <w:pageBreakBefore w:val="0"/>
        <w:tabs>
          <w:tab w:val="right" w:leader="dot" w:pos="8307"/>
        </w:tabs>
        <w:kinsoku/>
        <w:wordWrap/>
        <w:overflowPunct/>
        <w:topLinePunct w:val="0"/>
        <w:autoSpaceDE/>
        <w:autoSpaceDN/>
        <w:bidi w:val="0"/>
        <w:adjustRightInd/>
        <w:snapToGrid/>
        <w:spacing w:line="480" w:lineRule="auto"/>
        <w:textAlignment w:val="auto"/>
        <w:rPr>
          <w:color w:val="auto"/>
          <w:sz w:val="32"/>
          <w:szCs w:val="32"/>
          <w:highlight w:val="none"/>
        </w:rPr>
      </w:pPr>
      <w:r>
        <w:rPr>
          <w:rFonts w:hint="eastAsia" w:ascii="仿宋" w:hAnsi="仿宋" w:eastAsia="仿宋" w:cs="仿宋"/>
          <w:color w:val="auto"/>
          <w:sz w:val="32"/>
          <w:szCs w:val="48"/>
          <w:highlight w:val="none"/>
        </w:rPr>
        <w:fldChar w:fldCharType="begin"/>
      </w:r>
      <w:r>
        <w:rPr>
          <w:rFonts w:hint="eastAsia" w:ascii="仿宋" w:hAnsi="仿宋" w:eastAsia="仿宋" w:cs="仿宋"/>
          <w:color w:val="auto"/>
          <w:sz w:val="32"/>
          <w:szCs w:val="48"/>
          <w:highlight w:val="none"/>
        </w:rPr>
        <w:instrText xml:space="preserve"> HYPERLINK \l _Toc17068 </w:instrText>
      </w:r>
      <w:r>
        <w:rPr>
          <w:rFonts w:hint="eastAsia" w:ascii="仿宋" w:hAnsi="仿宋" w:eastAsia="仿宋" w:cs="仿宋"/>
          <w:color w:val="auto"/>
          <w:sz w:val="32"/>
          <w:szCs w:val="48"/>
          <w:highlight w:val="none"/>
        </w:rPr>
        <w:fldChar w:fldCharType="separate"/>
      </w:r>
      <w:r>
        <w:rPr>
          <w:rFonts w:hint="eastAsia" w:ascii="仿宋" w:hAnsi="仿宋" w:eastAsia="仿宋" w:cs="仿宋"/>
          <w:color w:val="auto"/>
          <w:sz w:val="32"/>
          <w:szCs w:val="32"/>
          <w:highlight w:val="none"/>
        </w:rPr>
        <w:t>第五章  资格性审查</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_Toc17068 \h </w:instrText>
      </w:r>
      <w:r>
        <w:rPr>
          <w:color w:val="auto"/>
          <w:sz w:val="32"/>
          <w:szCs w:val="32"/>
          <w:highlight w:val="none"/>
        </w:rPr>
        <w:fldChar w:fldCharType="separate"/>
      </w:r>
      <w:r>
        <w:rPr>
          <w:color w:val="auto"/>
          <w:sz w:val="32"/>
          <w:szCs w:val="32"/>
          <w:highlight w:val="none"/>
        </w:rPr>
        <w:t>71</w:t>
      </w:r>
      <w:r>
        <w:rPr>
          <w:color w:val="auto"/>
          <w:sz w:val="32"/>
          <w:szCs w:val="32"/>
          <w:highlight w:val="none"/>
        </w:rPr>
        <w:fldChar w:fldCharType="end"/>
      </w:r>
      <w:r>
        <w:rPr>
          <w:rFonts w:hint="eastAsia" w:ascii="仿宋" w:hAnsi="仿宋" w:eastAsia="仿宋" w:cs="仿宋"/>
          <w:color w:val="auto"/>
          <w:sz w:val="32"/>
          <w:szCs w:val="48"/>
          <w:highlight w:val="none"/>
        </w:rPr>
        <w:fldChar w:fldCharType="end"/>
      </w:r>
    </w:p>
    <w:p>
      <w:pPr>
        <w:pStyle w:val="97"/>
        <w:keepNext w:val="0"/>
        <w:keepLines w:val="0"/>
        <w:pageBreakBefore w:val="0"/>
        <w:tabs>
          <w:tab w:val="right" w:leader="dot" w:pos="8307"/>
        </w:tabs>
        <w:kinsoku/>
        <w:wordWrap/>
        <w:overflowPunct/>
        <w:topLinePunct w:val="0"/>
        <w:autoSpaceDE/>
        <w:autoSpaceDN/>
        <w:bidi w:val="0"/>
        <w:adjustRightInd/>
        <w:snapToGrid/>
        <w:spacing w:line="480" w:lineRule="auto"/>
        <w:textAlignment w:val="auto"/>
        <w:rPr>
          <w:color w:val="auto"/>
          <w:sz w:val="32"/>
          <w:szCs w:val="32"/>
          <w:highlight w:val="none"/>
        </w:rPr>
      </w:pPr>
      <w:r>
        <w:rPr>
          <w:rFonts w:hint="eastAsia" w:ascii="仿宋" w:hAnsi="仿宋" w:eastAsia="仿宋" w:cs="仿宋"/>
          <w:color w:val="auto"/>
          <w:sz w:val="32"/>
          <w:szCs w:val="48"/>
          <w:highlight w:val="none"/>
        </w:rPr>
        <w:fldChar w:fldCharType="begin"/>
      </w:r>
      <w:r>
        <w:rPr>
          <w:rFonts w:hint="eastAsia" w:ascii="仿宋" w:hAnsi="仿宋" w:eastAsia="仿宋" w:cs="仿宋"/>
          <w:color w:val="auto"/>
          <w:sz w:val="32"/>
          <w:szCs w:val="48"/>
          <w:highlight w:val="none"/>
        </w:rPr>
        <w:instrText xml:space="preserve"> HYPERLINK \l _Toc31371 </w:instrText>
      </w:r>
      <w:r>
        <w:rPr>
          <w:rFonts w:hint="eastAsia" w:ascii="仿宋" w:hAnsi="仿宋" w:eastAsia="仿宋" w:cs="仿宋"/>
          <w:color w:val="auto"/>
          <w:sz w:val="32"/>
          <w:szCs w:val="48"/>
          <w:highlight w:val="none"/>
        </w:rPr>
        <w:fldChar w:fldCharType="separate"/>
      </w:r>
      <w:r>
        <w:rPr>
          <w:rFonts w:hint="eastAsia" w:ascii="仿宋" w:hAnsi="仿宋" w:eastAsia="仿宋" w:cs="仿宋"/>
          <w:bCs/>
          <w:color w:val="auto"/>
          <w:sz w:val="32"/>
          <w:szCs w:val="96"/>
          <w:highlight w:val="none"/>
        </w:rPr>
        <w:t>第六章  评标办法</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_Toc31371 \h </w:instrText>
      </w:r>
      <w:r>
        <w:rPr>
          <w:color w:val="auto"/>
          <w:sz w:val="32"/>
          <w:szCs w:val="32"/>
          <w:highlight w:val="none"/>
        </w:rPr>
        <w:fldChar w:fldCharType="separate"/>
      </w:r>
      <w:r>
        <w:rPr>
          <w:color w:val="auto"/>
          <w:sz w:val="32"/>
          <w:szCs w:val="32"/>
          <w:highlight w:val="none"/>
        </w:rPr>
        <w:t>74</w:t>
      </w:r>
      <w:r>
        <w:rPr>
          <w:color w:val="auto"/>
          <w:sz w:val="32"/>
          <w:szCs w:val="32"/>
          <w:highlight w:val="none"/>
        </w:rPr>
        <w:fldChar w:fldCharType="end"/>
      </w:r>
      <w:r>
        <w:rPr>
          <w:rFonts w:hint="eastAsia" w:ascii="仿宋" w:hAnsi="仿宋" w:eastAsia="仿宋" w:cs="仿宋"/>
          <w:color w:val="auto"/>
          <w:sz w:val="32"/>
          <w:szCs w:val="48"/>
          <w:highlight w:val="none"/>
        </w:rPr>
        <w:fldChar w:fldCharType="end"/>
      </w:r>
    </w:p>
    <w:p>
      <w:pPr>
        <w:pStyle w:val="97"/>
        <w:keepNext w:val="0"/>
        <w:keepLines w:val="0"/>
        <w:pageBreakBefore w:val="0"/>
        <w:tabs>
          <w:tab w:val="right" w:leader="dot" w:pos="8307"/>
        </w:tabs>
        <w:kinsoku/>
        <w:wordWrap/>
        <w:overflowPunct/>
        <w:topLinePunct w:val="0"/>
        <w:autoSpaceDE/>
        <w:autoSpaceDN/>
        <w:bidi w:val="0"/>
        <w:adjustRightInd/>
        <w:snapToGrid/>
        <w:spacing w:line="480" w:lineRule="auto"/>
        <w:textAlignment w:val="auto"/>
        <w:rPr>
          <w:color w:val="auto"/>
          <w:sz w:val="32"/>
          <w:szCs w:val="32"/>
          <w:highlight w:val="none"/>
        </w:rPr>
      </w:pPr>
      <w:r>
        <w:rPr>
          <w:rFonts w:hint="eastAsia" w:ascii="仿宋" w:hAnsi="仿宋" w:eastAsia="仿宋" w:cs="仿宋"/>
          <w:color w:val="auto"/>
          <w:sz w:val="32"/>
          <w:szCs w:val="48"/>
          <w:highlight w:val="none"/>
        </w:rPr>
        <w:fldChar w:fldCharType="begin"/>
      </w:r>
      <w:r>
        <w:rPr>
          <w:rFonts w:hint="eastAsia" w:ascii="仿宋" w:hAnsi="仿宋" w:eastAsia="仿宋" w:cs="仿宋"/>
          <w:color w:val="auto"/>
          <w:sz w:val="32"/>
          <w:szCs w:val="48"/>
          <w:highlight w:val="none"/>
        </w:rPr>
        <w:instrText xml:space="preserve"> HYPERLINK \l _Toc6055 </w:instrText>
      </w:r>
      <w:r>
        <w:rPr>
          <w:rFonts w:hint="eastAsia" w:ascii="仿宋" w:hAnsi="仿宋" w:eastAsia="仿宋" w:cs="仿宋"/>
          <w:color w:val="auto"/>
          <w:sz w:val="32"/>
          <w:szCs w:val="48"/>
          <w:highlight w:val="none"/>
        </w:rPr>
        <w:fldChar w:fldCharType="separate"/>
      </w:r>
      <w:r>
        <w:rPr>
          <w:rFonts w:hint="eastAsia" w:ascii="仿宋" w:hAnsi="仿宋" w:eastAsia="仿宋" w:cs="仿宋"/>
          <w:bCs/>
          <w:color w:val="auto"/>
          <w:sz w:val="32"/>
          <w:szCs w:val="52"/>
          <w:highlight w:val="none"/>
        </w:rPr>
        <w:t xml:space="preserve">第七章  </w:t>
      </w:r>
      <w:r>
        <w:rPr>
          <w:rFonts w:hint="eastAsia" w:ascii="仿宋" w:hAnsi="仿宋" w:eastAsia="仿宋" w:cs="仿宋"/>
          <w:bCs/>
          <w:color w:val="auto"/>
          <w:sz w:val="32"/>
          <w:szCs w:val="52"/>
          <w:highlight w:val="none"/>
        </w:rPr>
        <w:t>政府采购合同</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_Toc6055 \h </w:instrText>
      </w:r>
      <w:r>
        <w:rPr>
          <w:color w:val="auto"/>
          <w:sz w:val="32"/>
          <w:szCs w:val="32"/>
          <w:highlight w:val="none"/>
        </w:rPr>
        <w:fldChar w:fldCharType="separate"/>
      </w:r>
      <w:r>
        <w:rPr>
          <w:color w:val="auto"/>
          <w:sz w:val="32"/>
          <w:szCs w:val="32"/>
          <w:highlight w:val="none"/>
        </w:rPr>
        <w:t>88</w:t>
      </w:r>
      <w:r>
        <w:rPr>
          <w:color w:val="auto"/>
          <w:sz w:val="32"/>
          <w:szCs w:val="32"/>
          <w:highlight w:val="none"/>
        </w:rPr>
        <w:fldChar w:fldCharType="end"/>
      </w:r>
      <w:r>
        <w:rPr>
          <w:rFonts w:hint="eastAsia" w:ascii="仿宋" w:hAnsi="仿宋" w:eastAsia="仿宋" w:cs="仿宋"/>
          <w:color w:val="auto"/>
          <w:sz w:val="32"/>
          <w:szCs w:val="48"/>
          <w:highlight w:val="none"/>
        </w:rPr>
        <w:fldChar w:fldCharType="end"/>
      </w:r>
    </w:p>
    <w:p>
      <w:pPr>
        <w:keepNext w:val="0"/>
        <w:keepLines w:val="0"/>
        <w:pageBreakBefore w:val="0"/>
        <w:tabs>
          <w:tab w:val="left" w:pos="7665"/>
        </w:tabs>
        <w:kinsoku/>
        <w:wordWrap/>
        <w:overflowPunct/>
        <w:topLinePunct w:val="0"/>
        <w:autoSpaceDE/>
        <w:autoSpaceDN/>
        <w:bidi w:val="0"/>
        <w:adjustRightInd/>
        <w:snapToGrid/>
        <w:spacing w:after="0" w:line="480" w:lineRule="auto"/>
        <w:textAlignment w:val="auto"/>
        <w:rPr>
          <w:rFonts w:hint="eastAsia" w:ascii="仿宋" w:hAnsi="仿宋" w:eastAsia="仿宋" w:cs="仿宋"/>
          <w:color w:val="auto"/>
          <w:sz w:val="28"/>
          <w:szCs w:val="28"/>
          <w:highlight w:val="none"/>
        </w:rPr>
        <w:sectPr>
          <w:footerReference r:id="rId7" w:type="default"/>
          <w:pgSz w:w="11907" w:h="16840"/>
          <w:pgMar w:top="1440" w:right="1800" w:bottom="1440" w:left="1800" w:header="851" w:footer="992" w:gutter="0"/>
          <w:pgNumType w:fmt="decimal" w:start="2"/>
          <w:cols w:space="720" w:num="1"/>
          <w:docGrid w:linePitch="312" w:charSpace="0"/>
        </w:sectPr>
      </w:pPr>
      <w:r>
        <w:rPr>
          <w:rFonts w:hint="eastAsia" w:ascii="仿宋" w:hAnsi="仿宋" w:eastAsia="仿宋" w:cs="仿宋"/>
          <w:color w:val="auto"/>
          <w:sz w:val="36"/>
          <w:szCs w:val="48"/>
          <w:highlight w:val="none"/>
        </w:rPr>
        <w:fldChar w:fldCharType="end"/>
      </w:r>
    </w:p>
    <w:p>
      <w:pPr>
        <w:pStyle w:val="3"/>
        <w:spacing w:before="0" w:after="0" w:line="360" w:lineRule="auto"/>
        <w:jc w:val="center"/>
        <w:rPr>
          <w:rFonts w:hint="eastAsia" w:ascii="仿宋" w:hAnsi="仿宋" w:eastAsia="仿宋" w:cs="仿宋"/>
          <w:color w:val="auto"/>
          <w:highlight w:val="none"/>
        </w:rPr>
      </w:pPr>
      <w:bookmarkStart w:id="7" w:name="_Toc26744"/>
      <w:bookmarkStart w:id="8" w:name="_Toc6089_WPSOffice_Level1"/>
      <w:bookmarkStart w:id="9" w:name="_Toc4846"/>
      <w:bookmarkStart w:id="10" w:name="_Toc27327"/>
    </w:p>
    <w:p>
      <w:pPr>
        <w:pStyle w:val="3"/>
        <w:spacing w:before="0" w:after="0" w:line="360" w:lineRule="auto"/>
        <w:jc w:val="center"/>
        <w:rPr>
          <w:rFonts w:hint="eastAsia" w:ascii="仿宋" w:hAnsi="仿宋" w:eastAsia="仿宋" w:cs="仿宋"/>
          <w:color w:val="auto"/>
          <w:highlight w:val="none"/>
        </w:rPr>
      </w:pPr>
    </w:p>
    <w:p>
      <w:pPr>
        <w:pStyle w:val="3"/>
        <w:spacing w:before="0" w:after="0" w:line="360" w:lineRule="auto"/>
        <w:jc w:val="center"/>
        <w:rPr>
          <w:rFonts w:hint="eastAsia" w:ascii="仿宋" w:hAnsi="仿宋" w:eastAsia="仿宋" w:cs="仿宋"/>
          <w:color w:val="auto"/>
          <w:highlight w:val="none"/>
        </w:rPr>
      </w:pPr>
    </w:p>
    <w:p>
      <w:pPr>
        <w:pStyle w:val="3"/>
        <w:spacing w:before="0" w:after="0" w:line="360" w:lineRule="auto"/>
        <w:jc w:val="center"/>
        <w:rPr>
          <w:rFonts w:hint="eastAsia" w:ascii="仿宋" w:hAnsi="仿宋" w:eastAsia="仿宋" w:cs="仿宋"/>
          <w:color w:val="auto"/>
          <w:highlight w:val="none"/>
        </w:rPr>
      </w:pPr>
    </w:p>
    <w:p>
      <w:pPr>
        <w:pStyle w:val="3"/>
        <w:spacing w:before="0" w:after="0" w:line="360" w:lineRule="auto"/>
        <w:jc w:val="center"/>
        <w:rPr>
          <w:rFonts w:hint="eastAsia" w:ascii="仿宋" w:hAnsi="仿宋" w:eastAsia="仿宋" w:cs="仿宋"/>
          <w:color w:val="auto"/>
          <w:highlight w:val="none"/>
        </w:rPr>
      </w:pPr>
    </w:p>
    <w:p>
      <w:pPr>
        <w:pStyle w:val="3"/>
        <w:spacing w:before="0" w:after="0" w:line="360" w:lineRule="auto"/>
        <w:jc w:val="center"/>
        <w:rPr>
          <w:rFonts w:hint="eastAsia" w:ascii="仿宋" w:hAnsi="仿宋" w:eastAsia="仿宋" w:cs="仿宋"/>
          <w:color w:val="auto"/>
          <w:highlight w:val="none"/>
        </w:rPr>
      </w:pPr>
    </w:p>
    <w:p>
      <w:pPr>
        <w:rPr>
          <w:rFonts w:hint="eastAsia"/>
          <w:color w:val="auto"/>
          <w:highlight w:val="none"/>
        </w:rPr>
      </w:pPr>
    </w:p>
    <w:p>
      <w:pPr>
        <w:pStyle w:val="3"/>
        <w:spacing w:before="0" w:after="0"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第一章  投标邀请</w:t>
      </w:r>
      <w:bookmarkEnd w:id="5"/>
      <w:bookmarkEnd w:id="6"/>
      <w:bookmarkEnd w:id="7"/>
      <w:bookmarkEnd w:id="8"/>
      <w:bookmarkEnd w:id="9"/>
      <w:bookmarkEnd w:id="10"/>
    </w:p>
    <w:p>
      <w:pPr>
        <w:tabs>
          <w:tab w:val="left" w:pos="7665"/>
        </w:tabs>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利阳致诚国际项目管理有限公司</w:t>
      </w:r>
      <w:r>
        <w:rPr>
          <w:rFonts w:hint="eastAsia" w:ascii="仿宋" w:hAnsi="仿宋" w:eastAsia="仿宋" w:cs="仿宋"/>
          <w:color w:val="auto"/>
          <w:sz w:val="24"/>
          <w:highlight w:val="none"/>
        </w:rPr>
        <w:t>受</w:t>
      </w:r>
      <w:r>
        <w:rPr>
          <w:rFonts w:hint="eastAsia" w:ascii="仿宋" w:hAnsi="仿宋" w:eastAsia="仿宋" w:cs="仿宋"/>
          <w:color w:val="auto"/>
          <w:sz w:val="24"/>
          <w:highlight w:val="none"/>
          <w:lang w:eastAsia="zh-CN"/>
        </w:rPr>
        <w:t>成都市双流区中医医院</w:t>
      </w:r>
      <w:r>
        <w:rPr>
          <w:rFonts w:hint="eastAsia" w:ascii="仿宋" w:hAnsi="仿宋" w:eastAsia="仿宋" w:cs="仿宋"/>
          <w:color w:val="auto"/>
          <w:sz w:val="24"/>
          <w:highlight w:val="none"/>
        </w:rPr>
        <w:t>委托，拟对</w:t>
      </w:r>
      <w:bookmarkStart w:id="11" w:name="PO_默认文件内容_4"/>
      <w:r>
        <w:rPr>
          <w:rFonts w:hint="eastAsia" w:ascii="仿宋" w:hAnsi="仿宋" w:eastAsia="仿宋" w:cs="仿宋"/>
          <w:bCs/>
          <w:color w:val="auto"/>
          <w:sz w:val="24"/>
          <w:highlight w:val="none"/>
          <w:lang w:eastAsia="zh-CN"/>
        </w:rPr>
        <w:t>成都市双流区中医医院2021年第二批医疗设备采购项目</w:t>
      </w:r>
      <w:r>
        <w:rPr>
          <w:rFonts w:hint="eastAsia" w:ascii="仿宋" w:hAnsi="仿宋" w:eastAsia="仿宋" w:cs="仿宋"/>
          <w:color w:val="auto"/>
          <w:sz w:val="24"/>
          <w:highlight w:val="none"/>
        </w:rPr>
        <w:t>进行国内公开招标，兹邀请符合本次招标要求的供应商参加投标。</w:t>
      </w:r>
      <w:bookmarkEnd w:id="11"/>
    </w:p>
    <w:p>
      <w:pPr>
        <w:spacing w:after="0" w:line="360" w:lineRule="auto"/>
        <w:ind w:firstLine="482" w:firstLineChars="200"/>
        <w:rPr>
          <w:rFonts w:hint="eastAsia" w:ascii="仿宋" w:hAnsi="仿宋" w:eastAsia="仿宋" w:cs="仿宋"/>
          <w:bCs/>
          <w:color w:val="auto"/>
          <w:sz w:val="24"/>
          <w:highlight w:val="none"/>
          <w:lang w:val="en-US" w:eastAsia="zh-CN"/>
        </w:rPr>
      </w:pPr>
      <w:r>
        <w:rPr>
          <w:rFonts w:hint="eastAsia" w:ascii="仿宋" w:hAnsi="仿宋" w:eastAsia="仿宋" w:cs="仿宋"/>
          <w:b/>
          <w:color w:val="auto"/>
          <w:sz w:val="24"/>
          <w:highlight w:val="none"/>
        </w:rPr>
        <w:t>一、项目编号：</w:t>
      </w:r>
      <w:r>
        <w:rPr>
          <w:rFonts w:ascii="宋体" w:hAnsi="宋体" w:eastAsia="宋体" w:cs="宋体"/>
          <w:color w:val="auto"/>
          <w:sz w:val="24"/>
          <w:szCs w:val="24"/>
          <w:highlight w:val="none"/>
        </w:rPr>
        <w:t>510122202100577</w:t>
      </w:r>
    </w:p>
    <w:p>
      <w:pPr>
        <w:spacing w:after="0" w:line="360" w:lineRule="auto"/>
        <w:ind w:firstLine="482" w:firstLineChars="200"/>
        <w:rPr>
          <w:rFonts w:hint="eastAsia" w:ascii="仿宋" w:hAnsi="仿宋" w:eastAsia="仿宋" w:cs="仿宋"/>
          <w:bCs/>
          <w:color w:val="auto"/>
          <w:sz w:val="24"/>
          <w:highlight w:val="none"/>
          <w:lang w:eastAsia="zh-CN"/>
        </w:rPr>
      </w:pPr>
      <w:r>
        <w:rPr>
          <w:rFonts w:hint="eastAsia" w:ascii="仿宋" w:hAnsi="仿宋" w:eastAsia="仿宋" w:cs="仿宋"/>
          <w:b/>
          <w:bCs/>
          <w:color w:val="auto"/>
          <w:sz w:val="24"/>
          <w:highlight w:val="none"/>
        </w:rPr>
        <w:t>二、</w:t>
      </w:r>
      <w:r>
        <w:rPr>
          <w:rFonts w:hint="eastAsia" w:ascii="仿宋" w:hAnsi="仿宋" w:eastAsia="仿宋" w:cs="仿宋"/>
          <w:b/>
          <w:color w:val="auto"/>
          <w:sz w:val="24"/>
          <w:highlight w:val="none"/>
        </w:rPr>
        <w:t>项目名称：</w:t>
      </w:r>
      <w:r>
        <w:rPr>
          <w:rFonts w:hint="eastAsia" w:ascii="仿宋" w:hAnsi="仿宋" w:eastAsia="仿宋" w:cs="仿宋"/>
          <w:bCs/>
          <w:color w:val="auto"/>
          <w:sz w:val="24"/>
          <w:highlight w:val="none"/>
          <w:lang w:eastAsia="zh-CN"/>
        </w:rPr>
        <w:t>成都市双流区中医医院2021年第二批医疗设备采购项目</w:t>
      </w:r>
    </w:p>
    <w:p>
      <w:pPr>
        <w:spacing w:after="0"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三、资金来源：</w:t>
      </w:r>
      <w:r>
        <w:rPr>
          <w:rFonts w:hint="eastAsia" w:ascii="仿宋" w:hAnsi="仿宋" w:eastAsia="仿宋" w:cs="仿宋"/>
          <w:color w:val="auto"/>
          <w:sz w:val="24"/>
          <w:highlight w:val="none"/>
        </w:rPr>
        <w:t>财政性资金。</w:t>
      </w:r>
    </w:p>
    <w:p>
      <w:pPr>
        <w:adjustRightInd w:val="0"/>
        <w:snapToGrid w:val="0"/>
        <w:spacing w:after="0" w:line="360" w:lineRule="auto"/>
        <w:ind w:firstLine="460" w:firstLineChars="191"/>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四</w:t>
      </w:r>
      <w:r>
        <w:rPr>
          <w:rFonts w:hint="eastAsia" w:ascii="仿宋" w:hAnsi="仿宋" w:eastAsia="仿宋" w:cs="仿宋"/>
          <w:b/>
          <w:bCs/>
          <w:color w:val="auto"/>
          <w:sz w:val="24"/>
          <w:highlight w:val="none"/>
        </w:rPr>
        <w:t>、</w:t>
      </w:r>
      <w:r>
        <w:rPr>
          <w:rFonts w:hint="eastAsia" w:ascii="仿宋" w:hAnsi="仿宋" w:eastAsia="仿宋" w:cs="仿宋"/>
          <w:b/>
          <w:color w:val="auto"/>
          <w:sz w:val="24"/>
          <w:highlight w:val="none"/>
        </w:rPr>
        <w:t>招标项目简介：</w:t>
      </w:r>
      <w:r>
        <w:rPr>
          <w:rFonts w:hint="eastAsia" w:ascii="仿宋" w:hAnsi="仿宋" w:eastAsia="仿宋" w:cs="仿宋"/>
          <w:b w:val="0"/>
          <w:bCs/>
          <w:color w:val="auto"/>
          <w:sz w:val="24"/>
          <w:highlight w:val="none"/>
          <w:lang w:eastAsia="zh-CN"/>
        </w:rPr>
        <w:t>成都市双流区中医医院2021年第二批医疗设备采购项目</w:t>
      </w:r>
      <w:r>
        <w:rPr>
          <w:rFonts w:hint="eastAsia" w:ascii="仿宋" w:hAnsi="仿宋" w:eastAsia="仿宋" w:cs="仿宋"/>
          <w:b w:val="0"/>
          <w:bCs/>
          <w:color w:val="auto"/>
          <w:sz w:val="24"/>
          <w:highlight w:val="none"/>
        </w:rPr>
        <w:t>，</w:t>
      </w:r>
      <w:r>
        <w:rPr>
          <w:rFonts w:hint="eastAsia" w:ascii="仿宋" w:hAnsi="仿宋" w:eastAsia="仿宋" w:cs="仿宋"/>
          <w:b w:val="0"/>
          <w:bCs/>
          <w:color w:val="auto"/>
          <w:sz w:val="24"/>
          <w:highlight w:val="none"/>
          <w:lang w:eastAsia="zh-CN"/>
        </w:rPr>
        <w:t>人民币</w:t>
      </w:r>
      <w:r>
        <w:rPr>
          <w:rFonts w:hint="eastAsia" w:ascii="仿宋" w:hAnsi="仿宋" w:eastAsia="仿宋" w:cs="仿宋"/>
          <w:b w:val="0"/>
          <w:bCs/>
          <w:color w:val="auto"/>
          <w:sz w:val="24"/>
          <w:highlight w:val="none"/>
          <w:lang w:val="en-US" w:eastAsia="zh-CN"/>
        </w:rPr>
        <w:t>11520000.00</w:t>
      </w:r>
      <w:r>
        <w:rPr>
          <w:rFonts w:hint="eastAsia" w:ascii="仿宋" w:hAnsi="仿宋" w:eastAsia="仿宋" w:cs="仿宋"/>
          <w:b w:val="0"/>
          <w:bCs/>
          <w:color w:val="auto"/>
          <w:sz w:val="24"/>
          <w:highlight w:val="none"/>
          <w:lang w:eastAsia="zh-CN"/>
        </w:rPr>
        <w:t>元（第一包：人民币</w:t>
      </w:r>
      <w:r>
        <w:rPr>
          <w:rFonts w:hint="eastAsia" w:ascii="仿宋" w:hAnsi="仿宋" w:eastAsia="仿宋" w:cs="仿宋"/>
          <w:b w:val="0"/>
          <w:bCs/>
          <w:color w:val="auto"/>
          <w:sz w:val="24"/>
          <w:highlight w:val="none"/>
          <w:lang w:val="en-US" w:eastAsia="zh-CN"/>
        </w:rPr>
        <w:t>7820000.00</w:t>
      </w:r>
      <w:r>
        <w:rPr>
          <w:rFonts w:hint="eastAsia" w:ascii="仿宋" w:hAnsi="仿宋" w:eastAsia="仿宋" w:cs="仿宋"/>
          <w:b w:val="0"/>
          <w:bCs/>
          <w:color w:val="auto"/>
          <w:sz w:val="24"/>
          <w:highlight w:val="none"/>
          <w:lang w:eastAsia="zh-CN"/>
        </w:rPr>
        <w:t>元；第二包：人民币</w:t>
      </w:r>
      <w:r>
        <w:rPr>
          <w:rFonts w:hint="eastAsia" w:ascii="仿宋" w:hAnsi="仿宋" w:eastAsia="仿宋" w:cs="仿宋"/>
          <w:b w:val="0"/>
          <w:bCs/>
          <w:color w:val="auto"/>
          <w:sz w:val="24"/>
          <w:highlight w:val="none"/>
          <w:lang w:val="en-US" w:eastAsia="zh-CN"/>
        </w:rPr>
        <w:t>3700000.00</w:t>
      </w:r>
      <w:r>
        <w:rPr>
          <w:rFonts w:hint="eastAsia" w:ascii="仿宋" w:hAnsi="仿宋" w:eastAsia="仿宋" w:cs="仿宋"/>
          <w:b w:val="0"/>
          <w:bCs/>
          <w:color w:val="auto"/>
          <w:sz w:val="24"/>
          <w:highlight w:val="none"/>
          <w:lang w:eastAsia="zh-CN"/>
        </w:rPr>
        <w:t>元）</w:t>
      </w:r>
      <w:r>
        <w:rPr>
          <w:rFonts w:hint="eastAsia" w:ascii="仿宋" w:hAnsi="仿宋" w:eastAsia="仿宋" w:cs="仿宋"/>
          <w:bCs/>
          <w:color w:val="auto"/>
          <w:sz w:val="24"/>
          <w:highlight w:val="none"/>
        </w:rPr>
        <w:t>，最高限价详见招标文件第</w:t>
      </w:r>
      <w:r>
        <w:rPr>
          <w:rFonts w:hint="eastAsia" w:ascii="仿宋" w:hAnsi="仿宋" w:eastAsia="仿宋" w:cs="仿宋"/>
          <w:bCs/>
          <w:color w:val="auto"/>
          <w:sz w:val="24"/>
          <w:highlight w:val="none"/>
          <w:lang w:val="en-US" w:eastAsia="zh-CN"/>
        </w:rPr>
        <w:t>二</w:t>
      </w:r>
      <w:r>
        <w:rPr>
          <w:rFonts w:hint="eastAsia" w:ascii="仿宋" w:hAnsi="仿宋" w:eastAsia="仿宋" w:cs="仿宋"/>
          <w:bCs/>
          <w:color w:val="auto"/>
          <w:sz w:val="24"/>
          <w:highlight w:val="none"/>
        </w:rPr>
        <w:t>章</w:t>
      </w:r>
      <w:r>
        <w:rPr>
          <w:rFonts w:hint="eastAsia" w:ascii="仿宋" w:hAnsi="仿宋" w:eastAsia="仿宋" w:cs="仿宋"/>
          <w:bCs/>
          <w:color w:val="auto"/>
          <w:sz w:val="24"/>
          <w:highlight w:val="none"/>
          <w:lang w:eastAsia="zh-CN"/>
        </w:rPr>
        <w:t>。</w:t>
      </w:r>
    </w:p>
    <w:p>
      <w:pPr>
        <w:pStyle w:val="95"/>
        <w:spacing w:after="0"/>
        <w:ind w:firstLine="482"/>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五、供应商参加本次政府采购活动，应当在提交投标文件前具备下列条件：</w:t>
      </w:r>
    </w:p>
    <w:p>
      <w:pPr>
        <w:tabs>
          <w:tab w:val="left" w:pos="7665"/>
        </w:tabs>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（一）满足《中华人民共和国政府采购法》第二十二条下列规定：</w:t>
      </w:r>
    </w:p>
    <w:p>
      <w:pPr>
        <w:pStyle w:val="95"/>
        <w:spacing w:after="0"/>
        <w:ind w:firstLine="480"/>
        <w:rPr>
          <w:rFonts w:hint="eastAsia" w:ascii="仿宋" w:hAnsi="仿宋" w:eastAsia="仿宋" w:cs="仿宋"/>
          <w:color w:val="auto"/>
          <w:sz w:val="24"/>
          <w:highlight w:val="none"/>
        </w:rPr>
      </w:pPr>
      <w:bookmarkStart w:id="12" w:name="PO_供应商资格条件_1"/>
      <w:r>
        <w:rPr>
          <w:rFonts w:hint="eastAsia" w:ascii="仿宋" w:hAnsi="仿宋" w:eastAsia="仿宋" w:cs="仿宋"/>
          <w:color w:val="auto"/>
          <w:sz w:val="24"/>
          <w:highlight w:val="none"/>
        </w:rPr>
        <w:t>1.具有独立承担民事责任的能力；</w:t>
      </w:r>
    </w:p>
    <w:p>
      <w:pPr>
        <w:tabs>
          <w:tab w:val="left" w:pos="7665"/>
        </w:tabs>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2.具有良好的商业信誉和健全的财务会计制度；</w:t>
      </w:r>
    </w:p>
    <w:p>
      <w:pPr>
        <w:tabs>
          <w:tab w:val="left" w:pos="7665"/>
        </w:tabs>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3.具有履行合同所必须的设备和专业技术能力；</w:t>
      </w:r>
    </w:p>
    <w:p>
      <w:pPr>
        <w:tabs>
          <w:tab w:val="left" w:pos="7665"/>
        </w:tabs>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4.具有依法缴纳税收和社会保障资金的良好记录；</w:t>
      </w:r>
    </w:p>
    <w:p>
      <w:pPr>
        <w:tabs>
          <w:tab w:val="left" w:pos="7665"/>
        </w:tabs>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5.参加本次政府采购活动前三年内，在经营活动中没有重大违法记录；</w:t>
      </w:r>
    </w:p>
    <w:p>
      <w:pPr>
        <w:pStyle w:val="95"/>
        <w:spacing w:after="0"/>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6.符合法律、行政法规规定的其他条件。</w:t>
      </w:r>
    </w:p>
    <w:p>
      <w:pPr>
        <w:tabs>
          <w:tab w:val="left" w:pos="7665"/>
        </w:tabs>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（二）落实政府采购政策需满足的资格要求：</w:t>
      </w:r>
      <w:r>
        <w:rPr>
          <w:rFonts w:hint="eastAsia" w:ascii="仿宋" w:hAnsi="仿宋" w:eastAsia="仿宋" w:cs="仿宋"/>
          <w:color w:val="auto"/>
          <w:sz w:val="24"/>
          <w:highlight w:val="none"/>
          <w:lang w:val="en-US" w:eastAsia="zh-CN"/>
        </w:rPr>
        <w:t>无。</w:t>
      </w:r>
    </w:p>
    <w:p>
      <w:pPr>
        <w:pStyle w:val="95"/>
        <w:spacing w:after="0"/>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（三）根据采购项目提出的特殊条件：</w:t>
      </w:r>
    </w:p>
    <w:bookmarkEnd w:id="12"/>
    <w:p>
      <w:pPr>
        <w:adjustRightInd w:val="0"/>
        <w:snapToGrid w:val="0"/>
        <w:spacing w:after="0" w:line="360" w:lineRule="auto"/>
        <w:ind w:firstLine="458" w:firstLineChars="191"/>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r>
        <w:rPr>
          <w:rFonts w:hint="eastAsia" w:ascii="仿宋" w:hAnsi="仿宋" w:eastAsia="仿宋" w:cs="宋体"/>
          <w:color w:val="auto"/>
          <w:sz w:val="24"/>
          <w:highlight w:val="none"/>
        </w:rPr>
        <w:t>若投标产品中有医疗器械的，所投医疗器械须符合《医疗器械注册管理办法》等政策法规要求并具有中华人民共和国医疗器械注册或备案凭证；投标人须符合《医疗器械监督管理条例》等政策法规要求并具有医疗器械生产许可证或者医疗器械经营许可/备案凭证</w:t>
      </w:r>
      <w:r>
        <w:rPr>
          <w:rFonts w:hint="eastAsia" w:ascii="仿宋" w:hAnsi="仿宋" w:eastAsia="仿宋" w:cs="宋体"/>
          <w:color w:val="auto"/>
          <w:sz w:val="24"/>
          <w:highlight w:val="none"/>
          <w:lang w:eastAsia="zh-CN"/>
        </w:rPr>
        <w:t>。</w:t>
      </w:r>
    </w:p>
    <w:p>
      <w:pPr>
        <w:adjustRightInd w:val="0"/>
        <w:snapToGrid w:val="0"/>
        <w:spacing w:after="0" w:line="360" w:lineRule="auto"/>
        <w:ind w:firstLine="458" w:firstLineChars="191"/>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四</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本政府采购项目不接受联合体投标。</w:t>
      </w:r>
    </w:p>
    <w:p>
      <w:pPr>
        <w:pStyle w:val="95"/>
        <w:spacing w:after="0"/>
        <w:ind w:firstLine="482"/>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六、禁止参加本次采购活动的供应商</w:t>
      </w:r>
    </w:p>
    <w:p>
      <w:pPr>
        <w:spacing w:after="0" w:line="360" w:lineRule="auto"/>
        <w:ind w:firstLine="480" w:firstLineChars="200"/>
        <w:rPr>
          <w:rFonts w:hint="eastAsia" w:ascii="仿宋" w:hAnsi="仿宋" w:eastAsia="仿宋" w:cs="仿宋"/>
          <w:color w:val="auto"/>
          <w:sz w:val="24"/>
          <w:highlight w:val="none"/>
        </w:rPr>
      </w:pPr>
      <w:bookmarkStart w:id="13" w:name="PO_默认文件内容_7"/>
      <w:r>
        <w:rPr>
          <w:rFonts w:hint="eastAsia" w:ascii="仿宋" w:hAnsi="仿宋" w:eastAsia="仿宋" w:cs="仿宋"/>
          <w:color w:val="auto"/>
          <w:sz w:val="24"/>
          <w:highlight w:val="none"/>
        </w:rPr>
        <w:t>1.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的供应商，不得参加本采购项目。供应商为采购人、采购代理机构在确定采购需求、编制招标文件过程中提供咨询论证，其提供的咨询论证意见成为招标文件中规定的供应商资格条件、技术服务商务要求、评审因素和标准、政府采购合同等实质性内容条款的，视同为采购项目提供规范编制。</w:t>
      </w:r>
    </w:p>
    <w:bookmarkEnd w:id="13"/>
    <w:p>
      <w:pPr>
        <w:spacing w:after="0"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七、招标文件获取时间、地点：</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招标文件获取时间：2021年</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14</w:t>
      </w:r>
      <w:r>
        <w:rPr>
          <w:rFonts w:hint="eastAsia" w:ascii="仿宋" w:hAnsi="仿宋" w:eastAsia="仿宋" w:cs="仿宋"/>
          <w:color w:val="auto"/>
          <w:sz w:val="24"/>
          <w:highlight w:val="none"/>
        </w:rPr>
        <w:t>日至2021年</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20</w:t>
      </w:r>
      <w:r>
        <w:rPr>
          <w:rFonts w:hint="eastAsia" w:ascii="仿宋" w:hAnsi="仿宋" w:eastAsia="仿宋" w:cs="仿宋"/>
          <w:color w:val="auto"/>
          <w:sz w:val="24"/>
          <w:highlight w:val="none"/>
        </w:rPr>
        <w:t>日（北京时间，节假日除外）。</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招标文件获取地点：政府采购云平台（https://www.zcygov.cn/）。</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获取方式：凡有意参加本项目者，在本项目招标文件获取时间期限内，登录政府采购云平台（https://www.zcygov.cn/）获取，操作步骤：登录政府采购云平台—我的工作台—项目采购—获取采购文件—申请获取采购文件。 提示：（1）本项目招标文件免费获取。（2）投标人只有在“政府采购云平台”完成获取招标文件申请并下载招标文件后才视作依法参与本项目。如未在“政府采购云平台”内完成相关流程，引起的投标无效责任自负。</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电子招标投标项目，投标人参与本项目全过程中凡涉及系统操作请详见《供应商政府采购项目电子交易操作指南》。（操作指南以政府采购云平台网站发布为准，获取方式详见：附件三-政府采购云平台使用介绍）</w:t>
      </w:r>
    </w:p>
    <w:p>
      <w:pPr>
        <w:spacing w:after="0"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八、投标截止时间和开标时间：</w:t>
      </w:r>
      <w:bookmarkStart w:id="14" w:name="PO_开标时间_1"/>
      <w:r>
        <w:rPr>
          <w:rFonts w:hint="eastAsia" w:ascii="仿宋" w:hAnsi="仿宋" w:eastAsia="仿宋" w:cs="仿宋"/>
          <w:b/>
          <w:color w:val="auto"/>
          <w:sz w:val="24"/>
          <w:highlight w:val="none"/>
        </w:rPr>
        <w:t>202</w:t>
      </w: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年</w:t>
      </w:r>
      <w:r>
        <w:rPr>
          <w:rFonts w:hint="eastAsia" w:ascii="仿宋" w:hAnsi="仿宋" w:eastAsia="仿宋" w:cs="仿宋"/>
          <w:b/>
          <w:color w:val="auto"/>
          <w:sz w:val="24"/>
          <w:highlight w:val="none"/>
          <w:lang w:val="en-US" w:eastAsia="zh-CN"/>
        </w:rPr>
        <w:t>01</w:t>
      </w:r>
      <w:r>
        <w:rPr>
          <w:rFonts w:hint="eastAsia" w:ascii="仿宋" w:hAnsi="仿宋" w:eastAsia="仿宋" w:cs="仿宋"/>
          <w:b/>
          <w:bCs/>
          <w:color w:val="auto"/>
          <w:sz w:val="24"/>
          <w:highlight w:val="none"/>
        </w:rPr>
        <w:t>月</w:t>
      </w:r>
      <w:r>
        <w:rPr>
          <w:rFonts w:hint="eastAsia" w:ascii="仿宋" w:hAnsi="仿宋" w:eastAsia="仿宋" w:cs="仿宋"/>
          <w:b/>
          <w:bCs/>
          <w:color w:val="auto"/>
          <w:sz w:val="24"/>
          <w:highlight w:val="none"/>
          <w:lang w:val="en-US" w:eastAsia="zh-CN"/>
        </w:rPr>
        <w:t>05</w:t>
      </w:r>
      <w:r>
        <w:rPr>
          <w:rFonts w:hint="eastAsia" w:ascii="仿宋" w:hAnsi="仿宋" w:eastAsia="仿宋" w:cs="仿宋"/>
          <w:b/>
          <w:bCs/>
          <w:color w:val="auto"/>
          <w:sz w:val="24"/>
          <w:highlight w:val="none"/>
        </w:rPr>
        <w:t>日</w:t>
      </w:r>
      <w:r>
        <w:rPr>
          <w:rFonts w:hint="eastAsia" w:ascii="仿宋" w:hAnsi="仿宋" w:eastAsia="仿宋" w:cs="仿宋"/>
          <w:b/>
          <w:bCs/>
          <w:color w:val="auto"/>
          <w:sz w:val="24"/>
          <w:highlight w:val="none"/>
          <w:lang w:val="en-US" w:eastAsia="zh-CN"/>
        </w:rPr>
        <w:t>09</w:t>
      </w:r>
      <w:r>
        <w:rPr>
          <w:rFonts w:hint="eastAsia" w:ascii="仿宋" w:hAnsi="仿宋" w:eastAsia="仿宋" w:cs="仿宋"/>
          <w:b/>
          <w:bCs/>
          <w:color w:val="auto"/>
          <w:sz w:val="24"/>
          <w:highlight w:val="none"/>
        </w:rPr>
        <w:t>:</w:t>
      </w:r>
      <w:bookmarkEnd w:id="14"/>
      <w:r>
        <w:rPr>
          <w:rFonts w:hint="eastAsia" w:ascii="仿宋" w:hAnsi="仿宋" w:eastAsia="仿宋" w:cs="仿宋"/>
          <w:b/>
          <w:bCs/>
          <w:color w:val="auto"/>
          <w:sz w:val="24"/>
          <w:highlight w:val="none"/>
        </w:rPr>
        <w:t>30</w:t>
      </w:r>
      <w:r>
        <w:rPr>
          <w:rFonts w:hint="eastAsia" w:ascii="仿宋" w:hAnsi="仿宋" w:eastAsia="仿宋" w:cs="仿宋"/>
          <w:color w:val="auto"/>
          <w:sz w:val="24"/>
          <w:highlight w:val="none"/>
        </w:rPr>
        <w:t>（北京时间）。</w:t>
      </w:r>
    </w:p>
    <w:p>
      <w:pPr>
        <w:pStyle w:val="12"/>
        <w:spacing w:after="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投标截止时间前，投标人应将加密的电子投标文件递交至“政府采购云平台”对应项目（包件）。</w:t>
      </w:r>
    </w:p>
    <w:p>
      <w:pPr>
        <w:spacing w:after="0"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九、开标地点：</w:t>
      </w:r>
      <w:r>
        <w:rPr>
          <w:rFonts w:hint="eastAsia" w:ascii="仿宋" w:hAnsi="仿宋" w:eastAsia="仿宋" w:cs="仿宋"/>
          <w:color w:val="auto"/>
          <w:sz w:val="24"/>
          <w:highlight w:val="none"/>
        </w:rPr>
        <w:t>（1）本项目为不见面开标项目；（2）开标地点：政府采购云平台(https://www.zcygov.cn)；（3）本项目只接受投标人加密并递交至“政府采购云平台”的投标文件。</w:t>
      </w:r>
    </w:p>
    <w:p>
      <w:pPr>
        <w:pStyle w:val="95"/>
        <w:spacing w:after="0"/>
        <w:ind w:firstLine="482"/>
        <w:rPr>
          <w:rFonts w:hint="eastAsia" w:ascii="仿宋" w:hAnsi="仿宋" w:eastAsia="仿宋" w:cs="仿宋"/>
          <w:color w:val="auto"/>
          <w:sz w:val="24"/>
          <w:highlight w:val="none"/>
        </w:rPr>
      </w:pPr>
      <w:bookmarkStart w:id="15" w:name="PO_默认文件内容_13"/>
      <w:r>
        <w:rPr>
          <w:rFonts w:hint="eastAsia" w:ascii="仿宋" w:hAnsi="仿宋" w:eastAsia="仿宋" w:cs="仿宋"/>
          <w:b/>
          <w:color w:val="auto"/>
          <w:sz w:val="24"/>
          <w:highlight w:val="none"/>
        </w:rPr>
        <w:t>十、</w:t>
      </w:r>
      <w:r>
        <w:rPr>
          <w:rFonts w:hint="eastAsia" w:ascii="仿宋" w:hAnsi="仿宋" w:eastAsia="仿宋" w:cs="仿宋"/>
          <w:b/>
          <w:bCs/>
          <w:color w:val="auto"/>
          <w:sz w:val="24"/>
          <w:highlight w:val="none"/>
        </w:rPr>
        <w:t>本投标邀请在四川政府采购网（http://www.ccgp-sichuan.gov.cn）上以公告形式发布，公告期限为发布之日起5个工作日</w:t>
      </w:r>
      <w:bookmarkEnd w:id="15"/>
      <w:r>
        <w:rPr>
          <w:rFonts w:hint="eastAsia" w:ascii="仿宋" w:hAnsi="仿宋" w:eastAsia="仿宋" w:cs="仿宋"/>
          <w:b/>
          <w:bCs/>
          <w:color w:val="auto"/>
          <w:sz w:val="24"/>
          <w:highlight w:val="none"/>
        </w:rPr>
        <w:t>。</w:t>
      </w:r>
    </w:p>
    <w:p>
      <w:pPr>
        <w:pStyle w:val="95"/>
        <w:spacing w:after="0"/>
        <w:ind w:firstLine="482"/>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十一、供应商信用融资：</w:t>
      </w:r>
    </w:p>
    <w:p>
      <w:pPr>
        <w:pStyle w:val="95"/>
        <w:spacing w:after="0"/>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pPr>
        <w:spacing w:after="0" w:line="360" w:lineRule="auto"/>
        <w:ind w:firstLine="480" w:firstLineChars="200"/>
        <w:jc w:val="left"/>
        <w:rPr>
          <w:rFonts w:hint="eastAsia"/>
          <w:color w:val="auto"/>
          <w:highlight w:val="none"/>
        </w:rPr>
      </w:pPr>
      <w:r>
        <w:rPr>
          <w:rFonts w:hint="eastAsia" w:ascii="仿宋" w:hAnsi="仿宋" w:eastAsia="仿宋" w:cs="仿宋"/>
          <w:bCs/>
          <w:color w:val="auto"/>
          <w:sz w:val="24"/>
          <w:highlight w:val="none"/>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w:t>
      </w:r>
      <w:r>
        <w:rPr>
          <w:rFonts w:hint="eastAsia" w:ascii="仿宋" w:hAnsi="仿宋" w:eastAsia="仿宋" w:cs="仿宋"/>
          <w:bCs/>
          <w:color w:val="auto"/>
          <w:sz w:val="24"/>
          <w:highlight w:val="none"/>
          <w:lang w:val="zh-CN"/>
        </w:rPr>
        <w:t>申请蓉采贷具体相关流程请查看</w:t>
      </w:r>
      <w:r>
        <w:rPr>
          <w:rFonts w:hint="eastAsia" w:ascii="仿宋" w:hAnsi="仿宋" w:eastAsia="仿宋" w:cs="仿宋"/>
          <w:bCs/>
          <w:color w:val="auto"/>
          <w:sz w:val="24"/>
          <w:highlight w:val="none"/>
          <w:lang w:val="en-US" w:eastAsia="zh-CN"/>
        </w:rPr>
        <w:t>网址：</w:t>
      </w:r>
      <w:r>
        <w:rPr>
          <w:rFonts w:hint="eastAsia" w:ascii="仿宋" w:hAnsi="仿宋" w:eastAsia="仿宋" w:cs="仿宋"/>
          <w:bCs/>
          <w:color w:val="auto"/>
          <w:sz w:val="24"/>
          <w:highlight w:val="none"/>
          <w:lang w:val="zh-CN"/>
        </w:rPr>
        <w:fldChar w:fldCharType="begin"/>
      </w:r>
      <w:r>
        <w:rPr>
          <w:rFonts w:hint="eastAsia" w:ascii="仿宋" w:hAnsi="仿宋" w:eastAsia="仿宋" w:cs="仿宋"/>
          <w:bCs/>
          <w:color w:val="auto"/>
          <w:sz w:val="24"/>
          <w:highlight w:val="none"/>
          <w:lang w:val="zh-CN"/>
        </w:rPr>
        <w:instrText xml:space="preserve"> HYPERLINK "http://cdcz.chengdu.gov.cn/zfcg/gpLoan。" </w:instrText>
      </w:r>
      <w:r>
        <w:rPr>
          <w:rFonts w:hint="eastAsia" w:ascii="仿宋" w:hAnsi="仿宋" w:eastAsia="仿宋" w:cs="仿宋"/>
          <w:bCs/>
          <w:color w:val="auto"/>
          <w:sz w:val="24"/>
          <w:highlight w:val="none"/>
          <w:lang w:val="zh-CN"/>
        </w:rPr>
        <w:fldChar w:fldCharType="separate"/>
      </w:r>
      <w:r>
        <w:rPr>
          <w:rFonts w:hint="eastAsia" w:ascii="仿宋" w:hAnsi="仿宋" w:eastAsia="仿宋" w:cs="仿宋"/>
          <w:bCs/>
          <w:color w:val="auto"/>
          <w:sz w:val="24"/>
          <w:highlight w:val="none"/>
          <w:lang w:val="zh-CN"/>
        </w:rPr>
        <w:t>http://cdcz.chengdu.gov.cn/zfcg/gpLoan。</w:t>
      </w:r>
      <w:r>
        <w:rPr>
          <w:rFonts w:hint="eastAsia" w:ascii="仿宋" w:hAnsi="仿宋" w:eastAsia="仿宋" w:cs="仿宋"/>
          <w:bCs/>
          <w:color w:val="auto"/>
          <w:sz w:val="24"/>
          <w:highlight w:val="none"/>
          <w:lang w:val="zh-CN"/>
        </w:rPr>
        <w:fldChar w:fldCharType="end"/>
      </w:r>
      <w:r>
        <w:rPr>
          <w:rFonts w:hint="eastAsia" w:ascii="仿宋" w:hAnsi="仿宋" w:eastAsia="仿宋" w:cs="仿宋"/>
          <w:bCs/>
          <w:color w:val="auto"/>
          <w:sz w:val="24"/>
          <w:highlight w:val="none"/>
          <w:lang w:val="zh-CN"/>
        </w:rPr>
        <w:t>具体内容详见招标文件附件《成都市财政局关于增补“蓉采贷”政策合作银行及做好相关工作的通知》（成财采发〔2020〕20号）。</w:t>
      </w:r>
    </w:p>
    <w:p>
      <w:pPr>
        <w:pStyle w:val="95"/>
        <w:spacing w:after="0"/>
        <w:ind w:firstLine="482"/>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十二、联系方式</w:t>
      </w:r>
    </w:p>
    <w:p>
      <w:pPr>
        <w:adjustRightInd w:val="0"/>
        <w:snapToGrid w:val="0"/>
        <w:spacing w:after="0"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（一）采购人信息：</w:t>
      </w:r>
    </w:p>
    <w:p>
      <w:pPr>
        <w:ind w:firstLine="480" w:firstLineChars="200"/>
        <w:rPr>
          <w:rFonts w:hint="eastAsia" w:ascii="仿宋" w:hAnsi="仿宋" w:eastAsia="仿宋" w:cs="仿宋"/>
          <w:color w:val="auto"/>
          <w:sz w:val="24"/>
          <w:szCs w:val="32"/>
          <w:highlight w:val="none"/>
          <w:lang w:eastAsia="zh-CN"/>
        </w:rPr>
      </w:pPr>
      <w:r>
        <w:rPr>
          <w:rFonts w:hint="eastAsia" w:ascii="仿宋" w:hAnsi="仿宋" w:eastAsia="仿宋" w:cs="仿宋"/>
          <w:color w:val="auto"/>
          <w:sz w:val="24"/>
          <w:szCs w:val="32"/>
          <w:highlight w:val="none"/>
        </w:rPr>
        <w:t>名称：</w:t>
      </w:r>
      <w:r>
        <w:rPr>
          <w:rFonts w:hint="eastAsia" w:ascii="仿宋" w:hAnsi="仿宋" w:eastAsia="仿宋" w:cs="仿宋"/>
          <w:color w:val="auto"/>
          <w:sz w:val="24"/>
          <w:szCs w:val="32"/>
          <w:highlight w:val="none"/>
          <w:lang w:eastAsia="zh-CN"/>
        </w:rPr>
        <w:t>成都市双流区中医医院；</w:t>
      </w:r>
    </w:p>
    <w:p>
      <w:pPr>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地址：</w:t>
      </w:r>
      <w:r>
        <w:rPr>
          <w:rFonts w:hint="eastAsia" w:ascii="仿宋" w:hAnsi="仿宋" w:eastAsia="仿宋" w:cs="仿宋"/>
          <w:color w:val="auto"/>
          <w:sz w:val="24"/>
          <w:szCs w:val="32"/>
          <w:highlight w:val="none"/>
          <w:lang w:eastAsia="zh-CN"/>
        </w:rPr>
        <w:t>成都市双流区东升街道花园路二段300号</w:t>
      </w:r>
      <w:r>
        <w:rPr>
          <w:rFonts w:hint="eastAsia" w:ascii="仿宋" w:hAnsi="仿宋" w:eastAsia="仿宋" w:cs="仿宋"/>
          <w:color w:val="auto"/>
          <w:sz w:val="24"/>
          <w:szCs w:val="32"/>
          <w:highlight w:val="none"/>
        </w:rPr>
        <w:t>；</w:t>
      </w:r>
    </w:p>
    <w:p>
      <w:pPr>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联系人：</w:t>
      </w:r>
      <w:r>
        <w:rPr>
          <w:rFonts w:hint="eastAsia" w:ascii="仿宋" w:hAnsi="仿宋" w:eastAsia="仿宋" w:cs="仿宋"/>
          <w:color w:val="auto"/>
          <w:sz w:val="24"/>
          <w:szCs w:val="32"/>
          <w:highlight w:val="none"/>
          <w:lang w:val="en-US" w:eastAsia="zh-CN"/>
        </w:rPr>
        <w:t>王</w:t>
      </w:r>
      <w:r>
        <w:rPr>
          <w:rFonts w:hint="eastAsia" w:ascii="仿宋" w:hAnsi="仿宋" w:eastAsia="仿宋" w:cs="仿宋"/>
          <w:color w:val="auto"/>
          <w:sz w:val="24"/>
          <w:szCs w:val="32"/>
          <w:highlight w:val="none"/>
        </w:rPr>
        <w:t>老师；</w:t>
      </w:r>
    </w:p>
    <w:p>
      <w:pPr>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szCs w:val="32"/>
          <w:highlight w:val="none"/>
        </w:rPr>
        <w:t>联系电话：</w:t>
      </w:r>
      <w:r>
        <w:rPr>
          <w:rFonts w:hint="eastAsia" w:ascii="仿宋" w:hAnsi="仿宋" w:eastAsia="仿宋" w:cs="仿宋"/>
          <w:color w:val="auto"/>
          <w:sz w:val="24"/>
          <w:szCs w:val="32"/>
          <w:highlight w:val="none"/>
          <w:lang w:eastAsia="zh-CN"/>
        </w:rPr>
        <w:t>028-69803260</w:t>
      </w:r>
      <w:r>
        <w:rPr>
          <w:rFonts w:hint="eastAsia" w:ascii="仿宋" w:hAnsi="仿宋" w:eastAsia="仿宋" w:cs="仿宋"/>
          <w:color w:val="auto"/>
          <w:sz w:val="24"/>
          <w:szCs w:val="32"/>
          <w:highlight w:val="none"/>
        </w:rPr>
        <w:t>。</w:t>
      </w:r>
    </w:p>
    <w:p>
      <w:pPr>
        <w:adjustRightInd w:val="0"/>
        <w:snapToGrid w:val="0"/>
        <w:spacing w:after="0"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（二）采购代理机构信息：</w:t>
      </w:r>
    </w:p>
    <w:p>
      <w:pPr>
        <w:spacing w:after="0" w:line="360" w:lineRule="auto"/>
        <w:ind w:firstLine="480" w:firstLineChars="200"/>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名称:</w:t>
      </w:r>
      <w:r>
        <w:rPr>
          <w:rFonts w:hint="eastAsia" w:ascii="仿宋" w:hAnsi="仿宋" w:eastAsia="仿宋" w:cs="仿宋"/>
          <w:bCs/>
          <w:color w:val="auto"/>
          <w:sz w:val="24"/>
          <w:highlight w:val="none"/>
          <w:lang w:eastAsia="zh-CN"/>
        </w:rPr>
        <w:t>利阳致诚国际项目管理有限公司</w:t>
      </w:r>
      <w:r>
        <w:rPr>
          <w:rFonts w:hint="eastAsia" w:ascii="仿宋" w:hAnsi="仿宋" w:eastAsia="仿宋" w:cs="仿宋"/>
          <w:bCs/>
          <w:color w:val="auto"/>
          <w:sz w:val="24"/>
          <w:highlight w:val="none"/>
        </w:rPr>
        <w:t>；</w:t>
      </w:r>
    </w:p>
    <w:p>
      <w:pPr>
        <w:spacing w:after="0" w:line="360" w:lineRule="auto"/>
        <w:ind w:firstLine="480" w:firstLineChars="200"/>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地址:成都市锦江区三色路163号银海芯座1栋1单元14层</w:t>
      </w:r>
      <w:r>
        <w:rPr>
          <w:rFonts w:hint="eastAsia" w:ascii="仿宋" w:hAnsi="仿宋" w:eastAsia="仿宋" w:cs="仿宋"/>
          <w:bCs/>
          <w:color w:val="auto"/>
          <w:sz w:val="24"/>
          <w:highlight w:val="none"/>
          <w:lang w:val="en-US" w:eastAsia="zh-CN"/>
        </w:rPr>
        <w:t>04号</w:t>
      </w:r>
      <w:r>
        <w:rPr>
          <w:rFonts w:hint="eastAsia" w:ascii="仿宋" w:hAnsi="仿宋" w:eastAsia="仿宋" w:cs="仿宋"/>
          <w:bCs/>
          <w:color w:val="auto"/>
          <w:sz w:val="24"/>
          <w:highlight w:val="none"/>
        </w:rPr>
        <w:t>；</w:t>
      </w:r>
    </w:p>
    <w:p>
      <w:pPr>
        <w:spacing w:after="0" w:line="360" w:lineRule="auto"/>
        <w:ind w:firstLine="480" w:firstLineChars="200"/>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联系方式:028-62013599</w:t>
      </w:r>
    </w:p>
    <w:p>
      <w:pPr>
        <w:adjustRightInd w:val="0"/>
        <w:snapToGrid w:val="0"/>
        <w:spacing w:after="0"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（三）项目联系方式:</w:t>
      </w:r>
    </w:p>
    <w:p>
      <w:pPr>
        <w:spacing w:after="0" w:line="360" w:lineRule="auto"/>
        <w:ind w:firstLine="480" w:firstLineChars="200"/>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项目联系人:</w:t>
      </w:r>
      <w:r>
        <w:rPr>
          <w:rFonts w:hint="eastAsia" w:ascii="仿宋" w:hAnsi="仿宋" w:eastAsia="仿宋" w:cs="仿宋"/>
          <w:bCs/>
          <w:color w:val="auto"/>
          <w:sz w:val="24"/>
          <w:highlight w:val="none"/>
          <w:lang w:val="en-US" w:eastAsia="zh-CN"/>
        </w:rPr>
        <w:t>钟</w:t>
      </w:r>
      <w:r>
        <w:rPr>
          <w:rFonts w:hint="eastAsia" w:ascii="仿宋" w:hAnsi="仿宋" w:eastAsia="仿宋" w:cs="仿宋"/>
          <w:bCs/>
          <w:color w:val="auto"/>
          <w:sz w:val="24"/>
          <w:highlight w:val="none"/>
        </w:rPr>
        <w:t>女士；</w:t>
      </w:r>
    </w:p>
    <w:p>
      <w:pPr>
        <w:spacing w:after="0" w:line="360" w:lineRule="auto"/>
        <w:ind w:firstLine="480" w:firstLineChars="200"/>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电话:028-62013599</w:t>
      </w:r>
    </w:p>
    <w:p>
      <w:pPr>
        <w:spacing w:after="0" w:line="360" w:lineRule="auto"/>
        <w:ind w:firstLine="480" w:firstLineChars="200"/>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标书售卖：</w:t>
      </w:r>
      <w:r>
        <w:rPr>
          <w:rFonts w:hint="eastAsia" w:ascii="仿宋" w:hAnsi="仿宋" w:eastAsia="仿宋" w:cs="仿宋"/>
          <w:bCs/>
          <w:color w:val="auto"/>
          <w:sz w:val="24"/>
          <w:highlight w:val="none"/>
          <w:lang w:val="en-US" w:eastAsia="zh-CN"/>
        </w:rPr>
        <w:t>卿</w:t>
      </w:r>
      <w:r>
        <w:rPr>
          <w:rFonts w:hint="eastAsia" w:ascii="仿宋" w:hAnsi="仿宋" w:eastAsia="仿宋" w:cs="仿宋"/>
          <w:bCs/>
          <w:color w:val="auto"/>
          <w:sz w:val="24"/>
          <w:highlight w:val="none"/>
        </w:rPr>
        <w:t>女士；</w:t>
      </w:r>
    </w:p>
    <w:p>
      <w:pPr>
        <w:spacing w:after="0" w:line="360" w:lineRule="auto"/>
        <w:ind w:firstLine="480" w:firstLineChars="200"/>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联系电话：028-83377199。</w:t>
      </w:r>
    </w:p>
    <w:p>
      <w:pPr>
        <w:spacing w:after="0" w:line="360" w:lineRule="auto"/>
        <w:ind w:firstLine="480" w:firstLineChars="200"/>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电子邮件：</w:t>
      </w:r>
      <w:r>
        <w:rPr>
          <w:rFonts w:hint="eastAsia" w:ascii="仿宋" w:hAnsi="仿宋" w:eastAsia="仿宋" w:cs="仿宋"/>
          <w:bCs/>
          <w:color w:val="auto"/>
          <w:sz w:val="24"/>
          <w:highlight w:val="none"/>
        </w:rPr>
        <w:fldChar w:fldCharType="begin"/>
      </w:r>
      <w:r>
        <w:rPr>
          <w:rFonts w:hint="eastAsia" w:ascii="仿宋" w:hAnsi="仿宋" w:eastAsia="仿宋" w:cs="仿宋"/>
          <w:bCs/>
          <w:color w:val="auto"/>
          <w:sz w:val="24"/>
          <w:highlight w:val="none"/>
        </w:rPr>
        <w:instrText xml:space="preserve"> HYPERLINK "mailto:396791662@qq.com" </w:instrText>
      </w:r>
      <w:r>
        <w:rPr>
          <w:rFonts w:hint="eastAsia" w:ascii="仿宋" w:hAnsi="仿宋" w:eastAsia="仿宋" w:cs="仿宋"/>
          <w:bCs/>
          <w:color w:val="auto"/>
          <w:sz w:val="24"/>
          <w:highlight w:val="none"/>
        </w:rPr>
        <w:fldChar w:fldCharType="separate"/>
      </w:r>
      <w:r>
        <w:rPr>
          <w:rFonts w:hint="eastAsia" w:ascii="仿宋" w:hAnsi="仿宋" w:eastAsia="仿宋" w:cs="仿宋"/>
          <w:bCs/>
          <w:color w:val="auto"/>
          <w:sz w:val="24"/>
          <w:highlight w:val="none"/>
        </w:rPr>
        <w:t>3423463562</w:t>
      </w:r>
      <w:r>
        <w:rPr>
          <w:rFonts w:hint="eastAsia" w:ascii="仿宋" w:hAnsi="仿宋" w:eastAsia="仿宋" w:cs="仿宋"/>
          <w:color w:val="auto"/>
          <w:highlight w:val="none"/>
        </w:rPr>
        <w:t>@</w:t>
      </w:r>
      <w:r>
        <w:rPr>
          <w:rFonts w:hint="eastAsia" w:ascii="仿宋" w:hAnsi="仿宋" w:eastAsia="仿宋" w:cs="仿宋"/>
          <w:color w:val="auto"/>
          <w:sz w:val="24"/>
          <w:szCs w:val="32"/>
          <w:highlight w:val="none"/>
        </w:rPr>
        <w:t>qq.com</w:t>
      </w:r>
      <w:r>
        <w:rPr>
          <w:rFonts w:hint="eastAsia" w:ascii="仿宋" w:hAnsi="仿宋" w:eastAsia="仿宋" w:cs="仿宋"/>
          <w:bCs/>
          <w:color w:val="auto"/>
          <w:sz w:val="24"/>
          <w:highlight w:val="none"/>
        </w:rPr>
        <w:fldChar w:fldCharType="end"/>
      </w:r>
    </w:p>
    <w:p>
      <w:pPr>
        <w:pStyle w:val="3"/>
        <w:spacing w:before="0" w:after="0" w:line="360" w:lineRule="auto"/>
        <w:jc w:val="center"/>
        <w:rPr>
          <w:rFonts w:hint="eastAsia" w:ascii="仿宋" w:hAnsi="仿宋" w:eastAsia="仿宋" w:cs="仿宋"/>
          <w:color w:val="auto"/>
          <w:highlight w:val="none"/>
        </w:rPr>
      </w:pPr>
      <w:r>
        <w:rPr>
          <w:rFonts w:hint="eastAsia" w:ascii="仿宋" w:hAnsi="仿宋" w:eastAsia="仿宋" w:cs="仿宋"/>
          <w:b w:val="0"/>
          <w:bCs w:val="0"/>
          <w:color w:val="auto"/>
          <w:highlight w:val="none"/>
        </w:rPr>
        <w:br w:type="page"/>
      </w:r>
      <w:bookmarkStart w:id="16" w:name="_Toc6773"/>
      <w:bookmarkStart w:id="17" w:name="_Toc24500"/>
      <w:bookmarkStart w:id="18" w:name="_Toc16838_WPSOffice_Level1"/>
      <w:bookmarkStart w:id="19" w:name="_Toc12497"/>
      <w:bookmarkStart w:id="20" w:name="_Toc12420"/>
      <w:bookmarkStart w:id="21" w:name="_Toc20109"/>
      <w:bookmarkStart w:id="22" w:name="_Toc217446031"/>
      <w:bookmarkStart w:id="23" w:name="_Toc213496267"/>
      <w:bookmarkStart w:id="24" w:name="_Toc213396945"/>
      <w:bookmarkStart w:id="25" w:name="_Toc213397009"/>
      <w:bookmarkStart w:id="26" w:name="_Toc213396759"/>
      <w:r>
        <w:rPr>
          <w:rFonts w:hint="eastAsia" w:ascii="仿宋" w:hAnsi="仿宋" w:eastAsia="仿宋" w:cs="仿宋"/>
          <w:color w:val="auto"/>
          <w:highlight w:val="none"/>
        </w:rPr>
        <w:t>第二章  投标人须知</w:t>
      </w:r>
      <w:bookmarkEnd w:id="16"/>
      <w:bookmarkEnd w:id="17"/>
      <w:bookmarkEnd w:id="18"/>
      <w:bookmarkEnd w:id="19"/>
      <w:bookmarkEnd w:id="20"/>
      <w:bookmarkEnd w:id="21"/>
    </w:p>
    <w:p>
      <w:pPr>
        <w:pStyle w:val="4"/>
        <w:spacing w:before="0" w:after="0"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一、投标人须知附表</w:t>
      </w:r>
    </w:p>
    <w:bookmarkEnd w:id="22"/>
    <w:bookmarkEnd w:id="23"/>
    <w:bookmarkEnd w:id="24"/>
    <w:bookmarkEnd w:id="25"/>
    <w:bookmarkEnd w:id="26"/>
    <w:tbl>
      <w:tblPr>
        <w:tblStyle w:val="34"/>
        <w:tblW w:w="9354"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555"/>
        <w:gridCol w:w="1666"/>
        <w:gridCol w:w="713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tblHeader/>
          <w:jc w:val="center"/>
        </w:trPr>
        <w:tc>
          <w:tcPr>
            <w:tcW w:w="555" w:type="dxa"/>
            <w:noWrap w:val="0"/>
            <w:vAlign w:val="center"/>
          </w:tcPr>
          <w:p>
            <w:pPr>
              <w:pStyle w:val="19"/>
              <w:snapToGrid w:val="0"/>
              <w:spacing w:after="0" w:line="36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序号</w:t>
            </w:r>
          </w:p>
        </w:tc>
        <w:tc>
          <w:tcPr>
            <w:tcW w:w="1666" w:type="dxa"/>
            <w:noWrap w:val="0"/>
            <w:vAlign w:val="center"/>
          </w:tcPr>
          <w:p>
            <w:pPr>
              <w:pStyle w:val="19"/>
              <w:snapToGrid w:val="0"/>
              <w:spacing w:after="0" w:line="36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条款名称</w:t>
            </w:r>
          </w:p>
        </w:tc>
        <w:tc>
          <w:tcPr>
            <w:tcW w:w="7133" w:type="dxa"/>
            <w:noWrap w:val="0"/>
            <w:vAlign w:val="center"/>
          </w:tcPr>
          <w:p>
            <w:pPr>
              <w:pStyle w:val="19"/>
              <w:snapToGrid w:val="0"/>
              <w:spacing w:after="0" w:line="36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55" w:type="dxa"/>
            <w:vMerge w:val="restart"/>
            <w:noWrap w:val="0"/>
            <w:vAlign w:val="center"/>
          </w:tcPr>
          <w:p>
            <w:pPr>
              <w:pStyle w:val="19"/>
              <w:snapToGrid w:val="0"/>
              <w:spacing w:after="0" w:line="360" w:lineRule="auto"/>
              <w:jc w:val="center"/>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1</w:t>
            </w:r>
          </w:p>
        </w:tc>
        <w:tc>
          <w:tcPr>
            <w:tcW w:w="1666" w:type="dxa"/>
            <w:tcBorders>
              <w:bottom w:val="single" w:color="auto" w:sz="4" w:space="0"/>
            </w:tcBorders>
            <w:noWrap w:val="0"/>
            <w:vAlign w:val="center"/>
          </w:tcPr>
          <w:p>
            <w:pPr>
              <w:pStyle w:val="19"/>
              <w:snapToGrid w:val="0"/>
              <w:spacing w:after="0" w:line="36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采购预算</w:t>
            </w:r>
          </w:p>
          <w:p>
            <w:pPr>
              <w:pStyle w:val="19"/>
              <w:snapToGrid w:val="0"/>
              <w:spacing w:after="0" w:line="36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sz w:val="21"/>
                <w:szCs w:val="21"/>
                <w:highlight w:val="none"/>
              </w:rPr>
              <w:t>（实质性要求）</w:t>
            </w:r>
          </w:p>
        </w:tc>
        <w:tc>
          <w:tcPr>
            <w:tcW w:w="7133" w:type="dxa"/>
            <w:tcBorders>
              <w:bottom w:val="single" w:color="auto" w:sz="4" w:space="0"/>
            </w:tcBorders>
            <w:noWrap w:val="0"/>
            <w:vAlign w:val="top"/>
          </w:tcPr>
          <w:p>
            <w:pPr>
              <w:pStyle w:val="19"/>
              <w:snapToGrid w:val="0"/>
              <w:spacing w:after="0" w:line="360" w:lineRule="auto"/>
              <w:rPr>
                <w:rFonts w:hint="eastAsia" w:ascii="仿宋" w:hAnsi="仿宋" w:eastAsia="仿宋" w:cs="仿宋"/>
                <w:color w:val="auto"/>
                <w:kern w:val="2"/>
                <w:sz w:val="21"/>
                <w:szCs w:val="21"/>
                <w:highlight w:val="none"/>
                <w:lang w:eastAsia="zh-CN"/>
              </w:rPr>
            </w:pPr>
            <w:r>
              <w:rPr>
                <w:rFonts w:hint="eastAsia" w:ascii="仿宋" w:hAnsi="仿宋" w:eastAsia="仿宋" w:cs="仿宋"/>
                <w:color w:val="auto"/>
                <w:kern w:val="2"/>
                <w:sz w:val="21"/>
                <w:szCs w:val="21"/>
                <w:highlight w:val="none"/>
              </w:rPr>
              <w:t>预算金额：</w:t>
            </w:r>
            <w:r>
              <w:rPr>
                <w:rFonts w:hint="eastAsia" w:ascii="仿宋" w:hAnsi="仿宋" w:eastAsia="仿宋" w:cs="仿宋"/>
                <w:color w:val="auto"/>
                <w:kern w:val="2"/>
                <w:sz w:val="21"/>
                <w:szCs w:val="21"/>
                <w:highlight w:val="none"/>
                <w:lang w:eastAsia="zh-CN"/>
              </w:rPr>
              <w:t>人民币</w:t>
            </w:r>
            <w:r>
              <w:rPr>
                <w:rFonts w:hint="eastAsia" w:ascii="仿宋" w:hAnsi="仿宋" w:eastAsia="仿宋" w:cs="仿宋"/>
                <w:color w:val="auto"/>
                <w:kern w:val="2"/>
                <w:sz w:val="21"/>
                <w:szCs w:val="21"/>
                <w:highlight w:val="none"/>
                <w:lang w:val="en-US" w:eastAsia="zh-CN"/>
              </w:rPr>
              <w:t>11520000.00</w:t>
            </w:r>
            <w:r>
              <w:rPr>
                <w:rFonts w:hint="eastAsia" w:ascii="仿宋" w:hAnsi="仿宋" w:eastAsia="仿宋" w:cs="仿宋"/>
                <w:color w:val="auto"/>
                <w:kern w:val="2"/>
                <w:sz w:val="21"/>
                <w:szCs w:val="21"/>
                <w:highlight w:val="none"/>
                <w:lang w:eastAsia="zh-CN"/>
              </w:rPr>
              <w:t>万元（第一包：人民币</w:t>
            </w:r>
            <w:r>
              <w:rPr>
                <w:rFonts w:hint="eastAsia" w:ascii="仿宋" w:hAnsi="仿宋" w:eastAsia="仿宋" w:cs="仿宋"/>
                <w:color w:val="auto"/>
                <w:kern w:val="2"/>
                <w:sz w:val="21"/>
                <w:szCs w:val="21"/>
                <w:highlight w:val="none"/>
                <w:lang w:val="en-US" w:eastAsia="zh-CN"/>
              </w:rPr>
              <w:t>7820000.00</w:t>
            </w:r>
            <w:r>
              <w:rPr>
                <w:rFonts w:hint="eastAsia" w:ascii="仿宋" w:hAnsi="仿宋" w:eastAsia="仿宋" w:cs="仿宋"/>
                <w:color w:val="auto"/>
                <w:kern w:val="2"/>
                <w:sz w:val="21"/>
                <w:szCs w:val="21"/>
                <w:highlight w:val="none"/>
                <w:lang w:eastAsia="zh-CN"/>
              </w:rPr>
              <w:t>元；第二包：人民币</w:t>
            </w:r>
            <w:r>
              <w:rPr>
                <w:rFonts w:hint="eastAsia" w:ascii="仿宋" w:hAnsi="仿宋" w:eastAsia="仿宋" w:cs="仿宋"/>
                <w:color w:val="auto"/>
                <w:kern w:val="2"/>
                <w:sz w:val="21"/>
                <w:szCs w:val="21"/>
                <w:highlight w:val="none"/>
                <w:lang w:val="en-US" w:eastAsia="zh-CN"/>
              </w:rPr>
              <w:t>3700000.00</w:t>
            </w:r>
            <w:r>
              <w:rPr>
                <w:rFonts w:hint="eastAsia" w:ascii="仿宋" w:hAnsi="仿宋" w:eastAsia="仿宋" w:cs="仿宋"/>
                <w:color w:val="auto"/>
                <w:kern w:val="2"/>
                <w:sz w:val="21"/>
                <w:szCs w:val="21"/>
                <w:highlight w:val="none"/>
                <w:lang w:eastAsia="zh-CN"/>
              </w:rPr>
              <w:t>元）；</w:t>
            </w:r>
          </w:p>
          <w:p>
            <w:pPr>
              <w:pStyle w:val="19"/>
              <w:snapToGrid w:val="0"/>
              <w:spacing w:after="0" w:line="360" w:lineRule="auto"/>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超过预算金额的投标为无效投标</w:t>
            </w:r>
            <w:r>
              <w:rPr>
                <w:rFonts w:hint="eastAsia" w:ascii="仿宋" w:hAnsi="仿宋" w:eastAsia="仿宋" w:cs="仿宋"/>
                <w:color w:val="auto"/>
                <w:kern w:val="2"/>
                <w:sz w:val="21"/>
                <w:szCs w:val="21"/>
                <w:highlight w:val="none"/>
                <w:lang w:eastAsia="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10" w:hRule="atLeast"/>
          <w:jc w:val="center"/>
        </w:trPr>
        <w:tc>
          <w:tcPr>
            <w:tcW w:w="555" w:type="dxa"/>
            <w:vMerge w:val="continue"/>
            <w:noWrap w:val="0"/>
            <w:vAlign w:val="center"/>
          </w:tcPr>
          <w:p>
            <w:pPr>
              <w:pStyle w:val="19"/>
              <w:snapToGrid w:val="0"/>
              <w:spacing w:after="0" w:line="360" w:lineRule="auto"/>
              <w:rPr>
                <w:rFonts w:hint="eastAsia" w:ascii="仿宋" w:hAnsi="仿宋" w:eastAsia="仿宋" w:cs="仿宋"/>
                <w:color w:val="auto"/>
                <w:sz w:val="21"/>
                <w:szCs w:val="21"/>
                <w:highlight w:val="none"/>
                <w:lang w:val="zh-CN"/>
              </w:rPr>
            </w:pPr>
          </w:p>
        </w:tc>
        <w:tc>
          <w:tcPr>
            <w:tcW w:w="1666" w:type="dxa"/>
            <w:tcBorders>
              <w:top w:val="single" w:color="auto" w:sz="4" w:space="0"/>
            </w:tcBorders>
            <w:noWrap w:val="0"/>
            <w:vAlign w:val="center"/>
          </w:tcPr>
          <w:p>
            <w:pPr>
              <w:pStyle w:val="19"/>
              <w:snapToGrid w:val="0"/>
              <w:spacing w:after="0" w:line="36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最高限价</w:t>
            </w:r>
          </w:p>
          <w:p>
            <w:pPr>
              <w:pStyle w:val="19"/>
              <w:snapToGrid w:val="0"/>
              <w:spacing w:after="0" w:line="36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sz w:val="21"/>
                <w:szCs w:val="21"/>
                <w:highlight w:val="none"/>
              </w:rPr>
              <w:t>（实质性要求）</w:t>
            </w:r>
          </w:p>
        </w:tc>
        <w:tc>
          <w:tcPr>
            <w:tcW w:w="7133" w:type="dxa"/>
            <w:tcBorders>
              <w:top w:val="single" w:color="auto" w:sz="4" w:space="0"/>
            </w:tcBorders>
            <w:noWrap w:val="0"/>
            <w:vAlign w:val="top"/>
          </w:tcPr>
          <w:p>
            <w:pPr>
              <w:pStyle w:val="19"/>
              <w:snapToGrid w:val="0"/>
              <w:spacing w:after="0" w:line="360" w:lineRule="auto"/>
              <w:rPr>
                <w:rFonts w:hint="eastAsia" w:ascii="仿宋" w:hAnsi="仿宋" w:eastAsia="仿宋" w:cs="仿宋"/>
                <w:color w:val="auto"/>
                <w:kern w:val="2"/>
                <w:sz w:val="21"/>
                <w:szCs w:val="21"/>
                <w:highlight w:val="none"/>
                <w:lang w:eastAsia="zh-CN"/>
              </w:rPr>
            </w:pPr>
            <w:r>
              <w:rPr>
                <w:rFonts w:hint="eastAsia" w:ascii="仿宋" w:hAnsi="仿宋" w:eastAsia="仿宋" w:cs="仿宋"/>
                <w:color w:val="auto"/>
                <w:kern w:val="2"/>
                <w:sz w:val="21"/>
                <w:szCs w:val="21"/>
                <w:highlight w:val="none"/>
              </w:rPr>
              <w:t>最高限价：</w:t>
            </w:r>
            <w:r>
              <w:rPr>
                <w:rFonts w:hint="eastAsia" w:ascii="仿宋" w:hAnsi="仿宋" w:eastAsia="仿宋" w:cs="仿宋"/>
                <w:color w:val="auto"/>
                <w:kern w:val="2"/>
                <w:sz w:val="21"/>
                <w:szCs w:val="21"/>
                <w:highlight w:val="none"/>
                <w:lang w:eastAsia="zh-CN"/>
              </w:rPr>
              <w:t>人民币</w:t>
            </w:r>
            <w:r>
              <w:rPr>
                <w:rFonts w:hint="eastAsia" w:ascii="仿宋" w:hAnsi="仿宋" w:eastAsia="仿宋" w:cs="仿宋"/>
                <w:color w:val="auto"/>
                <w:kern w:val="2"/>
                <w:sz w:val="21"/>
                <w:szCs w:val="21"/>
                <w:highlight w:val="none"/>
                <w:lang w:val="en-US" w:eastAsia="zh-CN"/>
              </w:rPr>
              <w:t>11520000.00</w:t>
            </w:r>
            <w:r>
              <w:rPr>
                <w:rFonts w:hint="eastAsia" w:ascii="仿宋" w:hAnsi="仿宋" w:eastAsia="仿宋" w:cs="仿宋"/>
                <w:color w:val="auto"/>
                <w:kern w:val="2"/>
                <w:sz w:val="21"/>
                <w:szCs w:val="21"/>
                <w:highlight w:val="none"/>
                <w:lang w:eastAsia="zh-CN"/>
              </w:rPr>
              <w:t>万元（第一包：人民币</w:t>
            </w:r>
            <w:r>
              <w:rPr>
                <w:rFonts w:hint="eastAsia" w:ascii="仿宋" w:hAnsi="仿宋" w:eastAsia="仿宋" w:cs="仿宋"/>
                <w:color w:val="auto"/>
                <w:kern w:val="2"/>
                <w:sz w:val="21"/>
                <w:szCs w:val="21"/>
                <w:highlight w:val="none"/>
                <w:lang w:val="en-US" w:eastAsia="zh-CN"/>
              </w:rPr>
              <w:t>7820000.00</w:t>
            </w:r>
            <w:r>
              <w:rPr>
                <w:rFonts w:hint="eastAsia" w:ascii="仿宋" w:hAnsi="仿宋" w:eastAsia="仿宋" w:cs="仿宋"/>
                <w:color w:val="auto"/>
                <w:kern w:val="2"/>
                <w:sz w:val="21"/>
                <w:szCs w:val="21"/>
                <w:highlight w:val="none"/>
                <w:lang w:eastAsia="zh-CN"/>
              </w:rPr>
              <w:t>元；第二包：人民币</w:t>
            </w:r>
            <w:r>
              <w:rPr>
                <w:rFonts w:hint="eastAsia" w:ascii="仿宋" w:hAnsi="仿宋" w:eastAsia="仿宋" w:cs="仿宋"/>
                <w:color w:val="auto"/>
                <w:kern w:val="2"/>
                <w:sz w:val="21"/>
                <w:szCs w:val="21"/>
                <w:highlight w:val="none"/>
                <w:lang w:val="en-US" w:eastAsia="zh-CN"/>
              </w:rPr>
              <w:t>3700000.00</w:t>
            </w:r>
            <w:r>
              <w:rPr>
                <w:rFonts w:hint="eastAsia" w:ascii="仿宋" w:hAnsi="仿宋" w:eastAsia="仿宋" w:cs="仿宋"/>
                <w:color w:val="auto"/>
                <w:kern w:val="2"/>
                <w:sz w:val="21"/>
                <w:szCs w:val="21"/>
                <w:highlight w:val="none"/>
                <w:lang w:eastAsia="zh-CN"/>
              </w:rPr>
              <w:t>元）；</w:t>
            </w:r>
          </w:p>
          <w:p>
            <w:pPr>
              <w:pStyle w:val="19"/>
              <w:snapToGrid w:val="0"/>
              <w:spacing w:after="0" w:line="360" w:lineRule="auto"/>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超过最高限价的投标为无效投标。</w:t>
            </w:r>
          </w:p>
          <w:p>
            <w:pPr>
              <w:pStyle w:val="19"/>
              <w:snapToGrid w:val="0"/>
              <w:spacing w:after="0" w:line="360" w:lineRule="auto"/>
              <w:rPr>
                <w:rFonts w:hint="eastAsia" w:ascii="仿宋" w:hAnsi="仿宋" w:eastAsia="仿宋" w:cs="仿宋"/>
                <w:color w:val="auto"/>
                <w:kern w:val="2"/>
                <w:sz w:val="21"/>
                <w:szCs w:val="21"/>
                <w:highlight w:val="none"/>
                <w:lang w:val="en-US" w:eastAsia="zh-CN"/>
              </w:rPr>
            </w:pPr>
            <w:r>
              <w:rPr>
                <w:rFonts w:hint="eastAsia" w:ascii="仿宋" w:hAnsi="仿宋" w:eastAsia="仿宋" w:cs="仿宋"/>
                <w:color w:val="auto"/>
                <w:kern w:val="2"/>
                <w:sz w:val="21"/>
                <w:szCs w:val="21"/>
                <w:highlight w:val="none"/>
              </w:rPr>
              <w:t>最高</w:t>
            </w:r>
            <w:r>
              <w:rPr>
                <w:rFonts w:hint="eastAsia" w:ascii="仿宋" w:hAnsi="仿宋" w:eastAsia="仿宋" w:cs="仿宋"/>
                <w:color w:val="auto"/>
                <w:kern w:val="2"/>
                <w:sz w:val="21"/>
                <w:szCs w:val="21"/>
                <w:highlight w:val="none"/>
                <w:lang w:val="en-US" w:eastAsia="zh-CN"/>
              </w:rPr>
              <w:t>单价</w:t>
            </w:r>
            <w:r>
              <w:rPr>
                <w:rFonts w:hint="eastAsia" w:ascii="仿宋" w:hAnsi="仿宋" w:eastAsia="仿宋" w:cs="仿宋"/>
                <w:color w:val="auto"/>
                <w:kern w:val="2"/>
                <w:sz w:val="21"/>
                <w:szCs w:val="21"/>
                <w:highlight w:val="none"/>
              </w:rPr>
              <w:t>限价</w:t>
            </w:r>
            <w:r>
              <w:rPr>
                <w:rFonts w:hint="eastAsia" w:ascii="仿宋" w:hAnsi="仿宋" w:eastAsia="仿宋" w:cs="仿宋"/>
                <w:color w:val="auto"/>
                <w:kern w:val="2"/>
                <w:sz w:val="21"/>
                <w:szCs w:val="21"/>
                <w:highlight w:val="none"/>
                <w:lang w:val="en-US" w:eastAsia="zh-CN"/>
              </w:rPr>
              <w:t>详见第四章。</w:t>
            </w:r>
          </w:p>
          <w:p>
            <w:pPr>
              <w:pStyle w:val="19"/>
              <w:snapToGrid w:val="0"/>
              <w:spacing w:after="0" w:line="360" w:lineRule="auto"/>
              <w:rPr>
                <w:rFonts w:hint="eastAsia" w:ascii="仿宋" w:hAnsi="仿宋" w:eastAsia="仿宋" w:cs="仿宋"/>
                <w:color w:val="auto"/>
                <w:kern w:val="2"/>
                <w:sz w:val="21"/>
                <w:szCs w:val="21"/>
                <w:highlight w:val="none"/>
                <w:lang w:val="en-US" w:eastAsia="zh-CN"/>
              </w:rPr>
            </w:pPr>
            <w:r>
              <w:rPr>
                <w:rFonts w:hint="eastAsia" w:ascii="仿宋" w:hAnsi="仿宋" w:eastAsia="仿宋" w:cs="仿宋"/>
                <w:color w:val="auto"/>
                <w:kern w:val="2"/>
                <w:sz w:val="21"/>
                <w:szCs w:val="21"/>
                <w:highlight w:val="none"/>
              </w:rPr>
              <w:t>超过最高</w:t>
            </w:r>
            <w:r>
              <w:rPr>
                <w:rFonts w:hint="eastAsia" w:ascii="仿宋" w:hAnsi="仿宋" w:eastAsia="仿宋" w:cs="仿宋"/>
                <w:color w:val="auto"/>
                <w:kern w:val="2"/>
                <w:sz w:val="21"/>
                <w:szCs w:val="21"/>
                <w:highlight w:val="none"/>
                <w:lang w:val="en-US" w:eastAsia="zh-CN"/>
              </w:rPr>
              <w:t>单价</w:t>
            </w:r>
            <w:r>
              <w:rPr>
                <w:rFonts w:hint="eastAsia" w:ascii="仿宋" w:hAnsi="仿宋" w:eastAsia="仿宋" w:cs="仿宋"/>
                <w:color w:val="auto"/>
                <w:kern w:val="2"/>
                <w:sz w:val="21"/>
                <w:szCs w:val="21"/>
                <w:highlight w:val="none"/>
              </w:rPr>
              <w:t>限价的投标为无效投标。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55" w:type="dxa"/>
            <w:vMerge w:val="continue"/>
            <w:noWrap w:val="0"/>
            <w:vAlign w:val="center"/>
          </w:tcPr>
          <w:p>
            <w:pPr>
              <w:adjustRightInd w:val="0"/>
              <w:snapToGrid w:val="0"/>
              <w:spacing w:after="0" w:line="360" w:lineRule="auto"/>
              <w:ind w:firstLine="105" w:firstLineChars="50"/>
              <w:jc w:val="center"/>
              <w:rPr>
                <w:rFonts w:hint="eastAsia" w:ascii="仿宋" w:hAnsi="仿宋" w:eastAsia="仿宋" w:cs="仿宋"/>
                <w:color w:val="auto"/>
                <w:szCs w:val="21"/>
                <w:highlight w:val="none"/>
              </w:rPr>
            </w:pPr>
          </w:p>
        </w:tc>
        <w:tc>
          <w:tcPr>
            <w:tcW w:w="1666" w:type="dxa"/>
            <w:tcBorders>
              <w:right w:val="single" w:color="auto" w:sz="4" w:space="0"/>
            </w:tcBorders>
            <w:noWrap w:val="0"/>
            <w:vAlign w:val="center"/>
          </w:tcPr>
          <w:p>
            <w:pPr>
              <w:pStyle w:val="82"/>
              <w:snapToGrid w:val="0"/>
              <w:spacing w:after="0"/>
              <w:ind w:firstLine="0" w:firstLineChars="0"/>
              <w:jc w:val="center"/>
              <w:rPr>
                <w:rFonts w:hint="eastAsia" w:ascii="仿宋" w:hAnsi="仿宋" w:eastAsia="仿宋" w:cs="仿宋"/>
                <w:bCs/>
                <w:color w:val="auto"/>
                <w:sz w:val="21"/>
                <w:szCs w:val="21"/>
                <w:highlight w:val="none"/>
              </w:rPr>
            </w:pPr>
            <w:r>
              <w:rPr>
                <w:rFonts w:hint="eastAsia" w:ascii="仿宋" w:hAnsi="仿宋" w:eastAsia="仿宋" w:cs="仿宋"/>
                <w:color w:val="auto"/>
                <w:sz w:val="21"/>
                <w:szCs w:val="21"/>
                <w:highlight w:val="none"/>
              </w:rPr>
              <w:t>是否专门面向中小企业</w:t>
            </w:r>
          </w:p>
        </w:tc>
        <w:tc>
          <w:tcPr>
            <w:tcW w:w="7133" w:type="dxa"/>
            <w:tcBorders>
              <w:left w:val="single" w:color="auto" w:sz="4" w:space="0"/>
            </w:tcBorders>
            <w:noWrap w:val="0"/>
            <w:vAlign w:val="center"/>
          </w:tcPr>
          <w:p>
            <w:pPr>
              <w:pStyle w:val="19"/>
              <w:snapToGrid w:val="0"/>
              <w:spacing w:after="0" w:line="360" w:lineRule="auto"/>
              <w:jc w:val="both"/>
              <w:rPr>
                <w:rFonts w:hint="eastAsia" w:ascii="仿宋" w:hAnsi="仿宋" w:eastAsia="仿宋" w:cs="仿宋"/>
                <w:bCs/>
                <w:color w:val="auto"/>
                <w:kern w:val="2"/>
                <w:sz w:val="21"/>
                <w:szCs w:val="21"/>
                <w:highlight w:val="none"/>
                <w:lang w:val="en-US" w:eastAsia="zh-CN"/>
              </w:rPr>
            </w:pPr>
            <w:r>
              <w:rPr>
                <w:rFonts w:hint="eastAsia" w:ascii="仿宋" w:hAnsi="仿宋" w:eastAsia="仿宋" w:cs="仿宋"/>
                <w:bCs/>
                <w:color w:val="auto"/>
                <w:kern w:val="2"/>
                <w:sz w:val="21"/>
                <w:szCs w:val="21"/>
                <w:highlight w:val="none"/>
                <w:lang w:val="en-US" w:eastAsia="zh-CN"/>
              </w:rPr>
              <w:t>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55" w:type="dxa"/>
            <w:vMerge w:val="continue"/>
            <w:noWrap w:val="0"/>
            <w:vAlign w:val="center"/>
          </w:tcPr>
          <w:p>
            <w:pPr>
              <w:adjustRightInd w:val="0"/>
              <w:snapToGrid w:val="0"/>
              <w:spacing w:after="0" w:line="360" w:lineRule="auto"/>
              <w:ind w:firstLine="105" w:firstLineChars="50"/>
              <w:jc w:val="center"/>
              <w:rPr>
                <w:rFonts w:hint="eastAsia" w:ascii="仿宋" w:hAnsi="仿宋" w:eastAsia="仿宋" w:cs="仿宋"/>
                <w:color w:val="auto"/>
                <w:szCs w:val="21"/>
                <w:highlight w:val="none"/>
              </w:rPr>
            </w:pPr>
          </w:p>
        </w:tc>
        <w:tc>
          <w:tcPr>
            <w:tcW w:w="1666" w:type="dxa"/>
            <w:tcBorders>
              <w:right w:val="single" w:color="auto" w:sz="4" w:space="0"/>
            </w:tcBorders>
            <w:noWrap w:val="0"/>
            <w:vAlign w:val="center"/>
          </w:tcPr>
          <w:p>
            <w:pPr>
              <w:pStyle w:val="82"/>
              <w:snapToGrid w:val="0"/>
              <w:spacing w:after="0"/>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bCs/>
                <w:color w:val="auto"/>
                <w:sz w:val="21"/>
                <w:szCs w:val="21"/>
                <w:highlight w:val="none"/>
              </w:rPr>
              <w:t>本项目中小企业划分所属行业</w:t>
            </w:r>
          </w:p>
        </w:tc>
        <w:tc>
          <w:tcPr>
            <w:tcW w:w="7133" w:type="dxa"/>
            <w:tcBorders>
              <w:left w:val="single" w:color="auto" w:sz="4" w:space="0"/>
            </w:tcBorders>
            <w:noWrap w:val="0"/>
            <w:vAlign w:val="center"/>
          </w:tcPr>
          <w:p>
            <w:pPr>
              <w:pStyle w:val="19"/>
              <w:snapToGrid w:val="0"/>
              <w:spacing w:after="0" w:line="360" w:lineRule="auto"/>
              <w:jc w:val="both"/>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工业</w:t>
            </w:r>
            <w:r>
              <w:rPr>
                <w:rFonts w:hint="eastAsia" w:ascii="仿宋" w:hAnsi="仿宋" w:eastAsia="仿宋" w:cs="仿宋"/>
                <w:bCs/>
                <w:color w:val="auto"/>
                <w:kern w:val="2"/>
                <w:sz w:val="21"/>
                <w:szCs w:val="21"/>
                <w:highlight w:val="none"/>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55" w:type="dxa"/>
            <w:noWrap w:val="0"/>
            <w:vAlign w:val="center"/>
          </w:tcPr>
          <w:p>
            <w:pPr>
              <w:pStyle w:val="19"/>
              <w:snapToGrid w:val="0"/>
              <w:spacing w:after="0"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1666" w:type="dxa"/>
            <w:noWrap w:val="0"/>
            <w:vAlign w:val="center"/>
          </w:tcPr>
          <w:p>
            <w:pPr>
              <w:pStyle w:val="19"/>
              <w:snapToGrid w:val="0"/>
              <w:spacing w:after="0"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履约时间和履约地点</w:t>
            </w:r>
          </w:p>
        </w:tc>
        <w:tc>
          <w:tcPr>
            <w:tcW w:w="7133" w:type="dxa"/>
            <w:noWrap w:val="0"/>
            <w:vAlign w:val="center"/>
          </w:tcPr>
          <w:p>
            <w:pPr>
              <w:pStyle w:val="19"/>
              <w:snapToGrid w:val="0"/>
              <w:spacing w:after="0" w:line="360" w:lineRule="auto"/>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1.履约时间：详见招标文件第</w:t>
            </w:r>
            <w:r>
              <w:rPr>
                <w:rFonts w:hint="eastAsia" w:ascii="仿宋" w:hAnsi="仿宋" w:eastAsia="仿宋" w:cs="仿宋"/>
                <w:color w:val="auto"/>
                <w:sz w:val="21"/>
                <w:szCs w:val="21"/>
                <w:highlight w:val="none"/>
                <w:lang w:eastAsia="zh-CN"/>
              </w:rPr>
              <w:t>四</w:t>
            </w:r>
            <w:r>
              <w:rPr>
                <w:rFonts w:hint="eastAsia" w:ascii="仿宋" w:hAnsi="仿宋" w:eastAsia="仿宋" w:cs="仿宋"/>
                <w:color w:val="auto"/>
                <w:sz w:val="21"/>
                <w:szCs w:val="21"/>
                <w:highlight w:val="none"/>
              </w:rPr>
              <w:t>章。</w:t>
            </w:r>
          </w:p>
          <w:p>
            <w:pPr>
              <w:pStyle w:val="19"/>
              <w:snapToGrid w:val="0"/>
              <w:spacing w:after="0" w:line="360" w:lineRule="auto"/>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2.履约地点：详见招标文件第</w:t>
            </w:r>
            <w:r>
              <w:rPr>
                <w:rFonts w:hint="eastAsia" w:ascii="仿宋" w:hAnsi="仿宋" w:eastAsia="仿宋" w:cs="仿宋"/>
                <w:color w:val="auto"/>
                <w:sz w:val="21"/>
                <w:szCs w:val="21"/>
                <w:highlight w:val="none"/>
                <w:lang w:eastAsia="zh-CN"/>
              </w:rPr>
              <w:t>四</w:t>
            </w:r>
            <w:r>
              <w:rPr>
                <w:rFonts w:hint="eastAsia" w:ascii="仿宋" w:hAnsi="仿宋" w:eastAsia="仿宋" w:cs="仿宋"/>
                <w:color w:val="auto"/>
                <w:sz w:val="21"/>
                <w:szCs w:val="21"/>
                <w:highlight w:val="none"/>
              </w:rPr>
              <w:t>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55" w:type="dxa"/>
            <w:noWrap w:val="0"/>
            <w:vAlign w:val="center"/>
          </w:tcPr>
          <w:p>
            <w:pPr>
              <w:pStyle w:val="19"/>
              <w:snapToGrid w:val="0"/>
              <w:spacing w:after="0" w:line="360" w:lineRule="auto"/>
              <w:jc w:val="center"/>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3</w:t>
            </w:r>
          </w:p>
        </w:tc>
        <w:tc>
          <w:tcPr>
            <w:tcW w:w="1666" w:type="dxa"/>
            <w:noWrap w:val="0"/>
            <w:vAlign w:val="center"/>
          </w:tcPr>
          <w:p>
            <w:pPr>
              <w:pStyle w:val="19"/>
              <w:snapToGrid w:val="0"/>
              <w:spacing w:after="0" w:line="36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低于成本价不正当竞争预防措施</w:t>
            </w:r>
          </w:p>
          <w:p>
            <w:pPr>
              <w:pStyle w:val="19"/>
              <w:snapToGrid w:val="0"/>
              <w:spacing w:after="0" w:line="36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sz w:val="21"/>
                <w:szCs w:val="21"/>
                <w:highlight w:val="none"/>
              </w:rPr>
              <w:t>（实质性要求）</w:t>
            </w:r>
          </w:p>
        </w:tc>
        <w:tc>
          <w:tcPr>
            <w:tcW w:w="7133" w:type="dxa"/>
            <w:noWrap w:val="0"/>
            <w:vAlign w:val="center"/>
          </w:tcPr>
          <w:p>
            <w:pPr>
              <w:pStyle w:val="19"/>
              <w:snapToGrid w:val="0"/>
              <w:spacing w:after="0"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在评标过程中，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供应商书面说明应当按照国家财务会计制度的规定要求，逐项就供应商提供的货物、工程和服务的主营业务成本（应根据供应商企业类型予以区别）、税金及附加、销售费用、管理费用、财务费用等成本构成事项详细陈述。</w:t>
            </w:r>
          </w:p>
          <w:p>
            <w:pPr>
              <w:pStyle w:val="19"/>
              <w:snapToGrid w:val="0"/>
              <w:spacing w:after="0"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pStyle w:val="19"/>
              <w:snapToGrid w:val="0"/>
              <w:spacing w:after="0" w:line="360" w:lineRule="auto"/>
              <w:jc w:val="both"/>
              <w:rPr>
                <w:rFonts w:hint="eastAsia" w:ascii="仿宋" w:hAnsi="仿宋" w:eastAsia="仿宋" w:cs="仿宋"/>
                <w:color w:val="auto"/>
                <w:kern w:val="2"/>
                <w:sz w:val="21"/>
                <w:szCs w:val="21"/>
                <w:highlight w:val="none"/>
              </w:rPr>
            </w:pPr>
            <w:r>
              <w:rPr>
                <w:rFonts w:hint="eastAsia" w:ascii="仿宋" w:hAnsi="仿宋" w:eastAsia="仿宋" w:cs="仿宋"/>
                <w:color w:val="auto"/>
                <w:sz w:val="21"/>
                <w:szCs w:val="21"/>
                <w:highlight w:val="none"/>
              </w:rPr>
              <w:t>3.供应商提供书面说明后，评标委员会应当结合采购项目采购需求、专业实际情况、供应商财务状况报告、与其他供应商比较情况等就供应商书面说明进行审查评价。供应商拒绝或者变相拒绝提供有效书面说明或者书面说明不能证明其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55" w:type="dxa"/>
            <w:noWrap w:val="0"/>
            <w:vAlign w:val="center"/>
          </w:tcPr>
          <w:p>
            <w:pPr>
              <w:pStyle w:val="19"/>
              <w:snapToGrid w:val="0"/>
              <w:spacing w:after="0" w:line="360" w:lineRule="auto"/>
              <w:jc w:val="center"/>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4</w:t>
            </w:r>
          </w:p>
        </w:tc>
        <w:tc>
          <w:tcPr>
            <w:tcW w:w="1666" w:type="dxa"/>
            <w:noWrap w:val="0"/>
            <w:vAlign w:val="center"/>
          </w:tcPr>
          <w:p>
            <w:pPr>
              <w:pStyle w:val="19"/>
              <w:snapToGrid w:val="0"/>
              <w:spacing w:after="0" w:line="360" w:lineRule="auto"/>
              <w:jc w:val="center"/>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进口产品</w:t>
            </w:r>
          </w:p>
          <w:p>
            <w:pPr>
              <w:pStyle w:val="19"/>
              <w:snapToGrid w:val="0"/>
              <w:spacing w:after="0" w:line="360" w:lineRule="auto"/>
              <w:jc w:val="center"/>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（实质性要求）</w:t>
            </w:r>
          </w:p>
        </w:tc>
        <w:tc>
          <w:tcPr>
            <w:tcW w:w="7133" w:type="dxa"/>
            <w:noWrap w:val="0"/>
            <w:vAlign w:val="center"/>
          </w:tcPr>
          <w:p>
            <w:pPr>
              <w:pStyle w:val="19"/>
              <w:numPr>
                <w:ilvl w:val="0"/>
                <w:numId w:val="0"/>
              </w:numPr>
              <w:snapToGrid w:val="0"/>
              <w:spacing w:after="0" w:line="360" w:lineRule="auto"/>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本项目招标文件中未载明“允许采购进口产品”的产品，视为拒绝进口产品参与竞争，供应商以进口产品投标时，将按无效投标处理。载明“允许采购进口产品”的产品，不限制国产产品参与竞争。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55" w:type="dxa"/>
            <w:noWrap w:val="0"/>
            <w:vAlign w:val="center"/>
          </w:tcPr>
          <w:p>
            <w:pPr>
              <w:pStyle w:val="19"/>
              <w:snapToGrid w:val="0"/>
              <w:spacing w:after="0"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c>
          <w:tcPr>
            <w:tcW w:w="1666" w:type="dxa"/>
            <w:noWrap w:val="0"/>
            <w:vAlign w:val="center"/>
          </w:tcPr>
          <w:p>
            <w:pPr>
              <w:adjustRightInd w:val="0"/>
              <w:snapToGrid w:val="0"/>
              <w:spacing w:after="0"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政府采购节能、环境标志产品（实质性要求）</w:t>
            </w:r>
          </w:p>
        </w:tc>
        <w:tc>
          <w:tcPr>
            <w:tcW w:w="7133" w:type="dxa"/>
            <w:noWrap w:val="0"/>
            <w:vAlign w:val="center"/>
          </w:tcPr>
          <w:p>
            <w:pPr>
              <w:pStyle w:val="19"/>
              <w:snapToGrid w:val="0"/>
              <w:spacing w:after="0" w:line="360" w:lineRule="auto"/>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一、节能、环保产品政府采购政策：</w:t>
            </w:r>
          </w:p>
          <w:p>
            <w:pPr>
              <w:pStyle w:val="19"/>
              <w:snapToGrid w:val="0"/>
              <w:spacing w:after="0" w:line="360" w:lineRule="auto"/>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pStyle w:val="19"/>
              <w:snapToGrid w:val="0"/>
              <w:spacing w:after="0" w:line="360" w:lineRule="auto"/>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本项目采购的产品属于品目清单强制采购范围的，供应商应按上述要求提供产品认证证书复印件并加盖供应商单位公章（鲜章），否则投标无效。（实质性要求）</w:t>
            </w:r>
          </w:p>
          <w:p>
            <w:pPr>
              <w:pStyle w:val="19"/>
              <w:snapToGrid w:val="0"/>
              <w:spacing w:after="0" w:line="360" w:lineRule="auto"/>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本项目采购的产品属于品目清单优先采购范围的，按照《综合评分明细表》的规则进行加分。</w:t>
            </w:r>
          </w:p>
          <w:p>
            <w:pPr>
              <w:pStyle w:val="19"/>
              <w:snapToGrid w:val="0"/>
              <w:spacing w:after="0" w:line="360" w:lineRule="auto"/>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注：对政府采购节能产品、环境标志产品实施品目清单管理。财政部、发展改革委、生态环境部等部门确定实施政府优先采购和强制采购的产品类别，以品目清单的形式发布并适时调整。</w:t>
            </w:r>
          </w:p>
          <w:p>
            <w:pPr>
              <w:pStyle w:val="19"/>
              <w:snapToGrid w:val="0"/>
              <w:spacing w:after="0" w:line="360" w:lineRule="auto"/>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二、无线局域网产品政府采购政策：</w:t>
            </w:r>
          </w:p>
          <w:p>
            <w:pPr>
              <w:pStyle w:val="19"/>
              <w:snapToGrid w:val="0"/>
              <w:spacing w:after="0" w:line="360" w:lineRule="auto"/>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本项目采购的产品属于中国政府采购网公布的《无线局域网认证产品政府采购清单》的，按照《综合评分明细表》的规则进行加分。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55" w:type="dxa"/>
            <w:noWrap w:val="0"/>
            <w:vAlign w:val="center"/>
          </w:tcPr>
          <w:p>
            <w:pPr>
              <w:pStyle w:val="19"/>
              <w:snapToGrid w:val="0"/>
              <w:spacing w:after="0"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w:t>
            </w:r>
          </w:p>
        </w:tc>
        <w:tc>
          <w:tcPr>
            <w:tcW w:w="1666" w:type="dxa"/>
            <w:noWrap w:val="0"/>
            <w:vAlign w:val="center"/>
          </w:tcPr>
          <w:p>
            <w:pPr>
              <w:pStyle w:val="19"/>
              <w:snapToGrid w:val="0"/>
              <w:spacing w:after="0" w:line="360" w:lineRule="auto"/>
              <w:jc w:val="center"/>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政府采购扶持政策（实质性要求）（</w:t>
            </w:r>
            <w:r>
              <w:rPr>
                <w:rFonts w:hint="eastAsia" w:ascii="仿宋" w:hAnsi="仿宋" w:eastAsia="仿宋" w:cs="仿宋"/>
                <w:color w:val="auto"/>
                <w:sz w:val="21"/>
                <w:szCs w:val="21"/>
                <w:highlight w:val="none"/>
                <w:lang w:val="en-US" w:eastAsia="zh-CN"/>
              </w:rPr>
              <w:t>如涉及</w:t>
            </w:r>
            <w:r>
              <w:rPr>
                <w:rFonts w:hint="eastAsia" w:ascii="仿宋" w:hAnsi="仿宋" w:eastAsia="仿宋" w:cs="仿宋"/>
                <w:color w:val="auto"/>
                <w:sz w:val="21"/>
                <w:szCs w:val="21"/>
                <w:highlight w:val="none"/>
                <w:lang w:val="zh-CN"/>
              </w:rPr>
              <w:t>）</w:t>
            </w:r>
          </w:p>
        </w:tc>
        <w:tc>
          <w:tcPr>
            <w:tcW w:w="7133" w:type="dxa"/>
            <w:noWrap w:val="0"/>
            <w:vAlign w:val="center"/>
          </w:tcPr>
          <w:p>
            <w:pPr>
              <w:adjustRightInd w:val="0"/>
              <w:snapToGrid w:val="0"/>
              <w:spacing w:after="0" w:line="360" w:lineRule="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一、小微企业价格扣除</w:t>
            </w:r>
          </w:p>
          <w:p>
            <w:pPr>
              <w:adjustRightInd w:val="0"/>
              <w:snapToGrid w:val="0"/>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（一）根据《政府采购促进中小企业发展管理办法》财库〔2020〕46号文的规定，对小型和微型企业产品的价格给予10%的价格扣除，用扣除后的价格参与评审。</w:t>
            </w:r>
          </w:p>
          <w:p>
            <w:pPr>
              <w:adjustRightInd w:val="0"/>
              <w:snapToGrid w:val="0"/>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（二）参加政府采购活动的中小企业应当提供《中小企业声明函》原件。</w:t>
            </w:r>
          </w:p>
          <w:p>
            <w:pPr>
              <w:adjustRightInd w:val="0"/>
              <w:snapToGrid w:val="0"/>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（三）供应商参加政府采购活动时，提供虚假《中小企业声明函》的，以提供虚假材料谋取成交处理，并追究法律责任。</w:t>
            </w:r>
          </w:p>
          <w:p>
            <w:pPr>
              <w:adjustRightInd w:val="0"/>
              <w:snapToGrid w:val="0"/>
              <w:spacing w:after="0" w:line="360" w:lineRule="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二、支持监狱企业发展</w:t>
            </w:r>
          </w:p>
          <w:p>
            <w:pPr>
              <w:adjustRightInd w:val="0"/>
              <w:snapToGrid w:val="0"/>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（一）根据《财政部司法部关于政府采购支持监狱企业发展有关问题的通知》(财库〔2014〕68 号)的规定，在政府采购活动中，监狱企业视同小型、微型企业，享受预留份额、评审中价格扣除等政府采购促进中小企业发展的政府采购政策。</w:t>
            </w:r>
          </w:p>
          <w:p>
            <w:pPr>
              <w:adjustRightInd w:val="0"/>
              <w:snapToGrid w:val="0"/>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（二）本项目对监狱企业参与投标的价格给予10%的扣除，用扣除后的价格参与评审。</w:t>
            </w:r>
          </w:p>
          <w:p>
            <w:pPr>
              <w:adjustRightInd w:val="0"/>
              <w:snapToGrid w:val="0"/>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（三）监狱企业参加政府采购活动时，应当提供由省级以上监狱管理局、戒毒管理局(含新疆生产建设兵团)出具的属于监狱企业的证明文件。</w:t>
            </w:r>
          </w:p>
          <w:p>
            <w:pPr>
              <w:adjustRightInd w:val="0"/>
              <w:snapToGrid w:val="0"/>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（四）监狱企业属于小型、微型企业的，不重复享受政策。</w:t>
            </w:r>
          </w:p>
          <w:p>
            <w:pPr>
              <w:adjustRightInd w:val="0"/>
              <w:snapToGrid w:val="0"/>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（五）供应商参加政府采购活动时，提供虚假《监狱企业承诺》或材料的，以提供虚假材料谋取成交处理，并追究法律责任。</w:t>
            </w:r>
          </w:p>
          <w:p>
            <w:pPr>
              <w:adjustRightInd w:val="0"/>
              <w:snapToGrid w:val="0"/>
              <w:spacing w:after="0" w:line="360" w:lineRule="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三、促进残疾人就业</w:t>
            </w:r>
          </w:p>
          <w:p>
            <w:pPr>
              <w:adjustRightInd w:val="0"/>
              <w:snapToGrid w:val="0"/>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一）根据《三部门联合发布关于促进残疾人就业政府采购政策的通知》（财库〔2017〕141号）的规定，在政府采购活动中，残疾人福利性单位视同小型、微型企业，享受预留份额、评审中价格扣除等促进中小企业发展的政府采购政策。</w:t>
            </w:r>
          </w:p>
          <w:p>
            <w:pPr>
              <w:adjustRightInd w:val="0"/>
              <w:snapToGrid w:val="0"/>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（二）向残疾人福利性单位采购的金额，计入面向中小企业采购的统计数据。残疾人福利性单位属于小型、微型企业的，不重复享受政策（格式详见第三章）。</w:t>
            </w:r>
          </w:p>
          <w:p>
            <w:pPr>
              <w:adjustRightInd w:val="0"/>
              <w:snapToGrid w:val="0"/>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（三）本项目对残疾人福利性单位参与投标的价格给予10%的扣除，用扣除后的价格参与评审。</w:t>
            </w:r>
          </w:p>
          <w:p>
            <w:pPr>
              <w:adjustRightInd w:val="0"/>
              <w:snapToGrid w:val="0"/>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（四）残疾人福利性单位参加政府采购活动时，应当提供本通知规定的《残疾人福利性单位声明函》。</w:t>
            </w:r>
          </w:p>
          <w:p>
            <w:pPr>
              <w:adjustRightInd w:val="0"/>
              <w:snapToGrid w:val="0"/>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（五）供应商提供的《残疾人福利性单位声明函》与事实不符的，以提供虚假材料谋取成交处理，并追究法律责任。</w:t>
            </w:r>
          </w:p>
          <w:p>
            <w:pPr>
              <w:adjustRightInd w:val="0"/>
              <w:snapToGrid w:val="0"/>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（六）残疾人福利性单位属于小型、微型企业的，不重复享受政策。</w:t>
            </w:r>
          </w:p>
          <w:p>
            <w:pPr>
              <w:adjustRightInd w:val="0"/>
              <w:snapToGrid w:val="0"/>
              <w:spacing w:after="0" w:line="360" w:lineRule="auto"/>
              <w:rPr>
                <w:rFonts w:hint="eastAsia" w:ascii="仿宋" w:hAnsi="仿宋" w:eastAsia="仿宋" w:cs="仿宋"/>
                <w:color w:val="auto"/>
                <w:szCs w:val="21"/>
                <w:highlight w:val="none"/>
                <w:lang w:eastAsia="zh-CN"/>
              </w:rPr>
            </w:pPr>
            <w:r>
              <w:rPr>
                <w:rFonts w:hint="eastAsia" w:ascii="仿宋" w:hAnsi="仿宋" w:eastAsia="仿宋" w:cs="仿宋"/>
                <w:b/>
                <w:bCs/>
                <w:color w:val="auto"/>
                <w:szCs w:val="21"/>
                <w:highlight w:val="none"/>
              </w:rPr>
              <w:t>四、节能、环境标志产品：</w:t>
            </w:r>
            <w:r>
              <w:rPr>
                <w:rFonts w:hint="eastAsia" w:ascii="仿宋" w:hAnsi="仿宋" w:eastAsia="仿宋" w:cs="仿宋"/>
                <w:color w:val="auto"/>
                <w:szCs w:val="21"/>
                <w:highlight w:val="none"/>
              </w:rPr>
              <w:t>详见投标人须知附表序号</w:t>
            </w:r>
            <w:r>
              <w:rPr>
                <w:rFonts w:hint="eastAsia" w:ascii="仿宋" w:hAnsi="仿宋" w:eastAsia="仿宋" w:cs="仿宋"/>
                <w:color w:val="auto"/>
                <w:szCs w:val="21"/>
                <w:highlight w:val="none"/>
                <w:lang w:val="en-US" w:eastAsia="zh-CN"/>
              </w:rPr>
              <w:t>5</w:t>
            </w:r>
          </w:p>
          <w:p>
            <w:pPr>
              <w:pStyle w:val="23"/>
              <w:spacing w:after="0" w:line="360" w:lineRule="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五、无线局域网产品：</w:t>
            </w:r>
            <w:r>
              <w:rPr>
                <w:rFonts w:hint="eastAsia" w:ascii="仿宋" w:hAnsi="仿宋" w:eastAsia="仿宋" w:cs="仿宋"/>
                <w:color w:val="auto"/>
                <w:szCs w:val="21"/>
                <w:highlight w:val="none"/>
              </w:rPr>
              <w:t>本项目不涉及。</w:t>
            </w:r>
          </w:p>
          <w:p>
            <w:pPr>
              <w:pStyle w:val="23"/>
              <w:spacing w:after="0" w:line="360" w:lineRule="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六、政府采购扶持不发达地区和少数民族地区</w:t>
            </w:r>
          </w:p>
          <w:p>
            <w:pPr>
              <w:pStyle w:val="23"/>
              <w:spacing w:after="0"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采购项目将根据政策要求，给予参加本项目，注册地在不发达地区和少数民族地区的供应商适当加分。如未将其设定为加分项，将按同等条件下优先采购注册地在不发达地区和少数民族地区的供应商提供的服务的原则执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55" w:type="dxa"/>
            <w:noWrap w:val="0"/>
            <w:vAlign w:val="center"/>
          </w:tcPr>
          <w:p>
            <w:pPr>
              <w:pStyle w:val="19"/>
              <w:snapToGrid w:val="0"/>
              <w:spacing w:after="0" w:line="360" w:lineRule="auto"/>
              <w:jc w:val="center"/>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8</w:t>
            </w:r>
          </w:p>
        </w:tc>
        <w:tc>
          <w:tcPr>
            <w:tcW w:w="1666" w:type="dxa"/>
            <w:noWrap w:val="0"/>
            <w:vAlign w:val="center"/>
          </w:tcPr>
          <w:p>
            <w:pPr>
              <w:adjustRightInd w:val="0"/>
              <w:snapToGrid w:val="0"/>
              <w:spacing w:after="0"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采购方式</w:t>
            </w:r>
          </w:p>
        </w:tc>
        <w:tc>
          <w:tcPr>
            <w:tcW w:w="7133" w:type="dxa"/>
            <w:noWrap w:val="0"/>
            <w:vAlign w:val="center"/>
          </w:tcPr>
          <w:p>
            <w:pPr>
              <w:adjustRightInd w:val="0"/>
              <w:snapToGrid w:val="0"/>
              <w:spacing w:after="0" w:line="360" w:lineRule="auto"/>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555" w:type="dxa"/>
            <w:noWrap w:val="0"/>
            <w:vAlign w:val="center"/>
          </w:tcPr>
          <w:p>
            <w:pPr>
              <w:pStyle w:val="19"/>
              <w:snapToGrid w:val="0"/>
              <w:spacing w:after="0" w:line="360" w:lineRule="auto"/>
              <w:jc w:val="center"/>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9</w:t>
            </w:r>
          </w:p>
        </w:tc>
        <w:tc>
          <w:tcPr>
            <w:tcW w:w="1666" w:type="dxa"/>
            <w:noWrap w:val="0"/>
            <w:vAlign w:val="center"/>
          </w:tcPr>
          <w:p>
            <w:pPr>
              <w:adjustRightInd w:val="0"/>
              <w:snapToGrid w:val="0"/>
              <w:spacing w:after="0"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评标方法</w:t>
            </w:r>
          </w:p>
        </w:tc>
        <w:tc>
          <w:tcPr>
            <w:tcW w:w="7133" w:type="dxa"/>
            <w:noWrap w:val="0"/>
            <w:vAlign w:val="center"/>
          </w:tcPr>
          <w:p>
            <w:pPr>
              <w:adjustRightInd w:val="0"/>
              <w:snapToGrid w:val="0"/>
              <w:spacing w:after="0" w:line="360" w:lineRule="auto"/>
              <w:ind w:left="210" w:hanging="210" w:hangingChars="100"/>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综合评分法</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55" w:type="dxa"/>
            <w:noWrap w:val="0"/>
            <w:vAlign w:val="center"/>
          </w:tcPr>
          <w:p>
            <w:pPr>
              <w:pStyle w:val="19"/>
              <w:snapToGrid w:val="0"/>
              <w:spacing w:after="0" w:line="360" w:lineRule="auto"/>
              <w:jc w:val="center"/>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10</w:t>
            </w:r>
          </w:p>
        </w:tc>
        <w:tc>
          <w:tcPr>
            <w:tcW w:w="1666" w:type="dxa"/>
            <w:noWrap w:val="0"/>
            <w:vAlign w:val="center"/>
          </w:tcPr>
          <w:p>
            <w:pPr>
              <w:adjustRightInd w:val="0"/>
              <w:snapToGrid w:val="0"/>
              <w:spacing w:after="0" w:line="360" w:lineRule="auto"/>
              <w:jc w:val="center"/>
              <w:outlineLvl w:val="5"/>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是否接受</w:t>
            </w:r>
            <w:r>
              <w:rPr>
                <w:rFonts w:hint="eastAsia" w:ascii="仿宋" w:hAnsi="仿宋" w:eastAsia="仿宋" w:cs="仿宋"/>
                <w:color w:val="auto"/>
                <w:szCs w:val="21"/>
                <w:highlight w:val="none"/>
                <w:lang w:val="zh-CN" w:eastAsia="zh-TW"/>
              </w:rPr>
              <w:t>联合体</w:t>
            </w:r>
            <w:r>
              <w:rPr>
                <w:rFonts w:hint="eastAsia" w:ascii="仿宋" w:hAnsi="仿宋" w:eastAsia="仿宋" w:cs="仿宋"/>
                <w:color w:val="auto"/>
                <w:szCs w:val="21"/>
                <w:highlight w:val="none"/>
                <w:lang w:val="zh-CN"/>
              </w:rPr>
              <w:t>参加本项目投标</w:t>
            </w:r>
            <w:r>
              <w:rPr>
                <w:rFonts w:hint="eastAsia" w:ascii="仿宋" w:hAnsi="仿宋" w:eastAsia="仿宋" w:cs="仿宋"/>
                <w:color w:val="auto"/>
                <w:szCs w:val="21"/>
                <w:highlight w:val="none"/>
                <w:lang w:val="zh-TW"/>
              </w:rPr>
              <w:t>（</w:t>
            </w:r>
            <w:r>
              <w:rPr>
                <w:rFonts w:hint="eastAsia" w:ascii="仿宋" w:hAnsi="仿宋" w:eastAsia="仿宋" w:cs="仿宋"/>
                <w:color w:val="auto"/>
                <w:szCs w:val="21"/>
                <w:highlight w:val="none"/>
              </w:rPr>
              <w:t>实质性要求</w:t>
            </w:r>
            <w:r>
              <w:rPr>
                <w:rFonts w:hint="eastAsia" w:ascii="仿宋" w:hAnsi="仿宋" w:eastAsia="仿宋" w:cs="仿宋"/>
                <w:color w:val="auto"/>
                <w:szCs w:val="21"/>
                <w:highlight w:val="none"/>
                <w:lang w:val="zh-TW"/>
              </w:rPr>
              <w:t>）</w:t>
            </w:r>
          </w:p>
        </w:tc>
        <w:tc>
          <w:tcPr>
            <w:tcW w:w="7133" w:type="dxa"/>
            <w:noWrap w:val="0"/>
            <w:vAlign w:val="center"/>
          </w:tcPr>
          <w:p>
            <w:pPr>
              <w:pStyle w:val="30"/>
              <w:tabs>
                <w:tab w:val="left" w:pos="7665"/>
              </w:tabs>
              <w:adjustRightInd w:val="0"/>
              <w:snapToGrid w:val="0"/>
              <w:spacing w:after="0" w:line="360" w:lineRule="auto"/>
              <w:jc w:val="both"/>
              <w:rPr>
                <w:rFonts w:hint="eastAsia" w:ascii="仿宋" w:hAnsi="仿宋" w:eastAsia="仿宋" w:cs="仿宋"/>
                <w:bCs/>
                <w:color w:val="auto"/>
                <w:highlight w:val="none"/>
              </w:rPr>
            </w:pPr>
            <w:r>
              <w:rPr>
                <w:rFonts w:hint="eastAsia" w:ascii="仿宋" w:hAnsi="仿宋" w:eastAsia="仿宋" w:cs="仿宋"/>
                <w:bCs/>
                <w:color w:val="auto"/>
                <w:highlight w:val="none"/>
              </w:rPr>
              <w:sym w:font="Wingdings" w:char="00FE"/>
            </w:r>
            <w:r>
              <w:rPr>
                <w:rFonts w:hint="eastAsia" w:ascii="仿宋" w:hAnsi="仿宋" w:eastAsia="仿宋" w:cs="仿宋"/>
                <w:bCs/>
                <w:color w:val="auto"/>
                <w:highlight w:val="none"/>
              </w:rPr>
              <w:t>不接受；</w:t>
            </w:r>
          </w:p>
          <w:p>
            <w:pPr>
              <w:adjustRightInd w:val="0"/>
              <w:snapToGrid w:val="0"/>
              <w:spacing w:after="0" w:line="360" w:lineRule="auto"/>
              <w:outlineLvl w:val="5"/>
              <w:rPr>
                <w:rFonts w:hint="eastAsia" w:ascii="仿宋" w:hAnsi="仿宋" w:eastAsia="仿宋" w:cs="仿宋"/>
                <w:color w:val="auto"/>
                <w:szCs w:val="21"/>
                <w:highlight w:val="none"/>
                <w:lang w:val="zh-CN"/>
              </w:rPr>
            </w:pPr>
            <w:r>
              <w:rPr>
                <w:rFonts w:hint="eastAsia" w:ascii="仿宋" w:hAnsi="仿宋" w:eastAsia="仿宋" w:cs="仿宋"/>
                <w:bCs/>
                <w:color w:val="auto"/>
                <w:szCs w:val="21"/>
                <w:highlight w:val="none"/>
              </w:rPr>
              <w:sym w:font="Wingdings" w:char="00A8"/>
            </w:r>
            <w:r>
              <w:rPr>
                <w:rFonts w:hint="eastAsia" w:ascii="仿宋" w:hAnsi="仿宋" w:eastAsia="仿宋" w:cs="仿宋"/>
                <w:color w:val="auto"/>
                <w:szCs w:val="21"/>
                <w:highlight w:val="none"/>
                <w:lang w:val="zh-TW"/>
              </w:rPr>
              <w:t>接受。</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55" w:type="dxa"/>
            <w:noWrap w:val="0"/>
            <w:vAlign w:val="center"/>
          </w:tcPr>
          <w:p>
            <w:pPr>
              <w:pStyle w:val="19"/>
              <w:snapToGrid w:val="0"/>
              <w:spacing w:after="0" w:line="360" w:lineRule="auto"/>
              <w:jc w:val="center"/>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11</w:t>
            </w:r>
          </w:p>
        </w:tc>
        <w:tc>
          <w:tcPr>
            <w:tcW w:w="1666" w:type="dxa"/>
            <w:noWrap w:val="0"/>
            <w:vAlign w:val="center"/>
          </w:tcPr>
          <w:p>
            <w:pPr>
              <w:pStyle w:val="30"/>
              <w:tabs>
                <w:tab w:val="left" w:pos="7665"/>
              </w:tabs>
              <w:adjustRightInd w:val="0"/>
              <w:snapToGrid w:val="0"/>
              <w:spacing w:after="0" w:line="360" w:lineRule="auto"/>
              <w:jc w:val="center"/>
              <w:rPr>
                <w:rFonts w:hint="eastAsia" w:ascii="仿宋" w:hAnsi="仿宋" w:eastAsia="仿宋" w:cs="仿宋"/>
                <w:color w:val="auto"/>
                <w:highlight w:val="none"/>
                <w:lang w:val="zh-CN"/>
              </w:rPr>
            </w:pPr>
            <w:r>
              <w:rPr>
                <w:rFonts w:hint="eastAsia" w:ascii="仿宋" w:hAnsi="仿宋" w:eastAsia="仿宋" w:cs="仿宋"/>
                <w:color w:val="auto"/>
                <w:highlight w:val="none"/>
              </w:rPr>
              <w:t>是否组织</w:t>
            </w:r>
            <w:r>
              <w:rPr>
                <w:rFonts w:hint="eastAsia" w:ascii="仿宋" w:hAnsi="仿宋" w:eastAsia="仿宋" w:cs="仿宋"/>
                <w:color w:val="auto"/>
                <w:highlight w:val="none"/>
                <w:lang w:val="zh-TW" w:eastAsia="zh-TW"/>
              </w:rPr>
              <w:t>考察现场、标前答疑会</w:t>
            </w:r>
          </w:p>
        </w:tc>
        <w:tc>
          <w:tcPr>
            <w:tcW w:w="7133" w:type="dxa"/>
            <w:noWrap w:val="0"/>
            <w:vAlign w:val="center"/>
          </w:tcPr>
          <w:p>
            <w:pPr>
              <w:pStyle w:val="30"/>
              <w:tabs>
                <w:tab w:val="left" w:pos="7665"/>
              </w:tabs>
              <w:adjustRightInd w:val="0"/>
              <w:snapToGrid w:val="0"/>
              <w:spacing w:after="0" w:line="360" w:lineRule="auto"/>
              <w:jc w:val="both"/>
              <w:rPr>
                <w:rFonts w:hint="eastAsia" w:ascii="仿宋" w:hAnsi="仿宋" w:eastAsia="仿宋" w:cs="仿宋"/>
                <w:bCs/>
                <w:color w:val="auto"/>
                <w:highlight w:val="none"/>
              </w:rPr>
            </w:pPr>
            <w:r>
              <w:rPr>
                <w:rFonts w:hint="eastAsia" w:ascii="仿宋" w:hAnsi="仿宋" w:eastAsia="仿宋" w:cs="仿宋"/>
                <w:bCs/>
                <w:color w:val="auto"/>
                <w:highlight w:val="none"/>
              </w:rPr>
              <w:sym w:font="Wingdings" w:char="00FE"/>
            </w:r>
            <w:r>
              <w:rPr>
                <w:rFonts w:hint="eastAsia" w:ascii="仿宋" w:hAnsi="仿宋" w:eastAsia="仿宋" w:cs="仿宋"/>
                <w:bCs/>
                <w:color w:val="auto"/>
                <w:highlight w:val="none"/>
              </w:rPr>
              <w:t>不组织；</w:t>
            </w:r>
          </w:p>
          <w:p>
            <w:pPr>
              <w:pStyle w:val="30"/>
              <w:tabs>
                <w:tab w:val="left" w:pos="7665"/>
              </w:tabs>
              <w:adjustRightInd w:val="0"/>
              <w:snapToGrid w:val="0"/>
              <w:spacing w:after="0" w:line="360" w:lineRule="auto"/>
              <w:jc w:val="both"/>
              <w:rPr>
                <w:rFonts w:hint="eastAsia" w:ascii="仿宋" w:hAnsi="仿宋" w:eastAsia="仿宋" w:cs="仿宋"/>
                <w:bCs/>
                <w:color w:val="auto"/>
                <w:highlight w:val="none"/>
              </w:rPr>
            </w:pPr>
            <w:r>
              <w:rPr>
                <w:rFonts w:hint="eastAsia" w:ascii="仿宋" w:hAnsi="仿宋" w:eastAsia="仿宋" w:cs="仿宋"/>
                <w:bCs/>
                <w:color w:val="auto"/>
                <w:highlight w:val="none"/>
              </w:rPr>
              <w:sym w:font="Wingdings" w:char="00A8"/>
            </w:r>
            <w:r>
              <w:rPr>
                <w:rFonts w:hint="eastAsia" w:ascii="仿宋" w:hAnsi="仿宋" w:eastAsia="仿宋" w:cs="仿宋"/>
                <w:bCs/>
                <w:color w:val="auto"/>
                <w:highlight w:val="none"/>
              </w:rPr>
              <w:t>组织，</w:t>
            </w:r>
            <w:r>
              <w:rPr>
                <w:rFonts w:hint="eastAsia" w:ascii="仿宋" w:hAnsi="仿宋" w:eastAsia="仿宋" w:cs="仿宋"/>
                <w:color w:val="auto"/>
                <w:highlight w:val="none"/>
                <w:lang w:val="zh-TW" w:eastAsia="zh-TW"/>
              </w:rPr>
              <w:t>采购单位认为有必要，另行书面通知。供应商考察现场所发生的一切费用由供应商自己承担</w:t>
            </w:r>
            <w:r>
              <w:rPr>
                <w:rFonts w:hint="eastAsia" w:ascii="仿宋" w:hAnsi="仿宋" w:eastAsia="仿宋" w:cs="仿宋"/>
                <w:color w:val="auto"/>
                <w:highlight w:val="none"/>
                <w:lang w:val="zh-TW"/>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55" w:type="dxa"/>
            <w:noWrap w:val="0"/>
            <w:vAlign w:val="center"/>
          </w:tcPr>
          <w:p>
            <w:pPr>
              <w:pStyle w:val="19"/>
              <w:snapToGrid w:val="0"/>
              <w:spacing w:after="0" w:line="360" w:lineRule="auto"/>
              <w:jc w:val="center"/>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1</w:t>
            </w:r>
            <w:r>
              <w:rPr>
                <w:rFonts w:hint="eastAsia" w:ascii="仿宋" w:hAnsi="仿宋" w:eastAsia="仿宋" w:cs="仿宋"/>
                <w:color w:val="auto"/>
                <w:sz w:val="21"/>
                <w:szCs w:val="21"/>
                <w:highlight w:val="none"/>
              </w:rPr>
              <w:t>2</w:t>
            </w:r>
          </w:p>
        </w:tc>
        <w:tc>
          <w:tcPr>
            <w:tcW w:w="1666" w:type="dxa"/>
            <w:noWrap w:val="0"/>
            <w:vAlign w:val="center"/>
          </w:tcPr>
          <w:p>
            <w:pPr>
              <w:adjustRightInd w:val="0"/>
              <w:snapToGrid w:val="0"/>
              <w:spacing w:after="0" w:line="360" w:lineRule="auto"/>
              <w:jc w:val="center"/>
              <w:outlineLvl w:val="5"/>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构成招标文件的其他文件</w:t>
            </w:r>
          </w:p>
        </w:tc>
        <w:tc>
          <w:tcPr>
            <w:tcW w:w="7133" w:type="dxa"/>
            <w:noWrap w:val="0"/>
            <w:vAlign w:val="center"/>
          </w:tcPr>
          <w:p>
            <w:pPr>
              <w:adjustRightInd w:val="0"/>
              <w:snapToGrid w:val="0"/>
              <w:spacing w:after="0" w:line="360" w:lineRule="auto"/>
              <w:ind w:left="210" w:hanging="210" w:hangingChars="100"/>
              <w:outlineLvl w:val="5"/>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zh-CN"/>
              </w:rPr>
              <w:t>招标文件的澄清</w:t>
            </w:r>
            <w:r>
              <w:rPr>
                <w:rFonts w:hint="eastAsia" w:ascii="仿宋" w:hAnsi="仿宋" w:eastAsia="仿宋" w:cs="仿宋"/>
                <w:color w:val="auto"/>
                <w:szCs w:val="21"/>
                <w:highlight w:val="none"/>
              </w:rPr>
              <w:t>、修改书及有关补充通知为招标文件的有效组成部分。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30" w:hRule="atLeast"/>
          <w:jc w:val="center"/>
        </w:trPr>
        <w:tc>
          <w:tcPr>
            <w:tcW w:w="555" w:type="dxa"/>
            <w:noWrap w:val="0"/>
            <w:vAlign w:val="center"/>
          </w:tcPr>
          <w:p>
            <w:pPr>
              <w:pStyle w:val="19"/>
              <w:snapToGrid w:val="0"/>
              <w:spacing w:after="0" w:line="360" w:lineRule="auto"/>
              <w:jc w:val="center"/>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1</w:t>
            </w:r>
            <w:r>
              <w:rPr>
                <w:rFonts w:hint="eastAsia" w:ascii="仿宋" w:hAnsi="仿宋" w:eastAsia="仿宋" w:cs="仿宋"/>
                <w:color w:val="auto"/>
                <w:sz w:val="21"/>
                <w:szCs w:val="21"/>
                <w:highlight w:val="none"/>
              </w:rPr>
              <w:t>3</w:t>
            </w:r>
          </w:p>
        </w:tc>
        <w:tc>
          <w:tcPr>
            <w:tcW w:w="1666" w:type="dxa"/>
            <w:noWrap w:val="0"/>
            <w:vAlign w:val="center"/>
          </w:tcPr>
          <w:p>
            <w:pPr>
              <w:adjustRightInd w:val="0"/>
              <w:snapToGrid w:val="0"/>
              <w:spacing w:after="0" w:line="360" w:lineRule="auto"/>
              <w:jc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评标情况公告</w:t>
            </w:r>
          </w:p>
        </w:tc>
        <w:tc>
          <w:tcPr>
            <w:tcW w:w="7133" w:type="dxa"/>
            <w:noWrap w:val="0"/>
            <w:vAlign w:val="center"/>
          </w:tcPr>
          <w:p>
            <w:pPr>
              <w:widowControl/>
              <w:adjustRightInd w:val="0"/>
              <w:snapToGrid w:val="0"/>
              <w:spacing w:after="0" w:line="360" w:lineRule="auto"/>
              <w:jc w:val="left"/>
              <w:rPr>
                <w:rFonts w:hint="eastAsia" w:ascii="仿宋" w:hAnsi="仿宋" w:eastAsia="仿宋" w:cs="仿宋"/>
                <w:color w:val="auto"/>
                <w:szCs w:val="21"/>
                <w:highlight w:val="none"/>
              </w:rPr>
            </w:pPr>
            <w:bookmarkStart w:id="27" w:name="PO_默认文件内容_6"/>
            <w:r>
              <w:rPr>
                <w:rFonts w:hint="eastAsia" w:ascii="仿宋" w:hAnsi="仿宋" w:eastAsia="仿宋" w:cs="仿宋"/>
                <w:color w:val="auto"/>
                <w:szCs w:val="21"/>
                <w:highlight w:val="none"/>
              </w:rPr>
              <w:t>1.所有供应商投标文件资格性、符合性检查情况、采用综合评分法时的总得分和分项汇总得分情况、评标结果等将在四川政府采购网上采购结果公告附件中予以公告。</w:t>
            </w:r>
            <w:bookmarkEnd w:id="27"/>
          </w:p>
          <w:p>
            <w:pPr>
              <w:pStyle w:val="2"/>
              <w:adjustRightInd w:val="0"/>
              <w:snapToGrid w:val="0"/>
              <w:spacing w:after="0"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根据《中华人民共和国政府采购法实施条例》第四十三条的规定，公告内容应当包括主要成交标的的名称、规格型号、数量、单价、服务要求以及评审专家名单。供应商须将投标文件中涉及商业秘密和知识产权的内容进行标注和说明，若未进行标注和说明的，视为全部内容均可公布，采购人或者采购代理机构对此不承担任何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55" w:type="dxa"/>
            <w:noWrap w:val="0"/>
            <w:vAlign w:val="center"/>
          </w:tcPr>
          <w:p>
            <w:pPr>
              <w:pStyle w:val="19"/>
              <w:snapToGrid w:val="0"/>
              <w:spacing w:after="0" w:line="360" w:lineRule="auto"/>
              <w:jc w:val="center"/>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1</w:t>
            </w:r>
            <w:r>
              <w:rPr>
                <w:rFonts w:hint="eastAsia" w:ascii="仿宋" w:hAnsi="仿宋" w:eastAsia="仿宋" w:cs="仿宋"/>
                <w:color w:val="auto"/>
                <w:sz w:val="21"/>
                <w:szCs w:val="21"/>
                <w:highlight w:val="none"/>
              </w:rPr>
              <w:t>4</w:t>
            </w:r>
          </w:p>
        </w:tc>
        <w:tc>
          <w:tcPr>
            <w:tcW w:w="1666" w:type="dxa"/>
            <w:noWrap w:val="0"/>
            <w:vAlign w:val="center"/>
          </w:tcPr>
          <w:p>
            <w:pPr>
              <w:pStyle w:val="19"/>
              <w:snapToGrid w:val="0"/>
              <w:spacing w:after="0" w:line="360" w:lineRule="auto"/>
              <w:jc w:val="center"/>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投标保证金</w:t>
            </w:r>
          </w:p>
        </w:tc>
        <w:tc>
          <w:tcPr>
            <w:tcW w:w="7133" w:type="dxa"/>
            <w:noWrap w:val="0"/>
            <w:vAlign w:val="center"/>
          </w:tcPr>
          <w:p>
            <w:pPr>
              <w:pStyle w:val="19"/>
              <w:snapToGrid w:val="0"/>
              <w:spacing w:after="0" w:line="360" w:lineRule="auto"/>
              <w:jc w:val="both"/>
              <w:rPr>
                <w:rFonts w:hint="eastAsia" w:ascii="仿宋" w:hAnsi="仿宋" w:eastAsia="仿宋" w:cs="仿宋"/>
                <w:bCs/>
                <w:color w:val="auto"/>
                <w:kern w:val="2"/>
                <w:sz w:val="21"/>
                <w:szCs w:val="21"/>
                <w:highlight w:val="none"/>
                <w:lang w:val="zh-CN"/>
              </w:rPr>
            </w:pPr>
            <w:r>
              <w:rPr>
                <w:rFonts w:hint="eastAsia" w:ascii="仿宋" w:hAnsi="仿宋" w:eastAsia="仿宋" w:cs="仿宋"/>
                <w:b/>
                <w:color w:val="auto"/>
                <w:sz w:val="21"/>
                <w:szCs w:val="21"/>
                <w:highlight w:val="none"/>
              </w:rPr>
              <w:t>根据《四川省财政厅关于进一步做好疫情防控期间政府采购工作有关事项的通知》（川财采[2020]28号）文件，本项目不收取保证金。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4" w:hRule="atLeast"/>
          <w:jc w:val="center"/>
        </w:trPr>
        <w:tc>
          <w:tcPr>
            <w:tcW w:w="555" w:type="dxa"/>
            <w:tcBorders>
              <w:top w:val="single" w:color="auto" w:sz="4" w:space="0"/>
              <w:bottom w:val="single" w:color="auto" w:sz="4" w:space="0"/>
            </w:tcBorders>
            <w:noWrap w:val="0"/>
            <w:vAlign w:val="center"/>
          </w:tcPr>
          <w:p>
            <w:pPr>
              <w:pStyle w:val="19"/>
              <w:snapToGrid w:val="0"/>
              <w:spacing w:after="0" w:line="360" w:lineRule="auto"/>
              <w:jc w:val="center"/>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1</w:t>
            </w:r>
            <w:r>
              <w:rPr>
                <w:rFonts w:hint="eastAsia" w:ascii="仿宋" w:hAnsi="仿宋" w:eastAsia="仿宋" w:cs="仿宋"/>
                <w:color w:val="auto"/>
                <w:sz w:val="21"/>
                <w:szCs w:val="21"/>
                <w:highlight w:val="none"/>
              </w:rPr>
              <w:t>5</w:t>
            </w:r>
          </w:p>
        </w:tc>
        <w:tc>
          <w:tcPr>
            <w:tcW w:w="1666" w:type="dxa"/>
            <w:tcBorders>
              <w:top w:val="single" w:color="auto" w:sz="4" w:space="0"/>
              <w:bottom w:val="single" w:color="auto" w:sz="4" w:space="0"/>
            </w:tcBorders>
            <w:noWrap w:val="0"/>
            <w:vAlign w:val="center"/>
          </w:tcPr>
          <w:p>
            <w:pPr>
              <w:pStyle w:val="19"/>
              <w:snapToGrid w:val="0"/>
              <w:spacing w:after="0" w:line="36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采购文件咨询</w:t>
            </w:r>
          </w:p>
        </w:tc>
        <w:tc>
          <w:tcPr>
            <w:tcW w:w="7133" w:type="dxa"/>
            <w:tcBorders>
              <w:top w:val="single" w:color="auto" w:sz="4" w:space="0"/>
              <w:bottom w:val="single" w:color="auto" w:sz="4" w:space="0"/>
            </w:tcBorders>
            <w:noWrap w:val="0"/>
            <w:vAlign w:val="center"/>
          </w:tcPr>
          <w:p>
            <w:pPr>
              <w:pStyle w:val="30"/>
              <w:tabs>
                <w:tab w:val="left" w:pos="7665"/>
              </w:tabs>
              <w:adjustRightInd w:val="0"/>
              <w:snapToGrid w:val="0"/>
              <w:spacing w:after="0" w:line="360" w:lineRule="auto"/>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val="zh-TW" w:eastAsia="zh-TW"/>
              </w:rPr>
              <w:t>联系人：</w:t>
            </w:r>
            <w:r>
              <w:rPr>
                <w:rFonts w:hint="eastAsia" w:ascii="仿宋" w:hAnsi="仿宋" w:eastAsia="仿宋" w:cs="仿宋"/>
                <w:color w:val="auto"/>
                <w:highlight w:val="none"/>
                <w:lang w:val="en-US" w:eastAsia="zh-CN"/>
              </w:rPr>
              <w:t>钟女士</w:t>
            </w:r>
          </w:p>
          <w:p>
            <w:pPr>
              <w:adjustRightInd w:val="0"/>
              <w:snapToGrid w:val="0"/>
              <w:spacing w:after="0"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zh-TW" w:eastAsia="zh-TW"/>
              </w:rPr>
              <w:t>联系电话：028-62013599</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4" w:hRule="atLeast"/>
          <w:jc w:val="center"/>
        </w:trPr>
        <w:tc>
          <w:tcPr>
            <w:tcW w:w="555" w:type="dxa"/>
            <w:tcBorders>
              <w:top w:val="single" w:color="auto" w:sz="4" w:space="0"/>
              <w:bottom w:val="single" w:color="auto" w:sz="4" w:space="0"/>
            </w:tcBorders>
            <w:noWrap w:val="0"/>
            <w:vAlign w:val="center"/>
          </w:tcPr>
          <w:p>
            <w:pPr>
              <w:adjustRightInd w:val="0"/>
              <w:snapToGrid w:val="0"/>
              <w:spacing w:after="0" w:line="360" w:lineRule="auto"/>
              <w:jc w:val="center"/>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rPr>
              <w:t>16</w:t>
            </w:r>
          </w:p>
        </w:tc>
        <w:tc>
          <w:tcPr>
            <w:tcW w:w="1666" w:type="dxa"/>
            <w:tcBorders>
              <w:top w:val="single" w:color="auto" w:sz="4" w:space="0"/>
              <w:bottom w:val="single" w:color="auto" w:sz="4" w:space="0"/>
            </w:tcBorders>
            <w:noWrap w:val="0"/>
            <w:vAlign w:val="center"/>
          </w:tcPr>
          <w:p>
            <w:pPr>
              <w:pStyle w:val="19"/>
              <w:snapToGrid w:val="0"/>
              <w:spacing w:after="0" w:line="36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开评标工作咨询</w:t>
            </w:r>
          </w:p>
        </w:tc>
        <w:tc>
          <w:tcPr>
            <w:tcW w:w="7133" w:type="dxa"/>
            <w:tcBorders>
              <w:top w:val="single" w:color="auto" w:sz="4" w:space="0"/>
              <w:bottom w:val="single" w:color="auto" w:sz="4" w:space="0"/>
            </w:tcBorders>
            <w:noWrap w:val="0"/>
            <w:vAlign w:val="center"/>
          </w:tcPr>
          <w:p>
            <w:pPr>
              <w:pStyle w:val="30"/>
              <w:tabs>
                <w:tab w:val="left" w:pos="7665"/>
              </w:tabs>
              <w:adjustRightInd w:val="0"/>
              <w:snapToGrid w:val="0"/>
              <w:spacing w:after="0" w:line="360" w:lineRule="auto"/>
              <w:jc w:val="both"/>
              <w:rPr>
                <w:rFonts w:hint="eastAsia" w:ascii="仿宋" w:hAnsi="仿宋" w:eastAsia="仿宋" w:cs="仿宋"/>
                <w:color w:val="auto"/>
                <w:highlight w:val="none"/>
              </w:rPr>
            </w:pPr>
            <w:r>
              <w:rPr>
                <w:rFonts w:hint="eastAsia" w:ascii="仿宋" w:hAnsi="仿宋" w:eastAsia="仿宋" w:cs="仿宋"/>
                <w:color w:val="auto"/>
                <w:highlight w:val="none"/>
                <w:lang w:val="zh-TW" w:eastAsia="zh-TW"/>
              </w:rPr>
              <w:t>联系人：</w:t>
            </w:r>
            <w:r>
              <w:rPr>
                <w:rFonts w:hint="eastAsia" w:ascii="仿宋" w:hAnsi="仿宋" w:eastAsia="仿宋" w:cs="仿宋"/>
                <w:color w:val="auto"/>
                <w:highlight w:val="none"/>
                <w:lang w:val="en-US" w:eastAsia="zh-CN"/>
              </w:rPr>
              <w:t>钟</w:t>
            </w:r>
            <w:r>
              <w:rPr>
                <w:rFonts w:hint="eastAsia" w:ascii="仿宋" w:hAnsi="仿宋" w:eastAsia="仿宋" w:cs="仿宋"/>
                <w:color w:val="auto"/>
                <w:highlight w:val="none"/>
                <w:lang w:val="zh-TW"/>
              </w:rPr>
              <w:t>女士</w:t>
            </w:r>
          </w:p>
          <w:p>
            <w:pPr>
              <w:adjustRightInd w:val="0"/>
              <w:snapToGrid w:val="0"/>
              <w:spacing w:after="0"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zh-TW" w:eastAsia="zh-TW"/>
              </w:rPr>
              <w:t>联系电话：028-62013599</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55" w:type="dxa"/>
            <w:tcBorders>
              <w:top w:val="single" w:color="auto" w:sz="4" w:space="0"/>
            </w:tcBorders>
            <w:noWrap w:val="0"/>
            <w:vAlign w:val="center"/>
          </w:tcPr>
          <w:p>
            <w:pPr>
              <w:adjustRightInd w:val="0"/>
              <w:snapToGrid w:val="0"/>
              <w:spacing w:after="0" w:line="360" w:lineRule="auto"/>
              <w:ind w:firstLine="105" w:firstLineChars="5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17</w:t>
            </w:r>
          </w:p>
        </w:tc>
        <w:tc>
          <w:tcPr>
            <w:tcW w:w="1666" w:type="dxa"/>
            <w:tcBorders>
              <w:top w:val="single" w:color="auto" w:sz="4" w:space="0"/>
            </w:tcBorders>
            <w:noWrap w:val="0"/>
            <w:vAlign w:val="center"/>
          </w:tcPr>
          <w:p>
            <w:pPr>
              <w:adjustRightInd w:val="0"/>
              <w:snapToGrid w:val="0"/>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中标通知书领取</w:t>
            </w:r>
          </w:p>
        </w:tc>
        <w:tc>
          <w:tcPr>
            <w:tcW w:w="7133" w:type="dxa"/>
            <w:tcBorders>
              <w:top w:val="single" w:color="auto" w:sz="4" w:space="0"/>
            </w:tcBorders>
            <w:noWrap w:val="0"/>
            <w:vAlign w:val="center"/>
          </w:tcPr>
          <w:p>
            <w:pPr>
              <w:tabs>
                <w:tab w:val="left" w:pos="7665"/>
              </w:tabs>
              <w:adjustRightInd w:val="0"/>
              <w:snapToGrid w:val="0"/>
              <w:spacing w:after="0" w:line="360" w:lineRule="auto"/>
              <w:rPr>
                <w:rFonts w:hint="eastAsia" w:ascii="仿宋" w:hAnsi="仿宋" w:eastAsia="仿宋" w:cs="仿宋"/>
                <w:color w:val="auto"/>
                <w:szCs w:val="21"/>
                <w:highlight w:val="none"/>
              </w:rPr>
            </w:pPr>
            <w:bookmarkStart w:id="28" w:name="PO_默认文件内容_29"/>
            <w:r>
              <w:rPr>
                <w:rFonts w:hint="eastAsia" w:ascii="仿宋" w:hAnsi="仿宋" w:eastAsia="仿宋" w:cs="仿宋"/>
                <w:color w:val="auto"/>
                <w:szCs w:val="21"/>
                <w:highlight w:val="none"/>
              </w:rPr>
              <w:t>1.在四川政府采购网公告中标结果同时发出中标通知书，中标供应商自行登录政府采购云平台下载中标通知书。</w:t>
            </w:r>
          </w:p>
          <w:p>
            <w:pPr>
              <w:adjustRightInd w:val="0"/>
              <w:snapToGrid w:val="0"/>
              <w:spacing w:after="0" w:line="360" w:lineRule="auto"/>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联系人：</w:t>
            </w:r>
            <w:r>
              <w:rPr>
                <w:rFonts w:hint="eastAsia" w:ascii="仿宋" w:hAnsi="仿宋" w:eastAsia="仿宋" w:cs="仿宋"/>
                <w:color w:val="auto"/>
                <w:szCs w:val="21"/>
                <w:highlight w:val="none"/>
                <w:lang w:val="en-US" w:eastAsia="zh-CN"/>
              </w:rPr>
              <w:t>卿</w:t>
            </w:r>
            <w:r>
              <w:rPr>
                <w:rFonts w:hint="eastAsia" w:ascii="仿宋" w:hAnsi="仿宋" w:eastAsia="仿宋" w:cs="仿宋"/>
                <w:color w:val="auto"/>
                <w:szCs w:val="21"/>
                <w:highlight w:val="none"/>
                <w:lang w:val="zh-CN"/>
              </w:rPr>
              <w:t>女士；</w:t>
            </w:r>
          </w:p>
          <w:p>
            <w:pPr>
              <w:adjustRightInd w:val="0"/>
              <w:snapToGrid w:val="0"/>
              <w:spacing w:after="0" w:line="360" w:lineRule="auto"/>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联系电话：028-</w:t>
            </w:r>
            <w:r>
              <w:rPr>
                <w:rFonts w:hint="eastAsia" w:ascii="仿宋" w:hAnsi="仿宋" w:eastAsia="仿宋" w:cs="仿宋"/>
                <w:color w:val="auto"/>
                <w:szCs w:val="21"/>
                <w:highlight w:val="none"/>
                <w:lang w:val="en-US" w:eastAsia="zh-CN"/>
              </w:rPr>
              <w:t>83377199</w:t>
            </w:r>
            <w:r>
              <w:rPr>
                <w:rFonts w:hint="eastAsia" w:ascii="仿宋" w:hAnsi="仿宋" w:eastAsia="仿宋" w:cs="仿宋"/>
                <w:color w:val="auto"/>
                <w:szCs w:val="21"/>
                <w:highlight w:val="none"/>
                <w:lang w:val="zh-CN"/>
              </w:rPr>
              <w:t>；</w:t>
            </w:r>
          </w:p>
          <w:p>
            <w:pPr>
              <w:adjustRightInd w:val="0"/>
              <w:snapToGrid w:val="0"/>
              <w:spacing w:after="0" w:line="360" w:lineRule="auto"/>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地址：成都市锦江区三色路163号银海芯座1栋1单元14层</w:t>
            </w:r>
            <w:r>
              <w:rPr>
                <w:rFonts w:hint="eastAsia" w:ascii="仿宋" w:hAnsi="仿宋" w:eastAsia="仿宋" w:cs="仿宋"/>
                <w:color w:val="auto"/>
                <w:szCs w:val="21"/>
                <w:highlight w:val="none"/>
                <w:lang w:val="en-US" w:eastAsia="zh-CN"/>
              </w:rPr>
              <w:t>04号</w:t>
            </w:r>
            <w:r>
              <w:rPr>
                <w:rFonts w:hint="eastAsia" w:ascii="仿宋" w:hAnsi="仿宋" w:eastAsia="仿宋" w:cs="仿宋"/>
                <w:color w:val="auto"/>
                <w:szCs w:val="21"/>
                <w:highlight w:val="none"/>
                <w:lang w:val="zh-CN"/>
              </w:rPr>
              <w:t>。</w:t>
            </w:r>
            <w:bookmarkEnd w:id="28"/>
          </w:p>
          <w:p>
            <w:pPr>
              <w:pStyle w:val="2"/>
              <w:adjustRightInd w:val="0"/>
              <w:snapToGrid w:val="0"/>
              <w:spacing w:after="0"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2.中标供应商不能及时领取中标通知书的，可联系采购代理机构采取邮寄、快递方式按照供应商投标文件中的地址送达中标通知书，邮寄费用由中标人自行承担。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55" w:type="dxa"/>
            <w:tcBorders>
              <w:top w:val="single" w:color="auto" w:sz="4" w:space="0"/>
            </w:tcBorders>
            <w:noWrap w:val="0"/>
            <w:vAlign w:val="center"/>
          </w:tcPr>
          <w:p>
            <w:pPr>
              <w:adjustRightInd w:val="0"/>
              <w:snapToGrid w:val="0"/>
              <w:spacing w:after="0" w:line="360" w:lineRule="auto"/>
              <w:ind w:firstLine="105" w:firstLineChars="50"/>
              <w:jc w:val="center"/>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rPr>
              <w:t>18</w:t>
            </w:r>
          </w:p>
        </w:tc>
        <w:tc>
          <w:tcPr>
            <w:tcW w:w="1666" w:type="dxa"/>
            <w:tcBorders>
              <w:top w:val="single" w:color="auto" w:sz="4" w:space="0"/>
            </w:tcBorders>
            <w:noWrap w:val="0"/>
            <w:vAlign w:val="center"/>
          </w:tcPr>
          <w:p>
            <w:pPr>
              <w:pStyle w:val="19"/>
              <w:snapToGrid w:val="0"/>
              <w:spacing w:after="0" w:line="36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lang w:val="zh-TW" w:eastAsia="zh-TW"/>
              </w:rPr>
              <w:t>供应商询问</w:t>
            </w:r>
          </w:p>
        </w:tc>
        <w:tc>
          <w:tcPr>
            <w:tcW w:w="7133" w:type="dxa"/>
            <w:tcBorders>
              <w:top w:val="single" w:color="auto" w:sz="4" w:space="0"/>
            </w:tcBorders>
            <w:noWrap w:val="0"/>
            <w:vAlign w:val="top"/>
          </w:tcPr>
          <w:p>
            <w:pPr>
              <w:adjustRightInd w:val="0"/>
              <w:snapToGrid w:val="0"/>
              <w:spacing w:after="0" w:line="360" w:lineRule="auto"/>
              <w:ind w:firstLine="105" w:firstLineChars="50"/>
              <w:rPr>
                <w:rFonts w:hint="eastAsia" w:ascii="仿宋" w:hAnsi="仿宋" w:eastAsia="仿宋" w:cs="仿宋"/>
                <w:color w:val="auto"/>
                <w:szCs w:val="21"/>
                <w:highlight w:val="none"/>
                <w:lang w:val="zh-CN"/>
              </w:rPr>
            </w:pPr>
            <w:bookmarkStart w:id="29" w:name="PO_默认文件内容_31"/>
            <w:r>
              <w:rPr>
                <w:rFonts w:hint="eastAsia" w:ascii="仿宋" w:hAnsi="仿宋" w:eastAsia="仿宋" w:cs="仿宋"/>
                <w:color w:val="auto"/>
                <w:szCs w:val="21"/>
                <w:highlight w:val="none"/>
                <w:lang w:val="zh-CN"/>
              </w:rPr>
              <w:t>1.根据委托代理协议约定，采购人负责对采购文件技术参数部分的询问答复,利阳致诚国际项目管理有限公司负责采购文件技术参数部分以外的询问答复。</w:t>
            </w:r>
          </w:p>
          <w:p>
            <w:pPr>
              <w:adjustRightInd w:val="0"/>
              <w:snapToGrid w:val="0"/>
              <w:spacing w:after="0" w:line="360" w:lineRule="auto"/>
              <w:ind w:firstLine="105" w:firstLineChars="50"/>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2.询问内容不得涉及评审秘密、国家机密和商业秘密等保密内容。</w:t>
            </w:r>
          </w:p>
          <w:p>
            <w:pPr>
              <w:adjustRightInd w:val="0"/>
              <w:snapToGrid w:val="0"/>
              <w:spacing w:after="0" w:line="360" w:lineRule="auto"/>
              <w:ind w:firstLine="105" w:firstLineChars="50"/>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3.询问方式:询问人可以采用书面或口头或电子邮件等方式向利阳致诚国际项目管理有限公司提出；询问必须提供询问人基本信息(包含具体询问内容、询问人名称或姓名、联系人及联系电话、电子邮件)。</w:t>
            </w:r>
          </w:p>
          <w:p>
            <w:pPr>
              <w:adjustRightInd w:val="0"/>
              <w:snapToGrid w:val="0"/>
              <w:spacing w:after="0" w:line="360" w:lineRule="auto"/>
              <w:ind w:firstLine="105" w:firstLineChars="50"/>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eastAsia="zh-TW"/>
              </w:rPr>
              <w:t>联系人：</w:t>
            </w:r>
            <w:r>
              <w:rPr>
                <w:rFonts w:hint="eastAsia" w:ascii="仿宋" w:hAnsi="仿宋" w:eastAsia="仿宋" w:cs="仿宋"/>
                <w:color w:val="auto"/>
                <w:szCs w:val="21"/>
                <w:highlight w:val="none"/>
                <w:lang w:val="en-US" w:eastAsia="zh-CN"/>
              </w:rPr>
              <w:t>钟</w:t>
            </w:r>
            <w:r>
              <w:rPr>
                <w:rFonts w:hint="eastAsia" w:ascii="仿宋" w:hAnsi="仿宋" w:eastAsia="仿宋" w:cs="仿宋"/>
                <w:color w:val="auto"/>
                <w:szCs w:val="21"/>
                <w:highlight w:val="none"/>
                <w:lang w:val="zh-CN" w:eastAsia="zh-TW"/>
              </w:rPr>
              <w:t>女士</w:t>
            </w:r>
          </w:p>
          <w:p>
            <w:pPr>
              <w:adjustRightInd w:val="0"/>
              <w:snapToGrid w:val="0"/>
              <w:spacing w:after="0" w:line="360" w:lineRule="auto"/>
              <w:ind w:firstLine="105" w:firstLineChars="50"/>
              <w:rPr>
                <w:rFonts w:hint="eastAsia" w:ascii="仿宋" w:hAnsi="仿宋" w:eastAsia="仿宋" w:cs="仿宋"/>
                <w:color w:val="auto"/>
                <w:szCs w:val="21"/>
                <w:highlight w:val="none"/>
                <w:lang w:val="zh-CN" w:eastAsia="zh-TW"/>
              </w:rPr>
            </w:pPr>
            <w:r>
              <w:rPr>
                <w:rFonts w:hint="eastAsia" w:ascii="仿宋" w:hAnsi="仿宋" w:eastAsia="仿宋" w:cs="仿宋"/>
                <w:color w:val="auto"/>
                <w:szCs w:val="21"/>
                <w:highlight w:val="none"/>
                <w:lang w:val="zh-CN" w:eastAsia="zh-TW"/>
              </w:rPr>
              <w:t>联系电话：028-62013599</w:t>
            </w:r>
          </w:p>
          <w:p>
            <w:pPr>
              <w:adjustRightInd w:val="0"/>
              <w:snapToGrid w:val="0"/>
              <w:spacing w:after="0" w:line="360" w:lineRule="auto"/>
              <w:ind w:firstLine="105" w:firstLineChars="50"/>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地址：成都市锦江区三色路163号银海芯座1栋1单元14层</w:t>
            </w:r>
            <w:r>
              <w:rPr>
                <w:rFonts w:hint="eastAsia" w:ascii="仿宋" w:hAnsi="仿宋" w:eastAsia="仿宋" w:cs="仿宋"/>
                <w:color w:val="auto"/>
                <w:szCs w:val="21"/>
                <w:highlight w:val="none"/>
                <w:lang w:val="en-US" w:eastAsia="zh-CN"/>
              </w:rPr>
              <w:t>04层</w:t>
            </w:r>
            <w:r>
              <w:rPr>
                <w:rFonts w:hint="eastAsia" w:ascii="仿宋" w:hAnsi="仿宋" w:eastAsia="仿宋" w:cs="仿宋"/>
                <w:color w:val="auto"/>
                <w:szCs w:val="21"/>
                <w:highlight w:val="none"/>
                <w:lang w:val="zh-CN"/>
              </w:rPr>
              <w:t>。</w:t>
            </w:r>
          </w:p>
          <w:p>
            <w:pPr>
              <w:adjustRightInd w:val="0"/>
              <w:snapToGrid w:val="0"/>
              <w:spacing w:after="0" w:line="360" w:lineRule="auto"/>
              <w:ind w:firstLine="105" w:firstLineChars="50"/>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4.询问提出的范围及主体:①采购文件及采购信息公告环节:依法获取采购文件的潜在供应商可以对采购文件及采购信息公告的内容向利阳致诚国际项目管理有限公司或采购人提出询问，仅对采购信息公告内容提出询问的，不限制询问主体。②采购过程、采购结果环节:参与采购活动的供应商可以对采购过程、采购结果相关问题向利阳致诚国际项目管理有限公司提出询问，未参与采购活动的供应商不得对此环节提出询问。③询问提出的时间原则上以政府采购活动中有效质疑的时间计算为准。</w:t>
            </w:r>
          </w:p>
          <w:p>
            <w:pPr>
              <w:adjustRightInd w:val="0"/>
              <w:snapToGrid w:val="0"/>
              <w:spacing w:after="0" w:line="360" w:lineRule="auto"/>
              <w:ind w:firstLine="105" w:firstLineChars="50"/>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5.为提高采购效率，降低社会成本，鼓励询问主体对于不损害国家及社会利益或自身合法权益的问题或情形采用询问方式处理解决(包含但不限于文字错误、标点符号、不影响投标文件的编制的情形)。</w:t>
            </w:r>
          </w:p>
          <w:p>
            <w:pPr>
              <w:adjustRightInd w:val="0"/>
              <w:snapToGrid w:val="0"/>
              <w:spacing w:after="0" w:line="360" w:lineRule="auto"/>
              <w:ind w:firstLine="105" w:firstLineChars="5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zh-CN"/>
              </w:rPr>
              <w:t>6.为降低时间成本，减少不必要的干扰，利阳致诚国际项目管理有限公司或采购人可以不接受未按照约定时间提出的询问。</w:t>
            </w:r>
            <w:bookmarkEnd w:id="2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55" w:type="dxa"/>
            <w:noWrap w:val="0"/>
            <w:vAlign w:val="center"/>
          </w:tcPr>
          <w:p>
            <w:pPr>
              <w:adjustRightInd w:val="0"/>
              <w:snapToGrid w:val="0"/>
              <w:spacing w:after="0" w:line="360" w:lineRule="auto"/>
              <w:ind w:firstLine="105" w:firstLineChars="5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19</w:t>
            </w:r>
          </w:p>
        </w:tc>
        <w:tc>
          <w:tcPr>
            <w:tcW w:w="1666" w:type="dxa"/>
            <w:noWrap w:val="0"/>
            <w:vAlign w:val="center"/>
          </w:tcPr>
          <w:p>
            <w:pPr>
              <w:pStyle w:val="19"/>
              <w:snapToGrid w:val="0"/>
              <w:spacing w:after="0" w:line="36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供应商质疑</w:t>
            </w:r>
          </w:p>
        </w:tc>
        <w:tc>
          <w:tcPr>
            <w:tcW w:w="7133" w:type="dxa"/>
            <w:noWrap w:val="0"/>
            <w:vAlign w:val="center"/>
          </w:tcPr>
          <w:p>
            <w:pPr>
              <w:pStyle w:val="30"/>
              <w:tabs>
                <w:tab w:val="left" w:pos="7665"/>
              </w:tabs>
              <w:adjustRightInd w:val="0"/>
              <w:snapToGrid w:val="0"/>
              <w:spacing w:after="0" w:line="360" w:lineRule="auto"/>
              <w:jc w:val="both"/>
              <w:rPr>
                <w:rFonts w:hint="eastAsia" w:ascii="仿宋" w:hAnsi="仿宋" w:eastAsia="仿宋" w:cs="仿宋"/>
                <w:color w:val="auto"/>
                <w:highlight w:val="none"/>
              </w:rPr>
            </w:pPr>
            <w:bookmarkStart w:id="30" w:name="PO_默认文件内容_30"/>
            <w:r>
              <w:rPr>
                <w:rFonts w:hint="eastAsia" w:ascii="仿宋" w:hAnsi="仿宋" w:eastAsia="仿宋" w:cs="仿宋"/>
                <w:color w:val="auto"/>
                <w:highlight w:val="none"/>
              </w:rPr>
              <w:t>1.</w:t>
            </w:r>
            <w:r>
              <w:rPr>
                <w:rFonts w:hint="eastAsia" w:ascii="仿宋" w:hAnsi="仿宋" w:eastAsia="仿宋" w:cs="仿宋"/>
                <w:color w:val="auto"/>
                <w:highlight w:val="none"/>
                <w:lang w:val="zh-TW" w:eastAsia="zh-TW"/>
              </w:rPr>
              <w:t>根据采购委托代理协议，供应商应当直接向代理机构依法提出，并由</w:t>
            </w:r>
            <w:r>
              <w:rPr>
                <w:rFonts w:hint="eastAsia" w:ascii="仿宋" w:hAnsi="仿宋" w:eastAsia="仿宋" w:cs="仿宋"/>
                <w:color w:val="auto"/>
                <w:highlight w:val="none"/>
                <w:lang w:val="zh-TW" w:eastAsia="zh-CN"/>
              </w:rPr>
              <w:t>利阳致诚国际项目管理有限公司</w:t>
            </w:r>
            <w:r>
              <w:rPr>
                <w:rFonts w:hint="eastAsia" w:ascii="仿宋" w:hAnsi="仿宋" w:eastAsia="仿宋" w:cs="仿宋"/>
                <w:color w:val="auto"/>
                <w:highlight w:val="none"/>
                <w:lang w:val="zh-TW" w:eastAsia="zh-TW"/>
              </w:rPr>
              <w:t>依法受理和回复。</w:t>
            </w:r>
          </w:p>
          <w:p>
            <w:pPr>
              <w:pStyle w:val="30"/>
              <w:tabs>
                <w:tab w:val="left" w:pos="7665"/>
              </w:tabs>
              <w:adjustRightInd w:val="0"/>
              <w:snapToGrid w:val="0"/>
              <w:spacing w:after="0" w:line="360" w:lineRule="auto"/>
              <w:jc w:val="both"/>
              <w:rPr>
                <w:rFonts w:hint="eastAsia" w:ascii="仿宋" w:hAnsi="仿宋" w:eastAsia="仿宋" w:cs="仿宋"/>
                <w:color w:val="auto"/>
                <w:highlight w:val="none"/>
                <w:lang w:val="zh-TW" w:eastAsia="zh-TW"/>
              </w:rPr>
            </w:pPr>
            <w:r>
              <w:rPr>
                <w:rFonts w:hint="eastAsia" w:ascii="仿宋" w:hAnsi="仿宋" w:eastAsia="仿宋" w:cs="仿宋"/>
                <w:color w:val="auto"/>
                <w:highlight w:val="none"/>
                <w:lang w:val="zh-TW" w:eastAsia="zh-TW"/>
              </w:rPr>
              <w:t>2.供应商提出质疑应当坚持依法依规、诚实信用原则；不得超出</w:t>
            </w:r>
            <w:r>
              <w:rPr>
                <w:rFonts w:hint="eastAsia" w:ascii="仿宋" w:hAnsi="仿宋" w:eastAsia="仿宋" w:cs="仿宋"/>
                <w:color w:val="auto"/>
                <w:highlight w:val="none"/>
              </w:rPr>
              <w:t>采购</w:t>
            </w:r>
            <w:r>
              <w:rPr>
                <w:rFonts w:hint="eastAsia" w:ascii="仿宋" w:hAnsi="仿宋" w:eastAsia="仿宋" w:cs="仿宋"/>
                <w:color w:val="auto"/>
                <w:highlight w:val="none"/>
                <w:lang w:val="zh-TW" w:eastAsia="zh-TW"/>
              </w:rPr>
              <w:t>文件、采购过程、采购结果的范围，不得进行虚假、恶意质疑，不得以质疑为手段获取不当得利、实现非法目的。</w:t>
            </w:r>
          </w:p>
          <w:p>
            <w:pPr>
              <w:pStyle w:val="30"/>
              <w:tabs>
                <w:tab w:val="left" w:pos="7665"/>
              </w:tabs>
              <w:adjustRightInd w:val="0"/>
              <w:snapToGrid w:val="0"/>
              <w:spacing w:after="0" w:line="360" w:lineRule="auto"/>
              <w:jc w:val="both"/>
              <w:rPr>
                <w:rFonts w:hint="eastAsia" w:ascii="仿宋" w:hAnsi="仿宋" w:eastAsia="仿宋" w:cs="仿宋"/>
                <w:color w:val="auto"/>
                <w:highlight w:val="none"/>
                <w:lang w:val="zh-TW" w:eastAsia="zh-TW"/>
              </w:rPr>
            </w:pPr>
            <w:r>
              <w:rPr>
                <w:rFonts w:hint="eastAsia" w:ascii="仿宋" w:hAnsi="仿宋" w:eastAsia="仿宋" w:cs="仿宋"/>
                <w:color w:val="auto"/>
                <w:highlight w:val="none"/>
                <w:lang w:val="zh-TW" w:eastAsia="zh-TW"/>
              </w:rPr>
              <w:t>3.提出质疑函的时限要求：供应商认为</w:t>
            </w:r>
            <w:r>
              <w:rPr>
                <w:rFonts w:hint="eastAsia" w:ascii="仿宋" w:hAnsi="仿宋" w:eastAsia="仿宋" w:cs="仿宋"/>
                <w:color w:val="auto"/>
                <w:highlight w:val="none"/>
              </w:rPr>
              <w:t>采购</w:t>
            </w:r>
            <w:r>
              <w:rPr>
                <w:rFonts w:hint="eastAsia" w:ascii="仿宋" w:hAnsi="仿宋" w:eastAsia="仿宋" w:cs="仿宋"/>
                <w:color w:val="auto"/>
                <w:highlight w:val="none"/>
                <w:lang w:val="zh-TW" w:eastAsia="zh-TW"/>
              </w:rPr>
              <w:t>文件、采购过程、中标或者成交结果使自己的权益受到损害的，可以在知道或者应知其权益受到损害之日起7个工作日内，以书面形式向采购人、采购代理机构提出质疑。</w:t>
            </w:r>
          </w:p>
          <w:p>
            <w:pPr>
              <w:pStyle w:val="30"/>
              <w:tabs>
                <w:tab w:val="left" w:pos="7665"/>
              </w:tabs>
              <w:adjustRightInd w:val="0"/>
              <w:snapToGrid w:val="0"/>
              <w:spacing w:after="0" w:line="360" w:lineRule="auto"/>
              <w:jc w:val="both"/>
              <w:rPr>
                <w:rFonts w:hint="eastAsia" w:ascii="仿宋" w:hAnsi="仿宋" w:eastAsia="仿宋" w:cs="仿宋"/>
                <w:color w:val="auto"/>
                <w:highlight w:val="none"/>
                <w:lang w:val="zh-TW" w:eastAsia="zh-TW"/>
              </w:rPr>
            </w:pPr>
            <w:r>
              <w:rPr>
                <w:rFonts w:hint="eastAsia" w:ascii="仿宋" w:hAnsi="仿宋" w:eastAsia="仿宋" w:cs="仿宋"/>
                <w:color w:val="auto"/>
                <w:highlight w:val="none"/>
                <w:lang w:val="zh-TW" w:eastAsia="zh-TW"/>
              </w:rPr>
              <w:t>4.接收质疑函的方式：供应商在法定时间内以书面形式现场、邮寄或快递提交质疑函(①采用邮寄和快递形式提交的质疑函以采购代理机构或采购人亲自书面签收的为准；②温馨提示：供应商提交质疑选择邮寄或快递形式时，请先联系采购人或采购代理机构，选择高效及时的方式。质疑供应商在质疑函签收后5个工作日内未收到质疑答复的，可主动电话询问我公司相关事宜)。</w:t>
            </w:r>
          </w:p>
          <w:p>
            <w:pPr>
              <w:pStyle w:val="30"/>
              <w:tabs>
                <w:tab w:val="left" w:pos="7665"/>
              </w:tabs>
              <w:adjustRightInd w:val="0"/>
              <w:snapToGrid w:val="0"/>
              <w:spacing w:after="0" w:line="360" w:lineRule="auto"/>
              <w:jc w:val="both"/>
              <w:rPr>
                <w:rFonts w:hint="eastAsia" w:ascii="仿宋" w:hAnsi="仿宋" w:eastAsia="仿宋" w:cs="仿宋"/>
                <w:color w:val="auto"/>
                <w:highlight w:val="none"/>
              </w:rPr>
            </w:pPr>
            <w:r>
              <w:rPr>
                <w:rFonts w:hint="eastAsia" w:ascii="仿宋" w:hAnsi="仿宋" w:eastAsia="仿宋" w:cs="仿宋"/>
                <w:color w:val="auto"/>
                <w:highlight w:val="none"/>
                <w:lang w:val="zh-TW" w:eastAsia="zh-TW"/>
              </w:rPr>
              <w:t>联系人：</w:t>
            </w:r>
            <w:r>
              <w:rPr>
                <w:rFonts w:hint="eastAsia" w:ascii="仿宋" w:hAnsi="仿宋" w:eastAsia="仿宋" w:cs="仿宋"/>
                <w:color w:val="auto"/>
                <w:highlight w:val="none"/>
                <w:lang w:val="en-US" w:eastAsia="zh-CN"/>
              </w:rPr>
              <w:t>钟</w:t>
            </w:r>
            <w:r>
              <w:rPr>
                <w:rFonts w:hint="eastAsia" w:ascii="仿宋" w:hAnsi="仿宋" w:eastAsia="仿宋" w:cs="仿宋"/>
                <w:color w:val="auto"/>
                <w:highlight w:val="none"/>
                <w:lang w:val="zh-TW"/>
              </w:rPr>
              <w:t>女士</w:t>
            </w:r>
          </w:p>
          <w:p>
            <w:pPr>
              <w:pStyle w:val="30"/>
              <w:tabs>
                <w:tab w:val="left" w:pos="7665"/>
              </w:tabs>
              <w:adjustRightInd w:val="0"/>
              <w:snapToGrid w:val="0"/>
              <w:spacing w:after="0" w:line="360" w:lineRule="auto"/>
              <w:jc w:val="both"/>
              <w:rPr>
                <w:rFonts w:hint="eastAsia" w:ascii="仿宋" w:hAnsi="仿宋" w:eastAsia="仿宋" w:cs="仿宋"/>
                <w:color w:val="auto"/>
                <w:highlight w:val="none"/>
                <w:lang w:val="zh-TW"/>
              </w:rPr>
            </w:pPr>
            <w:r>
              <w:rPr>
                <w:rFonts w:hint="eastAsia" w:ascii="仿宋" w:hAnsi="仿宋" w:eastAsia="仿宋" w:cs="仿宋"/>
                <w:color w:val="auto"/>
                <w:highlight w:val="none"/>
                <w:lang w:val="zh-TW" w:eastAsia="zh-TW"/>
              </w:rPr>
              <w:t>联系电话：</w:t>
            </w:r>
            <w:r>
              <w:rPr>
                <w:rFonts w:hint="eastAsia" w:ascii="仿宋" w:hAnsi="仿宋" w:eastAsia="仿宋" w:cs="仿宋"/>
                <w:color w:val="auto"/>
                <w:szCs w:val="21"/>
                <w:highlight w:val="none"/>
                <w:lang w:val="zh-CN" w:eastAsia="zh-TW"/>
              </w:rPr>
              <w:t>028-62013599</w:t>
            </w:r>
          </w:p>
          <w:p>
            <w:pPr>
              <w:pStyle w:val="30"/>
              <w:tabs>
                <w:tab w:val="left" w:pos="7665"/>
              </w:tabs>
              <w:adjustRightInd w:val="0"/>
              <w:snapToGrid w:val="0"/>
              <w:spacing w:after="0" w:line="360" w:lineRule="auto"/>
              <w:jc w:val="both"/>
              <w:rPr>
                <w:rFonts w:hint="eastAsia" w:ascii="仿宋" w:hAnsi="仿宋" w:eastAsia="仿宋" w:cs="仿宋"/>
                <w:color w:val="auto"/>
                <w:highlight w:val="none"/>
                <w:lang w:val="zh-TW" w:eastAsia="zh-TW"/>
              </w:rPr>
            </w:pPr>
            <w:r>
              <w:rPr>
                <w:rFonts w:hint="eastAsia" w:ascii="仿宋" w:hAnsi="仿宋" w:eastAsia="仿宋" w:cs="仿宋"/>
                <w:color w:val="auto"/>
                <w:highlight w:val="none"/>
              </w:rPr>
              <w:t>特别说明</w:t>
            </w:r>
            <w:r>
              <w:rPr>
                <w:rFonts w:hint="eastAsia" w:ascii="仿宋" w:hAnsi="仿宋" w:eastAsia="仿宋" w:cs="仿宋"/>
                <w:color w:val="auto"/>
                <w:highlight w:val="none"/>
                <w:lang w:val="zh-TW" w:eastAsia="zh-TW"/>
              </w:rPr>
              <w:t>：</w:t>
            </w:r>
          </w:p>
          <w:p>
            <w:pPr>
              <w:pStyle w:val="30"/>
              <w:tabs>
                <w:tab w:val="left" w:pos="7665"/>
              </w:tabs>
              <w:adjustRightInd w:val="0"/>
              <w:snapToGrid w:val="0"/>
              <w:spacing w:after="0" w:line="360" w:lineRule="auto"/>
              <w:jc w:val="both"/>
              <w:rPr>
                <w:rFonts w:hint="eastAsia" w:ascii="仿宋" w:hAnsi="仿宋" w:eastAsia="仿宋" w:cs="仿宋"/>
                <w:color w:val="auto"/>
                <w:highlight w:val="none"/>
                <w:lang w:val="zh-TW" w:eastAsia="zh-TW"/>
              </w:rPr>
            </w:pPr>
            <w:r>
              <w:rPr>
                <w:rFonts w:hint="eastAsia" w:ascii="仿宋" w:hAnsi="仿宋" w:eastAsia="仿宋" w:cs="仿宋"/>
                <w:color w:val="auto"/>
                <w:highlight w:val="none"/>
                <w:lang w:val="zh-TW"/>
              </w:rPr>
              <w:t>（</w:t>
            </w:r>
            <w:r>
              <w:rPr>
                <w:rFonts w:hint="eastAsia" w:ascii="仿宋" w:hAnsi="仿宋" w:eastAsia="仿宋" w:cs="仿宋"/>
                <w:color w:val="auto"/>
                <w:highlight w:val="none"/>
              </w:rPr>
              <w:t>1</w:t>
            </w:r>
            <w:r>
              <w:rPr>
                <w:rFonts w:hint="eastAsia" w:ascii="仿宋" w:hAnsi="仿宋" w:eastAsia="仿宋" w:cs="仿宋"/>
                <w:color w:val="auto"/>
                <w:highlight w:val="none"/>
                <w:lang w:val="zh-TW"/>
              </w:rPr>
              <w:t>）</w:t>
            </w:r>
            <w:r>
              <w:rPr>
                <w:rFonts w:hint="eastAsia" w:ascii="仿宋" w:hAnsi="仿宋" w:eastAsia="仿宋" w:cs="仿宋"/>
                <w:color w:val="auto"/>
                <w:highlight w:val="none"/>
                <w:lang w:val="zh-TW" w:eastAsia="zh-TW"/>
              </w:rPr>
              <w:t>根据《中华人民共和国政府采购法》等法律法规规定，供应商质疑应当有明确的请求和必要的证明材料，须符合《政府采购质疑和投诉办法》(财政部第94号令)规定，并使用财政部下发《质疑函》范本。</w:t>
            </w:r>
          </w:p>
          <w:p>
            <w:pPr>
              <w:pStyle w:val="30"/>
              <w:tabs>
                <w:tab w:val="left" w:pos="7665"/>
              </w:tabs>
              <w:adjustRightInd w:val="0"/>
              <w:snapToGrid w:val="0"/>
              <w:spacing w:after="0" w:line="360" w:lineRule="auto"/>
              <w:jc w:val="both"/>
              <w:rPr>
                <w:rFonts w:hint="eastAsia" w:ascii="仿宋" w:hAnsi="仿宋" w:eastAsia="仿宋" w:cs="仿宋"/>
                <w:color w:val="auto"/>
                <w:highlight w:val="none"/>
                <w:lang w:val="zh-TW"/>
              </w:rPr>
            </w:pPr>
            <w:r>
              <w:rPr>
                <w:rFonts w:hint="eastAsia" w:ascii="仿宋" w:hAnsi="仿宋" w:eastAsia="仿宋" w:cs="仿宋"/>
                <w:color w:val="auto"/>
                <w:highlight w:val="none"/>
                <w:lang w:val="zh-TW"/>
              </w:rPr>
              <w:t>（</w:t>
            </w:r>
            <w:r>
              <w:rPr>
                <w:rFonts w:hint="eastAsia" w:ascii="仿宋" w:hAnsi="仿宋" w:eastAsia="仿宋" w:cs="仿宋"/>
                <w:color w:val="auto"/>
                <w:highlight w:val="none"/>
              </w:rPr>
              <w:t>2</w:t>
            </w:r>
            <w:r>
              <w:rPr>
                <w:rFonts w:hint="eastAsia" w:ascii="仿宋" w:hAnsi="仿宋" w:eastAsia="仿宋" w:cs="仿宋"/>
                <w:color w:val="auto"/>
                <w:highlight w:val="none"/>
                <w:lang w:val="zh-TW"/>
              </w:rPr>
              <w:t>）</w:t>
            </w:r>
            <w:r>
              <w:rPr>
                <w:rFonts w:hint="eastAsia" w:ascii="仿宋" w:hAnsi="仿宋" w:eastAsia="仿宋" w:cs="仿宋"/>
                <w:color w:val="auto"/>
                <w:highlight w:val="none"/>
                <w:lang w:val="zh-TW" w:eastAsia="zh-TW"/>
              </w:rPr>
              <w:t>明确的请求是指：供应商对</w:t>
            </w:r>
            <w:r>
              <w:rPr>
                <w:rFonts w:hint="eastAsia" w:ascii="仿宋" w:hAnsi="仿宋" w:eastAsia="仿宋" w:cs="仿宋"/>
                <w:color w:val="auto"/>
                <w:highlight w:val="none"/>
                <w:lang w:val="zh-TW"/>
              </w:rPr>
              <w:t>采购</w:t>
            </w:r>
            <w:r>
              <w:rPr>
                <w:rFonts w:hint="eastAsia" w:ascii="仿宋" w:hAnsi="仿宋" w:eastAsia="仿宋" w:cs="仿宋"/>
                <w:color w:val="auto"/>
                <w:highlight w:val="none"/>
                <w:lang w:val="zh-TW" w:eastAsia="zh-TW"/>
              </w:rPr>
              <w:t>文件还是对采购过程还是对中标、成交结果提出质疑；想要达到的结果，如中标成交无效、废标、重新组织采购、赔偿、追究法律责任等</w:t>
            </w:r>
            <w:r>
              <w:rPr>
                <w:rFonts w:hint="eastAsia" w:ascii="仿宋" w:hAnsi="仿宋" w:eastAsia="仿宋" w:cs="仿宋"/>
                <w:color w:val="auto"/>
                <w:highlight w:val="none"/>
                <w:lang w:val="zh-TW"/>
              </w:rPr>
              <w:t>。</w:t>
            </w:r>
          </w:p>
          <w:p>
            <w:pPr>
              <w:pStyle w:val="30"/>
              <w:tabs>
                <w:tab w:val="left" w:pos="7665"/>
              </w:tabs>
              <w:adjustRightInd w:val="0"/>
              <w:snapToGrid w:val="0"/>
              <w:spacing w:after="0" w:line="360" w:lineRule="auto"/>
              <w:jc w:val="both"/>
              <w:rPr>
                <w:rFonts w:hint="eastAsia" w:ascii="仿宋" w:hAnsi="仿宋" w:eastAsia="仿宋" w:cs="仿宋"/>
                <w:color w:val="auto"/>
                <w:highlight w:val="none"/>
                <w:lang w:val="zh-TW" w:eastAsia="zh-TW"/>
              </w:rPr>
            </w:pPr>
            <w:r>
              <w:rPr>
                <w:rFonts w:hint="eastAsia" w:ascii="仿宋" w:hAnsi="仿宋" w:eastAsia="仿宋" w:cs="仿宋"/>
                <w:color w:val="auto"/>
                <w:highlight w:val="none"/>
                <w:lang w:val="zh-TW"/>
              </w:rPr>
              <w:t>（</w:t>
            </w:r>
            <w:r>
              <w:rPr>
                <w:rFonts w:hint="eastAsia" w:ascii="仿宋" w:hAnsi="仿宋" w:eastAsia="仿宋" w:cs="仿宋"/>
                <w:color w:val="auto"/>
                <w:highlight w:val="none"/>
              </w:rPr>
              <w:t>3</w:t>
            </w:r>
            <w:r>
              <w:rPr>
                <w:rFonts w:hint="eastAsia" w:ascii="仿宋" w:hAnsi="仿宋" w:eastAsia="仿宋" w:cs="仿宋"/>
                <w:color w:val="auto"/>
                <w:highlight w:val="none"/>
                <w:lang w:val="zh-TW"/>
              </w:rPr>
              <w:t>）</w:t>
            </w:r>
            <w:r>
              <w:rPr>
                <w:rFonts w:hint="eastAsia" w:ascii="仿宋" w:hAnsi="仿宋" w:eastAsia="仿宋" w:cs="仿宋"/>
                <w:color w:val="auto"/>
                <w:highlight w:val="none"/>
                <w:lang w:val="zh-TW" w:eastAsia="zh-TW"/>
              </w:rPr>
              <w:t>必要的证明材料是指：包含供应商的营业执照、授权委托书(法定代表人质疑时无需提供)、委托代理人身份证明、参加采购项目的证明、权益受到损害的证明材料、证明提出质疑的事实存在的材料等。</w:t>
            </w:r>
          </w:p>
          <w:p>
            <w:pPr>
              <w:pStyle w:val="30"/>
              <w:tabs>
                <w:tab w:val="left" w:pos="7665"/>
              </w:tabs>
              <w:adjustRightInd w:val="0"/>
              <w:snapToGrid w:val="0"/>
              <w:spacing w:after="0" w:line="360" w:lineRule="auto"/>
              <w:jc w:val="both"/>
              <w:rPr>
                <w:rFonts w:hint="eastAsia" w:ascii="仿宋" w:hAnsi="仿宋" w:eastAsia="仿宋" w:cs="仿宋"/>
                <w:color w:val="auto"/>
                <w:highlight w:val="none"/>
                <w:lang w:val="zh-TW" w:eastAsia="zh-TW"/>
              </w:rPr>
            </w:pPr>
            <w:r>
              <w:rPr>
                <w:rFonts w:hint="eastAsia" w:ascii="仿宋" w:hAnsi="仿宋" w:eastAsia="仿宋" w:cs="仿宋"/>
                <w:color w:val="auto"/>
                <w:highlight w:val="none"/>
                <w:lang w:val="zh-TW"/>
              </w:rPr>
              <w:t>（</w:t>
            </w:r>
            <w:r>
              <w:rPr>
                <w:rFonts w:hint="eastAsia" w:ascii="仿宋" w:hAnsi="仿宋" w:eastAsia="仿宋" w:cs="仿宋"/>
                <w:color w:val="auto"/>
                <w:highlight w:val="none"/>
              </w:rPr>
              <w:t>4</w:t>
            </w:r>
            <w:r>
              <w:rPr>
                <w:rFonts w:hint="eastAsia" w:ascii="仿宋" w:hAnsi="仿宋" w:eastAsia="仿宋" w:cs="仿宋"/>
                <w:color w:val="auto"/>
                <w:highlight w:val="none"/>
                <w:lang w:val="zh-TW"/>
              </w:rPr>
              <w:t>）</w:t>
            </w:r>
            <w:r>
              <w:rPr>
                <w:rFonts w:hint="eastAsia" w:ascii="仿宋" w:hAnsi="仿宋" w:eastAsia="仿宋" w:cs="仿宋"/>
                <w:color w:val="auto"/>
                <w:highlight w:val="none"/>
                <w:lang w:val="zh-TW" w:eastAsia="zh-TW"/>
              </w:rPr>
              <w:t>如因供应商提出的质疑函不符合《政府采购质疑和投诉办法》(财政部令第94号)第十二条的要求，</w:t>
            </w:r>
            <w:r>
              <w:rPr>
                <w:rFonts w:hint="eastAsia" w:ascii="仿宋" w:hAnsi="仿宋" w:eastAsia="仿宋" w:cs="仿宋"/>
                <w:color w:val="auto"/>
                <w:highlight w:val="none"/>
              </w:rPr>
              <w:t>采购代理机构</w:t>
            </w:r>
            <w:r>
              <w:rPr>
                <w:rFonts w:hint="eastAsia" w:ascii="仿宋" w:hAnsi="仿宋" w:eastAsia="仿宋" w:cs="仿宋"/>
                <w:color w:val="auto"/>
                <w:highlight w:val="none"/>
                <w:lang w:val="zh-TW" w:eastAsia="zh-TW"/>
              </w:rPr>
              <w:t>或采购人将要求供应商在法定质疑期内进行质疑函补正，未进行补正或在法定质疑期内未进行补正的，其所有不利后果由供应商自行承担。</w:t>
            </w:r>
          </w:p>
          <w:p>
            <w:pPr>
              <w:adjustRightInd w:val="0"/>
              <w:snapToGrid w:val="0"/>
              <w:spacing w:after="0"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zh-TW"/>
              </w:rPr>
              <w:t>（</w:t>
            </w:r>
            <w:r>
              <w:rPr>
                <w:rFonts w:hint="eastAsia" w:ascii="仿宋" w:hAnsi="仿宋" w:eastAsia="仿宋" w:cs="仿宋"/>
                <w:color w:val="auto"/>
                <w:szCs w:val="21"/>
                <w:highlight w:val="none"/>
              </w:rPr>
              <w:t>5</w:t>
            </w:r>
            <w:r>
              <w:rPr>
                <w:rFonts w:hint="eastAsia" w:ascii="仿宋" w:hAnsi="仿宋" w:eastAsia="仿宋" w:cs="仿宋"/>
                <w:color w:val="auto"/>
                <w:szCs w:val="21"/>
                <w:highlight w:val="none"/>
                <w:lang w:val="zh-TW"/>
              </w:rPr>
              <w:t>）</w:t>
            </w:r>
            <w:r>
              <w:rPr>
                <w:rFonts w:hint="eastAsia" w:ascii="仿宋" w:hAnsi="仿宋" w:eastAsia="仿宋" w:cs="仿宋"/>
                <w:color w:val="auto"/>
                <w:szCs w:val="21"/>
                <w:highlight w:val="none"/>
                <w:lang w:val="zh-TW" w:eastAsia="zh-TW"/>
              </w:rPr>
              <w:t>供应商应当在法定质疑期内一次性提出针对同一采购程序环节的质疑。</w:t>
            </w:r>
            <w:bookmarkEnd w:id="30"/>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55" w:type="dxa"/>
            <w:noWrap w:val="0"/>
            <w:vAlign w:val="center"/>
          </w:tcPr>
          <w:p>
            <w:pPr>
              <w:adjustRightInd w:val="0"/>
              <w:snapToGrid w:val="0"/>
              <w:spacing w:after="0" w:line="360" w:lineRule="auto"/>
              <w:ind w:firstLine="105" w:firstLineChars="5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20</w:t>
            </w:r>
          </w:p>
        </w:tc>
        <w:tc>
          <w:tcPr>
            <w:tcW w:w="1666" w:type="dxa"/>
            <w:noWrap w:val="0"/>
            <w:vAlign w:val="center"/>
          </w:tcPr>
          <w:p>
            <w:pPr>
              <w:pStyle w:val="19"/>
              <w:snapToGrid w:val="0"/>
              <w:spacing w:after="0" w:line="36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供应商投诉</w:t>
            </w:r>
          </w:p>
        </w:tc>
        <w:tc>
          <w:tcPr>
            <w:tcW w:w="7133" w:type="dxa"/>
            <w:noWrap w:val="0"/>
            <w:vAlign w:val="top"/>
          </w:tcPr>
          <w:p>
            <w:pPr>
              <w:adjustRightInd w:val="0"/>
              <w:snapToGrid w:val="0"/>
              <w:spacing w:after="0" w:line="360" w:lineRule="auto"/>
              <w:ind w:firstLine="210" w:firstLineChars="100"/>
              <w:jc w:val="left"/>
              <w:rPr>
                <w:rFonts w:hint="eastAsia" w:ascii="仿宋" w:hAnsi="仿宋" w:eastAsia="仿宋" w:cs="仿宋"/>
                <w:color w:val="auto"/>
                <w:szCs w:val="21"/>
                <w:highlight w:val="none"/>
                <w:lang w:val="zh-TW" w:eastAsia="zh-TW"/>
              </w:rPr>
            </w:pPr>
            <w:r>
              <w:rPr>
                <w:rFonts w:hint="eastAsia" w:ascii="仿宋" w:hAnsi="仿宋" w:eastAsia="仿宋" w:cs="仿宋"/>
                <w:color w:val="auto"/>
                <w:szCs w:val="21"/>
                <w:highlight w:val="none"/>
                <w:lang w:val="zh-TW" w:eastAsia="zh-TW"/>
              </w:rPr>
              <w:t>投诉受理单位：本采购项目同级财政部门</w:t>
            </w:r>
            <w:r>
              <w:rPr>
                <w:rFonts w:hint="eastAsia" w:ascii="仿宋" w:hAnsi="仿宋" w:eastAsia="仿宋" w:cs="仿宋"/>
                <w:color w:val="auto"/>
                <w:szCs w:val="21"/>
                <w:highlight w:val="none"/>
                <w:lang w:val="zh-TW"/>
              </w:rPr>
              <w:t>。</w:t>
            </w:r>
            <w:r>
              <w:rPr>
                <w:rFonts w:hint="eastAsia" w:ascii="仿宋" w:hAnsi="仿宋" w:eastAsia="仿宋" w:cs="仿宋"/>
                <w:color w:val="auto"/>
                <w:szCs w:val="21"/>
                <w:highlight w:val="none"/>
              </w:rPr>
              <w:t>本项目为成都市双流区财政局</w:t>
            </w:r>
            <w:r>
              <w:rPr>
                <w:rFonts w:hint="eastAsia" w:ascii="仿宋" w:hAnsi="仿宋" w:eastAsia="仿宋" w:cs="仿宋"/>
                <w:color w:val="auto"/>
                <w:szCs w:val="21"/>
                <w:highlight w:val="none"/>
                <w:lang w:val="zh-TW"/>
              </w:rPr>
              <w:t>，</w:t>
            </w:r>
            <w:r>
              <w:rPr>
                <w:rFonts w:hint="eastAsia" w:ascii="仿宋" w:hAnsi="仿宋" w:eastAsia="仿宋" w:cs="仿宋"/>
                <w:color w:val="auto"/>
                <w:szCs w:val="21"/>
                <w:highlight w:val="none"/>
              </w:rPr>
              <w:t>联系电话：028-85804726</w:t>
            </w:r>
            <w:r>
              <w:rPr>
                <w:rFonts w:hint="eastAsia" w:ascii="仿宋" w:hAnsi="仿宋" w:eastAsia="仿宋" w:cs="仿宋"/>
                <w:color w:val="auto"/>
                <w:szCs w:val="21"/>
                <w:highlight w:val="none"/>
                <w:lang w:val="zh-TW" w:eastAsia="zh-TW"/>
              </w:rPr>
              <w:t>。</w:t>
            </w:r>
          </w:p>
          <w:p>
            <w:pPr>
              <w:adjustRightInd w:val="0"/>
              <w:snapToGrid w:val="0"/>
              <w:spacing w:after="0" w:line="360" w:lineRule="auto"/>
              <w:ind w:firstLine="210" w:firstLineChars="1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我公司投诉联系人</w:t>
            </w:r>
            <w:r>
              <w:rPr>
                <w:rFonts w:hint="eastAsia" w:ascii="仿宋" w:hAnsi="仿宋" w:eastAsia="仿宋" w:cs="仿宋"/>
                <w:color w:val="auto"/>
                <w:szCs w:val="21"/>
                <w:highlight w:val="none"/>
                <w:lang w:val="zh-TW" w:eastAsia="zh-TW"/>
              </w:rPr>
              <w:t>：</w:t>
            </w:r>
            <w:r>
              <w:rPr>
                <w:rFonts w:hint="eastAsia" w:ascii="仿宋" w:hAnsi="仿宋" w:eastAsia="仿宋" w:cs="仿宋"/>
                <w:color w:val="auto"/>
                <w:szCs w:val="21"/>
                <w:highlight w:val="none"/>
                <w:lang w:val="en-US" w:eastAsia="zh-CN"/>
              </w:rPr>
              <w:t>钟</w:t>
            </w:r>
            <w:r>
              <w:rPr>
                <w:rFonts w:hint="eastAsia" w:ascii="仿宋" w:hAnsi="仿宋" w:eastAsia="仿宋" w:cs="仿宋"/>
                <w:color w:val="auto"/>
                <w:szCs w:val="21"/>
                <w:highlight w:val="none"/>
              </w:rPr>
              <w:t>女士、陈先生</w:t>
            </w:r>
          </w:p>
          <w:p>
            <w:pPr>
              <w:adjustRightInd w:val="0"/>
              <w:snapToGrid w:val="0"/>
              <w:spacing w:after="0" w:line="360" w:lineRule="auto"/>
              <w:ind w:firstLine="210" w:firstLineChars="1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zh-TW" w:eastAsia="zh-TW"/>
              </w:rPr>
              <w:t>联系电话：028-62013599</w:t>
            </w:r>
          </w:p>
          <w:p>
            <w:pPr>
              <w:adjustRightInd w:val="0"/>
              <w:snapToGrid w:val="0"/>
              <w:spacing w:after="0" w:line="360" w:lineRule="auto"/>
              <w:ind w:firstLine="210" w:firstLineChars="1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注：根据《中华人民共和国政府采购法实施条例》及中华人民共和国财政部令第94号《政府采购质疑和投诉》办法的规定，供应商投诉事项不得超出已质疑事项的范围。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55" w:type="dxa"/>
            <w:noWrap w:val="0"/>
            <w:vAlign w:val="center"/>
          </w:tcPr>
          <w:p>
            <w:pPr>
              <w:adjustRightInd w:val="0"/>
              <w:snapToGrid w:val="0"/>
              <w:spacing w:after="0" w:line="360" w:lineRule="auto"/>
              <w:ind w:firstLine="105" w:firstLineChars="5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21</w:t>
            </w:r>
          </w:p>
        </w:tc>
        <w:tc>
          <w:tcPr>
            <w:tcW w:w="1666" w:type="dxa"/>
            <w:tcBorders>
              <w:right w:val="single" w:color="auto" w:sz="4" w:space="0"/>
            </w:tcBorders>
            <w:noWrap w:val="0"/>
            <w:vAlign w:val="center"/>
          </w:tcPr>
          <w:p>
            <w:pPr>
              <w:adjustRightInd w:val="0"/>
              <w:snapToGrid w:val="0"/>
              <w:spacing w:after="0"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政府采购合同</w:t>
            </w:r>
          </w:p>
          <w:p>
            <w:pPr>
              <w:adjustRightInd w:val="0"/>
              <w:snapToGrid w:val="0"/>
              <w:spacing w:after="0" w:line="360" w:lineRule="auto"/>
              <w:ind w:firstLine="105" w:firstLineChars="5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公告备案</w:t>
            </w:r>
          </w:p>
        </w:tc>
        <w:tc>
          <w:tcPr>
            <w:tcW w:w="7133" w:type="dxa"/>
            <w:tcBorders>
              <w:left w:val="single" w:color="auto" w:sz="4" w:space="0"/>
            </w:tcBorders>
            <w:noWrap w:val="0"/>
            <w:vAlign w:val="top"/>
          </w:tcPr>
          <w:p>
            <w:pPr>
              <w:adjustRightInd w:val="0"/>
              <w:snapToGrid w:val="0"/>
              <w:spacing w:after="0" w:line="360" w:lineRule="auto"/>
              <w:rPr>
                <w:rFonts w:hint="eastAsia" w:ascii="仿宋" w:hAnsi="仿宋" w:eastAsia="仿宋" w:cs="仿宋"/>
                <w:color w:val="auto"/>
                <w:szCs w:val="21"/>
                <w:highlight w:val="none"/>
              </w:rPr>
            </w:pPr>
            <w:bookmarkStart w:id="31" w:name="PO_默认文件内容_38"/>
            <w:r>
              <w:rPr>
                <w:rFonts w:hint="eastAsia" w:ascii="仿宋" w:hAnsi="仿宋" w:eastAsia="仿宋" w:cs="仿宋"/>
                <w:color w:val="auto"/>
                <w:szCs w:val="21"/>
                <w:highlight w:val="none"/>
              </w:rPr>
              <w:t>政府采购合同签订之日起2个工作日内，采购人应将政府采购合同在四川政府采购网公告；政府采购合同签订之日起七个工作日内，政府采购合同将向本采购项目同级财政部门备案</w:t>
            </w:r>
            <w:r>
              <w:rPr>
                <w:rFonts w:hint="eastAsia" w:ascii="仿宋" w:hAnsi="仿宋" w:eastAsia="仿宋" w:cs="仿宋"/>
                <w:color w:val="auto"/>
                <w:szCs w:val="21"/>
                <w:highlight w:val="none"/>
                <w:lang w:val="zh-CN"/>
              </w:rPr>
              <w:t>。</w:t>
            </w:r>
            <w:bookmarkEnd w:id="31"/>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92" w:hRule="atLeast"/>
          <w:jc w:val="center"/>
        </w:trPr>
        <w:tc>
          <w:tcPr>
            <w:tcW w:w="555" w:type="dxa"/>
            <w:noWrap w:val="0"/>
            <w:vAlign w:val="center"/>
          </w:tcPr>
          <w:p>
            <w:pPr>
              <w:adjustRightInd w:val="0"/>
              <w:snapToGrid w:val="0"/>
              <w:spacing w:after="0" w:line="360" w:lineRule="auto"/>
              <w:ind w:firstLine="105" w:firstLineChars="5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22</w:t>
            </w:r>
          </w:p>
        </w:tc>
        <w:tc>
          <w:tcPr>
            <w:tcW w:w="1666" w:type="dxa"/>
            <w:tcBorders>
              <w:right w:val="single" w:color="auto" w:sz="4" w:space="0"/>
            </w:tcBorders>
            <w:noWrap w:val="0"/>
            <w:vAlign w:val="center"/>
          </w:tcPr>
          <w:p>
            <w:pPr>
              <w:adjustRightInd w:val="0"/>
              <w:snapToGrid w:val="0"/>
              <w:spacing w:after="0" w:line="360" w:lineRule="auto"/>
              <w:jc w:val="center"/>
              <w:outlineLvl w:val="5"/>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备选投标方案和报价</w:t>
            </w:r>
          </w:p>
        </w:tc>
        <w:tc>
          <w:tcPr>
            <w:tcW w:w="7133" w:type="dxa"/>
            <w:tcBorders>
              <w:left w:val="single" w:color="auto" w:sz="4" w:space="0"/>
            </w:tcBorders>
            <w:noWrap w:val="0"/>
            <w:vAlign w:val="center"/>
          </w:tcPr>
          <w:p>
            <w:pPr>
              <w:adjustRightInd w:val="0"/>
              <w:snapToGrid w:val="0"/>
              <w:spacing w:after="0" w:line="360" w:lineRule="auto"/>
              <w:jc w:val="left"/>
              <w:outlineLvl w:val="5"/>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本次采购不接受备选投标方案和多个报价。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55" w:type="dxa"/>
            <w:noWrap w:val="0"/>
            <w:vAlign w:val="center"/>
          </w:tcPr>
          <w:p>
            <w:pPr>
              <w:adjustRightInd w:val="0"/>
              <w:snapToGrid w:val="0"/>
              <w:spacing w:after="0" w:line="360" w:lineRule="auto"/>
              <w:ind w:firstLine="105" w:firstLineChars="5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23</w:t>
            </w:r>
          </w:p>
        </w:tc>
        <w:tc>
          <w:tcPr>
            <w:tcW w:w="1666" w:type="dxa"/>
            <w:tcBorders>
              <w:right w:val="single" w:color="auto" w:sz="4" w:space="0"/>
            </w:tcBorders>
            <w:noWrap w:val="0"/>
            <w:vAlign w:val="center"/>
          </w:tcPr>
          <w:p>
            <w:pPr>
              <w:pStyle w:val="19"/>
              <w:snapToGrid w:val="0"/>
              <w:spacing w:after="0"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zh-CN"/>
              </w:rPr>
              <w:t>招标代理服务费</w:t>
            </w:r>
          </w:p>
        </w:tc>
        <w:tc>
          <w:tcPr>
            <w:tcW w:w="7133" w:type="dxa"/>
            <w:tcBorders>
              <w:left w:val="single" w:color="auto" w:sz="4" w:space="0"/>
            </w:tcBorders>
            <w:noWrap w:val="0"/>
            <w:vAlign w:val="center"/>
          </w:tcPr>
          <w:p>
            <w:pPr>
              <w:pStyle w:val="19"/>
              <w:snapToGrid w:val="0"/>
              <w:spacing w:after="0" w:line="360" w:lineRule="auto"/>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依照成本加合理利润的原则，参照原国家计委计价格[2002]1980号及发改办价格[2003]857号、《国家发展改革委关于进一步放开建设项目专业服务价格的通知》发改价格〔2015〕299号通知规定收取代理服务费。由中标人在领取中标通知书时向招标代理机构交纳。</w:t>
            </w:r>
          </w:p>
          <w:p>
            <w:pPr>
              <w:pStyle w:val="19"/>
              <w:snapToGrid w:val="0"/>
              <w:spacing w:after="0" w:line="360" w:lineRule="auto"/>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收款单位：利阳致诚国际项目管理有限公司</w:t>
            </w:r>
          </w:p>
          <w:p>
            <w:pPr>
              <w:pStyle w:val="19"/>
              <w:snapToGrid w:val="0"/>
              <w:spacing w:after="0" w:line="360" w:lineRule="auto"/>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收款账号：630662294</w:t>
            </w:r>
          </w:p>
          <w:p>
            <w:pPr>
              <w:pStyle w:val="19"/>
              <w:snapToGrid w:val="0"/>
              <w:spacing w:after="0" w:line="360" w:lineRule="auto"/>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开户行：中国民生银行成都分行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55" w:type="dxa"/>
            <w:noWrap w:val="0"/>
            <w:vAlign w:val="center"/>
          </w:tcPr>
          <w:p>
            <w:pPr>
              <w:adjustRightInd w:val="0"/>
              <w:snapToGrid w:val="0"/>
              <w:spacing w:after="0" w:line="360" w:lineRule="auto"/>
              <w:ind w:firstLine="105" w:firstLineChars="5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24</w:t>
            </w:r>
          </w:p>
        </w:tc>
        <w:tc>
          <w:tcPr>
            <w:tcW w:w="1666" w:type="dxa"/>
            <w:tcBorders>
              <w:right w:val="single" w:color="auto" w:sz="4" w:space="0"/>
            </w:tcBorders>
            <w:noWrap w:val="0"/>
            <w:vAlign w:val="center"/>
          </w:tcPr>
          <w:p>
            <w:pPr>
              <w:pStyle w:val="74"/>
              <w:wordWrap/>
              <w:spacing w:after="0" w:line="360" w:lineRule="auto"/>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rPr>
              <w:t>政府采购供应商信用融资</w:t>
            </w:r>
          </w:p>
        </w:tc>
        <w:tc>
          <w:tcPr>
            <w:tcW w:w="7133" w:type="dxa"/>
            <w:tcBorders>
              <w:left w:val="single" w:color="auto" w:sz="4" w:space="0"/>
            </w:tcBorders>
            <w:noWrap w:val="0"/>
            <w:vAlign w:val="center"/>
          </w:tcPr>
          <w:p>
            <w:pPr>
              <w:pStyle w:val="99"/>
              <w:wordWrap/>
              <w:spacing w:after="0" w:line="360" w:lineRule="auto"/>
              <w:ind w:left="0" w:left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1.政府采购供应商信用融资，是指银行以政府采购供应商信用审查和政府采购信誉为基础，依托政府采购合同，按优于一般企业的贷款程序和利率，直接向申请贷款的供应商发放无财产抵押贷款的一种融资模式。</w:t>
            </w:r>
          </w:p>
          <w:p>
            <w:pPr>
              <w:pStyle w:val="99"/>
              <w:wordWrap/>
              <w:spacing w:after="0" w:line="360" w:lineRule="auto"/>
              <w:ind w:left="0" w:left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2.有融资需求的供应商可根据《四川省财政厅关于推进四川省政府采购供应商信用融资工作的通知》(川财采〔2018〕123号)、《成都市中小企业政府采购信用融资暂行办法》（成财采〔2019〕17号）等文件要求，根据“四川政府采购网”公示的银行及其“政采贷”产品，自行选择符合自身情况的“政采贷”银行及其产品，凭中标(成交)通知书向银行提出贷款意向申请，并按照相关规定要求和贷款流程办理。上述文件请在四川政府采购网查询。</w:t>
            </w:r>
          </w:p>
          <w:p>
            <w:pPr>
              <w:keepLines w:val="0"/>
              <w:pageBreakBefore w:val="0"/>
              <w:shd w:val="clear" w:color="auto" w:fill="FFFFFF"/>
              <w:tabs>
                <w:tab w:val="left" w:pos="900"/>
                <w:tab w:val="left" w:pos="5366"/>
              </w:tabs>
              <w:kinsoku/>
              <w:wordWrap w:val="0"/>
              <w:overflowPunct/>
              <w:topLinePunct w:val="0"/>
              <w:bidi w:val="0"/>
              <w:snapToGrid w:val="0"/>
              <w:spacing w:line="240" w:lineRule="auto"/>
              <w:ind w:left="0" w:leftChars="0" w:right="0" w:rightChars="0" w:firstLine="0" w:firstLineChars="0"/>
              <w:jc w:val="left"/>
              <w:outlineLvl w:val="5"/>
              <w:rPr>
                <w:rFonts w:hint="eastAsia" w:ascii="仿宋" w:hAnsi="仿宋" w:eastAsia="仿宋" w:cs="仿宋"/>
                <w:color w:val="auto"/>
                <w:szCs w:val="21"/>
                <w:highlight w:val="none"/>
              </w:rPr>
            </w:pPr>
            <w:r>
              <w:rPr>
                <w:rFonts w:hint="eastAsia" w:ascii="仿宋" w:hAnsi="仿宋" w:eastAsia="仿宋" w:cs="仿宋"/>
                <w:snapToGrid w:val="0"/>
                <w:color w:val="auto"/>
                <w:kern w:val="2"/>
                <w:sz w:val="21"/>
                <w:szCs w:val="21"/>
                <w:highlight w:val="none"/>
                <w:lang w:val="zh-CN" w:eastAsia="zh-CN" w:bidi="ar-SA"/>
              </w:rPr>
              <w:t xml:space="preserve">申请蓉采贷具体相关流程请查看 </w:t>
            </w:r>
            <w:r>
              <w:rPr>
                <w:rFonts w:hint="eastAsia" w:ascii="仿宋" w:hAnsi="仿宋" w:eastAsia="仿宋" w:cs="仿宋"/>
                <w:snapToGrid w:val="0"/>
                <w:color w:val="auto"/>
                <w:kern w:val="2"/>
                <w:sz w:val="21"/>
                <w:szCs w:val="21"/>
                <w:highlight w:val="none"/>
                <w:lang w:val="zh-CN" w:eastAsia="zh-CN" w:bidi="ar-SA"/>
              </w:rPr>
              <w:fldChar w:fldCharType="begin"/>
            </w:r>
            <w:r>
              <w:rPr>
                <w:rFonts w:hint="eastAsia" w:ascii="仿宋" w:hAnsi="仿宋" w:eastAsia="仿宋" w:cs="仿宋"/>
                <w:snapToGrid w:val="0"/>
                <w:color w:val="auto"/>
                <w:kern w:val="2"/>
                <w:sz w:val="21"/>
                <w:szCs w:val="21"/>
                <w:highlight w:val="none"/>
                <w:lang w:val="zh-CN" w:eastAsia="zh-CN" w:bidi="ar-SA"/>
              </w:rPr>
              <w:instrText xml:space="preserve"> HYPERLINK "http://cdcz.chengdu.gov.cn/zfcg/gpLoan。" </w:instrText>
            </w:r>
            <w:r>
              <w:rPr>
                <w:rFonts w:hint="eastAsia" w:ascii="仿宋" w:hAnsi="仿宋" w:eastAsia="仿宋" w:cs="仿宋"/>
                <w:snapToGrid w:val="0"/>
                <w:color w:val="auto"/>
                <w:kern w:val="2"/>
                <w:sz w:val="21"/>
                <w:szCs w:val="21"/>
                <w:highlight w:val="none"/>
                <w:lang w:val="zh-CN" w:eastAsia="zh-CN" w:bidi="ar-SA"/>
              </w:rPr>
              <w:fldChar w:fldCharType="separate"/>
            </w:r>
            <w:r>
              <w:rPr>
                <w:rFonts w:hint="eastAsia" w:ascii="仿宋" w:hAnsi="仿宋" w:eastAsia="仿宋" w:cs="仿宋"/>
                <w:snapToGrid w:val="0"/>
                <w:color w:val="auto"/>
                <w:kern w:val="2"/>
                <w:sz w:val="21"/>
                <w:szCs w:val="21"/>
                <w:highlight w:val="none"/>
                <w:lang w:val="zh-CN" w:eastAsia="zh-CN" w:bidi="ar-SA"/>
              </w:rPr>
              <w:t>http://cdcz.chengdu.gov.cn/zfcg/gpLoan。</w:t>
            </w:r>
            <w:r>
              <w:rPr>
                <w:rFonts w:hint="eastAsia" w:ascii="仿宋" w:hAnsi="仿宋" w:eastAsia="仿宋" w:cs="仿宋"/>
                <w:snapToGrid w:val="0"/>
                <w:color w:val="auto"/>
                <w:kern w:val="2"/>
                <w:sz w:val="21"/>
                <w:szCs w:val="21"/>
                <w:highlight w:val="none"/>
                <w:lang w:val="zh-CN" w:eastAsia="zh-CN" w:bidi="ar-SA"/>
              </w:rPr>
              <w:fldChar w:fldCharType="end"/>
            </w:r>
            <w:r>
              <w:rPr>
                <w:rFonts w:hint="eastAsia" w:ascii="仿宋" w:hAnsi="仿宋" w:eastAsia="仿宋" w:cs="仿宋"/>
                <w:snapToGrid w:val="0"/>
                <w:color w:val="auto"/>
                <w:kern w:val="2"/>
                <w:sz w:val="21"/>
                <w:szCs w:val="21"/>
                <w:highlight w:val="none"/>
                <w:lang w:val="zh-CN" w:eastAsia="zh-CN" w:bidi="ar-SA"/>
              </w:rPr>
              <w:t>具体内容详见招标文件附件《成都市财政局关于增补“蓉采贷”政策合作银行及做好相关工作的通知》（成财采发〔2020〕20号）。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55" w:type="dxa"/>
            <w:noWrap w:val="0"/>
            <w:vAlign w:val="center"/>
          </w:tcPr>
          <w:p>
            <w:pPr>
              <w:adjustRightInd w:val="0"/>
              <w:snapToGrid w:val="0"/>
              <w:spacing w:after="0" w:line="360" w:lineRule="auto"/>
              <w:ind w:firstLine="105" w:firstLineChars="5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25</w:t>
            </w:r>
          </w:p>
        </w:tc>
        <w:tc>
          <w:tcPr>
            <w:tcW w:w="1666" w:type="dxa"/>
            <w:tcBorders>
              <w:right w:val="single" w:color="auto" w:sz="4" w:space="0"/>
            </w:tcBorders>
            <w:noWrap w:val="0"/>
            <w:vAlign w:val="center"/>
          </w:tcPr>
          <w:p>
            <w:pPr>
              <w:pStyle w:val="74"/>
              <w:wordWrap/>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声明承诺提醒</w:t>
            </w:r>
          </w:p>
        </w:tc>
        <w:tc>
          <w:tcPr>
            <w:tcW w:w="7133" w:type="dxa"/>
            <w:tcBorders>
              <w:left w:val="single" w:color="auto" w:sz="4" w:space="0"/>
            </w:tcBorders>
            <w:noWrap w:val="0"/>
            <w:vAlign w:val="center"/>
          </w:tcPr>
          <w:p>
            <w:pPr>
              <w:pStyle w:val="99"/>
              <w:wordWrap/>
              <w:spacing w:after="0" w:line="360" w:lineRule="auto"/>
              <w:ind w:left="0" w:leftChars="0"/>
              <w:rPr>
                <w:rFonts w:hint="eastAsia" w:ascii="仿宋" w:hAnsi="仿宋" w:eastAsia="仿宋" w:cs="仿宋"/>
                <w:color w:val="auto"/>
                <w:szCs w:val="21"/>
                <w:highlight w:val="none"/>
              </w:rPr>
            </w:pPr>
            <w:r>
              <w:rPr>
                <w:rFonts w:hint="eastAsia" w:ascii="仿宋" w:hAnsi="仿宋" w:eastAsia="仿宋" w:cs="仿宋"/>
                <w:color w:val="auto"/>
                <w:szCs w:val="21"/>
                <w:highlight w:val="none"/>
              </w:rPr>
              <w:t>供应商投标文件中提供的各种声明和承诺应当真实有效，无效声明和承诺、虚假声明和承诺将由供应商自己承担由此带来的任何不利后果，虚假声明和承诺还将报告监管部门追究法律责任。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55" w:type="dxa"/>
            <w:noWrap w:val="0"/>
            <w:vAlign w:val="center"/>
          </w:tcPr>
          <w:p>
            <w:pPr>
              <w:adjustRightInd w:val="0"/>
              <w:snapToGrid w:val="0"/>
              <w:spacing w:after="0" w:line="360" w:lineRule="auto"/>
              <w:ind w:firstLine="105" w:firstLineChars="5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26</w:t>
            </w:r>
          </w:p>
        </w:tc>
        <w:tc>
          <w:tcPr>
            <w:tcW w:w="1666" w:type="dxa"/>
            <w:tcBorders>
              <w:right w:val="single" w:color="auto" w:sz="4" w:space="0"/>
            </w:tcBorders>
            <w:noWrap w:val="0"/>
            <w:vAlign w:val="center"/>
          </w:tcPr>
          <w:p>
            <w:pPr>
              <w:pStyle w:val="74"/>
              <w:wordWrap/>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服务质量</w:t>
            </w:r>
          </w:p>
          <w:p>
            <w:pPr>
              <w:pStyle w:val="74"/>
              <w:wordWrap/>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投诉电话</w:t>
            </w:r>
          </w:p>
        </w:tc>
        <w:tc>
          <w:tcPr>
            <w:tcW w:w="7133" w:type="dxa"/>
            <w:tcBorders>
              <w:left w:val="single" w:color="auto" w:sz="4" w:space="0"/>
            </w:tcBorders>
            <w:noWrap w:val="0"/>
            <w:vAlign w:val="center"/>
          </w:tcPr>
          <w:p>
            <w:pPr>
              <w:pStyle w:val="99"/>
              <w:wordWrap/>
              <w:spacing w:after="0" w:line="360" w:lineRule="auto"/>
              <w:ind w:left="0" w:leftChars="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联系人：</w:t>
            </w:r>
            <w:r>
              <w:rPr>
                <w:rFonts w:hint="eastAsia" w:ascii="仿宋" w:hAnsi="仿宋" w:eastAsia="仿宋" w:cs="仿宋"/>
                <w:color w:val="auto"/>
                <w:szCs w:val="21"/>
                <w:highlight w:val="none"/>
                <w:lang w:val="en-US" w:eastAsia="zh-CN"/>
              </w:rPr>
              <w:t>陈老师</w:t>
            </w:r>
          </w:p>
          <w:p>
            <w:pPr>
              <w:pStyle w:val="99"/>
              <w:wordWrap/>
              <w:spacing w:after="0" w:line="360" w:lineRule="auto"/>
              <w:ind w:left="0" w:leftChars="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联系电话：028-83</w:t>
            </w:r>
            <w:r>
              <w:rPr>
                <w:rFonts w:hint="eastAsia" w:ascii="仿宋" w:hAnsi="仿宋" w:eastAsia="仿宋" w:cs="仿宋"/>
                <w:color w:val="auto"/>
                <w:szCs w:val="21"/>
                <w:highlight w:val="none"/>
                <w:lang w:val="en-US" w:eastAsia="zh-CN"/>
              </w:rPr>
              <w:t>377199</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55" w:type="dxa"/>
            <w:noWrap w:val="0"/>
            <w:vAlign w:val="center"/>
          </w:tcPr>
          <w:p>
            <w:pPr>
              <w:adjustRightInd w:val="0"/>
              <w:snapToGrid w:val="0"/>
              <w:spacing w:after="0" w:line="360" w:lineRule="auto"/>
              <w:ind w:firstLine="105" w:firstLineChars="5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27</w:t>
            </w:r>
          </w:p>
        </w:tc>
        <w:tc>
          <w:tcPr>
            <w:tcW w:w="1666" w:type="dxa"/>
            <w:tcBorders>
              <w:right w:val="single" w:color="auto" w:sz="4" w:space="0"/>
            </w:tcBorders>
            <w:noWrap w:val="0"/>
            <w:vAlign w:val="center"/>
          </w:tcPr>
          <w:p>
            <w:pPr>
              <w:pStyle w:val="82"/>
              <w:snapToGrid w:val="0"/>
              <w:spacing w:after="0"/>
              <w:ind w:firstLine="420"/>
              <w:jc w:val="both"/>
              <w:rPr>
                <w:rFonts w:hint="eastAsia" w:ascii="仿宋" w:hAnsi="仿宋" w:eastAsia="仿宋" w:cs="仿宋"/>
                <w:bCs/>
                <w:color w:val="auto"/>
                <w:sz w:val="21"/>
                <w:szCs w:val="21"/>
                <w:highlight w:val="none"/>
              </w:rPr>
            </w:pPr>
            <w:r>
              <w:rPr>
                <w:rFonts w:hint="eastAsia" w:ascii="仿宋" w:hAnsi="仿宋" w:eastAsia="仿宋" w:cs="仿宋"/>
                <w:color w:val="auto"/>
                <w:sz w:val="21"/>
                <w:szCs w:val="21"/>
                <w:highlight w:val="none"/>
                <w:lang w:val="zh-CN"/>
              </w:rPr>
              <w:t>应知事项</w:t>
            </w:r>
          </w:p>
        </w:tc>
        <w:tc>
          <w:tcPr>
            <w:tcW w:w="7133" w:type="dxa"/>
            <w:tcBorders>
              <w:left w:val="single" w:color="auto" w:sz="4" w:space="0"/>
            </w:tcBorders>
            <w:noWrap w:val="0"/>
            <w:vAlign w:val="center"/>
          </w:tcPr>
          <w:p>
            <w:pPr>
              <w:pStyle w:val="19"/>
              <w:snapToGrid w:val="0"/>
              <w:spacing w:after="0" w:line="360" w:lineRule="auto"/>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除明确要求须声明或承诺的事项外，</w:t>
            </w:r>
            <w:r>
              <w:rPr>
                <w:rFonts w:hint="eastAsia" w:ascii="仿宋" w:hAnsi="仿宋" w:eastAsia="仿宋" w:cs="仿宋"/>
                <w:color w:val="auto"/>
                <w:sz w:val="21"/>
                <w:szCs w:val="21"/>
                <w:highlight w:val="none"/>
                <w:lang w:val="zh-CN"/>
              </w:rPr>
              <w:t>供应商</w:t>
            </w:r>
            <w:r>
              <w:rPr>
                <w:rFonts w:hint="eastAsia" w:ascii="仿宋" w:hAnsi="仿宋" w:eastAsia="仿宋" w:cs="仿宋"/>
                <w:color w:val="auto"/>
                <w:sz w:val="21"/>
                <w:szCs w:val="21"/>
                <w:highlight w:val="none"/>
              </w:rPr>
              <w:t>可不对未要求声明或承诺的实质性要求进行承诺，只要</w:t>
            </w:r>
            <w:r>
              <w:rPr>
                <w:rFonts w:hint="eastAsia" w:ascii="仿宋" w:hAnsi="仿宋" w:eastAsia="仿宋" w:cs="仿宋"/>
                <w:color w:val="auto"/>
                <w:sz w:val="21"/>
                <w:szCs w:val="21"/>
                <w:highlight w:val="none"/>
                <w:lang w:val="zh-CN"/>
              </w:rPr>
              <w:t>供应商</w:t>
            </w:r>
            <w:r>
              <w:rPr>
                <w:rFonts w:hint="eastAsia" w:ascii="仿宋" w:hAnsi="仿宋" w:eastAsia="仿宋" w:cs="仿宋"/>
                <w:color w:val="auto"/>
                <w:sz w:val="21"/>
                <w:szCs w:val="21"/>
                <w:highlight w:val="none"/>
              </w:rPr>
              <w:t>未明确表示不响应招标文件的要求，即视为</w:t>
            </w:r>
            <w:r>
              <w:rPr>
                <w:rFonts w:hint="eastAsia" w:ascii="仿宋" w:hAnsi="仿宋" w:eastAsia="仿宋" w:cs="仿宋"/>
                <w:color w:val="auto"/>
                <w:sz w:val="21"/>
                <w:szCs w:val="21"/>
                <w:highlight w:val="none"/>
                <w:lang w:val="zh-CN"/>
              </w:rPr>
              <w:t>供应商</w:t>
            </w:r>
            <w:r>
              <w:rPr>
                <w:rFonts w:hint="eastAsia" w:ascii="仿宋" w:hAnsi="仿宋" w:eastAsia="仿宋" w:cs="仿宋"/>
                <w:color w:val="auto"/>
                <w:sz w:val="21"/>
                <w:szCs w:val="21"/>
                <w:highlight w:val="none"/>
              </w:rPr>
              <w:t>完全响应。</w:t>
            </w:r>
          </w:p>
          <w:p>
            <w:pPr>
              <w:pStyle w:val="19"/>
              <w:snapToGrid w:val="0"/>
              <w:spacing w:after="0" w:line="360" w:lineRule="auto"/>
              <w:jc w:val="both"/>
              <w:rPr>
                <w:rFonts w:hint="eastAsia" w:ascii="仿宋" w:hAnsi="仿宋" w:eastAsia="仿宋" w:cs="仿宋"/>
                <w:bCs/>
                <w:color w:val="auto"/>
                <w:kern w:val="2"/>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如因行业惯例或习惯，在招标文件中使用了非法定计量单位，不影响响应文件的有效性和符合性。</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55" w:type="dxa"/>
            <w:noWrap w:val="0"/>
            <w:vAlign w:val="center"/>
          </w:tcPr>
          <w:p>
            <w:pPr>
              <w:adjustRightInd w:val="0"/>
              <w:snapToGrid w:val="0"/>
              <w:spacing w:after="0" w:line="360" w:lineRule="auto"/>
              <w:ind w:firstLine="105" w:firstLineChars="5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28</w:t>
            </w:r>
          </w:p>
        </w:tc>
        <w:tc>
          <w:tcPr>
            <w:tcW w:w="1666" w:type="dxa"/>
            <w:tcBorders>
              <w:right w:val="single" w:color="auto" w:sz="4" w:space="0"/>
            </w:tcBorders>
            <w:noWrap w:val="0"/>
            <w:vAlign w:val="center"/>
          </w:tcPr>
          <w:p>
            <w:pPr>
              <w:pStyle w:val="74"/>
              <w:wordWrap/>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 w:val="21"/>
                <w:highlight w:val="none"/>
              </w:rPr>
              <w:t>品牌或者供应商(如涉及)</w:t>
            </w:r>
          </w:p>
        </w:tc>
        <w:tc>
          <w:tcPr>
            <w:tcW w:w="7133" w:type="dxa"/>
            <w:tcBorders>
              <w:left w:val="single" w:color="auto" w:sz="4" w:space="0"/>
            </w:tcBorders>
            <w:noWrap w:val="0"/>
            <w:vAlign w:val="center"/>
          </w:tcPr>
          <w:p>
            <w:pPr>
              <w:pStyle w:val="99"/>
              <w:wordWrap/>
              <w:spacing w:after="0" w:line="360" w:lineRule="auto"/>
              <w:ind w:left="0" w:leftChars="0"/>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en-US" w:eastAsia="zh-CN"/>
              </w:rPr>
              <w:t>若采购文件涉及品牌或者供应商，其目的是为了准确清楚说明采购项目的技术  标准和要求，其意思表示为“参照或相当于”品牌或者供应商，其品牌或供应  商具有可替代性。</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55" w:type="dxa"/>
            <w:noWrap w:val="0"/>
            <w:vAlign w:val="center"/>
          </w:tcPr>
          <w:p>
            <w:pPr>
              <w:adjustRightInd w:val="0"/>
              <w:snapToGrid w:val="0"/>
              <w:spacing w:after="0" w:line="360" w:lineRule="auto"/>
              <w:ind w:firstLine="105" w:firstLineChars="5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29</w:t>
            </w:r>
          </w:p>
        </w:tc>
        <w:tc>
          <w:tcPr>
            <w:tcW w:w="1666" w:type="dxa"/>
            <w:tcBorders>
              <w:right w:val="single" w:color="auto" w:sz="4" w:space="0"/>
            </w:tcBorders>
            <w:noWrap w:val="0"/>
            <w:vAlign w:val="center"/>
          </w:tcPr>
          <w:p>
            <w:pPr>
              <w:pStyle w:val="74"/>
              <w:wordWrap/>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 w:val="21"/>
                <w:highlight w:val="none"/>
              </w:rPr>
              <w:t>其他强制性规定 (如涉及时作为实质性要求)</w:t>
            </w:r>
          </w:p>
        </w:tc>
        <w:tc>
          <w:tcPr>
            <w:tcW w:w="7133" w:type="dxa"/>
            <w:tcBorders>
              <w:left w:val="single" w:color="auto" w:sz="4" w:space="0"/>
            </w:tcBorders>
            <w:noWrap w:val="0"/>
            <w:vAlign w:val="center"/>
          </w:tcPr>
          <w:p>
            <w:pPr>
              <w:pStyle w:val="99"/>
              <w:wordWrap/>
              <w:spacing w:after="0" w:line="360" w:lineRule="auto"/>
              <w:ind w:left="0" w:leftChars="0"/>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en-US" w:eastAsia="zh-CN"/>
              </w:rPr>
              <w:t>国家或行业主管部门对采购产品的技术标准、质量标准和资格资质条件等有强  制性规定的，必须符合其要求。如涉及3C认证产品的3C认证证书在投标文件中可不提供(招标文件有要求在投标时提供证明材料的除外)，供应商中标后应在签订采购合同时向采购人提供加盖投标人公章的3C证书复印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55" w:type="dxa"/>
            <w:noWrap w:val="0"/>
            <w:vAlign w:val="center"/>
          </w:tcPr>
          <w:p>
            <w:pPr>
              <w:adjustRightInd w:val="0"/>
              <w:snapToGrid w:val="0"/>
              <w:spacing w:after="0" w:line="360" w:lineRule="auto"/>
              <w:ind w:firstLine="105" w:firstLineChars="50"/>
              <w:jc w:val="center"/>
              <w:rPr>
                <w:rFonts w:hint="default" w:ascii="宋体" w:hAnsi="宋体" w:eastAsia="宋体" w:cs="仿宋"/>
                <w:color w:val="auto"/>
                <w:kern w:val="2"/>
                <w:sz w:val="21"/>
                <w:szCs w:val="21"/>
                <w:highlight w:val="none"/>
                <w:lang w:val="en-US" w:eastAsia="zh-CN" w:bidi="ar-SA"/>
              </w:rPr>
            </w:pPr>
            <w:r>
              <w:rPr>
                <w:rFonts w:hint="eastAsia" w:ascii="宋体" w:hAnsi="宋体" w:cs="仿宋"/>
                <w:color w:val="auto"/>
                <w:szCs w:val="21"/>
                <w:highlight w:val="none"/>
                <w:lang w:val="en-US" w:eastAsia="zh-CN"/>
              </w:rPr>
              <w:t>30</w:t>
            </w:r>
          </w:p>
        </w:tc>
        <w:tc>
          <w:tcPr>
            <w:tcW w:w="1666" w:type="dxa"/>
            <w:tcBorders>
              <w:right w:val="single" w:color="auto" w:sz="4" w:space="0"/>
            </w:tcBorders>
            <w:noWrap w:val="0"/>
            <w:vAlign w:val="center"/>
          </w:tcPr>
          <w:p>
            <w:pPr>
              <w:pStyle w:val="74"/>
              <w:wordWrap/>
              <w:spacing w:after="0" w:line="360" w:lineRule="auto"/>
              <w:rPr>
                <w:rFonts w:hint="eastAsia" w:ascii="仿宋" w:hAnsi="仿宋" w:eastAsia="仿宋" w:cs="仿宋"/>
                <w:snapToGrid w:val="0"/>
                <w:color w:val="auto"/>
                <w:kern w:val="2"/>
                <w:sz w:val="21"/>
                <w:szCs w:val="21"/>
                <w:highlight w:val="none"/>
                <w:lang w:val="en-US" w:eastAsia="zh-CN" w:bidi="ar-SA"/>
              </w:rPr>
            </w:pPr>
            <w:r>
              <w:rPr>
                <w:rFonts w:hint="eastAsia" w:ascii="仿宋" w:hAnsi="仿宋" w:eastAsia="仿宋" w:cs="仿宋"/>
                <w:snapToGrid w:val="0"/>
                <w:color w:val="auto"/>
                <w:kern w:val="2"/>
                <w:sz w:val="21"/>
                <w:szCs w:val="21"/>
                <w:highlight w:val="none"/>
                <w:lang w:val="en-US" w:eastAsia="zh-CN" w:bidi="ar-SA"/>
              </w:rPr>
              <w:t>其他</w:t>
            </w:r>
          </w:p>
        </w:tc>
        <w:tc>
          <w:tcPr>
            <w:tcW w:w="7133" w:type="dxa"/>
            <w:tcBorders>
              <w:left w:val="single" w:color="auto" w:sz="4" w:space="0"/>
            </w:tcBorders>
            <w:noWrap w:val="0"/>
            <w:vAlign w:val="center"/>
          </w:tcPr>
          <w:p>
            <w:pPr>
              <w:pStyle w:val="99"/>
              <w:wordWrap/>
              <w:spacing w:after="0" w:line="360" w:lineRule="auto"/>
              <w:ind w:left="0" w:leftChars="0"/>
              <w:rPr>
                <w:rFonts w:hint="eastAsia" w:ascii="仿宋" w:hAnsi="仿宋" w:eastAsia="仿宋" w:cs="仿宋"/>
                <w:snapToGrid w:val="0"/>
                <w:color w:val="auto"/>
                <w:kern w:val="2"/>
                <w:sz w:val="21"/>
                <w:szCs w:val="21"/>
                <w:highlight w:val="none"/>
                <w:lang w:val="en-US" w:eastAsia="zh-CN" w:bidi="ar-SA"/>
              </w:rPr>
            </w:pPr>
            <w:r>
              <w:rPr>
                <w:rFonts w:hint="eastAsia" w:ascii="仿宋" w:hAnsi="仿宋" w:eastAsia="仿宋" w:cs="仿宋"/>
                <w:snapToGrid w:val="0"/>
                <w:color w:val="auto"/>
                <w:kern w:val="2"/>
                <w:sz w:val="21"/>
                <w:szCs w:val="21"/>
                <w:highlight w:val="none"/>
                <w:lang w:val="zh-CN" w:eastAsia="zh-CN" w:bidi="ar-SA"/>
              </w:rPr>
              <w:t>本项目涉及接受供应商以承诺函方式提供证明文件的，供应商需将相关资料或证明文件提供给采购人进行查验，采购人将根据查验情况做好查验记录。查验时间：中标通知书发出之日起，合同签订前。</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55" w:type="dxa"/>
            <w:noWrap w:val="0"/>
            <w:vAlign w:val="center"/>
          </w:tcPr>
          <w:p>
            <w:pPr>
              <w:adjustRightInd w:val="0"/>
              <w:snapToGrid w:val="0"/>
              <w:spacing w:after="0" w:line="360" w:lineRule="auto"/>
              <w:ind w:firstLine="105" w:firstLineChars="5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31</w:t>
            </w:r>
          </w:p>
        </w:tc>
        <w:tc>
          <w:tcPr>
            <w:tcW w:w="1666" w:type="dxa"/>
            <w:tcBorders>
              <w:right w:val="single" w:color="auto" w:sz="4" w:space="0"/>
            </w:tcBorders>
            <w:noWrap w:val="0"/>
            <w:vAlign w:val="center"/>
          </w:tcPr>
          <w:p>
            <w:pPr>
              <w:spacing w:after="0" w:line="360" w:lineRule="auto"/>
              <w:ind w:firstLine="105" w:firstLineChars="50"/>
              <w:jc w:val="center"/>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温馨提示</w:t>
            </w:r>
          </w:p>
        </w:tc>
        <w:tc>
          <w:tcPr>
            <w:tcW w:w="7133" w:type="dxa"/>
            <w:tcBorders>
              <w:left w:val="single" w:color="auto" w:sz="4" w:space="0"/>
            </w:tcBorders>
            <w:noWrap w:val="0"/>
            <w:vAlign w:val="center"/>
          </w:tcPr>
          <w:p>
            <w:pPr>
              <w:spacing w:after="0" w:line="360" w:lineRule="auto"/>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lang w:val="zh-CN"/>
              </w:rPr>
              <w:t>供应商需准备全流程所必需的硬件设备包括电脑（版本 win7 64位及以上）、麦克风、摄像头、CA证书等。建议使用同一台电脑完成投标、评标相关事宜，推荐安装 chrome 浏览器，且解密CA必须和加密CA为同一把。</w:t>
            </w:r>
          </w:p>
          <w:p>
            <w:pPr>
              <w:spacing w:after="0" w:line="360" w:lineRule="auto"/>
              <w:ind w:firstLine="105" w:firstLineChars="50"/>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lang w:val="zh-CN"/>
              </w:rPr>
              <w:t>政府采购云平台供应商注册地址：</w:t>
            </w:r>
          </w:p>
          <w:p>
            <w:pPr>
              <w:spacing w:after="0" w:line="360" w:lineRule="auto"/>
              <w:ind w:firstLine="105" w:firstLineChars="50"/>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https://middle.zcygov.cn/v-settle-front/registry?settleCategory=1&amp;entranceType=119&amp;utm=a0017.b1347.cl50.3.c0de9400b91b11eb870ad7da87d69c97</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55" w:type="dxa"/>
            <w:noWrap w:val="0"/>
            <w:vAlign w:val="center"/>
          </w:tcPr>
          <w:p>
            <w:pPr>
              <w:adjustRightInd w:val="0"/>
              <w:snapToGrid w:val="0"/>
              <w:spacing w:after="0" w:line="360" w:lineRule="auto"/>
              <w:ind w:firstLine="105" w:firstLineChars="5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32</w:t>
            </w:r>
          </w:p>
        </w:tc>
        <w:tc>
          <w:tcPr>
            <w:tcW w:w="1666" w:type="dxa"/>
            <w:tcBorders>
              <w:right w:val="single" w:color="auto" w:sz="4" w:space="0"/>
            </w:tcBorders>
            <w:noWrap w:val="0"/>
            <w:vAlign w:val="center"/>
          </w:tcPr>
          <w:p>
            <w:pPr>
              <w:pStyle w:val="74"/>
              <w:wordWrap/>
              <w:spacing w:after="0" w:line="360" w:lineRule="auto"/>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rPr>
              <w:t>备注</w:t>
            </w:r>
          </w:p>
        </w:tc>
        <w:tc>
          <w:tcPr>
            <w:tcW w:w="7133" w:type="dxa"/>
            <w:tcBorders>
              <w:left w:val="single" w:color="auto" w:sz="4" w:space="0"/>
            </w:tcBorders>
            <w:noWrap w:val="0"/>
            <w:vAlign w:val="center"/>
          </w:tcPr>
          <w:p>
            <w:pPr>
              <w:pStyle w:val="99"/>
              <w:wordWrap/>
              <w:spacing w:after="0" w:line="360" w:lineRule="auto"/>
              <w:ind w:left="0" w:leftChars="0"/>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zh-CN"/>
              </w:rPr>
              <w:t>若招标文件中同一事项表述与</w:t>
            </w:r>
            <w:r>
              <w:rPr>
                <w:rFonts w:hint="eastAsia" w:ascii="仿宋" w:hAnsi="仿宋" w:eastAsia="仿宋" w:cs="仿宋"/>
                <w:color w:val="auto"/>
                <w:szCs w:val="21"/>
                <w:highlight w:val="none"/>
              </w:rPr>
              <w:t>投标人须知附</w:t>
            </w:r>
            <w:r>
              <w:rPr>
                <w:rFonts w:hint="eastAsia" w:ascii="仿宋" w:hAnsi="仿宋" w:eastAsia="仿宋" w:cs="仿宋"/>
                <w:color w:val="auto"/>
                <w:szCs w:val="21"/>
                <w:highlight w:val="none"/>
                <w:lang w:val="zh-CN"/>
              </w:rPr>
              <w:t>表内容不一致的，以</w:t>
            </w:r>
            <w:r>
              <w:rPr>
                <w:rFonts w:hint="eastAsia" w:ascii="仿宋" w:hAnsi="仿宋" w:eastAsia="仿宋" w:cs="仿宋"/>
                <w:color w:val="auto"/>
                <w:szCs w:val="21"/>
                <w:highlight w:val="none"/>
              </w:rPr>
              <w:t>投标人须知附表</w:t>
            </w:r>
            <w:r>
              <w:rPr>
                <w:rFonts w:hint="eastAsia" w:ascii="仿宋" w:hAnsi="仿宋" w:eastAsia="仿宋" w:cs="仿宋"/>
                <w:color w:val="auto"/>
                <w:szCs w:val="21"/>
                <w:highlight w:val="none"/>
                <w:lang w:val="zh-CN"/>
              </w:rPr>
              <w:t>为准。</w:t>
            </w:r>
          </w:p>
        </w:tc>
      </w:tr>
    </w:tbl>
    <w:p>
      <w:pPr>
        <w:spacing w:after="0" w:line="360" w:lineRule="auto"/>
        <w:rPr>
          <w:rFonts w:hint="eastAsia" w:ascii="仿宋" w:hAnsi="仿宋" w:eastAsia="仿宋" w:cs="仿宋"/>
          <w:color w:val="auto"/>
          <w:highlight w:val="none"/>
        </w:rPr>
      </w:pPr>
    </w:p>
    <w:p>
      <w:pPr>
        <w:pStyle w:val="4"/>
        <w:spacing w:before="0" w:after="0"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br w:type="page"/>
      </w:r>
      <w:r>
        <w:rPr>
          <w:rFonts w:hint="eastAsia" w:ascii="仿宋" w:hAnsi="仿宋" w:eastAsia="仿宋" w:cs="仿宋"/>
          <w:color w:val="auto"/>
          <w:highlight w:val="none"/>
        </w:rPr>
        <w:t>二、总  则</w:t>
      </w:r>
    </w:p>
    <w:p>
      <w:pPr>
        <w:pStyle w:val="5"/>
        <w:spacing w:before="0" w:after="0"/>
        <w:ind w:firstLine="482" w:firstLineChars="200"/>
        <w:rPr>
          <w:rFonts w:hint="eastAsia" w:ascii="仿宋" w:hAnsi="仿宋" w:eastAsia="仿宋" w:cs="仿宋"/>
          <w:color w:val="auto"/>
          <w:sz w:val="24"/>
          <w:szCs w:val="24"/>
          <w:highlight w:val="none"/>
        </w:rPr>
      </w:pPr>
      <w:bookmarkStart w:id="32" w:name="_Toc183682342"/>
      <w:bookmarkStart w:id="33" w:name="_Toc183582205"/>
      <w:bookmarkStart w:id="34" w:name="_Toc217446034"/>
      <w:bookmarkStart w:id="35" w:name="PO_默认文件内容_19"/>
      <w:r>
        <w:rPr>
          <w:rFonts w:hint="eastAsia" w:ascii="仿宋" w:hAnsi="仿宋" w:eastAsia="仿宋" w:cs="仿宋"/>
          <w:color w:val="auto"/>
          <w:sz w:val="24"/>
          <w:szCs w:val="24"/>
          <w:highlight w:val="none"/>
        </w:rPr>
        <w:t>1</w:t>
      </w:r>
      <w:bookmarkEnd w:id="32"/>
      <w:bookmarkEnd w:id="33"/>
      <w:r>
        <w:rPr>
          <w:rFonts w:hint="eastAsia" w:ascii="仿宋" w:hAnsi="仿宋" w:eastAsia="仿宋" w:cs="仿宋"/>
          <w:color w:val="auto"/>
          <w:sz w:val="24"/>
          <w:szCs w:val="24"/>
          <w:highlight w:val="none"/>
        </w:rPr>
        <w:t>．适用范围</w:t>
      </w:r>
      <w:bookmarkEnd w:id="34"/>
    </w:p>
    <w:p>
      <w:pPr>
        <w:tabs>
          <w:tab w:val="left" w:pos="7665"/>
        </w:tabs>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本招标文件仅适用于本次招标采购项目。</w:t>
      </w:r>
    </w:p>
    <w:p>
      <w:pPr>
        <w:pStyle w:val="5"/>
        <w:spacing w:before="0" w:after="0"/>
        <w:ind w:firstLine="482" w:firstLineChars="200"/>
        <w:rPr>
          <w:rFonts w:hint="eastAsia" w:ascii="仿宋" w:hAnsi="仿宋" w:eastAsia="仿宋" w:cs="仿宋"/>
          <w:color w:val="auto"/>
          <w:sz w:val="24"/>
          <w:szCs w:val="24"/>
          <w:highlight w:val="none"/>
        </w:rPr>
      </w:pPr>
      <w:bookmarkStart w:id="36" w:name="_Toc183582206"/>
      <w:bookmarkStart w:id="37" w:name="_Toc183682343"/>
      <w:bookmarkStart w:id="38" w:name="_Toc217446035"/>
      <w:r>
        <w:rPr>
          <w:rFonts w:hint="eastAsia" w:ascii="仿宋" w:hAnsi="仿宋" w:eastAsia="仿宋" w:cs="仿宋"/>
          <w:color w:val="auto"/>
          <w:sz w:val="24"/>
          <w:szCs w:val="24"/>
          <w:highlight w:val="none"/>
        </w:rPr>
        <w:t>2</w:t>
      </w:r>
      <w:bookmarkEnd w:id="36"/>
      <w:bookmarkEnd w:id="37"/>
      <w:r>
        <w:rPr>
          <w:rFonts w:hint="eastAsia" w:ascii="仿宋" w:hAnsi="仿宋" w:eastAsia="仿宋" w:cs="仿宋"/>
          <w:color w:val="auto"/>
          <w:sz w:val="24"/>
          <w:szCs w:val="24"/>
          <w:highlight w:val="none"/>
        </w:rPr>
        <w:t>．有关定义</w:t>
      </w:r>
      <w:bookmarkEnd w:id="38"/>
    </w:p>
    <w:p>
      <w:pPr>
        <w:tabs>
          <w:tab w:val="left" w:pos="7665"/>
        </w:tabs>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“采购人”系指依法进行政府采购的国家机关、事业单位、团体组织。本次招标的采购人是</w:t>
      </w:r>
      <w:bookmarkEnd w:id="35"/>
      <w:r>
        <w:rPr>
          <w:rFonts w:hint="eastAsia" w:ascii="仿宋" w:hAnsi="仿宋" w:eastAsia="仿宋" w:cs="仿宋"/>
          <w:b/>
          <w:bCs/>
          <w:color w:val="auto"/>
          <w:sz w:val="24"/>
          <w:highlight w:val="none"/>
          <w:u w:val="single"/>
          <w:lang w:eastAsia="zh-CN"/>
        </w:rPr>
        <w:t>成都市双流区中医医院</w:t>
      </w:r>
      <w:r>
        <w:rPr>
          <w:rFonts w:hint="eastAsia" w:ascii="仿宋" w:hAnsi="仿宋" w:eastAsia="仿宋" w:cs="仿宋"/>
          <w:color w:val="auto"/>
          <w:sz w:val="24"/>
          <w:highlight w:val="none"/>
        </w:rPr>
        <w:t>。</w:t>
      </w:r>
    </w:p>
    <w:p>
      <w:pPr>
        <w:tabs>
          <w:tab w:val="left" w:pos="7665"/>
        </w:tabs>
        <w:spacing w:after="0" w:line="360" w:lineRule="auto"/>
        <w:ind w:firstLine="480" w:firstLineChars="200"/>
        <w:rPr>
          <w:rFonts w:hint="eastAsia" w:ascii="仿宋" w:hAnsi="仿宋" w:eastAsia="仿宋" w:cs="仿宋"/>
          <w:color w:val="auto"/>
          <w:sz w:val="24"/>
          <w:highlight w:val="none"/>
        </w:rPr>
      </w:pPr>
      <w:bookmarkStart w:id="39" w:name="PO_默认文件内容_20"/>
      <w:r>
        <w:rPr>
          <w:rFonts w:hint="eastAsia" w:ascii="仿宋" w:hAnsi="仿宋" w:eastAsia="仿宋" w:cs="仿宋"/>
          <w:color w:val="auto"/>
          <w:sz w:val="24"/>
          <w:highlight w:val="none"/>
        </w:rPr>
        <w:t>2.2 “采购代理机构”系指根据采购人的委托依法办理招标事宜的采购机构。本次招标的采购代理机构是</w:t>
      </w:r>
      <w:r>
        <w:rPr>
          <w:rFonts w:hint="eastAsia" w:ascii="仿宋" w:hAnsi="仿宋" w:eastAsia="仿宋" w:cs="仿宋"/>
          <w:b/>
          <w:bCs/>
          <w:color w:val="auto"/>
          <w:sz w:val="24"/>
          <w:highlight w:val="none"/>
          <w:u w:val="single"/>
          <w:lang w:eastAsia="zh-CN"/>
        </w:rPr>
        <w:t>利阳致诚国际项目管理有限公司</w:t>
      </w:r>
      <w:r>
        <w:rPr>
          <w:rFonts w:hint="eastAsia" w:ascii="仿宋" w:hAnsi="仿宋" w:eastAsia="仿宋" w:cs="仿宋"/>
          <w:color w:val="auto"/>
          <w:sz w:val="24"/>
          <w:highlight w:val="none"/>
        </w:rPr>
        <w:t>。</w:t>
      </w:r>
    </w:p>
    <w:p>
      <w:pPr>
        <w:tabs>
          <w:tab w:val="left" w:pos="7665"/>
        </w:tabs>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 “招标采购单位”系指“采购人”和“采购代理机构”的统称。</w:t>
      </w:r>
    </w:p>
    <w:p>
      <w:pPr>
        <w:tabs>
          <w:tab w:val="left" w:pos="7665"/>
        </w:tabs>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 “投标人”系指购买了招标文件拟参加投标和向采购人提供货物及相应服务的供应商。</w:t>
      </w:r>
    </w:p>
    <w:p>
      <w:pPr>
        <w:pStyle w:val="5"/>
        <w:spacing w:before="0" w:after="0"/>
        <w:ind w:firstLine="482" w:firstLineChars="200"/>
        <w:rPr>
          <w:rFonts w:hint="eastAsia" w:ascii="仿宋" w:hAnsi="仿宋" w:eastAsia="仿宋" w:cs="仿宋"/>
          <w:color w:val="auto"/>
          <w:sz w:val="24"/>
          <w:szCs w:val="24"/>
          <w:highlight w:val="none"/>
        </w:rPr>
      </w:pPr>
      <w:bookmarkStart w:id="40" w:name="_Toc183682344"/>
      <w:bookmarkStart w:id="41" w:name="_Toc217446036"/>
      <w:bookmarkStart w:id="42" w:name="_Toc217390843"/>
      <w:bookmarkStart w:id="43" w:name="_Toc183582207"/>
      <w:r>
        <w:rPr>
          <w:rFonts w:hint="eastAsia" w:ascii="仿宋" w:hAnsi="仿宋" w:eastAsia="仿宋" w:cs="仿宋"/>
          <w:color w:val="auto"/>
          <w:sz w:val="24"/>
          <w:szCs w:val="24"/>
          <w:highlight w:val="none"/>
        </w:rPr>
        <w:t>3．合格的投标人</w:t>
      </w:r>
      <w:bookmarkEnd w:id="40"/>
      <w:bookmarkEnd w:id="41"/>
      <w:bookmarkEnd w:id="42"/>
      <w:bookmarkEnd w:id="43"/>
    </w:p>
    <w:p>
      <w:pPr>
        <w:tabs>
          <w:tab w:val="left" w:pos="7665"/>
        </w:tabs>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合格的投标人应具备以下条件：</w:t>
      </w:r>
    </w:p>
    <w:p>
      <w:pPr>
        <w:tabs>
          <w:tab w:val="left" w:pos="7665"/>
        </w:tabs>
        <w:spacing w:after="0" w:line="360" w:lineRule="auto"/>
        <w:ind w:firstLine="480" w:firstLineChars="200"/>
        <w:rPr>
          <w:rFonts w:hint="eastAsia" w:ascii="仿宋" w:hAnsi="仿宋" w:eastAsia="仿宋" w:cs="仿宋"/>
          <w:color w:val="auto"/>
          <w:spacing w:val="-4"/>
          <w:sz w:val="24"/>
          <w:highlight w:val="none"/>
        </w:rPr>
      </w:pPr>
      <w:r>
        <w:rPr>
          <w:rFonts w:hint="eastAsia" w:ascii="仿宋" w:hAnsi="仿宋" w:eastAsia="仿宋" w:cs="仿宋"/>
          <w:color w:val="auto"/>
          <w:sz w:val="24"/>
          <w:highlight w:val="none"/>
        </w:rPr>
        <w:t>（1）本招标文件规定的供应商资格条件</w:t>
      </w:r>
      <w:r>
        <w:rPr>
          <w:rFonts w:hint="eastAsia" w:ascii="仿宋" w:hAnsi="仿宋" w:eastAsia="仿宋" w:cs="仿宋"/>
          <w:color w:val="auto"/>
          <w:spacing w:val="-4"/>
          <w:sz w:val="24"/>
          <w:highlight w:val="none"/>
        </w:rPr>
        <w:t>；</w:t>
      </w:r>
    </w:p>
    <w:p>
      <w:pPr>
        <w:tabs>
          <w:tab w:val="left" w:pos="7665"/>
        </w:tabs>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（2）遵守国家有关的法律、法规、规章和其他政策制度；</w:t>
      </w:r>
    </w:p>
    <w:p>
      <w:pPr>
        <w:pStyle w:val="2"/>
        <w:spacing w:after="0"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（3）按要求获取了招标文件。</w:t>
      </w:r>
    </w:p>
    <w:bookmarkEnd w:id="39"/>
    <w:p>
      <w:pPr>
        <w:pStyle w:val="5"/>
        <w:spacing w:before="0" w:after="0"/>
        <w:ind w:firstLine="482" w:firstLineChars="200"/>
        <w:rPr>
          <w:rFonts w:hint="eastAsia" w:ascii="仿宋" w:hAnsi="仿宋" w:eastAsia="仿宋" w:cs="仿宋"/>
          <w:color w:val="auto"/>
          <w:sz w:val="24"/>
          <w:szCs w:val="24"/>
          <w:highlight w:val="none"/>
        </w:rPr>
      </w:pPr>
      <w:bookmarkStart w:id="44" w:name="_Toc183682345"/>
      <w:bookmarkStart w:id="45" w:name="_Toc217446037"/>
      <w:bookmarkStart w:id="46" w:name="_Toc183582208"/>
      <w:bookmarkStart w:id="47" w:name="PO_默认文件内容_16"/>
      <w:r>
        <w:rPr>
          <w:rFonts w:hint="eastAsia" w:ascii="仿宋" w:hAnsi="仿宋" w:eastAsia="仿宋" w:cs="仿宋"/>
          <w:color w:val="auto"/>
          <w:sz w:val="24"/>
          <w:szCs w:val="24"/>
          <w:highlight w:val="none"/>
        </w:rPr>
        <w:t>4．投标费用</w:t>
      </w:r>
      <w:bookmarkEnd w:id="44"/>
      <w:bookmarkEnd w:id="45"/>
      <w:bookmarkEnd w:id="46"/>
      <w:r>
        <w:rPr>
          <w:rFonts w:hint="eastAsia" w:ascii="仿宋" w:hAnsi="仿宋" w:eastAsia="仿宋" w:cs="仿宋"/>
          <w:color w:val="auto"/>
          <w:sz w:val="24"/>
          <w:szCs w:val="24"/>
          <w:highlight w:val="none"/>
        </w:rPr>
        <w:t>（实质性要求）</w:t>
      </w:r>
    </w:p>
    <w:p>
      <w:pPr>
        <w:tabs>
          <w:tab w:val="left" w:pos="7665"/>
        </w:tabs>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投标人参加投标的有关费用由投标人自行承担。</w:t>
      </w:r>
    </w:p>
    <w:p>
      <w:pPr>
        <w:pStyle w:val="5"/>
        <w:numPr>
          <w:ilvl w:val="0"/>
          <w:numId w:val="3"/>
        </w:numPr>
        <w:spacing w:before="0" w:after="0"/>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充分、公平竞争保障措施（实质性要求）</w:t>
      </w:r>
    </w:p>
    <w:p>
      <w:pPr>
        <w:pStyle w:val="75"/>
        <w:spacing w:after="0" w:line="360" w:lineRule="auto"/>
        <w:ind w:firstLine="482" w:firstLineChars="200"/>
        <w:rPr>
          <w:rFonts w:hint="eastAsia" w:ascii="仿宋" w:hAnsi="仿宋" w:eastAsia="仿宋" w:cs="仿宋"/>
          <w:b/>
          <w:bCs/>
          <w:color w:val="auto"/>
          <w:sz w:val="24"/>
          <w:szCs w:val="24"/>
          <w:highlight w:val="none"/>
          <w:u w:val="single"/>
          <w:lang w:val="en-US" w:eastAsia="zh-CN"/>
        </w:rPr>
      </w:pPr>
      <w:bookmarkStart w:id="48" w:name="_Toc77400779"/>
      <w:bookmarkStart w:id="49" w:name="_Toc183582209"/>
      <w:bookmarkStart w:id="50" w:name="_Toc89075875"/>
      <w:bookmarkStart w:id="51" w:name="_Toc217446038"/>
      <w:bookmarkStart w:id="52" w:name="_Toc183682346"/>
      <w:r>
        <w:rPr>
          <w:rFonts w:hint="eastAsia" w:ascii="仿宋" w:hAnsi="仿宋" w:eastAsia="仿宋" w:cs="仿宋"/>
          <w:b/>
          <w:color w:val="auto"/>
          <w:sz w:val="24"/>
          <w:szCs w:val="24"/>
          <w:highlight w:val="none"/>
        </w:rPr>
        <w:t>5.1非单一产品采购项目中</w:t>
      </w:r>
      <w:r>
        <w:rPr>
          <w:rFonts w:hint="eastAsia" w:ascii="仿宋" w:hAnsi="仿宋" w:eastAsia="仿宋" w:cs="仿宋"/>
          <w:color w:val="auto"/>
          <w:sz w:val="24"/>
          <w:szCs w:val="24"/>
          <w:highlight w:val="none"/>
        </w:rPr>
        <w:t>，采购人根据采购项目技术构成、产品价格比重等合理确定核心产品。多家投标人提供的任一核心产品品牌相同的，视为提供相同品牌产品。本采购项目核心产品为：</w:t>
      </w:r>
      <w:r>
        <w:rPr>
          <w:rFonts w:hint="eastAsia" w:ascii="仿宋" w:hAnsi="仿宋" w:eastAsia="仿宋" w:cs="仿宋"/>
          <w:b/>
          <w:bCs/>
          <w:color w:val="auto"/>
          <w:sz w:val="24"/>
          <w:szCs w:val="24"/>
          <w:highlight w:val="none"/>
          <w:u w:val="single"/>
          <w:lang w:val="en-US" w:eastAsia="zh-CN"/>
        </w:rPr>
        <w:t>01包：医用血管造影X射线机；02包：电子计算机断层扫描设备。</w:t>
      </w:r>
    </w:p>
    <w:p>
      <w:pPr>
        <w:pStyle w:val="75"/>
        <w:spacing w:after="0"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5.2提供相同品牌产品处理</w:t>
      </w:r>
    </w:p>
    <w:p>
      <w:pPr>
        <w:pStyle w:val="75"/>
        <w:spacing w:after="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（1）采用最低评标价法的采购项目</w:t>
      </w:r>
    </w:p>
    <w:p>
      <w:pPr>
        <w:pStyle w:val="75"/>
        <w:spacing w:after="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提供相同品牌产品的不同投标人参加同一合同项下投标的，以其中通过资格审查、符合性审查且报价最低的参加评审；报价相同的，由采购人采取随机抽取方式确定一个参加评标的投标人，其他投标无效。</w:t>
      </w:r>
    </w:p>
    <w:p>
      <w:pPr>
        <w:pStyle w:val="75"/>
        <w:spacing w:after="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（2）采用综合评分法的采购项目。</w:t>
      </w:r>
    </w:p>
    <w:p>
      <w:pPr>
        <w:pStyle w:val="75"/>
        <w:spacing w:after="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pPr>
        <w:pStyle w:val="75"/>
        <w:spacing w:after="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5.3 利害关系供应商处理。</w:t>
      </w:r>
      <w:r>
        <w:rPr>
          <w:rFonts w:hint="eastAsia" w:ascii="仿宋" w:hAnsi="仿宋" w:eastAsia="仿宋" w:cs="仿宋"/>
          <w:color w:val="auto"/>
          <w:sz w:val="24"/>
          <w:szCs w:val="24"/>
          <w:highlight w:val="none"/>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75"/>
        <w:spacing w:after="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5.4 前期参与供应商处理。</w:t>
      </w:r>
      <w:r>
        <w:rPr>
          <w:rFonts w:hint="eastAsia" w:ascii="仿宋" w:hAnsi="仿宋" w:eastAsia="仿宋" w:cs="仿宋"/>
          <w:color w:val="auto"/>
          <w:sz w:val="24"/>
          <w:szCs w:val="24"/>
          <w:highlight w:val="none"/>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adjustRightInd w:val="0"/>
        <w:snapToGrid w:val="0"/>
        <w:spacing w:after="0"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5.5 利害关系代理人处理。</w:t>
      </w:r>
      <w:r>
        <w:rPr>
          <w:rFonts w:hint="eastAsia" w:ascii="仿宋" w:hAnsi="仿宋" w:eastAsia="仿宋" w:cs="仿宋"/>
          <w:color w:val="auto"/>
          <w:sz w:val="24"/>
          <w:highlight w:val="none"/>
        </w:rPr>
        <w:t>2家以上的供应商不得在同一合同项下的采购项目中，同时委托同一个自然人、同一家庭的人员、同一单位的人员作为其代理人，否则，其投标文件作为无效处理。</w:t>
      </w:r>
    </w:p>
    <w:p>
      <w:pPr>
        <w:adjustRightInd w:val="0"/>
        <w:snapToGrid w:val="0"/>
        <w:spacing w:after="0"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5.6 供应商与采购代理机构存在关联关系，或者是采购代理机构的母公司或子公司，不得参加本项目政府采购活动。</w:t>
      </w:r>
    </w:p>
    <w:p>
      <w:pPr>
        <w:pStyle w:val="80"/>
        <w:snapToGrid w:val="0"/>
        <w:spacing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5.7 回避。</w:t>
      </w:r>
      <w:r>
        <w:rPr>
          <w:rFonts w:hint="eastAsia" w:ascii="仿宋" w:hAnsi="仿宋" w:eastAsia="仿宋" w:cs="仿宋"/>
          <w:color w:val="auto"/>
          <w:sz w:val="24"/>
          <w:szCs w:val="24"/>
          <w:highlight w:val="none"/>
        </w:rPr>
        <w:t>政府采购活动中，采购人员及相关人员与供应商有下列利害关系之一的，应当回避：</w:t>
      </w:r>
    </w:p>
    <w:p>
      <w:pPr>
        <w:pStyle w:val="8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（1）参加采购活动前3年内与供应商存在劳动关系；</w:t>
      </w:r>
    </w:p>
    <w:p>
      <w:pPr>
        <w:pStyle w:val="8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（2）参加采购活动前3年内担任供应商的董事、监事；</w:t>
      </w:r>
    </w:p>
    <w:p>
      <w:pPr>
        <w:pStyle w:val="8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（3）参加采购活动前3年内是供应商的控股股东或者实际控制人；</w:t>
      </w:r>
    </w:p>
    <w:p>
      <w:pPr>
        <w:pStyle w:val="8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（4）与供应商的法定代表人或者负责人有夫妻、直系血亲、三代以内旁系血亲或者近姻亲关系；</w:t>
      </w:r>
    </w:p>
    <w:p>
      <w:pPr>
        <w:pStyle w:val="8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（5）与供应商有其他可能影响政府采购活动公平、公正进行的关系。</w:t>
      </w:r>
    </w:p>
    <w:p>
      <w:pPr>
        <w:pStyle w:val="8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评标委员会成员。</w:t>
      </w:r>
    </w:p>
    <w:p>
      <w:pPr>
        <w:tabs>
          <w:tab w:val="left" w:pos="7665"/>
        </w:tabs>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供应商认为采购人员及相关人员与其他供应商有利害关系的，可以向采购代理机构书面提出回避申请，并说明理由。采购代理机构将及时询问被申请回避人员，有利害关系的被申请回避人员应当回避。</w:t>
      </w:r>
    </w:p>
    <w:p>
      <w:pPr>
        <w:pStyle w:val="4"/>
        <w:spacing w:before="0" w:after="0"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三、招标文件</w:t>
      </w:r>
      <w:bookmarkEnd w:id="48"/>
      <w:bookmarkEnd w:id="49"/>
      <w:bookmarkEnd w:id="50"/>
      <w:bookmarkEnd w:id="51"/>
      <w:bookmarkEnd w:id="52"/>
    </w:p>
    <w:p>
      <w:pPr>
        <w:pStyle w:val="5"/>
        <w:spacing w:before="0" w:after="0"/>
        <w:ind w:firstLine="482" w:firstLineChars="200"/>
        <w:rPr>
          <w:rFonts w:hint="eastAsia" w:ascii="仿宋" w:hAnsi="仿宋" w:eastAsia="仿宋" w:cs="仿宋"/>
          <w:color w:val="auto"/>
          <w:sz w:val="24"/>
          <w:szCs w:val="24"/>
          <w:highlight w:val="none"/>
        </w:rPr>
      </w:pPr>
      <w:bookmarkStart w:id="53" w:name="_Toc183582210"/>
      <w:bookmarkStart w:id="54" w:name="_Toc217446039"/>
      <w:bookmarkStart w:id="55" w:name="_Toc183682347"/>
      <w:r>
        <w:rPr>
          <w:rFonts w:hint="eastAsia" w:ascii="仿宋" w:hAnsi="仿宋" w:eastAsia="仿宋" w:cs="仿宋"/>
          <w:color w:val="auto"/>
          <w:sz w:val="24"/>
          <w:szCs w:val="24"/>
          <w:highlight w:val="none"/>
        </w:rPr>
        <w:t>6．招标文件的构成</w:t>
      </w:r>
      <w:bookmarkEnd w:id="53"/>
      <w:bookmarkEnd w:id="54"/>
      <w:bookmarkEnd w:id="55"/>
    </w:p>
    <w:p>
      <w:pPr>
        <w:tabs>
          <w:tab w:val="left" w:pos="7665"/>
        </w:tabs>
        <w:spacing w:after="0"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（一）投标</w:t>
      </w:r>
      <w:r>
        <w:rPr>
          <w:rFonts w:hint="eastAsia" w:ascii="仿宋" w:hAnsi="仿宋" w:eastAsia="仿宋" w:cs="仿宋"/>
          <w:color w:val="auto"/>
          <w:sz w:val="24"/>
          <w:highlight w:val="none"/>
        </w:rPr>
        <w:t>邀请；</w:t>
      </w:r>
    </w:p>
    <w:p>
      <w:pPr>
        <w:tabs>
          <w:tab w:val="left" w:pos="720"/>
        </w:tabs>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（二）投标人须知；</w:t>
      </w:r>
    </w:p>
    <w:p>
      <w:pPr>
        <w:tabs>
          <w:tab w:val="left" w:pos="720"/>
        </w:tabs>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（三）投标文件格式；</w:t>
      </w:r>
    </w:p>
    <w:p>
      <w:pPr>
        <w:tabs>
          <w:tab w:val="left" w:pos="720"/>
        </w:tabs>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（四）投标人和投标产品的资格、资质性及其他类似效力要求；</w:t>
      </w:r>
    </w:p>
    <w:p>
      <w:pPr>
        <w:tabs>
          <w:tab w:val="left" w:pos="720"/>
        </w:tabs>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（五）投标人应当提供的资格、资质性及其他类似效力要求的相关证明材料；</w:t>
      </w:r>
    </w:p>
    <w:p>
      <w:pPr>
        <w:tabs>
          <w:tab w:val="left" w:pos="720"/>
        </w:tabs>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（六）招标项目技术、服务、政府采购合同内容条款及其他商务要求；</w:t>
      </w:r>
    </w:p>
    <w:p>
      <w:pPr>
        <w:tabs>
          <w:tab w:val="left" w:pos="720"/>
        </w:tabs>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（七）评标办法；</w:t>
      </w:r>
    </w:p>
    <w:p>
      <w:pPr>
        <w:tabs>
          <w:tab w:val="left" w:pos="720"/>
        </w:tabs>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（八）政府采购合同。</w:t>
      </w:r>
    </w:p>
    <w:p>
      <w:pPr>
        <w:pStyle w:val="5"/>
        <w:spacing w:before="0" w:after="0"/>
        <w:ind w:firstLine="482" w:firstLineChars="200"/>
        <w:rPr>
          <w:rFonts w:hint="eastAsia" w:ascii="仿宋" w:hAnsi="仿宋" w:eastAsia="仿宋" w:cs="仿宋"/>
          <w:color w:val="auto"/>
          <w:sz w:val="24"/>
          <w:szCs w:val="24"/>
          <w:highlight w:val="none"/>
        </w:rPr>
      </w:pPr>
      <w:bookmarkStart w:id="56" w:name="_Toc183682348"/>
      <w:bookmarkStart w:id="57" w:name="_Toc183582211"/>
      <w:bookmarkStart w:id="58" w:name="_Toc217446040"/>
      <w:r>
        <w:rPr>
          <w:rFonts w:hint="eastAsia" w:ascii="仿宋" w:hAnsi="仿宋" w:eastAsia="仿宋" w:cs="仿宋"/>
          <w:color w:val="auto"/>
          <w:sz w:val="24"/>
          <w:szCs w:val="24"/>
          <w:highlight w:val="none"/>
        </w:rPr>
        <w:t>7．招标文件的澄清</w:t>
      </w:r>
      <w:bookmarkEnd w:id="56"/>
      <w:bookmarkEnd w:id="57"/>
      <w:r>
        <w:rPr>
          <w:rFonts w:hint="eastAsia" w:ascii="仿宋" w:hAnsi="仿宋" w:eastAsia="仿宋" w:cs="仿宋"/>
          <w:color w:val="auto"/>
          <w:sz w:val="24"/>
          <w:szCs w:val="24"/>
          <w:highlight w:val="none"/>
        </w:rPr>
        <w:t>和修改</w:t>
      </w:r>
      <w:bookmarkEnd w:id="58"/>
    </w:p>
    <w:p>
      <w:pPr>
        <w:tabs>
          <w:tab w:val="left" w:pos="7665"/>
        </w:tabs>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7.1 招标采购单位可以依法对招标文件进行澄清或者修改。</w:t>
      </w:r>
    </w:p>
    <w:p>
      <w:pPr>
        <w:tabs>
          <w:tab w:val="left" w:pos="7665"/>
        </w:tabs>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 澄清或者修改的内容，将在“四川政府采购网”上发布更正公告，同时通过政府采购云平台将澄清或者修改的内容告知所有在系统中成功获取招标文件的潜在投标人（投标人通过账号或CA证书登录云平台查看）。该澄清或者修改的内容为招标文件的组成部分，澄清或者修改的内容可能影响投标文件、资格预审申请文件编制的，采购人或者采购代理机构发布公告并书面通知供应商的时间，应当在投标截止时间至少15日前、提交资格预审申请文件截止时间至少3日前；不足上述时间的，应当顺延提交投标文件、资格预审申请文件的截止时间。</w:t>
      </w:r>
    </w:p>
    <w:p>
      <w:pPr>
        <w:tabs>
          <w:tab w:val="left" w:pos="7665"/>
        </w:tabs>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pPr>
        <w:tabs>
          <w:tab w:val="left" w:pos="7665"/>
        </w:tabs>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7.4 投标人认为需要对招标文件进行澄清或者修改的，可以以书面形式向招标采购单位提出申请，但招标采购单位可以决定是否采纳投标人的申请事项。</w:t>
      </w:r>
    </w:p>
    <w:p>
      <w:pPr>
        <w:pStyle w:val="5"/>
        <w:spacing w:before="0" w:after="0"/>
        <w:ind w:firstLine="482" w:firstLineChars="200"/>
        <w:rPr>
          <w:rFonts w:hint="eastAsia" w:ascii="仿宋" w:hAnsi="仿宋" w:eastAsia="仿宋" w:cs="仿宋"/>
          <w:color w:val="auto"/>
          <w:sz w:val="24"/>
          <w:szCs w:val="24"/>
          <w:highlight w:val="none"/>
        </w:rPr>
      </w:pPr>
      <w:bookmarkStart w:id="59" w:name="_Toc217446041"/>
      <w:bookmarkStart w:id="60" w:name="_Toc208848971"/>
      <w:r>
        <w:rPr>
          <w:rFonts w:hint="eastAsia" w:ascii="仿宋" w:hAnsi="仿宋" w:eastAsia="仿宋" w:cs="仿宋"/>
          <w:color w:val="auto"/>
          <w:sz w:val="24"/>
          <w:szCs w:val="24"/>
          <w:highlight w:val="none"/>
        </w:rPr>
        <w:t>8．答疑会和现场考察</w:t>
      </w:r>
      <w:bookmarkEnd w:id="59"/>
      <w:bookmarkEnd w:id="60"/>
    </w:p>
    <w:p>
      <w:pPr>
        <w:tabs>
          <w:tab w:val="left" w:pos="7665"/>
        </w:tabs>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pPr>
        <w:tabs>
          <w:tab w:val="left" w:pos="7665"/>
        </w:tabs>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现场考察或标前答疑会时间：本项目不组织。</w:t>
      </w:r>
    </w:p>
    <w:p>
      <w:pPr>
        <w:tabs>
          <w:tab w:val="left" w:pos="7665"/>
        </w:tabs>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现场考察或标前答疑会地点：本项目不组织。</w:t>
      </w:r>
    </w:p>
    <w:bookmarkEnd w:id="47"/>
    <w:p>
      <w:pPr>
        <w:tabs>
          <w:tab w:val="left" w:pos="7665"/>
        </w:tabs>
        <w:spacing w:after="0" w:line="360" w:lineRule="auto"/>
        <w:ind w:firstLine="480" w:firstLineChars="200"/>
        <w:rPr>
          <w:rFonts w:hint="eastAsia" w:ascii="仿宋" w:hAnsi="仿宋" w:eastAsia="仿宋" w:cs="仿宋"/>
          <w:color w:val="auto"/>
          <w:sz w:val="24"/>
          <w:highlight w:val="none"/>
        </w:rPr>
      </w:pPr>
      <w:bookmarkStart w:id="61" w:name="PO_默认文件内容_18"/>
      <w:r>
        <w:rPr>
          <w:rFonts w:hint="eastAsia" w:ascii="仿宋" w:hAnsi="仿宋" w:eastAsia="仿宋" w:cs="仿宋"/>
          <w:color w:val="auto"/>
          <w:sz w:val="24"/>
          <w:highlight w:val="none"/>
        </w:rPr>
        <w:t>8.2 供应商考察现场所发生的一切费用由供应商自己承担。</w:t>
      </w:r>
    </w:p>
    <w:p>
      <w:pPr>
        <w:pStyle w:val="4"/>
        <w:spacing w:before="0" w:after="0" w:line="360" w:lineRule="auto"/>
        <w:jc w:val="center"/>
        <w:rPr>
          <w:rFonts w:hint="eastAsia" w:ascii="仿宋" w:hAnsi="仿宋" w:eastAsia="仿宋" w:cs="仿宋"/>
          <w:color w:val="auto"/>
          <w:highlight w:val="none"/>
        </w:rPr>
      </w:pPr>
      <w:bookmarkStart w:id="62" w:name="_Toc217446042"/>
      <w:bookmarkStart w:id="63" w:name="_Toc89075876"/>
      <w:bookmarkStart w:id="64" w:name="_Toc183582214"/>
      <w:bookmarkStart w:id="65" w:name="_Toc183682351"/>
      <w:bookmarkStart w:id="66" w:name="_Toc77400780"/>
      <w:r>
        <w:rPr>
          <w:rFonts w:hint="eastAsia" w:ascii="仿宋" w:hAnsi="仿宋" w:eastAsia="仿宋" w:cs="仿宋"/>
          <w:color w:val="auto"/>
          <w:highlight w:val="none"/>
        </w:rPr>
        <w:t>四、投标文件</w:t>
      </w:r>
      <w:bookmarkEnd w:id="62"/>
      <w:bookmarkEnd w:id="63"/>
      <w:bookmarkEnd w:id="64"/>
      <w:bookmarkEnd w:id="65"/>
      <w:bookmarkEnd w:id="66"/>
    </w:p>
    <w:p>
      <w:pPr>
        <w:pStyle w:val="5"/>
        <w:spacing w:before="0" w:after="0"/>
        <w:ind w:firstLine="482" w:firstLineChars="200"/>
        <w:rPr>
          <w:rFonts w:hint="eastAsia" w:ascii="仿宋" w:hAnsi="仿宋" w:eastAsia="仿宋" w:cs="仿宋"/>
          <w:bCs w:val="0"/>
          <w:color w:val="auto"/>
          <w:sz w:val="24"/>
          <w:szCs w:val="24"/>
          <w:highlight w:val="none"/>
        </w:rPr>
      </w:pPr>
      <w:bookmarkStart w:id="67" w:name="_Toc217446043"/>
      <w:bookmarkStart w:id="68" w:name="_Toc183582215"/>
      <w:bookmarkStart w:id="69" w:name="_Toc183682352"/>
      <w:r>
        <w:rPr>
          <w:rFonts w:hint="eastAsia" w:ascii="仿宋" w:hAnsi="仿宋" w:eastAsia="仿宋" w:cs="仿宋"/>
          <w:bCs w:val="0"/>
          <w:color w:val="auto"/>
          <w:sz w:val="24"/>
          <w:szCs w:val="24"/>
          <w:highlight w:val="none"/>
        </w:rPr>
        <w:t>9</w:t>
      </w:r>
      <w:r>
        <w:rPr>
          <w:rFonts w:hint="eastAsia" w:ascii="仿宋" w:hAnsi="仿宋" w:eastAsia="仿宋" w:cs="仿宋"/>
          <w:color w:val="auto"/>
          <w:sz w:val="24"/>
          <w:szCs w:val="24"/>
          <w:highlight w:val="none"/>
        </w:rPr>
        <w:t>．</w:t>
      </w:r>
      <w:r>
        <w:rPr>
          <w:rFonts w:hint="eastAsia" w:ascii="仿宋" w:hAnsi="仿宋" w:eastAsia="仿宋" w:cs="仿宋"/>
          <w:bCs w:val="0"/>
          <w:color w:val="auto"/>
          <w:sz w:val="24"/>
          <w:szCs w:val="24"/>
          <w:highlight w:val="none"/>
        </w:rPr>
        <w:t>投标文件的语言</w:t>
      </w:r>
      <w:bookmarkEnd w:id="67"/>
      <w:bookmarkEnd w:id="68"/>
      <w:bookmarkEnd w:id="69"/>
      <w:r>
        <w:rPr>
          <w:rFonts w:hint="eastAsia" w:ascii="仿宋" w:hAnsi="仿宋" w:eastAsia="仿宋" w:cs="仿宋"/>
          <w:color w:val="auto"/>
          <w:sz w:val="24"/>
          <w:szCs w:val="24"/>
          <w:highlight w:val="none"/>
        </w:rPr>
        <w:t>（实质性要求）</w:t>
      </w:r>
    </w:p>
    <w:p>
      <w:pPr>
        <w:tabs>
          <w:tab w:val="left" w:pos="1134"/>
        </w:tabs>
        <w:spacing w:after="0" w:line="360" w:lineRule="auto"/>
        <w:ind w:firstLine="480" w:firstLineChars="200"/>
        <w:jc w:val="left"/>
        <w:rPr>
          <w:rFonts w:hint="eastAsia" w:ascii="仿宋" w:hAnsi="仿宋" w:eastAsia="仿宋" w:cs="仿宋"/>
          <w:color w:val="auto"/>
          <w:sz w:val="24"/>
          <w:highlight w:val="none"/>
        </w:rPr>
      </w:pPr>
      <w:bookmarkStart w:id="70" w:name="_Toc217446044"/>
      <w:bookmarkStart w:id="71" w:name="_Toc183582216"/>
      <w:bookmarkStart w:id="72" w:name="_Toc183682353"/>
      <w:r>
        <w:rPr>
          <w:rFonts w:hint="eastAsia" w:ascii="仿宋" w:hAnsi="仿宋" w:eastAsia="仿宋" w:cs="仿宋"/>
          <w:color w:val="auto"/>
          <w:sz w:val="24"/>
          <w:highlight w:val="none"/>
        </w:rPr>
        <w:t>9.1 投标人提交的投标文件以及投标人与招标采购单位就有关投标的所有来往书面文件均须使用中文。投标文件中如附有外文资料，主要部分对应翻译成中文并加盖投标人公章后附在相关外文资料后面。</w:t>
      </w:r>
    </w:p>
    <w:p>
      <w:pPr>
        <w:tabs>
          <w:tab w:val="left" w:pos="1134"/>
        </w:tabs>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 翻译的中文资料与外文资料如果出现差异和矛盾时，以中文为准。涉嫌虚假响应的按照相关法律法规处理。</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9.3 如因未翻译而造成的废标，由投标人承担。</w:t>
      </w:r>
    </w:p>
    <w:p>
      <w:pPr>
        <w:pStyle w:val="5"/>
        <w:spacing w:before="0" w:after="0"/>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10．计量单位</w:t>
      </w:r>
      <w:bookmarkEnd w:id="70"/>
      <w:bookmarkEnd w:id="71"/>
      <w:bookmarkEnd w:id="72"/>
      <w:r>
        <w:rPr>
          <w:rFonts w:hint="eastAsia" w:ascii="仿宋" w:hAnsi="仿宋" w:eastAsia="仿宋" w:cs="仿宋"/>
          <w:color w:val="auto"/>
          <w:sz w:val="24"/>
          <w:szCs w:val="24"/>
          <w:highlight w:val="none"/>
        </w:rPr>
        <w:t>（实质性要求）</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除招标文件中另有规定外，本次采购项目所有合同项下的投标均采用国家法定的计量单位。</w:t>
      </w:r>
    </w:p>
    <w:p>
      <w:pPr>
        <w:pStyle w:val="5"/>
        <w:spacing w:before="0" w:after="0"/>
        <w:ind w:firstLine="482" w:firstLineChars="200"/>
        <w:rPr>
          <w:rFonts w:hint="eastAsia" w:ascii="仿宋" w:hAnsi="仿宋" w:eastAsia="仿宋" w:cs="仿宋"/>
          <w:color w:val="auto"/>
          <w:sz w:val="24"/>
          <w:szCs w:val="24"/>
          <w:highlight w:val="none"/>
        </w:rPr>
      </w:pPr>
      <w:bookmarkStart w:id="73" w:name="_Toc217446045"/>
      <w:r>
        <w:rPr>
          <w:rFonts w:hint="eastAsia" w:ascii="仿宋" w:hAnsi="仿宋" w:eastAsia="仿宋" w:cs="仿宋"/>
          <w:color w:val="auto"/>
          <w:sz w:val="24"/>
          <w:szCs w:val="24"/>
          <w:highlight w:val="none"/>
        </w:rPr>
        <w:t>11．投标货币</w:t>
      </w:r>
      <w:bookmarkEnd w:id="73"/>
      <w:r>
        <w:rPr>
          <w:rFonts w:hint="eastAsia" w:ascii="仿宋" w:hAnsi="仿宋" w:eastAsia="仿宋" w:cs="仿宋"/>
          <w:color w:val="auto"/>
          <w:sz w:val="24"/>
          <w:szCs w:val="24"/>
          <w:highlight w:val="none"/>
        </w:rPr>
        <w:t>（实质性要求）</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本次招标项目的投标均以人民币报价。</w:t>
      </w:r>
    </w:p>
    <w:p>
      <w:pPr>
        <w:pStyle w:val="5"/>
        <w:spacing w:before="0" w:after="0"/>
        <w:ind w:firstLine="482" w:firstLineChars="200"/>
        <w:rPr>
          <w:rFonts w:hint="eastAsia" w:ascii="仿宋" w:hAnsi="仿宋" w:eastAsia="仿宋" w:cs="仿宋"/>
          <w:color w:val="auto"/>
          <w:sz w:val="24"/>
          <w:szCs w:val="24"/>
          <w:highlight w:val="none"/>
        </w:rPr>
      </w:pPr>
      <w:bookmarkStart w:id="74" w:name="_Toc217446046"/>
      <w:r>
        <w:rPr>
          <w:rFonts w:hint="eastAsia" w:ascii="仿宋" w:hAnsi="仿宋" w:eastAsia="仿宋" w:cs="仿宋"/>
          <w:color w:val="auto"/>
          <w:sz w:val="24"/>
          <w:szCs w:val="24"/>
          <w:highlight w:val="none"/>
        </w:rPr>
        <w:t>12．联合体投标</w:t>
      </w:r>
      <w:bookmarkEnd w:id="74"/>
      <w:r>
        <w:rPr>
          <w:rFonts w:hint="eastAsia" w:ascii="仿宋" w:hAnsi="仿宋" w:eastAsia="仿宋" w:cs="仿宋"/>
          <w:color w:val="auto"/>
          <w:sz w:val="24"/>
          <w:szCs w:val="24"/>
          <w:highlight w:val="none"/>
        </w:rPr>
        <w:t>（仅适用于允许联合体参与的项目）</w:t>
      </w:r>
    </w:p>
    <w:p>
      <w:pPr>
        <w:spacing w:after="0" w:line="360" w:lineRule="auto"/>
        <w:ind w:firstLine="480" w:firstLineChars="200"/>
        <w:rPr>
          <w:rFonts w:hint="eastAsia" w:ascii="仿宋" w:hAnsi="仿宋" w:eastAsia="仿宋" w:cs="仿宋"/>
          <w:color w:val="auto"/>
          <w:sz w:val="24"/>
          <w:highlight w:val="none"/>
        </w:rPr>
      </w:pPr>
      <w:bookmarkStart w:id="75" w:name="_Toc217446047"/>
      <w:r>
        <w:rPr>
          <w:rFonts w:hint="eastAsia" w:ascii="仿宋" w:hAnsi="仿宋" w:eastAsia="仿宋" w:cs="仿宋"/>
          <w:color w:val="auto"/>
          <w:sz w:val="24"/>
          <w:highlight w:val="none"/>
        </w:rPr>
        <w:t>联合体各方应当共同与采购人签订采购合同，就采购合同约定的事项对采购人承担连带责任，本项目不允许联合体参与评标。</w:t>
      </w:r>
    </w:p>
    <w:p>
      <w:pPr>
        <w:pStyle w:val="5"/>
        <w:spacing w:before="0" w:after="0"/>
        <w:ind w:firstLine="482" w:firstLineChars="200"/>
        <w:rPr>
          <w:rFonts w:hint="eastAsia" w:ascii="仿宋" w:hAnsi="仿宋" w:eastAsia="仿宋" w:cs="仿宋"/>
          <w:color w:val="auto"/>
          <w:sz w:val="24"/>
          <w:szCs w:val="24"/>
          <w:highlight w:val="none"/>
        </w:rPr>
      </w:pPr>
      <w:bookmarkStart w:id="76" w:name="_Toc308164797"/>
      <w:r>
        <w:rPr>
          <w:rFonts w:hint="eastAsia" w:ascii="仿宋" w:hAnsi="仿宋" w:eastAsia="仿宋" w:cs="仿宋"/>
          <w:color w:val="auto"/>
          <w:sz w:val="24"/>
          <w:szCs w:val="24"/>
          <w:highlight w:val="none"/>
        </w:rPr>
        <w:t>13．知识产权</w:t>
      </w:r>
      <w:bookmarkEnd w:id="75"/>
      <w:bookmarkEnd w:id="76"/>
      <w:r>
        <w:rPr>
          <w:rFonts w:hint="eastAsia" w:ascii="仿宋" w:hAnsi="仿宋" w:eastAsia="仿宋" w:cs="仿宋"/>
          <w:color w:val="auto"/>
          <w:sz w:val="24"/>
          <w:szCs w:val="24"/>
          <w:highlight w:val="none"/>
        </w:rPr>
        <w:t>（实质性要求）</w:t>
      </w:r>
    </w:p>
    <w:p>
      <w:pPr>
        <w:pStyle w:val="12"/>
        <w:spacing w:after="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12"/>
        <w:spacing w:after="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13.2 采购人享有本项目实施过程中产生的知识成果及知识产权。</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13.4 如采用投标人所不拥有的知识产权，则在投标报价中必须包括合法获取该知识产权的相关费用。 </w:t>
      </w:r>
    </w:p>
    <w:p>
      <w:pPr>
        <w:pStyle w:val="5"/>
        <w:spacing w:before="0" w:after="0"/>
        <w:ind w:firstLine="482" w:firstLineChars="200"/>
        <w:rPr>
          <w:rFonts w:hint="eastAsia" w:ascii="仿宋" w:hAnsi="仿宋" w:eastAsia="仿宋" w:cs="仿宋"/>
          <w:color w:val="auto"/>
          <w:sz w:val="24"/>
          <w:szCs w:val="24"/>
          <w:highlight w:val="none"/>
        </w:rPr>
      </w:pPr>
      <w:bookmarkStart w:id="77" w:name="_Toc183682354"/>
      <w:bookmarkStart w:id="78" w:name="_Toc183582217"/>
      <w:bookmarkStart w:id="79" w:name="_Toc217446048"/>
      <w:bookmarkStart w:id="80" w:name="_Toc308164798"/>
      <w:r>
        <w:rPr>
          <w:rFonts w:hint="eastAsia" w:ascii="仿宋" w:hAnsi="仿宋" w:eastAsia="仿宋" w:cs="仿宋"/>
          <w:color w:val="auto"/>
          <w:sz w:val="24"/>
          <w:szCs w:val="24"/>
          <w:highlight w:val="none"/>
        </w:rPr>
        <w:t>14．投标文件的组成</w:t>
      </w:r>
      <w:bookmarkEnd w:id="77"/>
      <w:bookmarkEnd w:id="78"/>
      <w:bookmarkEnd w:id="79"/>
      <w:bookmarkEnd w:id="80"/>
      <w:r>
        <w:rPr>
          <w:rFonts w:hint="eastAsia" w:ascii="仿宋" w:hAnsi="仿宋" w:eastAsia="仿宋" w:cs="仿宋"/>
          <w:color w:val="auto"/>
          <w:sz w:val="24"/>
          <w:szCs w:val="24"/>
          <w:highlight w:val="none"/>
        </w:rPr>
        <w:t>（实质性要求）</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投标人应按照招标文件的规定和要求编制投标文件。投标人拟在中标后将中标项目的非主体、非关键性工作交由他人分包完成的，应当在投标文件中载明。投标人编写的投标文件应包括下列部分：</w:t>
      </w:r>
    </w:p>
    <w:p>
      <w:pPr>
        <w:spacing w:after="0"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14.1投标文件封面；</w:t>
      </w:r>
    </w:p>
    <w:p>
      <w:pPr>
        <w:spacing w:after="0"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14.2资格性审查部分：投标人应按照招标文件第五章要求集中在此部分提供资格证明材料，未在此部分提供的资格性证明材料在进行资格性审查时不予认可。</w:t>
      </w:r>
    </w:p>
    <w:p>
      <w:pPr>
        <w:spacing w:after="0"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14.3服务、商务及其他要求响应部分：投标人根据招标文件要求提供的除资格性审查材料以外的其他一切材料。</w:t>
      </w:r>
    </w:p>
    <w:p>
      <w:pPr>
        <w:pStyle w:val="2"/>
        <w:spacing w:after="0" w:line="360" w:lineRule="auto"/>
        <w:ind w:firstLine="482" w:firstLineChars="200"/>
        <w:jc w:val="left"/>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14.3.1报价部分。</w:t>
      </w:r>
      <w:r>
        <w:rPr>
          <w:rFonts w:hint="eastAsia" w:ascii="仿宋" w:hAnsi="仿宋" w:eastAsia="仿宋" w:cs="仿宋"/>
          <w:color w:val="auto"/>
          <w:sz w:val="24"/>
          <w:szCs w:val="24"/>
          <w:highlight w:val="none"/>
        </w:rPr>
        <w:t>投标人按照招标文件要求填写的“开标一览表”及“分项报价明细表”。本次招标报价要求：</w:t>
      </w:r>
    </w:p>
    <w:p>
      <w:pPr>
        <w:pStyle w:val="2"/>
        <w:spacing w:after="0"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（1）投标人的报价是投标人响应招标项目要求的全部工作内容的价格体现，包括投标人完成本项目所需的一切费用</w:t>
      </w:r>
      <w:r>
        <w:rPr>
          <w:rFonts w:hint="eastAsia" w:ascii="仿宋" w:hAnsi="仿宋" w:eastAsia="仿宋" w:cs="仿宋"/>
          <w:b/>
          <w:bCs/>
          <w:color w:val="auto"/>
          <w:sz w:val="24"/>
          <w:szCs w:val="24"/>
          <w:highlight w:val="none"/>
        </w:rPr>
        <w:t>（实质性要求）</w:t>
      </w:r>
      <w:r>
        <w:rPr>
          <w:rFonts w:hint="eastAsia" w:ascii="仿宋" w:hAnsi="仿宋" w:eastAsia="仿宋" w:cs="仿宋"/>
          <w:color w:val="auto"/>
          <w:sz w:val="24"/>
          <w:szCs w:val="24"/>
          <w:highlight w:val="none"/>
        </w:rPr>
        <w:t>。</w:t>
      </w:r>
    </w:p>
    <w:p>
      <w:pPr>
        <w:pStyle w:val="2"/>
        <w:spacing w:after="0"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（2）投标人每种货物只允许有一个报价，并且在合同履行过程中是固定不变的，任何有选择或可调整的报价将不予接受，并按无效投标处理</w:t>
      </w:r>
      <w:r>
        <w:rPr>
          <w:rFonts w:hint="eastAsia" w:ascii="仿宋" w:hAnsi="仿宋" w:eastAsia="仿宋" w:cs="仿宋"/>
          <w:b/>
          <w:bCs/>
          <w:color w:val="auto"/>
          <w:sz w:val="24"/>
          <w:szCs w:val="24"/>
          <w:highlight w:val="none"/>
        </w:rPr>
        <w:t>（实质性要求）</w:t>
      </w:r>
      <w:r>
        <w:rPr>
          <w:rFonts w:hint="eastAsia" w:ascii="仿宋" w:hAnsi="仿宋" w:eastAsia="仿宋" w:cs="仿宋"/>
          <w:color w:val="auto"/>
          <w:sz w:val="24"/>
          <w:szCs w:val="24"/>
          <w:highlight w:val="none"/>
        </w:rPr>
        <w:t>。</w:t>
      </w:r>
    </w:p>
    <w:p>
      <w:pPr>
        <w:pStyle w:val="5"/>
        <w:tabs>
          <w:tab w:val="left" w:pos="3480"/>
        </w:tabs>
        <w:spacing w:before="0" w:after="0"/>
        <w:ind w:firstLine="482" w:firstLineChars="200"/>
        <w:rPr>
          <w:rFonts w:hint="eastAsia" w:ascii="仿宋" w:hAnsi="仿宋" w:eastAsia="仿宋" w:cs="仿宋"/>
          <w:color w:val="auto"/>
          <w:sz w:val="24"/>
          <w:szCs w:val="24"/>
          <w:highlight w:val="none"/>
        </w:rPr>
      </w:pPr>
      <w:bookmarkStart w:id="81" w:name="_Toc308164799"/>
      <w:bookmarkStart w:id="82" w:name="_Toc217446049"/>
      <w:bookmarkStart w:id="83" w:name="_Toc183582218"/>
      <w:bookmarkStart w:id="84" w:name="_Toc183682355"/>
      <w:r>
        <w:rPr>
          <w:rFonts w:hint="eastAsia" w:ascii="仿宋" w:hAnsi="仿宋" w:eastAsia="仿宋" w:cs="仿宋"/>
          <w:color w:val="auto"/>
          <w:sz w:val="24"/>
          <w:szCs w:val="24"/>
          <w:highlight w:val="none"/>
        </w:rPr>
        <w:t>15．投标文件格式</w:t>
      </w:r>
      <w:bookmarkEnd w:id="81"/>
      <w:bookmarkEnd w:id="82"/>
      <w:bookmarkEnd w:id="83"/>
      <w:bookmarkEnd w:id="84"/>
    </w:p>
    <w:p>
      <w:pPr>
        <w:tabs>
          <w:tab w:val="left" w:pos="7665"/>
        </w:tabs>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15.1 投标人应执行招标文件第三章的规定要求。第三章格式中“注”的内容，投标人可自行决定是否保留在投标文件中，未保留的视为投标人默认接受“注”的内容。</w:t>
      </w:r>
    </w:p>
    <w:p>
      <w:pPr>
        <w:tabs>
          <w:tab w:val="left" w:pos="7665"/>
        </w:tabs>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15.2 对于没有格式要求的投标文件由投标人自行编写。</w:t>
      </w:r>
    </w:p>
    <w:p>
      <w:pPr>
        <w:pStyle w:val="5"/>
        <w:spacing w:before="0" w:after="0"/>
        <w:ind w:firstLine="482" w:firstLineChars="200"/>
        <w:rPr>
          <w:rFonts w:hint="eastAsia" w:ascii="仿宋" w:hAnsi="仿宋" w:eastAsia="仿宋" w:cs="仿宋"/>
          <w:color w:val="auto"/>
          <w:sz w:val="24"/>
          <w:szCs w:val="24"/>
          <w:highlight w:val="none"/>
        </w:rPr>
      </w:pPr>
      <w:bookmarkStart w:id="85" w:name="_Toc183582223"/>
      <w:bookmarkStart w:id="86" w:name="_Toc183682360"/>
      <w:bookmarkStart w:id="87" w:name="_Toc308164800"/>
      <w:bookmarkStart w:id="88" w:name="_Toc217446050"/>
      <w:r>
        <w:rPr>
          <w:rFonts w:hint="eastAsia" w:ascii="仿宋" w:hAnsi="仿宋" w:eastAsia="仿宋" w:cs="仿宋"/>
          <w:bCs w:val="0"/>
          <w:color w:val="auto"/>
          <w:sz w:val="24"/>
          <w:szCs w:val="24"/>
          <w:highlight w:val="none"/>
        </w:rPr>
        <w:t>16</w:t>
      </w:r>
      <w:r>
        <w:rPr>
          <w:rFonts w:hint="eastAsia" w:ascii="仿宋" w:hAnsi="仿宋" w:eastAsia="仿宋" w:cs="仿宋"/>
          <w:color w:val="auto"/>
          <w:sz w:val="24"/>
          <w:szCs w:val="24"/>
          <w:highlight w:val="none"/>
        </w:rPr>
        <w:t>．</w:t>
      </w:r>
      <w:r>
        <w:rPr>
          <w:rFonts w:hint="eastAsia" w:ascii="仿宋" w:hAnsi="仿宋" w:eastAsia="仿宋" w:cs="仿宋"/>
          <w:bCs w:val="0"/>
          <w:color w:val="auto"/>
          <w:sz w:val="24"/>
          <w:szCs w:val="24"/>
          <w:highlight w:val="none"/>
        </w:rPr>
        <w:t>投标保证金</w:t>
      </w:r>
      <w:bookmarkEnd w:id="85"/>
      <w:bookmarkEnd w:id="86"/>
      <w:bookmarkEnd w:id="87"/>
      <w:bookmarkEnd w:id="88"/>
      <w:r>
        <w:rPr>
          <w:rFonts w:hint="eastAsia" w:ascii="仿宋" w:hAnsi="仿宋" w:eastAsia="仿宋" w:cs="仿宋"/>
          <w:color w:val="auto"/>
          <w:sz w:val="24"/>
          <w:szCs w:val="24"/>
          <w:highlight w:val="none"/>
        </w:rPr>
        <w:t>（实质性要求）</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本项目不收取投标保证金。</w:t>
      </w:r>
    </w:p>
    <w:p>
      <w:pPr>
        <w:pStyle w:val="5"/>
        <w:spacing w:before="0" w:after="0"/>
        <w:ind w:firstLine="482" w:firstLineChars="200"/>
        <w:rPr>
          <w:rFonts w:hint="eastAsia" w:ascii="仿宋" w:hAnsi="仿宋" w:eastAsia="仿宋" w:cs="仿宋"/>
          <w:bCs w:val="0"/>
          <w:color w:val="auto"/>
          <w:sz w:val="24"/>
          <w:szCs w:val="24"/>
          <w:highlight w:val="none"/>
        </w:rPr>
      </w:pPr>
      <w:bookmarkStart w:id="89" w:name="_Toc183582224"/>
      <w:bookmarkStart w:id="90" w:name="_Toc308164801"/>
      <w:bookmarkStart w:id="91" w:name="_Toc183682361"/>
      <w:bookmarkStart w:id="92" w:name="_Toc217446051"/>
      <w:r>
        <w:rPr>
          <w:rFonts w:hint="eastAsia" w:ascii="仿宋" w:hAnsi="仿宋" w:eastAsia="仿宋" w:cs="仿宋"/>
          <w:bCs w:val="0"/>
          <w:color w:val="auto"/>
          <w:sz w:val="24"/>
          <w:szCs w:val="24"/>
          <w:highlight w:val="none"/>
        </w:rPr>
        <w:t>17</w:t>
      </w:r>
      <w:r>
        <w:rPr>
          <w:rFonts w:hint="eastAsia" w:ascii="仿宋" w:hAnsi="仿宋" w:eastAsia="仿宋" w:cs="仿宋"/>
          <w:color w:val="auto"/>
          <w:sz w:val="24"/>
          <w:szCs w:val="24"/>
          <w:highlight w:val="none"/>
        </w:rPr>
        <w:t>．</w:t>
      </w:r>
      <w:r>
        <w:rPr>
          <w:rFonts w:hint="eastAsia" w:ascii="仿宋" w:hAnsi="仿宋" w:eastAsia="仿宋" w:cs="仿宋"/>
          <w:bCs w:val="0"/>
          <w:color w:val="auto"/>
          <w:sz w:val="24"/>
          <w:szCs w:val="24"/>
          <w:highlight w:val="none"/>
        </w:rPr>
        <w:t>投标有效期</w:t>
      </w:r>
      <w:bookmarkEnd w:id="89"/>
      <w:bookmarkEnd w:id="90"/>
      <w:bookmarkEnd w:id="91"/>
      <w:bookmarkEnd w:id="92"/>
      <w:r>
        <w:rPr>
          <w:rFonts w:hint="eastAsia" w:ascii="仿宋" w:hAnsi="仿宋" w:eastAsia="仿宋" w:cs="仿宋"/>
          <w:color w:val="auto"/>
          <w:sz w:val="24"/>
          <w:szCs w:val="24"/>
          <w:highlight w:val="none"/>
        </w:rPr>
        <w:t>（实质性要求）</w:t>
      </w:r>
    </w:p>
    <w:p>
      <w:pPr>
        <w:tabs>
          <w:tab w:val="left" w:pos="7665"/>
        </w:tabs>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17.1 本项目投标有效期为投标截止之日起</w:t>
      </w:r>
      <w:r>
        <w:rPr>
          <w:rFonts w:hint="eastAsia" w:ascii="仿宋" w:hAnsi="仿宋" w:eastAsia="仿宋" w:cs="仿宋"/>
          <w:b/>
          <w:bCs/>
          <w:color w:val="auto"/>
          <w:sz w:val="24"/>
          <w:highlight w:val="none"/>
        </w:rPr>
        <w:t>90天</w:t>
      </w:r>
      <w:r>
        <w:rPr>
          <w:rFonts w:hint="eastAsia" w:ascii="仿宋" w:hAnsi="仿宋" w:eastAsia="仿宋" w:cs="仿宋"/>
          <w:color w:val="auto"/>
          <w:sz w:val="24"/>
          <w:highlight w:val="none"/>
        </w:rPr>
        <w:t>。投标人投标文件中必须载明投标有效期，投标文件中载明的投标有效期可以长于招标文件规定的期限，但不得短于招标文件规定的期限。否则，其投标文件将作为无效投标处理。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5"/>
        <w:spacing w:before="0" w:after="0"/>
        <w:ind w:firstLine="482" w:firstLineChars="200"/>
        <w:rPr>
          <w:rFonts w:hint="eastAsia" w:ascii="仿宋" w:hAnsi="仿宋" w:eastAsia="仿宋" w:cs="仿宋"/>
          <w:bCs w:val="0"/>
          <w:color w:val="auto"/>
          <w:sz w:val="24"/>
          <w:szCs w:val="24"/>
          <w:highlight w:val="none"/>
        </w:rPr>
      </w:pPr>
      <w:bookmarkStart w:id="93" w:name="_Toc183682362"/>
      <w:bookmarkStart w:id="94" w:name="_Toc217446052"/>
      <w:bookmarkStart w:id="95" w:name="_Toc183582225"/>
      <w:bookmarkStart w:id="96" w:name="_Toc308164802"/>
      <w:r>
        <w:rPr>
          <w:rFonts w:hint="eastAsia" w:ascii="仿宋" w:hAnsi="仿宋" w:eastAsia="仿宋" w:cs="仿宋"/>
          <w:bCs w:val="0"/>
          <w:color w:val="auto"/>
          <w:sz w:val="24"/>
          <w:szCs w:val="24"/>
          <w:highlight w:val="none"/>
        </w:rPr>
        <w:t>18</w:t>
      </w:r>
      <w:r>
        <w:rPr>
          <w:rFonts w:hint="eastAsia" w:ascii="仿宋" w:hAnsi="仿宋" w:eastAsia="仿宋" w:cs="仿宋"/>
          <w:color w:val="auto"/>
          <w:sz w:val="24"/>
          <w:szCs w:val="24"/>
          <w:highlight w:val="none"/>
        </w:rPr>
        <w:t>．</w:t>
      </w:r>
      <w:bookmarkEnd w:id="93"/>
      <w:bookmarkEnd w:id="94"/>
      <w:bookmarkEnd w:id="95"/>
      <w:bookmarkEnd w:id="96"/>
      <w:r>
        <w:rPr>
          <w:rFonts w:hint="eastAsia" w:ascii="仿宋" w:hAnsi="仿宋" w:eastAsia="仿宋" w:cs="仿宋"/>
          <w:bCs w:val="0"/>
          <w:color w:val="auto"/>
          <w:sz w:val="24"/>
          <w:szCs w:val="24"/>
          <w:highlight w:val="none"/>
        </w:rPr>
        <w:t>投标文件的制作和签章、加密</w:t>
      </w:r>
    </w:p>
    <w:p>
      <w:pPr>
        <w:tabs>
          <w:tab w:val="left" w:pos="1080"/>
        </w:tabs>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18.1 </w:t>
      </w:r>
      <w:r>
        <w:rPr>
          <w:rFonts w:hint="eastAsia" w:ascii="仿宋" w:hAnsi="仿宋" w:eastAsia="仿宋" w:cs="仿宋"/>
          <w:b/>
          <w:bCs/>
          <w:color w:val="auto"/>
          <w:sz w:val="24"/>
          <w:highlight w:val="none"/>
        </w:rPr>
        <w:t>本项目实行电子投标。投标人应先安装“政采云投标客户端”。（政府采购云平台—CA管理—绑定CA—下载驱动—“政采云投标客户端”立即下载）。投标人应按招标文件要求，通过“政采云投标客户端”制作、加密并提交投标文件。（实质性要求）</w:t>
      </w:r>
    </w:p>
    <w:p>
      <w:pPr>
        <w:tabs>
          <w:tab w:val="left" w:pos="1080"/>
        </w:tabs>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18.2 </w:t>
      </w:r>
      <w:r>
        <w:rPr>
          <w:rFonts w:hint="eastAsia" w:ascii="仿宋" w:hAnsi="仿宋" w:eastAsia="仿宋" w:cs="仿宋"/>
          <w:b/>
          <w:bCs/>
          <w:color w:val="auto"/>
          <w:sz w:val="24"/>
          <w:highlight w:val="none"/>
        </w:rPr>
        <w:t>投标文件每页均应加盖投标人（法定名称）电子签章，不得使用投标人专用章（如经济合同章、投标专用章等）或下属单位印章代替。</w:t>
      </w:r>
    </w:p>
    <w:p>
      <w:pPr>
        <w:tabs>
          <w:tab w:val="left" w:pos="1080"/>
        </w:tabs>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18.3 投标人应使用本企业CA数字证书对投标文件进行加密。</w:t>
      </w:r>
      <w:r>
        <w:rPr>
          <w:rFonts w:hint="eastAsia" w:ascii="仿宋" w:hAnsi="仿宋" w:eastAsia="仿宋" w:cs="仿宋"/>
          <w:b/>
          <w:bCs/>
          <w:color w:val="auto"/>
          <w:sz w:val="24"/>
          <w:highlight w:val="none"/>
        </w:rPr>
        <w:t>（实质性要求）</w:t>
      </w:r>
    </w:p>
    <w:p>
      <w:pPr>
        <w:tabs>
          <w:tab w:val="left" w:pos="1080"/>
        </w:tabs>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18.4 招标文件若有修改，投标人根据修改后的招标文件制作或修改并递交投标文件。</w:t>
      </w:r>
    </w:p>
    <w:p>
      <w:pPr>
        <w:tabs>
          <w:tab w:val="left" w:pos="1080"/>
        </w:tabs>
        <w:spacing w:after="0" w:line="360" w:lineRule="auto"/>
        <w:ind w:firstLine="480" w:firstLineChars="200"/>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 xml:space="preserve">18.5 </w:t>
      </w:r>
      <w:r>
        <w:rPr>
          <w:rFonts w:hint="eastAsia" w:ascii="仿宋" w:hAnsi="仿宋" w:eastAsia="仿宋" w:cs="仿宋"/>
          <w:b/>
          <w:bCs/>
          <w:color w:val="auto"/>
          <w:sz w:val="24"/>
          <w:highlight w:val="none"/>
        </w:rPr>
        <w:t>使用“政府采购云平台”需要提前申领CA数字证书及电子签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实质性要求）</w:t>
      </w:r>
    </w:p>
    <w:p>
      <w:pPr>
        <w:pStyle w:val="5"/>
        <w:spacing w:before="0" w:after="0"/>
        <w:ind w:firstLine="482" w:firstLineChars="200"/>
        <w:rPr>
          <w:rFonts w:hint="eastAsia" w:ascii="仿宋" w:hAnsi="仿宋" w:eastAsia="仿宋" w:cs="仿宋"/>
          <w:bCs w:val="0"/>
          <w:color w:val="auto"/>
          <w:sz w:val="24"/>
          <w:szCs w:val="24"/>
          <w:highlight w:val="none"/>
        </w:rPr>
      </w:pPr>
      <w:bookmarkStart w:id="97" w:name="_Toc183582227"/>
      <w:bookmarkStart w:id="98" w:name="_Toc183682364"/>
      <w:bookmarkStart w:id="99" w:name="_Toc308164804"/>
      <w:bookmarkStart w:id="100" w:name="_Toc217446054"/>
      <w:r>
        <w:rPr>
          <w:rFonts w:hint="eastAsia" w:ascii="仿宋" w:hAnsi="仿宋" w:eastAsia="仿宋" w:cs="仿宋"/>
          <w:bCs w:val="0"/>
          <w:color w:val="auto"/>
          <w:sz w:val="24"/>
          <w:szCs w:val="24"/>
          <w:highlight w:val="none"/>
        </w:rPr>
        <w:t>19</w:t>
      </w:r>
      <w:r>
        <w:rPr>
          <w:rFonts w:hint="eastAsia" w:ascii="仿宋" w:hAnsi="仿宋" w:eastAsia="仿宋" w:cs="仿宋"/>
          <w:color w:val="auto"/>
          <w:sz w:val="24"/>
          <w:szCs w:val="24"/>
          <w:highlight w:val="none"/>
        </w:rPr>
        <w:t>．</w:t>
      </w:r>
      <w:r>
        <w:rPr>
          <w:rFonts w:hint="eastAsia" w:ascii="仿宋" w:hAnsi="仿宋" w:eastAsia="仿宋" w:cs="仿宋"/>
          <w:bCs w:val="0"/>
          <w:color w:val="auto"/>
          <w:sz w:val="24"/>
          <w:szCs w:val="24"/>
          <w:highlight w:val="none"/>
        </w:rPr>
        <w:t>投标文件的</w:t>
      </w:r>
      <w:bookmarkEnd w:id="97"/>
      <w:bookmarkEnd w:id="98"/>
      <w:r>
        <w:rPr>
          <w:rFonts w:hint="eastAsia" w:ascii="仿宋" w:hAnsi="仿宋" w:eastAsia="仿宋" w:cs="仿宋"/>
          <w:bCs w:val="0"/>
          <w:color w:val="auto"/>
          <w:sz w:val="24"/>
          <w:szCs w:val="24"/>
          <w:highlight w:val="none"/>
        </w:rPr>
        <w:t>递交</w:t>
      </w:r>
      <w:bookmarkEnd w:id="99"/>
      <w:bookmarkEnd w:id="100"/>
    </w:p>
    <w:p>
      <w:pPr>
        <w:tabs>
          <w:tab w:val="left" w:pos="1095"/>
        </w:tabs>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19.1 投标人应当在投标文件递交截止时间前，将生成的已加密的电子投标文件成功递交至“政府采购云平台”。</w:t>
      </w:r>
    </w:p>
    <w:p>
      <w:pPr>
        <w:tabs>
          <w:tab w:val="left" w:pos="1095"/>
        </w:tabs>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19.2投标人应充分考虑递交文件的不可预见因素，在投标截止时间后将无法递交。</w:t>
      </w:r>
    </w:p>
    <w:p>
      <w:pPr>
        <w:pStyle w:val="5"/>
        <w:spacing w:before="0" w:after="0"/>
        <w:ind w:firstLine="482" w:firstLineChars="200"/>
        <w:rPr>
          <w:rFonts w:hint="eastAsia" w:ascii="仿宋" w:hAnsi="仿宋" w:eastAsia="仿宋" w:cs="仿宋"/>
          <w:bCs w:val="0"/>
          <w:color w:val="auto"/>
          <w:sz w:val="24"/>
          <w:szCs w:val="24"/>
          <w:highlight w:val="none"/>
        </w:rPr>
      </w:pPr>
      <w:bookmarkStart w:id="101" w:name="_Toc217446055"/>
      <w:bookmarkStart w:id="102" w:name="_Toc183582228"/>
      <w:bookmarkStart w:id="103" w:name="_Toc183682365"/>
      <w:r>
        <w:rPr>
          <w:rFonts w:hint="eastAsia" w:ascii="仿宋" w:hAnsi="仿宋" w:eastAsia="仿宋" w:cs="仿宋"/>
          <w:bCs w:val="0"/>
          <w:color w:val="auto"/>
          <w:sz w:val="24"/>
          <w:szCs w:val="24"/>
          <w:highlight w:val="none"/>
        </w:rPr>
        <w:t>20</w:t>
      </w:r>
      <w:r>
        <w:rPr>
          <w:rFonts w:hint="eastAsia" w:ascii="仿宋" w:hAnsi="仿宋" w:eastAsia="仿宋" w:cs="仿宋"/>
          <w:color w:val="auto"/>
          <w:sz w:val="24"/>
          <w:szCs w:val="24"/>
          <w:highlight w:val="none"/>
        </w:rPr>
        <w:t>．</w:t>
      </w:r>
      <w:bookmarkEnd w:id="101"/>
      <w:bookmarkEnd w:id="102"/>
      <w:bookmarkEnd w:id="103"/>
      <w:r>
        <w:rPr>
          <w:rFonts w:hint="eastAsia" w:ascii="仿宋" w:hAnsi="仿宋" w:eastAsia="仿宋" w:cs="仿宋"/>
          <w:bCs w:val="0"/>
          <w:color w:val="auto"/>
          <w:sz w:val="24"/>
          <w:szCs w:val="24"/>
          <w:highlight w:val="none"/>
        </w:rPr>
        <w:t>投标文件的补充、修改或撤回</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20.1投标截止时间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20.2投标截止时间后，投标人不得对其递交的投标文件做任何补充、修改。</w:t>
      </w:r>
    </w:p>
    <w:p>
      <w:pPr>
        <w:pStyle w:val="5"/>
        <w:spacing w:before="0" w:after="0"/>
        <w:ind w:firstLine="482" w:firstLineChars="200"/>
        <w:rPr>
          <w:rFonts w:hint="eastAsia" w:ascii="仿宋" w:hAnsi="仿宋" w:eastAsia="仿宋" w:cs="仿宋"/>
          <w:bCs w:val="0"/>
          <w:color w:val="auto"/>
          <w:sz w:val="24"/>
          <w:szCs w:val="24"/>
          <w:highlight w:val="none"/>
        </w:rPr>
      </w:pPr>
      <w:r>
        <w:rPr>
          <w:rFonts w:hint="eastAsia" w:ascii="仿宋" w:hAnsi="仿宋" w:eastAsia="仿宋" w:cs="仿宋"/>
          <w:bCs w:val="0"/>
          <w:color w:val="auto"/>
          <w:sz w:val="24"/>
          <w:szCs w:val="24"/>
          <w:highlight w:val="none"/>
        </w:rPr>
        <w:t>21</w:t>
      </w:r>
      <w:r>
        <w:rPr>
          <w:rFonts w:hint="eastAsia" w:ascii="仿宋" w:hAnsi="仿宋" w:eastAsia="仿宋" w:cs="仿宋"/>
          <w:color w:val="auto"/>
          <w:sz w:val="24"/>
          <w:szCs w:val="24"/>
          <w:highlight w:val="none"/>
        </w:rPr>
        <w:t>．</w:t>
      </w:r>
      <w:r>
        <w:rPr>
          <w:rFonts w:hint="eastAsia" w:ascii="仿宋" w:hAnsi="仿宋" w:eastAsia="仿宋" w:cs="仿宋"/>
          <w:bCs w:val="0"/>
          <w:color w:val="auto"/>
          <w:sz w:val="24"/>
          <w:szCs w:val="24"/>
          <w:highlight w:val="none"/>
        </w:rPr>
        <w:t>投标文件的解密</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投标人登录政府采购云平台，点击“项目采购—开标评标”模块，进入本项目“开标大厅”，等待代理机构开启解密后，进行线上解密。除因断电、断网、系统故障或其他不可抗力等因素，导致系统无法使用外，投标人在规定的解密时间内，未成功解密的投标文件将视为无效投标文件。</w:t>
      </w:r>
    </w:p>
    <w:p>
      <w:pPr>
        <w:pStyle w:val="4"/>
        <w:spacing w:before="0" w:after="0" w:line="360" w:lineRule="auto"/>
        <w:jc w:val="center"/>
        <w:rPr>
          <w:rFonts w:hint="eastAsia" w:ascii="仿宋" w:hAnsi="仿宋" w:eastAsia="仿宋" w:cs="仿宋"/>
          <w:color w:val="auto"/>
          <w:highlight w:val="none"/>
        </w:rPr>
      </w:pPr>
      <w:bookmarkStart w:id="104" w:name="_Toc89075878"/>
      <w:bookmarkStart w:id="105" w:name="_Toc308164805"/>
      <w:bookmarkStart w:id="106" w:name="_Toc183682368"/>
      <w:bookmarkStart w:id="107" w:name="_Toc77400782"/>
      <w:bookmarkStart w:id="108" w:name="_Toc183582231"/>
      <w:bookmarkStart w:id="109" w:name="_Toc217446056"/>
      <w:r>
        <w:rPr>
          <w:rFonts w:hint="eastAsia" w:ascii="仿宋" w:hAnsi="仿宋" w:eastAsia="仿宋" w:cs="仿宋"/>
          <w:color w:val="auto"/>
          <w:highlight w:val="none"/>
        </w:rPr>
        <w:t>五、</w:t>
      </w:r>
      <w:bookmarkEnd w:id="104"/>
      <w:bookmarkEnd w:id="105"/>
      <w:bookmarkEnd w:id="106"/>
      <w:bookmarkEnd w:id="107"/>
      <w:bookmarkEnd w:id="108"/>
      <w:bookmarkEnd w:id="109"/>
      <w:r>
        <w:rPr>
          <w:rFonts w:hint="eastAsia" w:ascii="仿宋" w:hAnsi="仿宋" w:eastAsia="仿宋" w:cs="仿宋"/>
          <w:color w:val="auto"/>
          <w:highlight w:val="none"/>
        </w:rPr>
        <w:t>开标和中标</w:t>
      </w:r>
    </w:p>
    <w:p>
      <w:pPr>
        <w:pStyle w:val="5"/>
        <w:spacing w:before="0" w:after="0"/>
        <w:ind w:firstLine="482" w:firstLineChars="200"/>
        <w:rPr>
          <w:rFonts w:hint="eastAsia" w:ascii="仿宋" w:hAnsi="仿宋" w:eastAsia="仿宋" w:cs="仿宋"/>
          <w:bCs w:val="0"/>
          <w:color w:val="auto"/>
          <w:sz w:val="24"/>
          <w:szCs w:val="24"/>
          <w:highlight w:val="none"/>
        </w:rPr>
      </w:pPr>
      <w:bookmarkStart w:id="110" w:name="_Toc308164806"/>
      <w:bookmarkStart w:id="111" w:name="_Toc217446057"/>
      <w:bookmarkStart w:id="112" w:name="_Toc183682369"/>
      <w:bookmarkStart w:id="113" w:name="_Toc183582232"/>
      <w:r>
        <w:rPr>
          <w:rFonts w:hint="eastAsia" w:ascii="仿宋" w:hAnsi="仿宋" w:eastAsia="仿宋" w:cs="仿宋"/>
          <w:bCs w:val="0"/>
          <w:color w:val="auto"/>
          <w:sz w:val="24"/>
          <w:szCs w:val="24"/>
          <w:highlight w:val="none"/>
        </w:rPr>
        <w:t>22</w:t>
      </w:r>
      <w:r>
        <w:rPr>
          <w:rFonts w:hint="eastAsia" w:ascii="仿宋" w:hAnsi="仿宋" w:eastAsia="仿宋" w:cs="仿宋"/>
          <w:color w:val="auto"/>
          <w:sz w:val="24"/>
          <w:szCs w:val="24"/>
          <w:highlight w:val="none"/>
        </w:rPr>
        <w:t>．</w:t>
      </w:r>
      <w:bookmarkEnd w:id="110"/>
      <w:bookmarkEnd w:id="111"/>
      <w:bookmarkEnd w:id="112"/>
      <w:bookmarkEnd w:id="113"/>
      <w:r>
        <w:rPr>
          <w:rFonts w:hint="eastAsia" w:ascii="仿宋" w:hAnsi="仿宋" w:eastAsia="仿宋" w:cs="仿宋"/>
          <w:bCs w:val="0"/>
          <w:color w:val="auto"/>
          <w:sz w:val="24"/>
          <w:szCs w:val="24"/>
          <w:highlight w:val="none"/>
        </w:rPr>
        <w:t>开标及开标程序</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22.1本项目为不见面开标项目。（递交电子投标文件的投标人不足3家的，不予开标。）</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22.2开标准备工作。投标人需在开标当日、投标截止时间前登录“政府采购云平台”，通过本项目“开标大厅”参与不见面开标。登录政府采购云平台—项目采购—开标评标—开标大厅（确保进入本项目开标大厅）。</w:t>
      </w:r>
    </w:p>
    <w:p>
      <w:pPr>
        <w:spacing w:after="0"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提示：投标人未按时登录不见面开标系统，错过开标解密时间的，由投标人自行承担不利后果。</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22.3解密投标文件。等待代理机构开启解密后，投标人进行线上解密。开启解密后，投标人应在60分钟内，使用加密该投标文件的CA数字证书在线完成投标文件的解密。除因断电、断网、系统故障或其他不可抗力等因素，导致系统无法使用外，投标人在规定的解密时间内，未成功解密的投标文件将视为无效投标文件。</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22.4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22.5投标人电脑终端等硬件设备和软件系统配置：投标人电脑终端等硬件设备和软件系统配置应符合电子投标（含不见面开标大厅）投标人电脑终端配置要求并运行正常，投标人承担因未尽职责产生的不利后果。</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22.6因断电、断网、系统故障或其他不可抗力等因素导致不见面开标系统无法正常运行的，开标活动中止或延迟，待系统恢复正常后继续进行开标活动。</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22.7不见面开标过程中，各方主体均应遵守互联网有关规定，不得发表与交易活动无关的言论。</w:t>
      </w:r>
    </w:p>
    <w:p>
      <w:pPr>
        <w:pStyle w:val="5"/>
        <w:spacing w:before="0" w:after="0"/>
        <w:ind w:firstLine="482" w:firstLineChars="200"/>
        <w:rPr>
          <w:rFonts w:hint="eastAsia" w:ascii="仿宋" w:hAnsi="仿宋" w:eastAsia="仿宋" w:cs="仿宋"/>
          <w:color w:val="auto"/>
          <w:sz w:val="24"/>
          <w:szCs w:val="24"/>
          <w:highlight w:val="none"/>
        </w:rPr>
      </w:pPr>
      <w:bookmarkStart w:id="114" w:name="_Toc183582238"/>
      <w:bookmarkStart w:id="115" w:name="_Toc183682375"/>
      <w:bookmarkStart w:id="116" w:name="_Toc308164809"/>
      <w:bookmarkStart w:id="117" w:name="_Toc217446063"/>
      <w:r>
        <w:rPr>
          <w:rFonts w:hint="eastAsia" w:ascii="仿宋" w:hAnsi="仿宋" w:eastAsia="仿宋" w:cs="仿宋"/>
          <w:color w:val="auto"/>
          <w:sz w:val="24"/>
          <w:szCs w:val="24"/>
          <w:highlight w:val="none"/>
        </w:rPr>
        <w:t>23．开评标过程存档</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开标和评标过程进行全过程电子监控，并将电子监控资料存储介质留存归档。</w:t>
      </w:r>
    </w:p>
    <w:p>
      <w:pPr>
        <w:pStyle w:val="5"/>
        <w:spacing w:before="0" w:after="0"/>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24．评标情况公告</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所有供应商投标文件资格性、符合性检查情况、评标结果等将在四川政府采购网上采购结果公告栏中予以公告。</w:t>
      </w:r>
    </w:p>
    <w:p>
      <w:pPr>
        <w:pStyle w:val="5"/>
        <w:spacing w:before="0" w:after="0"/>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25．采购人确定中标人过程中，发现中标候选人有下列情形之一的，应当不予确定其为中标人：</w:t>
      </w:r>
    </w:p>
    <w:p>
      <w:pPr>
        <w:spacing w:after="0"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（1）发现中标候选人存在禁止参加本项目采购活动的违法行为的；</w:t>
      </w:r>
    </w:p>
    <w:p>
      <w:pPr>
        <w:spacing w:after="0"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（2）中标候选人因不可抗力，不能继续参加政府采购活动；</w:t>
      </w:r>
    </w:p>
    <w:p>
      <w:pPr>
        <w:spacing w:after="0"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（3）中标候选人无偿赠与或者低于成本价竞争；</w:t>
      </w:r>
    </w:p>
    <w:p>
      <w:pPr>
        <w:spacing w:after="0"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（4）中标候选人提供虚假材料；</w:t>
      </w:r>
    </w:p>
    <w:p>
      <w:pPr>
        <w:spacing w:after="0"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（5）中标候选人恶意串通。</w:t>
      </w:r>
    </w:p>
    <w:p>
      <w:pPr>
        <w:pStyle w:val="5"/>
        <w:spacing w:before="0" w:after="0"/>
        <w:ind w:firstLine="482" w:firstLineChars="200"/>
        <w:rPr>
          <w:rFonts w:hint="eastAsia" w:ascii="仿宋" w:hAnsi="仿宋" w:eastAsia="仿宋" w:cs="仿宋"/>
          <w:bCs w:val="0"/>
          <w:color w:val="auto"/>
          <w:sz w:val="24"/>
          <w:szCs w:val="24"/>
          <w:highlight w:val="none"/>
        </w:rPr>
      </w:pPr>
      <w:r>
        <w:rPr>
          <w:rFonts w:hint="eastAsia" w:ascii="仿宋" w:hAnsi="仿宋" w:eastAsia="仿宋" w:cs="仿宋"/>
          <w:bCs w:val="0"/>
          <w:color w:val="auto"/>
          <w:sz w:val="24"/>
          <w:szCs w:val="24"/>
          <w:highlight w:val="none"/>
        </w:rPr>
        <w:t>26</w:t>
      </w:r>
      <w:r>
        <w:rPr>
          <w:rFonts w:hint="eastAsia" w:ascii="仿宋" w:hAnsi="仿宋" w:eastAsia="仿宋" w:cs="仿宋"/>
          <w:color w:val="auto"/>
          <w:sz w:val="24"/>
          <w:szCs w:val="24"/>
          <w:highlight w:val="none"/>
        </w:rPr>
        <w:t>．</w:t>
      </w:r>
      <w:r>
        <w:rPr>
          <w:rFonts w:hint="eastAsia" w:ascii="仿宋" w:hAnsi="仿宋" w:eastAsia="仿宋" w:cs="仿宋"/>
          <w:bCs w:val="0"/>
          <w:color w:val="auto"/>
          <w:sz w:val="24"/>
          <w:szCs w:val="24"/>
          <w:highlight w:val="none"/>
        </w:rPr>
        <w:t>中标通知</w:t>
      </w:r>
      <w:bookmarkEnd w:id="114"/>
      <w:bookmarkEnd w:id="115"/>
      <w:r>
        <w:rPr>
          <w:rFonts w:hint="eastAsia" w:ascii="仿宋" w:hAnsi="仿宋" w:eastAsia="仿宋" w:cs="仿宋"/>
          <w:bCs w:val="0"/>
          <w:color w:val="auto"/>
          <w:sz w:val="24"/>
          <w:szCs w:val="24"/>
          <w:highlight w:val="none"/>
        </w:rPr>
        <w:t>书</w:t>
      </w:r>
      <w:bookmarkEnd w:id="116"/>
      <w:bookmarkEnd w:id="117"/>
    </w:p>
    <w:p>
      <w:pPr>
        <w:tabs>
          <w:tab w:val="left" w:pos="7665"/>
        </w:tabs>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w:t>
      </w:r>
      <w:r>
        <w:rPr>
          <w:rFonts w:hint="eastAsia" w:ascii="仿宋" w:hAnsi="仿宋" w:eastAsia="仿宋" w:cs="仿宋"/>
          <w:bCs/>
          <w:color w:val="auto"/>
          <w:sz w:val="24"/>
          <w:highlight w:val="none"/>
        </w:rPr>
        <w:t>.</w:t>
      </w:r>
      <w:r>
        <w:rPr>
          <w:rFonts w:hint="eastAsia" w:ascii="仿宋" w:hAnsi="仿宋" w:eastAsia="仿宋" w:cs="仿宋"/>
          <w:color w:val="auto"/>
          <w:sz w:val="24"/>
          <w:highlight w:val="none"/>
        </w:rPr>
        <w:t>1 中标通知书为签订政府采购合同的依据之一，是合同的有效组成部分。</w:t>
      </w:r>
    </w:p>
    <w:p>
      <w:pPr>
        <w:tabs>
          <w:tab w:val="left" w:pos="7665"/>
        </w:tabs>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中标通知书对采购人和中标人均具有法律效力。中标通知书发出后，采购人改变中标结果，或者中标人无正当理由放弃中标的，应当承担相应的法律责任。</w:t>
      </w:r>
    </w:p>
    <w:p>
      <w:pPr>
        <w:tabs>
          <w:tab w:val="left" w:pos="7665"/>
        </w:tabs>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26.4在四川政府采购网公告中标结果同时发出中标通知书，中标供应商自行登录政府采购云平台下载中标通知书</w:t>
      </w:r>
    </w:p>
    <w:p>
      <w:pPr>
        <w:pStyle w:val="4"/>
        <w:spacing w:before="0" w:after="0" w:line="360" w:lineRule="auto"/>
        <w:jc w:val="center"/>
        <w:rPr>
          <w:rFonts w:hint="eastAsia" w:ascii="仿宋" w:hAnsi="仿宋" w:eastAsia="仿宋" w:cs="仿宋"/>
          <w:color w:val="auto"/>
          <w:highlight w:val="none"/>
        </w:rPr>
      </w:pPr>
      <w:bookmarkStart w:id="118" w:name="_Toc217446064"/>
      <w:bookmarkStart w:id="119" w:name="_Toc308164810"/>
      <w:bookmarkStart w:id="120" w:name="_Toc183682377"/>
      <w:bookmarkStart w:id="121" w:name="_Toc183582240"/>
      <w:r>
        <w:rPr>
          <w:rFonts w:hint="eastAsia" w:ascii="仿宋" w:hAnsi="仿宋" w:eastAsia="仿宋" w:cs="仿宋"/>
          <w:color w:val="auto"/>
          <w:highlight w:val="none"/>
        </w:rPr>
        <w:t>六、签订及履行合同和验收</w:t>
      </w:r>
      <w:bookmarkEnd w:id="118"/>
      <w:bookmarkEnd w:id="119"/>
    </w:p>
    <w:p>
      <w:pPr>
        <w:pStyle w:val="5"/>
        <w:spacing w:before="0" w:after="0"/>
        <w:ind w:firstLine="482" w:firstLineChars="200"/>
        <w:rPr>
          <w:rFonts w:hint="eastAsia" w:ascii="仿宋" w:hAnsi="仿宋" w:eastAsia="仿宋" w:cs="仿宋"/>
          <w:b w:val="0"/>
          <w:color w:val="auto"/>
          <w:sz w:val="24"/>
          <w:szCs w:val="24"/>
          <w:highlight w:val="none"/>
        </w:rPr>
      </w:pPr>
      <w:bookmarkStart w:id="122" w:name="_Toc308164811"/>
      <w:bookmarkStart w:id="123" w:name="_Toc217446065"/>
      <w:r>
        <w:rPr>
          <w:rFonts w:hint="eastAsia" w:ascii="仿宋" w:hAnsi="仿宋" w:eastAsia="仿宋" w:cs="仿宋"/>
          <w:color w:val="auto"/>
          <w:sz w:val="24"/>
          <w:szCs w:val="24"/>
          <w:highlight w:val="none"/>
        </w:rPr>
        <w:t>27．签订合同</w:t>
      </w:r>
      <w:bookmarkEnd w:id="122"/>
      <w:bookmarkEnd w:id="123"/>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采购人应当自中标通知书发出之日起 30 日内按照招标文件和中标人投标文件的规定，与中标人签订书面合同。由于中标人的原因逾期未与采购人签订采购合同的，将视为放弃中标，取消其中标资格并将按相关规定进行处理。</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采购人不得向中标人提出任何不合理的要求，作为签订合同的条件，不得与中标人私下订立背离合同实质性内容的任何协议，所签订的合同不得对招标文件和中标人投标文件确定的事项进行实质性修改。</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27.3 中标人拒绝与采购人签订合同的，采购人可以按照评审报告推荐的中标候选人名单排序，确定下一候选人为中标供应商，也可以重新开展政府采购活动。</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27.4 中标人在合同签订之后三个工作日内，将签订的合同（一式壹份）送采购代理机构。中标人应及时到采购代理机构办理。（详见须知附表中联系方式）</w:t>
      </w:r>
    </w:p>
    <w:p>
      <w:pPr>
        <w:pStyle w:val="5"/>
        <w:spacing w:before="0" w:after="0"/>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28．合同分包（实质性要求）</w:t>
      </w:r>
    </w:p>
    <w:p>
      <w:pPr>
        <w:spacing w:after="0"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本项目不允许分包。</w:t>
      </w:r>
    </w:p>
    <w:p>
      <w:pPr>
        <w:pStyle w:val="5"/>
        <w:spacing w:before="0" w:after="0"/>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29．合同转包（实质性要求）</w:t>
      </w:r>
    </w:p>
    <w:p>
      <w:pPr>
        <w:spacing w:after="0"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本采购项目严禁中标人将任何政府采购合同义务转包。</w:t>
      </w:r>
      <w:r>
        <w:rPr>
          <w:rFonts w:hint="eastAsia" w:ascii="仿宋" w:hAnsi="仿宋" w:eastAsia="仿宋" w:cs="仿宋"/>
          <w:color w:val="auto"/>
          <w:sz w:val="24"/>
          <w:highlight w:val="none"/>
        </w:rPr>
        <w:t>本项目所称转包，是指中标人将政府采购合同义务转让给第三人，并退出现有政府采购合同当事人双方的权利义务关系，受让人（即第三人）成为政府采购合同的另一方当事人的行为。</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中标人转包的，视同拒绝履行政府采购合同义务，将依法追究法律责任。</w:t>
      </w:r>
    </w:p>
    <w:p>
      <w:pPr>
        <w:pStyle w:val="5"/>
        <w:spacing w:before="0" w:after="0"/>
        <w:ind w:firstLine="482" w:firstLineChars="200"/>
        <w:rPr>
          <w:rFonts w:hint="eastAsia" w:ascii="仿宋" w:hAnsi="仿宋" w:eastAsia="仿宋" w:cs="仿宋"/>
          <w:color w:val="auto"/>
          <w:sz w:val="24"/>
          <w:szCs w:val="24"/>
          <w:highlight w:val="none"/>
        </w:rPr>
      </w:pPr>
      <w:bookmarkStart w:id="124" w:name="_Toc217446066"/>
      <w:r>
        <w:rPr>
          <w:rFonts w:hint="eastAsia" w:ascii="仿宋" w:hAnsi="仿宋" w:eastAsia="仿宋" w:cs="仿宋"/>
          <w:color w:val="auto"/>
          <w:sz w:val="24"/>
          <w:szCs w:val="24"/>
          <w:highlight w:val="none"/>
        </w:rPr>
        <w:t>3</w:t>
      </w:r>
      <w:bookmarkEnd w:id="124"/>
      <w:r>
        <w:rPr>
          <w:rFonts w:hint="eastAsia" w:ascii="仿宋" w:hAnsi="仿宋" w:eastAsia="仿宋" w:cs="仿宋"/>
          <w:color w:val="auto"/>
          <w:sz w:val="24"/>
          <w:szCs w:val="24"/>
          <w:highlight w:val="none"/>
        </w:rPr>
        <w:t>0．补充合同</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5"/>
        <w:spacing w:before="0" w:after="0"/>
        <w:ind w:firstLine="482" w:firstLineChars="200"/>
        <w:rPr>
          <w:rFonts w:hint="eastAsia" w:ascii="仿宋" w:hAnsi="仿宋" w:eastAsia="仿宋" w:cs="仿宋"/>
          <w:b w:val="0"/>
          <w:color w:val="auto"/>
          <w:sz w:val="24"/>
          <w:szCs w:val="24"/>
          <w:highlight w:val="none"/>
        </w:rPr>
      </w:pPr>
      <w:bookmarkStart w:id="125" w:name="_Toc217446068"/>
      <w:bookmarkStart w:id="126" w:name="_Toc308164812"/>
      <w:r>
        <w:rPr>
          <w:rFonts w:hint="eastAsia" w:ascii="仿宋" w:hAnsi="仿宋" w:eastAsia="仿宋" w:cs="仿宋"/>
          <w:color w:val="auto"/>
          <w:sz w:val="24"/>
          <w:szCs w:val="24"/>
          <w:highlight w:val="none"/>
        </w:rPr>
        <w:t>31．履约保证金</w:t>
      </w:r>
      <w:bookmarkEnd w:id="125"/>
      <w:bookmarkEnd w:id="126"/>
      <w:r>
        <w:rPr>
          <w:rFonts w:hint="eastAsia" w:ascii="仿宋" w:hAnsi="仿宋" w:eastAsia="仿宋" w:cs="仿宋"/>
          <w:color w:val="auto"/>
          <w:sz w:val="24"/>
          <w:szCs w:val="24"/>
          <w:highlight w:val="none"/>
        </w:rPr>
        <w:t>（实质性要求）</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31.1 中标人应在合同签订之前交纳招标文件规定数额的履约保证金。</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31.2 如果中标人在规定的合同签订时间内，没有按照招标文件的规定交纳履约保证金，且又无正当理由的，将视为放弃中标。</w:t>
      </w:r>
    </w:p>
    <w:p>
      <w:pPr>
        <w:pStyle w:val="5"/>
        <w:spacing w:before="0" w:after="0"/>
        <w:ind w:firstLine="482" w:firstLineChars="200"/>
        <w:rPr>
          <w:rFonts w:hint="eastAsia" w:ascii="仿宋" w:hAnsi="仿宋" w:eastAsia="仿宋" w:cs="仿宋"/>
          <w:color w:val="auto"/>
          <w:sz w:val="24"/>
          <w:szCs w:val="24"/>
          <w:highlight w:val="none"/>
        </w:rPr>
      </w:pPr>
      <w:bookmarkStart w:id="127" w:name="_Toc217446069"/>
      <w:bookmarkStart w:id="128" w:name="_Toc308164813"/>
      <w:r>
        <w:rPr>
          <w:rFonts w:hint="eastAsia" w:ascii="仿宋" w:hAnsi="仿宋" w:eastAsia="仿宋" w:cs="仿宋"/>
          <w:color w:val="auto"/>
          <w:sz w:val="24"/>
          <w:szCs w:val="24"/>
          <w:highlight w:val="none"/>
        </w:rPr>
        <w:t>32．合同公告</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pPr>
        <w:pStyle w:val="5"/>
        <w:spacing w:before="0" w:after="0"/>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33．合同备案</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采购人应当将政府采购合同副本自签订之日起七个工作日内通过政采云平台报同级财政部门备案。</w:t>
      </w:r>
    </w:p>
    <w:p>
      <w:pPr>
        <w:pStyle w:val="5"/>
        <w:spacing w:before="0" w:after="0"/>
        <w:ind w:firstLine="482" w:firstLineChars="200"/>
        <w:rPr>
          <w:rFonts w:hint="eastAsia" w:ascii="仿宋" w:hAnsi="仿宋" w:eastAsia="仿宋" w:cs="仿宋"/>
          <w:b w:val="0"/>
          <w:color w:val="auto"/>
          <w:sz w:val="24"/>
          <w:szCs w:val="24"/>
          <w:highlight w:val="none"/>
        </w:rPr>
      </w:pPr>
      <w:r>
        <w:rPr>
          <w:rFonts w:hint="eastAsia" w:ascii="仿宋" w:hAnsi="仿宋" w:eastAsia="仿宋" w:cs="仿宋"/>
          <w:color w:val="auto"/>
          <w:sz w:val="24"/>
          <w:szCs w:val="24"/>
          <w:highlight w:val="none"/>
        </w:rPr>
        <w:t>34．履行合同</w:t>
      </w:r>
      <w:bookmarkEnd w:id="127"/>
      <w:bookmarkEnd w:id="128"/>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34.1 中标人与采购人签订合同后，合同双方应严格执行合同条款，履行合同规定的义务，保证合同的顺利完成。</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34.2 在合同履行过程中，如发生合同纠纷，合同双方应按照《民法典》的有关规定进行处理。</w:t>
      </w:r>
    </w:p>
    <w:p>
      <w:pPr>
        <w:pStyle w:val="5"/>
        <w:spacing w:before="0" w:after="0"/>
        <w:ind w:firstLine="482" w:firstLineChars="200"/>
        <w:rPr>
          <w:rFonts w:hint="eastAsia" w:ascii="仿宋" w:hAnsi="仿宋" w:eastAsia="仿宋" w:cs="仿宋"/>
          <w:b w:val="0"/>
          <w:color w:val="auto"/>
          <w:sz w:val="24"/>
          <w:szCs w:val="24"/>
          <w:highlight w:val="none"/>
        </w:rPr>
      </w:pPr>
      <w:bookmarkStart w:id="129" w:name="_Toc308164814"/>
      <w:bookmarkStart w:id="130" w:name="_Toc217446070"/>
      <w:r>
        <w:rPr>
          <w:rFonts w:hint="eastAsia" w:ascii="仿宋" w:hAnsi="仿宋" w:eastAsia="仿宋" w:cs="仿宋"/>
          <w:color w:val="auto"/>
          <w:sz w:val="24"/>
          <w:szCs w:val="24"/>
          <w:highlight w:val="none"/>
        </w:rPr>
        <w:t>35. 验收</w:t>
      </w:r>
      <w:bookmarkEnd w:id="129"/>
      <w:bookmarkEnd w:id="130"/>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本项目采购人及其委托的采购代理机构将按照政府采购相关法律法规以及《财政部关于进一步加强政府采购需求和履约验收管理的指导意见》（财库〔2016〕205号）的要求进行验收。</w:t>
      </w:r>
    </w:p>
    <w:p>
      <w:pPr>
        <w:pStyle w:val="5"/>
        <w:spacing w:before="0" w:after="0"/>
        <w:ind w:firstLine="482" w:firstLineChars="200"/>
        <w:rPr>
          <w:rFonts w:hint="eastAsia" w:ascii="仿宋" w:hAnsi="仿宋" w:eastAsia="仿宋" w:cs="仿宋"/>
          <w:color w:val="auto"/>
          <w:sz w:val="24"/>
          <w:szCs w:val="24"/>
          <w:highlight w:val="none"/>
        </w:rPr>
      </w:pPr>
      <w:bookmarkStart w:id="131" w:name="_Toc308164818"/>
      <w:bookmarkStart w:id="132" w:name="_Toc217446077"/>
      <w:bookmarkStart w:id="133" w:name="_Toc217446071"/>
      <w:r>
        <w:rPr>
          <w:rFonts w:hint="eastAsia" w:ascii="仿宋" w:hAnsi="仿宋" w:eastAsia="仿宋" w:cs="仿宋"/>
          <w:color w:val="auto"/>
          <w:sz w:val="24"/>
          <w:szCs w:val="24"/>
          <w:highlight w:val="none"/>
        </w:rPr>
        <w:t>36．资金支付</w:t>
      </w:r>
      <w:bookmarkEnd w:id="131"/>
      <w:bookmarkEnd w:id="132"/>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采购人将按照政府采购合同规定，及时向中标供应商支付采购资金。本项目采购资金付款详见第四章商务要求中付款方式。</w:t>
      </w:r>
    </w:p>
    <w:bookmarkEnd w:id="120"/>
    <w:bookmarkEnd w:id="121"/>
    <w:bookmarkEnd w:id="133"/>
    <w:p>
      <w:pPr>
        <w:pStyle w:val="4"/>
        <w:spacing w:before="0" w:after="0" w:line="360" w:lineRule="auto"/>
        <w:jc w:val="center"/>
        <w:rPr>
          <w:rFonts w:hint="eastAsia" w:ascii="仿宋" w:hAnsi="仿宋" w:eastAsia="仿宋" w:cs="仿宋"/>
          <w:color w:val="auto"/>
          <w:highlight w:val="none"/>
        </w:rPr>
      </w:pPr>
      <w:bookmarkStart w:id="134" w:name="_Toc308164815"/>
      <w:bookmarkStart w:id="135" w:name="_Toc217446074"/>
      <w:bookmarkStart w:id="136" w:name="_Toc183682380"/>
      <w:bookmarkStart w:id="137" w:name="_Toc183582243"/>
      <w:r>
        <w:rPr>
          <w:rFonts w:hint="eastAsia" w:ascii="仿宋" w:hAnsi="仿宋" w:eastAsia="仿宋" w:cs="仿宋"/>
          <w:color w:val="auto"/>
          <w:highlight w:val="none"/>
        </w:rPr>
        <w:t>七、投标纪律要求</w:t>
      </w:r>
      <w:bookmarkEnd w:id="134"/>
      <w:bookmarkEnd w:id="135"/>
    </w:p>
    <w:p>
      <w:pPr>
        <w:pStyle w:val="5"/>
        <w:spacing w:before="0" w:after="0"/>
        <w:ind w:firstLine="482" w:firstLineChars="200"/>
        <w:rPr>
          <w:rFonts w:hint="eastAsia" w:ascii="仿宋" w:hAnsi="仿宋" w:eastAsia="仿宋" w:cs="仿宋"/>
          <w:bCs w:val="0"/>
          <w:color w:val="auto"/>
          <w:sz w:val="24"/>
          <w:szCs w:val="24"/>
          <w:highlight w:val="none"/>
        </w:rPr>
      </w:pPr>
      <w:bookmarkStart w:id="138" w:name="_Toc217446075"/>
      <w:bookmarkStart w:id="139" w:name="_Toc308164816"/>
      <w:r>
        <w:rPr>
          <w:rFonts w:hint="eastAsia" w:ascii="仿宋" w:hAnsi="仿宋" w:eastAsia="仿宋" w:cs="仿宋"/>
          <w:color w:val="auto"/>
          <w:sz w:val="24"/>
          <w:szCs w:val="24"/>
          <w:highlight w:val="none"/>
        </w:rPr>
        <w:t xml:space="preserve">37. </w:t>
      </w:r>
      <w:r>
        <w:rPr>
          <w:rFonts w:hint="eastAsia" w:ascii="仿宋" w:hAnsi="仿宋" w:eastAsia="仿宋" w:cs="仿宋"/>
          <w:bCs w:val="0"/>
          <w:color w:val="auto"/>
          <w:sz w:val="24"/>
          <w:szCs w:val="24"/>
          <w:highlight w:val="none"/>
        </w:rPr>
        <w:t>投标人</w:t>
      </w:r>
      <w:bookmarkEnd w:id="138"/>
      <w:bookmarkEnd w:id="139"/>
      <w:r>
        <w:rPr>
          <w:rFonts w:hint="eastAsia" w:ascii="仿宋" w:hAnsi="仿宋" w:eastAsia="仿宋" w:cs="仿宋"/>
          <w:bCs w:val="0"/>
          <w:color w:val="auto"/>
          <w:sz w:val="24"/>
          <w:szCs w:val="24"/>
          <w:highlight w:val="none"/>
        </w:rPr>
        <w:t>纪律要求</w:t>
      </w:r>
    </w:p>
    <w:p>
      <w:pPr>
        <w:pStyle w:val="9"/>
        <w:spacing w:after="0"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投标人应当遵循公平竞争的原则，不得恶意串通，不得妨碍其他投标人的竞争行为，不得损害采购人或者其他投标人的合法权益。</w:t>
      </w:r>
    </w:p>
    <w:p>
      <w:pPr>
        <w:pStyle w:val="9"/>
        <w:spacing w:after="0"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在评标过程中发现投标人有上述情形的，评标委员会应当认定其投标无效，并书面报告本级财政部门。</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37.1 投标人参加本项目投标不得有下列情形：</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（1）提供虚假材料谋取中标；</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（2）采取不正当手段诋毁、排挤其他投标人；</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（3）与招标采购单位、其他投标人恶意串通；</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（4）向招标采购单位、评标委员会成员行贿或者提供其他不正当利益；</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（5）在招标过程中与招标采购单位进行协商谈判；</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（6）中标或者成交后无正当理由拒不与采购人签订政府采购合同；</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（7）未按照采购文件确定的事项签订政府采购合同；</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（8）将政府采购合同转包或者违规分包；</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（9）提供假冒伪劣产品；</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（10）擅自变更、中止或者终止政府采购合同；</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（11）拒绝有关部门的监督检查或者向监督检查部门提供虚假情况；</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（12）法律法规规定的其他情形。</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投标人有上述情形的，按照规定追究法律责任，具备（1）-（10）条情形之一的，同时将取消中标资格或者认定中标无效。</w:t>
      </w:r>
      <w:bookmarkEnd w:id="61"/>
    </w:p>
    <w:p>
      <w:pPr>
        <w:spacing w:after="0" w:line="360" w:lineRule="auto"/>
        <w:ind w:firstLine="480" w:firstLineChars="200"/>
        <w:rPr>
          <w:rFonts w:hint="eastAsia" w:ascii="仿宋" w:hAnsi="仿宋" w:eastAsia="仿宋" w:cs="仿宋"/>
          <w:color w:val="auto"/>
          <w:sz w:val="24"/>
          <w:highlight w:val="none"/>
        </w:rPr>
      </w:pPr>
      <w:bookmarkStart w:id="140" w:name="PO_默认文件内容_23"/>
      <w:r>
        <w:rPr>
          <w:rFonts w:hint="eastAsia" w:ascii="仿宋" w:hAnsi="仿宋" w:eastAsia="仿宋" w:cs="仿宋"/>
          <w:color w:val="auto"/>
          <w:sz w:val="24"/>
          <w:highlight w:val="none"/>
        </w:rPr>
        <w:t>37.2 投标人有下列情形之一的，视为投标人串通投标，其投标无效：</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（1）不同投标人的投标文件由同一单位或者个人编制；</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（2）不同投标人委托同一单位或者个人办理投标事宜；</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（3）不同投标人的投标文件载明的项目管理成员或者联系人员为同一人；</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（4）不同投标人的投标文件异常一致或者投标报价呈规律性差异；</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（5）不同投标人的投标文件相互混装；</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（6）不同投标人的投标保证金从同一单位或者个人的账户转出。</w:t>
      </w:r>
    </w:p>
    <w:p>
      <w:pPr>
        <w:pStyle w:val="4"/>
        <w:spacing w:before="0" w:after="0" w:line="360" w:lineRule="auto"/>
        <w:jc w:val="center"/>
        <w:rPr>
          <w:rFonts w:hint="eastAsia" w:ascii="仿宋" w:hAnsi="仿宋" w:eastAsia="仿宋" w:cs="仿宋"/>
          <w:color w:val="auto"/>
          <w:highlight w:val="none"/>
        </w:rPr>
      </w:pPr>
      <w:bookmarkStart w:id="141" w:name="_Toc308164819"/>
      <w:bookmarkStart w:id="142" w:name="_Toc217446078"/>
      <w:r>
        <w:rPr>
          <w:rFonts w:hint="eastAsia" w:ascii="仿宋" w:hAnsi="仿宋" w:eastAsia="仿宋" w:cs="仿宋"/>
          <w:color w:val="auto"/>
          <w:highlight w:val="none"/>
        </w:rPr>
        <w:t>八、询问、质疑和投诉</w:t>
      </w:r>
      <w:bookmarkEnd w:id="141"/>
      <w:bookmarkEnd w:id="142"/>
      <w:bookmarkStart w:id="143" w:name="_Toc217446079"/>
    </w:p>
    <w:bookmarkEnd w:id="143"/>
    <w:p>
      <w:pPr>
        <w:widowControl/>
        <w:spacing w:after="0" w:line="360" w:lineRule="auto"/>
        <w:ind w:firstLine="482" w:firstLineChars="200"/>
        <w:jc w:val="left"/>
        <w:outlineLvl w:val="2"/>
        <w:rPr>
          <w:rFonts w:hint="eastAsia" w:ascii="仿宋" w:hAnsi="仿宋" w:eastAsia="仿宋" w:cs="仿宋"/>
          <w:color w:val="auto"/>
          <w:sz w:val="24"/>
          <w:highlight w:val="none"/>
        </w:rPr>
      </w:pPr>
      <w:r>
        <w:rPr>
          <w:rFonts w:hint="eastAsia" w:ascii="仿宋" w:hAnsi="仿宋" w:eastAsia="仿宋" w:cs="仿宋"/>
          <w:b/>
          <w:color w:val="auto"/>
          <w:sz w:val="24"/>
          <w:highlight w:val="none"/>
        </w:rPr>
        <w:t>3</w:t>
      </w:r>
      <w:bookmarkEnd w:id="136"/>
      <w:bookmarkEnd w:id="137"/>
      <w:r>
        <w:rPr>
          <w:rFonts w:hint="eastAsia" w:ascii="仿宋" w:hAnsi="仿宋" w:eastAsia="仿宋" w:cs="仿宋"/>
          <w:b/>
          <w:color w:val="auto"/>
          <w:sz w:val="24"/>
          <w:highlight w:val="none"/>
        </w:rPr>
        <w:t>8．</w:t>
      </w:r>
      <w:r>
        <w:rPr>
          <w:rFonts w:hint="eastAsia" w:ascii="仿宋" w:hAnsi="仿宋" w:eastAsia="仿宋" w:cs="仿宋"/>
          <w:color w:val="auto"/>
          <w:sz w:val="24"/>
          <w:highlight w:val="none"/>
        </w:rPr>
        <w:t>询问、质疑、投诉的接收和处理严格按照《中华人民共和国政府采购法》、《中华人民共和国政府采购法实施条例》、《政府采购货物和服务招标投标管理办法》、《</w:t>
      </w:r>
      <w:r>
        <w:rPr>
          <w:rFonts w:hint="eastAsia" w:ascii="仿宋" w:hAnsi="仿宋" w:eastAsia="仿宋" w:cs="仿宋"/>
          <w:bCs/>
          <w:color w:val="auto"/>
          <w:sz w:val="24"/>
          <w:highlight w:val="none"/>
        </w:rPr>
        <w:t>政府采购质疑和投诉办法</w:t>
      </w:r>
      <w:r>
        <w:rPr>
          <w:rFonts w:hint="eastAsia" w:ascii="仿宋" w:hAnsi="仿宋" w:eastAsia="仿宋" w:cs="仿宋"/>
          <w:color w:val="auto"/>
          <w:sz w:val="24"/>
          <w:highlight w:val="none"/>
        </w:rPr>
        <w:t>》、《财政部关于加强政府采购供应商投诉受理审查工作的通知》和《四川省政府采购供应商投诉处理工作规程》的规定办理（详细规定请在四川政府采购网政策法规模块查询）。</w:t>
      </w:r>
    </w:p>
    <w:p>
      <w:pPr>
        <w:pStyle w:val="4"/>
        <w:spacing w:before="0" w:after="0"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九、其他</w:t>
      </w:r>
    </w:p>
    <w:p>
      <w:pPr>
        <w:widowControl/>
        <w:spacing w:after="0" w:line="360" w:lineRule="auto"/>
        <w:ind w:firstLine="482" w:firstLineChars="200"/>
        <w:jc w:val="left"/>
        <w:outlineLvl w:val="2"/>
        <w:rPr>
          <w:rFonts w:hint="eastAsia" w:ascii="仿宋" w:hAnsi="仿宋" w:eastAsia="仿宋" w:cs="仿宋"/>
          <w:color w:val="auto"/>
          <w:sz w:val="24"/>
          <w:highlight w:val="none"/>
        </w:rPr>
      </w:pPr>
      <w:r>
        <w:rPr>
          <w:rFonts w:hint="eastAsia" w:ascii="仿宋" w:hAnsi="仿宋" w:eastAsia="仿宋" w:cs="仿宋"/>
          <w:b/>
          <w:color w:val="auto"/>
          <w:sz w:val="24"/>
          <w:highlight w:val="none"/>
        </w:rPr>
        <w:t>39．</w:t>
      </w:r>
      <w:r>
        <w:rPr>
          <w:rFonts w:hint="eastAsia" w:ascii="仿宋" w:hAnsi="仿宋" w:eastAsia="仿宋" w:cs="仿宋"/>
          <w:color w:val="auto"/>
          <w:sz w:val="24"/>
          <w:highlight w:val="none"/>
        </w:rPr>
        <w:t>本招标文件中所引相关法律制度规定，在政府采购中有变化的，按照变化后的相关法律制度规定执行。本章和第六章中“1.总则、2.评标方法、3.评标程序”规定的内容条款，在本项目投标截止时间届满后，因相关法律制度规定的变化导致不符合相关法律制度规定的，直接按照变化后的相关法律制度规定执行，本招标文件不再做调整。</w:t>
      </w:r>
    </w:p>
    <w:p>
      <w:pPr>
        <w:spacing w:after="0" w:line="360" w:lineRule="auto"/>
        <w:ind w:firstLine="482" w:firstLineChars="200"/>
        <w:jc w:val="left"/>
        <w:outlineLvl w:val="2"/>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40．</w:t>
      </w:r>
      <w:r>
        <w:rPr>
          <w:rFonts w:hint="eastAsia" w:ascii="仿宋" w:hAnsi="仿宋" w:eastAsia="仿宋" w:cs="仿宋"/>
          <w:b/>
          <w:color w:val="auto"/>
          <w:sz w:val="24"/>
          <w:highlight w:val="none"/>
        </w:rPr>
        <w:t>（实质性要求）</w:t>
      </w:r>
      <w:r>
        <w:rPr>
          <w:rFonts w:hint="eastAsia" w:ascii="仿宋" w:hAnsi="仿宋" w:eastAsia="仿宋" w:cs="仿宋"/>
          <w:color w:val="auto"/>
          <w:sz w:val="24"/>
          <w:highlight w:val="none"/>
        </w:rPr>
        <w:t>国家或行业主管部门对采购产品的技术标准、质量标准和资格资质条件等有强制性规定的，必须符合其要求。</w:t>
      </w:r>
      <w:bookmarkStart w:id="144" w:name="_Toc217446083"/>
    </w:p>
    <w:p>
      <w:pPr>
        <w:spacing w:after="0" w:line="360" w:lineRule="auto"/>
        <w:jc w:val="center"/>
        <w:rPr>
          <w:rFonts w:hint="eastAsia" w:ascii="仿宋" w:hAnsi="仿宋" w:eastAsia="仿宋" w:cs="仿宋"/>
          <w:color w:val="auto"/>
          <w:sz w:val="36"/>
          <w:szCs w:val="36"/>
          <w:highlight w:val="none"/>
        </w:rPr>
        <w:sectPr>
          <w:type w:val="continuous"/>
          <w:pgSz w:w="11907" w:h="16840"/>
          <w:pgMar w:top="1440" w:right="1800" w:bottom="1440" w:left="1800" w:header="851" w:footer="992" w:gutter="0"/>
          <w:pgNumType w:fmt="decimal"/>
          <w:cols w:space="720" w:num="1"/>
          <w:docGrid w:linePitch="312" w:charSpace="0"/>
        </w:sectPr>
      </w:pPr>
      <w:bookmarkStart w:id="145" w:name="_Toc1368"/>
      <w:bookmarkStart w:id="146" w:name="_Toc24369"/>
    </w:p>
    <w:p>
      <w:pPr>
        <w:pStyle w:val="3"/>
        <w:spacing w:before="0" w:after="0" w:line="360" w:lineRule="auto"/>
        <w:jc w:val="center"/>
        <w:rPr>
          <w:rFonts w:hint="eastAsia" w:ascii="仿宋" w:hAnsi="仿宋" w:eastAsia="仿宋" w:cs="仿宋"/>
          <w:color w:val="auto"/>
          <w:highlight w:val="none"/>
        </w:rPr>
      </w:pPr>
      <w:bookmarkStart w:id="147" w:name="_Toc14613"/>
      <w:bookmarkStart w:id="148" w:name="_Toc32525"/>
      <w:bookmarkStart w:id="149" w:name="_Toc22719"/>
      <w:bookmarkStart w:id="150" w:name="_Toc12532_WPSOffice_Level1"/>
      <w:r>
        <w:rPr>
          <w:rFonts w:hint="eastAsia" w:ascii="仿宋" w:hAnsi="仿宋" w:eastAsia="仿宋" w:cs="仿宋"/>
          <w:color w:val="auto"/>
          <w:highlight w:val="none"/>
        </w:rPr>
        <w:t>第三章  投标文件格式</w:t>
      </w:r>
      <w:bookmarkEnd w:id="145"/>
      <w:bookmarkEnd w:id="146"/>
      <w:bookmarkEnd w:id="147"/>
      <w:bookmarkEnd w:id="148"/>
      <w:bookmarkEnd w:id="149"/>
      <w:bookmarkEnd w:id="150"/>
      <w:bookmarkStart w:id="151" w:name="_Toc217446082"/>
      <w:bookmarkStart w:id="152" w:name="_Toc308164821"/>
    </w:p>
    <w:p>
      <w:pPr>
        <w:widowControl/>
        <w:spacing w:after="0" w:line="360" w:lineRule="auto"/>
        <w:ind w:firstLine="472" w:firstLineChars="196"/>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 xml:space="preserve">一、投标人须将用于资格性审查的材料集中编制入投标文件（资格性审查部分），否则在进行资格性审查时不予认可。 </w:t>
      </w:r>
    </w:p>
    <w:p>
      <w:pPr>
        <w:widowControl/>
        <w:spacing w:after="0" w:line="360" w:lineRule="auto"/>
        <w:ind w:firstLine="470" w:firstLineChars="196"/>
        <w:rPr>
          <w:rFonts w:hint="eastAsia" w:ascii="仿宋" w:hAnsi="仿宋" w:eastAsia="仿宋" w:cs="仿宋"/>
          <w:color w:val="auto"/>
          <w:sz w:val="24"/>
          <w:highlight w:val="none"/>
        </w:rPr>
      </w:pPr>
      <w:r>
        <w:rPr>
          <w:rFonts w:hint="eastAsia" w:ascii="仿宋" w:hAnsi="仿宋" w:eastAsia="仿宋" w:cs="仿宋"/>
          <w:color w:val="auto"/>
          <w:sz w:val="24"/>
          <w:highlight w:val="none"/>
        </w:rPr>
        <w:t>二、本章所制投标文件格式，除格式中明确将该格式作为实质性要求的，一律不具有强制性，但是，投标人投标文件相关资料和本章所制格式不一致的，评标委员会将在评分时以投标文件不规范予以扣分处理。</w:t>
      </w:r>
    </w:p>
    <w:p>
      <w:pPr>
        <w:widowControl/>
        <w:spacing w:after="0" w:line="360" w:lineRule="auto"/>
        <w:ind w:firstLine="470" w:firstLineChars="196"/>
        <w:rPr>
          <w:rFonts w:hint="eastAsia" w:ascii="仿宋" w:hAnsi="仿宋" w:eastAsia="仿宋" w:cs="仿宋"/>
          <w:color w:val="auto"/>
          <w:sz w:val="24"/>
          <w:highlight w:val="none"/>
        </w:rPr>
      </w:pPr>
      <w:r>
        <w:rPr>
          <w:rFonts w:hint="eastAsia" w:ascii="仿宋" w:hAnsi="仿宋" w:eastAsia="仿宋" w:cs="仿宋"/>
          <w:color w:val="auto"/>
          <w:sz w:val="24"/>
          <w:highlight w:val="none"/>
        </w:rPr>
        <w:t>三、本章所制投标文件格式有关表格中的备注栏，由投标人根据自身投标情况作解释性说明，不作为必填项。</w:t>
      </w:r>
    </w:p>
    <w:p>
      <w:pPr>
        <w:widowControl/>
        <w:spacing w:after="0" w:line="360" w:lineRule="auto"/>
        <w:ind w:firstLine="470" w:firstLineChars="196"/>
        <w:rPr>
          <w:rFonts w:hint="eastAsia" w:ascii="仿宋" w:hAnsi="仿宋" w:eastAsia="仿宋" w:cs="仿宋"/>
          <w:color w:val="auto"/>
          <w:sz w:val="24"/>
          <w:highlight w:val="none"/>
        </w:rPr>
      </w:pPr>
      <w:r>
        <w:rPr>
          <w:rFonts w:hint="eastAsia" w:ascii="仿宋" w:hAnsi="仿宋" w:eastAsia="仿宋" w:cs="仿宋"/>
          <w:color w:val="auto"/>
          <w:sz w:val="24"/>
          <w:highlight w:val="none"/>
        </w:rPr>
        <w:t>四、本章所制投标文件格式中需要填写的相关内容事项，可能会与本采购项目无关，在不改变投标文件原义、不影响本项目采购需求的情况下，投标人可以不予填写，但应当注明。</w:t>
      </w:r>
      <w:bookmarkEnd w:id="140"/>
    </w:p>
    <w:p>
      <w:pPr>
        <w:pStyle w:val="2"/>
        <w:spacing w:after="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五、本章所制</w:t>
      </w:r>
      <w:r>
        <w:rPr>
          <w:rFonts w:hint="eastAsia" w:ascii="仿宋" w:hAnsi="仿宋" w:eastAsia="仿宋" w:cs="仿宋"/>
          <w:color w:val="auto"/>
          <w:sz w:val="24"/>
          <w:highlight w:val="none"/>
        </w:rPr>
        <w:t>投标文件</w:t>
      </w:r>
      <w:r>
        <w:rPr>
          <w:rFonts w:hint="eastAsia" w:ascii="仿宋" w:hAnsi="仿宋" w:eastAsia="仿宋" w:cs="仿宋"/>
          <w:color w:val="auto"/>
          <w:sz w:val="24"/>
          <w:szCs w:val="24"/>
          <w:highlight w:val="none"/>
        </w:rPr>
        <w:t>格式中涉及“法定代表人”的描述，在非法人机构参与投标情况下可修改为“负责人”，在自然人参与投标情况下可修改为“本人”。</w:t>
      </w:r>
    </w:p>
    <w:p>
      <w:pPr>
        <w:pStyle w:val="2"/>
        <w:spacing w:after="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六、本章所制</w:t>
      </w:r>
      <w:r>
        <w:rPr>
          <w:rFonts w:hint="eastAsia" w:ascii="仿宋" w:hAnsi="仿宋" w:eastAsia="仿宋" w:cs="仿宋"/>
          <w:color w:val="auto"/>
          <w:sz w:val="24"/>
          <w:highlight w:val="none"/>
        </w:rPr>
        <w:t>投标文件</w:t>
      </w:r>
      <w:r>
        <w:rPr>
          <w:rFonts w:hint="eastAsia" w:ascii="仿宋" w:hAnsi="仿宋" w:eastAsia="仿宋" w:cs="仿宋"/>
          <w:color w:val="auto"/>
          <w:sz w:val="24"/>
          <w:szCs w:val="24"/>
          <w:highlight w:val="none"/>
        </w:rPr>
        <w:t>格式中“注”的部分，供应商在编制</w:t>
      </w:r>
      <w:r>
        <w:rPr>
          <w:rFonts w:hint="eastAsia" w:ascii="仿宋" w:hAnsi="仿宋" w:eastAsia="仿宋" w:cs="仿宋"/>
          <w:color w:val="auto"/>
          <w:sz w:val="24"/>
          <w:highlight w:val="none"/>
        </w:rPr>
        <w:t>投标文件</w:t>
      </w:r>
      <w:r>
        <w:rPr>
          <w:rFonts w:hint="eastAsia" w:ascii="仿宋" w:hAnsi="仿宋" w:eastAsia="仿宋" w:cs="仿宋"/>
          <w:color w:val="auto"/>
          <w:sz w:val="24"/>
          <w:szCs w:val="24"/>
          <w:highlight w:val="none"/>
        </w:rPr>
        <w:t>时可以删除，也可以保留。</w:t>
      </w:r>
    </w:p>
    <w:p>
      <w:pPr>
        <w:pStyle w:val="2"/>
        <w:spacing w:after="0" w:line="360" w:lineRule="auto"/>
        <w:rPr>
          <w:rFonts w:hint="eastAsia" w:ascii="仿宋" w:hAnsi="仿宋" w:eastAsia="仿宋" w:cs="仿宋"/>
          <w:color w:val="auto"/>
          <w:highlight w:val="none"/>
        </w:rPr>
      </w:pPr>
    </w:p>
    <w:p>
      <w:pPr>
        <w:spacing w:after="0" w:line="360" w:lineRule="auto"/>
        <w:rPr>
          <w:rFonts w:hint="eastAsia" w:ascii="仿宋" w:hAnsi="仿宋" w:eastAsia="仿宋" w:cs="仿宋"/>
          <w:color w:val="auto"/>
          <w:highlight w:val="none"/>
        </w:rPr>
      </w:pPr>
      <w:bookmarkStart w:id="153" w:name="PO_默认文件内容_24"/>
    </w:p>
    <w:p>
      <w:pPr>
        <w:pStyle w:val="4"/>
        <w:spacing w:before="0" w:after="0" w:line="360" w:lineRule="auto"/>
        <w:rPr>
          <w:rFonts w:hint="eastAsia" w:ascii="仿宋" w:hAnsi="仿宋" w:eastAsia="仿宋" w:cs="仿宋"/>
          <w:b w:val="0"/>
          <w:color w:val="auto"/>
          <w:highlight w:val="none"/>
        </w:rPr>
      </w:pPr>
      <w:r>
        <w:rPr>
          <w:rFonts w:hint="eastAsia" w:ascii="仿宋" w:hAnsi="仿宋" w:eastAsia="仿宋" w:cs="仿宋"/>
          <w:b w:val="0"/>
          <w:color w:val="auto"/>
          <w:highlight w:val="none"/>
        </w:rPr>
        <w:br w:type="page"/>
      </w:r>
      <w:r>
        <w:rPr>
          <w:rStyle w:val="49"/>
          <w:rFonts w:hint="eastAsia" w:ascii="仿宋" w:hAnsi="仿宋" w:eastAsia="仿宋" w:cs="仿宋"/>
          <w:b/>
          <w:bCs/>
          <w:color w:val="auto"/>
          <w:highlight w:val="none"/>
        </w:rPr>
        <w:t>3.1投标文件封面格式</w:t>
      </w:r>
    </w:p>
    <w:p>
      <w:pPr>
        <w:spacing w:after="0" w:line="360" w:lineRule="auto"/>
        <w:rPr>
          <w:rFonts w:hint="eastAsia" w:ascii="仿宋" w:hAnsi="仿宋" w:eastAsia="仿宋" w:cs="仿宋"/>
          <w:b/>
          <w:color w:val="auto"/>
          <w:sz w:val="32"/>
          <w:szCs w:val="32"/>
          <w:highlight w:val="none"/>
        </w:rPr>
      </w:pPr>
    </w:p>
    <w:p>
      <w:pPr>
        <w:spacing w:after="0" w:line="360" w:lineRule="auto"/>
        <w:jc w:val="center"/>
        <w:rPr>
          <w:rFonts w:hint="eastAsia" w:ascii="仿宋" w:hAnsi="仿宋" w:eastAsia="仿宋" w:cs="仿宋"/>
          <w:b/>
          <w:color w:val="auto"/>
          <w:sz w:val="72"/>
          <w:highlight w:val="none"/>
        </w:rPr>
      </w:pPr>
      <w:r>
        <w:rPr>
          <w:rFonts w:hint="eastAsia" w:ascii="仿宋" w:hAnsi="仿宋" w:eastAsia="仿宋" w:cs="仿宋"/>
          <w:b/>
          <w:color w:val="auto"/>
          <w:sz w:val="40"/>
          <w:szCs w:val="48"/>
          <w:highlight w:val="none"/>
          <w:u w:val="single"/>
        </w:rPr>
        <w:t>xxxxx</w:t>
      </w:r>
      <w:r>
        <w:rPr>
          <w:rFonts w:hint="eastAsia" w:ascii="仿宋" w:hAnsi="仿宋" w:eastAsia="仿宋" w:cs="仿宋"/>
          <w:b/>
          <w:color w:val="auto"/>
          <w:sz w:val="40"/>
          <w:szCs w:val="48"/>
          <w:highlight w:val="none"/>
        </w:rPr>
        <w:t>项目</w:t>
      </w:r>
    </w:p>
    <w:p>
      <w:pPr>
        <w:spacing w:after="0" w:line="360" w:lineRule="auto"/>
        <w:jc w:val="center"/>
        <w:rPr>
          <w:rFonts w:hint="eastAsia" w:ascii="仿宋" w:hAnsi="仿宋" w:eastAsia="仿宋" w:cs="仿宋"/>
          <w:b/>
          <w:color w:val="auto"/>
          <w:sz w:val="32"/>
          <w:highlight w:val="none"/>
          <w:u w:val="single"/>
        </w:rPr>
      </w:pPr>
      <w:r>
        <w:rPr>
          <w:rFonts w:hint="eastAsia" w:ascii="仿宋" w:hAnsi="仿宋" w:eastAsia="仿宋" w:cs="仿宋"/>
          <w:b/>
          <w:color w:val="auto"/>
          <w:sz w:val="32"/>
          <w:highlight w:val="none"/>
        </w:rPr>
        <w:t>项目编号：</w:t>
      </w:r>
      <w:r>
        <w:rPr>
          <w:rFonts w:hint="eastAsia" w:ascii="仿宋" w:hAnsi="仿宋" w:eastAsia="仿宋" w:cs="仿宋"/>
          <w:b/>
          <w:color w:val="auto"/>
          <w:sz w:val="40"/>
          <w:szCs w:val="48"/>
          <w:highlight w:val="none"/>
          <w:u w:val="single"/>
        </w:rPr>
        <w:t>xxxxx</w:t>
      </w:r>
    </w:p>
    <w:p>
      <w:pPr>
        <w:spacing w:after="0" w:line="360" w:lineRule="auto"/>
        <w:rPr>
          <w:rFonts w:hint="eastAsia" w:ascii="仿宋" w:hAnsi="仿宋" w:eastAsia="仿宋" w:cs="仿宋"/>
          <w:b/>
          <w:color w:val="auto"/>
          <w:sz w:val="52"/>
          <w:szCs w:val="52"/>
          <w:highlight w:val="none"/>
        </w:rPr>
      </w:pPr>
    </w:p>
    <w:p>
      <w:pPr>
        <w:spacing w:after="0"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52"/>
          <w:szCs w:val="52"/>
          <w:highlight w:val="none"/>
        </w:rPr>
        <w:t>投标文件</w:t>
      </w:r>
    </w:p>
    <w:p>
      <w:pPr>
        <w:spacing w:after="0" w:line="360" w:lineRule="auto"/>
        <w:jc w:val="left"/>
        <w:rPr>
          <w:rFonts w:hint="eastAsia" w:ascii="仿宋" w:hAnsi="仿宋" w:eastAsia="仿宋" w:cs="仿宋"/>
          <w:b/>
          <w:color w:val="auto"/>
          <w:sz w:val="32"/>
          <w:highlight w:val="none"/>
        </w:rPr>
      </w:pPr>
    </w:p>
    <w:p>
      <w:pPr>
        <w:spacing w:after="0" w:line="360" w:lineRule="auto"/>
        <w:jc w:val="left"/>
        <w:rPr>
          <w:rFonts w:hint="eastAsia" w:ascii="仿宋" w:hAnsi="仿宋" w:eastAsia="仿宋" w:cs="仿宋"/>
          <w:b/>
          <w:color w:val="auto"/>
          <w:sz w:val="32"/>
          <w:highlight w:val="none"/>
        </w:rPr>
      </w:pPr>
    </w:p>
    <w:p>
      <w:pPr>
        <w:pStyle w:val="2"/>
        <w:spacing w:after="0" w:line="360" w:lineRule="auto"/>
        <w:rPr>
          <w:rFonts w:hint="eastAsia" w:ascii="仿宋" w:hAnsi="仿宋" w:eastAsia="仿宋" w:cs="仿宋"/>
          <w:color w:val="auto"/>
          <w:highlight w:val="none"/>
        </w:rPr>
      </w:pPr>
    </w:p>
    <w:p>
      <w:pPr>
        <w:spacing w:after="0" w:line="360" w:lineRule="auto"/>
        <w:jc w:val="left"/>
        <w:rPr>
          <w:rFonts w:hint="eastAsia" w:ascii="仿宋" w:hAnsi="仿宋" w:eastAsia="仿宋" w:cs="仿宋"/>
          <w:b/>
          <w:color w:val="auto"/>
          <w:sz w:val="32"/>
          <w:highlight w:val="none"/>
        </w:rPr>
      </w:pPr>
    </w:p>
    <w:p>
      <w:pPr>
        <w:spacing w:after="0" w:line="360" w:lineRule="auto"/>
        <w:ind w:firstLine="2570" w:firstLineChars="800"/>
        <w:rPr>
          <w:rFonts w:hint="eastAsia" w:ascii="仿宋" w:hAnsi="仿宋" w:eastAsia="仿宋" w:cs="仿宋"/>
          <w:b/>
          <w:color w:val="auto"/>
          <w:sz w:val="32"/>
          <w:highlight w:val="none"/>
          <w:u w:val="single"/>
        </w:rPr>
      </w:pPr>
      <w:r>
        <w:rPr>
          <w:rFonts w:hint="eastAsia" w:ascii="仿宋" w:hAnsi="仿宋" w:eastAsia="仿宋" w:cs="仿宋"/>
          <w:b/>
          <w:color w:val="auto"/>
          <w:sz w:val="32"/>
          <w:highlight w:val="none"/>
        </w:rPr>
        <w:t>投标人名称：xxxxx</w:t>
      </w:r>
    </w:p>
    <w:p>
      <w:pPr>
        <w:spacing w:after="0" w:line="360" w:lineRule="auto"/>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投标时间：  年  月   日</w:t>
      </w:r>
    </w:p>
    <w:p>
      <w:pPr>
        <w:spacing w:after="0" w:line="360" w:lineRule="auto"/>
        <w:rPr>
          <w:rFonts w:hint="eastAsia" w:ascii="仿宋" w:hAnsi="仿宋" w:eastAsia="仿宋" w:cs="仿宋"/>
          <w:b/>
          <w:color w:val="auto"/>
          <w:sz w:val="32"/>
          <w:highlight w:val="none"/>
        </w:rPr>
      </w:pPr>
    </w:p>
    <w:p>
      <w:pPr>
        <w:pStyle w:val="4"/>
        <w:spacing w:before="0" w:after="0" w:line="360" w:lineRule="auto"/>
        <w:rPr>
          <w:rStyle w:val="49"/>
          <w:rFonts w:hint="eastAsia" w:ascii="仿宋" w:hAnsi="仿宋" w:eastAsia="仿宋" w:cs="仿宋"/>
          <w:b w:val="0"/>
          <w:bCs w:val="0"/>
          <w:color w:val="auto"/>
          <w:highlight w:val="none"/>
        </w:rPr>
      </w:pPr>
      <w:r>
        <w:rPr>
          <w:rFonts w:hint="eastAsia" w:ascii="仿宋" w:hAnsi="仿宋" w:eastAsia="仿宋" w:cs="仿宋"/>
          <w:b w:val="0"/>
          <w:color w:val="auto"/>
          <w:highlight w:val="none"/>
        </w:rPr>
        <w:br w:type="page"/>
      </w:r>
      <w:r>
        <w:rPr>
          <w:rStyle w:val="49"/>
          <w:rFonts w:hint="eastAsia" w:ascii="仿宋" w:hAnsi="仿宋" w:eastAsia="仿宋" w:cs="仿宋"/>
          <w:b/>
          <w:bCs/>
          <w:color w:val="auto"/>
          <w:highlight w:val="none"/>
        </w:rPr>
        <w:t>3.2资格性审查部分</w:t>
      </w:r>
    </w:p>
    <w:p>
      <w:pPr>
        <w:widowControl/>
        <w:spacing w:after="0" w:line="360" w:lineRule="auto"/>
        <w:jc w:val="center"/>
        <w:outlineLvl w:val="2"/>
        <w:rPr>
          <w:rStyle w:val="50"/>
          <w:rFonts w:hint="eastAsia" w:ascii="仿宋" w:hAnsi="仿宋" w:eastAsia="仿宋" w:cs="仿宋"/>
          <w:color w:val="auto"/>
          <w:highlight w:val="none"/>
        </w:rPr>
      </w:pPr>
      <w:bookmarkStart w:id="154" w:name="_Toc4892_WPSOffice_Level2"/>
      <w:bookmarkStart w:id="155" w:name="_Toc27332_WPSOffice_Level2"/>
      <w:r>
        <w:rPr>
          <w:rStyle w:val="50"/>
          <w:rFonts w:hint="eastAsia" w:ascii="仿宋" w:hAnsi="仿宋" w:eastAsia="仿宋" w:cs="仿宋"/>
          <w:color w:val="auto"/>
          <w:highlight w:val="none"/>
        </w:rPr>
        <w:t>一、承诺函</w:t>
      </w:r>
    </w:p>
    <w:p>
      <w:pPr>
        <w:widowControl/>
        <w:spacing w:after="0"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利阳致诚国际项目管理有限公司</w:t>
      </w:r>
      <w:r>
        <w:rPr>
          <w:rFonts w:hint="eastAsia" w:ascii="仿宋" w:hAnsi="仿宋" w:eastAsia="仿宋" w:cs="仿宋"/>
          <w:color w:val="auto"/>
          <w:sz w:val="24"/>
          <w:highlight w:val="none"/>
        </w:rPr>
        <w:t>（采购代理机构名称）：</w:t>
      </w:r>
    </w:p>
    <w:p>
      <w:pPr>
        <w:widowControl/>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我单位作为本次采购项目的投标人，根据招标文件要求，现郑重承诺如下：</w:t>
      </w:r>
    </w:p>
    <w:p>
      <w:pPr>
        <w:widowControl/>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一、具备《中华人民共和国政府采购法》第二十二条第一款和本项目规定的条件：</w:t>
      </w:r>
    </w:p>
    <w:p>
      <w:pPr>
        <w:widowControl/>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（一）具有独立承担民事责任的能力；</w:t>
      </w:r>
    </w:p>
    <w:p>
      <w:pPr>
        <w:widowControl/>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（二）具有良好的商业信誉和健全的财务会计制度；</w:t>
      </w:r>
    </w:p>
    <w:p>
      <w:pPr>
        <w:widowControl/>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（三）具有履行合同所必需的设备和专业技术能力；</w:t>
      </w:r>
    </w:p>
    <w:p>
      <w:pPr>
        <w:widowControl/>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（四）有依法缴纳税收和社会保障资金的良好记录；</w:t>
      </w:r>
    </w:p>
    <w:p>
      <w:pPr>
        <w:widowControl/>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（五）参加政府采购活动前三年内，在经营活动中没有重大违法记录；</w:t>
      </w:r>
    </w:p>
    <w:p>
      <w:pPr>
        <w:widowControl/>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（六）法律、行政法规规定的其他条件；</w:t>
      </w:r>
    </w:p>
    <w:p>
      <w:pPr>
        <w:widowControl/>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二、根据采购项目提出的特殊条件。</w:t>
      </w:r>
    </w:p>
    <w:p>
      <w:pPr>
        <w:widowControl/>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三、我公司及现任法定代表人（非法人机构则为主要负责人）不具有行贿犯罪记录；</w:t>
      </w:r>
    </w:p>
    <w:p>
      <w:pPr>
        <w:widowControl/>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四、完全接受和满足本项目招标文件中规定的实质性要求，如对招标文件有异议，已经在投标截止时间届满前依法进行维权救济，不存在对招标文件有异议的同时又参加投标以求侥幸中标或者为实现其他非法目的的行为。</w:t>
      </w:r>
    </w:p>
    <w:p>
      <w:pPr>
        <w:widowControl/>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五、参加本次招标采购活动，不存在与单位负责人为同一人或者存在直接控股、管理关系的其他供应商参与同一合同项下的政府采购活动的行为。</w:t>
      </w:r>
    </w:p>
    <w:p>
      <w:pPr>
        <w:widowControl/>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六、参加本次招标采购活动，不存在和其他供应商在同一合同项下的采购项目中，同时委托同一个自然人、同一家庭的人员、同一单位的人员作为代理人的行为。本单位未对本次采购项目提供过整体设计、规范编制或者项目管理、监理、检测等服务。未为采购人、采购代理机构在确定采购需求、编制采购文件过程中提供咨询论证。</w:t>
      </w:r>
    </w:p>
    <w:p>
      <w:pPr>
        <w:widowControl/>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七、截至投标文件递交截止日未被列入失信被执行人、重大税收违法案件当事人名单、政府采购严重违法失信行为记录名单。</w:t>
      </w:r>
    </w:p>
    <w:p>
      <w:pPr>
        <w:widowControl/>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八、如本项目评标过程中需要提供样品，则我公司提供的样品即为成交后将要提供的成交产品，我公司对提供样品的性能和质量负责，因样品存在缺陷或者不符合采购文件要求导致未能成交的，我公司愿意承担相应不利后果。</w:t>
      </w:r>
    </w:p>
    <w:p>
      <w:pPr>
        <w:widowControl/>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九、我公司及现任法定代表人（非法人机构则为主要负责人）不具有行贿犯罪记录。</w:t>
      </w:r>
    </w:p>
    <w:p>
      <w:pPr>
        <w:widowControl/>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本公司对上述承诺的内容事项真实性负责。如经查实上述承诺的内容事项存在虚假，我公司愿意接受以提供虚假材料谋取成交追究法律责任。</w:t>
      </w:r>
    </w:p>
    <w:p>
      <w:pPr>
        <w:adjustRightInd w:val="0"/>
        <w:spacing w:after="0" w:line="360" w:lineRule="auto"/>
        <w:ind w:firstLine="480" w:firstLineChars="200"/>
        <w:jc w:val="left"/>
        <w:rPr>
          <w:rFonts w:hint="eastAsia" w:ascii="仿宋" w:hAnsi="仿宋" w:eastAsia="仿宋" w:cs="仿宋"/>
          <w:color w:val="auto"/>
          <w:sz w:val="24"/>
          <w:highlight w:val="none"/>
        </w:rPr>
      </w:pPr>
    </w:p>
    <w:p>
      <w:pPr>
        <w:pStyle w:val="9"/>
        <w:spacing w:after="0" w:line="360" w:lineRule="auto"/>
        <w:ind w:firstLine="480"/>
        <w:rPr>
          <w:rFonts w:hint="eastAsia" w:ascii="仿宋" w:hAnsi="仿宋" w:eastAsia="仿宋" w:cs="仿宋"/>
          <w:color w:val="auto"/>
          <w:sz w:val="24"/>
          <w:highlight w:val="none"/>
        </w:rPr>
      </w:pPr>
    </w:p>
    <w:p>
      <w:pPr>
        <w:pStyle w:val="9"/>
        <w:spacing w:after="0" w:line="360" w:lineRule="auto"/>
        <w:ind w:firstLine="480"/>
        <w:rPr>
          <w:rFonts w:hint="eastAsia" w:ascii="仿宋" w:hAnsi="仿宋" w:eastAsia="仿宋" w:cs="仿宋"/>
          <w:color w:val="auto"/>
          <w:sz w:val="24"/>
          <w:highlight w:val="none"/>
        </w:rPr>
      </w:pPr>
    </w:p>
    <w:p>
      <w:pPr>
        <w:pStyle w:val="9"/>
        <w:spacing w:after="0" w:line="360" w:lineRule="auto"/>
        <w:ind w:firstLine="480"/>
        <w:rPr>
          <w:rFonts w:hint="eastAsia" w:ascii="仿宋" w:hAnsi="仿宋" w:eastAsia="仿宋" w:cs="仿宋"/>
          <w:color w:val="auto"/>
          <w:sz w:val="24"/>
          <w:highlight w:val="none"/>
        </w:rPr>
      </w:pPr>
    </w:p>
    <w:p>
      <w:pPr>
        <w:adjustRightInd w:val="0"/>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投标人名称（盖章）：</w:t>
      </w:r>
      <w:r>
        <w:rPr>
          <w:rFonts w:hint="eastAsia" w:ascii="仿宋" w:hAnsi="仿宋" w:eastAsia="仿宋" w:cs="仿宋"/>
          <w:color w:val="auto"/>
          <w:sz w:val="24"/>
          <w:highlight w:val="none"/>
          <w:u w:val="single"/>
        </w:rPr>
        <w:t xml:space="preserve">                      </w:t>
      </w:r>
    </w:p>
    <w:p>
      <w:pPr>
        <w:widowControl/>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spacing w:after="0" w:line="360" w:lineRule="auto"/>
        <w:ind w:firstLine="480" w:firstLineChars="200"/>
        <w:rPr>
          <w:rFonts w:hint="eastAsia" w:ascii="仿宋" w:hAnsi="仿宋" w:eastAsia="仿宋" w:cs="仿宋"/>
          <w:color w:val="auto"/>
          <w:sz w:val="24"/>
          <w:highlight w:val="none"/>
        </w:rPr>
      </w:pP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注：1、本承诺函为参考格式，投标人可提供自有格式的承诺函。 </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重大违法记录中的较大数额罚款的具体金额标准是：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 </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在参加政府采购活动前，被纳入法院、工商行政管理部门、税务部门、银行认定的失信名单且在有效期内，或者在前三年政府采购合同履约过程中及其他经营活动履约过程中未依法履约被有关部门处罚（处理）的，不能认定为具有良好的商业信誉。</w:t>
      </w:r>
    </w:p>
    <w:p>
      <w:pPr>
        <w:widowControl/>
        <w:spacing w:after="0" w:line="360" w:lineRule="auto"/>
        <w:jc w:val="center"/>
        <w:outlineLvl w:val="2"/>
        <w:rPr>
          <w:rStyle w:val="50"/>
          <w:rFonts w:hint="eastAsia" w:ascii="仿宋" w:hAnsi="仿宋" w:eastAsia="仿宋" w:cs="仿宋"/>
          <w:color w:val="auto"/>
          <w:highlight w:val="none"/>
        </w:rPr>
      </w:pPr>
      <w:r>
        <w:rPr>
          <w:rFonts w:hint="eastAsia" w:ascii="仿宋" w:hAnsi="仿宋" w:eastAsia="仿宋" w:cs="仿宋"/>
          <w:color w:val="auto"/>
          <w:sz w:val="24"/>
          <w:highlight w:val="none"/>
        </w:rPr>
        <w:br w:type="page"/>
      </w:r>
      <w:r>
        <w:rPr>
          <w:rStyle w:val="50"/>
          <w:rFonts w:hint="eastAsia" w:ascii="仿宋" w:hAnsi="仿宋" w:eastAsia="仿宋" w:cs="仿宋"/>
          <w:color w:val="auto"/>
          <w:highlight w:val="none"/>
        </w:rPr>
        <w:t>二、具有独立承担民事责任的能力</w:t>
      </w:r>
    </w:p>
    <w:p>
      <w:pPr>
        <w:widowControl/>
        <w:spacing w:after="0" w:line="360" w:lineRule="auto"/>
        <w:ind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（提供营业执照）</w:t>
      </w:r>
    </w:p>
    <w:p>
      <w:pPr>
        <w:spacing w:after="0" w:line="360" w:lineRule="auto"/>
        <w:ind w:firstLine="480" w:firstLineChars="200"/>
        <w:rPr>
          <w:rFonts w:hint="eastAsia" w:ascii="仿宋" w:hAnsi="仿宋" w:eastAsia="仿宋" w:cs="仿宋"/>
          <w:color w:val="auto"/>
          <w:sz w:val="24"/>
          <w:highlight w:val="none"/>
        </w:rPr>
      </w:pPr>
    </w:p>
    <w:p>
      <w:pPr>
        <w:widowControl/>
        <w:spacing w:after="0" w:line="360" w:lineRule="auto"/>
        <w:jc w:val="center"/>
        <w:outlineLvl w:val="2"/>
        <w:rPr>
          <w:rStyle w:val="50"/>
          <w:rFonts w:hint="eastAsia" w:ascii="仿宋" w:hAnsi="仿宋" w:eastAsia="仿宋" w:cs="仿宋"/>
          <w:color w:val="auto"/>
          <w:highlight w:val="none"/>
        </w:rPr>
      </w:pPr>
      <w:r>
        <w:rPr>
          <w:rStyle w:val="50"/>
          <w:rFonts w:hint="eastAsia" w:ascii="仿宋" w:hAnsi="仿宋" w:eastAsia="仿宋" w:cs="仿宋"/>
          <w:b w:val="0"/>
          <w:bCs w:val="0"/>
          <w:color w:val="auto"/>
          <w:highlight w:val="none"/>
        </w:rPr>
        <w:br w:type="page"/>
      </w:r>
      <w:r>
        <w:rPr>
          <w:rStyle w:val="50"/>
          <w:rFonts w:hint="eastAsia" w:ascii="仿宋" w:hAnsi="仿宋" w:eastAsia="仿宋" w:cs="仿宋"/>
          <w:color w:val="auto"/>
          <w:highlight w:val="none"/>
        </w:rPr>
        <w:t>三、具有良好的商业信誉的承诺函</w:t>
      </w:r>
    </w:p>
    <w:p>
      <w:pPr>
        <w:widowControl/>
        <w:spacing w:after="0"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利阳致诚国际项目管理有限公司</w:t>
      </w:r>
      <w:r>
        <w:rPr>
          <w:rFonts w:hint="eastAsia" w:ascii="仿宋" w:hAnsi="仿宋" w:eastAsia="仿宋" w:cs="仿宋"/>
          <w:color w:val="auto"/>
          <w:sz w:val="24"/>
          <w:highlight w:val="none"/>
        </w:rPr>
        <w:t>（采购代理机构名称）：</w:t>
      </w:r>
    </w:p>
    <w:p>
      <w:pPr>
        <w:widowControl/>
        <w:spacing w:after="0" w:line="360" w:lineRule="auto"/>
        <w:ind w:firstLine="480" w:firstLineChars="200"/>
        <w:jc w:val="left"/>
        <w:rPr>
          <w:rFonts w:hint="eastAsia" w:ascii="仿宋" w:hAnsi="仿宋" w:eastAsia="仿宋" w:cs="仿宋"/>
          <w:color w:val="auto"/>
          <w:sz w:val="24"/>
          <w:highlight w:val="none"/>
        </w:rPr>
      </w:pPr>
    </w:p>
    <w:p>
      <w:pPr>
        <w:widowControl/>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我单位作为本次采购项目的投标人，根据招标文件要求，现郑重承诺如下：</w:t>
      </w:r>
    </w:p>
    <w:p>
      <w:pPr>
        <w:widowControl/>
        <w:spacing w:after="0" w:line="360" w:lineRule="auto"/>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我单位具有良好的商业信誉。</w:t>
      </w:r>
    </w:p>
    <w:p>
      <w:pPr>
        <w:pStyle w:val="9"/>
        <w:spacing w:after="0" w:line="360" w:lineRule="auto"/>
        <w:ind w:firstLine="480"/>
        <w:rPr>
          <w:rFonts w:hint="eastAsia" w:ascii="仿宋" w:hAnsi="仿宋" w:eastAsia="仿宋" w:cs="仿宋"/>
          <w:color w:val="auto"/>
          <w:sz w:val="24"/>
          <w:highlight w:val="none"/>
        </w:rPr>
      </w:pPr>
    </w:p>
    <w:p>
      <w:pPr>
        <w:adjustRightInd w:val="0"/>
        <w:spacing w:after="0" w:line="360" w:lineRule="auto"/>
        <w:ind w:firstLine="480" w:firstLineChars="200"/>
        <w:jc w:val="left"/>
        <w:rPr>
          <w:rFonts w:hint="eastAsia" w:ascii="仿宋" w:hAnsi="仿宋" w:eastAsia="仿宋" w:cs="仿宋"/>
          <w:color w:val="auto"/>
          <w:sz w:val="24"/>
          <w:highlight w:val="none"/>
        </w:rPr>
      </w:pPr>
    </w:p>
    <w:p>
      <w:pPr>
        <w:adjustRightInd w:val="0"/>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投标人名称（盖章）：</w:t>
      </w:r>
      <w:r>
        <w:rPr>
          <w:rFonts w:hint="eastAsia" w:ascii="仿宋" w:hAnsi="仿宋" w:eastAsia="仿宋" w:cs="仿宋"/>
          <w:color w:val="auto"/>
          <w:sz w:val="24"/>
          <w:highlight w:val="none"/>
          <w:u w:val="single"/>
        </w:rPr>
        <w:t xml:space="preserve">                      </w:t>
      </w:r>
    </w:p>
    <w:p>
      <w:pPr>
        <w:widowControl/>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spacing w:after="0" w:line="360" w:lineRule="auto"/>
        <w:jc w:val="center"/>
        <w:outlineLvl w:val="9"/>
        <w:rPr>
          <w:rFonts w:hint="eastAsia" w:ascii="仿宋" w:hAnsi="仿宋" w:eastAsia="仿宋" w:cs="仿宋"/>
          <w:color w:val="auto"/>
          <w:sz w:val="24"/>
          <w:highlight w:val="none"/>
          <w:lang w:eastAsia="zh-CN"/>
        </w:rPr>
      </w:pPr>
    </w:p>
    <w:p>
      <w:pPr>
        <w:widowControl/>
        <w:spacing w:after="0" w:line="360" w:lineRule="auto"/>
        <w:jc w:val="center"/>
        <w:outlineLvl w:val="9"/>
        <w:rPr>
          <w:rFonts w:hint="eastAsia" w:ascii="仿宋" w:hAnsi="仿宋" w:eastAsia="仿宋" w:cs="仿宋"/>
          <w:color w:val="auto"/>
          <w:sz w:val="24"/>
          <w:highlight w:val="none"/>
          <w:lang w:eastAsia="zh-CN"/>
        </w:rPr>
      </w:pPr>
    </w:p>
    <w:p>
      <w:pPr>
        <w:widowControl/>
        <w:spacing w:after="0" w:line="360" w:lineRule="auto"/>
        <w:jc w:val="center"/>
        <w:outlineLvl w:val="2"/>
        <w:rPr>
          <w:rStyle w:val="50"/>
          <w:rFonts w:hint="eastAsia" w:ascii="仿宋" w:hAnsi="仿宋" w:eastAsia="仿宋" w:cs="仿宋"/>
          <w:color w:val="auto"/>
          <w:highlight w:val="none"/>
        </w:rPr>
      </w:pPr>
      <w:r>
        <w:rPr>
          <w:rFonts w:hint="eastAsia" w:ascii="仿宋" w:hAnsi="仿宋" w:eastAsia="仿宋" w:cs="仿宋"/>
          <w:color w:val="auto"/>
          <w:sz w:val="24"/>
          <w:highlight w:val="none"/>
        </w:rPr>
        <w:br w:type="page"/>
      </w:r>
      <w:r>
        <w:rPr>
          <w:rStyle w:val="50"/>
          <w:rFonts w:hint="eastAsia" w:ascii="仿宋" w:hAnsi="仿宋" w:eastAsia="仿宋" w:cs="仿宋"/>
          <w:color w:val="auto"/>
          <w:highlight w:val="none"/>
        </w:rPr>
        <w:t>四、具有健全的财务会计制度的证明材料</w:t>
      </w:r>
    </w:p>
    <w:p>
      <w:pPr>
        <w:widowControl/>
        <w:spacing w:after="0" w:line="360" w:lineRule="auto"/>
        <w:ind w:firstLine="480" w:firstLineChars="200"/>
        <w:jc w:val="left"/>
        <w:rPr>
          <w:rFonts w:hint="eastAsia" w:ascii="仿宋" w:hAnsi="仿宋" w:eastAsia="仿宋" w:cs="仿宋"/>
          <w:color w:val="auto"/>
          <w:szCs w:val="21"/>
          <w:highlight w:val="none"/>
        </w:rPr>
      </w:pPr>
      <w:r>
        <w:rPr>
          <w:rFonts w:hint="eastAsia" w:ascii="仿宋" w:hAnsi="仿宋" w:eastAsia="仿宋" w:cs="仿宋"/>
          <w:color w:val="auto"/>
          <w:sz w:val="24"/>
          <w:highlight w:val="none"/>
        </w:rPr>
        <w:t>①可提供2019或2020年经审计的财务报告复印件（至少包含审计报告和审计报告中所涉及的财务报表和报表附注）；②也可提供2019或2020年度供应商内部的财务报表复印件（至少包含资产负债表）；③也可提供距文件递交截止日一年内银行出具的资信证明（复印件）；④供应商注册时间至文件递交截止日不足1年的，也可提供在工商备案的公司章程（复印件）。</w:t>
      </w:r>
    </w:p>
    <w:p>
      <w:pPr>
        <w:widowControl/>
        <w:spacing w:after="0" w:line="360" w:lineRule="auto"/>
        <w:jc w:val="center"/>
        <w:outlineLvl w:val="2"/>
        <w:rPr>
          <w:rStyle w:val="50"/>
          <w:rFonts w:hint="eastAsia" w:ascii="仿宋" w:hAnsi="仿宋" w:eastAsia="仿宋" w:cs="仿宋"/>
          <w:color w:val="auto"/>
          <w:highlight w:val="none"/>
        </w:rPr>
      </w:pPr>
      <w:r>
        <w:rPr>
          <w:rFonts w:hint="eastAsia" w:ascii="仿宋" w:hAnsi="仿宋" w:eastAsia="仿宋" w:cs="仿宋"/>
          <w:color w:val="auto"/>
          <w:szCs w:val="21"/>
          <w:highlight w:val="none"/>
        </w:rPr>
        <w:br w:type="page"/>
      </w:r>
      <w:r>
        <w:rPr>
          <w:rStyle w:val="50"/>
          <w:rFonts w:hint="eastAsia" w:ascii="仿宋" w:hAnsi="仿宋" w:eastAsia="仿宋" w:cs="仿宋"/>
          <w:color w:val="auto"/>
          <w:highlight w:val="none"/>
        </w:rPr>
        <w:t>五、具有依法缴纳税收和社会保障资金的良好记录誉的承诺函</w:t>
      </w:r>
    </w:p>
    <w:p>
      <w:pPr>
        <w:widowControl/>
        <w:spacing w:after="0"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利阳致诚国际项目管理有限公司</w:t>
      </w:r>
      <w:r>
        <w:rPr>
          <w:rFonts w:hint="eastAsia" w:ascii="仿宋" w:hAnsi="仿宋" w:eastAsia="仿宋" w:cs="仿宋"/>
          <w:color w:val="auto"/>
          <w:sz w:val="24"/>
          <w:highlight w:val="none"/>
        </w:rPr>
        <w:t>（采购代理机构名称）：</w:t>
      </w:r>
    </w:p>
    <w:p>
      <w:pPr>
        <w:widowControl/>
        <w:spacing w:after="0" w:line="360" w:lineRule="auto"/>
        <w:ind w:firstLine="480" w:firstLineChars="200"/>
        <w:jc w:val="left"/>
        <w:rPr>
          <w:rFonts w:hint="eastAsia" w:ascii="仿宋" w:hAnsi="仿宋" w:eastAsia="仿宋" w:cs="仿宋"/>
          <w:color w:val="auto"/>
          <w:sz w:val="24"/>
          <w:highlight w:val="none"/>
        </w:rPr>
      </w:pPr>
    </w:p>
    <w:p>
      <w:pPr>
        <w:widowControl/>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我单位作为本次采购项目的投标人，根据招标文件要求，现郑重承诺如下：</w:t>
      </w:r>
    </w:p>
    <w:p>
      <w:pPr>
        <w:widowControl/>
        <w:spacing w:after="0" w:line="360" w:lineRule="auto"/>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我单位具有依法缴纳税收和社会保障资金的良好记录。</w:t>
      </w:r>
    </w:p>
    <w:p>
      <w:pPr>
        <w:pStyle w:val="9"/>
        <w:spacing w:after="0" w:line="360" w:lineRule="auto"/>
        <w:ind w:firstLine="480"/>
        <w:rPr>
          <w:rFonts w:hint="eastAsia" w:ascii="仿宋" w:hAnsi="仿宋" w:eastAsia="仿宋" w:cs="仿宋"/>
          <w:color w:val="auto"/>
          <w:sz w:val="24"/>
          <w:highlight w:val="none"/>
        </w:rPr>
      </w:pPr>
    </w:p>
    <w:p>
      <w:pPr>
        <w:adjustRightInd w:val="0"/>
        <w:spacing w:after="0" w:line="360" w:lineRule="auto"/>
        <w:ind w:firstLine="480" w:firstLineChars="200"/>
        <w:jc w:val="left"/>
        <w:rPr>
          <w:rFonts w:hint="eastAsia" w:ascii="仿宋" w:hAnsi="仿宋" w:eastAsia="仿宋" w:cs="仿宋"/>
          <w:color w:val="auto"/>
          <w:sz w:val="24"/>
          <w:highlight w:val="none"/>
        </w:rPr>
      </w:pPr>
    </w:p>
    <w:p>
      <w:pPr>
        <w:adjustRightInd w:val="0"/>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投标人名称（盖章）：</w:t>
      </w:r>
      <w:r>
        <w:rPr>
          <w:rFonts w:hint="eastAsia" w:ascii="仿宋" w:hAnsi="仿宋" w:eastAsia="仿宋" w:cs="仿宋"/>
          <w:color w:val="auto"/>
          <w:sz w:val="24"/>
          <w:highlight w:val="none"/>
          <w:u w:val="single"/>
        </w:rPr>
        <w:t xml:space="preserve">                      </w:t>
      </w:r>
    </w:p>
    <w:p>
      <w:pPr>
        <w:widowControl/>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spacing w:after="0" w:line="360" w:lineRule="auto"/>
        <w:jc w:val="center"/>
        <w:outlineLvl w:val="9"/>
        <w:rPr>
          <w:rFonts w:hint="eastAsia" w:ascii="仿宋" w:hAnsi="仿宋" w:eastAsia="仿宋" w:cs="仿宋"/>
          <w:color w:val="auto"/>
          <w:sz w:val="24"/>
          <w:highlight w:val="none"/>
          <w:lang w:eastAsia="zh-CN"/>
        </w:rPr>
      </w:pPr>
    </w:p>
    <w:p>
      <w:pPr>
        <w:widowControl/>
        <w:spacing w:after="0" w:line="360" w:lineRule="auto"/>
        <w:jc w:val="both"/>
        <w:outlineLvl w:val="2"/>
        <w:rPr>
          <w:rStyle w:val="50"/>
          <w:rFonts w:hint="eastAsia" w:ascii="仿宋" w:hAnsi="仿宋" w:eastAsia="仿宋" w:cs="仿宋"/>
          <w:color w:val="auto"/>
          <w:highlight w:val="none"/>
        </w:rPr>
      </w:pPr>
      <w:r>
        <w:rPr>
          <w:rFonts w:hint="eastAsia" w:ascii="仿宋" w:hAnsi="仿宋" w:eastAsia="仿宋" w:cs="仿宋"/>
          <w:color w:val="auto"/>
          <w:sz w:val="24"/>
          <w:highlight w:val="none"/>
        </w:rPr>
        <w:br w:type="page"/>
      </w:r>
      <w:r>
        <w:rPr>
          <w:rStyle w:val="50"/>
          <w:rFonts w:hint="eastAsia" w:ascii="仿宋" w:hAnsi="仿宋" w:eastAsia="仿宋" w:cs="仿宋"/>
          <w:color w:val="auto"/>
          <w:highlight w:val="none"/>
        </w:rPr>
        <w:t>六、具有履行合同所必需的设备和专业技术能力的承诺函</w:t>
      </w:r>
    </w:p>
    <w:p>
      <w:pPr>
        <w:widowControl/>
        <w:spacing w:after="0"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利阳致诚国际项目管理有限公司</w:t>
      </w:r>
      <w:r>
        <w:rPr>
          <w:rFonts w:hint="eastAsia" w:ascii="仿宋" w:hAnsi="仿宋" w:eastAsia="仿宋" w:cs="仿宋"/>
          <w:color w:val="auto"/>
          <w:sz w:val="24"/>
          <w:highlight w:val="none"/>
        </w:rPr>
        <w:t>（采购代理机构名称）：</w:t>
      </w:r>
    </w:p>
    <w:p>
      <w:pPr>
        <w:widowControl/>
        <w:spacing w:after="0" w:line="360" w:lineRule="auto"/>
        <w:ind w:firstLine="480" w:firstLineChars="200"/>
        <w:jc w:val="left"/>
        <w:rPr>
          <w:rFonts w:hint="eastAsia" w:ascii="仿宋" w:hAnsi="仿宋" w:eastAsia="仿宋" w:cs="仿宋"/>
          <w:color w:val="auto"/>
          <w:sz w:val="24"/>
          <w:highlight w:val="none"/>
        </w:rPr>
      </w:pPr>
    </w:p>
    <w:p>
      <w:pPr>
        <w:widowControl/>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我单位作为本次采购项目的投标人，根据招标文件要求，现郑重承诺如下：</w:t>
      </w:r>
    </w:p>
    <w:p>
      <w:pPr>
        <w:widowControl/>
        <w:spacing w:after="0" w:line="360" w:lineRule="auto"/>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我单位具有履行合同所必需的设备和专业技术能力。</w:t>
      </w:r>
    </w:p>
    <w:p>
      <w:pPr>
        <w:pStyle w:val="9"/>
        <w:spacing w:after="0" w:line="360" w:lineRule="auto"/>
        <w:ind w:firstLine="480"/>
        <w:rPr>
          <w:rFonts w:hint="eastAsia" w:ascii="仿宋" w:hAnsi="仿宋" w:eastAsia="仿宋" w:cs="仿宋"/>
          <w:color w:val="auto"/>
          <w:sz w:val="24"/>
          <w:highlight w:val="none"/>
        </w:rPr>
      </w:pPr>
    </w:p>
    <w:p>
      <w:pPr>
        <w:adjustRightInd w:val="0"/>
        <w:spacing w:after="0" w:line="360" w:lineRule="auto"/>
        <w:ind w:firstLine="480" w:firstLineChars="200"/>
        <w:jc w:val="left"/>
        <w:rPr>
          <w:rFonts w:hint="eastAsia" w:ascii="仿宋" w:hAnsi="仿宋" w:eastAsia="仿宋" w:cs="仿宋"/>
          <w:color w:val="auto"/>
          <w:sz w:val="24"/>
          <w:highlight w:val="none"/>
        </w:rPr>
      </w:pPr>
    </w:p>
    <w:p>
      <w:pPr>
        <w:adjustRightInd w:val="0"/>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投标人名称（盖章）：</w:t>
      </w:r>
      <w:r>
        <w:rPr>
          <w:rFonts w:hint="eastAsia" w:ascii="仿宋" w:hAnsi="仿宋" w:eastAsia="仿宋" w:cs="仿宋"/>
          <w:color w:val="auto"/>
          <w:sz w:val="24"/>
          <w:highlight w:val="none"/>
          <w:u w:val="single"/>
        </w:rPr>
        <w:t xml:space="preserve">                      </w:t>
      </w:r>
    </w:p>
    <w:p>
      <w:pPr>
        <w:widowControl/>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spacing w:after="0" w:line="360" w:lineRule="auto"/>
        <w:ind w:firstLine="480" w:firstLineChars="200"/>
        <w:jc w:val="left"/>
        <w:rPr>
          <w:rFonts w:hint="eastAsia" w:ascii="仿宋" w:hAnsi="仿宋" w:eastAsia="仿宋" w:cs="仿宋"/>
          <w:color w:val="auto"/>
          <w:sz w:val="24"/>
          <w:highlight w:val="none"/>
        </w:rPr>
      </w:pPr>
    </w:p>
    <w:p>
      <w:pPr>
        <w:widowControl/>
        <w:spacing w:after="0" w:line="360" w:lineRule="auto"/>
        <w:jc w:val="center"/>
        <w:outlineLvl w:val="2"/>
        <w:rPr>
          <w:rStyle w:val="50"/>
          <w:rFonts w:hint="eastAsia" w:ascii="仿宋" w:hAnsi="仿宋" w:eastAsia="仿宋" w:cs="仿宋"/>
          <w:color w:val="auto"/>
          <w:highlight w:val="none"/>
        </w:rPr>
      </w:pPr>
      <w:r>
        <w:rPr>
          <w:rStyle w:val="50"/>
          <w:rFonts w:hint="eastAsia" w:ascii="仿宋" w:hAnsi="仿宋" w:eastAsia="仿宋" w:cs="仿宋"/>
          <w:b w:val="0"/>
          <w:bCs w:val="0"/>
          <w:color w:val="auto"/>
          <w:highlight w:val="none"/>
        </w:rPr>
        <w:br w:type="page"/>
      </w:r>
      <w:r>
        <w:rPr>
          <w:rStyle w:val="50"/>
          <w:rFonts w:hint="eastAsia" w:ascii="仿宋" w:hAnsi="仿宋" w:eastAsia="仿宋" w:cs="仿宋"/>
          <w:color w:val="auto"/>
          <w:highlight w:val="none"/>
        </w:rPr>
        <w:t>七、参加政府采购活动前3年内在经营活动中没有重大违法记录的承诺函</w:t>
      </w:r>
    </w:p>
    <w:p>
      <w:pPr>
        <w:widowControl/>
        <w:spacing w:after="0"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利阳致诚国际项目管理有限公司</w:t>
      </w:r>
      <w:r>
        <w:rPr>
          <w:rFonts w:hint="eastAsia" w:ascii="仿宋" w:hAnsi="仿宋" w:eastAsia="仿宋" w:cs="仿宋"/>
          <w:color w:val="auto"/>
          <w:sz w:val="24"/>
          <w:highlight w:val="none"/>
        </w:rPr>
        <w:t>（采购代理机构名称）：</w:t>
      </w:r>
    </w:p>
    <w:p>
      <w:pPr>
        <w:widowControl/>
        <w:spacing w:after="0" w:line="360" w:lineRule="auto"/>
        <w:ind w:firstLine="480" w:firstLineChars="200"/>
        <w:jc w:val="left"/>
        <w:rPr>
          <w:rFonts w:hint="eastAsia" w:ascii="仿宋" w:hAnsi="仿宋" w:eastAsia="仿宋" w:cs="仿宋"/>
          <w:color w:val="auto"/>
          <w:sz w:val="24"/>
          <w:highlight w:val="none"/>
        </w:rPr>
      </w:pPr>
    </w:p>
    <w:p>
      <w:pPr>
        <w:widowControl/>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我单位作为本次采购项目的投标人，根据招标文件要求，现郑重承诺如下：</w:t>
      </w:r>
    </w:p>
    <w:p>
      <w:pPr>
        <w:widowControl/>
        <w:spacing w:after="0" w:line="360" w:lineRule="auto"/>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我单位参加政府采购活动前3年内在经营活动中没有重大违法记录。</w:t>
      </w:r>
    </w:p>
    <w:p>
      <w:pPr>
        <w:pStyle w:val="9"/>
        <w:spacing w:after="0" w:line="360" w:lineRule="auto"/>
        <w:ind w:firstLine="480"/>
        <w:rPr>
          <w:rFonts w:hint="eastAsia" w:ascii="仿宋" w:hAnsi="仿宋" w:eastAsia="仿宋" w:cs="仿宋"/>
          <w:color w:val="auto"/>
          <w:sz w:val="24"/>
          <w:highlight w:val="none"/>
        </w:rPr>
      </w:pPr>
    </w:p>
    <w:p>
      <w:pPr>
        <w:adjustRightInd w:val="0"/>
        <w:spacing w:after="0" w:line="360" w:lineRule="auto"/>
        <w:ind w:firstLine="480" w:firstLineChars="200"/>
        <w:jc w:val="left"/>
        <w:rPr>
          <w:rFonts w:hint="eastAsia" w:ascii="仿宋" w:hAnsi="仿宋" w:eastAsia="仿宋" w:cs="仿宋"/>
          <w:color w:val="auto"/>
          <w:sz w:val="24"/>
          <w:highlight w:val="none"/>
        </w:rPr>
      </w:pPr>
    </w:p>
    <w:p>
      <w:pPr>
        <w:adjustRightInd w:val="0"/>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投标人名称（盖章）：</w:t>
      </w:r>
      <w:r>
        <w:rPr>
          <w:rFonts w:hint="eastAsia" w:ascii="仿宋" w:hAnsi="仿宋" w:eastAsia="仿宋" w:cs="仿宋"/>
          <w:color w:val="auto"/>
          <w:sz w:val="24"/>
          <w:highlight w:val="none"/>
          <w:u w:val="single"/>
        </w:rPr>
        <w:t xml:space="preserve">                      </w:t>
      </w:r>
    </w:p>
    <w:p>
      <w:pPr>
        <w:widowControl/>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spacing w:after="0" w:line="360" w:lineRule="auto"/>
        <w:jc w:val="center"/>
        <w:outlineLvl w:val="2"/>
        <w:rPr>
          <w:rStyle w:val="50"/>
          <w:rFonts w:hint="eastAsia" w:ascii="仿宋" w:hAnsi="仿宋" w:eastAsia="仿宋" w:cs="仿宋"/>
          <w:color w:val="auto"/>
          <w:highlight w:val="none"/>
        </w:rPr>
      </w:pPr>
      <w:r>
        <w:rPr>
          <w:rStyle w:val="50"/>
          <w:rFonts w:hint="eastAsia" w:ascii="仿宋" w:hAnsi="仿宋" w:eastAsia="仿宋" w:cs="仿宋"/>
          <w:b w:val="0"/>
          <w:bCs w:val="0"/>
          <w:color w:val="auto"/>
          <w:highlight w:val="none"/>
        </w:rPr>
        <w:br w:type="page"/>
      </w:r>
      <w:r>
        <w:rPr>
          <w:rStyle w:val="50"/>
          <w:rFonts w:hint="eastAsia" w:ascii="仿宋" w:hAnsi="仿宋" w:eastAsia="仿宋" w:cs="仿宋"/>
          <w:color w:val="auto"/>
          <w:highlight w:val="none"/>
        </w:rPr>
        <w:t>八、符合法律、行政法规规定的其他条件的承诺函</w:t>
      </w:r>
    </w:p>
    <w:p>
      <w:pPr>
        <w:widowControl/>
        <w:spacing w:after="0"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利阳致诚国际项目管理有限公司</w:t>
      </w:r>
      <w:r>
        <w:rPr>
          <w:rFonts w:hint="eastAsia" w:ascii="仿宋" w:hAnsi="仿宋" w:eastAsia="仿宋" w:cs="仿宋"/>
          <w:color w:val="auto"/>
          <w:sz w:val="24"/>
          <w:highlight w:val="none"/>
        </w:rPr>
        <w:t>（采购代理机构名称）：</w:t>
      </w:r>
    </w:p>
    <w:p>
      <w:pPr>
        <w:widowControl/>
        <w:spacing w:after="0" w:line="360" w:lineRule="auto"/>
        <w:ind w:firstLine="480" w:firstLineChars="200"/>
        <w:jc w:val="left"/>
        <w:rPr>
          <w:rFonts w:hint="eastAsia" w:ascii="仿宋" w:hAnsi="仿宋" w:eastAsia="仿宋" w:cs="仿宋"/>
          <w:color w:val="auto"/>
          <w:sz w:val="24"/>
          <w:highlight w:val="none"/>
        </w:rPr>
      </w:pPr>
    </w:p>
    <w:p>
      <w:pPr>
        <w:widowControl/>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我单位作为本次采购项目的投标人，根据招标文件要求，现郑重承诺如下：</w:t>
      </w:r>
    </w:p>
    <w:p>
      <w:pPr>
        <w:widowControl/>
        <w:spacing w:after="0" w:line="360" w:lineRule="auto"/>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我单位符合法律、行政法规规定的其他条件。</w:t>
      </w:r>
    </w:p>
    <w:p>
      <w:pPr>
        <w:pStyle w:val="9"/>
        <w:spacing w:after="0" w:line="360" w:lineRule="auto"/>
        <w:ind w:firstLine="480"/>
        <w:rPr>
          <w:rFonts w:hint="eastAsia" w:ascii="仿宋" w:hAnsi="仿宋" w:eastAsia="仿宋" w:cs="仿宋"/>
          <w:color w:val="auto"/>
          <w:sz w:val="24"/>
          <w:highlight w:val="none"/>
        </w:rPr>
      </w:pPr>
    </w:p>
    <w:p>
      <w:pPr>
        <w:adjustRightInd w:val="0"/>
        <w:spacing w:after="0" w:line="360" w:lineRule="auto"/>
        <w:ind w:firstLine="480" w:firstLineChars="200"/>
        <w:jc w:val="left"/>
        <w:rPr>
          <w:rFonts w:hint="eastAsia" w:ascii="仿宋" w:hAnsi="仿宋" w:eastAsia="仿宋" w:cs="仿宋"/>
          <w:color w:val="auto"/>
          <w:sz w:val="24"/>
          <w:highlight w:val="none"/>
        </w:rPr>
      </w:pPr>
    </w:p>
    <w:p>
      <w:pPr>
        <w:adjustRightInd w:val="0"/>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投标人名称（盖章）：</w:t>
      </w:r>
      <w:r>
        <w:rPr>
          <w:rFonts w:hint="eastAsia" w:ascii="仿宋" w:hAnsi="仿宋" w:eastAsia="仿宋" w:cs="仿宋"/>
          <w:color w:val="auto"/>
          <w:sz w:val="24"/>
          <w:highlight w:val="none"/>
          <w:u w:val="single"/>
        </w:rPr>
        <w:t xml:space="preserve">                      </w:t>
      </w:r>
    </w:p>
    <w:p>
      <w:pPr>
        <w:widowControl/>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5"/>
        <w:spacing w:before="0" w:after="0"/>
        <w:jc w:val="center"/>
        <w:rPr>
          <w:rStyle w:val="50"/>
          <w:rFonts w:hint="eastAsia" w:ascii="仿宋" w:hAnsi="仿宋" w:eastAsia="仿宋" w:cs="仿宋"/>
          <w:b/>
          <w:bCs/>
          <w:color w:val="auto"/>
          <w:kern w:val="2"/>
          <w:highlight w:val="none"/>
        </w:rPr>
      </w:pPr>
      <w:r>
        <w:rPr>
          <w:rStyle w:val="50"/>
          <w:rFonts w:hint="eastAsia" w:ascii="仿宋" w:hAnsi="仿宋" w:eastAsia="仿宋" w:cs="仿宋"/>
          <w:b/>
          <w:bCs/>
          <w:color w:val="auto"/>
          <w:kern w:val="2"/>
          <w:highlight w:val="none"/>
        </w:rPr>
        <w:br w:type="page"/>
      </w:r>
      <w:r>
        <w:rPr>
          <w:rStyle w:val="50"/>
          <w:rFonts w:hint="eastAsia" w:ascii="仿宋" w:hAnsi="仿宋" w:eastAsia="仿宋" w:cs="仿宋"/>
          <w:b/>
          <w:bCs/>
          <w:color w:val="auto"/>
          <w:kern w:val="2"/>
          <w:highlight w:val="none"/>
        </w:rPr>
        <w:t>九、法定代表人授权书</w:t>
      </w:r>
    </w:p>
    <w:p>
      <w:pPr>
        <w:spacing w:after="0"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利阳致诚国际项目管理有限公司</w:t>
      </w:r>
      <w:r>
        <w:rPr>
          <w:rFonts w:hint="eastAsia" w:ascii="仿宋" w:hAnsi="仿宋" w:eastAsia="仿宋" w:cs="仿宋"/>
          <w:color w:val="auto"/>
          <w:sz w:val="24"/>
          <w:highlight w:val="none"/>
        </w:rPr>
        <w:t>（采购代理机构名称）：</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本授权声明：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（投标人名称）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（法定代表人姓名、职务）授权</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（被授权人姓名、职务）为我方 “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项目（项目编号：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包号：____</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投标活动的合法代表，以我方名义全权处理该项目有关投标、签订合同以及执行合同等一切事宜。</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特此声明。</w:t>
      </w:r>
    </w:p>
    <w:p>
      <w:pPr>
        <w:spacing w:after="0" w:line="360" w:lineRule="auto"/>
        <w:ind w:firstLine="480" w:firstLineChars="200"/>
        <w:rPr>
          <w:rFonts w:hint="eastAsia" w:ascii="仿宋" w:hAnsi="仿宋" w:eastAsia="仿宋" w:cs="仿宋"/>
          <w:bCs/>
          <w:color w:val="auto"/>
          <w:sz w:val="24"/>
          <w:highlight w:val="none"/>
        </w:rPr>
      </w:pPr>
    </w:p>
    <w:p>
      <w:pPr>
        <w:spacing w:after="0" w:line="360" w:lineRule="auto"/>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附：（1）法定代表人有效身份证明材料正反面复印件</w:t>
      </w:r>
    </w:p>
    <w:p>
      <w:pPr>
        <w:spacing w:after="0" w:line="360" w:lineRule="auto"/>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（2）授权代表有效身份证明材料正反面复印件</w:t>
      </w:r>
    </w:p>
    <w:p>
      <w:pPr>
        <w:spacing w:after="0" w:line="360" w:lineRule="auto"/>
        <w:rPr>
          <w:rFonts w:hint="eastAsia" w:ascii="仿宋" w:hAnsi="仿宋" w:eastAsia="仿宋" w:cs="仿宋"/>
          <w:color w:val="auto"/>
          <w:sz w:val="24"/>
          <w:highlight w:val="none"/>
        </w:rPr>
      </w:pPr>
    </w:p>
    <w:p>
      <w:pPr>
        <w:pStyle w:val="2"/>
        <w:spacing w:after="0" w:line="360" w:lineRule="auto"/>
        <w:rPr>
          <w:rFonts w:hint="eastAsia" w:ascii="仿宋" w:hAnsi="仿宋" w:eastAsia="仿宋" w:cs="仿宋"/>
          <w:color w:val="auto"/>
          <w:sz w:val="24"/>
          <w:highlight w:val="none"/>
        </w:rPr>
      </w:pPr>
    </w:p>
    <w:p>
      <w:pPr>
        <w:spacing w:after="0" w:line="360" w:lineRule="auto"/>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法定代表人（签字或加盖个人名章）：</w:t>
      </w:r>
      <w:r>
        <w:rPr>
          <w:rFonts w:hint="eastAsia" w:ascii="仿宋" w:hAnsi="仿宋" w:eastAsia="仿宋" w:cs="仿宋"/>
          <w:color w:val="auto"/>
          <w:sz w:val="24"/>
          <w:highlight w:val="none"/>
          <w:u w:val="single"/>
        </w:rPr>
        <w:t xml:space="preserve">            </w:t>
      </w:r>
    </w:p>
    <w:p>
      <w:pPr>
        <w:spacing w:after="0" w:line="360" w:lineRule="auto"/>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授权代表（签字或加盖个人名章）：</w:t>
      </w:r>
      <w:r>
        <w:rPr>
          <w:rFonts w:hint="eastAsia" w:ascii="仿宋" w:hAnsi="仿宋" w:eastAsia="仿宋" w:cs="仿宋"/>
          <w:color w:val="auto"/>
          <w:sz w:val="24"/>
          <w:highlight w:val="none"/>
          <w:u w:val="single"/>
        </w:rPr>
        <w:t xml:space="preserve">              </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（盖章）</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spacing w:after="0" w:line="360" w:lineRule="auto"/>
        <w:rPr>
          <w:rFonts w:hint="eastAsia" w:ascii="仿宋" w:hAnsi="仿宋" w:eastAsia="仿宋" w:cs="仿宋"/>
          <w:color w:val="auto"/>
          <w:highlight w:val="none"/>
        </w:rPr>
      </w:pPr>
    </w:p>
    <w:p>
      <w:pPr>
        <w:spacing w:after="0" w:line="360" w:lineRule="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注：</w:t>
      </w:r>
      <w:r>
        <w:rPr>
          <w:rFonts w:hint="eastAsia" w:ascii="仿宋" w:hAnsi="仿宋" w:eastAsia="仿宋" w:cs="仿宋"/>
          <w:b/>
          <w:bCs/>
          <w:color w:val="auto"/>
          <w:sz w:val="24"/>
          <w:highlight w:val="none"/>
        </w:rPr>
        <w:t>1、</w:t>
      </w:r>
      <w:r>
        <w:rPr>
          <w:rFonts w:hint="eastAsia" w:ascii="仿宋" w:hAnsi="仿宋" w:eastAsia="仿宋" w:cs="仿宋"/>
          <w:b/>
          <w:color w:val="auto"/>
          <w:sz w:val="24"/>
          <w:highlight w:val="none"/>
        </w:rPr>
        <w:t>法定代表人不亲自参加投标，而授权代表参加投标的适用。</w:t>
      </w:r>
    </w:p>
    <w:p>
      <w:pPr>
        <w:pStyle w:val="8"/>
        <w:spacing w:after="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2、供应商为法人单位时提供“法定代表人授权书”，供应商为其他组织时提供“单位负责人授权书”，供应商为自然人时提供“自然人身份证明材料”。</w:t>
      </w:r>
    </w:p>
    <w:p>
      <w:pPr>
        <w:spacing w:after="0"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3、身份证明材料包括居民身份证或户口本或军官证或护照等。</w:t>
      </w:r>
    </w:p>
    <w:p>
      <w:pPr>
        <w:spacing w:after="0" w:line="360" w:lineRule="auto"/>
        <w:jc w:val="center"/>
        <w:outlineLvl w:val="2"/>
        <w:rPr>
          <w:rStyle w:val="50"/>
          <w:rFonts w:hint="eastAsia" w:ascii="仿宋" w:hAnsi="仿宋" w:eastAsia="仿宋" w:cs="仿宋"/>
          <w:color w:val="auto"/>
          <w:highlight w:val="none"/>
        </w:rPr>
      </w:pPr>
      <w:r>
        <w:rPr>
          <w:rFonts w:hint="eastAsia" w:ascii="仿宋" w:hAnsi="仿宋" w:eastAsia="仿宋" w:cs="仿宋"/>
          <w:color w:val="auto"/>
          <w:sz w:val="24"/>
          <w:highlight w:val="none"/>
        </w:rPr>
        <w:br w:type="page"/>
      </w:r>
      <w:bookmarkEnd w:id="154"/>
      <w:bookmarkEnd w:id="155"/>
      <w:r>
        <w:rPr>
          <w:rStyle w:val="50"/>
          <w:rFonts w:hint="eastAsia" w:ascii="仿宋" w:hAnsi="仿宋" w:eastAsia="仿宋" w:cs="仿宋"/>
          <w:color w:val="auto"/>
          <w:highlight w:val="none"/>
        </w:rPr>
        <w:t>十、法定代表人证明书</w:t>
      </w:r>
    </w:p>
    <w:p>
      <w:pPr>
        <w:pStyle w:val="2"/>
        <w:tabs>
          <w:tab w:val="left" w:pos="1519"/>
          <w:tab w:val="left" w:pos="5419"/>
        </w:tabs>
        <w:spacing w:after="0"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单位名称：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ab/>
      </w:r>
    </w:p>
    <w:p>
      <w:pPr>
        <w:pStyle w:val="2"/>
        <w:tabs>
          <w:tab w:val="left" w:pos="1519"/>
          <w:tab w:val="left" w:pos="5419"/>
        </w:tabs>
        <w:spacing w:after="0"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址：</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ab/>
      </w:r>
    </w:p>
    <w:p>
      <w:pPr>
        <w:pStyle w:val="2"/>
        <w:tabs>
          <w:tab w:val="left" w:pos="1519"/>
          <w:tab w:val="left" w:pos="3079"/>
          <w:tab w:val="left" w:pos="4399"/>
          <w:tab w:val="left" w:pos="5719"/>
          <w:tab w:val="left" w:pos="7939"/>
        </w:tabs>
        <w:spacing w:after="0"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姓</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名：</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ab/>
      </w:r>
      <w:r>
        <w:rPr>
          <w:rFonts w:hint="eastAsia" w:ascii="仿宋" w:hAnsi="仿宋" w:eastAsia="仿宋" w:cs="仿宋"/>
          <w:color w:val="auto"/>
          <w:sz w:val="24"/>
          <w:szCs w:val="24"/>
          <w:highlight w:val="none"/>
        </w:rPr>
        <w:t>性别：</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ab/>
      </w:r>
      <w:r>
        <w:rPr>
          <w:rFonts w:hint="eastAsia" w:ascii="仿宋" w:hAnsi="仿宋" w:eastAsia="仿宋" w:cs="仿宋"/>
          <w:color w:val="auto"/>
          <w:sz w:val="24"/>
          <w:szCs w:val="24"/>
          <w:highlight w:val="none"/>
        </w:rPr>
        <w:t>年龄：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ab/>
      </w:r>
      <w:r>
        <w:rPr>
          <w:rFonts w:hint="eastAsia" w:ascii="仿宋" w:hAnsi="仿宋" w:eastAsia="仿宋" w:cs="仿宋"/>
          <w:color w:val="auto"/>
          <w:sz w:val="24"/>
          <w:szCs w:val="24"/>
          <w:highlight w:val="none"/>
        </w:rPr>
        <w:t>职务：</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ab/>
      </w:r>
    </w:p>
    <w:p>
      <w:pPr>
        <w:pStyle w:val="2"/>
        <w:tabs>
          <w:tab w:val="left" w:pos="3295"/>
          <w:tab w:val="left" w:pos="4759"/>
          <w:tab w:val="left" w:pos="6871"/>
        </w:tabs>
        <w:spacing w:after="0"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本人系</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ab/>
      </w:r>
      <w:r>
        <w:rPr>
          <w:rFonts w:hint="eastAsia" w:ascii="仿宋" w:hAnsi="仿宋" w:eastAsia="仿宋" w:cs="仿宋"/>
          <w:color w:val="auto"/>
          <w:sz w:val="24"/>
          <w:szCs w:val="24"/>
          <w:highlight w:val="none"/>
          <w:u w:val="single"/>
        </w:rPr>
        <w:tab/>
      </w:r>
      <w:r>
        <w:rPr>
          <w:rFonts w:hint="eastAsia" w:ascii="仿宋" w:hAnsi="仿宋" w:eastAsia="仿宋" w:cs="仿宋"/>
          <w:color w:val="auto"/>
          <w:sz w:val="24"/>
          <w:szCs w:val="24"/>
          <w:highlight w:val="none"/>
        </w:rPr>
        <w:t>(投标人名称)的法定代表人/单位负责人。就参加</w:t>
      </w:r>
      <w:r>
        <w:rPr>
          <w:rFonts w:hint="eastAsia" w:ascii="仿宋" w:hAnsi="仿宋" w:eastAsia="仿宋" w:cs="仿宋"/>
          <w:color w:val="auto"/>
          <w:spacing w:val="-16"/>
          <w:sz w:val="24"/>
          <w:szCs w:val="24"/>
          <w:highlight w:val="none"/>
        </w:rPr>
        <w:t>你</w:t>
      </w:r>
      <w:r>
        <w:rPr>
          <w:rFonts w:hint="eastAsia" w:ascii="仿宋" w:hAnsi="仿宋" w:eastAsia="仿宋" w:cs="仿宋"/>
          <w:color w:val="auto"/>
          <w:sz w:val="24"/>
          <w:szCs w:val="24"/>
          <w:highlight w:val="none"/>
        </w:rPr>
        <w:t>单位组织</w:t>
      </w:r>
      <w:r>
        <w:rPr>
          <w:rFonts w:hint="eastAsia" w:ascii="仿宋" w:hAnsi="仿宋" w:eastAsia="仿宋" w:cs="仿宋"/>
          <w:color w:val="auto"/>
          <w:spacing w:val="-24"/>
          <w:sz w:val="24"/>
          <w:szCs w:val="24"/>
          <w:highlight w:val="none"/>
        </w:rPr>
        <w:t>的</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ab/>
      </w:r>
      <w:r>
        <w:rPr>
          <w:rFonts w:hint="eastAsia" w:ascii="仿宋" w:hAnsi="仿宋" w:eastAsia="仿宋" w:cs="仿宋"/>
          <w:color w:val="auto"/>
          <w:sz w:val="24"/>
          <w:szCs w:val="24"/>
          <w:highlight w:val="none"/>
        </w:rPr>
        <w:t>(项目名称)(项目编号</w:t>
      </w:r>
      <w:r>
        <w:rPr>
          <w:rFonts w:hint="eastAsia" w:ascii="仿宋" w:hAnsi="仿宋" w:eastAsia="仿宋" w:cs="仿宋"/>
          <w:color w:val="auto"/>
          <w:spacing w:val="-24"/>
          <w:sz w:val="24"/>
          <w:szCs w:val="24"/>
          <w:highlight w:val="none"/>
        </w:rPr>
        <w:t>：</w:t>
      </w:r>
      <w:r>
        <w:rPr>
          <w:rFonts w:hint="eastAsia" w:ascii="仿宋" w:hAnsi="仿宋" w:eastAsia="仿宋" w:cs="仿宋"/>
          <w:color w:val="auto"/>
          <w:spacing w:val="-24"/>
          <w:sz w:val="24"/>
          <w:szCs w:val="24"/>
          <w:highlight w:val="none"/>
          <w:u w:val="single"/>
        </w:rPr>
        <w:t xml:space="preserve">         </w:t>
      </w:r>
      <w:r>
        <w:rPr>
          <w:rFonts w:hint="eastAsia" w:ascii="仿宋" w:hAnsi="仿宋" w:eastAsia="仿宋" w:cs="仿宋"/>
          <w:color w:val="auto"/>
          <w:spacing w:val="-24"/>
          <w:sz w:val="24"/>
          <w:szCs w:val="24"/>
          <w:highlight w:val="none"/>
          <w:u w:val="single"/>
        </w:rPr>
        <w:tab/>
      </w:r>
      <w:r>
        <w:rPr>
          <w:rFonts w:hint="eastAsia" w:ascii="仿宋" w:hAnsi="仿宋" w:eastAsia="仿宋" w:cs="仿宋"/>
          <w:color w:val="auto"/>
          <w:spacing w:val="-12"/>
          <w:sz w:val="24"/>
          <w:szCs w:val="24"/>
          <w:highlight w:val="none"/>
        </w:rPr>
        <w:t>)”</w:t>
      </w:r>
      <w:r>
        <w:rPr>
          <w:rFonts w:hint="eastAsia" w:ascii="仿宋" w:hAnsi="仿宋" w:eastAsia="仿宋" w:cs="仿宋"/>
          <w:color w:val="auto"/>
          <w:sz w:val="24"/>
          <w:szCs w:val="24"/>
          <w:highlight w:val="none"/>
        </w:rPr>
        <w:t>的政府采购活动</w:t>
      </w:r>
      <w:r>
        <w:rPr>
          <w:rFonts w:hint="eastAsia" w:ascii="仿宋" w:hAnsi="仿宋" w:eastAsia="仿宋" w:cs="仿宋"/>
          <w:color w:val="auto"/>
          <w:spacing w:val="-22"/>
          <w:sz w:val="24"/>
          <w:szCs w:val="24"/>
          <w:highlight w:val="none"/>
        </w:rPr>
        <w:t>、</w:t>
      </w:r>
      <w:r>
        <w:rPr>
          <w:rFonts w:hint="eastAsia" w:ascii="仿宋" w:hAnsi="仿宋" w:eastAsia="仿宋" w:cs="仿宋"/>
          <w:color w:val="auto"/>
          <w:sz w:val="24"/>
          <w:szCs w:val="24"/>
          <w:highlight w:val="none"/>
        </w:rPr>
        <w:t>合同签</w:t>
      </w:r>
      <w:r>
        <w:rPr>
          <w:rFonts w:hint="eastAsia" w:ascii="仿宋" w:hAnsi="仿宋" w:eastAsia="仿宋" w:cs="仿宋"/>
          <w:color w:val="auto"/>
          <w:spacing w:val="-16"/>
          <w:sz w:val="24"/>
          <w:szCs w:val="24"/>
          <w:highlight w:val="none"/>
        </w:rPr>
        <w:t>订</w:t>
      </w:r>
      <w:r>
        <w:rPr>
          <w:rFonts w:hint="eastAsia" w:ascii="仿宋" w:hAnsi="仿宋" w:eastAsia="仿宋" w:cs="仿宋"/>
          <w:color w:val="auto"/>
          <w:sz w:val="24"/>
          <w:szCs w:val="24"/>
          <w:highlight w:val="none"/>
        </w:rPr>
        <w:t>以及合同履约等一切事宜，我单位均予承认，所产生的法律后果均由我单位承担。</w:t>
      </w:r>
    </w:p>
    <w:p>
      <w:pPr>
        <w:pStyle w:val="2"/>
        <w:spacing w:after="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特此证明。</w:t>
      </w:r>
    </w:p>
    <w:p>
      <w:pPr>
        <w:spacing w:after="0" w:line="360" w:lineRule="auto"/>
        <w:ind w:firstLine="480" w:firstLineChars="200"/>
        <w:rPr>
          <w:rFonts w:hint="eastAsia" w:ascii="仿宋" w:hAnsi="仿宋" w:eastAsia="仿宋" w:cs="仿宋"/>
          <w:color w:val="auto"/>
          <w:sz w:val="24"/>
          <w:highlight w:val="none"/>
        </w:rPr>
      </w:pPr>
    </w:p>
    <w:p>
      <w:pPr>
        <w:spacing w:after="0" w:line="360" w:lineRule="auto"/>
        <w:ind w:firstLine="480" w:firstLineChars="200"/>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附：（1）法定代表人有效身份证明材料正反面复印件</w:t>
      </w:r>
    </w:p>
    <w:p>
      <w:pPr>
        <w:pStyle w:val="2"/>
        <w:spacing w:after="0" w:line="360" w:lineRule="auto"/>
        <w:rPr>
          <w:rFonts w:hint="eastAsia" w:ascii="仿宋" w:hAnsi="仿宋" w:eastAsia="仿宋" w:cs="仿宋"/>
          <w:color w:val="auto"/>
          <w:sz w:val="24"/>
          <w:highlight w:val="none"/>
        </w:rPr>
      </w:pPr>
    </w:p>
    <w:p>
      <w:pPr>
        <w:spacing w:after="0" w:line="360" w:lineRule="auto"/>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法定代表人（签字或加盖个人名章）：</w:t>
      </w:r>
      <w:r>
        <w:rPr>
          <w:rFonts w:hint="eastAsia" w:ascii="仿宋" w:hAnsi="仿宋" w:eastAsia="仿宋" w:cs="仿宋"/>
          <w:color w:val="auto"/>
          <w:sz w:val="24"/>
          <w:highlight w:val="none"/>
          <w:u w:val="single"/>
        </w:rPr>
        <w:t xml:space="preserve">            </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（盖章）</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spacing w:after="0" w:line="360" w:lineRule="auto"/>
        <w:rPr>
          <w:rFonts w:hint="eastAsia" w:ascii="仿宋" w:hAnsi="仿宋" w:eastAsia="仿宋" w:cs="仿宋"/>
          <w:color w:val="auto"/>
          <w:highlight w:val="none"/>
        </w:rPr>
      </w:pPr>
    </w:p>
    <w:p>
      <w:pPr>
        <w:spacing w:after="0" w:line="360" w:lineRule="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注：</w:t>
      </w:r>
      <w:r>
        <w:rPr>
          <w:rFonts w:hint="eastAsia" w:ascii="仿宋" w:hAnsi="仿宋" w:eastAsia="仿宋" w:cs="仿宋"/>
          <w:b/>
          <w:bCs/>
          <w:color w:val="auto"/>
          <w:sz w:val="24"/>
          <w:highlight w:val="none"/>
        </w:rPr>
        <w:t>1、</w:t>
      </w:r>
      <w:r>
        <w:rPr>
          <w:rFonts w:hint="eastAsia" w:ascii="仿宋" w:hAnsi="仿宋" w:eastAsia="仿宋" w:cs="仿宋"/>
          <w:b/>
          <w:color w:val="auto"/>
          <w:sz w:val="24"/>
          <w:highlight w:val="none"/>
        </w:rPr>
        <w:t>法定代表人亲自参加投标时适用本证明书。</w:t>
      </w:r>
    </w:p>
    <w:p>
      <w:pPr>
        <w:widowControl/>
        <w:spacing w:after="0" w:line="360" w:lineRule="auto"/>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2、身份证明材料包括居民身份证或户口本或军官证或护照等。</w:t>
      </w:r>
    </w:p>
    <w:p>
      <w:pPr>
        <w:pStyle w:val="33"/>
        <w:spacing w:line="360" w:lineRule="auto"/>
        <w:ind w:firstLine="210"/>
        <w:rPr>
          <w:rFonts w:hint="eastAsia" w:ascii="仿宋" w:hAnsi="仿宋" w:eastAsia="仿宋" w:cs="仿宋"/>
          <w:color w:val="auto"/>
          <w:highlight w:val="none"/>
        </w:rPr>
      </w:pPr>
      <w:r>
        <w:rPr>
          <w:rStyle w:val="50"/>
          <w:rFonts w:hint="eastAsia" w:ascii="仿宋" w:hAnsi="仿宋" w:eastAsia="仿宋" w:cs="仿宋"/>
          <w:color w:val="auto"/>
          <w:highlight w:val="none"/>
        </w:rPr>
        <w:br w:type="page"/>
      </w:r>
    </w:p>
    <w:p>
      <w:pPr>
        <w:spacing w:after="0" w:line="360" w:lineRule="auto"/>
        <w:jc w:val="center"/>
        <w:outlineLvl w:val="2"/>
        <w:rPr>
          <w:rStyle w:val="50"/>
          <w:rFonts w:hint="eastAsia" w:ascii="仿宋" w:hAnsi="仿宋" w:eastAsia="仿宋" w:cs="仿宋"/>
          <w:color w:val="auto"/>
          <w:highlight w:val="none"/>
        </w:rPr>
      </w:pPr>
      <w:r>
        <w:rPr>
          <w:rStyle w:val="50"/>
          <w:rFonts w:hint="eastAsia" w:ascii="仿宋" w:hAnsi="仿宋" w:eastAsia="仿宋" w:cs="仿宋"/>
          <w:color w:val="auto"/>
          <w:highlight w:val="none"/>
        </w:rPr>
        <w:t>十</w:t>
      </w:r>
      <w:r>
        <w:rPr>
          <w:rStyle w:val="50"/>
          <w:rFonts w:hint="eastAsia" w:ascii="仿宋" w:hAnsi="仿宋" w:eastAsia="仿宋" w:cs="仿宋"/>
          <w:color w:val="auto"/>
          <w:highlight w:val="none"/>
          <w:lang w:val="en-US" w:eastAsia="zh-CN"/>
        </w:rPr>
        <w:t>一</w:t>
      </w:r>
      <w:r>
        <w:rPr>
          <w:rStyle w:val="50"/>
          <w:rFonts w:hint="eastAsia" w:ascii="仿宋" w:hAnsi="仿宋" w:eastAsia="仿宋" w:cs="仿宋"/>
          <w:color w:val="auto"/>
          <w:highlight w:val="none"/>
        </w:rPr>
        <w:t>、资格性审查要求的其他证明材料</w:t>
      </w:r>
    </w:p>
    <w:p>
      <w:pPr>
        <w:pStyle w:val="9"/>
        <w:ind w:firstLine="420"/>
        <w:rPr>
          <w:rFonts w:hint="eastAsia" w:ascii="仿宋" w:hAnsi="仿宋" w:eastAsia="仿宋" w:cs="仿宋"/>
          <w:color w:val="auto"/>
          <w:highlight w:val="none"/>
        </w:rPr>
      </w:pPr>
    </w:p>
    <w:p>
      <w:pPr>
        <w:pStyle w:val="9"/>
        <w:ind w:firstLine="48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（格式自拟）</w:t>
      </w:r>
    </w:p>
    <w:p>
      <w:pPr>
        <w:pStyle w:val="4"/>
        <w:spacing w:before="0" w:after="0" w:line="360" w:lineRule="auto"/>
        <w:outlineLvl w:val="9"/>
        <w:rPr>
          <w:rFonts w:hint="eastAsia" w:ascii="仿宋" w:hAnsi="仿宋" w:eastAsia="仿宋" w:cs="仿宋"/>
          <w:b w:val="0"/>
          <w:color w:val="auto"/>
          <w:highlight w:val="none"/>
        </w:rPr>
        <w:sectPr>
          <w:footerReference r:id="rId8" w:type="default"/>
          <w:type w:val="continuous"/>
          <w:pgSz w:w="11906" w:h="16838"/>
          <w:pgMar w:top="1440" w:right="1800" w:bottom="1440" w:left="1800" w:header="851" w:footer="992" w:gutter="0"/>
          <w:pgNumType w:fmt="decimal"/>
          <w:cols w:space="720" w:num="1"/>
          <w:docGrid w:type="lines" w:linePitch="312" w:charSpace="0"/>
        </w:sectPr>
      </w:pPr>
    </w:p>
    <w:p>
      <w:pPr>
        <w:pStyle w:val="4"/>
        <w:spacing w:before="0" w:after="0" w:line="360" w:lineRule="auto"/>
        <w:rPr>
          <w:rStyle w:val="50"/>
          <w:rFonts w:hint="eastAsia" w:ascii="仿宋" w:hAnsi="仿宋" w:eastAsia="仿宋" w:cs="仿宋"/>
          <w:b/>
          <w:bCs/>
          <w:color w:val="auto"/>
          <w:highlight w:val="none"/>
        </w:rPr>
      </w:pPr>
      <w:r>
        <w:rPr>
          <w:rStyle w:val="49"/>
          <w:rFonts w:hint="eastAsia" w:ascii="仿宋" w:hAnsi="仿宋" w:eastAsia="仿宋" w:cs="仿宋"/>
          <w:b/>
          <w:bCs/>
          <w:color w:val="auto"/>
          <w:highlight w:val="none"/>
        </w:rPr>
        <w:t>3.3服务、商务及其他要求响应部分</w:t>
      </w:r>
      <w:r>
        <w:rPr>
          <w:rStyle w:val="50"/>
          <w:rFonts w:hint="eastAsia" w:ascii="仿宋" w:hAnsi="仿宋" w:eastAsia="仿宋" w:cs="仿宋"/>
          <w:b/>
          <w:bCs/>
          <w:color w:val="auto"/>
          <w:highlight w:val="none"/>
        </w:rPr>
        <w:t xml:space="preserve"> </w:t>
      </w:r>
    </w:p>
    <w:p>
      <w:pPr>
        <w:numPr>
          <w:ilvl w:val="0"/>
          <w:numId w:val="4"/>
        </w:numPr>
        <w:spacing w:after="0" w:line="360" w:lineRule="auto"/>
        <w:jc w:val="center"/>
        <w:outlineLvl w:val="2"/>
        <w:rPr>
          <w:rStyle w:val="50"/>
          <w:rFonts w:hint="eastAsia" w:ascii="仿宋" w:hAnsi="仿宋" w:eastAsia="仿宋" w:cs="仿宋"/>
          <w:color w:val="auto"/>
          <w:highlight w:val="none"/>
          <w:lang w:val="en-US" w:eastAsia="zh-CN"/>
        </w:rPr>
      </w:pPr>
      <w:r>
        <w:rPr>
          <w:rStyle w:val="50"/>
          <w:rFonts w:hint="eastAsia" w:ascii="仿宋" w:hAnsi="仿宋" w:eastAsia="仿宋" w:cs="仿宋"/>
          <w:color w:val="auto"/>
          <w:highlight w:val="none"/>
          <w:lang w:val="en-US" w:eastAsia="zh-CN"/>
        </w:rPr>
        <w:t>开标一览表</w:t>
      </w:r>
    </w:p>
    <w:p>
      <w:pPr>
        <w:spacing w:after="0" w:line="360" w:lineRule="auto"/>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rPr>
        <w:t>项目名称：</w:t>
      </w:r>
      <w:r>
        <w:rPr>
          <w:rFonts w:hint="eastAsia" w:ascii="仿宋" w:hAnsi="仿宋" w:eastAsia="仿宋" w:cs="仿宋"/>
          <w:b/>
          <w:bCs w:val="0"/>
          <w:color w:val="auto"/>
          <w:sz w:val="24"/>
          <w:highlight w:val="none"/>
          <w:u w:val="single"/>
        </w:rPr>
        <w:t xml:space="preserve">                  </w:t>
      </w:r>
      <w:r>
        <w:rPr>
          <w:rFonts w:hint="eastAsia" w:ascii="仿宋" w:hAnsi="仿宋" w:eastAsia="仿宋" w:cs="仿宋"/>
          <w:b/>
          <w:bCs w:val="0"/>
          <w:color w:val="auto"/>
          <w:sz w:val="24"/>
          <w:highlight w:val="none"/>
        </w:rPr>
        <w:t xml:space="preserve">     </w:t>
      </w:r>
    </w:p>
    <w:p>
      <w:pPr>
        <w:spacing w:after="0" w:line="360" w:lineRule="auto"/>
        <w:rPr>
          <w:rFonts w:hint="eastAsia" w:ascii="仿宋" w:hAnsi="仿宋" w:eastAsia="仿宋" w:cs="仿宋"/>
          <w:b/>
          <w:bCs w:val="0"/>
          <w:color w:val="auto"/>
          <w:sz w:val="24"/>
          <w:highlight w:val="none"/>
          <w:u w:val="single"/>
        </w:rPr>
      </w:pPr>
      <w:r>
        <w:rPr>
          <w:rFonts w:hint="eastAsia" w:ascii="仿宋" w:hAnsi="仿宋" w:eastAsia="仿宋" w:cs="仿宋"/>
          <w:b/>
          <w:bCs w:val="0"/>
          <w:color w:val="auto"/>
          <w:sz w:val="24"/>
          <w:highlight w:val="none"/>
        </w:rPr>
        <w:t>项目编号：</w:t>
      </w:r>
      <w:r>
        <w:rPr>
          <w:rFonts w:hint="eastAsia" w:ascii="仿宋" w:hAnsi="仿宋" w:eastAsia="仿宋" w:cs="仿宋"/>
          <w:b/>
          <w:bCs w:val="0"/>
          <w:color w:val="auto"/>
          <w:sz w:val="24"/>
          <w:highlight w:val="none"/>
          <w:u w:val="single"/>
        </w:rPr>
        <w:t xml:space="preserve">                   </w:t>
      </w:r>
    </w:p>
    <w:p>
      <w:pPr>
        <w:spacing w:after="0" w:line="360" w:lineRule="auto"/>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rPr>
        <w:t>包</w:t>
      </w:r>
      <w:r>
        <w:rPr>
          <w:rFonts w:hint="eastAsia" w:ascii="仿宋" w:hAnsi="仿宋" w:eastAsia="仿宋" w:cs="仿宋"/>
          <w:b/>
          <w:bCs w:val="0"/>
          <w:color w:val="auto"/>
          <w:sz w:val="24"/>
          <w:highlight w:val="none"/>
          <w:lang w:val="en-US" w:eastAsia="zh-CN"/>
        </w:rPr>
        <w:t xml:space="preserve"> </w:t>
      </w:r>
      <w:r>
        <w:rPr>
          <w:rFonts w:hint="eastAsia" w:ascii="仿宋" w:hAnsi="仿宋" w:eastAsia="仿宋" w:cs="仿宋"/>
          <w:b/>
          <w:bCs w:val="0"/>
          <w:color w:val="auto"/>
          <w:sz w:val="24"/>
          <w:highlight w:val="none"/>
        </w:rPr>
        <w:t>号：</w:t>
      </w:r>
      <w:r>
        <w:rPr>
          <w:rFonts w:hint="eastAsia" w:ascii="仿宋" w:hAnsi="仿宋" w:eastAsia="仿宋" w:cs="仿宋"/>
          <w:b/>
          <w:bCs w:val="0"/>
          <w:color w:val="auto"/>
          <w:sz w:val="24"/>
          <w:highlight w:val="none"/>
          <w:u w:val="single"/>
        </w:rPr>
        <w:t xml:space="preserve">   </w:t>
      </w:r>
      <w:r>
        <w:rPr>
          <w:rFonts w:hint="eastAsia" w:ascii="仿宋" w:hAnsi="仿宋" w:eastAsia="仿宋" w:cs="仿宋"/>
          <w:b/>
          <w:bCs w:val="0"/>
          <w:color w:val="auto"/>
          <w:sz w:val="24"/>
          <w:highlight w:val="none"/>
        </w:rPr>
        <w:t xml:space="preserve"> </w:t>
      </w:r>
    </w:p>
    <w:tbl>
      <w:tblPr>
        <w:tblStyle w:val="34"/>
        <w:tblpPr w:leftFromText="180" w:rightFromText="180" w:vertAnchor="text" w:horzAnchor="margin" w:tblpXSpec="center" w:tblpY="123"/>
        <w:tblW w:w="13182"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3457"/>
        <w:gridCol w:w="1794"/>
        <w:gridCol w:w="992"/>
        <w:gridCol w:w="1559"/>
        <w:gridCol w:w="1371"/>
        <w:gridCol w:w="1838"/>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113" w:type="dxa"/>
            <w:noWrap w:val="0"/>
            <w:vAlign w:val="center"/>
          </w:tcPr>
          <w:p>
            <w:pPr>
              <w:adjustRightInd w:val="0"/>
              <w:snapToGrid w:val="0"/>
              <w:spacing w:after="0" w:line="360" w:lineRule="auto"/>
              <w:jc w:val="center"/>
              <w:rPr>
                <w:rFonts w:hint="eastAsia" w:ascii="仿宋" w:hAnsi="仿宋" w:eastAsia="仿宋" w:cs="仿宋"/>
                <w:b/>
                <w:color w:val="auto"/>
                <w:sz w:val="22"/>
                <w:szCs w:val="20"/>
                <w:highlight w:val="none"/>
              </w:rPr>
            </w:pPr>
            <w:r>
              <w:rPr>
                <w:rFonts w:hint="eastAsia" w:ascii="仿宋" w:hAnsi="仿宋" w:eastAsia="仿宋" w:cs="仿宋"/>
                <w:b/>
                <w:color w:val="auto"/>
                <w:sz w:val="22"/>
                <w:szCs w:val="20"/>
                <w:highlight w:val="none"/>
              </w:rPr>
              <w:t>序号</w:t>
            </w:r>
          </w:p>
        </w:tc>
        <w:tc>
          <w:tcPr>
            <w:tcW w:w="3457" w:type="dxa"/>
            <w:noWrap w:val="0"/>
            <w:vAlign w:val="center"/>
          </w:tcPr>
          <w:p>
            <w:pPr>
              <w:adjustRightInd w:val="0"/>
              <w:snapToGrid w:val="0"/>
              <w:spacing w:after="0" w:line="360" w:lineRule="auto"/>
              <w:jc w:val="center"/>
              <w:rPr>
                <w:rFonts w:hint="eastAsia" w:ascii="仿宋" w:hAnsi="仿宋" w:eastAsia="仿宋" w:cs="仿宋"/>
                <w:b/>
                <w:color w:val="auto"/>
                <w:sz w:val="22"/>
                <w:szCs w:val="20"/>
                <w:highlight w:val="none"/>
              </w:rPr>
            </w:pPr>
            <w:r>
              <w:rPr>
                <w:rFonts w:hint="eastAsia" w:ascii="仿宋" w:hAnsi="仿宋" w:eastAsia="仿宋" w:cs="仿宋"/>
                <w:b/>
                <w:color w:val="auto"/>
                <w:sz w:val="22"/>
                <w:szCs w:val="20"/>
                <w:highlight w:val="none"/>
                <w:lang w:val="en-US" w:eastAsia="zh-CN"/>
              </w:rPr>
              <w:t>项目</w:t>
            </w:r>
            <w:r>
              <w:rPr>
                <w:rFonts w:hint="eastAsia" w:ascii="仿宋" w:hAnsi="仿宋" w:eastAsia="仿宋" w:cs="仿宋"/>
                <w:b/>
                <w:color w:val="auto"/>
                <w:sz w:val="22"/>
                <w:szCs w:val="20"/>
                <w:highlight w:val="none"/>
              </w:rPr>
              <w:t>名称</w:t>
            </w:r>
          </w:p>
        </w:tc>
        <w:tc>
          <w:tcPr>
            <w:tcW w:w="1794" w:type="dxa"/>
            <w:noWrap w:val="0"/>
            <w:vAlign w:val="center"/>
          </w:tcPr>
          <w:p>
            <w:pPr>
              <w:adjustRightInd w:val="0"/>
              <w:snapToGrid w:val="0"/>
              <w:spacing w:after="0" w:line="360" w:lineRule="auto"/>
              <w:jc w:val="center"/>
              <w:rPr>
                <w:rFonts w:hint="eastAsia" w:ascii="仿宋" w:hAnsi="仿宋" w:eastAsia="仿宋" w:cs="仿宋"/>
                <w:b/>
                <w:color w:val="auto"/>
                <w:sz w:val="22"/>
                <w:szCs w:val="20"/>
                <w:highlight w:val="none"/>
              </w:rPr>
            </w:pPr>
            <w:r>
              <w:rPr>
                <w:rFonts w:hint="eastAsia" w:ascii="仿宋" w:hAnsi="仿宋" w:eastAsia="仿宋" w:cs="仿宋"/>
                <w:b/>
                <w:color w:val="auto"/>
                <w:sz w:val="22"/>
                <w:szCs w:val="20"/>
                <w:highlight w:val="none"/>
              </w:rPr>
              <w:t>制造商家及规格型号</w:t>
            </w:r>
          </w:p>
        </w:tc>
        <w:tc>
          <w:tcPr>
            <w:tcW w:w="992" w:type="dxa"/>
            <w:noWrap w:val="0"/>
            <w:vAlign w:val="center"/>
          </w:tcPr>
          <w:p>
            <w:pPr>
              <w:adjustRightInd w:val="0"/>
              <w:snapToGrid w:val="0"/>
              <w:spacing w:after="0" w:line="360" w:lineRule="auto"/>
              <w:jc w:val="center"/>
              <w:rPr>
                <w:rFonts w:hint="eastAsia" w:ascii="仿宋" w:hAnsi="仿宋" w:eastAsia="仿宋" w:cs="仿宋"/>
                <w:b/>
                <w:color w:val="auto"/>
                <w:sz w:val="22"/>
                <w:szCs w:val="20"/>
                <w:highlight w:val="none"/>
              </w:rPr>
            </w:pPr>
            <w:r>
              <w:rPr>
                <w:rFonts w:hint="eastAsia" w:ascii="仿宋" w:hAnsi="仿宋" w:eastAsia="仿宋" w:cs="仿宋"/>
                <w:b/>
                <w:color w:val="auto"/>
                <w:sz w:val="22"/>
                <w:szCs w:val="20"/>
                <w:highlight w:val="none"/>
              </w:rPr>
              <w:t>单位</w:t>
            </w:r>
          </w:p>
        </w:tc>
        <w:tc>
          <w:tcPr>
            <w:tcW w:w="1559" w:type="dxa"/>
            <w:noWrap w:val="0"/>
            <w:vAlign w:val="center"/>
          </w:tcPr>
          <w:p>
            <w:pPr>
              <w:adjustRightInd w:val="0"/>
              <w:snapToGrid w:val="0"/>
              <w:spacing w:after="0" w:line="360" w:lineRule="auto"/>
              <w:jc w:val="center"/>
              <w:rPr>
                <w:rFonts w:hint="eastAsia" w:ascii="仿宋" w:hAnsi="仿宋" w:eastAsia="仿宋" w:cs="仿宋"/>
                <w:b/>
                <w:color w:val="auto"/>
                <w:sz w:val="22"/>
                <w:szCs w:val="20"/>
                <w:highlight w:val="none"/>
              </w:rPr>
            </w:pPr>
            <w:r>
              <w:rPr>
                <w:rFonts w:hint="eastAsia" w:ascii="仿宋" w:hAnsi="仿宋" w:eastAsia="仿宋" w:cs="仿宋"/>
                <w:b/>
                <w:color w:val="auto"/>
                <w:sz w:val="22"/>
                <w:szCs w:val="20"/>
                <w:highlight w:val="none"/>
              </w:rPr>
              <w:t>数量</w:t>
            </w:r>
          </w:p>
        </w:tc>
        <w:tc>
          <w:tcPr>
            <w:tcW w:w="1371" w:type="dxa"/>
            <w:noWrap w:val="0"/>
            <w:vAlign w:val="center"/>
          </w:tcPr>
          <w:p>
            <w:pPr>
              <w:adjustRightInd w:val="0"/>
              <w:snapToGrid w:val="0"/>
              <w:spacing w:after="0" w:line="360" w:lineRule="auto"/>
              <w:jc w:val="center"/>
              <w:rPr>
                <w:rFonts w:hint="eastAsia" w:ascii="仿宋" w:hAnsi="仿宋" w:eastAsia="仿宋" w:cs="仿宋"/>
                <w:b/>
                <w:color w:val="auto"/>
                <w:sz w:val="22"/>
                <w:szCs w:val="20"/>
                <w:highlight w:val="none"/>
              </w:rPr>
            </w:pPr>
            <w:r>
              <w:rPr>
                <w:rFonts w:hint="eastAsia" w:ascii="仿宋" w:hAnsi="仿宋" w:eastAsia="仿宋" w:cs="仿宋"/>
                <w:b/>
                <w:color w:val="auto"/>
                <w:sz w:val="22"/>
                <w:szCs w:val="20"/>
                <w:highlight w:val="none"/>
              </w:rPr>
              <w:t>投标总价</w:t>
            </w:r>
          </w:p>
          <w:p>
            <w:pPr>
              <w:adjustRightInd w:val="0"/>
              <w:snapToGrid w:val="0"/>
              <w:spacing w:after="0" w:line="360" w:lineRule="auto"/>
              <w:jc w:val="center"/>
              <w:rPr>
                <w:rFonts w:hint="eastAsia" w:ascii="仿宋" w:hAnsi="仿宋" w:eastAsia="仿宋" w:cs="仿宋"/>
                <w:b/>
                <w:color w:val="auto"/>
                <w:sz w:val="22"/>
                <w:szCs w:val="20"/>
                <w:highlight w:val="none"/>
              </w:rPr>
            </w:pPr>
            <w:r>
              <w:rPr>
                <w:rFonts w:hint="eastAsia" w:ascii="仿宋" w:hAnsi="仿宋" w:eastAsia="仿宋" w:cs="仿宋"/>
                <w:b/>
                <w:color w:val="auto"/>
                <w:sz w:val="22"/>
                <w:szCs w:val="20"/>
                <w:highlight w:val="none"/>
              </w:rPr>
              <w:t>（元）</w:t>
            </w:r>
          </w:p>
        </w:tc>
        <w:tc>
          <w:tcPr>
            <w:tcW w:w="1838" w:type="dxa"/>
            <w:noWrap w:val="0"/>
            <w:vAlign w:val="center"/>
          </w:tcPr>
          <w:p>
            <w:pPr>
              <w:adjustRightInd w:val="0"/>
              <w:snapToGrid w:val="0"/>
              <w:spacing w:after="0" w:line="360" w:lineRule="auto"/>
              <w:jc w:val="center"/>
              <w:rPr>
                <w:rFonts w:hint="default" w:ascii="仿宋" w:hAnsi="仿宋" w:eastAsia="仿宋" w:cs="仿宋"/>
                <w:b/>
                <w:color w:val="auto"/>
                <w:sz w:val="22"/>
                <w:szCs w:val="20"/>
                <w:highlight w:val="none"/>
                <w:lang w:val="en-US" w:eastAsia="zh-CN"/>
              </w:rPr>
            </w:pPr>
            <w:r>
              <w:rPr>
                <w:rFonts w:hint="eastAsia" w:ascii="仿宋" w:hAnsi="仿宋" w:eastAsia="仿宋" w:cs="仿宋"/>
                <w:b/>
                <w:color w:val="auto"/>
                <w:sz w:val="22"/>
                <w:szCs w:val="20"/>
                <w:highlight w:val="none"/>
                <w:lang w:val="en-US" w:eastAsia="zh-CN"/>
              </w:rPr>
              <w:t>交货时间</w:t>
            </w:r>
          </w:p>
        </w:tc>
        <w:tc>
          <w:tcPr>
            <w:tcW w:w="1058" w:type="dxa"/>
            <w:noWrap w:val="0"/>
            <w:vAlign w:val="center"/>
          </w:tcPr>
          <w:p>
            <w:pPr>
              <w:adjustRightInd w:val="0"/>
              <w:snapToGrid w:val="0"/>
              <w:spacing w:after="0" w:line="360" w:lineRule="auto"/>
              <w:jc w:val="center"/>
              <w:rPr>
                <w:rFonts w:hint="eastAsia" w:ascii="仿宋" w:hAnsi="仿宋" w:eastAsia="仿宋" w:cs="仿宋"/>
                <w:b/>
                <w:color w:val="auto"/>
                <w:sz w:val="22"/>
                <w:szCs w:val="20"/>
                <w:highlight w:val="none"/>
              </w:rPr>
            </w:pPr>
            <w:r>
              <w:rPr>
                <w:rFonts w:hint="eastAsia" w:ascii="仿宋" w:hAnsi="仿宋" w:eastAsia="仿宋" w:cs="仿宋"/>
                <w:b/>
                <w:color w:val="auto"/>
                <w:sz w:val="22"/>
                <w:szCs w:val="20"/>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113" w:type="dxa"/>
            <w:noWrap w:val="0"/>
            <w:vAlign w:val="center"/>
          </w:tcPr>
          <w:p>
            <w:pPr>
              <w:widowControl/>
              <w:spacing w:after="0" w:line="360" w:lineRule="auto"/>
              <w:jc w:val="center"/>
              <w:textAlignment w:val="center"/>
              <w:rPr>
                <w:rFonts w:hint="eastAsia" w:ascii="仿宋" w:hAnsi="仿宋" w:eastAsia="仿宋" w:cs="仿宋"/>
                <w:b/>
                <w:bCs/>
                <w:color w:val="auto"/>
                <w:sz w:val="24"/>
                <w:szCs w:val="21"/>
                <w:highlight w:val="none"/>
              </w:rPr>
            </w:pPr>
            <w:r>
              <w:rPr>
                <w:rFonts w:hint="eastAsia" w:ascii="仿宋" w:hAnsi="仿宋" w:eastAsia="仿宋" w:cs="仿宋"/>
                <w:b/>
                <w:bCs/>
                <w:color w:val="auto"/>
                <w:kern w:val="0"/>
                <w:szCs w:val="21"/>
                <w:highlight w:val="none"/>
              </w:rPr>
              <w:t>1</w:t>
            </w:r>
          </w:p>
        </w:tc>
        <w:tc>
          <w:tcPr>
            <w:tcW w:w="3457" w:type="dxa"/>
            <w:noWrap w:val="0"/>
            <w:vAlign w:val="center"/>
          </w:tcPr>
          <w:p>
            <w:pPr>
              <w:widowControl/>
              <w:spacing w:line="360" w:lineRule="auto"/>
              <w:jc w:val="both"/>
              <w:textAlignment w:val="center"/>
              <w:rPr>
                <w:rFonts w:hint="eastAsia" w:ascii="仿宋" w:hAnsi="仿宋" w:eastAsia="仿宋" w:cs="仿宋"/>
                <w:b/>
                <w:bCs/>
                <w:color w:val="auto"/>
                <w:sz w:val="24"/>
                <w:szCs w:val="21"/>
                <w:highlight w:val="none"/>
              </w:rPr>
            </w:pPr>
            <w:r>
              <w:rPr>
                <w:rFonts w:hint="eastAsia" w:ascii="仿宋" w:hAnsi="仿宋" w:eastAsia="仿宋" w:cs="仿宋"/>
                <w:b/>
                <w:bCs/>
                <w:color w:val="auto"/>
                <w:sz w:val="24"/>
                <w:szCs w:val="21"/>
                <w:highlight w:val="none"/>
                <w:lang w:val="zh-CN"/>
              </w:rPr>
              <w:t>成都市双流区中医医院2021年第二批医疗设备采购项目</w:t>
            </w:r>
          </w:p>
        </w:tc>
        <w:tc>
          <w:tcPr>
            <w:tcW w:w="1794" w:type="dxa"/>
            <w:noWrap w:val="0"/>
            <w:vAlign w:val="center"/>
          </w:tcPr>
          <w:p>
            <w:pPr>
              <w:adjustRightInd w:val="0"/>
              <w:snapToGrid w:val="0"/>
              <w:spacing w:after="0" w:line="360" w:lineRule="auto"/>
              <w:jc w:val="center"/>
              <w:rPr>
                <w:rFonts w:hint="default" w:ascii="仿宋" w:hAnsi="仿宋" w:eastAsia="仿宋" w:cs="仿宋"/>
                <w:b/>
                <w:color w:val="auto"/>
                <w:sz w:val="24"/>
                <w:szCs w:val="21"/>
                <w:highlight w:val="none"/>
                <w:lang w:val="en-US" w:eastAsia="zh-CN"/>
              </w:rPr>
            </w:pPr>
            <w:r>
              <w:rPr>
                <w:rFonts w:hint="eastAsia" w:ascii="仿宋" w:hAnsi="仿宋" w:eastAsia="仿宋" w:cs="仿宋"/>
                <w:b/>
                <w:color w:val="auto"/>
                <w:sz w:val="24"/>
                <w:szCs w:val="21"/>
                <w:highlight w:val="none"/>
                <w:lang w:val="en-US" w:eastAsia="zh-CN"/>
              </w:rPr>
              <w:t>详见分项报价明细表</w:t>
            </w:r>
          </w:p>
        </w:tc>
        <w:tc>
          <w:tcPr>
            <w:tcW w:w="992" w:type="dxa"/>
            <w:noWrap w:val="0"/>
            <w:vAlign w:val="center"/>
          </w:tcPr>
          <w:p>
            <w:pPr>
              <w:adjustRightInd w:val="0"/>
              <w:snapToGrid w:val="0"/>
              <w:spacing w:after="0" w:line="360" w:lineRule="auto"/>
              <w:jc w:val="center"/>
              <w:rPr>
                <w:rFonts w:hint="eastAsia" w:ascii="仿宋" w:hAnsi="仿宋" w:eastAsia="仿宋" w:cs="仿宋"/>
                <w:b/>
                <w:color w:val="auto"/>
                <w:sz w:val="24"/>
                <w:szCs w:val="21"/>
                <w:highlight w:val="none"/>
                <w:lang w:val="en-US" w:eastAsia="zh-CN"/>
              </w:rPr>
            </w:pPr>
            <w:r>
              <w:rPr>
                <w:rFonts w:hint="eastAsia" w:ascii="仿宋" w:hAnsi="仿宋" w:eastAsia="仿宋" w:cs="仿宋"/>
                <w:b/>
                <w:color w:val="auto"/>
                <w:sz w:val="24"/>
                <w:szCs w:val="21"/>
                <w:highlight w:val="none"/>
                <w:lang w:val="en-US" w:eastAsia="zh-CN"/>
              </w:rPr>
              <w:t>批</w:t>
            </w:r>
          </w:p>
        </w:tc>
        <w:tc>
          <w:tcPr>
            <w:tcW w:w="1559" w:type="dxa"/>
            <w:noWrap w:val="0"/>
            <w:vAlign w:val="center"/>
          </w:tcPr>
          <w:p>
            <w:pPr>
              <w:adjustRightInd w:val="0"/>
              <w:snapToGrid w:val="0"/>
              <w:spacing w:after="0" w:line="360" w:lineRule="auto"/>
              <w:jc w:val="center"/>
              <w:rPr>
                <w:rFonts w:hint="eastAsia" w:ascii="仿宋" w:hAnsi="仿宋" w:eastAsia="仿宋" w:cs="仿宋"/>
                <w:b/>
                <w:color w:val="auto"/>
                <w:sz w:val="24"/>
                <w:szCs w:val="21"/>
                <w:highlight w:val="none"/>
                <w:lang w:val="en-US" w:eastAsia="zh-CN"/>
              </w:rPr>
            </w:pPr>
            <w:r>
              <w:rPr>
                <w:rFonts w:hint="eastAsia" w:ascii="仿宋" w:hAnsi="仿宋" w:eastAsia="仿宋" w:cs="仿宋"/>
                <w:b/>
                <w:color w:val="auto"/>
                <w:sz w:val="24"/>
                <w:szCs w:val="21"/>
                <w:highlight w:val="none"/>
                <w:lang w:val="en-US" w:eastAsia="zh-CN"/>
              </w:rPr>
              <w:t>1</w:t>
            </w:r>
          </w:p>
        </w:tc>
        <w:tc>
          <w:tcPr>
            <w:tcW w:w="1371" w:type="dxa"/>
            <w:noWrap w:val="0"/>
            <w:vAlign w:val="center"/>
          </w:tcPr>
          <w:p>
            <w:pPr>
              <w:adjustRightInd w:val="0"/>
              <w:snapToGrid w:val="0"/>
              <w:spacing w:after="0" w:line="360" w:lineRule="auto"/>
              <w:jc w:val="center"/>
              <w:rPr>
                <w:rFonts w:hint="eastAsia" w:ascii="仿宋" w:hAnsi="仿宋" w:eastAsia="仿宋" w:cs="仿宋"/>
                <w:b/>
                <w:color w:val="auto"/>
                <w:sz w:val="24"/>
                <w:szCs w:val="21"/>
                <w:highlight w:val="none"/>
              </w:rPr>
            </w:pPr>
          </w:p>
        </w:tc>
        <w:tc>
          <w:tcPr>
            <w:tcW w:w="1838" w:type="dxa"/>
            <w:noWrap w:val="0"/>
            <w:vAlign w:val="center"/>
          </w:tcPr>
          <w:p>
            <w:pPr>
              <w:adjustRightInd w:val="0"/>
              <w:snapToGrid w:val="0"/>
              <w:spacing w:after="0" w:line="360" w:lineRule="auto"/>
              <w:jc w:val="center"/>
              <w:rPr>
                <w:rFonts w:hint="eastAsia" w:ascii="仿宋" w:hAnsi="仿宋" w:eastAsia="仿宋" w:cs="仿宋"/>
                <w:b/>
                <w:color w:val="auto"/>
                <w:sz w:val="24"/>
                <w:szCs w:val="21"/>
                <w:highlight w:val="none"/>
              </w:rPr>
            </w:pPr>
          </w:p>
        </w:tc>
        <w:tc>
          <w:tcPr>
            <w:tcW w:w="1058" w:type="dxa"/>
            <w:noWrap w:val="0"/>
            <w:vAlign w:val="center"/>
          </w:tcPr>
          <w:p>
            <w:pPr>
              <w:adjustRightInd w:val="0"/>
              <w:snapToGrid w:val="0"/>
              <w:spacing w:after="0" w:line="360" w:lineRule="auto"/>
              <w:jc w:val="center"/>
              <w:rPr>
                <w:rFonts w:hint="eastAsia" w:ascii="仿宋" w:hAnsi="仿宋" w:eastAsia="仿宋" w:cs="仿宋"/>
                <w:b/>
                <w:color w:val="auto"/>
                <w:sz w:val="24"/>
                <w:szCs w:val="21"/>
                <w:highlight w:val="none"/>
              </w:rPr>
            </w:pPr>
          </w:p>
        </w:tc>
      </w:tr>
    </w:tbl>
    <w:p>
      <w:pPr>
        <w:adjustRightInd w:val="0"/>
        <w:snapToGrid w:val="0"/>
        <w:spacing w:after="0" w:line="360" w:lineRule="auto"/>
        <w:outlineLvl w:val="2"/>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注：</w:t>
      </w:r>
    </w:p>
    <w:p>
      <w:pPr>
        <w:adjustRightInd w:val="0"/>
        <w:snapToGrid w:val="0"/>
        <w:spacing w:after="0" w:line="360" w:lineRule="auto"/>
        <w:outlineLvl w:val="2"/>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1.报价应是最终用户验收合格后的总价。是投标人响应项目要求的全部采购内容的价格体现，应包括但不限于完成本项目所涉及的人工劳务、货源组织、仓储、运输、配送、搬运及二次搬运、风险、保险、利润、招标代理服务费、验收、税费、售后服务以及国家规定的各项税费等一切费用。</w:t>
      </w:r>
    </w:p>
    <w:p>
      <w:pPr>
        <w:rPr>
          <w:rFonts w:hint="eastAsia"/>
          <w:color w:val="auto"/>
          <w:highlight w:val="none"/>
        </w:rPr>
      </w:pPr>
      <w:r>
        <w:rPr>
          <w:rFonts w:hint="eastAsia" w:ascii="仿宋" w:hAnsi="仿宋" w:eastAsia="仿宋" w:cs="仿宋"/>
          <w:b/>
          <w:color w:val="auto"/>
          <w:szCs w:val="21"/>
          <w:highlight w:val="none"/>
        </w:rPr>
        <w:t>2.以上表格如不能完全表达清楚投标人认为必要的费用明细，投标人可自行补充。</w:t>
      </w:r>
    </w:p>
    <w:p>
      <w:pPr>
        <w:spacing w:after="0" w:line="360" w:lineRule="auto"/>
        <w:ind w:firstLine="480" w:firstLineChars="200"/>
        <w:rPr>
          <w:rFonts w:hint="eastAsia" w:ascii="仿宋" w:hAnsi="仿宋" w:eastAsia="仿宋" w:cs="仿宋"/>
          <w:color w:val="auto"/>
          <w:sz w:val="24"/>
          <w:highlight w:val="none"/>
        </w:rPr>
      </w:pPr>
      <w:bookmarkStart w:id="156" w:name="_Toc217446086"/>
      <w:r>
        <w:rPr>
          <w:rFonts w:hint="eastAsia" w:ascii="仿宋" w:hAnsi="仿宋" w:eastAsia="仿宋" w:cs="仿宋"/>
          <w:color w:val="auto"/>
          <w:sz w:val="24"/>
          <w:highlight w:val="none"/>
        </w:rPr>
        <w:t>投标人名称：XXXX（单位公章）。</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法定代表人/单位负责人或授权代表（签字或加盖个人名章）：XXXX。</w:t>
      </w:r>
    </w:p>
    <w:p>
      <w:pPr>
        <w:spacing w:after="0" w:line="360" w:lineRule="auto"/>
        <w:ind w:firstLine="480" w:firstLineChars="200"/>
        <w:rPr>
          <w:rFonts w:hint="eastAsia" w:ascii="仿宋" w:hAnsi="仿宋" w:eastAsia="仿宋" w:cs="仿宋"/>
          <w:color w:val="auto"/>
          <w:sz w:val="24"/>
          <w:highlight w:val="none"/>
        </w:rPr>
        <w:sectPr>
          <w:headerReference r:id="rId9" w:type="default"/>
          <w:headerReference r:id="rId10" w:type="even"/>
          <w:pgSz w:w="16838" w:h="11906" w:orient="landscape"/>
          <w:pgMar w:top="1800" w:right="1440" w:bottom="1800" w:left="1440" w:header="567" w:footer="992" w:gutter="0"/>
          <w:pgNumType w:fmt="decimal"/>
          <w:cols w:space="720" w:num="1"/>
          <w:docGrid w:type="lines" w:linePitch="312" w:charSpace="0"/>
        </w:sectPr>
      </w:pPr>
      <w:r>
        <w:rPr>
          <w:rFonts w:hint="eastAsia" w:ascii="仿宋" w:hAnsi="仿宋" w:eastAsia="仿宋" w:cs="仿宋"/>
          <w:color w:val="auto"/>
          <w:sz w:val="24"/>
          <w:highlight w:val="none"/>
        </w:rPr>
        <w:t>日期：XXX</w:t>
      </w:r>
    </w:p>
    <w:p>
      <w:pPr>
        <w:spacing w:after="0" w:line="360" w:lineRule="auto"/>
        <w:jc w:val="center"/>
        <w:rPr>
          <w:rStyle w:val="50"/>
          <w:rFonts w:hint="eastAsia" w:ascii="仿宋" w:hAnsi="仿宋" w:eastAsia="仿宋" w:cs="仿宋"/>
          <w:color w:val="auto"/>
          <w:highlight w:val="none"/>
          <w:lang w:val="en-US" w:eastAsia="zh-CN"/>
        </w:rPr>
      </w:pPr>
      <w:r>
        <w:rPr>
          <w:rStyle w:val="50"/>
          <w:rFonts w:hint="eastAsia" w:ascii="仿宋" w:hAnsi="仿宋" w:eastAsia="仿宋" w:cs="仿宋"/>
          <w:color w:val="auto"/>
          <w:highlight w:val="none"/>
          <w:lang w:val="en-US" w:eastAsia="zh-CN"/>
        </w:rPr>
        <w:t>二、分项报价明细表</w:t>
      </w:r>
    </w:p>
    <w:p>
      <w:pPr>
        <w:spacing w:after="0" w:line="360" w:lineRule="auto"/>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rPr>
        <w:t>项目名称：</w:t>
      </w:r>
      <w:r>
        <w:rPr>
          <w:rFonts w:hint="eastAsia" w:ascii="仿宋" w:hAnsi="仿宋" w:eastAsia="仿宋" w:cs="仿宋"/>
          <w:b/>
          <w:bCs w:val="0"/>
          <w:color w:val="auto"/>
          <w:sz w:val="24"/>
          <w:highlight w:val="none"/>
          <w:u w:val="single"/>
        </w:rPr>
        <w:t xml:space="preserve">                  </w:t>
      </w:r>
      <w:r>
        <w:rPr>
          <w:rFonts w:hint="eastAsia" w:ascii="仿宋" w:hAnsi="仿宋" w:eastAsia="仿宋" w:cs="仿宋"/>
          <w:b/>
          <w:bCs w:val="0"/>
          <w:color w:val="auto"/>
          <w:sz w:val="24"/>
          <w:highlight w:val="none"/>
        </w:rPr>
        <w:t xml:space="preserve">     </w:t>
      </w:r>
    </w:p>
    <w:p>
      <w:pPr>
        <w:spacing w:after="0" w:line="360" w:lineRule="auto"/>
        <w:rPr>
          <w:rFonts w:hint="eastAsia" w:ascii="仿宋" w:hAnsi="仿宋" w:eastAsia="仿宋" w:cs="仿宋"/>
          <w:b/>
          <w:bCs w:val="0"/>
          <w:color w:val="auto"/>
          <w:sz w:val="24"/>
          <w:highlight w:val="none"/>
          <w:u w:val="single"/>
        </w:rPr>
      </w:pPr>
      <w:r>
        <w:rPr>
          <w:rFonts w:hint="eastAsia" w:ascii="仿宋" w:hAnsi="仿宋" w:eastAsia="仿宋" w:cs="仿宋"/>
          <w:b/>
          <w:bCs w:val="0"/>
          <w:color w:val="auto"/>
          <w:sz w:val="24"/>
          <w:highlight w:val="none"/>
        </w:rPr>
        <w:t>项目编号：</w:t>
      </w:r>
      <w:r>
        <w:rPr>
          <w:rFonts w:hint="eastAsia" w:ascii="仿宋" w:hAnsi="仿宋" w:eastAsia="仿宋" w:cs="仿宋"/>
          <w:b/>
          <w:bCs w:val="0"/>
          <w:color w:val="auto"/>
          <w:sz w:val="24"/>
          <w:highlight w:val="none"/>
          <w:u w:val="single"/>
        </w:rPr>
        <w:t xml:space="preserve">                   </w:t>
      </w:r>
    </w:p>
    <w:p>
      <w:pPr>
        <w:spacing w:after="0" w:line="360" w:lineRule="auto"/>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rPr>
        <w:t>包</w:t>
      </w:r>
      <w:r>
        <w:rPr>
          <w:rFonts w:hint="eastAsia" w:ascii="仿宋" w:hAnsi="仿宋" w:eastAsia="仿宋" w:cs="仿宋"/>
          <w:b/>
          <w:bCs w:val="0"/>
          <w:color w:val="auto"/>
          <w:sz w:val="24"/>
          <w:highlight w:val="none"/>
          <w:lang w:val="en-US" w:eastAsia="zh-CN"/>
        </w:rPr>
        <w:t xml:space="preserve"> </w:t>
      </w:r>
      <w:r>
        <w:rPr>
          <w:rFonts w:hint="eastAsia" w:ascii="仿宋" w:hAnsi="仿宋" w:eastAsia="仿宋" w:cs="仿宋"/>
          <w:b/>
          <w:bCs w:val="0"/>
          <w:color w:val="auto"/>
          <w:sz w:val="24"/>
          <w:highlight w:val="none"/>
        </w:rPr>
        <w:t>号：</w:t>
      </w:r>
      <w:r>
        <w:rPr>
          <w:rFonts w:hint="eastAsia" w:ascii="仿宋" w:hAnsi="仿宋" w:eastAsia="仿宋" w:cs="仿宋"/>
          <w:b/>
          <w:bCs w:val="0"/>
          <w:color w:val="auto"/>
          <w:sz w:val="24"/>
          <w:highlight w:val="none"/>
          <w:u w:val="single"/>
        </w:rPr>
        <w:t xml:space="preserve">   </w:t>
      </w:r>
      <w:r>
        <w:rPr>
          <w:rFonts w:hint="eastAsia" w:ascii="仿宋" w:hAnsi="仿宋" w:eastAsia="仿宋" w:cs="仿宋"/>
          <w:b/>
          <w:bCs w:val="0"/>
          <w:color w:val="auto"/>
          <w:sz w:val="24"/>
          <w:highlight w:val="none"/>
        </w:rPr>
        <w:t xml:space="preserve"> </w:t>
      </w:r>
    </w:p>
    <w:tbl>
      <w:tblPr>
        <w:tblStyle w:val="34"/>
        <w:tblpPr w:leftFromText="180" w:rightFromText="180" w:vertAnchor="text" w:horzAnchor="margin" w:tblpXSpec="center" w:tblpY="123"/>
        <w:tblW w:w="141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3457"/>
        <w:gridCol w:w="1794"/>
        <w:gridCol w:w="992"/>
        <w:gridCol w:w="1559"/>
        <w:gridCol w:w="1606"/>
        <w:gridCol w:w="1371"/>
        <w:gridCol w:w="183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811" w:type="dxa"/>
            <w:noWrap w:val="0"/>
            <w:vAlign w:val="center"/>
          </w:tcPr>
          <w:p>
            <w:pPr>
              <w:adjustRightInd w:val="0"/>
              <w:snapToGrid w:val="0"/>
              <w:spacing w:after="0" w:line="360" w:lineRule="auto"/>
              <w:jc w:val="center"/>
              <w:rPr>
                <w:rFonts w:hint="eastAsia" w:ascii="仿宋" w:hAnsi="仿宋" w:eastAsia="仿宋" w:cs="仿宋"/>
                <w:b/>
                <w:color w:val="auto"/>
                <w:sz w:val="22"/>
                <w:szCs w:val="20"/>
                <w:highlight w:val="none"/>
              </w:rPr>
            </w:pPr>
            <w:r>
              <w:rPr>
                <w:rFonts w:hint="eastAsia" w:ascii="仿宋" w:hAnsi="仿宋" w:eastAsia="仿宋" w:cs="仿宋"/>
                <w:b/>
                <w:color w:val="auto"/>
                <w:sz w:val="22"/>
                <w:szCs w:val="20"/>
                <w:highlight w:val="none"/>
              </w:rPr>
              <w:t>序号</w:t>
            </w:r>
          </w:p>
        </w:tc>
        <w:tc>
          <w:tcPr>
            <w:tcW w:w="3457" w:type="dxa"/>
            <w:noWrap w:val="0"/>
            <w:vAlign w:val="center"/>
          </w:tcPr>
          <w:p>
            <w:pPr>
              <w:adjustRightInd w:val="0"/>
              <w:snapToGrid w:val="0"/>
              <w:spacing w:after="0" w:line="360" w:lineRule="auto"/>
              <w:jc w:val="center"/>
              <w:rPr>
                <w:rFonts w:hint="eastAsia" w:ascii="仿宋" w:hAnsi="仿宋" w:eastAsia="仿宋" w:cs="仿宋"/>
                <w:b/>
                <w:color w:val="auto"/>
                <w:sz w:val="22"/>
                <w:szCs w:val="20"/>
                <w:highlight w:val="none"/>
              </w:rPr>
            </w:pPr>
            <w:r>
              <w:rPr>
                <w:rFonts w:hint="eastAsia" w:ascii="仿宋" w:hAnsi="仿宋" w:eastAsia="仿宋" w:cs="仿宋"/>
                <w:b/>
                <w:color w:val="auto"/>
                <w:sz w:val="22"/>
                <w:szCs w:val="20"/>
                <w:highlight w:val="none"/>
              </w:rPr>
              <w:t>产品名称</w:t>
            </w:r>
          </w:p>
        </w:tc>
        <w:tc>
          <w:tcPr>
            <w:tcW w:w="1794" w:type="dxa"/>
            <w:noWrap w:val="0"/>
            <w:vAlign w:val="center"/>
          </w:tcPr>
          <w:p>
            <w:pPr>
              <w:adjustRightInd w:val="0"/>
              <w:snapToGrid w:val="0"/>
              <w:spacing w:after="0" w:line="360" w:lineRule="auto"/>
              <w:jc w:val="center"/>
              <w:rPr>
                <w:rFonts w:hint="eastAsia" w:ascii="仿宋" w:hAnsi="仿宋" w:eastAsia="仿宋" w:cs="仿宋"/>
                <w:b/>
                <w:color w:val="auto"/>
                <w:sz w:val="22"/>
                <w:szCs w:val="20"/>
                <w:highlight w:val="none"/>
              </w:rPr>
            </w:pPr>
            <w:r>
              <w:rPr>
                <w:rFonts w:hint="eastAsia" w:ascii="仿宋" w:hAnsi="仿宋" w:eastAsia="仿宋" w:cs="仿宋"/>
                <w:b/>
                <w:color w:val="auto"/>
                <w:sz w:val="22"/>
                <w:szCs w:val="20"/>
                <w:highlight w:val="none"/>
              </w:rPr>
              <w:t>制造商家及规格型号</w:t>
            </w:r>
          </w:p>
        </w:tc>
        <w:tc>
          <w:tcPr>
            <w:tcW w:w="992" w:type="dxa"/>
            <w:noWrap w:val="0"/>
            <w:vAlign w:val="center"/>
          </w:tcPr>
          <w:p>
            <w:pPr>
              <w:adjustRightInd w:val="0"/>
              <w:snapToGrid w:val="0"/>
              <w:spacing w:after="0" w:line="360" w:lineRule="auto"/>
              <w:jc w:val="center"/>
              <w:rPr>
                <w:rFonts w:hint="eastAsia" w:ascii="仿宋" w:hAnsi="仿宋" w:eastAsia="仿宋" w:cs="仿宋"/>
                <w:b/>
                <w:color w:val="auto"/>
                <w:sz w:val="22"/>
                <w:szCs w:val="20"/>
                <w:highlight w:val="none"/>
                <w:lang w:eastAsia="zh-CN"/>
              </w:rPr>
            </w:pPr>
            <w:r>
              <w:rPr>
                <w:rFonts w:hint="eastAsia" w:ascii="仿宋" w:hAnsi="仿宋" w:eastAsia="仿宋" w:cs="仿宋"/>
                <w:b/>
                <w:color w:val="auto"/>
                <w:sz w:val="22"/>
                <w:szCs w:val="20"/>
                <w:highlight w:val="none"/>
                <w:lang w:val="en-US" w:eastAsia="zh-CN"/>
              </w:rPr>
              <w:t>品牌</w:t>
            </w:r>
          </w:p>
        </w:tc>
        <w:tc>
          <w:tcPr>
            <w:tcW w:w="1559" w:type="dxa"/>
            <w:noWrap w:val="0"/>
            <w:vAlign w:val="center"/>
          </w:tcPr>
          <w:p>
            <w:pPr>
              <w:adjustRightInd w:val="0"/>
              <w:snapToGrid w:val="0"/>
              <w:spacing w:after="0" w:line="360" w:lineRule="auto"/>
              <w:jc w:val="center"/>
              <w:rPr>
                <w:rFonts w:hint="eastAsia" w:ascii="仿宋" w:hAnsi="仿宋" w:eastAsia="仿宋" w:cs="仿宋"/>
                <w:b/>
                <w:color w:val="auto"/>
                <w:sz w:val="22"/>
                <w:szCs w:val="20"/>
                <w:highlight w:val="none"/>
              </w:rPr>
            </w:pPr>
            <w:r>
              <w:rPr>
                <w:rFonts w:hint="eastAsia" w:ascii="仿宋" w:hAnsi="仿宋" w:eastAsia="仿宋" w:cs="仿宋"/>
                <w:b/>
                <w:color w:val="auto"/>
                <w:sz w:val="22"/>
                <w:szCs w:val="20"/>
                <w:highlight w:val="none"/>
              </w:rPr>
              <w:t>单位</w:t>
            </w:r>
          </w:p>
        </w:tc>
        <w:tc>
          <w:tcPr>
            <w:tcW w:w="1606" w:type="dxa"/>
            <w:noWrap w:val="0"/>
            <w:vAlign w:val="center"/>
          </w:tcPr>
          <w:p>
            <w:pPr>
              <w:adjustRightInd w:val="0"/>
              <w:snapToGrid w:val="0"/>
              <w:spacing w:after="0" w:line="360" w:lineRule="auto"/>
              <w:jc w:val="center"/>
              <w:rPr>
                <w:rFonts w:hint="eastAsia" w:ascii="仿宋" w:hAnsi="仿宋" w:eastAsia="仿宋" w:cs="仿宋"/>
                <w:b/>
                <w:color w:val="auto"/>
                <w:sz w:val="22"/>
                <w:szCs w:val="20"/>
                <w:highlight w:val="none"/>
              </w:rPr>
            </w:pPr>
            <w:r>
              <w:rPr>
                <w:rFonts w:hint="eastAsia" w:ascii="仿宋" w:hAnsi="仿宋" w:eastAsia="仿宋" w:cs="仿宋"/>
                <w:b/>
                <w:color w:val="auto"/>
                <w:sz w:val="22"/>
                <w:szCs w:val="20"/>
                <w:highlight w:val="none"/>
              </w:rPr>
              <w:t>数量</w:t>
            </w:r>
          </w:p>
        </w:tc>
        <w:tc>
          <w:tcPr>
            <w:tcW w:w="1371" w:type="dxa"/>
            <w:noWrap w:val="0"/>
            <w:vAlign w:val="center"/>
          </w:tcPr>
          <w:p>
            <w:pPr>
              <w:adjustRightInd w:val="0"/>
              <w:snapToGrid w:val="0"/>
              <w:spacing w:after="0" w:line="360" w:lineRule="auto"/>
              <w:jc w:val="center"/>
              <w:rPr>
                <w:rFonts w:hint="eastAsia" w:ascii="仿宋" w:hAnsi="仿宋" w:eastAsia="仿宋" w:cs="仿宋"/>
                <w:b/>
                <w:color w:val="auto"/>
                <w:sz w:val="22"/>
                <w:szCs w:val="20"/>
                <w:highlight w:val="none"/>
              </w:rPr>
            </w:pPr>
            <w:r>
              <w:rPr>
                <w:rFonts w:hint="eastAsia" w:ascii="仿宋" w:hAnsi="仿宋" w:eastAsia="仿宋" w:cs="仿宋"/>
                <w:b/>
                <w:color w:val="auto"/>
                <w:sz w:val="22"/>
                <w:szCs w:val="20"/>
                <w:highlight w:val="none"/>
              </w:rPr>
              <w:t>投标单价</w:t>
            </w:r>
          </w:p>
          <w:p>
            <w:pPr>
              <w:adjustRightInd w:val="0"/>
              <w:snapToGrid w:val="0"/>
              <w:spacing w:after="0" w:line="360" w:lineRule="auto"/>
              <w:jc w:val="center"/>
              <w:rPr>
                <w:rFonts w:hint="eastAsia" w:ascii="仿宋" w:hAnsi="仿宋" w:eastAsia="仿宋" w:cs="仿宋"/>
                <w:b/>
                <w:color w:val="auto"/>
                <w:sz w:val="22"/>
                <w:szCs w:val="20"/>
                <w:highlight w:val="none"/>
              </w:rPr>
            </w:pPr>
            <w:r>
              <w:rPr>
                <w:rFonts w:hint="eastAsia" w:ascii="仿宋" w:hAnsi="仿宋" w:eastAsia="仿宋" w:cs="仿宋"/>
                <w:b/>
                <w:color w:val="auto"/>
                <w:sz w:val="22"/>
                <w:szCs w:val="20"/>
                <w:highlight w:val="none"/>
              </w:rPr>
              <w:t>（元）</w:t>
            </w:r>
          </w:p>
        </w:tc>
        <w:tc>
          <w:tcPr>
            <w:tcW w:w="1838" w:type="dxa"/>
            <w:noWrap w:val="0"/>
            <w:vAlign w:val="center"/>
          </w:tcPr>
          <w:p>
            <w:pPr>
              <w:adjustRightInd w:val="0"/>
              <w:snapToGrid w:val="0"/>
              <w:spacing w:after="0" w:line="360" w:lineRule="auto"/>
              <w:jc w:val="center"/>
              <w:rPr>
                <w:rFonts w:hint="eastAsia" w:ascii="仿宋" w:hAnsi="仿宋" w:eastAsia="仿宋" w:cs="仿宋"/>
                <w:b/>
                <w:color w:val="auto"/>
                <w:sz w:val="22"/>
                <w:szCs w:val="20"/>
                <w:highlight w:val="none"/>
              </w:rPr>
            </w:pPr>
            <w:r>
              <w:rPr>
                <w:rFonts w:hint="eastAsia" w:ascii="仿宋" w:hAnsi="仿宋" w:eastAsia="仿宋" w:cs="仿宋"/>
                <w:b/>
                <w:color w:val="auto"/>
                <w:sz w:val="22"/>
                <w:szCs w:val="20"/>
                <w:highlight w:val="none"/>
              </w:rPr>
              <w:t>投标报价</w:t>
            </w:r>
          </w:p>
          <w:p>
            <w:pPr>
              <w:adjustRightInd w:val="0"/>
              <w:snapToGrid w:val="0"/>
              <w:spacing w:after="0" w:line="360" w:lineRule="auto"/>
              <w:jc w:val="center"/>
              <w:rPr>
                <w:rFonts w:hint="eastAsia" w:ascii="仿宋" w:hAnsi="仿宋" w:eastAsia="仿宋" w:cs="仿宋"/>
                <w:b/>
                <w:color w:val="auto"/>
                <w:sz w:val="22"/>
                <w:szCs w:val="20"/>
                <w:highlight w:val="none"/>
                <w:lang w:val="en-US" w:eastAsia="zh-CN"/>
              </w:rPr>
            </w:pPr>
            <w:r>
              <w:rPr>
                <w:rFonts w:hint="eastAsia" w:ascii="仿宋" w:hAnsi="仿宋" w:eastAsia="仿宋" w:cs="仿宋"/>
                <w:b/>
                <w:color w:val="auto"/>
                <w:sz w:val="22"/>
                <w:szCs w:val="20"/>
                <w:highlight w:val="none"/>
              </w:rPr>
              <w:t>（元）</w:t>
            </w:r>
          </w:p>
        </w:tc>
        <w:tc>
          <w:tcPr>
            <w:tcW w:w="708" w:type="dxa"/>
            <w:noWrap w:val="0"/>
            <w:vAlign w:val="center"/>
          </w:tcPr>
          <w:p>
            <w:pPr>
              <w:adjustRightInd w:val="0"/>
              <w:snapToGrid w:val="0"/>
              <w:spacing w:after="0" w:line="360" w:lineRule="auto"/>
              <w:jc w:val="center"/>
              <w:rPr>
                <w:rFonts w:hint="eastAsia" w:ascii="仿宋" w:hAnsi="仿宋" w:eastAsia="仿宋" w:cs="仿宋"/>
                <w:b/>
                <w:color w:val="auto"/>
                <w:sz w:val="22"/>
                <w:szCs w:val="20"/>
                <w:highlight w:val="none"/>
              </w:rPr>
            </w:pPr>
            <w:r>
              <w:rPr>
                <w:rFonts w:hint="eastAsia" w:ascii="仿宋" w:hAnsi="仿宋" w:eastAsia="仿宋" w:cs="仿宋"/>
                <w:b/>
                <w:color w:val="auto"/>
                <w:sz w:val="22"/>
                <w:szCs w:val="20"/>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811" w:type="dxa"/>
            <w:noWrap w:val="0"/>
            <w:vAlign w:val="center"/>
          </w:tcPr>
          <w:p>
            <w:pPr>
              <w:widowControl/>
              <w:spacing w:after="0" w:line="360" w:lineRule="auto"/>
              <w:jc w:val="center"/>
              <w:textAlignment w:val="center"/>
              <w:rPr>
                <w:rFonts w:hint="eastAsia" w:ascii="仿宋" w:hAnsi="仿宋" w:eastAsia="仿宋" w:cs="仿宋"/>
                <w:b/>
                <w:bCs/>
                <w:color w:val="auto"/>
                <w:sz w:val="24"/>
                <w:szCs w:val="21"/>
                <w:highlight w:val="none"/>
              </w:rPr>
            </w:pPr>
            <w:r>
              <w:rPr>
                <w:rFonts w:hint="eastAsia" w:ascii="仿宋" w:hAnsi="仿宋" w:eastAsia="仿宋" w:cs="仿宋"/>
                <w:b/>
                <w:bCs/>
                <w:color w:val="auto"/>
                <w:kern w:val="0"/>
                <w:szCs w:val="21"/>
                <w:highlight w:val="none"/>
              </w:rPr>
              <w:t>1</w:t>
            </w:r>
          </w:p>
        </w:tc>
        <w:tc>
          <w:tcPr>
            <w:tcW w:w="3457" w:type="dxa"/>
            <w:noWrap w:val="0"/>
            <w:vAlign w:val="center"/>
          </w:tcPr>
          <w:p>
            <w:pPr>
              <w:widowControl/>
              <w:spacing w:line="360" w:lineRule="auto"/>
              <w:jc w:val="center"/>
              <w:textAlignment w:val="center"/>
              <w:rPr>
                <w:rFonts w:hint="eastAsia" w:ascii="仿宋" w:hAnsi="仿宋" w:eastAsia="仿宋" w:cs="仿宋"/>
                <w:b/>
                <w:bCs/>
                <w:color w:val="auto"/>
                <w:sz w:val="24"/>
                <w:szCs w:val="21"/>
                <w:highlight w:val="none"/>
              </w:rPr>
            </w:pPr>
          </w:p>
        </w:tc>
        <w:tc>
          <w:tcPr>
            <w:tcW w:w="1794" w:type="dxa"/>
            <w:noWrap w:val="0"/>
            <w:vAlign w:val="center"/>
          </w:tcPr>
          <w:p>
            <w:pPr>
              <w:adjustRightInd w:val="0"/>
              <w:snapToGrid w:val="0"/>
              <w:spacing w:after="0" w:line="360" w:lineRule="auto"/>
              <w:jc w:val="center"/>
              <w:rPr>
                <w:rFonts w:hint="eastAsia" w:ascii="仿宋" w:hAnsi="仿宋" w:eastAsia="仿宋" w:cs="仿宋"/>
                <w:b/>
                <w:color w:val="auto"/>
                <w:sz w:val="24"/>
                <w:szCs w:val="21"/>
                <w:highlight w:val="none"/>
              </w:rPr>
            </w:pPr>
          </w:p>
        </w:tc>
        <w:tc>
          <w:tcPr>
            <w:tcW w:w="992" w:type="dxa"/>
            <w:noWrap w:val="0"/>
            <w:vAlign w:val="center"/>
          </w:tcPr>
          <w:p>
            <w:pPr>
              <w:adjustRightInd w:val="0"/>
              <w:snapToGrid w:val="0"/>
              <w:spacing w:after="0" w:line="360" w:lineRule="auto"/>
              <w:jc w:val="center"/>
              <w:rPr>
                <w:rFonts w:hint="eastAsia" w:ascii="仿宋" w:hAnsi="仿宋" w:eastAsia="仿宋" w:cs="仿宋"/>
                <w:b/>
                <w:color w:val="auto"/>
                <w:sz w:val="24"/>
                <w:szCs w:val="21"/>
                <w:highlight w:val="none"/>
              </w:rPr>
            </w:pPr>
          </w:p>
        </w:tc>
        <w:tc>
          <w:tcPr>
            <w:tcW w:w="1559" w:type="dxa"/>
            <w:noWrap w:val="0"/>
            <w:vAlign w:val="center"/>
          </w:tcPr>
          <w:p>
            <w:pPr>
              <w:adjustRightInd w:val="0"/>
              <w:snapToGrid w:val="0"/>
              <w:spacing w:after="0" w:line="360" w:lineRule="auto"/>
              <w:jc w:val="center"/>
              <w:rPr>
                <w:rFonts w:hint="eastAsia" w:ascii="仿宋" w:hAnsi="仿宋" w:eastAsia="仿宋" w:cs="仿宋"/>
                <w:b/>
                <w:color w:val="auto"/>
                <w:sz w:val="24"/>
                <w:szCs w:val="21"/>
                <w:highlight w:val="none"/>
              </w:rPr>
            </w:pPr>
          </w:p>
        </w:tc>
        <w:tc>
          <w:tcPr>
            <w:tcW w:w="1606" w:type="dxa"/>
            <w:noWrap w:val="0"/>
            <w:vAlign w:val="center"/>
          </w:tcPr>
          <w:p>
            <w:pPr>
              <w:adjustRightInd w:val="0"/>
              <w:snapToGrid w:val="0"/>
              <w:spacing w:after="0" w:line="360" w:lineRule="auto"/>
              <w:jc w:val="center"/>
              <w:rPr>
                <w:rFonts w:hint="eastAsia" w:ascii="仿宋" w:hAnsi="仿宋" w:eastAsia="仿宋" w:cs="仿宋"/>
                <w:b/>
                <w:color w:val="auto"/>
                <w:sz w:val="24"/>
                <w:szCs w:val="21"/>
                <w:highlight w:val="none"/>
              </w:rPr>
            </w:pPr>
          </w:p>
        </w:tc>
        <w:tc>
          <w:tcPr>
            <w:tcW w:w="1371" w:type="dxa"/>
            <w:noWrap w:val="0"/>
            <w:vAlign w:val="center"/>
          </w:tcPr>
          <w:p>
            <w:pPr>
              <w:adjustRightInd w:val="0"/>
              <w:snapToGrid w:val="0"/>
              <w:spacing w:after="0" w:line="360" w:lineRule="auto"/>
              <w:jc w:val="center"/>
              <w:rPr>
                <w:rFonts w:hint="eastAsia" w:ascii="仿宋" w:hAnsi="仿宋" w:eastAsia="仿宋" w:cs="仿宋"/>
                <w:b/>
                <w:color w:val="auto"/>
                <w:sz w:val="24"/>
                <w:szCs w:val="21"/>
                <w:highlight w:val="none"/>
              </w:rPr>
            </w:pPr>
          </w:p>
        </w:tc>
        <w:tc>
          <w:tcPr>
            <w:tcW w:w="1838" w:type="dxa"/>
            <w:noWrap w:val="0"/>
            <w:vAlign w:val="center"/>
          </w:tcPr>
          <w:p>
            <w:pPr>
              <w:adjustRightInd w:val="0"/>
              <w:snapToGrid w:val="0"/>
              <w:spacing w:after="0" w:line="360" w:lineRule="auto"/>
              <w:jc w:val="center"/>
              <w:rPr>
                <w:rFonts w:hint="eastAsia" w:ascii="仿宋" w:hAnsi="仿宋" w:eastAsia="仿宋" w:cs="仿宋"/>
                <w:b/>
                <w:color w:val="auto"/>
                <w:sz w:val="24"/>
                <w:szCs w:val="21"/>
                <w:highlight w:val="none"/>
              </w:rPr>
            </w:pPr>
          </w:p>
        </w:tc>
        <w:tc>
          <w:tcPr>
            <w:tcW w:w="708" w:type="dxa"/>
            <w:noWrap w:val="0"/>
            <w:vAlign w:val="center"/>
          </w:tcPr>
          <w:p>
            <w:pPr>
              <w:adjustRightInd w:val="0"/>
              <w:snapToGrid w:val="0"/>
              <w:spacing w:after="0" w:line="360" w:lineRule="auto"/>
              <w:jc w:val="center"/>
              <w:rPr>
                <w:rFonts w:hint="eastAsia" w:ascii="仿宋" w:hAnsi="仿宋" w:eastAsia="仿宋" w:cs="仿宋"/>
                <w:b/>
                <w:color w:val="auto"/>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811" w:type="dxa"/>
            <w:noWrap w:val="0"/>
            <w:vAlign w:val="center"/>
          </w:tcPr>
          <w:p>
            <w:pPr>
              <w:widowControl/>
              <w:spacing w:after="0" w:line="360" w:lineRule="auto"/>
              <w:jc w:val="center"/>
              <w:textAlignment w:val="center"/>
              <w:rPr>
                <w:rFonts w:hint="eastAsia" w:ascii="仿宋" w:hAnsi="仿宋" w:eastAsia="仿宋" w:cs="仿宋"/>
                <w:b/>
                <w:bCs/>
                <w:color w:val="auto"/>
                <w:sz w:val="24"/>
                <w:szCs w:val="21"/>
                <w:highlight w:val="none"/>
              </w:rPr>
            </w:pPr>
            <w:r>
              <w:rPr>
                <w:rFonts w:hint="eastAsia" w:ascii="仿宋" w:hAnsi="仿宋" w:eastAsia="仿宋" w:cs="仿宋"/>
                <w:b/>
                <w:bCs/>
                <w:color w:val="auto"/>
                <w:kern w:val="0"/>
                <w:szCs w:val="21"/>
                <w:highlight w:val="none"/>
              </w:rPr>
              <w:t>2</w:t>
            </w:r>
          </w:p>
        </w:tc>
        <w:tc>
          <w:tcPr>
            <w:tcW w:w="3457" w:type="dxa"/>
            <w:noWrap w:val="0"/>
            <w:vAlign w:val="center"/>
          </w:tcPr>
          <w:p>
            <w:pPr>
              <w:widowControl/>
              <w:spacing w:line="360" w:lineRule="auto"/>
              <w:jc w:val="center"/>
              <w:textAlignment w:val="center"/>
              <w:rPr>
                <w:rFonts w:hint="eastAsia" w:ascii="仿宋" w:hAnsi="仿宋" w:eastAsia="仿宋" w:cs="仿宋"/>
                <w:b/>
                <w:bCs/>
                <w:color w:val="auto"/>
                <w:sz w:val="24"/>
                <w:szCs w:val="21"/>
                <w:highlight w:val="none"/>
              </w:rPr>
            </w:pPr>
          </w:p>
        </w:tc>
        <w:tc>
          <w:tcPr>
            <w:tcW w:w="1794" w:type="dxa"/>
            <w:noWrap w:val="0"/>
            <w:vAlign w:val="center"/>
          </w:tcPr>
          <w:p>
            <w:pPr>
              <w:adjustRightInd w:val="0"/>
              <w:snapToGrid w:val="0"/>
              <w:spacing w:after="0" w:line="360" w:lineRule="auto"/>
              <w:jc w:val="center"/>
              <w:rPr>
                <w:rFonts w:hint="eastAsia" w:ascii="仿宋" w:hAnsi="仿宋" w:eastAsia="仿宋" w:cs="仿宋"/>
                <w:b/>
                <w:color w:val="auto"/>
                <w:sz w:val="24"/>
                <w:szCs w:val="21"/>
                <w:highlight w:val="none"/>
              </w:rPr>
            </w:pPr>
          </w:p>
        </w:tc>
        <w:tc>
          <w:tcPr>
            <w:tcW w:w="992" w:type="dxa"/>
            <w:noWrap w:val="0"/>
            <w:vAlign w:val="center"/>
          </w:tcPr>
          <w:p>
            <w:pPr>
              <w:adjustRightInd w:val="0"/>
              <w:snapToGrid w:val="0"/>
              <w:spacing w:after="0" w:line="360" w:lineRule="auto"/>
              <w:jc w:val="center"/>
              <w:rPr>
                <w:rFonts w:hint="eastAsia" w:ascii="仿宋" w:hAnsi="仿宋" w:eastAsia="仿宋" w:cs="仿宋"/>
                <w:b/>
                <w:color w:val="auto"/>
                <w:sz w:val="24"/>
                <w:szCs w:val="21"/>
                <w:highlight w:val="none"/>
              </w:rPr>
            </w:pPr>
          </w:p>
        </w:tc>
        <w:tc>
          <w:tcPr>
            <w:tcW w:w="1559" w:type="dxa"/>
            <w:noWrap w:val="0"/>
            <w:vAlign w:val="center"/>
          </w:tcPr>
          <w:p>
            <w:pPr>
              <w:adjustRightInd w:val="0"/>
              <w:snapToGrid w:val="0"/>
              <w:spacing w:after="0" w:line="360" w:lineRule="auto"/>
              <w:jc w:val="center"/>
              <w:rPr>
                <w:rFonts w:hint="eastAsia" w:ascii="仿宋" w:hAnsi="仿宋" w:eastAsia="仿宋" w:cs="仿宋"/>
                <w:b/>
                <w:color w:val="auto"/>
                <w:sz w:val="24"/>
                <w:szCs w:val="21"/>
                <w:highlight w:val="none"/>
              </w:rPr>
            </w:pPr>
          </w:p>
        </w:tc>
        <w:tc>
          <w:tcPr>
            <w:tcW w:w="1606" w:type="dxa"/>
            <w:noWrap w:val="0"/>
            <w:vAlign w:val="center"/>
          </w:tcPr>
          <w:p>
            <w:pPr>
              <w:adjustRightInd w:val="0"/>
              <w:snapToGrid w:val="0"/>
              <w:spacing w:after="0" w:line="360" w:lineRule="auto"/>
              <w:jc w:val="center"/>
              <w:rPr>
                <w:rFonts w:hint="eastAsia" w:ascii="仿宋" w:hAnsi="仿宋" w:eastAsia="仿宋" w:cs="仿宋"/>
                <w:b/>
                <w:color w:val="auto"/>
                <w:sz w:val="24"/>
                <w:szCs w:val="21"/>
                <w:highlight w:val="none"/>
              </w:rPr>
            </w:pPr>
          </w:p>
        </w:tc>
        <w:tc>
          <w:tcPr>
            <w:tcW w:w="1371" w:type="dxa"/>
            <w:noWrap w:val="0"/>
            <w:vAlign w:val="center"/>
          </w:tcPr>
          <w:p>
            <w:pPr>
              <w:adjustRightInd w:val="0"/>
              <w:snapToGrid w:val="0"/>
              <w:spacing w:after="0" w:line="360" w:lineRule="auto"/>
              <w:jc w:val="center"/>
              <w:rPr>
                <w:rFonts w:hint="eastAsia" w:ascii="仿宋" w:hAnsi="仿宋" w:eastAsia="仿宋" w:cs="仿宋"/>
                <w:b/>
                <w:color w:val="auto"/>
                <w:sz w:val="24"/>
                <w:szCs w:val="21"/>
                <w:highlight w:val="none"/>
              </w:rPr>
            </w:pPr>
          </w:p>
        </w:tc>
        <w:tc>
          <w:tcPr>
            <w:tcW w:w="1838" w:type="dxa"/>
            <w:noWrap w:val="0"/>
            <w:vAlign w:val="center"/>
          </w:tcPr>
          <w:p>
            <w:pPr>
              <w:adjustRightInd w:val="0"/>
              <w:snapToGrid w:val="0"/>
              <w:spacing w:after="0" w:line="360" w:lineRule="auto"/>
              <w:jc w:val="center"/>
              <w:rPr>
                <w:rFonts w:hint="eastAsia" w:ascii="仿宋" w:hAnsi="仿宋" w:eastAsia="仿宋" w:cs="仿宋"/>
                <w:b/>
                <w:color w:val="auto"/>
                <w:sz w:val="24"/>
                <w:szCs w:val="21"/>
                <w:highlight w:val="none"/>
              </w:rPr>
            </w:pPr>
          </w:p>
        </w:tc>
        <w:tc>
          <w:tcPr>
            <w:tcW w:w="708" w:type="dxa"/>
            <w:noWrap w:val="0"/>
            <w:vAlign w:val="center"/>
          </w:tcPr>
          <w:p>
            <w:pPr>
              <w:adjustRightInd w:val="0"/>
              <w:snapToGrid w:val="0"/>
              <w:spacing w:after="0" w:line="360" w:lineRule="auto"/>
              <w:jc w:val="center"/>
              <w:rPr>
                <w:rFonts w:hint="eastAsia" w:ascii="仿宋" w:hAnsi="仿宋" w:eastAsia="仿宋" w:cs="仿宋"/>
                <w:b/>
                <w:color w:val="auto"/>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811" w:type="dxa"/>
            <w:noWrap w:val="0"/>
            <w:vAlign w:val="center"/>
          </w:tcPr>
          <w:p>
            <w:pPr>
              <w:widowControl/>
              <w:spacing w:after="0" w:line="360" w:lineRule="auto"/>
              <w:jc w:val="center"/>
              <w:textAlignment w:val="center"/>
              <w:rPr>
                <w:rFonts w:hint="eastAsia" w:ascii="仿宋" w:hAnsi="仿宋" w:eastAsia="仿宋" w:cs="仿宋"/>
                <w:b/>
                <w:bCs/>
                <w:color w:val="auto"/>
                <w:sz w:val="24"/>
                <w:szCs w:val="21"/>
                <w:highlight w:val="none"/>
              </w:rPr>
            </w:pPr>
            <w:r>
              <w:rPr>
                <w:rFonts w:hint="eastAsia" w:ascii="仿宋" w:hAnsi="仿宋" w:eastAsia="仿宋" w:cs="仿宋"/>
                <w:b/>
                <w:bCs/>
                <w:color w:val="auto"/>
                <w:kern w:val="0"/>
                <w:szCs w:val="21"/>
                <w:highlight w:val="none"/>
              </w:rPr>
              <w:t>...</w:t>
            </w:r>
          </w:p>
        </w:tc>
        <w:tc>
          <w:tcPr>
            <w:tcW w:w="3457" w:type="dxa"/>
            <w:noWrap w:val="0"/>
            <w:vAlign w:val="center"/>
          </w:tcPr>
          <w:p>
            <w:pPr>
              <w:widowControl/>
              <w:spacing w:line="360" w:lineRule="auto"/>
              <w:jc w:val="center"/>
              <w:textAlignment w:val="center"/>
              <w:rPr>
                <w:rFonts w:hint="eastAsia" w:ascii="仿宋" w:hAnsi="仿宋" w:eastAsia="仿宋" w:cs="仿宋"/>
                <w:b/>
                <w:bCs/>
                <w:color w:val="auto"/>
                <w:sz w:val="24"/>
                <w:szCs w:val="21"/>
                <w:highlight w:val="none"/>
              </w:rPr>
            </w:pPr>
            <w:r>
              <w:rPr>
                <w:rFonts w:hint="eastAsia" w:ascii="仿宋" w:hAnsi="仿宋" w:eastAsia="仿宋" w:cs="仿宋"/>
                <w:b/>
                <w:bCs/>
                <w:color w:val="auto"/>
                <w:sz w:val="24"/>
                <w:szCs w:val="21"/>
                <w:highlight w:val="none"/>
              </w:rPr>
              <w:t>....</w:t>
            </w:r>
          </w:p>
        </w:tc>
        <w:tc>
          <w:tcPr>
            <w:tcW w:w="1794" w:type="dxa"/>
            <w:noWrap w:val="0"/>
            <w:vAlign w:val="center"/>
          </w:tcPr>
          <w:p>
            <w:pPr>
              <w:adjustRightInd w:val="0"/>
              <w:snapToGrid w:val="0"/>
              <w:spacing w:after="0" w:line="360" w:lineRule="auto"/>
              <w:jc w:val="center"/>
              <w:rPr>
                <w:rFonts w:hint="eastAsia" w:ascii="仿宋" w:hAnsi="仿宋" w:eastAsia="仿宋" w:cs="仿宋"/>
                <w:b/>
                <w:color w:val="auto"/>
                <w:sz w:val="24"/>
                <w:szCs w:val="21"/>
                <w:highlight w:val="none"/>
              </w:rPr>
            </w:pPr>
          </w:p>
        </w:tc>
        <w:tc>
          <w:tcPr>
            <w:tcW w:w="992" w:type="dxa"/>
            <w:noWrap w:val="0"/>
            <w:vAlign w:val="center"/>
          </w:tcPr>
          <w:p>
            <w:pPr>
              <w:adjustRightInd w:val="0"/>
              <w:snapToGrid w:val="0"/>
              <w:spacing w:after="0" w:line="360" w:lineRule="auto"/>
              <w:jc w:val="center"/>
              <w:rPr>
                <w:rFonts w:hint="eastAsia" w:ascii="仿宋" w:hAnsi="仿宋" w:eastAsia="仿宋" w:cs="仿宋"/>
                <w:b/>
                <w:color w:val="auto"/>
                <w:sz w:val="24"/>
                <w:szCs w:val="21"/>
                <w:highlight w:val="none"/>
              </w:rPr>
            </w:pPr>
          </w:p>
        </w:tc>
        <w:tc>
          <w:tcPr>
            <w:tcW w:w="1559" w:type="dxa"/>
            <w:noWrap w:val="0"/>
            <w:vAlign w:val="center"/>
          </w:tcPr>
          <w:p>
            <w:pPr>
              <w:adjustRightInd w:val="0"/>
              <w:snapToGrid w:val="0"/>
              <w:spacing w:after="0" w:line="360" w:lineRule="auto"/>
              <w:jc w:val="center"/>
              <w:rPr>
                <w:rFonts w:hint="eastAsia" w:ascii="仿宋" w:hAnsi="仿宋" w:eastAsia="仿宋" w:cs="仿宋"/>
                <w:b/>
                <w:color w:val="auto"/>
                <w:sz w:val="24"/>
                <w:szCs w:val="21"/>
                <w:highlight w:val="none"/>
              </w:rPr>
            </w:pPr>
          </w:p>
        </w:tc>
        <w:tc>
          <w:tcPr>
            <w:tcW w:w="1606" w:type="dxa"/>
            <w:noWrap w:val="0"/>
            <w:vAlign w:val="center"/>
          </w:tcPr>
          <w:p>
            <w:pPr>
              <w:adjustRightInd w:val="0"/>
              <w:snapToGrid w:val="0"/>
              <w:spacing w:after="0" w:line="360" w:lineRule="auto"/>
              <w:jc w:val="center"/>
              <w:rPr>
                <w:rFonts w:hint="eastAsia" w:ascii="仿宋" w:hAnsi="仿宋" w:eastAsia="仿宋" w:cs="仿宋"/>
                <w:b/>
                <w:color w:val="auto"/>
                <w:sz w:val="24"/>
                <w:szCs w:val="21"/>
                <w:highlight w:val="none"/>
              </w:rPr>
            </w:pPr>
          </w:p>
        </w:tc>
        <w:tc>
          <w:tcPr>
            <w:tcW w:w="1371" w:type="dxa"/>
            <w:noWrap w:val="0"/>
            <w:vAlign w:val="center"/>
          </w:tcPr>
          <w:p>
            <w:pPr>
              <w:adjustRightInd w:val="0"/>
              <w:snapToGrid w:val="0"/>
              <w:spacing w:after="0" w:line="360" w:lineRule="auto"/>
              <w:jc w:val="center"/>
              <w:rPr>
                <w:rFonts w:hint="eastAsia" w:ascii="仿宋" w:hAnsi="仿宋" w:eastAsia="仿宋" w:cs="仿宋"/>
                <w:b/>
                <w:color w:val="auto"/>
                <w:sz w:val="24"/>
                <w:szCs w:val="21"/>
                <w:highlight w:val="none"/>
              </w:rPr>
            </w:pPr>
          </w:p>
        </w:tc>
        <w:tc>
          <w:tcPr>
            <w:tcW w:w="1838" w:type="dxa"/>
            <w:noWrap w:val="0"/>
            <w:vAlign w:val="center"/>
          </w:tcPr>
          <w:p>
            <w:pPr>
              <w:adjustRightInd w:val="0"/>
              <w:snapToGrid w:val="0"/>
              <w:spacing w:after="0" w:line="360" w:lineRule="auto"/>
              <w:jc w:val="center"/>
              <w:rPr>
                <w:rFonts w:hint="eastAsia" w:ascii="仿宋" w:hAnsi="仿宋" w:eastAsia="仿宋" w:cs="仿宋"/>
                <w:b/>
                <w:color w:val="auto"/>
                <w:sz w:val="24"/>
                <w:szCs w:val="21"/>
                <w:highlight w:val="none"/>
              </w:rPr>
            </w:pPr>
          </w:p>
        </w:tc>
        <w:tc>
          <w:tcPr>
            <w:tcW w:w="708" w:type="dxa"/>
            <w:noWrap w:val="0"/>
            <w:vAlign w:val="center"/>
          </w:tcPr>
          <w:p>
            <w:pPr>
              <w:adjustRightInd w:val="0"/>
              <w:snapToGrid w:val="0"/>
              <w:spacing w:after="0" w:line="360" w:lineRule="auto"/>
              <w:jc w:val="center"/>
              <w:rPr>
                <w:rFonts w:hint="eastAsia" w:ascii="仿宋" w:hAnsi="仿宋" w:eastAsia="仿宋" w:cs="仿宋"/>
                <w:b/>
                <w:color w:val="auto"/>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811" w:type="dxa"/>
            <w:vMerge w:val="restart"/>
            <w:noWrap w:val="0"/>
            <w:vAlign w:val="center"/>
          </w:tcPr>
          <w:p>
            <w:pPr>
              <w:adjustRightInd w:val="0"/>
              <w:snapToGrid w:val="0"/>
              <w:spacing w:after="0" w:line="360" w:lineRule="auto"/>
              <w:jc w:val="center"/>
              <w:rPr>
                <w:rFonts w:hint="eastAsia" w:ascii="仿宋" w:hAnsi="仿宋" w:eastAsia="仿宋" w:cs="仿宋"/>
                <w:b/>
                <w:color w:val="auto"/>
                <w:sz w:val="22"/>
                <w:szCs w:val="20"/>
                <w:highlight w:val="none"/>
              </w:rPr>
            </w:pPr>
            <w:r>
              <w:rPr>
                <w:rFonts w:hint="eastAsia" w:ascii="仿宋" w:hAnsi="仿宋" w:eastAsia="仿宋" w:cs="仿宋"/>
                <w:b/>
                <w:color w:val="auto"/>
                <w:sz w:val="22"/>
                <w:szCs w:val="20"/>
                <w:highlight w:val="none"/>
              </w:rPr>
              <w:t>报价合计</w:t>
            </w:r>
          </w:p>
        </w:tc>
        <w:tc>
          <w:tcPr>
            <w:tcW w:w="13325" w:type="dxa"/>
            <w:gridSpan w:val="8"/>
            <w:noWrap w:val="0"/>
            <w:vAlign w:val="top"/>
          </w:tcPr>
          <w:p>
            <w:pPr>
              <w:adjustRightInd w:val="0"/>
              <w:snapToGrid w:val="0"/>
              <w:spacing w:after="0" w:line="360" w:lineRule="auto"/>
              <w:rPr>
                <w:rFonts w:hint="eastAsia" w:ascii="仿宋" w:hAnsi="仿宋" w:eastAsia="仿宋" w:cs="仿宋"/>
                <w:b/>
                <w:color w:val="auto"/>
                <w:sz w:val="22"/>
                <w:szCs w:val="20"/>
                <w:highlight w:val="none"/>
              </w:rPr>
            </w:pPr>
            <w:r>
              <w:rPr>
                <w:rFonts w:hint="eastAsia" w:ascii="仿宋" w:hAnsi="仿宋" w:eastAsia="仿宋" w:cs="仿宋"/>
                <w:b/>
                <w:color w:val="auto"/>
                <w:sz w:val="22"/>
                <w:szCs w:val="20"/>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811" w:type="dxa"/>
            <w:vMerge w:val="continue"/>
            <w:noWrap w:val="0"/>
            <w:vAlign w:val="top"/>
          </w:tcPr>
          <w:p>
            <w:pPr>
              <w:adjustRightInd w:val="0"/>
              <w:snapToGrid w:val="0"/>
              <w:spacing w:after="0" w:line="360" w:lineRule="auto"/>
              <w:rPr>
                <w:rFonts w:hint="eastAsia" w:ascii="仿宋" w:hAnsi="仿宋" w:eastAsia="仿宋" w:cs="仿宋"/>
                <w:b/>
                <w:color w:val="auto"/>
                <w:sz w:val="22"/>
                <w:szCs w:val="20"/>
                <w:highlight w:val="none"/>
              </w:rPr>
            </w:pPr>
          </w:p>
        </w:tc>
        <w:tc>
          <w:tcPr>
            <w:tcW w:w="13325" w:type="dxa"/>
            <w:gridSpan w:val="8"/>
            <w:noWrap w:val="0"/>
            <w:vAlign w:val="top"/>
          </w:tcPr>
          <w:p>
            <w:pPr>
              <w:adjustRightInd w:val="0"/>
              <w:snapToGrid w:val="0"/>
              <w:spacing w:after="0" w:line="360" w:lineRule="auto"/>
              <w:rPr>
                <w:rFonts w:hint="eastAsia" w:ascii="仿宋" w:hAnsi="仿宋" w:eastAsia="仿宋" w:cs="仿宋"/>
                <w:b/>
                <w:color w:val="auto"/>
                <w:sz w:val="22"/>
                <w:szCs w:val="20"/>
                <w:highlight w:val="none"/>
              </w:rPr>
            </w:pPr>
            <w:r>
              <w:rPr>
                <w:rFonts w:hint="eastAsia" w:ascii="仿宋" w:hAnsi="仿宋" w:eastAsia="仿宋" w:cs="仿宋"/>
                <w:b/>
                <w:color w:val="auto"/>
                <w:sz w:val="22"/>
                <w:szCs w:val="20"/>
                <w:highlight w:val="none"/>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trPr>
        <w:tc>
          <w:tcPr>
            <w:tcW w:w="14136" w:type="dxa"/>
            <w:gridSpan w:val="9"/>
            <w:noWrap w:val="0"/>
            <w:vAlign w:val="top"/>
          </w:tcPr>
          <w:p>
            <w:pPr>
              <w:adjustRightInd w:val="0"/>
              <w:snapToGrid w:val="0"/>
              <w:spacing w:after="0" w:line="360" w:lineRule="auto"/>
              <w:outlineLvl w:val="2"/>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注：</w:t>
            </w:r>
          </w:p>
          <w:p>
            <w:pPr>
              <w:adjustRightInd w:val="0"/>
              <w:snapToGrid w:val="0"/>
              <w:spacing w:after="0" w:line="360" w:lineRule="auto"/>
              <w:outlineLvl w:val="2"/>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1.报价应是最终用户验收合格后的总价。是投标人响应项目要求的全部采购内容的价格体现，应包括但不限于完成本项目所涉及的人工劳务、货源组织、仓储、运输、配送、搬运及二次搬运、风险、保险、利润、招标代理服务费、验收、税费、售后服务以及国家规定的各项税费等一切费用。</w:t>
            </w:r>
          </w:p>
          <w:p>
            <w:pPr>
              <w:adjustRightInd w:val="0"/>
              <w:snapToGrid w:val="0"/>
              <w:spacing w:after="0" w:line="360" w:lineRule="auto"/>
              <w:outlineLvl w:val="2"/>
              <w:rPr>
                <w:rFonts w:hint="eastAsia" w:ascii="仿宋" w:hAnsi="仿宋" w:eastAsia="仿宋" w:cs="仿宋"/>
                <w:b/>
                <w:color w:val="auto"/>
                <w:sz w:val="24"/>
                <w:szCs w:val="21"/>
                <w:highlight w:val="none"/>
              </w:rPr>
            </w:pPr>
            <w:r>
              <w:rPr>
                <w:rFonts w:hint="eastAsia" w:ascii="仿宋" w:hAnsi="仿宋" w:eastAsia="仿宋" w:cs="仿宋"/>
                <w:b/>
                <w:color w:val="auto"/>
                <w:szCs w:val="21"/>
                <w:highlight w:val="none"/>
              </w:rPr>
              <w:t>2.以上表格如不能完全表达清楚投标人认为必要的费用明细，投标人可自行补充。</w:t>
            </w:r>
          </w:p>
        </w:tc>
      </w:tr>
    </w:tbl>
    <w:p>
      <w:pPr>
        <w:spacing w:after="0" w:line="360" w:lineRule="auto"/>
        <w:ind w:firstLine="480" w:firstLineChars="200"/>
        <w:rPr>
          <w:rFonts w:hint="eastAsia" w:ascii="仿宋" w:hAnsi="仿宋" w:eastAsia="仿宋" w:cs="仿宋"/>
          <w:color w:val="auto"/>
          <w:sz w:val="24"/>
          <w:highlight w:val="none"/>
        </w:rPr>
      </w:pPr>
    </w:p>
    <w:p>
      <w:pPr>
        <w:spacing w:after="0" w:line="360" w:lineRule="auto"/>
        <w:rPr>
          <w:rFonts w:hint="eastAsia" w:ascii="仿宋" w:hAnsi="仿宋" w:eastAsia="仿宋" w:cs="仿宋"/>
          <w:b/>
          <w:bCs/>
          <w:color w:val="auto"/>
          <w:highlight w:val="none"/>
        </w:rPr>
      </w:pPr>
    </w:p>
    <w:p>
      <w:pPr>
        <w:widowControl/>
        <w:spacing w:after="0" w:line="360" w:lineRule="auto"/>
        <w:jc w:val="left"/>
        <w:rPr>
          <w:rFonts w:hint="eastAsia" w:ascii="仿宋" w:hAnsi="仿宋" w:eastAsia="仿宋" w:cs="仿宋"/>
          <w:b/>
          <w:bCs/>
          <w:color w:val="auto"/>
          <w:highlight w:val="none"/>
        </w:rPr>
      </w:pPr>
      <w:r>
        <w:rPr>
          <w:rFonts w:hint="eastAsia" w:ascii="仿宋" w:hAnsi="仿宋" w:eastAsia="仿宋" w:cs="仿宋"/>
          <w:b/>
          <w:bCs/>
          <w:color w:val="auto"/>
          <w:highlight w:val="none"/>
        </w:rPr>
        <w:t>注：1.投标人须报出投标总价的各个组成部分的报价。</w:t>
      </w:r>
    </w:p>
    <w:p>
      <w:pPr>
        <w:widowControl/>
        <w:spacing w:after="0" w:line="360" w:lineRule="auto"/>
        <w:ind w:firstLine="422" w:firstLineChars="200"/>
        <w:jc w:val="left"/>
        <w:rPr>
          <w:rFonts w:hint="eastAsia" w:ascii="仿宋" w:hAnsi="仿宋" w:eastAsia="仿宋" w:cs="仿宋"/>
          <w:b/>
          <w:bCs/>
          <w:color w:val="auto"/>
          <w:highlight w:val="none"/>
        </w:rPr>
      </w:pPr>
      <w:r>
        <w:rPr>
          <w:rFonts w:hint="eastAsia" w:ascii="仿宋" w:hAnsi="仿宋" w:eastAsia="仿宋" w:cs="仿宋"/>
          <w:b/>
          <w:bCs/>
          <w:color w:val="auto"/>
          <w:highlight w:val="none"/>
        </w:rPr>
        <w:t>2.“分项报价明细表”各分项报价合计应当与“开标一览表”报价合计相等。</w:t>
      </w:r>
    </w:p>
    <w:p>
      <w:pPr>
        <w:spacing w:after="0" w:line="360" w:lineRule="auto"/>
        <w:ind w:firstLine="480" w:firstLineChars="200"/>
        <w:rPr>
          <w:rFonts w:hint="eastAsia" w:ascii="仿宋" w:hAnsi="仿宋" w:eastAsia="仿宋" w:cs="仿宋"/>
          <w:color w:val="auto"/>
          <w:sz w:val="24"/>
          <w:highlight w:val="none"/>
        </w:rPr>
      </w:pPr>
    </w:p>
    <w:p>
      <w:pPr>
        <w:spacing w:after="0" w:line="360" w:lineRule="auto"/>
        <w:ind w:firstLine="480" w:firstLineChars="200"/>
        <w:rPr>
          <w:rFonts w:hint="eastAsia" w:ascii="仿宋" w:hAnsi="仿宋" w:eastAsia="仿宋" w:cs="仿宋"/>
          <w:color w:val="auto"/>
          <w:sz w:val="24"/>
          <w:highlight w:val="none"/>
        </w:rPr>
      </w:pP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投标人名称：XXXX（单位公章）。</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法定代表人/单位负责人或授权代表（签字或加盖个人名章）：XXXX。</w:t>
      </w:r>
    </w:p>
    <w:p>
      <w:pPr>
        <w:spacing w:after="0" w:line="360" w:lineRule="auto"/>
        <w:ind w:firstLine="480" w:firstLineChars="200"/>
        <w:rPr>
          <w:rFonts w:hint="eastAsia" w:ascii="仿宋" w:hAnsi="仿宋" w:eastAsia="仿宋" w:cs="仿宋"/>
          <w:color w:val="auto"/>
          <w:sz w:val="24"/>
          <w:highlight w:val="none"/>
        </w:rPr>
        <w:sectPr>
          <w:headerReference r:id="rId11" w:type="default"/>
          <w:headerReference r:id="rId12" w:type="even"/>
          <w:pgSz w:w="16838" w:h="11906" w:orient="landscape"/>
          <w:pgMar w:top="1800" w:right="1440" w:bottom="1800" w:left="1440" w:header="567" w:footer="992" w:gutter="0"/>
          <w:pgNumType w:fmt="decimal"/>
          <w:cols w:space="720" w:num="1"/>
          <w:docGrid w:type="lines" w:linePitch="312" w:charSpace="0"/>
        </w:sectPr>
      </w:pPr>
      <w:r>
        <w:rPr>
          <w:rFonts w:hint="eastAsia" w:ascii="仿宋" w:hAnsi="仿宋" w:eastAsia="仿宋" w:cs="仿宋"/>
          <w:color w:val="auto"/>
          <w:sz w:val="24"/>
          <w:highlight w:val="none"/>
        </w:rPr>
        <w:t>日期：XXXX</w:t>
      </w:r>
    </w:p>
    <w:bookmarkEnd w:id="156"/>
    <w:p>
      <w:pPr>
        <w:pStyle w:val="91"/>
        <w:spacing w:after="0" w:line="360" w:lineRule="auto"/>
        <w:jc w:val="center"/>
        <w:rPr>
          <w:rStyle w:val="50"/>
          <w:rFonts w:hint="eastAsia" w:ascii="仿宋" w:hAnsi="仿宋" w:eastAsia="仿宋" w:cs="仿宋"/>
          <w:color w:val="auto"/>
          <w:highlight w:val="none"/>
        </w:rPr>
      </w:pPr>
      <w:r>
        <w:rPr>
          <w:rStyle w:val="50"/>
          <w:rFonts w:hint="eastAsia" w:ascii="仿宋" w:hAnsi="仿宋" w:eastAsia="仿宋" w:cs="仿宋"/>
          <w:color w:val="auto"/>
          <w:highlight w:val="none"/>
        </w:rPr>
        <w:t>三、投标函</w:t>
      </w:r>
      <w:bookmarkEnd w:id="151"/>
      <w:bookmarkEnd w:id="152"/>
    </w:p>
    <w:p>
      <w:pPr>
        <w:spacing w:after="0"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利阳致诚国际项目管理有限公司</w:t>
      </w:r>
      <w:r>
        <w:rPr>
          <w:rFonts w:hint="eastAsia" w:ascii="仿宋" w:hAnsi="仿宋" w:eastAsia="仿宋" w:cs="仿宋"/>
          <w:color w:val="auto"/>
          <w:sz w:val="24"/>
          <w:highlight w:val="none"/>
        </w:rPr>
        <w:t>（采购代理机构名称）：</w:t>
      </w:r>
    </w:p>
    <w:p>
      <w:pPr>
        <w:widowControl/>
        <w:spacing w:after="0" w:line="360" w:lineRule="auto"/>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我方全面研究了“</w:t>
      </w:r>
      <w:r>
        <w:rPr>
          <w:rFonts w:hint="eastAsia" w:ascii="仿宋" w:hAnsi="仿宋" w:eastAsia="仿宋" w:cs="仿宋"/>
          <w:color w:val="auto"/>
          <w:sz w:val="24"/>
          <w:highlight w:val="none"/>
          <w:u w:val="single"/>
        </w:rPr>
        <w:t>XXXXXXXX</w:t>
      </w:r>
      <w:r>
        <w:rPr>
          <w:rFonts w:hint="eastAsia" w:ascii="仿宋" w:hAnsi="仿宋" w:eastAsia="仿宋" w:cs="仿宋"/>
          <w:color w:val="auto"/>
          <w:sz w:val="24"/>
          <w:highlight w:val="none"/>
        </w:rPr>
        <w:t>”项目（招标编号：</w:t>
      </w:r>
      <w:r>
        <w:rPr>
          <w:rFonts w:hint="eastAsia" w:ascii="仿宋" w:hAnsi="仿宋" w:eastAsia="仿宋" w:cs="仿宋"/>
          <w:color w:val="auto"/>
          <w:sz w:val="24"/>
          <w:highlight w:val="none"/>
          <w:u w:val="single"/>
        </w:rPr>
        <w:t>XXXX</w:t>
      </w:r>
      <w:r>
        <w:rPr>
          <w:rFonts w:hint="eastAsia" w:ascii="仿宋" w:hAnsi="仿宋" w:eastAsia="仿宋" w:cs="仿宋"/>
          <w:color w:val="auto"/>
          <w:sz w:val="24"/>
          <w:highlight w:val="none"/>
        </w:rPr>
        <w:t>）招标文件，决定参加贵单位组织的本项目投标。我方授权</w:t>
      </w:r>
      <w:r>
        <w:rPr>
          <w:rFonts w:hint="eastAsia" w:ascii="仿宋" w:hAnsi="仿宋" w:eastAsia="仿宋" w:cs="仿宋"/>
          <w:color w:val="auto"/>
          <w:sz w:val="24"/>
          <w:highlight w:val="none"/>
          <w:u w:val="single"/>
        </w:rPr>
        <w:t xml:space="preserve">XXXX </w:t>
      </w:r>
      <w:r>
        <w:rPr>
          <w:rFonts w:hint="eastAsia" w:ascii="仿宋" w:hAnsi="仿宋" w:eastAsia="仿宋" w:cs="仿宋"/>
          <w:color w:val="auto"/>
          <w:sz w:val="24"/>
          <w:highlight w:val="none"/>
        </w:rPr>
        <w:t>（姓名、职务）代表我方</w:t>
      </w:r>
      <w:r>
        <w:rPr>
          <w:rFonts w:hint="eastAsia" w:ascii="仿宋" w:hAnsi="仿宋" w:eastAsia="仿宋" w:cs="仿宋"/>
          <w:color w:val="auto"/>
          <w:sz w:val="24"/>
          <w:highlight w:val="none"/>
          <w:u w:val="single"/>
        </w:rPr>
        <w:t>XXXXXXXX</w:t>
      </w:r>
      <w:r>
        <w:rPr>
          <w:rFonts w:hint="eastAsia" w:ascii="仿宋" w:hAnsi="仿宋" w:eastAsia="仿宋" w:cs="仿宋"/>
          <w:color w:val="auto"/>
          <w:sz w:val="24"/>
          <w:highlight w:val="none"/>
        </w:rPr>
        <w:t>（投标单位的名称）全权处理本项目投标的有关事宜。</w:t>
      </w:r>
    </w:p>
    <w:p>
      <w:pPr>
        <w:widowControl/>
        <w:spacing w:after="0" w:line="360" w:lineRule="auto"/>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一、我方自愿按照招标文件规定的各项要求向采购人提供所需货物，总投标价为“开标一览表”中所述价格。</w:t>
      </w:r>
    </w:p>
    <w:p>
      <w:pPr>
        <w:widowControl/>
        <w:spacing w:after="0" w:line="360" w:lineRule="auto"/>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二、一旦我方中标，我方将严格履行政府采购合同规定的责任和义务。</w:t>
      </w:r>
    </w:p>
    <w:p>
      <w:pPr>
        <w:widowControl/>
        <w:spacing w:after="0" w:line="360" w:lineRule="auto"/>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三、我方同意本次招标的投标有效期为投标截止之日起</w:t>
      </w:r>
      <w:r>
        <w:rPr>
          <w:rFonts w:hint="eastAsia" w:ascii="仿宋" w:hAnsi="仿宋" w:eastAsia="仿宋" w:cs="仿宋"/>
          <w:color w:val="auto"/>
          <w:sz w:val="24"/>
          <w:highlight w:val="none"/>
          <w:u w:val="single"/>
        </w:rPr>
        <w:t xml:space="preserve">  90  </w:t>
      </w:r>
      <w:r>
        <w:rPr>
          <w:rFonts w:hint="eastAsia" w:ascii="仿宋" w:hAnsi="仿宋" w:eastAsia="仿宋" w:cs="仿宋"/>
          <w:color w:val="auto"/>
          <w:sz w:val="24"/>
          <w:highlight w:val="none"/>
        </w:rPr>
        <w:t>天，并满足招标文件中其他关于投标有效期的实质性要求。</w:t>
      </w:r>
    </w:p>
    <w:p>
      <w:pPr>
        <w:widowControl/>
        <w:spacing w:after="0" w:line="360" w:lineRule="auto"/>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四、我方愿意提供贵单位可能另外要求的，与投标有关的文件资料，并保证我方已提供和将要提供的文件资料是真实、准确的。</w:t>
      </w:r>
    </w:p>
    <w:p>
      <w:pPr>
        <w:widowControl/>
        <w:spacing w:after="0" w:line="360" w:lineRule="auto"/>
        <w:ind w:firstLine="470" w:firstLineChars="196"/>
        <w:jc w:val="left"/>
        <w:rPr>
          <w:rFonts w:hint="eastAsia" w:ascii="仿宋" w:hAnsi="仿宋" w:eastAsia="仿宋" w:cs="仿宋"/>
          <w:color w:val="auto"/>
          <w:sz w:val="24"/>
          <w:highlight w:val="none"/>
        </w:rPr>
      </w:pPr>
    </w:p>
    <w:p>
      <w:pPr>
        <w:widowControl/>
        <w:spacing w:after="0" w:line="360" w:lineRule="auto"/>
        <w:ind w:firstLine="470" w:firstLineChars="196"/>
        <w:jc w:val="left"/>
        <w:rPr>
          <w:rFonts w:hint="eastAsia" w:ascii="仿宋" w:hAnsi="仿宋" w:eastAsia="仿宋" w:cs="仿宋"/>
          <w:color w:val="auto"/>
          <w:sz w:val="24"/>
          <w:highlight w:val="none"/>
        </w:rPr>
      </w:pPr>
    </w:p>
    <w:p>
      <w:pPr>
        <w:widowControl/>
        <w:spacing w:after="0" w:line="360" w:lineRule="auto"/>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（单位公章）</w:t>
      </w:r>
    </w:p>
    <w:p>
      <w:pPr>
        <w:widowControl/>
        <w:spacing w:after="0" w:line="360" w:lineRule="auto"/>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通讯地址：</w:t>
      </w:r>
      <w:r>
        <w:rPr>
          <w:rFonts w:hint="eastAsia" w:ascii="仿宋" w:hAnsi="仿宋" w:eastAsia="仿宋" w:cs="仿宋"/>
          <w:color w:val="auto"/>
          <w:sz w:val="24"/>
          <w:highlight w:val="none"/>
          <w:u w:val="single"/>
        </w:rPr>
        <w:t xml:space="preserve">                                           </w:t>
      </w:r>
    </w:p>
    <w:p>
      <w:pPr>
        <w:widowControl/>
        <w:spacing w:after="0" w:line="360" w:lineRule="auto"/>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邮政编码：</w:t>
      </w:r>
      <w:r>
        <w:rPr>
          <w:rFonts w:hint="eastAsia" w:ascii="仿宋" w:hAnsi="仿宋" w:eastAsia="仿宋" w:cs="仿宋"/>
          <w:color w:val="auto"/>
          <w:sz w:val="24"/>
          <w:highlight w:val="none"/>
          <w:u w:val="single"/>
        </w:rPr>
        <w:t xml:space="preserve">                                           </w:t>
      </w:r>
    </w:p>
    <w:p>
      <w:pPr>
        <w:widowControl/>
        <w:spacing w:after="0" w:line="360" w:lineRule="auto"/>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single"/>
        </w:rPr>
        <w:t xml:space="preserve">                                           </w:t>
      </w:r>
    </w:p>
    <w:p>
      <w:pPr>
        <w:widowControl/>
        <w:spacing w:after="0" w:line="360" w:lineRule="auto"/>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u w:val="single"/>
        </w:rPr>
        <w:t xml:space="preserve">                                           </w:t>
      </w:r>
    </w:p>
    <w:p>
      <w:pPr>
        <w:widowControl/>
        <w:spacing w:after="0" w:line="360" w:lineRule="auto"/>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spacing w:after="0" w:line="360" w:lineRule="auto"/>
        <w:jc w:val="center"/>
        <w:outlineLvl w:val="2"/>
        <w:rPr>
          <w:rStyle w:val="50"/>
          <w:rFonts w:hint="eastAsia" w:ascii="仿宋" w:hAnsi="仿宋" w:eastAsia="仿宋" w:cs="仿宋"/>
          <w:color w:val="auto"/>
          <w:highlight w:val="none"/>
        </w:rPr>
      </w:pPr>
      <w:bookmarkStart w:id="157" w:name="_Toc308164824"/>
      <w:r>
        <w:rPr>
          <w:rFonts w:hint="eastAsia" w:ascii="仿宋" w:hAnsi="仿宋" w:eastAsia="仿宋" w:cs="仿宋"/>
          <w:b/>
          <w:color w:val="auto"/>
          <w:sz w:val="24"/>
          <w:highlight w:val="none"/>
        </w:rPr>
        <w:br w:type="page"/>
      </w:r>
      <w:r>
        <w:rPr>
          <w:rStyle w:val="50"/>
          <w:rFonts w:hint="eastAsia" w:ascii="仿宋" w:hAnsi="仿宋" w:eastAsia="仿宋" w:cs="仿宋"/>
          <w:color w:val="auto"/>
          <w:highlight w:val="none"/>
        </w:rPr>
        <w:t>四、商务应答表</w:t>
      </w:r>
    </w:p>
    <w:p>
      <w:pPr>
        <w:widowControl/>
        <w:spacing w:after="0" w:line="360" w:lineRule="auto"/>
        <w:jc w:val="center"/>
        <w:rPr>
          <w:rFonts w:hint="eastAsia" w:ascii="仿宋" w:hAnsi="仿宋" w:eastAsia="仿宋" w:cs="仿宋"/>
          <w:b/>
          <w:color w:val="auto"/>
          <w:sz w:val="24"/>
          <w:highlight w:val="none"/>
        </w:rPr>
      </w:pPr>
    </w:p>
    <w:p>
      <w:pPr>
        <w:widowControl/>
        <w:spacing w:after="0" w:line="360" w:lineRule="auto"/>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项目名称：</w:t>
      </w:r>
    </w:p>
    <w:p>
      <w:pPr>
        <w:widowControl/>
        <w:spacing w:after="0" w:line="360" w:lineRule="auto"/>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项目编号：</w:t>
      </w:r>
    </w:p>
    <w:p>
      <w:pPr>
        <w:pStyle w:val="2"/>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包号：</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2010"/>
        <w:gridCol w:w="2214"/>
        <w:gridCol w:w="1863"/>
        <w:gridCol w:w="2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20" w:type="dxa"/>
            <w:noWrap w:val="0"/>
            <w:vAlign w:val="center"/>
          </w:tcPr>
          <w:p>
            <w:pPr>
              <w:widowControl/>
              <w:spacing w:after="0"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序号</w:t>
            </w:r>
          </w:p>
        </w:tc>
        <w:tc>
          <w:tcPr>
            <w:tcW w:w="2010" w:type="dxa"/>
            <w:noWrap w:val="0"/>
            <w:vAlign w:val="center"/>
          </w:tcPr>
          <w:p>
            <w:pPr>
              <w:widowControl/>
              <w:spacing w:after="0"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招标文件条目号</w:t>
            </w:r>
          </w:p>
        </w:tc>
        <w:tc>
          <w:tcPr>
            <w:tcW w:w="2214" w:type="dxa"/>
            <w:noWrap w:val="0"/>
            <w:vAlign w:val="center"/>
          </w:tcPr>
          <w:p>
            <w:pPr>
              <w:widowControl/>
              <w:spacing w:after="0"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招标要求</w:t>
            </w:r>
          </w:p>
        </w:tc>
        <w:tc>
          <w:tcPr>
            <w:tcW w:w="1863" w:type="dxa"/>
            <w:noWrap w:val="0"/>
            <w:vAlign w:val="center"/>
          </w:tcPr>
          <w:p>
            <w:pPr>
              <w:widowControl/>
              <w:spacing w:after="0"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投标应答</w:t>
            </w:r>
          </w:p>
        </w:tc>
        <w:tc>
          <w:tcPr>
            <w:tcW w:w="2168" w:type="dxa"/>
            <w:noWrap w:val="0"/>
            <w:vAlign w:val="center"/>
          </w:tcPr>
          <w:p>
            <w:pPr>
              <w:widowControl/>
              <w:spacing w:after="0"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偏离情况（正偏离或负偏离或无偏离）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20" w:type="dxa"/>
            <w:noWrap w:val="0"/>
            <w:vAlign w:val="center"/>
          </w:tcPr>
          <w:p>
            <w:pPr>
              <w:widowControl/>
              <w:spacing w:after="0" w:line="360" w:lineRule="auto"/>
              <w:jc w:val="center"/>
              <w:rPr>
                <w:rFonts w:hint="eastAsia" w:ascii="仿宋" w:hAnsi="仿宋" w:eastAsia="仿宋" w:cs="仿宋"/>
                <w:color w:val="auto"/>
                <w:szCs w:val="21"/>
                <w:highlight w:val="none"/>
              </w:rPr>
            </w:pPr>
          </w:p>
        </w:tc>
        <w:tc>
          <w:tcPr>
            <w:tcW w:w="2010" w:type="dxa"/>
            <w:noWrap w:val="0"/>
            <w:vAlign w:val="center"/>
          </w:tcPr>
          <w:p>
            <w:pPr>
              <w:widowControl/>
              <w:spacing w:after="0" w:line="360" w:lineRule="auto"/>
              <w:jc w:val="center"/>
              <w:rPr>
                <w:rFonts w:hint="eastAsia" w:ascii="仿宋" w:hAnsi="仿宋" w:eastAsia="仿宋" w:cs="仿宋"/>
                <w:color w:val="auto"/>
                <w:szCs w:val="21"/>
                <w:highlight w:val="none"/>
              </w:rPr>
            </w:pPr>
          </w:p>
        </w:tc>
        <w:tc>
          <w:tcPr>
            <w:tcW w:w="2214" w:type="dxa"/>
            <w:noWrap w:val="0"/>
            <w:vAlign w:val="center"/>
          </w:tcPr>
          <w:p>
            <w:pPr>
              <w:widowControl/>
              <w:spacing w:after="0" w:line="360" w:lineRule="auto"/>
              <w:jc w:val="center"/>
              <w:rPr>
                <w:rFonts w:hint="eastAsia" w:ascii="仿宋" w:hAnsi="仿宋" w:eastAsia="仿宋" w:cs="仿宋"/>
                <w:color w:val="auto"/>
                <w:szCs w:val="21"/>
                <w:highlight w:val="none"/>
              </w:rPr>
            </w:pPr>
          </w:p>
        </w:tc>
        <w:tc>
          <w:tcPr>
            <w:tcW w:w="1863" w:type="dxa"/>
            <w:noWrap w:val="0"/>
            <w:vAlign w:val="center"/>
          </w:tcPr>
          <w:p>
            <w:pPr>
              <w:widowControl/>
              <w:spacing w:after="0" w:line="360" w:lineRule="auto"/>
              <w:jc w:val="center"/>
              <w:rPr>
                <w:rFonts w:hint="eastAsia" w:ascii="仿宋" w:hAnsi="仿宋" w:eastAsia="仿宋" w:cs="仿宋"/>
                <w:color w:val="auto"/>
                <w:szCs w:val="21"/>
                <w:highlight w:val="none"/>
              </w:rPr>
            </w:pPr>
          </w:p>
        </w:tc>
        <w:tc>
          <w:tcPr>
            <w:tcW w:w="2168" w:type="dxa"/>
            <w:noWrap w:val="0"/>
            <w:vAlign w:val="center"/>
          </w:tcPr>
          <w:p>
            <w:pPr>
              <w:widowControl/>
              <w:spacing w:after="0" w:line="360" w:lineRule="auto"/>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20" w:type="dxa"/>
            <w:noWrap w:val="0"/>
            <w:vAlign w:val="center"/>
          </w:tcPr>
          <w:p>
            <w:pPr>
              <w:widowControl/>
              <w:spacing w:after="0" w:line="360" w:lineRule="auto"/>
              <w:jc w:val="center"/>
              <w:rPr>
                <w:rFonts w:hint="eastAsia" w:ascii="仿宋" w:hAnsi="仿宋" w:eastAsia="仿宋" w:cs="仿宋"/>
                <w:color w:val="auto"/>
                <w:szCs w:val="21"/>
                <w:highlight w:val="none"/>
              </w:rPr>
            </w:pPr>
          </w:p>
        </w:tc>
        <w:tc>
          <w:tcPr>
            <w:tcW w:w="2010" w:type="dxa"/>
            <w:noWrap w:val="0"/>
            <w:vAlign w:val="center"/>
          </w:tcPr>
          <w:p>
            <w:pPr>
              <w:widowControl/>
              <w:spacing w:after="0" w:line="360" w:lineRule="auto"/>
              <w:jc w:val="center"/>
              <w:rPr>
                <w:rFonts w:hint="eastAsia" w:ascii="仿宋" w:hAnsi="仿宋" w:eastAsia="仿宋" w:cs="仿宋"/>
                <w:color w:val="auto"/>
                <w:szCs w:val="21"/>
                <w:highlight w:val="none"/>
              </w:rPr>
            </w:pPr>
          </w:p>
        </w:tc>
        <w:tc>
          <w:tcPr>
            <w:tcW w:w="2214" w:type="dxa"/>
            <w:noWrap w:val="0"/>
            <w:vAlign w:val="center"/>
          </w:tcPr>
          <w:p>
            <w:pPr>
              <w:widowControl/>
              <w:spacing w:after="0" w:line="360" w:lineRule="auto"/>
              <w:jc w:val="center"/>
              <w:rPr>
                <w:rFonts w:hint="eastAsia" w:ascii="仿宋" w:hAnsi="仿宋" w:eastAsia="仿宋" w:cs="仿宋"/>
                <w:color w:val="auto"/>
                <w:szCs w:val="21"/>
                <w:highlight w:val="none"/>
              </w:rPr>
            </w:pPr>
          </w:p>
        </w:tc>
        <w:tc>
          <w:tcPr>
            <w:tcW w:w="1863" w:type="dxa"/>
            <w:noWrap w:val="0"/>
            <w:vAlign w:val="center"/>
          </w:tcPr>
          <w:p>
            <w:pPr>
              <w:widowControl/>
              <w:spacing w:after="0" w:line="360" w:lineRule="auto"/>
              <w:jc w:val="center"/>
              <w:rPr>
                <w:rFonts w:hint="eastAsia" w:ascii="仿宋" w:hAnsi="仿宋" w:eastAsia="仿宋" w:cs="仿宋"/>
                <w:color w:val="auto"/>
                <w:szCs w:val="21"/>
                <w:highlight w:val="none"/>
              </w:rPr>
            </w:pPr>
          </w:p>
        </w:tc>
        <w:tc>
          <w:tcPr>
            <w:tcW w:w="2168" w:type="dxa"/>
            <w:noWrap w:val="0"/>
            <w:vAlign w:val="center"/>
          </w:tcPr>
          <w:p>
            <w:pPr>
              <w:widowControl/>
              <w:spacing w:after="0" w:line="360" w:lineRule="auto"/>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20" w:type="dxa"/>
            <w:noWrap w:val="0"/>
            <w:vAlign w:val="center"/>
          </w:tcPr>
          <w:p>
            <w:pPr>
              <w:widowControl/>
              <w:spacing w:after="0" w:line="360" w:lineRule="auto"/>
              <w:jc w:val="center"/>
              <w:rPr>
                <w:rFonts w:hint="eastAsia" w:ascii="仿宋" w:hAnsi="仿宋" w:eastAsia="仿宋" w:cs="仿宋"/>
                <w:color w:val="auto"/>
                <w:szCs w:val="21"/>
                <w:highlight w:val="none"/>
              </w:rPr>
            </w:pPr>
          </w:p>
        </w:tc>
        <w:tc>
          <w:tcPr>
            <w:tcW w:w="2010" w:type="dxa"/>
            <w:noWrap w:val="0"/>
            <w:vAlign w:val="center"/>
          </w:tcPr>
          <w:p>
            <w:pPr>
              <w:widowControl/>
              <w:spacing w:after="0" w:line="360" w:lineRule="auto"/>
              <w:jc w:val="center"/>
              <w:rPr>
                <w:rFonts w:hint="eastAsia" w:ascii="仿宋" w:hAnsi="仿宋" w:eastAsia="仿宋" w:cs="仿宋"/>
                <w:color w:val="auto"/>
                <w:szCs w:val="21"/>
                <w:highlight w:val="none"/>
              </w:rPr>
            </w:pPr>
          </w:p>
        </w:tc>
        <w:tc>
          <w:tcPr>
            <w:tcW w:w="2214" w:type="dxa"/>
            <w:noWrap w:val="0"/>
            <w:vAlign w:val="center"/>
          </w:tcPr>
          <w:p>
            <w:pPr>
              <w:widowControl/>
              <w:spacing w:after="0" w:line="360" w:lineRule="auto"/>
              <w:jc w:val="center"/>
              <w:rPr>
                <w:rFonts w:hint="eastAsia" w:ascii="仿宋" w:hAnsi="仿宋" w:eastAsia="仿宋" w:cs="仿宋"/>
                <w:color w:val="auto"/>
                <w:szCs w:val="21"/>
                <w:highlight w:val="none"/>
              </w:rPr>
            </w:pPr>
          </w:p>
        </w:tc>
        <w:tc>
          <w:tcPr>
            <w:tcW w:w="1863" w:type="dxa"/>
            <w:noWrap w:val="0"/>
            <w:vAlign w:val="center"/>
          </w:tcPr>
          <w:p>
            <w:pPr>
              <w:widowControl/>
              <w:spacing w:after="0" w:line="360" w:lineRule="auto"/>
              <w:jc w:val="center"/>
              <w:rPr>
                <w:rFonts w:hint="eastAsia" w:ascii="仿宋" w:hAnsi="仿宋" w:eastAsia="仿宋" w:cs="仿宋"/>
                <w:color w:val="auto"/>
                <w:szCs w:val="21"/>
                <w:highlight w:val="none"/>
              </w:rPr>
            </w:pPr>
          </w:p>
        </w:tc>
        <w:tc>
          <w:tcPr>
            <w:tcW w:w="2168" w:type="dxa"/>
            <w:noWrap w:val="0"/>
            <w:vAlign w:val="center"/>
          </w:tcPr>
          <w:p>
            <w:pPr>
              <w:widowControl/>
              <w:spacing w:after="0" w:line="360" w:lineRule="auto"/>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20" w:type="dxa"/>
            <w:noWrap w:val="0"/>
            <w:vAlign w:val="center"/>
          </w:tcPr>
          <w:p>
            <w:pPr>
              <w:widowControl/>
              <w:spacing w:after="0" w:line="360" w:lineRule="auto"/>
              <w:jc w:val="center"/>
              <w:rPr>
                <w:rFonts w:hint="eastAsia" w:ascii="仿宋" w:hAnsi="仿宋" w:eastAsia="仿宋" w:cs="仿宋"/>
                <w:color w:val="auto"/>
                <w:szCs w:val="21"/>
                <w:highlight w:val="none"/>
              </w:rPr>
            </w:pPr>
          </w:p>
        </w:tc>
        <w:tc>
          <w:tcPr>
            <w:tcW w:w="2010" w:type="dxa"/>
            <w:noWrap w:val="0"/>
            <w:vAlign w:val="center"/>
          </w:tcPr>
          <w:p>
            <w:pPr>
              <w:widowControl/>
              <w:spacing w:after="0" w:line="360" w:lineRule="auto"/>
              <w:jc w:val="center"/>
              <w:rPr>
                <w:rFonts w:hint="eastAsia" w:ascii="仿宋" w:hAnsi="仿宋" w:eastAsia="仿宋" w:cs="仿宋"/>
                <w:color w:val="auto"/>
                <w:szCs w:val="21"/>
                <w:highlight w:val="none"/>
              </w:rPr>
            </w:pPr>
          </w:p>
        </w:tc>
        <w:tc>
          <w:tcPr>
            <w:tcW w:w="2214" w:type="dxa"/>
            <w:noWrap w:val="0"/>
            <w:vAlign w:val="center"/>
          </w:tcPr>
          <w:p>
            <w:pPr>
              <w:widowControl/>
              <w:spacing w:after="0" w:line="360" w:lineRule="auto"/>
              <w:jc w:val="center"/>
              <w:rPr>
                <w:rFonts w:hint="eastAsia" w:ascii="仿宋" w:hAnsi="仿宋" w:eastAsia="仿宋" w:cs="仿宋"/>
                <w:color w:val="auto"/>
                <w:szCs w:val="21"/>
                <w:highlight w:val="none"/>
              </w:rPr>
            </w:pPr>
          </w:p>
        </w:tc>
        <w:tc>
          <w:tcPr>
            <w:tcW w:w="1863" w:type="dxa"/>
            <w:noWrap w:val="0"/>
            <w:vAlign w:val="center"/>
          </w:tcPr>
          <w:p>
            <w:pPr>
              <w:widowControl/>
              <w:spacing w:after="0" w:line="360" w:lineRule="auto"/>
              <w:jc w:val="center"/>
              <w:rPr>
                <w:rFonts w:hint="eastAsia" w:ascii="仿宋" w:hAnsi="仿宋" w:eastAsia="仿宋" w:cs="仿宋"/>
                <w:color w:val="auto"/>
                <w:szCs w:val="21"/>
                <w:highlight w:val="none"/>
              </w:rPr>
            </w:pPr>
          </w:p>
        </w:tc>
        <w:tc>
          <w:tcPr>
            <w:tcW w:w="2168" w:type="dxa"/>
            <w:noWrap w:val="0"/>
            <w:vAlign w:val="center"/>
          </w:tcPr>
          <w:p>
            <w:pPr>
              <w:widowControl/>
              <w:spacing w:after="0" w:line="360" w:lineRule="auto"/>
              <w:jc w:val="center"/>
              <w:rPr>
                <w:rFonts w:hint="eastAsia" w:ascii="仿宋" w:hAnsi="仿宋" w:eastAsia="仿宋" w:cs="仿宋"/>
                <w:color w:val="auto"/>
                <w:szCs w:val="21"/>
                <w:highlight w:val="none"/>
              </w:rPr>
            </w:pPr>
          </w:p>
        </w:tc>
      </w:tr>
    </w:tbl>
    <w:p>
      <w:pPr>
        <w:widowControl/>
        <w:spacing w:after="0" w:line="360" w:lineRule="auto"/>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w:t>
      </w:r>
    </w:p>
    <w:p>
      <w:pPr>
        <w:widowControl/>
        <w:spacing w:after="0" w:line="360" w:lineRule="auto"/>
        <w:ind w:firstLine="470" w:firstLineChars="196"/>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1、供应商必须把招标文件</w:t>
      </w:r>
      <w:r>
        <w:rPr>
          <w:rFonts w:hint="eastAsia" w:ascii="仿宋" w:hAnsi="仿宋" w:eastAsia="仿宋" w:cs="仿宋"/>
          <w:color w:val="auto"/>
          <w:sz w:val="24"/>
          <w:highlight w:val="none"/>
        </w:rPr>
        <w:t>第四章“</w:t>
      </w:r>
      <w:r>
        <w:rPr>
          <w:rFonts w:hint="eastAsia" w:ascii="仿宋" w:hAnsi="仿宋" w:eastAsia="仿宋" w:cs="仿宋"/>
          <w:color w:val="auto"/>
          <w:sz w:val="24"/>
          <w:highlight w:val="none"/>
          <w:lang w:val="en-US" w:eastAsia="zh-CN"/>
        </w:rPr>
        <w:t>三、</w:t>
      </w:r>
      <w:r>
        <w:rPr>
          <w:rFonts w:hint="eastAsia" w:ascii="仿宋" w:hAnsi="仿宋" w:eastAsia="仿宋" w:cs="仿宋"/>
          <w:color w:val="auto"/>
          <w:sz w:val="24"/>
          <w:highlight w:val="none"/>
        </w:rPr>
        <w:t>商务要求”列入此表</w:t>
      </w:r>
      <w:r>
        <w:rPr>
          <w:rFonts w:hint="eastAsia" w:ascii="仿宋" w:hAnsi="仿宋" w:eastAsia="仿宋" w:cs="仿宋"/>
          <w:color w:val="auto"/>
          <w:sz w:val="24"/>
          <w:highlight w:val="none"/>
          <w:lang w:eastAsia="zh-CN"/>
        </w:rPr>
        <w:t>。</w:t>
      </w: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2</w:t>
      </w:r>
      <w:r>
        <w:rPr>
          <w:rFonts w:hint="eastAsia" w:ascii="仿宋" w:hAnsi="仿宋" w:eastAsia="仿宋"/>
          <w:color w:val="auto"/>
          <w:sz w:val="24"/>
          <w:highlight w:val="none"/>
          <w:lang w:eastAsia="zh-CN"/>
        </w:rPr>
        <w:t>、</w:t>
      </w:r>
      <w:r>
        <w:rPr>
          <w:rFonts w:hint="eastAsia" w:ascii="仿宋" w:hAnsi="仿宋" w:eastAsia="仿宋"/>
          <w:color w:val="auto"/>
          <w:sz w:val="24"/>
          <w:highlight w:val="none"/>
        </w:rPr>
        <w:t>按照招标项目技术要求的顺序逐条对应填写。</w:t>
      </w: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3</w:t>
      </w:r>
      <w:r>
        <w:rPr>
          <w:rFonts w:hint="eastAsia" w:ascii="仿宋" w:hAnsi="仿宋" w:eastAsia="仿宋"/>
          <w:color w:val="auto"/>
          <w:sz w:val="24"/>
          <w:highlight w:val="none"/>
          <w:lang w:eastAsia="zh-CN"/>
        </w:rPr>
        <w:t>、</w:t>
      </w:r>
      <w:r>
        <w:rPr>
          <w:rFonts w:hint="eastAsia" w:ascii="仿宋" w:hAnsi="仿宋" w:eastAsia="仿宋"/>
          <w:color w:val="auto"/>
          <w:sz w:val="24"/>
          <w:highlight w:val="none"/>
        </w:rPr>
        <w:t>供应商必须据实填写，不得虚假填写，否则将取消其投标或中标资格。</w:t>
      </w:r>
    </w:p>
    <w:p>
      <w:pPr>
        <w:pStyle w:val="2"/>
        <w:rPr>
          <w:rFonts w:hint="eastAsia"/>
          <w:color w:val="auto"/>
          <w:highlight w:val="none"/>
          <w:lang w:eastAsia="zh-CN"/>
        </w:rPr>
      </w:pPr>
    </w:p>
    <w:p>
      <w:pPr>
        <w:adjustRightInd w:val="0"/>
        <w:spacing w:after="0" w:line="360" w:lineRule="auto"/>
        <w:ind w:firstLine="480" w:firstLineChars="200"/>
        <w:jc w:val="left"/>
        <w:rPr>
          <w:rFonts w:hint="eastAsia" w:ascii="仿宋" w:hAnsi="仿宋" w:eastAsia="仿宋" w:cs="仿宋"/>
          <w:color w:val="auto"/>
          <w:sz w:val="24"/>
          <w:highlight w:val="none"/>
          <w:lang w:eastAsia="zh-CN"/>
        </w:rPr>
      </w:pPr>
    </w:p>
    <w:p>
      <w:pPr>
        <w:adjustRightInd w:val="0"/>
        <w:spacing w:after="0" w:line="360" w:lineRule="auto"/>
        <w:ind w:firstLine="480" w:firstLineChars="200"/>
        <w:jc w:val="left"/>
        <w:rPr>
          <w:rFonts w:hint="eastAsia" w:ascii="仿宋" w:hAnsi="仿宋" w:eastAsia="仿宋" w:cs="仿宋"/>
          <w:color w:val="auto"/>
          <w:sz w:val="24"/>
          <w:highlight w:val="none"/>
        </w:rPr>
      </w:pPr>
    </w:p>
    <w:p>
      <w:pPr>
        <w:adjustRightInd w:val="0"/>
        <w:spacing w:after="0" w:line="360" w:lineRule="auto"/>
        <w:ind w:firstLine="480" w:firstLineChars="200"/>
        <w:jc w:val="left"/>
        <w:rPr>
          <w:rFonts w:hint="eastAsia" w:ascii="仿宋" w:hAnsi="仿宋" w:eastAsia="仿宋" w:cs="仿宋"/>
          <w:color w:val="auto"/>
          <w:sz w:val="24"/>
          <w:highlight w:val="none"/>
        </w:rPr>
      </w:pPr>
    </w:p>
    <w:p>
      <w:pPr>
        <w:adjustRightInd w:val="0"/>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投标人名称（盖章）：</w:t>
      </w:r>
      <w:r>
        <w:rPr>
          <w:rFonts w:hint="eastAsia" w:ascii="仿宋" w:hAnsi="仿宋" w:eastAsia="仿宋" w:cs="仿宋"/>
          <w:color w:val="auto"/>
          <w:sz w:val="24"/>
          <w:highlight w:val="none"/>
          <w:u w:val="single"/>
        </w:rPr>
        <w:t xml:space="preserve">                      </w:t>
      </w:r>
    </w:p>
    <w:p>
      <w:pPr>
        <w:widowControl/>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spacing w:after="0" w:line="360" w:lineRule="auto"/>
        <w:jc w:val="center"/>
        <w:outlineLvl w:val="2"/>
        <w:rPr>
          <w:rStyle w:val="50"/>
          <w:rFonts w:hint="eastAsia" w:ascii="仿宋" w:hAnsi="仿宋" w:eastAsia="仿宋" w:cs="仿宋"/>
          <w:color w:val="auto"/>
          <w:highlight w:val="none"/>
        </w:rPr>
      </w:pPr>
      <w:r>
        <w:rPr>
          <w:rFonts w:hint="eastAsia" w:ascii="仿宋" w:hAnsi="仿宋" w:eastAsia="仿宋" w:cs="仿宋"/>
          <w:color w:val="auto"/>
          <w:sz w:val="24"/>
          <w:highlight w:val="none"/>
        </w:rPr>
        <w:br w:type="page"/>
      </w:r>
      <w:r>
        <w:rPr>
          <w:rStyle w:val="50"/>
          <w:rFonts w:hint="eastAsia" w:ascii="仿宋" w:hAnsi="仿宋" w:eastAsia="仿宋" w:cs="仿宋"/>
          <w:color w:val="auto"/>
          <w:highlight w:val="none"/>
        </w:rPr>
        <w:t>五、投标人基本情况表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99"/>
        <w:gridCol w:w="1068"/>
        <w:gridCol w:w="1382"/>
        <w:gridCol w:w="1394"/>
        <w:gridCol w:w="1473"/>
        <w:gridCol w:w="176"/>
        <w:gridCol w:w="772"/>
        <w:gridCol w:w="120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699" w:type="dxa"/>
            <w:noWrap w:val="0"/>
            <w:vAlign w:val="center"/>
          </w:tcPr>
          <w:p>
            <w:pPr>
              <w:widowControl/>
              <w:spacing w:after="0" w:line="360" w:lineRule="auto"/>
              <w:jc w:val="center"/>
              <w:outlineLvl w:val="1"/>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投标人名称</w:t>
            </w:r>
          </w:p>
        </w:tc>
        <w:tc>
          <w:tcPr>
            <w:tcW w:w="7473" w:type="dxa"/>
            <w:gridSpan w:val="7"/>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699" w:type="dxa"/>
            <w:noWrap w:val="0"/>
            <w:vAlign w:val="center"/>
          </w:tcPr>
          <w:p>
            <w:pPr>
              <w:widowControl/>
              <w:spacing w:after="0" w:line="360" w:lineRule="auto"/>
              <w:jc w:val="center"/>
              <w:outlineLvl w:val="1"/>
              <w:rPr>
                <w:rFonts w:hint="eastAsia" w:ascii="仿宋" w:hAnsi="仿宋" w:eastAsia="仿宋" w:cs="仿宋"/>
                <w:color w:val="auto"/>
                <w:szCs w:val="21"/>
                <w:highlight w:val="none"/>
              </w:rPr>
            </w:pPr>
            <w:r>
              <w:rPr>
                <w:rFonts w:hint="eastAsia" w:ascii="仿宋" w:hAnsi="仿宋" w:eastAsia="仿宋" w:cs="仿宋"/>
                <w:color w:val="auto"/>
                <w:szCs w:val="21"/>
                <w:highlight w:val="none"/>
              </w:rPr>
              <w:t>注册地址</w:t>
            </w:r>
          </w:p>
        </w:tc>
        <w:tc>
          <w:tcPr>
            <w:tcW w:w="3844" w:type="dxa"/>
            <w:gridSpan w:val="3"/>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1473" w:type="dxa"/>
            <w:noWrap w:val="0"/>
            <w:vAlign w:val="center"/>
          </w:tcPr>
          <w:p>
            <w:pPr>
              <w:widowControl/>
              <w:spacing w:after="0" w:line="360" w:lineRule="auto"/>
              <w:jc w:val="center"/>
              <w:outlineLvl w:val="1"/>
              <w:rPr>
                <w:rFonts w:hint="eastAsia" w:ascii="仿宋" w:hAnsi="仿宋" w:eastAsia="仿宋" w:cs="仿宋"/>
                <w:color w:val="auto"/>
                <w:szCs w:val="21"/>
                <w:highlight w:val="none"/>
              </w:rPr>
            </w:pPr>
            <w:r>
              <w:rPr>
                <w:rFonts w:hint="eastAsia" w:ascii="仿宋" w:hAnsi="仿宋" w:eastAsia="仿宋" w:cs="仿宋"/>
                <w:color w:val="auto"/>
                <w:szCs w:val="21"/>
                <w:highlight w:val="none"/>
              </w:rPr>
              <w:t>邮政编码</w:t>
            </w:r>
          </w:p>
        </w:tc>
        <w:tc>
          <w:tcPr>
            <w:tcW w:w="2156" w:type="dxa"/>
            <w:gridSpan w:val="3"/>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699" w:type="dxa"/>
            <w:vMerge w:val="restart"/>
            <w:noWrap w:val="0"/>
            <w:vAlign w:val="center"/>
          </w:tcPr>
          <w:p>
            <w:pPr>
              <w:widowControl/>
              <w:spacing w:after="0" w:line="360" w:lineRule="auto"/>
              <w:jc w:val="center"/>
              <w:outlineLvl w:val="1"/>
              <w:rPr>
                <w:rFonts w:hint="eastAsia" w:ascii="仿宋" w:hAnsi="仿宋" w:eastAsia="仿宋" w:cs="仿宋"/>
                <w:color w:val="auto"/>
                <w:szCs w:val="21"/>
                <w:highlight w:val="none"/>
              </w:rPr>
            </w:pPr>
            <w:r>
              <w:rPr>
                <w:rFonts w:hint="eastAsia" w:ascii="仿宋" w:hAnsi="仿宋" w:eastAsia="仿宋" w:cs="仿宋"/>
                <w:color w:val="auto"/>
                <w:szCs w:val="21"/>
                <w:highlight w:val="none"/>
              </w:rPr>
              <w:t>联系方式</w:t>
            </w:r>
          </w:p>
        </w:tc>
        <w:tc>
          <w:tcPr>
            <w:tcW w:w="1068" w:type="dxa"/>
            <w:noWrap w:val="0"/>
            <w:vAlign w:val="center"/>
          </w:tcPr>
          <w:p>
            <w:pPr>
              <w:widowControl/>
              <w:spacing w:after="0" w:line="360" w:lineRule="auto"/>
              <w:jc w:val="center"/>
              <w:outlineLvl w:val="1"/>
              <w:rPr>
                <w:rFonts w:hint="eastAsia" w:ascii="仿宋" w:hAnsi="仿宋" w:eastAsia="仿宋" w:cs="仿宋"/>
                <w:color w:val="auto"/>
                <w:szCs w:val="21"/>
                <w:highlight w:val="none"/>
              </w:rPr>
            </w:pPr>
            <w:r>
              <w:rPr>
                <w:rFonts w:hint="eastAsia" w:ascii="仿宋" w:hAnsi="仿宋" w:eastAsia="仿宋" w:cs="仿宋"/>
                <w:color w:val="auto"/>
                <w:szCs w:val="21"/>
                <w:highlight w:val="none"/>
              </w:rPr>
              <w:t>联系人</w:t>
            </w:r>
          </w:p>
        </w:tc>
        <w:tc>
          <w:tcPr>
            <w:tcW w:w="2776" w:type="dxa"/>
            <w:gridSpan w:val="2"/>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1473" w:type="dxa"/>
            <w:noWrap w:val="0"/>
            <w:vAlign w:val="center"/>
          </w:tcPr>
          <w:p>
            <w:pPr>
              <w:widowControl/>
              <w:spacing w:after="0" w:line="360" w:lineRule="auto"/>
              <w:ind w:firstLine="411" w:firstLineChars="196"/>
              <w:jc w:val="center"/>
              <w:outlineLvl w:val="1"/>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电话</w:t>
            </w:r>
          </w:p>
        </w:tc>
        <w:tc>
          <w:tcPr>
            <w:tcW w:w="2156" w:type="dxa"/>
            <w:gridSpan w:val="3"/>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699" w:type="dxa"/>
            <w:vMerge w:val="continue"/>
            <w:noWrap w:val="0"/>
            <w:vAlign w:val="center"/>
          </w:tcPr>
          <w:p>
            <w:pPr>
              <w:spacing w:after="0" w:line="360" w:lineRule="auto"/>
              <w:jc w:val="center"/>
              <w:rPr>
                <w:rFonts w:hint="eastAsia" w:ascii="仿宋" w:hAnsi="仿宋" w:eastAsia="仿宋" w:cs="仿宋"/>
                <w:color w:val="auto"/>
                <w:szCs w:val="21"/>
                <w:highlight w:val="none"/>
              </w:rPr>
            </w:pPr>
          </w:p>
        </w:tc>
        <w:tc>
          <w:tcPr>
            <w:tcW w:w="1068" w:type="dxa"/>
            <w:noWrap w:val="0"/>
            <w:vAlign w:val="center"/>
          </w:tcPr>
          <w:p>
            <w:pPr>
              <w:widowControl/>
              <w:spacing w:after="0" w:line="360" w:lineRule="auto"/>
              <w:jc w:val="center"/>
              <w:outlineLvl w:val="1"/>
              <w:rPr>
                <w:rFonts w:hint="eastAsia" w:ascii="仿宋" w:hAnsi="仿宋" w:eastAsia="仿宋" w:cs="仿宋"/>
                <w:color w:val="auto"/>
                <w:szCs w:val="21"/>
                <w:highlight w:val="none"/>
              </w:rPr>
            </w:pPr>
            <w:r>
              <w:rPr>
                <w:rFonts w:hint="eastAsia" w:ascii="仿宋" w:hAnsi="仿宋" w:eastAsia="仿宋" w:cs="仿宋"/>
                <w:color w:val="auto"/>
                <w:szCs w:val="21"/>
                <w:highlight w:val="none"/>
              </w:rPr>
              <w:t>传真</w:t>
            </w:r>
          </w:p>
        </w:tc>
        <w:tc>
          <w:tcPr>
            <w:tcW w:w="2776" w:type="dxa"/>
            <w:gridSpan w:val="2"/>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1473" w:type="dxa"/>
            <w:noWrap w:val="0"/>
            <w:vAlign w:val="center"/>
          </w:tcPr>
          <w:p>
            <w:pPr>
              <w:widowControl/>
              <w:spacing w:after="0" w:line="360" w:lineRule="auto"/>
              <w:ind w:firstLine="411" w:firstLineChars="196"/>
              <w:jc w:val="center"/>
              <w:outlineLvl w:val="1"/>
              <w:rPr>
                <w:rFonts w:hint="eastAsia" w:ascii="仿宋" w:hAnsi="仿宋" w:eastAsia="仿宋" w:cs="仿宋"/>
                <w:color w:val="auto"/>
                <w:szCs w:val="21"/>
                <w:highlight w:val="none"/>
              </w:rPr>
            </w:pPr>
            <w:r>
              <w:rPr>
                <w:rFonts w:hint="eastAsia" w:ascii="仿宋" w:hAnsi="仿宋" w:eastAsia="仿宋" w:cs="仿宋"/>
                <w:color w:val="auto"/>
                <w:szCs w:val="21"/>
                <w:highlight w:val="none"/>
              </w:rPr>
              <w:t>网址</w:t>
            </w:r>
          </w:p>
        </w:tc>
        <w:tc>
          <w:tcPr>
            <w:tcW w:w="2156" w:type="dxa"/>
            <w:gridSpan w:val="3"/>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699" w:type="dxa"/>
            <w:noWrap w:val="0"/>
            <w:vAlign w:val="center"/>
          </w:tcPr>
          <w:p>
            <w:pPr>
              <w:widowControl/>
              <w:spacing w:after="0" w:line="360" w:lineRule="auto"/>
              <w:jc w:val="center"/>
              <w:outlineLvl w:val="1"/>
              <w:rPr>
                <w:rFonts w:hint="eastAsia" w:ascii="仿宋" w:hAnsi="仿宋" w:eastAsia="仿宋" w:cs="仿宋"/>
                <w:color w:val="auto"/>
                <w:szCs w:val="21"/>
                <w:highlight w:val="none"/>
              </w:rPr>
            </w:pPr>
            <w:r>
              <w:rPr>
                <w:rFonts w:hint="eastAsia" w:ascii="仿宋" w:hAnsi="仿宋" w:eastAsia="仿宋" w:cs="仿宋"/>
                <w:color w:val="auto"/>
                <w:szCs w:val="21"/>
                <w:highlight w:val="none"/>
              </w:rPr>
              <w:t>组织结构</w:t>
            </w:r>
          </w:p>
        </w:tc>
        <w:tc>
          <w:tcPr>
            <w:tcW w:w="7473" w:type="dxa"/>
            <w:gridSpan w:val="7"/>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699" w:type="dxa"/>
            <w:noWrap w:val="0"/>
            <w:vAlign w:val="center"/>
          </w:tcPr>
          <w:p>
            <w:pPr>
              <w:widowControl/>
              <w:spacing w:after="0" w:line="360" w:lineRule="auto"/>
              <w:jc w:val="center"/>
              <w:outlineLvl w:val="1"/>
              <w:rPr>
                <w:rFonts w:hint="eastAsia" w:ascii="仿宋" w:hAnsi="仿宋" w:eastAsia="仿宋" w:cs="仿宋"/>
                <w:color w:val="auto"/>
                <w:szCs w:val="21"/>
                <w:highlight w:val="none"/>
              </w:rPr>
            </w:pPr>
            <w:r>
              <w:rPr>
                <w:rFonts w:hint="eastAsia" w:ascii="仿宋" w:hAnsi="仿宋" w:eastAsia="仿宋" w:cs="仿宋"/>
                <w:color w:val="auto"/>
                <w:szCs w:val="21"/>
                <w:highlight w:val="none"/>
              </w:rPr>
              <w:t>法定代表人/单位负责人</w:t>
            </w:r>
          </w:p>
        </w:tc>
        <w:tc>
          <w:tcPr>
            <w:tcW w:w="1068" w:type="dxa"/>
            <w:noWrap w:val="0"/>
            <w:vAlign w:val="center"/>
          </w:tcPr>
          <w:p>
            <w:pPr>
              <w:widowControl/>
              <w:spacing w:after="0" w:line="360" w:lineRule="auto"/>
              <w:jc w:val="center"/>
              <w:outlineLvl w:val="1"/>
              <w:rPr>
                <w:rFonts w:hint="eastAsia" w:ascii="仿宋" w:hAnsi="仿宋" w:eastAsia="仿宋" w:cs="仿宋"/>
                <w:color w:val="auto"/>
                <w:szCs w:val="21"/>
                <w:highlight w:val="none"/>
              </w:rPr>
            </w:pPr>
            <w:r>
              <w:rPr>
                <w:rFonts w:hint="eastAsia" w:ascii="仿宋" w:hAnsi="仿宋" w:eastAsia="仿宋" w:cs="仿宋"/>
                <w:color w:val="auto"/>
                <w:szCs w:val="21"/>
                <w:highlight w:val="none"/>
              </w:rPr>
              <w:t>姓名</w:t>
            </w:r>
          </w:p>
        </w:tc>
        <w:tc>
          <w:tcPr>
            <w:tcW w:w="1382" w:type="dxa"/>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1394" w:type="dxa"/>
            <w:noWrap w:val="0"/>
            <w:vAlign w:val="center"/>
          </w:tcPr>
          <w:p>
            <w:pPr>
              <w:widowControl/>
              <w:spacing w:after="0" w:line="360" w:lineRule="auto"/>
              <w:jc w:val="center"/>
              <w:outlineLvl w:val="1"/>
              <w:rPr>
                <w:rFonts w:hint="eastAsia" w:ascii="仿宋" w:hAnsi="仿宋" w:eastAsia="仿宋" w:cs="仿宋"/>
                <w:color w:val="auto"/>
                <w:szCs w:val="21"/>
                <w:highlight w:val="none"/>
              </w:rPr>
            </w:pPr>
            <w:r>
              <w:rPr>
                <w:rFonts w:hint="eastAsia" w:ascii="仿宋" w:hAnsi="仿宋" w:eastAsia="仿宋" w:cs="仿宋"/>
                <w:color w:val="auto"/>
                <w:szCs w:val="21"/>
                <w:highlight w:val="none"/>
              </w:rPr>
              <w:t>技术职称</w:t>
            </w:r>
          </w:p>
        </w:tc>
        <w:tc>
          <w:tcPr>
            <w:tcW w:w="1473" w:type="dxa"/>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948" w:type="dxa"/>
            <w:gridSpan w:val="2"/>
            <w:noWrap w:val="0"/>
            <w:vAlign w:val="center"/>
          </w:tcPr>
          <w:p>
            <w:pPr>
              <w:widowControl/>
              <w:spacing w:after="0" w:line="360" w:lineRule="auto"/>
              <w:jc w:val="center"/>
              <w:outlineLvl w:val="1"/>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电话</w:t>
            </w:r>
          </w:p>
        </w:tc>
        <w:tc>
          <w:tcPr>
            <w:tcW w:w="1208" w:type="dxa"/>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1699" w:type="dxa"/>
            <w:noWrap w:val="0"/>
            <w:vAlign w:val="center"/>
          </w:tcPr>
          <w:p>
            <w:pPr>
              <w:widowControl/>
              <w:spacing w:after="0" w:line="360" w:lineRule="auto"/>
              <w:jc w:val="center"/>
              <w:outlineLvl w:val="1"/>
              <w:rPr>
                <w:rFonts w:hint="eastAsia" w:ascii="仿宋" w:hAnsi="仿宋" w:eastAsia="仿宋" w:cs="仿宋"/>
                <w:color w:val="auto"/>
                <w:szCs w:val="21"/>
                <w:highlight w:val="none"/>
              </w:rPr>
            </w:pPr>
            <w:r>
              <w:rPr>
                <w:rFonts w:hint="eastAsia" w:ascii="仿宋" w:hAnsi="仿宋" w:eastAsia="仿宋" w:cs="仿宋"/>
                <w:color w:val="auto"/>
                <w:szCs w:val="21"/>
                <w:highlight w:val="none"/>
              </w:rPr>
              <w:t>技术负责人</w:t>
            </w:r>
          </w:p>
        </w:tc>
        <w:tc>
          <w:tcPr>
            <w:tcW w:w="1068" w:type="dxa"/>
            <w:noWrap w:val="0"/>
            <w:vAlign w:val="center"/>
          </w:tcPr>
          <w:p>
            <w:pPr>
              <w:widowControl/>
              <w:spacing w:after="0" w:line="360" w:lineRule="auto"/>
              <w:jc w:val="center"/>
              <w:outlineLvl w:val="1"/>
              <w:rPr>
                <w:rFonts w:hint="eastAsia" w:ascii="仿宋" w:hAnsi="仿宋" w:eastAsia="仿宋" w:cs="仿宋"/>
                <w:color w:val="auto"/>
                <w:szCs w:val="21"/>
                <w:highlight w:val="none"/>
              </w:rPr>
            </w:pPr>
            <w:r>
              <w:rPr>
                <w:rFonts w:hint="eastAsia" w:ascii="仿宋" w:hAnsi="仿宋" w:eastAsia="仿宋" w:cs="仿宋"/>
                <w:color w:val="auto"/>
                <w:szCs w:val="21"/>
                <w:highlight w:val="none"/>
              </w:rPr>
              <w:t>姓名</w:t>
            </w:r>
          </w:p>
        </w:tc>
        <w:tc>
          <w:tcPr>
            <w:tcW w:w="1382" w:type="dxa"/>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1394" w:type="dxa"/>
            <w:noWrap w:val="0"/>
            <w:vAlign w:val="center"/>
          </w:tcPr>
          <w:p>
            <w:pPr>
              <w:widowControl/>
              <w:spacing w:after="0" w:line="360" w:lineRule="auto"/>
              <w:jc w:val="center"/>
              <w:outlineLvl w:val="1"/>
              <w:rPr>
                <w:rFonts w:hint="eastAsia" w:ascii="仿宋" w:hAnsi="仿宋" w:eastAsia="仿宋" w:cs="仿宋"/>
                <w:color w:val="auto"/>
                <w:szCs w:val="21"/>
                <w:highlight w:val="none"/>
              </w:rPr>
            </w:pPr>
            <w:r>
              <w:rPr>
                <w:rFonts w:hint="eastAsia" w:ascii="仿宋" w:hAnsi="仿宋" w:eastAsia="仿宋" w:cs="仿宋"/>
                <w:color w:val="auto"/>
                <w:szCs w:val="21"/>
                <w:highlight w:val="none"/>
              </w:rPr>
              <w:t>技术职称</w:t>
            </w:r>
          </w:p>
        </w:tc>
        <w:tc>
          <w:tcPr>
            <w:tcW w:w="1473" w:type="dxa"/>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948" w:type="dxa"/>
            <w:gridSpan w:val="2"/>
            <w:noWrap w:val="0"/>
            <w:vAlign w:val="center"/>
          </w:tcPr>
          <w:p>
            <w:pPr>
              <w:widowControl/>
              <w:spacing w:after="0" w:line="360" w:lineRule="auto"/>
              <w:jc w:val="center"/>
              <w:outlineLvl w:val="1"/>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电话</w:t>
            </w:r>
          </w:p>
        </w:tc>
        <w:tc>
          <w:tcPr>
            <w:tcW w:w="1208" w:type="dxa"/>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699" w:type="dxa"/>
            <w:noWrap w:val="0"/>
            <w:vAlign w:val="center"/>
          </w:tcPr>
          <w:p>
            <w:pPr>
              <w:widowControl/>
              <w:spacing w:after="0" w:line="360" w:lineRule="auto"/>
              <w:jc w:val="center"/>
              <w:outlineLvl w:val="1"/>
              <w:rPr>
                <w:rFonts w:hint="eastAsia" w:ascii="仿宋" w:hAnsi="仿宋" w:eastAsia="仿宋" w:cs="仿宋"/>
                <w:color w:val="auto"/>
                <w:szCs w:val="21"/>
                <w:highlight w:val="none"/>
              </w:rPr>
            </w:pPr>
            <w:r>
              <w:rPr>
                <w:rFonts w:hint="eastAsia" w:ascii="仿宋" w:hAnsi="仿宋" w:eastAsia="仿宋" w:cs="仿宋"/>
                <w:color w:val="auto"/>
                <w:szCs w:val="21"/>
                <w:highlight w:val="none"/>
              </w:rPr>
              <w:t>成立时间</w:t>
            </w:r>
          </w:p>
        </w:tc>
        <w:tc>
          <w:tcPr>
            <w:tcW w:w="2450" w:type="dxa"/>
            <w:gridSpan w:val="2"/>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5023" w:type="dxa"/>
            <w:gridSpan w:val="5"/>
            <w:noWrap w:val="0"/>
            <w:vAlign w:val="center"/>
          </w:tcPr>
          <w:p>
            <w:pPr>
              <w:widowControl/>
              <w:spacing w:after="0" w:line="360" w:lineRule="auto"/>
              <w:jc w:val="center"/>
              <w:outlineLvl w:val="1"/>
              <w:rPr>
                <w:rFonts w:hint="eastAsia" w:ascii="仿宋" w:hAnsi="仿宋" w:eastAsia="仿宋" w:cs="仿宋"/>
                <w:color w:val="auto"/>
                <w:szCs w:val="21"/>
                <w:highlight w:val="none"/>
              </w:rPr>
            </w:pPr>
            <w:r>
              <w:rPr>
                <w:rFonts w:hint="eastAsia" w:ascii="仿宋" w:hAnsi="仿宋" w:eastAsia="仿宋" w:cs="仿宋"/>
                <w:color w:val="auto"/>
                <w:szCs w:val="21"/>
                <w:highlight w:val="none"/>
              </w:rPr>
              <w:t>员工总人数：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699" w:type="dxa"/>
            <w:noWrap w:val="0"/>
            <w:vAlign w:val="center"/>
          </w:tcPr>
          <w:p>
            <w:pPr>
              <w:widowControl/>
              <w:spacing w:after="0" w:line="360" w:lineRule="auto"/>
              <w:jc w:val="center"/>
              <w:outlineLvl w:val="1"/>
              <w:rPr>
                <w:rFonts w:hint="eastAsia" w:ascii="仿宋" w:hAnsi="仿宋" w:eastAsia="仿宋" w:cs="仿宋"/>
                <w:color w:val="auto"/>
                <w:szCs w:val="21"/>
                <w:highlight w:val="none"/>
              </w:rPr>
            </w:pPr>
            <w:r>
              <w:rPr>
                <w:rFonts w:hint="eastAsia" w:ascii="仿宋" w:hAnsi="仿宋" w:eastAsia="仿宋" w:cs="仿宋"/>
                <w:color w:val="auto"/>
                <w:szCs w:val="21"/>
                <w:highlight w:val="none"/>
              </w:rPr>
              <w:t>企业资质等级</w:t>
            </w:r>
          </w:p>
        </w:tc>
        <w:tc>
          <w:tcPr>
            <w:tcW w:w="2450" w:type="dxa"/>
            <w:gridSpan w:val="2"/>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1394" w:type="dxa"/>
            <w:vMerge w:val="restart"/>
            <w:noWrap w:val="0"/>
            <w:vAlign w:val="center"/>
          </w:tcPr>
          <w:p>
            <w:pPr>
              <w:widowControl/>
              <w:spacing w:after="0" w:line="360" w:lineRule="auto"/>
              <w:ind w:firstLine="411" w:firstLineChars="196"/>
              <w:jc w:val="center"/>
              <w:outlineLvl w:val="1"/>
              <w:rPr>
                <w:rFonts w:hint="eastAsia" w:ascii="仿宋" w:hAnsi="仿宋" w:eastAsia="仿宋" w:cs="仿宋"/>
                <w:color w:val="auto"/>
                <w:szCs w:val="21"/>
                <w:highlight w:val="none"/>
              </w:rPr>
            </w:pPr>
            <w:r>
              <w:rPr>
                <w:rFonts w:hint="eastAsia" w:ascii="仿宋" w:hAnsi="仿宋" w:eastAsia="仿宋" w:cs="仿宋"/>
                <w:color w:val="auto"/>
                <w:szCs w:val="21"/>
                <w:highlight w:val="none"/>
              </w:rPr>
              <w:t>其中</w:t>
            </w:r>
          </w:p>
        </w:tc>
        <w:tc>
          <w:tcPr>
            <w:tcW w:w="1649" w:type="dxa"/>
            <w:gridSpan w:val="2"/>
            <w:noWrap w:val="0"/>
            <w:vAlign w:val="center"/>
          </w:tcPr>
          <w:p>
            <w:pPr>
              <w:widowControl/>
              <w:spacing w:after="0" w:line="360" w:lineRule="auto"/>
              <w:jc w:val="center"/>
              <w:outlineLvl w:val="1"/>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项目经理</w:t>
            </w:r>
          </w:p>
        </w:tc>
        <w:tc>
          <w:tcPr>
            <w:tcW w:w="1980" w:type="dxa"/>
            <w:gridSpan w:val="2"/>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699" w:type="dxa"/>
            <w:noWrap w:val="0"/>
            <w:vAlign w:val="center"/>
          </w:tcPr>
          <w:p>
            <w:pPr>
              <w:widowControl/>
              <w:spacing w:after="0" w:line="360" w:lineRule="auto"/>
              <w:jc w:val="center"/>
              <w:outlineLvl w:val="1"/>
              <w:rPr>
                <w:rFonts w:hint="eastAsia" w:ascii="仿宋" w:hAnsi="仿宋" w:eastAsia="仿宋" w:cs="仿宋"/>
                <w:color w:val="auto"/>
                <w:szCs w:val="21"/>
                <w:highlight w:val="none"/>
              </w:rPr>
            </w:pPr>
            <w:r>
              <w:rPr>
                <w:rFonts w:hint="eastAsia" w:ascii="仿宋" w:hAnsi="仿宋" w:eastAsia="仿宋" w:cs="仿宋"/>
                <w:color w:val="auto"/>
                <w:szCs w:val="21"/>
                <w:highlight w:val="none"/>
              </w:rPr>
              <w:t>营业执照号</w:t>
            </w:r>
          </w:p>
        </w:tc>
        <w:tc>
          <w:tcPr>
            <w:tcW w:w="2450" w:type="dxa"/>
            <w:gridSpan w:val="2"/>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1394" w:type="dxa"/>
            <w:vMerge w:val="continue"/>
            <w:noWrap w:val="0"/>
            <w:vAlign w:val="center"/>
          </w:tcPr>
          <w:p>
            <w:pPr>
              <w:spacing w:after="0" w:line="360" w:lineRule="auto"/>
              <w:jc w:val="center"/>
              <w:rPr>
                <w:rFonts w:hint="eastAsia" w:ascii="仿宋" w:hAnsi="仿宋" w:eastAsia="仿宋" w:cs="仿宋"/>
                <w:color w:val="auto"/>
                <w:szCs w:val="21"/>
                <w:highlight w:val="none"/>
              </w:rPr>
            </w:pPr>
          </w:p>
        </w:tc>
        <w:tc>
          <w:tcPr>
            <w:tcW w:w="1649" w:type="dxa"/>
            <w:gridSpan w:val="2"/>
            <w:noWrap w:val="0"/>
            <w:vAlign w:val="center"/>
          </w:tcPr>
          <w:p>
            <w:pPr>
              <w:widowControl/>
              <w:spacing w:after="0" w:line="360" w:lineRule="auto"/>
              <w:jc w:val="center"/>
              <w:outlineLvl w:val="1"/>
              <w:rPr>
                <w:rFonts w:hint="eastAsia" w:ascii="仿宋" w:hAnsi="仿宋" w:eastAsia="仿宋" w:cs="仿宋"/>
                <w:color w:val="auto"/>
                <w:szCs w:val="21"/>
                <w:highlight w:val="none"/>
              </w:rPr>
            </w:pPr>
            <w:r>
              <w:rPr>
                <w:rFonts w:hint="eastAsia" w:ascii="仿宋" w:hAnsi="仿宋" w:eastAsia="仿宋" w:cs="仿宋"/>
                <w:color w:val="auto"/>
                <w:szCs w:val="21"/>
                <w:highlight w:val="none"/>
              </w:rPr>
              <w:t>高级职称人员</w:t>
            </w:r>
          </w:p>
        </w:tc>
        <w:tc>
          <w:tcPr>
            <w:tcW w:w="1980" w:type="dxa"/>
            <w:gridSpan w:val="2"/>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699" w:type="dxa"/>
            <w:noWrap w:val="0"/>
            <w:vAlign w:val="center"/>
          </w:tcPr>
          <w:p>
            <w:pPr>
              <w:widowControl/>
              <w:spacing w:after="0" w:line="360" w:lineRule="auto"/>
              <w:jc w:val="center"/>
              <w:outlineLvl w:val="1"/>
              <w:rPr>
                <w:rFonts w:hint="eastAsia" w:ascii="仿宋" w:hAnsi="仿宋" w:eastAsia="仿宋" w:cs="仿宋"/>
                <w:color w:val="auto"/>
                <w:szCs w:val="21"/>
                <w:highlight w:val="none"/>
              </w:rPr>
            </w:pPr>
            <w:r>
              <w:rPr>
                <w:rFonts w:hint="eastAsia" w:ascii="仿宋" w:hAnsi="仿宋" w:eastAsia="仿宋" w:cs="仿宋"/>
                <w:color w:val="auto"/>
                <w:szCs w:val="21"/>
                <w:highlight w:val="none"/>
              </w:rPr>
              <w:t>注册资金</w:t>
            </w:r>
          </w:p>
        </w:tc>
        <w:tc>
          <w:tcPr>
            <w:tcW w:w="2450" w:type="dxa"/>
            <w:gridSpan w:val="2"/>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1394" w:type="dxa"/>
            <w:vMerge w:val="continue"/>
            <w:noWrap w:val="0"/>
            <w:vAlign w:val="center"/>
          </w:tcPr>
          <w:p>
            <w:pPr>
              <w:spacing w:after="0" w:line="360" w:lineRule="auto"/>
              <w:jc w:val="center"/>
              <w:rPr>
                <w:rFonts w:hint="eastAsia" w:ascii="仿宋" w:hAnsi="仿宋" w:eastAsia="仿宋" w:cs="仿宋"/>
                <w:color w:val="auto"/>
                <w:szCs w:val="21"/>
                <w:highlight w:val="none"/>
              </w:rPr>
            </w:pPr>
          </w:p>
        </w:tc>
        <w:tc>
          <w:tcPr>
            <w:tcW w:w="1649" w:type="dxa"/>
            <w:gridSpan w:val="2"/>
            <w:noWrap w:val="0"/>
            <w:vAlign w:val="center"/>
          </w:tcPr>
          <w:p>
            <w:pPr>
              <w:widowControl/>
              <w:spacing w:after="0" w:line="360" w:lineRule="auto"/>
              <w:jc w:val="center"/>
              <w:outlineLvl w:val="1"/>
              <w:rPr>
                <w:rFonts w:hint="eastAsia" w:ascii="仿宋" w:hAnsi="仿宋" w:eastAsia="仿宋" w:cs="仿宋"/>
                <w:color w:val="auto"/>
                <w:szCs w:val="21"/>
                <w:highlight w:val="none"/>
              </w:rPr>
            </w:pPr>
            <w:r>
              <w:rPr>
                <w:rFonts w:hint="eastAsia" w:ascii="仿宋" w:hAnsi="仿宋" w:eastAsia="仿宋" w:cs="仿宋"/>
                <w:color w:val="auto"/>
                <w:szCs w:val="21"/>
                <w:highlight w:val="none"/>
              </w:rPr>
              <w:t>中级职称人员</w:t>
            </w:r>
          </w:p>
        </w:tc>
        <w:tc>
          <w:tcPr>
            <w:tcW w:w="1980" w:type="dxa"/>
            <w:gridSpan w:val="2"/>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699" w:type="dxa"/>
            <w:noWrap w:val="0"/>
            <w:vAlign w:val="center"/>
          </w:tcPr>
          <w:p>
            <w:pPr>
              <w:widowControl/>
              <w:spacing w:after="0" w:line="360" w:lineRule="auto"/>
              <w:jc w:val="center"/>
              <w:outlineLvl w:val="1"/>
              <w:rPr>
                <w:rFonts w:hint="eastAsia" w:ascii="仿宋" w:hAnsi="仿宋" w:eastAsia="仿宋" w:cs="仿宋"/>
                <w:color w:val="auto"/>
                <w:szCs w:val="21"/>
                <w:highlight w:val="none"/>
              </w:rPr>
            </w:pPr>
            <w:r>
              <w:rPr>
                <w:rFonts w:hint="eastAsia" w:ascii="仿宋" w:hAnsi="仿宋" w:eastAsia="仿宋" w:cs="仿宋"/>
                <w:color w:val="auto"/>
                <w:szCs w:val="21"/>
                <w:highlight w:val="none"/>
              </w:rPr>
              <w:t>开户银行</w:t>
            </w:r>
          </w:p>
        </w:tc>
        <w:tc>
          <w:tcPr>
            <w:tcW w:w="2450" w:type="dxa"/>
            <w:gridSpan w:val="2"/>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1394" w:type="dxa"/>
            <w:vMerge w:val="continue"/>
            <w:noWrap w:val="0"/>
            <w:vAlign w:val="center"/>
          </w:tcPr>
          <w:p>
            <w:pPr>
              <w:spacing w:after="0" w:line="360" w:lineRule="auto"/>
              <w:jc w:val="center"/>
              <w:rPr>
                <w:rFonts w:hint="eastAsia" w:ascii="仿宋" w:hAnsi="仿宋" w:eastAsia="仿宋" w:cs="仿宋"/>
                <w:color w:val="auto"/>
                <w:szCs w:val="21"/>
                <w:highlight w:val="none"/>
              </w:rPr>
            </w:pPr>
          </w:p>
        </w:tc>
        <w:tc>
          <w:tcPr>
            <w:tcW w:w="1649" w:type="dxa"/>
            <w:gridSpan w:val="2"/>
            <w:noWrap w:val="0"/>
            <w:vAlign w:val="center"/>
          </w:tcPr>
          <w:p>
            <w:pPr>
              <w:widowControl/>
              <w:spacing w:after="0" w:line="360" w:lineRule="auto"/>
              <w:jc w:val="center"/>
              <w:outlineLvl w:val="1"/>
              <w:rPr>
                <w:rFonts w:hint="eastAsia" w:ascii="仿宋" w:hAnsi="仿宋" w:eastAsia="仿宋" w:cs="仿宋"/>
                <w:color w:val="auto"/>
                <w:szCs w:val="21"/>
                <w:highlight w:val="none"/>
              </w:rPr>
            </w:pPr>
            <w:r>
              <w:rPr>
                <w:rFonts w:hint="eastAsia" w:ascii="仿宋" w:hAnsi="仿宋" w:eastAsia="仿宋" w:cs="仿宋"/>
                <w:color w:val="auto"/>
                <w:szCs w:val="21"/>
                <w:highlight w:val="none"/>
              </w:rPr>
              <w:t>初级职称人员</w:t>
            </w:r>
          </w:p>
        </w:tc>
        <w:tc>
          <w:tcPr>
            <w:tcW w:w="1980" w:type="dxa"/>
            <w:gridSpan w:val="2"/>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699" w:type="dxa"/>
            <w:noWrap w:val="0"/>
            <w:vAlign w:val="center"/>
          </w:tcPr>
          <w:p>
            <w:pPr>
              <w:widowControl/>
              <w:spacing w:after="0" w:line="360" w:lineRule="auto"/>
              <w:ind w:firstLine="411" w:firstLineChars="196"/>
              <w:jc w:val="center"/>
              <w:outlineLvl w:val="1"/>
              <w:rPr>
                <w:rFonts w:hint="eastAsia" w:ascii="仿宋" w:hAnsi="仿宋" w:eastAsia="仿宋" w:cs="仿宋"/>
                <w:color w:val="auto"/>
                <w:szCs w:val="21"/>
                <w:highlight w:val="none"/>
              </w:rPr>
            </w:pPr>
            <w:r>
              <w:rPr>
                <w:rFonts w:hint="eastAsia" w:ascii="仿宋" w:hAnsi="仿宋" w:eastAsia="仿宋" w:cs="仿宋"/>
                <w:color w:val="auto"/>
                <w:szCs w:val="21"/>
                <w:highlight w:val="none"/>
              </w:rPr>
              <w:t>账号</w:t>
            </w:r>
          </w:p>
        </w:tc>
        <w:tc>
          <w:tcPr>
            <w:tcW w:w="2450" w:type="dxa"/>
            <w:gridSpan w:val="2"/>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1394" w:type="dxa"/>
            <w:vMerge w:val="continue"/>
            <w:noWrap w:val="0"/>
            <w:vAlign w:val="center"/>
          </w:tcPr>
          <w:p>
            <w:pPr>
              <w:spacing w:after="0" w:line="360" w:lineRule="auto"/>
              <w:jc w:val="center"/>
              <w:rPr>
                <w:rFonts w:hint="eastAsia" w:ascii="仿宋" w:hAnsi="仿宋" w:eastAsia="仿宋" w:cs="仿宋"/>
                <w:color w:val="auto"/>
                <w:szCs w:val="21"/>
                <w:highlight w:val="none"/>
              </w:rPr>
            </w:pPr>
          </w:p>
        </w:tc>
        <w:tc>
          <w:tcPr>
            <w:tcW w:w="1649" w:type="dxa"/>
            <w:gridSpan w:val="2"/>
            <w:noWrap w:val="0"/>
            <w:vAlign w:val="center"/>
          </w:tcPr>
          <w:p>
            <w:pPr>
              <w:widowControl/>
              <w:spacing w:after="0" w:line="360" w:lineRule="auto"/>
              <w:ind w:firstLine="411" w:firstLineChars="196"/>
              <w:jc w:val="center"/>
              <w:outlineLvl w:val="1"/>
              <w:rPr>
                <w:rFonts w:hint="eastAsia" w:ascii="仿宋" w:hAnsi="仿宋" w:eastAsia="仿宋" w:cs="仿宋"/>
                <w:color w:val="auto"/>
                <w:szCs w:val="21"/>
                <w:highlight w:val="none"/>
              </w:rPr>
            </w:pPr>
            <w:r>
              <w:rPr>
                <w:rFonts w:hint="eastAsia" w:ascii="仿宋" w:hAnsi="仿宋" w:eastAsia="仿宋" w:cs="仿宋"/>
                <w:color w:val="auto"/>
                <w:szCs w:val="21"/>
                <w:highlight w:val="none"/>
              </w:rPr>
              <w:t>技工</w:t>
            </w:r>
          </w:p>
        </w:tc>
        <w:tc>
          <w:tcPr>
            <w:tcW w:w="1980" w:type="dxa"/>
            <w:gridSpan w:val="2"/>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002" w:hRule="atLeast"/>
        </w:trPr>
        <w:tc>
          <w:tcPr>
            <w:tcW w:w="1699" w:type="dxa"/>
            <w:noWrap w:val="0"/>
            <w:vAlign w:val="center"/>
          </w:tcPr>
          <w:p>
            <w:pPr>
              <w:widowControl/>
              <w:spacing w:after="0" w:line="360" w:lineRule="auto"/>
              <w:jc w:val="center"/>
              <w:outlineLvl w:val="1"/>
              <w:rPr>
                <w:rFonts w:hint="eastAsia" w:ascii="仿宋" w:hAnsi="仿宋" w:eastAsia="仿宋" w:cs="仿宋"/>
                <w:color w:val="auto"/>
                <w:szCs w:val="21"/>
                <w:highlight w:val="none"/>
              </w:rPr>
            </w:pPr>
            <w:r>
              <w:rPr>
                <w:rFonts w:hint="eastAsia" w:ascii="仿宋" w:hAnsi="仿宋" w:eastAsia="仿宋" w:cs="仿宋"/>
                <w:color w:val="auto"/>
                <w:szCs w:val="21"/>
                <w:highlight w:val="none"/>
              </w:rPr>
              <w:t>经营范围</w:t>
            </w:r>
          </w:p>
        </w:tc>
        <w:tc>
          <w:tcPr>
            <w:tcW w:w="7473" w:type="dxa"/>
            <w:gridSpan w:val="7"/>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67" w:hRule="atLeast"/>
        </w:trPr>
        <w:tc>
          <w:tcPr>
            <w:tcW w:w="1699" w:type="dxa"/>
            <w:noWrap w:val="0"/>
            <w:vAlign w:val="center"/>
          </w:tcPr>
          <w:p>
            <w:pPr>
              <w:widowControl/>
              <w:spacing w:after="0" w:line="360" w:lineRule="auto"/>
              <w:ind w:firstLine="411" w:firstLineChars="196"/>
              <w:jc w:val="center"/>
              <w:outlineLvl w:val="1"/>
              <w:rPr>
                <w:rFonts w:hint="eastAsia" w:ascii="仿宋" w:hAnsi="仿宋" w:eastAsia="仿宋" w:cs="仿宋"/>
                <w:color w:val="auto"/>
                <w:szCs w:val="21"/>
                <w:highlight w:val="none"/>
              </w:rPr>
            </w:pPr>
            <w:r>
              <w:rPr>
                <w:rFonts w:hint="eastAsia" w:ascii="仿宋" w:hAnsi="仿宋" w:eastAsia="仿宋" w:cs="仿宋"/>
                <w:color w:val="auto"/>
                <w:szCs w:val="21"/>
                <w:highlight w:val="none"/>
              </w:rPr>
              <w:t>备注</w:t>
            </w:r>
          </w:p>
        </w:tc>
        <w:tc>
          <w:tcPr>
            <w:tcW w:w="7473" w:type="dxa"/>
            <w:gridSpan w:val="7"/>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r>
    </w:tbl>
    <w:p>
      <w:pPr>
        <w:adjustRightInd w:val="0"/>
        <w:spacing w:after="0" w:line="360" w:lineRule="auto"/>
        <w:ind w:firstLine="480" w:firstLineChars="200"/>
        <w:jc w:val="left"/>
        <w:rPr>
          <w:rFonts w:hint="eastAsia" w:ascii="仿宋" w:hAnsi="仿宋" w:eastAsia="仿宋" w:cs="仿宋"/>
          <w:color w:val="auto"/>
          <w:sz w:val="24"/>
          <w:highlight w:val="none"/>
        </w:rPr>
      </w:pPr>
    </w:p>
    <w:p>
      <w:pPr>
        <w:adjustRightInd w:val="0"/>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投标人名称（盖章）：</w:t>
      </w:r>
      <w:r>
        <w:rPr>
          <w:rFonts w:hint="eastAsia" w:ascii="仿宋" w:hAnsi="仿宋" w:eastAsia="仿宋" w:cs="仿宋"/>
          <w:color w:val="auto"/>
          <w:sz w:val="24"/>
          <w:highlight w:val="none"/>
          <w:u w:val="single"/>
        </w:rPr>
        <w:t xml:space="preserve">                      </w:t>
      </w:r>
    </w:p>
    <w:p>
      <w:pPr>
        <w:widowControl/>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
        <w:spacing w:after="0" w:line="360" w:lineRule="auto"/>
        <w:rPr>
          <w:rFonts w:hint="eastAsia" w:ascii="仿宋" w:hAnsi="仿宋" w:eastAsia="仿宋" w:cs="仿宋"/>
          <w:color w:val="auto"/>
          <w:highlight w:val="none"/>
        </w:rPr>
      </w:pPr>
    </w:p>
    <w:p>
      <w:pPr>
        <w:spacing w:after="0" w:line="360" w:lineRule="auto"/>
        <w:jc w:val="center"/>
        <w:outlineLvl w:val="2"/>
        <w:rPr>
          <w:rStyle w:val="50"/>
          <w:rFonts w:hint="eastAsia" w:ascii="仿宋" w:hAnsi="仿宋" w:eastAsia="仿宋" w:cs="仿宋"/>
          <w:color w:val="auto"/>
          <w:highlight w:val="none"/>
        </w:rPr>
      </w:pPr>
      <w:r>
        <w:rPr>
          <w:rFonts w:hint="eastAsia" w:ascii="仿宋" w:hAnsi="仿宋" w:eastAsia="仿宋" w:cs="仿宋"/>
          <w:color w:val="auto"/>
          <w:sz w:val="24"/>
          <w:highlight w:val="none"/>
        </w:rPr>
        <w:br w:type="page"/>
      </w:r>
      <w:r>
        <w:rPr>
          <w:rStyle w:val="50"/>
          <w:rFonts w:hint="eastAsia" w:ascii="仿宋" w:hAnsi="仿宋" w:eastAsia="仿宋" w:cs="仿宋"/>
          <w:color w:val="auto"/>
          <w:highlight w:val="none"/>
        </w:rPr>
        <w:t>六、类似项目业绩一览表</w:t>
      </w:r>
    </w:p>
    <w:tbl>
      <w:tblPr>
        <w:tblStyle w:val="34"/>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54" w:type="dxa"/>
          <w:bottom w:w="0" w:type="dxa"/>
          <w:right w:w="54" w:type="dxa"/>
        </w:tblCellMar>
      </w:tblPr>
      <w:tblGrid>
        <w:gridCol w:w="892"/>
        <w:gridCol w:w="892"/>
        <w:gridCol w:w="1461"/>
        <w:gridCol w:w="1439"/>
        <w:gridCol w:w="1266"/>
        <w:gridCol w:w="1377"/>
        <w:gridCol w:w="108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530" w:type="pct"/>
            <w:tcBorders>
              <w:top w:val="single" w:color="auto" w:sz="4" w:space="0"/>
            </w:tcBorders>
            <w:noWrap w:val="0"/>
            <w:vAlign w:val="center"/>
          </w:tcPr>
          <w:p>
            <w:pPr>
              <w:widowControl/>
              <w:spacing w:after="0" w:line="360" w:lineRule="auto"/>
              <w:jc w:val="center"/>
              <w:outlineLvl w:val="1"/>
              <w:rPr>
                <w:rFonts w:hint="eastAsia" w:ascii="仿宋" w:hAnsi="仿宋" w:eastAsia="仿宋" w:cs="仿宋"/>
                <w:color w:val="auto"/>
                <w:szCs w:val="21"/>
                <w:highlight w:val="none"/>
              </w:rPr>
            </w:pPr>
            <w:r>
              <w:rPr>
                <w:rFonts w:hint="eastAsia" w:ascii="仿宋" w:hAnsi="仿宋" w:eastAsia="仿宋" w:cs="仿宋"/>
                <w:color w:val="auto"/>
                <w:szCs w:val="21"/>
                <w:highlight w:val="none"/>
              </w:rPr>
              <w:t>序号</w:t>
            </w:r>
          </w:p>
        </w:tc>
        <w:tc>
          <w:tcPr>
            <w:tcW w:w="530" w:type="pct"/>
            <w:tcBorders>
              <w:top w:val="single" w:color="auto" w:sz="4" w:space="0"/>
            </w:tcBorders>
            <w:noWrap w:val="0"/>
            <w:vAlign w:val="center"/>
          </w:tcPr>
          <w:p>
            <w:pPr>
              <w:widowControl/>
              <w:spacing w:after="0" w:line="360" w:lineRule="auto"/>
              <w:jc w:val="center"/>
              <w:outlineLvl w:val="1"/>
              <w:rPr>
                <w:rFonts w:hint="eastAsia" w:ascii="仿宋" w:hAnsi="仿宋" w:eastAsia="仿宋" w:cs="仿宋"/>
                <w:color w:val="auto"/>
                <w:szCs w:val="21"/>
                <w:highlight w:val="none"/>
              </w:rPr>
            </w:pPr>
            <w:r>
              <w:rPr>
                <w:rFonts w:hint="eastAsia" w:ascii="仿宋" w:hAnsi="仿宋" w:eastAsia="仿宋" w:cs="仿宋"/>
                <w:color w:val="auto"/>
                <w:szCs w:val="21"/>
                <w:highlight w:val="none"/>
              </w:rPr>
              <w:t>合同签订时间</w:t>
            </w:r>
          </w:p>
        </w:tc>
        <w:tc>
          <w:tcPr>
            <w:tcW w:w="868" w:type="pct"/>
            <w:noWrap w:val="0"/>
            <w:vAlign w:val="center"/>
          </w:tcPr>
          <w:p>
            <w:pPr>
              <w:widowControl/>
              <w:spacing w:after="0" w:line="360" w:lineRule="auto"/>
              <w:jc w:val="center"/>
              <w:outlineLvl w:val="1"/>
              <w:rPr>
                <w:rFonts w:hint="eastAsia" w:ascii="仿宋" w:hAnsi="仿宋" w:eastAsia="仿宋" w:cs="仿宋"/>
                <w:color w:val="auto"/>
                <w:szCs w:val="21"/>
                <w:highlight w:val="none"/>
              </w:rPr>
            </w:pPr>
            <w:r>
              <w:rPr>
                <w:rFonts w:hint="eastAsia" w:ascii="仿宋" w:hAnsi="仿宋" w:eastAsia="仿宋" w:cs="仿宋"/>
                <w:color w:val="auto"/>
                <w:szCs w:val="21"/>
                <w:highlight w:val="none"/>
              </w:rPr>
              <w:t>用户名称</w:t>
            </w:r>
          </w:p>
        </w:tc>
        <w:tc>
          <w:tcPr>
            <w:tcW w:w="855" w:type="pct"/>
            <w:noWrap w:val="0"/>
            <w:vAlign w:val="center"/>
          </w:tcPr>
          <w:p>
            <w:pPr>
              <w:widowControl/>
              <w:spacing w:after="0" w:line="360" w:lineRule="auto"/>
              <w:jc w:val="center"/>
              <w:outlineLvl w:val="1"/>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项目名称</w:t>
            </w:r>
          </w:p>
        </w:tc>
        <w:tc>
          <w:tcPr>
            <w:tcW w:w="752" w:type="pct"/>
            <w:noWrap w:val="0"/>
            <w:vAlign w:val="center"/>
          </w:tcPr>
          <w:p>
            <w:pPr>
              <w:widowControl/>
              <w:spacing w:after="0" w:line="360" w:lineRule="auto"/>
              <w:jc w:val="center"/>
              <w:outlineLvl w:val="1"/>
              <w:rPr>
                <w:rFonts w:hint="eastAsia" w:ascii="仿宋" w:hAnsi="仿宋" w:eastAsia="仿宋" w:cs="仿宋"/>
                <w:color w:val="auto"/>
                <w:szCs w:val="21"/>
                <w:highlight w:val="none"/>
              </w:rPr>
            </w:pPr>
            <w:r>
              <w:rPr>
                <w:rFonts w:hint="eastAsia" w:ascii="仿宋" w:hAnsi="仿宋" w:eastAsia="仿宋" w:cs="仿宋"/>
                <w:color w:val="auto"/>
                <w:szCs w:val="21"/>
                <w:highlight w:val="none"/>
              </w:rPr>
              <w:t>完成时间</w:t>
            </w:r>
          </w:p>
        </w:tc>
        <w:tc>
          <w:tcPr>
            <w:tcW w:w="818" w:type="pct"/>
            <w:noWrap w:val="0"/>
            <w:vAlign w:val="center"/>
          </w:tcPr>
          <w:p>
            <w:pPr>
              <w:widowControl/>
              <w:spacing w:after="0" w:line="360" w:lineRule="auto"/>
              <w:jc w:val="center"/>
              <w:outlineLvl w:val="1"/>
              <w:rPr>
                <w:rFonts w:hint="eastAsia" w:ascii="仿宋" w:hAnsi="仿宋" w:eastAsia="仿宋" w:cs="仿宋"/>
                <w:color w:val="auto"/>
                <w:szCs w:val="21"/>
                <w:highlight w:val="none"/>
              </w:rPr>
            </w:pPr>
            <w:r>
              <w:rPr>
                <w:rFonts w:hint="eastAsia" w:ascii="仿宋" w:hAnsi="仿宋" w:eastAsia="仿宋" w:cs="仿宋"/>
                <w:color w:val="auto"/>
                <w:szCs w:val="21"/>
                <w:highlight w:val="none"/>
              </w:rPr>
              <w:t>合同金额</w:t>
            </w:r>
          </w:p>
        </w:tc>
        <w:tc>
          <w:tcPr>
            <w:tcW w:w="643" w:type="pct"/>
            <w:tcBorders>
              <w:left w:val="single" w:color="auto" w:sz="4" w:space="0"/>
            </w:tcBorders>
            <w:noWrap w:val="0"/>
            <w:vAlign w:val="center"/>
          </w:tcPr>
          <w:p>
            <w:pPr>
              <w:widowControl/>
              <w:spacing w:after="0" w:line="360" w:lineRule="auto"/>
              <w:jc w:val="center"/>
              <w:outlineLvl w:val="1"/>
              <w:rPr>
                <w:rFonts w:hint="eastAsia" w:ascii="仿宋" w:hAnsi="仿宋" w:eastAsia="仿宋" w:cs="仿宋"/>
                <w:color w:val="auto"/>
                <w:szCs w:val="21"/>
                <w:highlight w:val="none"/>
              </w:rPr>
            </w:pPr>
            <w:r>
              <w:rPr>
                <w:rFonts w:hint="eastAsia" w:ascii="仿宋" w:hAnsi="仿宋" w:eastAsia="仿宋" w:cs="仿宋"/>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530"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530"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868"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855"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752"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818"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643" w:type="pct"/>
            <w:tcBorders>
              <w:left w:val="single" w:color="auto" w:sz="4" w:space="0"/>
            </w:tcBorders>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530"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530"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868"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855"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752"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818"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643" w:type="pct"/>
            <w:tcBorders>
              <w:left w:val="single" w:color="auto" w:sz="4" w:space="0"/>
            </w:tcBorders>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530"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530"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868"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855"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752"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818"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643" w:type="pct"/>
            <w:tcBorders>
              <w:left w:val="single" w:color="auto" w:sz="4" w:space="0"/>
            </w:tcBorders>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530"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530"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868" w:type="pct"/>
            <w:tcBorders>
              <w:right w:val="single" w:color="auto" w:sz="4" w:space="0"/>
            </w:tcBorders>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855" w:type="pct"/>
            <w:tcBorders>
              <w:left w:val="single" w:color="auto" w:sz="4" w:space="0"/>
            </w:tcBorders>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752"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818"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643" w:type="pct"/>
            <w:tcBorders>
              <w:left w:val="single" w:color="auto" w:sz="4" w:space="0"/>
            </w:tcBorders>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530"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530"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868" w:type="pct"/>
            <w:tcBorders>
              <w:right w:val="single" w:color="auto" w:sz="4" w:space="0"/>
            </w:tcBorders>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855" w:type="pct"/>
            <w:tcBorders>
              <w:left w:val="single" w:color="auto" w:sz="4" w:space="0"/>
            </w:tcBorders>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752"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818"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643" w:type="pct"/>
            <w:tcBorders>
              <w:left w:val="single" w:color="auto" w:sz="4" w:space="0"/>
            </w:tcBorders>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530"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530"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868" w:type="pct"/>
            <w:tcBorders>
              <w:right w:val="single" w:color="auto" w:sz="4" w:space="0"/>
            </w:tcBorders>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855" w:type="pct"/>
            <w:tcBorders>
              <w:left w:val="single" w:color="auto" w:sz="4" w:space="0"/>
            </w:tcBorders>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752"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818"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643" w:type="pct"/>
            <w:tcBorders>
              <w:left w:val="single" w:color="auto" w:sz="4" w:space="0"/>
            </w:tcBorders>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530"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530"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868" w:type="pct"/>
            <w:tcBorders>
              <w:right w:val="single" w:color="auto" w:sz="4" w:space="0"/>
            </w:tcBorders>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855" w:type="pct"/>
            <w:tcBorders>
              <w:left w:val="single" w:color="auto" w:sz="4" w:space="0"/>
            </w:tcBorders>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752"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818"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643" w:type="pct"/>
            <w:tcBorders>
              <w:left w:val="single" w:color="auto" w:sz="4" w:space="0"/>
            </w:tcBorders>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530"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530"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868" w:type="pct"/>
            <w:tcBorders>
              <w:right w:val="single" w:color="auto" w:sz="4" w:space="0"/>
            </w:tcBorders>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855" w:type="pct"/>
            <w:tcBorders>
              <w:left w:val="single" w:color="auto" w:sz="4" w:space="0"/>
            </w:tcBorders>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752"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818"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643" w:type="pct"/>
            <w:tcBorders>
              <w:left w:val="single" w:color="auto" w:sz="4" w:space="0"/>
            </w:tcBorders>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530"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530"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868" w:type="pct"/>
            <w:tcBorders>
              <w:right w:val="single" w:color="auto" w:sz="4" w:space="0"/>
            </w:tcBorders>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855" w:type="pct"/>
            <w:tcBorders>
              <w:left w:val="single" w:color="auto" w:sz="4" w:space="0"/>
            </w:tcBorders>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752"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818"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643" w:type="pct"/>
            <w:tcBorders>
              <w:left w:val="single" w:color="auto" w:sz="4" w:space="0"/>
            </w:tcBorders>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530"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530"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868" w:type="pct"/>
            <w:tcBorders>
              <w:right w:val="single" w:color="auto" w:sz="4" w:space="0"/>
            </w:tcBorders>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855" w:type="pct"/>
            <w:tcBorders>
              <w:left w:val="single" w:color="auto" w:sz="4" w:space="0"/>
            </w:tcBorders>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752"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818"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643" w:type="pct"/>
            <w:tcBorders>
              <w:left w:val="single" w:color="auto" w:sz="4" w:space="0"/>
            </w:tcBorders>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530"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530"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868" w:type="pct"/>
            <w:tcBorders>
              <w:right w:val="single" w:color="auto" w:sz="4" w:space="0"/>
            </w:tcBorders>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855" w:type="pct"/>
            <w:tcBorders>
              <w:left w:val="single" w:color="auto" w:sz="4" w:space="0"/>
            </w:tcBorders>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752"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818"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643" w:type="pct"/>
            <w:tcBorders>
              <w:left w:val="single" w:color="auto" w:sz="4" w:space="0"/>
            </w:tcBorders>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530"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530"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868" w:type="pct"/>
            <w:tcBorders>
              <w:right w:val="single" w:color="auto" w:sz="4" w:space="0"/>
            </w:tcBorders>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855" w:type="pct"/>
            <w:tcBorders>
              <w:left w:val="single" w:color="auto" w:sz="4" w:space="0"/>
            </w:tcBorders>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752"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818" w:type="pct"/>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c>
          <w:tcPr>
            <w:tcW w:w="643" w:type="pct"/>
            <w:tcBorders>
              <w:left w:val="single" w:color="auto" w:sz="4" w:space="0"/>
            </w:tcBorders>
            <w:noWrap w:val="0"/>
            <w:vAlign w:val="center"/>
          </w:tcPr>
          <w:p>
            <w:pPr>
              <w:widowControl/>
              <w:spacing w:after="0" w:line="360" w:lineRule="auto"/>
              <w:ind w:firstLine="411" w:firstLineChars="196"/>
              <w:jc w:val="center"/>
              <w:rPr>
                <w:rFonts w:hint="eastAsia" w:ascii="仿宋" w:hAnsi="仿宋" w:eastAsia="仿宋" w:cs="仿宋"/>
                <w:color w:val="auto"/>
                <w:szCs w:val="21"/>
                <w:highlight w:val="none"/>
              </w:rPr>
            </w:pPr>
          </w:p>
        </w:tc>
      </w:tr>
    </w:tbl>
    <w:p>
      <w:pPr>
        <w:widowControl/>
        <w:spacing w:after="0" w:line="360" w:lineRule="auto"/>
        <w:ind w:firstLine="472" w:firstLineChars="196"/>
        <w:jc w:val="left"/>
        <w:rPr>
          <w:rFonts w:hint="eastAsia" w:ascii="仿宋" w:hAnsi="仿宋" w:eastAsia="仿宋" w:cs="仿宋"/>
          <w:b/>
          <w:bCs/>
          <w:color w:val="auto"/>
          <w:sz w:val="24"/>
          <w:highlight w:val="none"/>
        </w:rPr>
      </w:pPr>
    </w:p>
    <w:p>
      <w:pPr>
        <w:widowControl/>
        <w:spacing w:after="0" w:line="360" w:lineRule="auto"/>
        <w:ind w:firstLine="472" w:firstLineChars="196"/>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注：以上业绩需提供招标文件要求的有关书面证明材料。</w:t>
      </w:r>
    </w:p>
    <w:p>
      <w:pPr>
        <w:adjustRightInd w:val="0"/>
        <w:spacing w:after="0" w:line="360" w:lineRule="auto"/>
        <w:jc w:val="left"/>
        <w:rPr>
          <w:rFonts w:hint="eastAsia" w:ascii="仿宋" w:hAnsi="仿宋" w:eastAsia="仿宋" w:cs="仿宋"/>
          <w:color w:val="auto"/>
          <w:sz w:val="24"/>
          <w:highlight w:val="none"/>
        </w:rPr>
      </w:pPr>
    </w:p>
    <w:p>
      <w:pPr>
        <w:adjustRightInd w:val="0"/>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投标人名称（盖章）：</w:t>
      </w:r>
      <w:r>
        <w:rPr>
          <w:rFonts w:hint="eastAsia" w:ascii="仿宋" w:hAnsi="仿宋" w:eastAsia="仿宋" w:cs="仿宋"/>
          <w:color w:val="auto"/>
          <w:sz w:val="24"/>
          <w:highlight w:val="none"/>
          <w:u w:val="single"/>
        </w:rPr>
        <w:t xml:space="preserve">                      </w:t>
      </w:r>
    </w:p>
    <w:p>
      <w:pPr>
        <w:widowControl/>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spacing w:after="0" w:line="360" w:lineRule="auto"/>
        <w:jc w:val="center"/>
        <w:outlineLvl w:val="2"/>
        <w:rPr>
          <w:rStyle w:val="50"/>
          <w:rFonts w:hint="eastAsia" w:ascii="仿宋" w:hAnsi="仿宋" w:eastAsia="仿宋" w:cs="仿宋"/>
          <w:bCs w:val="0"/>
          <w:color w:val="auto"/>
          <w:highlight w:val="none"/>
        </w:rPr>
      </w:pPr>
      <w:r>
        <w:rPr>
          <w:rFonts w:hint="eastAsia" w:ascii="仿宋" w:hAnsi="仿宋" w:eastAsia="仿宋" w:cs="仿宋"/>
          <w:color w:val="auto"/>
          <w:sz w:val="24"/>
          <w:highlight w:val="none"/>
        </w:rPr>
        <w:br w:type="page"/>
      </w:r>
      <w:bookmarkEnd w:id="144"/>
      <w:bookmarkEnd w:id="153"/>
      <w:bookmarkEnd w:id="157"/>
      <w:bookmarkStart w:id="158" w:name="_Toc217446090"/>
      <w:bookmarkStart w:id="159" w:name="PO_默认文件内容_26"/>
      <w:r>
        <w:rPr>
          <w:rStyle w:val="50"/>
          <w:rFonts w:hint="eastAsia" w:ascii="仿宋" w:hAnsi="仿宋" w:eastAsia="仿宋" w:cs="仿宋"/>
          <w:bCs w:val="0"/>
          <w:color w:val="auto"/>
          <w:highlight w:val="none"/>
          <w:lang w:val="en-US" w:eastAsia="zh-CN"/>
        </w:rPr>
        <w:t>七</w:t>
      </w:r>
      <w:r>
        <w:rPr>
          <w:rStyle w:val="50"/>
          <w:rFonts w:hint="eastAsia" w:ascii="仿宋" w:hAnsi="仿宋" w:eastAsia="仿宋" w:cs="仿宋"/>
          <w:bCs w:val="0"/>
          <w:color w:val="auto"/>
          <w:highlight w:val="none"/>
        </w:rPr>
        <w:t>、技术应答表</w:t>
      </w:r>
    </w:p>
    <w:p>
      <w:pPr>
        <w:widowControl/>
        <w:spacing w:after="0" w:line="360" w:lineRule="auto"/>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项目名称：</w:t>
      </w:r>
    </w:p>
    <w:p>
      <w:pPr>
        <w:widowControl/>
        <w:spacing w:after="0" w:line="360" w:lineRule="auto"/>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项目编号：</w:t>
      </w:r>
    </w:p>
    <w:p>
      <w:pPr>
        <w:pStyle w:val="2"/>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包号：</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2010"/>
        <w:gridCol w:w="2355"/>
        <w:gridCol w:w="1859"/>
        <w:gridCol w:w="2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20" w:type="dxa"/>
            <w:noWrap w:val="0"/>
            <w:vAlign w:val="center"/>
          </w:tcPr>
          <w:p>
            <w:pPr>
              <w:widowControl/>
              <w:spacing w:after="0"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序号</w:t>
            </w:r>
          </w:p>
        </w:tc>
        <w:tc>
          <w:tcPr>
            <w:tcW w:w="2010" w:type="dxa"/>
            <w:noWrap w:val="0"/>
            <w:vAlign w:val="center"/>
          </w:tcPr>
          <w:p>
            <w:pPr>
              <w:widowControl/>
              <w:spacing w:after="0"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招标文件条目号</w:t>
            </w:r>
          </w:p>
        </w:tc>
        <w:tc>
          <w:tcPr>
            <w:tcW w:w="2355" w:type="dxa"/>
            <w:noWrap w:val="0"/>
            <w:vAlign w:val="center"/>
          </w:tcPr>
          <w:p>
            <w:pPr>
              <w:widowControl/>
              <w:spacing w:after="0"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招标文件要求</w:t>
            </w:r>
          </w:p>
        </w:tc>
        <w:tc>
          <w:tcPr>
            <w:tcW w:w="1859" w:type="dxa"/>
            <w:noWrap w:val="0"/>
            <w:vAlign w:val="center"/>
          </w:tcPr>
          <w:p>
            <w:pPr>
              <w:widowControl/>
              <w:spacing w:after="0"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投标技术应答</w:t>
            </w:r>
          </w:p>
        </w:tc>
        <w:tc>
          <w:tcPr>
            <w:tcW w:w="2031" w:type="dxa"/>
            <w:noWrap w:val="0"/>
            <w:vAlign w:val="center"/>
          </w:tcPr>
          <w:p>
            <w:pPr>
              <w:widowControl/>
              <w:spacing w:after="0"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偏离情况（正偏离或负偏离或无偏离）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20" w:type="dxa"/>
            <w:noWrap w:val="0"/>
            <w:vAlign w:val="top"/>
          </w:tcPr>
          <w:p>
            <w:pPr>
              <w:widowControl/>
              <w:spacing w:after="0" w:line="360" w:lineRule="auto"/>
              <w:jc w:val="left"/>
              <w:rPr>
                <w:rFonts w:hint="eastAsia" w:ascii="仿宋" w:hAnsi="仿宋" w:eastAsia="仿宋" w:cs="仿宋"/>
                <w:color w:val="auto"/>
                <w:szCs w:val="21"/>
                <w:highlight w:val="none"/>
              </w:rPr>
            </w:pPr>
          </w:p>
        </w:tc>
        <w:tc>
          <w:tcPr>
            <w:tcW w:w="2010" w:type="dxa"/>
            <w:noWrap w:val="0"/>
            <w:vAlign w:val="top"/>
          </w:tcPr>
          <w:p>
            <w:pPr>
              <w:widowControl/>
              <w:spacing w:after="0" w:line="360" w:lineRule="auto"/>
              <w:jc w:val="left"/>
              <w:rPr>
                <w:rFonts w:hint="eastAsia" w:ascii="仿宋" w:hAnsi="仿宋" w:eastAsia="仿宋" w:cs="仿宋"/>
                <w:color w:val="auto"/>
                <w:szCs w:val="21"/>
                <w:highlight w:val="none"/>
              </w:rPr>
            </w:pPr>
          </w:p>
        </w:tc>
        <w:tc>
          <w:tcPr>
            <w:tcW w:w="2355" w:type="dxa"/>
            <w:noWrap w:val="0"/>
            <w:vAlign w:val="top"/>
          </w:tcPr>
          <w:p>
            <w:pPr>
              <w:widowControl/>
              <w:spacing w:after="0" w:line="360" w:lineRule="auto"/>
              <w:jc w:val="left"/>
              <w:rPr>
                <w:rFonts w:hint="eastAsia" w:ascii="仿宋" w:hAnsi="仿宋" w:eastAsia="仿宋" w:cs="仿宋"/>
                <w:color w:val="auto"/>
                <w:szCs w:val="21"/>
                <w:highlight w:val="none"/>
              </w:rPr>
            </w:pPr>
          </w:p>
        </w:tc>
        <w:tc>
          <w:tcPr>
            <w:tcW w:w="1859" w:type="dxa"/>
            <w:noWrap w:val="0"/>
            <w:vAlign w:val="top"/>
          </w:tcPr>
          <w:p>
            <w:pPr>
              <w:widowControl/>
              <w:spacing w:after="0" w:line="360" w:lineRule="auto"/>
              <w:jc w:val="left"/>
              <w:rPr>
                <w:rFonts w:hint="eastAsia" w:ascii="仿宋" w:hAnsi="仿宋" w:eastAsia="仿宋" w:cs="仿宋"/>
                <w:color w:val="auto"/>
                <w:szCs w:val="21"/>
                <w:highlight w:val="none"/>
              </w:rPr>
            </w:pPr>
          </w:p>
        </w:tc>
        <w:tc>
          <w:tcPr>
            <w:tcW w:w="2031" w:type="dxa"/>
            <w:noWrap w:val="0"/>
            <w:vAlign w:val="top"/>
          </w:tcPr>
          <w:p>
            <w:pPr>
              <w:widowControl/>
              <w:spacing w:after="0" w:line="360" w:lineRule="auto"/>
              <w:jc w:val="left"/>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20" w:type="dxa"/>
            <w:noWrap w:val="0"/>
            <w:vAlign w:val="top"/>
          </w:tcPr>
          <w:p>
            <w:pPr>
              <w:widowControl/>
              <w:spacing w:after="0" w:line="360" w:lineRule="auto"/>
              <w:jc w:val="left"/>
              <w:rPr>
                <w:rFonts w:hint="eastAsia" w:ascii="仿宋" w:hAnsi="仿宋" w:eastAsia="仿宋" w:cs="仿宋"/>
                <w:color w:val="auto"/>
                <w:szCs w:val="21"/>
                <w:highlight w:val="none"/>
              </w:rPr>
            </w:pPr>
          </w:p>
        </w:tc>
        <w:tc>
          <w:tcPr>
            <w:tcW w:w="2010" w:type="dxa"/>
            <w:noWrap w:val="0"/>
            <w:vAlign w:val="top"/>
          </w:tcPr>
          <w:p>
            <w:pPr>
              <w:widowControl/>
              <w:spacing w:after="0" w:line="360" w:lineRule="auto"/>
              <w:jc w:val="left"/>
              <w:rPr>
                <w:rFonts w:hint="eastAsia" w:ascii="仿宋" w:hAnsi="仿宋" w:eastAsia="仿宋" w:cs="仿宋"/>
                <w:color w:val="auto"/>
                <w:szCs w:val="21"/>
                <w:highlight w:val="none"/>
              </w:rPr>
            </w:pPr>
          </w:p>
        </w:tc>
        <w:tc>
          <w:tcPr>
            <w:tcW w:w="2355" w:type="dxa"/>
            <w:noWrap w:val="0"/>
            <w:vAlign w:val="top"/>
          </w:tcPr>
          <w:p>
            <w:pPr>
              <w:widowControl/>
              <w:spacing w:after="0" w:line="360" w:lineRule="auto"/>
              <w:jc w:val="left"/>
              <w:rPr>
                <w:rFonts w:hint="eastAsia" w:ascii="仿宋" w:hAnsi="仿宋" w:eastAsia="仿宋" w:cs="仿宋"/>
                <w:color w:val="auto"/>
                <w:szCs w:val="21"/>
                <w:highlight w:val="none"/>
              </w:rPr>
            </w:pPr>
          </w:p>
        </w:tc>
        <w:tc>
          <w:tcPr>
            <w:tcW w:w="1859" w:type="dxa"/>
            <w:noWrap w:val="0"/>
            <w:vAlign w:val="top"/>
          </w:tcPr>
          <w:p>
            <w:pPr>
              <w:widowControl/>
              <w:spacing w:after="0" w:line="360" w:lineRule="auto"/>
              <w:jc w:val="left"/>
              <w:rPr>
                <w:rFonts w:hint="eastAsia" w:ascii="仿宋" w:hAnsi="仿宋" w:eastAsia="仿宋" w:cs="仿宋"/>
                <w:color w:val="auto"/>
                <w:szCs w:val="21"/>
                <w:highlight w:val="none"/>
              </w:rPr>
            </w:pPr>
          </w:p>
        </w:tc>
        <w:tc>
          <w:tcPr>
            <w:tcW w:w="2031" w:type="dxa"/>
            <w:noWrap w:val="0"/>
            <w:vAlign w:val="top"/>
          </w:tcPr>
          <w:p>
            <w:pPr>
              <w:widowControl/>
              <w:spacing w:after="0" w:line="360" w:lineRule="auto"/>
              <w:jc w:val="left"/>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20" w:type="dxa"/>
            <w:noWrap w:val="0"/>
            <w:vAlign w:val="top"/>
          </w:tcPr>
          <w:p>
            <w:pPr>
              <w:widowControl/>
              <w:spacing w:after="0" w:line="360" w:lineRule="auto"/>
              <w:jc w:val="left"/>
              <w:rPr>
                <w:rFonts w:hint="eastAsia" w:ascii="仿宋" w:hAnsi="仿宋" w:eastAsia="仿宋" w:cs="仿宋"/>
                <w:color w:val="auto"/>
                <w:szCs w:val="21"/>
                <w:highlight w:val="none"/>
              </w:rPr>
            </w:pPr>
          </w:p>
        </w:tc>
        <w:tc>
          <w:tcPr>
            <w:tcW w:w="2010" w:type="dxa"/>
            <w:noWrap w:val="0"/>
            <w:vAlign w:val="top"/>
          </w:tcPr>
          <w:p>
            <w:pPr>
              <w:widowControl/>
              <w:spacing w:after="0" w:line="360" w:lineRule="auto"/>
              <w:jc w:val="left"/>
              <w:rPr>
                <w:rFonts w:hint="eastAsia" w:ascii="仿宋" w:hAnsi="仿宋" w:eastAsia="仿宋" w:cs="仿宋"/>
                <w:color w:val="auto"/>
                <w:szCs w:val="21"/>
                <w:highlight w:val="none"/>
              </w:rPr>
            </w:pPr>
          </w:p>
        </w:tc>
        <w:tc>
          <w:tcPr>
            <w:tcW w:w="2355" w:type="dxa"/>
            <w:noWrap w:val="0"/>
            <w:vAlign w:val="top"/>
          </w:tcPr>
          <w:p>
            <w:pPr>
              <w:widowControl/>
              <w:spacing w:after="0" w:line="360" w:lineRule="auto"/>
              <w:jc w:val="left"/>
              <w:rPr>
                <w:rFonts w:hint="eastAsia" w:ascii="仿宋" w:hAnsi="仿宋" w:eastAsia="仿宋" w:cs="仿宋"/>
                <w:color w:val="auto"/>
                <w:szCs w:val="21"/>
                <w:highlight w:val="none"/>
              </w:rPr>
            </w:pPr>
          </w:p>
        </w:tc>
        <w:tc>
          <w:tcPr>
            <w:tcW w:w="1859" w:type="dxa"/>
            <w:noWrap w:val="0"/>
            <w:vAlign w:val="top"/>
          </w:tcPr>
          <w:p>
            <w:pPr>
              <w:widowControl/>
              <w:spacing w:after="0" w:line="360" w:lineRule="auto"/>
              <w:jc w:val="left"/>
              <w:rPr>
                <w:rFonts w:hint="eastAsia" w:ascii="仿宋" w:hAnsi="仿宋" w:eastAsia="仿宋" w:cs="仿宋"/>
                <w:color w:val="auto"/>
                <w:szCs w:val="21"/>
                <w:highlight w:val="none"/>
              </w:rPr>
            </w:pPr>
          </w:p>
        </w:tc>
        <w:tc>
          <w:tcPr>
            <w:tcW w:w="2031" w:type="dxa"/>
            <w:noWrap w:val="0"/>
            <w:vAlign w:val="top"/>
          </w:tcPr>
          <w:p>
            <w:pPr>
              <w:widowControl/>
              <w:spacing w:after="0" w:line="360" w:lineRule="auto"/>
              <w:jc w:val="left"/>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20" w:type="dxa"/>
            <w:noWrap w:val="0"/>
            <w:vAlign w:val="top"/>
          </w:tcPr>
          <w:p>
            <w:pPr>
              <w:widowControl/>
              <w:spacing w:after="0" w:line="360" w:lineRule="auto"/>
              <w:jc w:val="left"/>
              <w:rPr>
                <w:rFonts w:hint="eastAsia" w:ascii="仿宋" w:hAnsi="仿宋" w:eastAsia="仿宋" w:cs="仿宋"/>
                <w:color w:val="auto"/>
                <w:szCs w:val="21"/>
                <w:highlight w:val="none"/>
              </w:rPr>
            </w:pPr>
          </w:p>
        </w:tc>
        <w:tc>
          <w:tcPr>
            <w:tcW w:w="2010" w:type="dxa"/>
            <w:noWrap w:val="0"/>
            <w:vAlign w:val="top"/>
          </w:tcPr>
          <w:p>
            <w:pPr>
              <w:widowControl/>
              <w:spacing w:after="0" w:line="360" w:lineRule="auto"/>
              <w:jc w:val="left"/>
              <w:rPr>
                <w:rFonts w:hint="eastAsia" w:ascii="仿宋" w:hAnsi="仿宋" w:eastAsia="仿宋" w:cs="仿宋"/>
                <w:color w:val="auto"/>
                <w:szCs w:val="21"/>
                <w:highlight w:val="none"/>
              </w:rPr>
            </w:pPr>
          </w:p>
        </w:tc>
        <w:tc>
          <w:tcPr>
            <w:tcW w:w="2355" w:type="dxa"/>
            <w:noWrap w:val="0"/>
            <w:vAlign w:val="top"/>
          </w:tcPr>
          <w:p>
            <w:pPr>
              <w:widowControl/>
              <w:spacing w:after="0" w:line="360" w:lineRule="auto"/>
              <w:jc w:val="left"/>
              <w:rPr>
                <w:rFonts w:hint="eastAsia" w:ascii="仿宋" w:hAnsi="仿宋" w:eastAsia="仿宋" w:cs="仿宋"/>
                <w:color w:val="auto"/>
                <w:szCs w:val="21"/>
                <w:highlight w:val="none"/>
              </w:rPr>
            </w:pPr>
          </w:p>
        </w:tc>
        <w:tc>
          <w:tcPr>
            <w:tcW w:w="1859" w:type="dxa"/>
            <w:noWrap w:val="0"/>
            <w:vAlign w:val="top"/>
          </w:tcPr>
          <w:p>
            <w:pPr>
              <w:widowControl/>
              <w:spacing w:after="0" w:line="360" w:lineRule="auto"/>
              <w:jc w:val="left"/>
              <w:rPr>
                <w:rFonts w:hint="eastAsia" w:ascii="仿宋" w:hAnsi="仿宋" w:eastAsia="仿宋" w:cs="仿宋"/>
                <w:color w:val="auto"/>
                <w:szCs w:val="21"/>
                <w:highlight w:val="none"/>
              </w:rPr>
            </w:pPr>
          </w:p>
        </w:tc>
        <w:tc>
          <w:tcPr>
            <w:tcW w:w="2031" w:type="dxa"/>
            <w:noWrap w:val="0"/>
            <w:vAlign w:val="top"/>
          </w:tcPr>
          <w:p>
            <w:pPr>
              <w:widowControl/>
              <w:spacing w:after="0" w:line="360" w:lineRule="auto"/>
              <w:jc w:val="left"/>
              <w:rPr>
                <w:rFonts w:hint="eastAsia" w:ascii="仿宋" w:hAnsi="仿宋" w:eastAsia="仿宋" w:cs="仿宋"/>
                <w:color w:val="auto"/>
                <w:szCs w:val="21"/>
                <w:highlight w:val="none"/>
              </w:rPr>
            </w:pPr>
          </w:p>
        </w:tc>
      </w:tr>
    </w:tbl>
    <w:p>
      <w:pPr>
        <w:widowControl/>
        <w:spacing w:after="0" w:line="360" w:lineRule="auto"/>
        <w:ind w:firstLine="482" w:firstLineChars="200"/>
        <w:jc w:val="left"/>
        <w:rPr>
          <w:rFonts w:hint="eastAsia" w:ascii="仿宋" w:hAnsi="仿宋" w:eastAsia="仿宋" w:cs="仿宋"/>
          <w:b/>
          <w:bCs/>
          <w:color w:val="auto"/>
          <w:sz w:val="24"/>
          <w:highlight w:val="none"/>
        </w:rPr>
      </w:pPr>
    </w:p>
    <w:p>
      <w:pPr>
        <w:widowControl/>
        <w:spacing w:after="0" w:line="360" w:lineRule="auto"/>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w:t>
      </w:r>
    </w:p>
    <w:p>
      <w:pPr>
        <w:widowControl/>
        <w:spacing w:after="0" w:line="360" w:lineRule="auto"/>
        <w:ind w:firstLine="470" w:firstLineChars="196"/>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1、供应商必须把招标文件</w:t>
      </w:r>
      <w:r>
        <w:rPr>
          <w:rFonts w:hint="eastAsia" w:ascii="仿宋" w:hAnsi="仿宋" w:eastAsia="仿宋" w:cs="仿宋"/>
          <w:color w:val="auto"/>
          <w:sz w:val="24"/>
          <w:highlight w:val="none"/>
        </w:rPr>
        <w:t>第四章“</w:t>
      </w:r>
      <w:r>
        <w:rPr>
          <w:rFonts w:hint="eastAsia" w:ascii="仿宋" w:hAnsi="仿宋" w:eastAsia="仿宋" w:cs="仿宋"/>
          <w:color w:val="auto"/>
          <w:sz w:val="24"/>
          <w:highlight w:val="none"/>
          <w:lang w:val="en-US" w:eastAsia="zh-CN"/>
        </w:rPr>
        <w:t>二、项目技术要求</w:t>
      </w:r>
      <w:r>
        <w:rPr>
          <w:rFonts w:hint="eastAsia" w:ascii="仿宋" w:hAnsi="仿宋" w:eastAsia="仿宋" w:cs="仿宋"/>
          <w:color w:val="auto"/>
          <w:sz w:val="24"/>
          <w:highlight w:val="none"/>
        </w:rPr>
        <w:t>”列入此表</w:t>
      </w:r>
      <w:r>
        <w:rPr>
          <w:rFonts w:hint="eastAsia" w:ascii="仿宋" w:hAnsi="仿宋" w:eastAsia="仿宋" w:cs="仿宋"/>
          <w:color w:val="auto"/>
          <w:sz w:val="24"/>
          <w:highlight w:val="none"/>
          <w:lang w:eastAsia="zh-CN"/>
        </w:rPr>
        <w:t>。</w:t>
      </w: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2</w:t>
      </w:r>
      <w:r>
        <w:rPr>
          <w:rFonts w:hint="eastAsia" w:ascii="仿宋" w:hAnsi="仿宋" w:eastAsia="仿宋"/>
          <w:color w:val="auto"/>
          <w:sz w:val="24"/>
          <w:highlight w:val="none"/>
          <w:lang w:eastAsia="zh-CN"/>
        </w:rPr>
        <w:t>、</w:t>
      </w:r>
      <w:r>
        <w:rPr>
          <w:rFonts w:hint="eastAsia" w:ascii="仿宋" w:hAnsi="仿宋" w:eastAsia="仿宋"/>
          <w:color w:val="auto"/>
          <w:sz w:val="24"/>
          <w:highlight w:val="none"/>
        </w:rPr>
        <w:t>按照招标项目技术要求的顺序逐条对应填写。</w:t>
      </w: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3</w:t>
      </w:r>
      <w:r>
        <w:rPr>
          <w:rFonts w:hint="eastAsia" w:ascii="仿宋" w:hAnsi="仿宋" w:eastAsia="仿宋"/>
          <w:color w:val="auto"/>
          <w:sz w:val="24"/>
          <w:highlight w:val="none"/>
          <w:lang w:eastAsia="zh-CN"/>
        </w:rPr>
        <w:t>、</w:t>
      </w:r>
      <w:r>
        <w:rPr>
          <w:rFonts w:hint="eastAsia" w:ascii="仿宋" w:hAnsi="仿宋" w:eastAsia="仿宋"/>
          <w:color w:val="auto"/>
          <w:sz w:val="24"/>
          <w:highlight w:val="none"/>
        </w:rPr>
        <w:t>供应商必须据实填写，不得虚假填写，否则将取消其投标或中标资格。</w:t>
      </w:r>
    </w:p>
    <w:p>
      <w:pPr>
        <w:pStyle w:val="2"/>
        <w:rPr>
          <w:rFonts w:hint="eastAsia"/>
          <w:color w:val="auto"/>
          <w:highlight w:val="none"/>
          <w:lang w:eastAsia="zh-CN"/>
        </w:rPr>
      </w:pPr>
    </w:p>
    <w:p>
      <w:pPr>
        <w:spacing w:after="0" w:line="360" w:lineRule="auto"/>
        <w:ind w:firstLine="480" w:firstLineChars="200"/>
        <w:rPr>
          <w:rFonts w:hint="eastAsia" w:ascii="仿宋" w:hAnsi="仿宋" w:eastAsia="仿宋" w:cs="仿宋"/>
          <w:color w:val="auto"/>
          <w:sz w:val="24"/>
          <w:highlight w:val="none"/>
          <w:lang w:eastAsia="zh-CN"/>
        </w:rPr>
      </w:pPr>
    </w:p>
    <w:p>
      <w:pPr>
        <w:widowControl/>
        <w:spacing w:after="0" w:line="360" w:lineRule="auto"/>
        <w:ind w:firstLine="472" w:firstLineChars="196"/>
        <w:jc w:val="left"/>
        <w:rPr>
          <w:rFonts w:hint="eastAsia" w:ascii="仿宋" w:hAnsi="仿宋" w:eastAsia="仿宋" w:cs="仿宋"/>
          <w:b/>
          <w:color w:val="auto"/>
          <w:sz w:val="24"/>
          <w:highlight w:val="none"/>
        </w:rPr>
      </w:pPr>
    </w:p>
    <w:p>
      <w:pPr>
        <w:adjustRightInd w:val="0"/>
        <w:spacing w:after="0" w:line="360" w:lineRule="auto"/>
        <w:ind w:firstLine="480" w:firstLineChars="200"/>
        <w:jc w:val="left"/>
        <w:rPr>
          <w:rFonts w:hint="eastAsia" w:ascii="仿宋" w:hAnsi="仿宋" w:eastAsia="仿宋" w:cs="仿宋"/>
          <w:color w:val="auto"/>
          <w:sz w:val="24"/>
          <w:highlight w:val="none"/>
        </w:rPr>
      </w:pPr>
    </w:p>
    <w:bookmarkEnd w:id="158"/>
    <w:p>
      <w:pPr>
        <w:adjustRightInd w:val="0"/>
        <w:spacing w:after="0" w:line="360" w:lineRule="auto"/>
        <w:ind w:firstLine="480" w:firstLineChars="200"/>
        <w:jc w:val="left"/>
        <w:rPr>
          <w:rFonts w:hint="eastAsia" w:ascii="仿宋" w:hAnsi="仿宋" w:eastAsia="仿宋" w:cs="仿宋"/>
          <w:color w:val="auto"/>
          <w:sz w:val="24"/>
          <w:highlight w:val="none"/>
        </w:rPr>
      </w:pPr>
      <w:bookmarkStart w:id="160" w:name="_Toc217446091"/>
      <w:r>
        <w:rPr>
          <w:rFonts w:hint="eastAsia" w:ascii="仿宋" w:hAnsi="仿宋" w:eastAsia="仿宋" w:cs="仿宋"/>
          <w:color w:val="auto"/>
          <w:sz w:val="24"/>
          <w:highlight w:val="none"/>
        </w:rPr>
        <w:t>投标人名称（盖章）：</w:t>
      </w:r>
      <w:r>
        <w:rPr>
          <w:rFonts w:hint="eastAsia" w:ascii="仿宋" w:hAnsi="仿宋" w:eastAsia="仿宋" w:cs="仿宋"/>
          <w:color w:val="auto"/>
          <w:sz w:val="24"/>
          <w:highlight w:val="none"/>
          <w:u w:val="single"/>
        </w:rPr>
        <w:t xml:space="preserve">                      </w:t>
      </w:r>
    </w:p>
    <w:p>
      <w:pPr>
        <w:widowControl/>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spacing w:after="0" w:line="360" w:lineRule="auto"/>
        <w:jc w:val="center"/>
        <w:outlineLvl w:val="2"/>
        <w:rPr>
          <w:rStyle w:val="50"/>
          <w:rFonts w:hint="eastAsia" w:ascii="仿宋" w:hAnsi="仿宋" w:eastAsia="仿宋" w:cs="仿宋"/>
          <w:bCs w:val="0"/>
          <w:color w:val="auto"/>
          <w:highlight w:val="none"/>
        </w:rPr>
      </w:pPr>
      <w:r>
        <w:rPr>
          <w:rFonts w:hint="eastAsia" w:ascii="仿宋" w:hAnsi="仿宋" w:eastAsia="仿宋" w:cs="仿宋"/>
          <w:b/>
          <w:color w:val="auto"/>
          <w:sz w:val="32"/>
          <w:szCs w:val="32"/>
          <w:highlight w:val="none"/>
        </w:rPr>
        <w:br w:type="page"/>
      </w:r>
      <w:r>
        <w:rPr>
          <w:rStyle w:val="50"/>
          <w:rFonts w:hint="eastAsia" w:ascii="仿宋" w:hAnsi="仿宋" w:eastAsia="仿宋" w:cs="仿宋"/>
          <w:bCs w:val="0"/>
          <w:color w:val="auto"/>
          <w:highlight w:val="none"/>
          <w:lang w:val="en-US" w:eastAsia="zh-CN"/>
        </w:rPr>
        <w:t>八</w:t>
      </w:r>
      <w:r>
        <w:rPr>
          <w:rStyle w:val="50"/>
          <w:rFonts w:hint="eastAsia" w:ascii="仿宋" w:hAnsi="仿宋" w:eastAsia="仿宋" w:cs="仿宋"/>
          <w:bCs w:val="0"/>
          <w:color w:val="auto"/>
          <w:highlight w:val="none"/>
        </w:rPr>
        <w:t>、投标人本项目管理、技术、服务人员情况表</w:t>
      </w:r>
      <w:bookmarkEnd w:id="160"/>
    </w:p>
    <w:p>
      <w:pPr>
        <w:pStyle w:val="2"/>
        <w:spacing w:after="0"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（本格式为参考，投标人可根据实际情况进行调整）</w:t>
      </w:r>
    </w:p>
    <w:p>
      <w:pPr>
        <w:widowControl/>
        <w:spacing w:after="0" w:line="360" w:lineRule="auto"/>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项目名称：</w:t>
      </w:r>
    </w:p>
    <w:p>
      <w:pPr>
        <w:widowControl/>
        <w:spacing w:after="0" w:line="360" w:lineRule="auto"/>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项目编号：</w:t>
      </w:r>
    </w:p>
    <w:p>
      <w:pPr>
        <w:pStyle w:val="2"/>
        <w:rPr>
          <w:rFonts w:hint="eastAsia" w:ascii="仿宋" w:hAnsi="仿宋" w:eastAsia="仿宋" w:cs="仿宋"/>
          <w:color w:val="auto"/>
          <w:highlight w:val="none"/>
        </w:rPr>
      </w:pPr>
      <w:r>
        <w:rPr>
          <w:rFonts w:hint="eastAsia" w:ascii="仿宋" w:hAnsi="仿宋" w:eastAsia="仿宋" w:cs="仿宋"/>
          <w:b/>
          <w:bCs/>
          <w:color w:val="auto"/>
          <w:sz w:val="24"/>
          <w:szCs w:val="24"/>
          <w:highlight w:val="none"/>
          <w:lang w:val="en-US" w:eastAsia="zh-CN"/>
        </w:rPr>
        <w:t>包号：</w:t>
      </w:r>
    </w:p>
    <w:tbl>
      <w:tblPr>
        <w:tblStyle w:val="34"/>
        <w:tblW w:w="89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
        <w:gridCol w:w="991"/>
        <w:gridCol w:w="992"/>
        <w:gridCol w:w="991"/>
        <w:gridCol w:w="991"/>
        <w:gridCol w:w="991"/>
        <w:gridCol w:w="991"/>
        <w:gridCol w:w="992"/>
        <w:gridCol w:w="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990" w:type="dxa"/>
            <w:vMerge w:val="restart"/>
            <w:noWrap w:val="0"/>
            <w:vAlign w:val="center"/>
          </w:tcPr>
          <w:p>
            <w:pPr>
              <w:pStyle w:val="82"/>
              <w:snapToGrid w:val="0"/>
              <w:spacing w:after="0"/>
              <w:ind w:firstLine="0" w:firstLineChars="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类别</w:t>
            </w:r>
          </w:p>
        </w:tc>
        <w:tc>
          <w:tcPr>
            <w:tcW w:w="991" w:type="dxa"/>
            <w:vMerge w:val="restart"/>
            <w:noWrap w:val="0"/>
            <w:vAlign w:val="center"/>
          </w:tcPr>
          <w:p>
            <w:pPr>
              <w:pStyle w:val="82"/>
              <w:snapToGrid w:val="0"/>
              <w:spacing w:after="0"/>
              <w:ind w:firstLine="0" w:firstLineChars="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职务</w:t>
            </w:r>
          </w:p>
        </w:tc>
        <w:tc>
          <w:tcPr>
            <w:tcW w:w="992" w:type="dxa"/>
            <w:vMerge w:val="restart"/>
            <w:noWrap w:val="0"/>
            <w:vAlign w:val="center"/>
          </w:tcPr>
          <w:p>
            <w:pPr>
              <w:pStyle w:val="82"/>
              <w:snapToGrid w:val="0"/>
              <w:spacing w:after="0"/>
              <w:ind w:firstLine="0" w:firstLineChars="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姓名</w:t>
            </w:r>
          </w:p>
        </w:tc>
        <w:tc>
          <w:tcPr>
            <w:tcW w:w="991" w:type="dxa"/>
            <w:vMerge w:val="restart"/>
            <w:noWrap w:val="0"/>
            <w:vAlign w:val="center"/>
          </w:tcPr>
          <w:p>
            <w:pPr>
              <w:pStyle w:val="82"/>
              <w:snapToGrid w:val="0"/>
              <w:spacing w:after="0"/>
              <w:ind w:firstLine="0" w:firstLineChars="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职称</w:t>
            </w:r>
          </w:p>
        </w:tc>
        <w:tc>
          <w:tcPr>
            <w:tcW w:w="991" w:type="dxa"/>
            <w:vMerge w:val="restart"/>
            <w:noWrap w:val="0"/>
            <w:vAlign w:val="center"/>
          </w:tcPr>
          <w:p>
            <w:pPr>
              <w:pStyle w:val="82"/>
              <w:snapToGrid w:val="0"/>
              <w:spacing w:after="0"/>
              <w:ind w:firstLine="0" w:firstLineChars="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常住地</w:t>
            </w:r>
          </w:p>
        </w:tc>
        <w:tc>
          <w:tcPr>
            <w:tcW w:w="3965" w:type="dxa"/>
            <w:gridSpan w:val="4"/>
            <w:noWrap w:val="0"/>
            <w:vAlign w:val="center"/>
          </w:tcPr>
          <w:p>
            <w:pPr>
              <w:pStyle w:val="82"/>
              <w:snapToGrid w:val="0"/>
              <w:spacing w:after="0"/>
              <w:ind w:firstLine="0" w:firstLineChars="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990" w:type="dxa"/>
            <w:vMerge w:val="continue"/>
            <w:noWrap w:val="0"/>
            <w:vAlign w:val="center"/>
          </w:tcPr>
          <w:p>
            <w:pPr>
              <w:pStyle w:val="82"/>
              <w:snapToGrid w:val="0"/>
              <w:spacing w:after="0"/>
              <w:ind w:firstLine="420"/>
              <w:jc w:val="center"/>
              <w:rPr>
                <w:rFonts w:hint="eastAsia" w:ascii="仿宋" w:hAnsi="仿宋" w:eastAsia="仿宋" w:cs="仿宋"/>
                <w:color w:val="auto"/>
                <w:kern w:val="0"/>
                <w:sz w:val="21"/>
                <w:szCs w:val="21"/>
                <w:highlight w:val="none"/>
              </w:rPr>
            </w:pPr>
          </w:p>
        </w:tc>
        <w:tc>
          <w:tcPr>
            <w:tcW w:w="991" w:type="dxa"/>
            <w:vMerge w:val="continue"/>
            <w:noWrap w:val="0"/>
            <w:vAlign w:val="center"/>
          </w:tcPr>
          <w:p>
            <w:pPr>
              <w:pStyle w:val="82"/>
              <w:snapToGrid w:val="0"/>
              <w:spacing w:after="0"/>
              <w:ind w:firstLine="0" w:firstLineChars="0"/>
              <w:jc w:val="center"/>
              <w:rPr>
                <w:rFonts w:hint="eastAsia" w:ascii="仿宋" w:hAnsi="仿宋" w:eastAsia="仿宋" w:cs="仿宋"/>
                <w:color w:val="auto"/>
                <w:kern w:val="0"/>
                <w:sz w:val="21"/>
                <w:szCs w:val="21"/>
                <w:highlight w:val="none"/>
              </w:rPr>
            </w:pPr>
          </w:p>
        </w:tc>
        <w:tc>
          <w:tcPr>
            <w:tcW w:w="992" w:type="dxa"/>
            <w:vMerge w:val="continue"/>
            <w:noWrap w:val="0"/>
            <w:vAlign w:val="center"/>
          </w:tcPr>
          <w:p>
            <w:pPr>
              <w:pStyle w:val="82"/>
              <w:snapToGrid w:val="0"/>
              <w:spacing w:after="0"/>
              <w:ind w:firstLine="0" w:firstLineChars="0"/>
              <w:jc w:val="center"/>
              <w:rPr>
                <w:rFonts w:hint="eastAsia" w:ascii="仿宋" w:hAnsi="仿宋" w:eastAsia="仿宋" w:cs="仿宋"/>
                <w:color w:val="auto"/>
                <w:kern w:val="0"/>
                <w:sz w:val="21"/>
                <w:szCs w:val="21"/>
                <w:highlight w:val="none"/>
              </w:rPr>
            </w:pPr>
          </w:p>
        </w:tc>
        <w:tc>
          <w:tcPr>
            <w:tcW w:w="991" w:type="dxa"/>
            <w:vMerge w:val="continue"/>
            <w:noWrap w:val="0"/>
            <w:vAlign w:val="center"/>
          </w:tcPr>
          <w:p>
            <w:pPr>
              <w:pStyle w:val="82"/>
              <w:snapToGrid w:val="0"/>
              <w:spacing w:after="0"/>
              <w:ind w:firstLine="0" w:firstLineChars="0"/>
              <w:jc w:val="center"/>
              <w:rPr>
                <w:rFonts w:hint="eastAsia" w:ascii="仿宋" w:hAnsi="仿宋" w:eastAsia="仿宋" w:cs="仿宋"/>
                <w:color w:val="auto"/>
                <w:kern w:val="0"/>
                <w:sz w:val="21"/>
                <w:szCs w:val="21"/>
                <w:highlight w:val="none"/>
              </w:rPr>
            </w:pPr>
          </w:p>
        </w:tc>
        <w:tc>
          <w:tcPr>
            <w:tcW w:w="991" w:type="dxa"/>
            <w:vMerge w:val="continue"/>
            <w:noWrap w:val="0"/>
            <w:vAlign w:val="center"/>
          </w:tcPr>
          <w:p>
            <w:pPr>
              <w:pStyle w:val="82"/>
              <w:snapToGrid w:val="0"/>
              <w:spacing w:after="0"/>
              <w:ind w:firstLine="0" w:firstLineChars="0"/>
              <w:jc w:val="center"/>
              <w:rPr>
                <w:rFonts w:hint="eastAsia" w:ascii="仿宋" w:hAnsi="仿宋" w:eastAsia="仿宋" w:cs="仿宋"/>
                <w:color w:val="auto"/>
                <w:kern w:val="0"/>
                <w:sz w:val="21"/>
                <w:szCs w:val="21"/>
                <w:highlight w:val="none"/>
              </w:rPr>
            </w:pPr>
          </w:p>
        </w:tc>
        <w:tc>
          <w:tcPr>
            <w:tcW w:w="991" w:type="dxa"/>
            <w:noWrap w:val="0"/>
            <w:vAlign w:val="center"/>
          </w:tcPr>
          <w:p>
            <w:pPr>
              <w:pStyle w:val="82"/>
              <w:snapToGrid w:val="0"/>
              <w:spacing w:after="0"/>
              <w:ind w:firstLine="0" w:firstLineChars="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证书</w:t>
            </w:r>
          </w:p>
          <w:p>
            <w:pPr>
              <w:pStyle w:val="82"/>
              <w:snapToGrid w:val="0"/>
              <w:spacing w:after="0"/>
              <w:ind w:firstLine="0" w:firstLineChars="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名称</w:t>
            </w:r>
          </w:p>
        </w:tc>
        <w:tc>
          <w:tcPr>
            <w:tcW w:w="991" w:type="dxa"/>
            <w:noWrap w:val="0"/>
            <w:vAlign w:val="center"/>
          </w:tcPr>
          <w:p>
            <w:pPr>
              <w:pStyle w:val="82"/>
              <w:snapToGrid w:val="0"/>
              <w:spacing w:after="0"/>
              <w:ind w:firstLine="0" w:firstLineChars="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级别</w:t>
            </w:r>
          </w:p>
        </w:tc>
        <w:tc>
          <w:tcPr>
            <w:tcW w:w="992" w:type="dxa"/>
            <w:noWrap w:val="0"/>
            <w:vAlign w:val="center"/>
          </w:tcPr>
          <w:p>
            <w:pPr>
              <w:pStyle w:val="82"/>
              <w:snapToGrid w:val="0"/>
              <w:spacing w:after="0"/>
              <w:ind w:firstLine="0" w:firstLineChars="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证号</w:t>
            </w:r>
          </w:p>
        </w:tc>
        <w:tc>
          <w:tcPr>
            <w:tcW w:w="991" w:type="dxa"/>
            <w:noWrap w:val="0"/>
            <w:vAlign w:val="center"/>
          </w:tcPr>
          <w:p>
            <w:pPr>
              <w:pStyle w:val="82"/>
              <w:snapToGrid w:val="0"/>
              <w:spacing w:after="0"/>
              <w:ind w:firstLine="0" w:firstLineChars="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990" w:type="dxa"/>
            <w:vMerge w:val="restart"/>
            <w:noWrap w:val="0"/>
            <w:vAlign w:val="center"/>
          </w:tcPr>
          <w:p>
            <w:pPr>
              <w:pStyle w:val="82"/>
              <w:snapToGrid w:val="0"/>
              <w:spacing w:after="0"/>
              <w:ind w:firstLine="0" w:firstLineChars="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管理</w:t>
            </w:r>
          </w:p>
          <w:p>
            <w:pPr>
              <w:pStyle w:val="82"/>
              <w:snapToGrid w:val="0"/>
              <w:spacing w:after="0"/>
              <w:ind w:firstLine="0" w:firstLineChars="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人员</w:t>
            </w: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2"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2"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990" w:type="dxa"/>
            <w:vMerge w:val="continue"/>
            <w:noWrap w:val="0"/>
            <w:vAlign w:val="center"/>
          </w:tcPr>
          <w:p>
            <w:pPr>
              <w:pStyle w:val="82"/>
              <w:snapToGrid w:val="0"/>
              <w:spacing w:after="0"/>
              <w:ind w:firstLine="0" w:firstLineChars="0"/>
              <w:jc w:val="center"/>
              <w:rPr>
                <w:rFonts w:hint="eastAsia" w:ascii="仿宋" w:hAnsi="仿宋" w:eastAsia="仿宋" w:cs="仿宋"/>
                <w:color w:val="auto"/>
                <w:kern w:val="0"/>
                <w:sz w:val="21"/>
                <w:szCs w:val="21"/>
                <w:highlight w:val="none"/>
              </w:rPr>
            </w:pP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2"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2"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990" w:type="dxa"/>
            <w:vMerge w:val="continue"/>
            <w:noWrap w:val="0"/>
            <w:vAlign w:val="center"/>
          </w:tcPr>
          <w:p>
            <w:pPr>
              <w:pStyle w:val="82"/>
              <w:snapToGrid w:val="0"/>
              <w:spacing w:after="0"/>
              <w:ind w:firstLine="0" w:firstLineChars="0"/>
              <w:jc w:val="center"/>
              <w:rPr>
                <w:rFonts w:hint="eastAsia" w:ascii="仿宋" w:hAnsi="仿宋" w:eastAsia="仿宋" w:cs="仿宋"/>
                <w:color w:val="auto"/>
                <w:kern w:val="0"/>
                <w:sz w:val="21"/>
                <w:szCs w:val="21"/>
                <w:highlight w:val="none"/>
              </w:rPr>
            </w:pP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2"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2"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990" w:type="dxa"/>
            <w:vMerge w:val="restart"/>
            <w:noWrap w:val="0"/>
            <w:vAlign w:val="center"/>
          </w:tcPr>
          <w:p>
            <w:pPr>
              <w:pStyle w:val="82"/>
              <w:snapToGrid w:val="0"/>
              <w:spacing w:after="0"/>
              <w:ind w:firstLine="0" w:firstLineChars="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技术</w:t>
            </w:r>
          </w:p>
          <w:p>
            <w:pPr>
              <w:pStyle w:val="82"/>
              <w:snapToGrid w:val="0"/>
              <w:spacing w:after="0"/>
              <w:ind w:firstLine="0" w:firstLineChars="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人员</w:t>
            </w: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2"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2"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990" w:type="dxa"/>
            <w:vMerge w:val="continue"/>
            <w:noWrap w:val="0"/>
            <w:vAlign w:val="center"/>
          </w:tcPr>
          <w:p>
            <w:pPr>
              <w:pStyle w:val="82"/>
              <w:snapToGrid w:val="0"/>
              <w:spacing w:after="0"/>
              <w:ind w:firstLine="0" w:firstLineChars="0"/>
              <w:jc w:val="center"/>
              <w:rPr>
                <w:rFonts w:hint="eastAsia" w:ascii="仿宋" w:hAnsi="仿宋" w:eastAsia="仿宋" w:cs="仿宋"/>
                <w:color w:val="auto"/>
                <w:kern w:val="0"/>
                <w:sz w:val="21"/>
                <w:szCs w:val="21"/>
                <w:highlight w:val="none"/>
              </w:rPr>
            </w:pP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2"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2"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990" w:type="dxa"/>
            <w:vMerge w:val="continue"/>
            <w:noWrap w:val="0"/>
            <w:vAlign w:val="center"/>
          </w:tcPr>
          <w:p>
            <w:pPr>
              <w:pStyle w:val="82"/>
              <w:snapToGrid w:val="0"/>
              <w:spacing w:after="0"/>
              <w:ind w:firstLine="0" w:firstLineChars="0"/>
              <w:jc w:val="center"/>
              <w:rPr>
                <w:rFonts w:hint="eastAsia" w:ascii="仿宋" w:hAnsi="仿宋" w:eastAsia="仿宋" w:cs="仿宋"/>
                <w:color w:val="auto"/>
                <w:kern w:val="0"/>
                <w:sz w:val="21"/>
                <w:szCs w:val="21"/>
                <w:highlight w:val="none"/>
              </w:rPr>
            </w:pP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2"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2"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990" w:type="dxa"/>
            <w:vMerge w:val="restart"/>
            <w:noWrap w:val="0"/>
            <w:vAlign w:val="center"/>
          </w:tcPr>
          <w:p>
            <w:pPr>
              <w:pStyle w:val="82"/>
              <w:snapToGrid w:val="0"/>
              <w:spacing w:after="0"/>
              <w:ind w:firstLine="0" w:firstLineChars="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其他</w:t>
            </w:r>
          </w:p>
          <w:p>
            <w:pPr>
              <w:pStyle w:val="82"/>
              <w:snapToGrid w:val="0"/>
              <w:spacing w:after="0"/>
              <w:ind w:firstLine="0" w:firstLineChars="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人员</w:t>
            </w: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2"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2"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990" w:type="dxa"/>
            <w:vMerge w:val="continue"/>
            <w:noWrap w:val="0"/>
            <w:vAlign w:val="top"/>
          </w:tcPr>
          <w:p>
            <w:pPr>
              <w:pStyle w:val="82"/>
              <w:snapToGrid w:val="0"/>
              <w:spacing w:after="0"/>
              <w:ind w:firstLine="0" w:firstLineChars="0"/>
              <w:jc w:val="center"/>
              <w:rPr>
                <w:rFonts w:hint="eastAsia" w:ascii="仿宋" w:hAnsi="仿宋" w:eastAsia="仿宋" w:cs="仿宋"/>
                <w:color w:val="auto"/>
                <w:kern w:val="0"/>
                <w:sz w:val="21"/>
                <w:szCs w:val="21"/>
                <w:highlight w:val="none"/>
              </w:rPr>
            </w:pP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2"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2"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990" w:type="dxa"/>
            <w:vMerge w:val="continue"/>
            <w:noWrap w:val="0"/>
            <w:vAlign w:val="top"/>
          </w:tcPr>
          <w:p>
            <w:pPr>
              <w:pStyle w:val="82"/>
              <w:snapToGrid w:val="0"/>
              <w:spacing w:after="0"/>
              <w:ind w:firstLine="0" w:firstLineChars="0"/>
              <w:jc w:val="center"/>
              <w:rPr>
                <w:rFonts w:hint="eastAsia" w:ascii="仿宋" w:hAnsi="仿宋" w:eastAsia="仿宋" w:cs="仿宋"/>
                <w:color w:val="auto"/>
                <w:kern w:val="0"/>
                <w:sz w:val="21"/>
                <w:szCs w:val="21"/>
                <w:highlight w:val="none"/>
              </w:rPr>
            </w:pP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2"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2"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c>
          <w:tcPr>
            <w:tcW w:w="991" w:type="dxa"/>
            <w:noWrap w:val="0"/>
            <w:vAlign w:val="top"/>
          </w:tcPr>
          <w:p>
            <w:pPr>
              <w:pStyle w:val="82"/>
              <w:snapToGrid w:val="0"/>
              <w:spacing w:after="0"/>
              <w:ind w:firstLine="0" w:firstLineChars="0"/>
              <w:rPr>
                <w:rFonts w:hint="eastAsia" w:ascii="仿宋" w:hAnsi="仿宋" w:eastAsia="仿宋" w:cs="仿宋"/>
                <w:color w:val="auto"/>
                <w:kern w:val="0"/>
                <w:sz w:val="21"/>
                <w:szCs w:val="21"/>
                <w:highlight w:val="none"/>
              </w:rPr>
            </w:pPr>
          </w:p>
        </w:tc>
      </w:tr>
    </w:tbl>
    <w:p>
      <w:pPr>
        <w:adjustRightInd w:val="0"/>
        <w:spacing w:after="0" w:line="360" w:lineRule="auto"/>
        <w:ind w:firstLine="480" w:firstLineChars="200"/>
        <w:jc w:val="left"/>
        <w:rPr>
          <w:rFonts w:hint="eastAsia" w:ascii="仿宋" w:hAnsi="仿宋" w:eastAsia="仿宋" w:cs="仿宋"/>
          <w:color w:val="auto"/>
          <w:sz w:val="24"/>
          <w:highlight w:val="none"/>
        </w:rPr>
      </w:pPr>
    </w:p>
    <w:p>
      <w:pPr>
        <w:pStyle w:val="9"/>
        <w:spacing w:after="0" w:line="360" w:lineRule="auto"/>
        <w:ind w:firstLine="420"/>
        <w:rPr>
          <w:rFonts w:hint="eastAsia" w:ascii="仿宋" w:hAnsi="仿宋" w:eastAsia="仿宋" w:cs="仿宋"/>
          <w:color w:val="auto"/>
          <w:highlight w:val="none"/>
        </w:rPr>
      </w:pPr>
    </w:p>
    <w:p>
      <w:pPr>
        <w:adjustRightInd w:val="0"/>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投标人名称（盖章）：</w:t>
      </w:r>
      <w:r>
        <w:rPr>
          <w:rFonts w:hint="eastAsia" w:ascii="仿宋" w:hAnsi="仿宋" w:eastAsia="仿宋" w:cs="仿宋"/>
          <w:color w:val="auto"/>
          <w:sz w:val="24"/>
          <w:highlight w:val="none"/>
          <w:u w:val="single"/>
        </w:rPr>
        <w:t xml:space="preserve">                      </w:t>
      </w:r>
    </w:p>
    <w:p>
      <w:pPr>
        <w:widowControl/>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spacing w:after="0" w:line="360" w:lineRule="auto"/>
        <w:ind w:firstLine="472" w:firstLineChars="196"/>
        <w:jc w:val="left"/>
        <w:rPr>
          <w:rFonts w:hint="eastAsia" w:ascii="仿宋" w:hAnsi="仿宋" w:eastAsia="仿宋" w:cs="仿宋"/>
          <w:b/>
          <w:color w:val="auto"/>
          <w:sz w:val="24"/>
          <w:highlight w:val="none"/>
        </w:rPr>
      </w:pPr>
    </w:p>
    <w:p>
      <w:pPr>
        <w:spacing w:after="0" w:line="360" w:lineRule="auto"/>
        <w:jc w:val="center"/>
        <w:outlineLvl w:val="9"/>
        <w:rPr>
          <w:rStyle w:val="50"/>
          <w:rFonts w:hint="eastAsia" w:ascii="仿宋" w:hAnsi="仿宋" w:eastAsia="仿宋" w:cs="仿宋"/>
          <w:color w:val="auto"/>
          <w:highlight w:val="none"/>
          <w:lang w:val="en-US" w:eastAsia="zh-CN"/>
        </w:rPr>
      </w:pPr>
    </w:p>
    <w:p>
      <w:pPr>
        <w:spacing w:after="0" w:line="360" w:lineRule="auto"/>
        <w:jc w:val="center"/>
        <w:outlineLvl w:val="9"/>
        <w:rPr>
          <w:rStyle w:val="50"/>
          <w:rFonts w:hint="eastAsia" w:ascii="仿宋" w:hAnsi="仿宋" w:eastAsia="仿宋" w:cs="仿宋"/>
          <w:color w:val="auto"/>
          <w:highlight w:val="none"/>
          <w:lang w:val="en-US" w:eastAsia="zh-CN"/>
        </w:rPr>
      </w:pPr>
    </w:p>
    <w:p>
      <w:pPr>
        <w:spacing w:after="0" w:line="360" w:lineRule="auto"/>
        <w:jc w:val="center"/>
        <w:outlineLvl w:val="9"/>
        <w:rPr>
          <w:rStyle w:val="50"/>
          <w:rFonts w:hint="eastAsia" w:ascii="仿宋" w:hAnsi="仿宋" w:eastAsia="仿宋" w:cs="仿宋"/>
          <w:color w:val="auto"/>
          <w:highlight w:val="none"/>
          <w:lang w:val="en-US" w:eastAsia="zh-CN"/>
        </w:rPr>
      </w:pPr>
    </w:p>
    <w:p>
      <w:pPr>
        <w:spacing w:after="0" w:line="360" w:lineRule="auto"/>
        <w:jc w:val="center"/>
        <w:outlineLvl w:val="2"/>
        <w:rPr>
          <w:rStyle w:val="50"/>
          <w:rFonts w:hint="eastAsia" w:ascii="仿宋" w:hAnsi="仿宋" w:eastAsia="仿宋" w:cs="仿宋"/>
          <w:color w:val="auto"/>
          <w:highlight w:val="none"/>
          <w:lang w:eastAsia="zh-CN"/>
        </w:rPr>
      </w:pPr>
      <w:r>
        <w:rPr>
          <w:rStyle w:val="50"/>
          <w:rFonts w:hint="eastAsia" w:ascii="仿宋" w:hAnsi="仿宋" w:eastAsia="仿宋" w:cs="仿宋"/>
          <w:color w:val="auto"/>
          <w:highlight w:val="none"/>
          <w:lang w:val="en-US" w:eastAsia="zh-CN"/>
        </w:rPr>
        <w:t>九</w:t>
      </w:r>
      <w:r>
        <w:rPr>
          <w:rStyle w:val="50"/>
          <w:rFonts w:hint="eastAsia" w:ascii="仿宋" w:hAnsi="仿宋" w:eastAsia="仿宋" w:cs="仿宋"/>
          <w:color w:val="auto"/>
          <w:highlight w:val="none"/>
        </w:rPr>
        <w:t>、中小企业（监狱企业）声明函</w:t>
      </w:r>
      <w:r>
        <w:rPr>
          <w:rStyle w:val="50"/>
          <w:rFonts w:hint="eastAsia" w:ascii="仿宋" w:hAnsi="仿宋" w:eastAsia="仿宋" w:cs="仿宋"/>
          <w:color w:val="auto"/>
          <w:highlight w:val="none"/>
          <w:lang w:eastAsia="zh-CN"/>
        </w:rPr>
        <w:t>（</w:t>
      </w:r>
      <w:r>
        <w:rPr>
          <w:rStyle w:val="50"/>
          <w:rFonts w:hint="eastAsia" w:ascii="仿宋" w:hAnsi="仿宋" w:eastAsia="仿宋" w:cs="仿宋"/>
          <w:color w:val="auto"/>
          <w:highlight w:val="none"/>
          <w:lang w:val="en-US" w:eastAsia="zh-CN"/>
        </w:rPr>
        <w:t>如涉及</w:t>
      </w:r>
      <w:r>
        <w:rPr>
          <w:rStyle w:val="50"/>
          <w:rFonts w:hint="eastAsia" w:ascii="仿宋" w:hAnsi="仿宋" w:eastAsia="仿宋" w:cs="仿宋"/>
          <w:color w:val="auto"/>
          <w:highlight w:val="none"/>
          <w:lang w:eastAsia="zh-CN"/>
        </w:rPr>
        <w:t>）</w:t>
      </w:r>
    </w:p>
    <w:p>
      <w:pPr>
        <w:pStyle w:val="2"/>
        <w:keepNext w:val="0"/>
        <w:keepLines w:val="0"/>
        <w:pageBreakBefore w:val="0"/>
        <w:widowControl w:val="0"/>
        <w:kinsoku/>
        <w:wordWrap/>
        <w:overflowPunct/>
        <w:topLinePunct w:val="0"/>
        <w:autoSpaceDE w:val="0"/>
        <w:autoSpaceDN w:val="0"/>
        <w:bidi w:val="0"/>
        <w:adjustRightInd/>
        <w:snapToGrid/>
        <w:spacing w:before="7" w:line="336" w:lineRule="auto"/>
        <w:ind w:left="0" w:leftChars="0" w:right="332" w:firstLine="438" w:firstLineChars="0"/>
        <w:textAlignment w:val="auto"/>
        <w:rPr>
          <w:rFonts w:hint="eastAsia" w:ascii="仿宋" w:hAnsi="仿宋" w:eastAsia="仿宋" w:cs="仿宋"/>
          <w:color w:val="auto"/>
          <w:spacing w:val="15"/>
          <w:sz w:val="24"/>
          <w:szCs w:val="24"/>
          <w:highlight w:val="none"/>
        </w:rPr>
      </w:pPr>
      <w:r>
        <w:rPr>
          <w:rFonts w:hint="eastAsia" w:ascii="仿宋" w:hAnsi="仿宋" w:eastAsia="仿宋" w:cs="仿宋"/>
          <w:color w:val="auto"/>
          <w:sz w:val="24"/>
          <w:szCs w:val="24"/>
          <w:highlight w:val="none"/>
        </w:rPr>
        <w:t>本公司</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（联合体）郑重声明，根据《政府采购促进</w:t>
      </w:r>
      <w:r>
        <w:rPr>
          <w:rFonts w:hint="eastAsia" w:ascii="仿宋" w:hAnsi="仿宋" w:eastAsia="仿宋" w:cs="仿宋"/>
          <w:color w:val="auto"/>
          <w:spacing w:val="15"/>
          <w:sz w:val="24"/>
          <w:szCs w:val="24"/>
          <w:highlight w:val="none"/>
        </w:rPr>
        <w:t>中小企业发展管理办法》（</w:t>
      </w:r>
      <w:r>
        <w:rPr>
          <w:rFonts w:hint="eastAsia" w:ascii="仿宋" w:hAnsi="仿宋" w:eastAsia="仿宋" w:cs="仿宋"/>
          <w:color w:val="auto"/>
          <w:spacing w:val="15"/>
          <w:sz w:val="24"/>
          <w:szCs w:val="24"/>
          <w:highlight w:val="none"/>
          <w:lang w:eastAsia="zh-CN"/>
        </w:rPr>
        <w:t>财库〔2020〕46号</w:t>
      </w:r>
      <w:r>
        <w:rPr>
          <w:rFonts w:hint="eastAsia" w:ascii="仿宋" w:hAnsi="仿宋" w:eastAsia="仿宋" w:cs="仿宋"/>
          <w:color w:val="auto"/>
          <w:spacing w:val="15"/>
          <w:sz w:val="24"/>
          <w:szCs w:val="24"/>
          <w:highlight w:val="none"/>
        </w:rPr>
        <w:t>）的规定，本公司</w:t>
      </w:r>
      <w:r>
        <w:rPr>
          <w:rFonts w:hint="eastAsia" w:ascii="仿宋" w:hAnsi="仿宋" w:eastAsia="仿宋" w:cs="仿宋"/>
          <w:color w:val="auto"/>
          <w:spacing w:val="15"/>
          <w:sz w:val="24"/>
          <w:szCs w:val="24"/>
          <w:highlight w:val="none"/>
          <w:u w:val="single"/>
          <w:lang w:val="en-US" w:eastAsia="zh-CN"/>
        </w:rPr>
        <w:t xml:space="preserve">     </w:t>
      </w:r>
      <w:r>
        <w:rPr>
          <w:rFonts w:hint="eastAsia" w:ascii="仿宋" w:hAnsi="仿宋" w:eastAsia="仿宋" w:cs="仿宋"/>
          <w:color w:val="auto"/>
          <w:spacing w:val="15"/>
          <w:sz w:val="24"/>
          <w:szCs w:val="24"/>
          <w:highlight w:val="none"/>
        </w:rPr>
        <w:t>（联合体）参加</w:t>
      </w:r>
      <w:r>
        <w:rPr>
          <w:rFonts w:hint="eastAsia" w:ascii="仿宋" w:hAnsi="仿宋" w:eastAsia="仿宋" w:cs="仿宋"/>
          <w:color w:val="auto"/>
          <w:spacing w:val="15"/>
          <w:sz w:val="24"/>
          <w:szCs w:val="24"/>
          <w:highlight w:val="none"/>
          <w:u w:val="single"/>
          <w:lang w:val="en-US" w:eastAsia="zh-CN"/>
        </w:rPr>
        <w:t xml:space="preserve">           </w:t>
      </w:r>
      <w:r>
        <w:rPr>
          <w:rFonts w:hint="eastAsia" w:ascii="仿宋" w:hAnsi="仿宋" w:eastAsia="仿宋" w:cs="仿宋"/>
          <w:color w:val="auto"/>
          <w:spacing w:val="15"/>
          <w:sz w:val="24"/>
          <w:szCs w:val="24"/>
          <w:highlight w:val="none"/>
          <w:u w:val="none"/>
          <w:lang w:val="en-US" w:eastAsia="zh-CN"/>
        </w:rPr>
        <w:t xml:space="preserve"> </w:t>
      </w:r>
      <w:r>
        <w:rPr>
          <w:rFonts w:hint="eastAsia" w:ascii="仿宋" w:hAnsi="仿宋" w:eastAsia="仿宋" w:cs="仿宋"/>
          <w:color w:val="auto"/>
          <w:spacing w:val="15"/>
          <w:sz w:val="24"/>
          <w:szCs w:val="24"/>
          <w:highlight w:val="none"/>
          <w:u w:val="none"/>
        </w:rPr>
        <w:t>（</w:t>
      </w:r>
      <w:r>
        <w:rPr>
          <w:rFonts w:hint="eastAsia" w:ascii="仿宋" w:hAnsi="仿宋" w:eastAsia="仿宋" w:cs="仿宋"/>
          <w:color w:val="auto"/>
          <w:spacing w:val="15"/>
          <w:sz w:val="24"/>
          <w:szCs w:val="24"/>
          <w:highlight w:val="none"/>
          <w:u w:val="none"/>
          <w:lang w:eastAsia="zh-CN"/>
        </w:rPr>
        <w:t>单位</w:t>
      </w:r>
      <w:r>
        <w:rPr>
          <w:rFonts w:hint="eastAsia" w:ascii="仿宋" w:hAnsi="仿宋" w:eastAsia="仿宋" w:cs="仿宋"/>
          <w:color w:val="auto"/>
          <w:spacing w:val="15"/>
          <w:sz w:val="24"/>
          <w:szCs w:val="24"/>
          <w:highlight w:val="none"/>
          <w:u w:val="none"/>
        </w:rPr>
        <w:t>名称）</w:t>
      </w:r>
      <w:r>
        <w:rPr>
          <w:rFonts w:hint="eastAsia" w:ascii="仿宋" w:hAnsi="仿宋" w:eastAsia="仿宋" w:cs="仿宋"/>
          <w:color w:val="auto"/>
          <w:spacing w:val="15"/>
          <w:sz w:val="24"/>
          <w:szCs w:val="24"/>
          <w:highlight w:val="none"/>
        </w:rPr>
        <w:t>的</w:t>
      </w:r>
      <w:r>
        <w:rPr>
          <w:rFonts w:hint="eastAsia" w:ascii="仿宋" w:hAnsi="仿宋" w:eastAsia="仿宋" w:cs="仿宋"/>
          <w:color w:val="auto"/>
          <w:spacing w:val="15"/>
          <w:sz w:val="24"/>
          <w:szCs w:val="24"/>
          <w:highlight w:val="none"/>
          <w:u w:val="single"/>
          <w:lang w:val="en-US" w:eastAsia="zh-CN"/>
        </w:rPr>
        <w:t xml:space="preserve">        </w:t>
      </w:r>
      <w:r>
        <w:rPr>
          <w:rFonts w:hint="eastAsia" w:ascii="仿宋" w:hAnsi="仿宋" w:eastAsia="仿宋" w:cs="仿宋"/>
          <w:color w:val="auto"/>
          <w:spacing w:val="15"/>
          <w:sz w:val="24"/>
          <w:szCs w:val="24"/>
          <w:highlight w:val="none"/>
          <w:u w:val="single"/>
        </w:rPr>
        <w:t>（</w:t>
      </w:r>
      <w:r>
        <w:rPr>
          <w:rFonts w:hint="eastAsia" w:ascii="仿宋" w:hAnsi="仿宋" w:eastAsia="仿宋" w:cs="仿宋"/>
          <w:color w:val="auto"/>
          <w:spacing w:val="15"/>
          <w:sz w:val="24"/>
          <w:szCs w:val="24"/>
          <w:highlight w:val="none"/>
          <w:u w:val="single"/>
          <w:lang w:eastAsia="zh-CN"/>
        </w:rPr>
        <w:t>项目</w:t>
      </w:r>
      <w:r>
        <w:rPr>
          <w:rFonts w:hint="eastAsia" w:ascii="仿宋" w:hAnsi="仿宋" w:eastAsia="仿宋" w:cs="仿宋"/>
          <w:color w:val="auto"/>
          <w:spacing w:val="15"/>
          <w:sz w:val="24"/>
          <w:szCs w:val="24"/>
          <w:highlight w:val="none"/>
          <w:u w:val="single"/>
        </w:rPr>
        <w:t>名称）</w:t>
      </w:r>
      <w:r>
        <w:rPr>
          <w:rFonts w:hint="eastAsia" w:ascii="仿宋" w:hAnsi="仿宋" w:eastAsia="仿宋" w:cs="仿宋"/>
          <w:color w:val="auto"/>
          <w:spacing w:val="15"/>
          <w:sz w:val="24"/>
          <w:szCs w:val="24"/>
          <w:highlight w:val="none"/>
        </w:rPr>
        <w:t>采购活动，提供的货物全部由符合政策要求的中小企业制造。相关企业（含联合体中的中小企业、签订分包意向协议的中小企业）的具体情况如下：</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7" w:line="336" w:lineRule="auto"/>
        <w:ind w:left="10" w:leftChars="0" w:right="332" w:rightChars="0" w:firstLine="423" w:firstLineChars="157"/>
        <w:textAlignment w:val="auto"/>
        <w:rPr>
          <w:rFonts w:hint="eastAsia" w:ascii="仿宋" w:hAnsi="仿宋" w:eastAsia="仿宋" w:cs="仿宋"/>
          <w:color w:val="auto"/>
          <w:spacing w:val="15"/>
          <w:sz w:val="24"/>
          <w:szCs w:val="24"/>
          <w:highlight w:val="none"/>
        </w:rPr>
      </w:pPr>
      <w:r>
        <w:rPr>
          <w:rFonts w:hint="eastAsia" w:ascii="仿宋" w:hAnsi="仿宋" w:eastAsia="仿宋" w:cs="仿宋"/>
          <w:color w:val="auto"/>
          <w:spacing w:val="15"/>
          <w:sz w:val="24"/>
          <w:szCs w:val="24"/>
          <w:highlight w:val="none"/>
          <w:lang w:val="en-US" w:eastAsia="zh-CN"/>
        </w:rPr>
        <w:t>1.</w:t>
      </w:r>
      <w:r>
        <w:rPr>
          <w:rFonts w:hint="eastAsia" w:ascii="仿宋" w:hAnsi="仿宋" w:eastAsia="仿宋" w:cs="仿宋"/>
          <w:color w:val="auto"/>
          <w:spacing w:val="15"/>
          <w:sz w:val="24"/>
          <w:szCs w:val="24"/>
          <w:highlight w:val="none"/>
          <w:u w:val="single"/>
          <w:lang w:val="en-US" w:eastAsia="zh-CN"/>
        </w:rPr>
        <w:t xml:space="preserve">        </w:t>
      </w:r>
      <w:r>
        <w:rPr>
          <w:rFonts w:hint="eastAsia" w:ascii="仿宋" w:hAnsi="仿宋" w:eastAsia="仿宋" w:cs="仿宋"/>
          <w:color w:val="auto"/>
          <w:spacing w:val="15"/>
          <w:sz w:val="24"/>
          <w:szCs w:val="24"/>
          <w:highlight w:val="none"/>
          <w:u w:val="single"/>
        </w:rPr>
        <w:t>(标的名称）</w:t>
      </w:r>
      <w:r>
        <w:rPr>
          <w:rFonts w:hint="eastAsia" w:ascii="仿宋" w:hAnsi="仿宋" w:eastAsia="仿宋" w:cs="仿宋"/>
          <w:color w:val="auto"/>
          <w:spacing w:val="15"/>
          <w:sz w:val="24"/>
          <w:szCs w:val="24"/>
          <w:highlight w:val="none"/>
        </w:rPr>
        <w:t>，属于</w:t>
      </w:r>
      <w:r>
        <w:rPr>
          <w:rFonts w:hint="eastAsia" w:ascii="仿宋" w:hAnsi="仿宋" w:eastAsia="仿宋" w:cs="仿宋"/>
          <w:color w:val="auto"/>
          <w:spacing w:val="15"/>
          <w:sz w:val="24"/>
          <w:szCs w:val="24"/>
          <w:highlight w:val="none"/>
          <w:u w:val="single"/>
          <w:lang w:val="en-US" w:eastAsia="zh-CN"/>
        </w:rPr>
        <w:t xml:space="preserve">      </w:t>
      </w:r>
      <w:r>
        <w:rPr>
          <w:rFonts w:hint="eastAsia" w:ascii="仿宋" w:hAnsi="仿宋" w:eastAsia="仿宋" w:cs="仿宋"/>
          <w:color w:val="auto"/>
          <w:spacing w:val="15"/>
          <w:sz w:val="24"/>
          <w:szCs w:val="24"/>
          <w:highlight w:val="none"/>
          <w:u w:val="single"/>
        </w:rPr>
        <w:t>（采购</w:t>
      </w:r>
      <w:r>
        <w:rPr>
          <w:rFonts w:hint="eastAsia" w:ascii="仿宋" w:hAnsi="仿宋" w:eastAsia="仿宋" w:cs="仿宋"/>
          <w:color w:val="auto"/>
          <w:spacing w:val="15"/>
          <w:sz w:val="24"/>
          <w:szCs w:val="24"/>
          <w:highlight w:val="none"/>
          <w:u w:val="single"/>
          <w:lang w:eastAsia="zh-CN"/>
        </w:rPr>
        <w:t>文件</w:t>
      </w:r>
      <w:r>
        <w:rPr>
          <w:rFonts w:hint="eastAsia" w:ascii="仿宋" w:hAnsi="仿宋" w:eastAsia="仿宋" w:cs="仿宋"/>
          <w:color w:val="auto"/>
          <w:spacing w:val="15"/>
          <w:sz w:val="24"/>
          <w:szCs w:val="24"/>
          <w:highlight w:val="none"/>
          <w:u w:val="single"/>
        </w:rPr>
        <w:t>中</w:t>
      </w:r>
      <w:r>
        <w:rPr>
          <w:rFonts w:hint="eastAsia" w:ascii="仿宋" w:hAnsi="仿宋" w:eastAsia="仿宋" w:cs="仿宋"/>
          <w:color w:val="auto"/>
          <w:spacing w:val="15"/>
          <w:sz w:val="24"/>
          <w:szCs w:val="24"/>
          <w:highlight w:val="none"/>
          <w:u w:val="single"/>
          <w:lang w:eastAsia="zh-CN"/>
        </w:rPr>
        <w:t>明确</w:t>
      </w:r>
      <w:r>
        <w:rPr>
          <w:rFonts w:hint="eastAsia" w:ascii="仿宋" w:hAnsi="仿宋" w:eastAsia="仿宋" w:cs="仿宋"/>
          <w:color w:val="auto"/>
          <w:spacing w:val="15"/>
          <w:sz w:val="24"/>
          <w:szCs w:val="24"/>
          <w:highlight w:val="none"/>
          <w:u w:val="single"/>
        </w:rPr>
        <w:t>的</w:t>
      </w:r>
      <w:r>
        <w:rPr>
          <w:rFonts w:hint="eastAsia" w:ascii="仿宋" w:hAnsi="仿宋" w:eastAsia="仿宋" w:cs="仿宋"/>
          <w:color w:val="auto"/>
          <w:spacing w:val="15"/>
          <w:sz w:val="24"/>
          <w:szCs w:val="24"/>
          <w:highlight w:val="none"/>
          <w:u w:val="single"/>
          <w:lang w:eastAsia="zh-CN"/>
        </w:rPr>
        <w:t>所属</w:t>
      </w:r>
      <w:r>
        <w:rPr>
          <w:rFonts w:hint="eastAsia" w:ascii="仿宋" w:hAnsi="仿宋" w:eastAsia="仿宋" w:cs="仿宋"/>
          <w:color w:val="auto"/>
          <w:spacing w:val="15"/>
          <w:sz w:val="24"/>
          <w:szCs w:val="24"/>
          <w:highlight w:val="none"/>
          <w:u w:val="single"/>
        </w:rPr>
        <w:t>行业）</w:t>
      </w:r>
      <w:r>
        <w:rPr>
          <w:rFonts w:hint="eastAsia" w:ascii="仿宋" w:hAnsi="仿宋" w:eastAsia="仿宋" w:cs="仿宋"/>
          <w:color w:val="auto"/>
          <w:spacing w:val="15"/>
          <w:sz w:val="24"/>
          <w:szCs w:val="24"/>
          <w:highlight w:val="none"/>
          <w:u w:val="single"/>
          <w:lang w:eastAsia="zh-CN"/>
        </w:rPr>
        <w:t>行业</w:t>
      </w:r>
      <w:r>
        <w:rPr>
          <w:rFonts w:hint="eastAsia" w:ascii="仿宋" w:hAnsi="仿宋" w:eastAsia="仿宋" w:cs="仿宋"/>
          <w:color w:val="auto"/>
          <w:spacing w:val="15"/>
          <w:sz w:val="24"/>
          <w:szCs w:val="24"/>
          <w:highlight w:val="none"/>
        </w:rPr>
        <w:t>；制造商为</w:t>
      </w:r>
      <w:r>
        <w:rPr>
          <w:rFonts w:hint="eastAsia" w:ascii="仿宋" w:hAnsi="仿宋" w:eastAsia="仿宋" w:cs="仿宋"/>
          <w:color w:val="auto"/>
          <w:spacing w:val="15"/>
          <w:sz w:val="24"/>
          <w:szCs w:val="24"/>
          <w:highlight w:val="none"/>
          <w:u w:val="single"/>
          <w:lang w:val="en-US" w:eastAsia="zh-CN"/>
        </w:rPr>
        <w:t xml:space="preserve">          </w:t>
      </w:r>
      <w:r>
        <w:rPr>
          <w:rFonts w:hint="eastAsia" w:ascii="仿宋" w:hAnsi="仿宋" w:eastAsia="仿宋" w:cs="仿宋"/>
          <w:color w:val="auto"/>
          <w:spacing w:val="15"/>
          <w:sz w:val="24"/>
          <w:szCs w:val="24"/>
          <w:highlight w:val="none"/>
          <w:u w:val="single"/>
        </w:rPr>
        <w:t>（</w:t>
      </w:r>
      <w:r>
        <w:rPr>
          <w:rFonts w:hint="eastAsia" w:ascii="仿宋" w:hAnsi="仿宋" w:eastAsia="仿宋" w:cs="仿宋"/>
          <w:color w:val="auto"/>
          <w:spacing w:val="15"/>
          <w:sz w:val="24"/>
          <w:szCs w:val="24"/>
          <w:highlight w:val="none"/>
          <w:u w:val="single"/>
          <w:lang w:eastAsia="zh-CN"/>
        </w:rPr>
        <w:t>企业</w:t>
      </w:r>
      <w:r>
        <w:rPr>
          <w:rFonts w:hint="eastAsia" w:ascii="仿宋" w:hAnsi="仿宋" w:eastAsia="仿宋" w:cs="仿宋"/>
          <w:color w:val="auto"/>
          <w:spacing w:val="15"/>
          <w:sz w:val="24"/>
          <w:szCs w:val="24"/>
          <w:highlight w:val="none"/>
          <w:u w:val="single"/>
        </w:rPr>
        <w:t>名称）</w:t>
      </w:r>
      <w:r>
        <w:rPr>
          <w:rFonts w:hint="eastAsia" w:ascii="仿宋" w:hAnsi="仿宋" w:eastAsia="仿宋" w:cs="仿宋"/>
          <w:color w:val="auto"/>
          <w:spacing w:val="15"/>
          <w:sz w:val="24"/>
          <w:szCs w:val="24"/>
          <w:highlight w:val="none"/>
        </w:rPr>
        <w:t>，从业人员</w:t>
      </w:r>
      <w:r>
        <w:rPr>
          <w:rFonts w:hint="eastAsia" w:ascii="仿宋" w:hAnsi="仿宋" w:eastAsia="仿宋" w:cs="仿宋"/>
          <w:color w:val="auto"/>
          <w:spacing w:val="15"/>
          <w:sz w:val="24"/>
          <w:szCs w:val="24"/>
          <w:highlight w:val="none"/>
          <w:u w:val="single"/>
        </w:rPr>
        <w:tab/>
      </w:r>
      <w:r>
        <w:rPr>
          <w:rFonts w:hint="eastAsia" w:ascii="仿宋" w:hAnsi="仿宋" w:eastAsia="仿宋" w:cs="仿宋"/>
          <w:color w:val="auto"/>
          <w:spacing w:val="15"/>
          <w:sz w:val="24"/>
          <w:szCs w:val="24"/>
          <w:highlight w:val="none"/>
        </w:rPr>
        <w:t>人，营业收入为</w:t>
      </w:r>
      <w:r>
        <w:rPr>
          <w:rFonts w:hint="eastAsia" w:ascii="仿宋" w:hAnsi="仿宋" w:eastAsia="仿宋" w:cs="仿宋"/>
          <w:color w:val="auto"/>
          <w:spacing w:val="15"/>
          <w:sz w:val="24"/>
          <w:szCs w:val="24"/>
          <w:highlight w:val="none"/>
          <w:u w:val="single"/>
        </w:rPr>
        <w:tab/>
      </w:r>
      <w:r>
        <w:rPr>
          <w:rFonts w:hint="eastAsia" w:ascii="仿宋" w:hAnsi="仿宋" w:eastAsia="仿宋" w:cs="仿宋"/>
          <w:color w:val="auto"/>
          <w:spacing w:val="15"/>
          <w:sz w:val="24"/>
          <w:szCs w:val="24"/>
          <w:highlight w:val="none"/>
          <w:u w:val="single"/>
        </w:rPr>
        <w:tab/>
      </w:r>
      <w:r>
        <w:rPr>
          <w:rFonts w:hint="eastAsia" w:ascii="仿宋" w:hAnsi="仿宋" w:eastAsia="仿宋" w:cs="仿宋"/>
          <w:color w:val="auto"/>
          <w:spacing w:val="15"/>
          <w:sz w:val="24"/>
          <w:szCs w:val="24"/>
          <w:highlight w:val="none"/>
        </w:rPr>
        <w:t>万元，资产总额为</w:t>
      </w:r>
      <w:r>
        <w:rPr>
          <w:rFonts w:hint="eastAsia" w:ascii="仿宋" w:hAnsi="仿宋" w:eastAsia="仿宋" w:cs="仿宋"/>
          <w:color w:val="auto"/>
          <w:spacing w:val="15"/>
          <w:sz w:val="24"/>
          <w:szCs w:val="24"/>
          <w:highlight w:val="none"/>
          <w:u w:val="single"/>
        </w:rPr>
        <w:tab/>
      </w:r>
      <w:r>
        <w:rPr>
          <w:rFonts w:hint="eastAsia" w:ascii="仿宋" w:hAnsi="仿宋" w:eastAsia="仿宋" w:cs="仿宋"/>
          <w:color w:val="auto"/>
          <w:spacing w:val="15"/>
          <w:sz w:val="24"/>
          <w:szCs w:val="24"/>
          <w:highlight w:val="none"/>
          <w:u w:val="single"/>
          <w:lang w:val="en-US" w:eastAsia="zh-CN"/>
        </w:rPr>
        <w:t xml:space="preserve">  </w:t>
      </w:r>
      <w:r>
        <w:rPr>
          <w:rFonts w:hint="eastAsia" w:ascii="仿宋" w:hAnsi="仿宋" w:eastAsia="仿宋" w:cs="仿宋"/>
          <w:color w:val="auto"/>
          <w:spacing w:val="15"/>
          <w:sz w:val="24"/>
          <w:szCs w:val="24"/>
          <w:highlight w:val="none"/>
        </w:rPr>
        <w:t>万元</w:t>
      </w:r>
      <w:r>
        <w:rPr>
          <w:rFonts w:hint="eastAsia" w:ascii="仿宋" w:hAnsi="仿宋" w:eastAsia="仿宋" w:cs="仿宋"/>
          <w:color w:val="auto"/>
          <w:spacing w:val="15"/>
          <w:sz w:val="24"/>
          <w:szCs w:val="24"/>
          <w:highlight w:val="none"/>
          <w:lang w:eastAsia="zh-CN"/>
        </w:rPr>
        <w:t>，</w:t>
      </w:r>
      <w:r>
        <w:rPr>
          <w:rFonts w:hint="eastAsia" w:ascii="仿宋" w:hAnsi="仿宋" w:eastAsia="仿宋" w:cs="仿宋"/>
          <w:color w:val="auto"/>
          <w:spacing w:val="15"/>
          <w:sz w:val="24"/>
          <w:szCs w:val="24"/>
          <w:highlight w:val="none"/>
        </w:rPr>
        <w:t>属于</w:t>
      </w:r>
      <w:r>
        <w:rPr>
          <w:rFonts w:hint="eastAsia" w:ascii="仿宋" w:hAnsi="仿宋" w:eastAsia="仿宋" w:cs="仿宋"/>
          <w:color w:val="auto"/>
          <w:spacing w:val="15"/>
          <w:sz w:val="24"/>
          <w:szCs w:val="24"/>
          <w:highlight w:val="none"/>
          <w:u w:val="single"/>
          <w:lang w:val="en-US" w:eastAsia="zh-CN"/>
        </w:rPr>
        <w:t xml:space="preserve">      </w:t>
      </w:r>
      <w:r>
        <w:rPr>
          <w:rFonts w:hint="eastAsia" w:ascii="仿宋" w:hAnsi="仿宋" w:eastAsia="仿宋" w:cs="仿宋"/>
          <w:color w:val="auto"/>
          <w:spacing w:val="15"/>
          <w:sz w:val="24"/>
          <w:szCs w:val="24"/>
          <w:highlight w:val="none"/>
          <w:u w:val="single"/>
        </w:rPr>
        <w:t>（中型</w:t>
      </w:r>
      <w:r>
        <w:rPr>
          <w:rFonts w:hint="eastAsia" w:ascii="仿宋" w:hAnsi="仿宋" w:eastAsia="仿宋" w:cs="仿宋"/>
          <w:color w:val="auto"/>
          <w:spacing w:val="15"/>
          <w:sz w:val="24"/>
          <w:szCs w:val="24"/>
          <w:highlight w:val="none"/>
          <w:u w:val="single"/>
          <w:lang w:eastAsia="zh-CN"/>
        </w:rPr>
        <w:t>企业</w:t>
      </w:r>
      <w:r>
        <w:rPr>
          <w:rFonts w:hint="eastAsia" w:ascii="仿宋" w:hAnsi="仿宋" w:eastAsia="仿宋" w:cs="仿宋"/>
          <w:color w:val="auto"/>
          <w:spacing w:val="15"/>
          <w:sz w:val="24"/>
          <w:szCs w:val="24"/>
          <w:highlight w:val="none"/>
          <w:u w:val="single"/>
        </w:rPr>
        <w:t>、</w:t>
      </w:r>
      <w:r>
        <w:rPr>
          <w:rFonts w:hint="eastAsia" w:ascii="仿宋" w:hAnsi="仿宋" w:eastAsia="仿宋" w:cs="仿宋"/>
          <w:color w:val="auto"/>
          <w:spacing w:val="15"/>
          <w:sz w:val="24"/>
          <w:szCs w:val="24"/>
          <w:highlight w:val="none"/>
          <w:u w:val="single"/>
          <w:lang w:eastAsia="zh-CN"/>
        </w:rPr>
        <w:t>小</w:t>
      </w:r>
      <w:r>
        <w:rPr>
          <w:rFonts w:hint="eastAsia" w:ascii="仿宋" w:hAnsi="仿宋" w:eastAsia="仿宋" w:cs="仿宋"/>
          <w:color w:val="auto"/>
          <w:spacing w:val="15"/>
          <w:sz w:val="24"/>
          <w:szCs w:val="24"/>
          <w:highlight w:val="none"/>
          <w:u w:val="single"/>
        </w:rPr>
        <w:t>型</w:t>
      </w:r>
      <w:r>
        <w:rPr>
          <w:rFonts w:hint="eastAsia" w:ascii="仿宋" w:hAnsi="仿宋" w:eastAsia="仿宋" w:cs="仿宋"/>
          <w:color w:val="auto"/>
          <w:spacing w:val="15"/>
          <w:sz w:val="24"/>
          <w:szCs w:val="24"/>
          <w:highlight w:val="none"/>
          <w:u w:val="single"/>
          <w:lang w:eastAsia="zh-CN"/>
        </w:rPr>
        <w:t>企业</w:t>
      </w:r>
      <w:r>
        <w:rPr>
          <w:rFonts w:hint="eastAsia" w:ascii="仿宋" w:hAnsi="仿宋" w:eastAsia="仿宋" w:cs="仿宋"/>
          <w:color w:val="auto"/>
          <w:spacing w:val="15"/>
          <w:sz w:val="24"/>
          <w:szCs w:val="24"/>
          <w:highlight w:val="none"/>
          <w:u w:val="single"/>
        </w:rPr>
        <w:t>、</w:t>
      </w:r>
      <w:r>
        <w:rPr>
          <w:rFonts w:hint="eastAsia" w:ascii="仿宋" w:hAnsi="仿宋" w:eastAsia="仿宋" w:cs="仿宋"/>
          <w:color w:val="auto"/>
          <w:spacing w:val="15"/>
          <w:sz w:val="24"/>
          <w:szCs w:val="24"/>
          <w:highlight w:val="none"/>
          <w:u w:val="single"/>
          <w:lang w:eastAsia="zh-CN"/>
        </w:rPr>
        <w:t>微</w:t>
      </w:r>
      <w:r>
        <w:rPr>
          <w:rFonts w:hint="eastAsia" w:ascii="仿宋" w:hAnsi="仿宋" w:eastAsia="仿宋" w:cs="仿宋"/>
          <w:color w:val="auto"/>
          <w:spacing w:val="15"/>
          <w:sz w:val="24"/>
          <w:szCs w:val="24"/>
          <w:highlight w:val="none"/>
          <w:u w:val="single"/>
        </w:rPr>
        <w:t>型</w:t>
      </w:r>
      <w:r>
        <w:rPr>
          <w:rFonts w:hint="eastAsia" w:ascii="仿宋" w:hAnsi="仿宋" w:eastAsia="仿宋" w:cs="仿宋"/>
          <w:color w:val="auto"/>
          <w:spacing w:val="15"/>
          <w:sz w:val="24"/>
          <w:szCs w:val="24"/>
          <w:highlight w:val="none"/>
          <w:u w:val="single"/>
          <w:lang w:eastAsia="zh-CN"/>
        </w:rPr>
        <w:t>企业</w:t>
      </w:r>
      <w:r>
        <w:rPr>
          <w:rFonts w:hint="eastAsia" w:ascii="仿宋" w:hAnsi="仿宋" w:eastAsia="仿宋" w:cs="仿宋"/>
          <w:color w:val="auto"/>
          <w:spacing w:val="15"/>
          <w:sz w:val="24"/>
          <w:szCs w:val="24"/>
          <w:highlight w:val="none"/>
          <w:u w:val="single"/>
        </w:rPr>
        <w:t>）</w:t>
      </w:r>
      <w:r>
        <w:rPr>
          <w:rFonts w:hint="eastAsia" w:ascii="仿宋" w:hAnsi="仿宋" w:eastAsia="仿宋" w:cs="仿宋"/>
          <w:color w:val="auto"/>
          <w:spacing w:val="15"/>
          <w:sz w:val="24"/>
          <w:szCs w:val="24"/>
          <w:highlight w:val="none"/>
        </w:rPr>
        <w:t>；</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7" w:line="336" w:lineRule="auto"/>
        <w:ind w:left="10" w:leftChars="0" w:right="332" w:rightChars="0" w:firstLine="423" w:firstLineChars="157"/>
        <w:textAlignment w:val="auto"/>
        <w:rPr>
          <w:rFonts w:hint="eastAsia" w:ascii="仿宋" w:hAnsi="仿宋" w:eastAsia="仿宋" w:cs="仿宋"/>
          <w:color w:val="auto"/>
          <w:spacing w:val="15"/>
          <w:sz w:val="24"/>
          <w:szCs w:val="24"/>
          <w:highlight w:val="none"/>
        </w:rPr>
      </w:pPr>
      <w:r>
        <w:rPr>
          <w:rFonts w:hint="eastAsia" w:ascii="仿宋" w:hAnsi="仿宋" w:eastAsia="仿宋" w:cs="仿宋"/>
          <w:color w:val="auto"/>
          <w:spacing w:val="15"/>
          <w:sz w:val="24"/>
          <w:szCs w:val="24"/>
          <w:highlight w:val="none"/>
          <w:lang w:val="en-US" w:eastAsia="zh-CN"/>
        </w:rPr>
        <w:t>2.</w:t>
      </w:r>
      <w:r>
        <w:rPr>
          <w:rFonts w:hint="eastAsia" w:ascii="仿宋" w:hAnsi="仿宋" w:eastAsia="仿宋" w:cs="仿宋"/>
          <w:color w:val="auto"/>
          <w:spacing w:val="15"/>
          <w:sz w:val="24"/>
          <w:szCs w:val="24"/>
          <w:highlight w:val="none"/>
          <w:u w:val="single"/>
          <w:lang w:val="en-US" w:eastAsia="zh-CN"/>
        </w:rPr>
        <w:t xml:space="preserve">        </w:t>
      </w:r>
      <w:r>
        <w:rPr>
          <w:rFonts w:hint="eastAsia" w:ascii="仿宋" w:hAnsi="仿宋" w:eastAsia="仿宋" w:cs="仿宋"/>
          <w:color w:val="auto"/>
          <w:spacing w:val="15"/>
          <w:sz w:val="24"/>
          <w:szCs w:val="24"/>
          <w:highlight w:val="none"/>
          <w:u w:val="single"/>
        </w:rPr>
        <w:t>(标的名称）</w:t>
      </w:r>
      <w:r>
        <w:rPr>
          <w:rFonts w:hint="eastAsia" w:ascii="仿宋" w:hAnsi="仿宋" w:eastAsia="仿宋" w:cs="仿宋"/>
          <w:color w:val="auto"/>
          <w:spacing w:val="15"/>
          <w:sz w:val="24"/>
          <w:szCs w:val="24"/>
          <w:highlight w:val="none"/>
        </w:rPr>
        <w:t>，属于</w:t>
      </w:r>
      <w:r>
        <w:rPr>
          <w:rFonts w:hint="eastAsia" w:ascii="仿宋" w:hAnsi="仿宋" w:eastAsia="仿宋" w:cs="仿宋"/>
          <w:color w:val="auto"/>
          <w:spacing w:val="15"/>
          <w:sz w:val="24"/>
          <w:szCs w:val="24"/>
          <w:highlight w:val="none"/>
          <w:u w:val="single"/>
          <w:lang w:val="en-US" w:eastAsia="zh-CN"/>
        </w:rPr>
        <w:t xml:space="preserve">      </w:t>
      </w:r>
      <w:r>
        <w:rPr>
          <w:rFonts w:hint="eastAsia" w:ascii="仿宋" w:hAnsi="仿宋" w:eastAsia="仿宋" w:cs="仿宋"/>
          <w:color w:val="auto"/>
          <w:spacing w:val="15"/>
          <w:sz w:val="24"/>
          <w:szCs w:val="24"/>
          <w:highlight w:val="none"/>
          <w:u w:val="single"/>
        </w:rPr>
        <w:t>（采购</w:t>
      </w:r>
      <w:r>
        <w:rPr>
          <w:rFonts w:hint="eastAsia" w:ascii="仿宋" w:hAnsi="仿宋" w:eastAsia="仿宋" w:cs="仿宋"/>
          <w:color w:val="auto"/>
          <w:spacing w:val="15"/>
          <w:sz w:val="24"/>
          <w:szCs w:val="24"/>
          <w:highlight w:val="none"/>
          <w:u w:val="single"/>
          <w:lang w:eastAsia="zh-CN"/>
        </w:rPr>
        <w:t>文件</w:t>
      </w:r>
      <w:r>
        <w:rPr>
          <w:rFonts w:hint="eastAsia" w:ascii="仿宋" w:hAnsi="仿宋" w:eastAsia="仿宋" w:cs="仿宋"/>
          <w:color w:val="auto"/>
          <w:spacing w:val="15"/>
          <w:sz w:val="24"/>
          <w:szCs w:val="24"/>
          <w:highlight w:val="none"/>
          <w:u w:val="single"/>
        </w:rPr>
        <w:t>中</w:t>
      </w:r>
      <w:r>
        <w:rPr>
          <w:rFonts w:hint="eastAsia" w:ascii="仿宋" w:hAnsi="仿宋" w:eastAsia="仿宋" w:cs="仿宋"/>
          <w:color w:val="auto"/>
          <w:spacing w:val="15"/>
          <w:sz w:val="24"/>
          <w:szCs w:val="24"/>
          <w:highlight w:val="none"/>
          <w:u w:val="single"/>
          <w:lang w:eastAsia="zh-CN"/>
        </w:rPr>
        <w:t>明确</w:t>
      </w:r>
      <w:r>
        <w:rPr>
          <w:rFonts w:hint="eastAsia" w:ascii="仿宋" w:hAnsi="仿宋" w:eastAsia="仿宋" w:cs="仿宋"/>
          <w:color w:val="auto"/>
          <w:spacing w:val="15"/>
          <w:sz w:val="24"/>
          <w:szCs w:val="24"/>
          <w:highlight w:val="none"/>
          <w:u w:val="single"/>
        </w:rPr>
        <w:t>的</w:t>
      </w:r>
      <w:r>
        <w:rPr>
          <w:rFonts w:hint="eastAsia" w:ascii="仿宋" w:hAnsi="仿宋" w:eastAsia="仿宋" w:cs="仿宋"/>
          <w:color w:val="auto"/>
          <w:spacing w:val="15"/>
          <w:sz w:val="24"/>
          <w:szCs w:val="24"/>
          <w:highlight w:val="none"/>
          <w:u w:val="single"/>
          <w:lang w:eastAsia="zh-CN"/>
        </w:rPr>
        <w:t>所属</w:t>
      </w:r>
      <w:r>
        <w:rPr>
          <w:rFonts w:hint="eastAsia" w:ascii="仿宋" w:hAnsi="仿宋" w:eastAsia="仿宋" w:cs="仿宋"/>
          <w:color w:val="auto"/>
          <w:spacing w:val="15"/>
          <w:sz w:val="24"/>
          <w:szCs w:val="24"/>
          <w:highlight w:val="none"/>
          <w:u w:val="single"/>
        </w:rPr>
        <w:t>行业）</w:t>
      </w:r>
      <w:r>
        <w:rPr>
          <w:rFonts w:hint="eastAsia" w:ascii="仿宋" w:hAnsi="仿宋" w:eastAsia="仿宋" w:cs="仿宋"/>
          <w:color w:val="auto"/>
          <w:spacing w:val="15"/>
          <w:sz w:val="24"/>
          <w:szCs w:val="24"/>
          <w:highlight w:val="none"/>
          <w:u w:val="single"/>
          <w:lang w:eastAsia="zh-CN"/>
        </w:rPr>
        <w:t>行业</w:t>
      </w:r>
      <w:r>
        <w:rPr>
          <w:rFonts w:hint="eastAsia" w:ascii="仿宋" w:hAnsi="仿宋" w:eastAsia="仿宋" w:cs="仿宋"/>
          <w:color w:val="auto"/>
          <w:spacing w:val="15"/>
          <w:sz w:val="24"/>
          <w:szCs w:val="24"/>
          <w:highlight w:val="none"/>
        </w:rPr>
        <w:t>；制造商为</w:t>
      </w:r>
      <w:r>
        <w:rPr>
          <w:rFonts w:hint="eastAsia" w:ascii="仿宋" w:hAnsi="仿宋" w:eastAsia="仿宋" w:cs="仿宋"/>
          <w:color w:val="auto"/>
          <w:spacing w:val="15"/>
          <w:sz w:val="24"/>
          <w:szCs w:val="24"/>
          <w:highlight w:val="none"/>
          <w:u w:val="single"/>
          <w:lang w:val="en-US" w:eastAsia="zh-CN"/>
        </w:rPr>
        <w:t xml:space="preserve">          </w:t>
      </w:r>
      <w:r>
        <w:rPr>
          <w:rFonts w:hint="eastAsia" w:ascii="仿宋" w:hAnsi="仿宋" w:eastAsia="仿宋" w:cs="仿宋"/>
          <w:color w:val="auto"/>
          <w:spacing w:val="15"/>
          <w:sz w:val="24"/>
          <w:szCs w:val="24"/>
          <w:highlight w:val="none"/>
          <w:u w:val="single"/>
        </w:rPr>
        <w:t>（</w:t>
      </w:r>
      <w:r>
        <w:rPr>
          <w:rFonts w:hint="eastAsia" w:ascii="仿宋" w:hAnsi="仿宋" w:eastAsia="仿宋" w:cs="仿宋"/>
          <w:color w:val="auto"/>
          <w:spacing w:val="15"/>
          <w:sz w:val="24"/>
          <w:szCs w:val="24"/>
          <w:highlight w:val="none"/>
          <w:u w:val="single"/>
          <w:lang w:eastAsia="zh-CN"/>
        </w:rPr>
        <w:t>企业</w:t>
      </w:r>
      <w:r>
        <w:rPr>
          <w:rFonts w:hint="eastAsia" w:ascii="仿宋" w:hAnsi="仿宋" w:eastAsia="仿宋" w:cs="仿宋"/>
          <w:color w:val="auto"/>
          <w:spacing w:val="15"/>
          <w:sz w:val="24"/>
          <w:szCs w:val="24"/>
          <w:highlight w:val="none"/>
          <w:u w:val="single"/>
        </w:rPr>
        <w:t>名称）</w:t>
      </w:r>
      <w:r>
        <w:rPr>
          <w:rFonts w:hint="eastAsia" w:ascii="仿宋" w:hAnsi="仿宋" w:eastAsia="仿宋" w:cs="仿宋"/>
          <w:color w:val="auto"/>
          <w:spacing w:val="15"/>
          <w:sz w:val="24"/>
          <w:szCs w:val="24"/>
          <w:highlight w:val="none"/>
        </w:rPr>
        <w:t>，从业人员</w:t>
      </w:r>
      <w:r>
        <w:rPr>
          <w:rFonts w:hint="eastAsia" w:ascii="仿宋" w:hAnsi="仿宋" w:eastAsia="仿宋" w:cs="仿宋"/>
          <w:color w:val="auto"/>
          <w:spacing w:val="15"/>
          <w:sz w:val="24"/>
          <w:szCs w:val="24"/>
          <w:highlight w:val="none"/>
          <w:u w:val="single"/>
        </w:rPr>
        <w:tab/>
      </w:r>
      <w:r>
        <w:rPr>
          <w:rFonts w:hint="eastAsia" w:ascii="仿宋" w:hAnsi="仿宋" w:eastAsia="仿宋" w:cs="仿宋"/>
          <w:color w:val="auto"/>
          <w:spacing w:val="15"/>
          <w:sz w:val="24"/>
          <w:szCs w:val="24"/>
          <w:highlight w:val="none"/>
        </w:rPr>
        <w:t>人，营业收入为</w:t>
      </w:r>
      <w:r>
        <w:rPr>
          <w:rFonts w:hint="eastAsia" w:ascii="仿宋" w:hAnsi="仿宋" w:eastAsia="仿宋" w:cs="仿宋"/>
          <w:color w:val="auto"/>
          <w:spacing w:val="15"/>
          <w:sz w:val="24"/>
          <w:szCs w:val="24"/>
          <w:highlight w:val="none"/>
          <w:u w:val="single"/>
        </w:rPr>
        <w:tab/>
      </w:r>
      <w:r>
        <w:rPr>
          <w:rFonts w:hint="eastAsia" w:ascii="仿宋" w:hAnsi="仿宋" w:eastAsia="仿宋" w:cs="仿宋"/>
          <w:color w:val="auto"/>
          <w:spacing w:val="15"/>
          <w:sz w:val="24"/>
          <w:szCs w:val="24"/>
          <w:highlight w:val="none"/>
          <w:u w:val="single"/>
        </w:rPr>
        <w:tab/>
      </w:r>
      <w:r>
        <w:rPr>
          <w:rFonts w:hint="eastAsia" w:ascii="仿宋" w:hAnsi="仿宋" w:eastAsia="仿宋" w:cs="仿宋"/>
          <w:color w:val="auto"/>
          <w:spacing w:val="15"/>
          <w:sz w:val="24"/>
          <w:szCs w:val="24"/>
          <w:highlight w:val="none"/>
        </w:rPr>
        <w:t>万元，资产总额为</w:t>
      </w:r>
      <w:r>
        <w:rPr>
          <w:rFonts w:hint="eastAsia" w:ascii="仿宋" w:hAnsi="仿宋" w:eastAsia="仿宋" w:cs="仿宋"/>
          <w:color w:val="auto"/>
          <w:spacing w:val="15"/>
          <w:sz w:val="24"/>
          <w:szCs w:val="24"/>
          <w:highlight w:val="none"/>
          <w:u w:val="single"/>
        </w:rPr>
        <w:tab/>
      </w:r>
      <w:r>
        <w:rPr>
          <w:rFonts w:hint="eastAsia" w:ascii="仿宋" w:hAnsi="仿宋" w:eastAsia="仿宋" w:cs="仿宋"/>
          <w:color w:val="auto"/>
          <w:spacing w:val="15"/>
          <w:sz w:val="24"/>
          <w:szCs w:val="24"/>
          <w:highlight w:val="none"/>
          <w:u w:val="single"/>
          <w:lang w:val="en-US" w:eastAsia="zh-CN"/>
        </w:rPr>
        <w:t xml:space="preserve">  </w:t>
      </w:r>
      <w:r>
        <w:rPr>
          <w:rFonts w:hint="eastAsia" w:ascii="仿宋" w:hAnsi="仿宋" w:eastAsia="仿宋" w:cs="仿宋"/>
          <w:color w:val="auto"/>
          <w:spacing w:val="15"/>
          <w:sz w:val="24"/>
          <w:szCs w:val="24"/>
          <w:highlight w:val="none"/>
        </w:rPr>
        <w:t>万元</w:t>
      </w:r>
      <w:r>
        <w:rPr>
          <w:rFonts w:hint="eastAsia" w:ascii="仿宋" w:hAnsi="仿宋" w:eastAsia="仿宋" w:cs="仿宋"/>
          <w:color w:val="auto"/>
          <w:spacing w:val="15"/>
          <w:sz w:val="24"/>
          <w:szCs w:val="24"/>
          <w:highlight w:val="none"/>
          <w:lang w:eastAsia="zh-CN"/>
        </w:rPr>
        <w:t>，</w:t>
      </w:r>
      <w:r>
        <w:rPr>
          <w:rFonts w:hint="eastAsia" w:ascii="仿宋" w:hAnsi="仿宋" w:eastAsia="仿宋" w:cs="仿宋"/>
          <w:color w:val="auto"/>
          <w:spacing w:val="15"/>
          <w:sz w:val="24"/>
          <w:szCs w:val="24"/>
          <w:highlight w:val="none"/>
        </w:rPr>
        <w:t>属于</w:t>
      </w:r>
      <w:r>
        <w:rPr>
          <w:rFonts w:hint="eastAsia" w:ascii="仿宋" w:hAnsi="仿宋" w:eastAsia="仿宋" w:cs="仿宋"/>
          <w:color w:val="auto"/>
          <w:spacing w:val="15"/>
          <w:sz w:val="24"/>
          <w:szCs w:val="24"/>
          <w:highlight w:val="none"/>
          <w:u w:val="single"/>
          <w:lang w:val="en-US" w:eastAsia="zh-CN"/>
        </w:rPr>
        <w:t xml:space="preserve">      </w:t>
      </w:r>
      <w:r>
        <w:rPr>
          <w:rFonts w:hint="eastAsia" w:ascii="仿宋" w:hAnsi="仿宋" w:eastAsia="仿宋" w:cs="仿宋"/>
          <w:color w:val="auto"/>
          <w:spacing w:val="15"/>
          <w:sz w:val="24"/>
          <w:szCs w:val="24"/>
          <w:highlight w:val="none"/>
          <w:u w:val="single"/>
        </w:rPr>
        <w:t>（中型</w:t>
      </w:r>
      <w:r>
        <w:rPr>
          <w:rFonts w:hint="eastAsia" w:ascii="仿宋" w:hAnsi="仿宋" w:eastAsia="仿宋" w:cs="仿宋"/>
          <w:color w:val="auto"/>
          <w:spacing w:val="15"/>
          <w:sz w:val="24"/>
          <w:szCs w:val="24"/>
          <w:highlight w:val="none"/>
          <w:u w:val="single"/>
          <w:lang w:eastAsia="zh-CN"/>
        </w:rPr>
        <w:t>企业</w:t>
      </w:r>
      <w:r>
        <w:rPr>
          <w:rFonts w:hint="eastAsia" w:ascii="仿宋" w:hAnsi="仿宋" w:eastAsia="仿宋" w:cs="仿宋"/>
          <w:color w:val="auto"/>
          <w:spacing w:val="15"/>
          <w:sz w:val="24"/>
          <w:szCs w:val="24"/>
          <w:highlight w:val="none"/>
          <w:u w:val="single"/>
        </w:rPr>
        <w:t>、</w:t>
      </w:r>
      <w:r>
        <w:rPr>
          <w:rFonts w:hint="eastAsia" w:ascii="仿宋" w:hAnsi="仿宋" w:eastAsia="仿宋" w:cs="仿宋"/>
          <w:color w:val="auto"/>
          <w:spacing w:val="15"/>
          <w:sz w:val="24"/>
          <w:szCs w:val="24"/>
          <w:highlight w:val="none"/>
          <w:u w:val="single"/>
          <w:lang w:eastAsia="zh-CN"/>
        </w:rPr>
        <w:t>小</w:t>
      </w:r>
      <w:r>
        <w:rPr>
          <w:rFonts w:hint="eastAsia" w:ascii="仿宋" w:hAnsi="仿宋" w:eastAsia="仿宋" w:cs="仿宋"/>
          <w:color w:val="auto"/>
          <w:spacing w:val="15"/>
          <w:sz w:val="24"/>
          <w:szCs w:val="24"/>
          <w:highlight w:val="none"/>
          <w:u w:val="single"/>
        </w:rPr>
        <w:t>型</w:t>
      </w:r>
      <w:r>
        <w:rPr>
          <w:rFonts w:hint="eastAsia" w:ascii="仿宋" w:hAnsi="仿宋" w:eastAsia="仿宋" w:cs="仿宋"/>
          <w:color w:val="auto"/>
          <w:spacing w:val="15"/>
          <w:sz w:val="24"/>
          <w:szCs w:val="24"/>
          <w:highlight w:val="none"/>
          <w:u w:val="single"/>
          <w:lang w:eastAsia="zh-CN"/>
        </w:rPr>
        <w:t>企业</w:t>
      </w:r>
      <w:r>
        <w:rPr>
          <w:rFonts w:hint="eastAsia" w:ascii="仿宋" w:hAnsi="仿宋" w:eastAsia="仿宋" w:cs="仿宋"/>
          <w:color w:val="auto"/>
          <w:spacing w:val="15"/>
          <w:sz w:val="24"/>
          <w:szCs w:val="24"/>
          <w:highlight w:val="none"/>
          <w:u w:val="single"/>
        </w:rPr>
        <w:t>、</w:t>
      </w:r>
      <w:r>
        <w:rPr>
          <w:rFonts w:hint="eastAsia" w:ascii="仿宋" w:hAnsi="仿宋" w:eastAsia="仿宋" w:cs="仿宋"/>
          <w:color w:val="auto"/>
          <w:spacing w:val="15"/>
          <w:sz w:val="24"/>
          <w:szCs w:val="24"/>
          <w:highlight w:val="none"/>
          <w:u w:val="single"/>
          <w:lang w:eastAsia="zh-CN"/>
        </w:rPr>
        <w:t>微</w:t>
      </w:r>
      <w:r>
        <w:rPr>
          <w:rFonts w:hint="eastAsia" w:ascii="仿宋" w:hAnsi="仿宋" w:eastAsia="仿宋" w:cs="仿宋"/>
          <w:color w:val="auto"/>
          <w:spacing w:val="15"/>
          <w:sz w:val="24"/>
          <w:szCs w:val="24"/>
          <w:highlight w:val="none"/>
          <w:u w:val="single"/>
        </w:rPr>
        <w:t>型</w:t>
      </w:r>
      <w:r>
        <w:rPr>
          <w:rFonts w:hint="eastAsia" w:ascii="仿宋" w:hAnsi="仿宋" w:eastAsia="仿宋" w:cs="仿宋"/>
          <w:color w:val="auto"/>
          <w:spacing w:val="15"/>
          <w:sz w:val="24"/>
          <w:szCs w:val="24"/>
          <w:highlight w:val="none"/>
          <w:u w:val="single"/>
          <w:lang w:eastAsia="zh-CN"/>
        </w:rPr>
        <w:t>企业</w:t>
      </w:r>
      <w:r>
        <w:rPr>
          <w:rFonts w:hint="eastAsia" w:ascii="仿宋" w:hAnsi="仿宋" w:eastAsia="仿宋" w:cs="仿宋"/>
          <w:color w:val="auto"/>
          <w:spacing w:val="15"/>
          <w:sz w:val="24"/>
          <w:szCs w:val="24"/>
          <w:highlight w:val="none"/>
          <w:u w:val="single"/>
        </w:rPr>
        <w:t>）</w:t>
      </w:r>
      <w:r>
        <w:rPr>
          <w:rFonts w:hint="eastAsia" w:ascii="仿宋" w:hAnsi="仿宋" w:eastAsia="仿宋" w:cs="仿宋"/>
          <w:color w:val="auto"/>
          <w:spacing w:val="15"/>
          <w:sz w:val="24"/>
          <w:szCs w:val="24"/>
          <w:highlight w:val="none"/>
        </w:rPr>
        <w:t>；</w:t>
      </w:r>
    </w:p>
    <w:p>
      <w:pPr>
        <w:pStyle w:val="33"/>
        <w:ind w:firstLine="48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w:t>
      </w:r>
    </w:p>
    <w:p>
      <w:pPr>
        <w:pStyle w:val="2"/>
        <w:keepNext w:val="0"/>
        <w:keepLines w:val="0"/>
        <w:pageBreakBefore w:val="0"/>
        <w:widowControl w:val="0"/>
        <w:kinsoku/>
        <w:wordWrap/>
        <w:overflowPunct/>
        <w:topLinePunct w:val="0"/>
        <w:autoSpaceDE w:val="0"/>
        <w:autoSpaceDN w:val="0"/>
        <w:bidi w:val="0"/>
        <w:adjustRightInd/>
        <w:snapToGrid/>
        <w:spacing w:before="7" w:line="336" w:lineRule="auto"/>
        <w:ind w:left="0" w:leftChars="0" w:right="332" w:firstLine="438" w:firstLineChars="0"/>
        <w:textAlignment w:val="auto"/>
        <w:rPr>
          <w:rFonts w:hint="eastAsia" w:ascii="仿宋" w:hAnsi="仿宋" w:eastAsia="仿宋" w:cs="仿宋"/>
          <w:color w:val="auto"/>
          <w:spacing w:val="15"/>
          <w:sz w:val="24"/>
          <w:szCs w:val="24"/>
          <w:highlight w:val="none"/>
        </w:rPr>
      </w:pPr>
      <w:r>
        <w:rPr>
          <w:rFonts w:hint="eastAsia" w:ascii="仿宋" w:hAnsi="仿宋" w:eastAsia="仿宋" w:cs="仿宋"/>
          <w:color w:val="auto"/>
          <w:spacing w:val="15"/>
          <w:sz w:val="24"/>
          <w:szCs w:val="24"/>
          <w:highlight w:val="none"/>
        </w:rPr>
        <w:t>以上企业，不属于大企业的分支机构，不存在控股股东为大企业的情形，也不存在与大企业的负责人为同一人的情形。</w:t>
      </w:r>
    </w:p>
    <w:p>
      <w:pPr>
        <w:pStyle w:val="2"/>
        <w:keepNext w:val="0"/>
        <w:keepLines w:val="0"/>
        <w:pageBreakBefore w:val="0"/>
        <w:widowControl w:val="0"/>
        <w:kinsoku/>
        <w:wordWrap/>
        <w:overflowPunct/>
        <w:topLinePunct w:val="0"/>
        <w:autoSpaceDE w:val="0"/>
        <w:autoSpaceDN w:val="0"/>
        <w:bidi w:val="0"/>
        <w:adjustRightInd/>
        <w:snapToGrid/>
        <w:spacing w:before="7" w:line="336" w:lineRule="auto"/>
        <w:ind w:left="0" w:leftChars="0" w:right="332" w:firstLine="438" w:firstLineChars="0"/>
        <w:textAlignment w:val="auto"/>
        <w:rPr>
          <w:rFonts w:hint="eastAsia" w:ascii="仿宋" w:hAnsi="仿宋" w:eastAsia="仿宋" w:cs="仿宋"/>
          <w:color w:val="auto"/>
          <w:spacing w:val="15"/>
          <w:sz w:val="24"/>
          <w:szCs w:val="24"/>
          <w:highlight w:val="none"/>
        </w:rPr>
      </w:pPr>
      <w:r>
        <w:rPr>
          <w:rFonts w:hint="eastAsia" w:ascii="仿宋" w:hAnsi="仿宋" w:eastAsia="仿宋" w:cs="仿宋"/>
          <w:color w:val="auto"/>
          <w:spacing w:val="15"/>
          <w:sz w:val="24"/>
          <w:szCs w:val="24"/>
          <w:highlight w:val="none"/>
        </w:rPr>
        <w:t>本企业对上述声明内容的真实性负责。如有虚假，将依法承担相应责任。</w:t>
      </w:r>
    </w:p>
    <w:p>
      <w:pPr>
        <w:pStyle w:val="2"/>
        <w:keepNext w:val="0"/>
        <w:keepLines w:val="0"/>
        <w:pageBreakBefore w:val="0"/>
        <w:widowControl w:val="0"/>
        <w:kinsoku/>
        <w:wordWrap/>
        <w:overflowPunct/>
        <w:topLinePunct w:val="0"/>
        <w:autoSpaceDE w:val="0"/>
        <w:autoSpaceDN w:val="0"/>
        <w:bidi w:val="0"/>
        <w:adjustRightInd/>
        <w:snapToGrid/>
        <w:spacing w:before="7" w:line="336" w:lineRule="auto"/>
        <w:ind w:left="0" w:leftChars="0" w:right="332" w:firstLine="438" w:firstLineChars="0"/>
        <w:textAlignment w:val="auto"/>
        <w:rPr>
          <w:rFonts w:hint="eastAsia" w:ascii="仿宋" w:hAnsi="仿宋" w:eastAsia="仿宋" w:cs="仿宋"/>
          <w:color w:val="auto"/>
          <w:spacing w:val="15"/>
          <w:sz w:val="24"/>
          <w:szCs w:val="24"/>
          <w:highlight w:val="none"/>
        </w:rPr>
      </w:pPr>
      <w:r>
        <w:rPr>
          <w:rFonts w:hint="eastAsia" w:ascii="仿宋" w:hAnsi="仿宋" w:eastAsia="仿宋" w:cs="仿宋"/>
          <w:color w:val="auto"/>
          <w:spacing w:val="15"/>
          <w:sz w:val="24"/>
          <w:szCs w:val="24"/>
          <w:highlight w:val="none"/>
        </w:rPr>
        <w:t>企业名称（盖章）：</w:t>
      </w:r>
    </w:p>
    <w:p>
      <w:pPr>
        <w:pStyle w:val="2"/>
        <w:keepNext w:val="0"/>
        <w:keepLines w:val="0"/>
        <w:pageBreakBefore w:val="0"/>
        <w:widowControl w:val="0"/>
        <w:kinsoku/>
        <w:wordWrap/>
        <w:overflowPunct/>
        <w:topLinePunct w:val="0"/>
        <w:autoSpaceDE w:val="0"/>
        <w:autoSpaceDN w:val="0"/>
        <w:bidi w:val="0"/>
        <w:adjustRightInd/>
        <w:snapToGrid/>
        <w:spacing w:before="7" w:line="336" w:lineRule="auto"/>
        <w:ind w:left="0" w:leftChars="0" w:right="332" w:firstLine="438" w:firstLineChars="0"/>
        <w:textAlignment w:val="auto"/>
        <w:rPr>
          <w:rFonts w:hint="eastAsia" w:ascii="仿宋" w:hAnsi="仿宋" w:eastAsia="仿宋" w:cs="仿宋"/>
          <w:color w:val="auto"/>
          <w:spacing w:val="15"/>
          <w:sz w:val="24"/>
          <w:szCs w:val="24"/>
          <w:highlight w:val="none"/>
        </w:rPr>
      </w:pPr>
      <w:r>
        <w:rPr>
          <w:rFonts w:hint="eastAsia" w:ascii="仿宋" w:hAnsi="仿宋" w:eastAsia="仿宋" w:cs="仿宋"/>
          <w:color w:val="auto"/>
          <w:spacing w:val="15"/>
          <w:sz w:val="24"/>
          <w:szCs w:val="24"/>
          <w:highlight w:val="none"/>
        </w:rPr>
        <w:t>日期：</w:t>
      </w:r>
    </w:p>
    <w:p>
      <w:pPr>
        <w:pStyle w:val="2"/>
        <w:keepNext w:val="0"/>
        <w:keepLines w:val="0"/>
        <w:pageBreakBefore w:val="0"/>
        <w:widowControl w:val="0"/>
        <w:kinsoku/>
        <w:wordWrap/>
        <w:overflowPunct/>
        <w:topLinePunct w:val="0"/>
        <w:autoSpaceDE w:val="0"/>
        <w:autoSpaceDN w:val="0"/>
        <w:bidi w:val="0"/>
        <w:adjustRightInd/>
        <w:snapToGrid/>
        <w:spacing w:after="0" w:line="336" w:lineRule="auto"/>
        <w:ind w:firstLine="502" w:firstLineChars="200"/>
        <w:textAlignment w:val="auto"/>
        <w:rPr>
          <w:rFonts w:hint="eastAsia" w:ascii="仿宋" w:hAnsi="仿宋" w:eastAsia="仿宋" w:cs="仿宋"/>
          <w:b/>
          <w:bCs/>
          <w:color w:val="auto"/>
          <w:spacing w:val="15"/>
          <w:sz w:val="22"/>
          <w:szCs w:val="22"/>
          <w:highlight w:val="none"/>
          <w:lang w:eastAsia="zh-CN"/>
        </w:rPr>
      </w:pPr>
      <w:r>
        <w:rPr>
          <w:rFonts w:hint="eastAsia" w:ascii="仿宋" w:hAnsi="仿宋" w:eastAsia="仿宋" w:cs="仿宋"/>
          <w:b/>
          <w:bCs/>
          <w:color w:val="auto"/>
          <w:spacing w:val="15"/>
          <w:sz w:val="22"/>
          <w:szCs w:val="22"/>
          <w:highlight w:val="none"/>
          <w:lang w:eastAsia="zh-CN"/>
        </w:rPr>
        <w:t>说明：</w:t>
      </w:r>
      <w:r>
        <w:rPr>
          <w:rFonts w:hint="eastAsia" w:ascii="仿宋" w:hAnsi="仿宋" w:eastAsia="仿宋" w:cs="仿宋"/>
          <w:b/>
          <w:bCs/>
          <w:color w:val="auto"/>
          <w:spacing w:val="15"/>
          <w:sz w:val="22"/>
          <w:szCs w:val="22"/>
          <w:highlight w:val="none"/>
          <w:lang w:val="en-US" w:eastAsia="zh-CN"/>
        </w:rPr>
        <w:t>1.</w:t>
      </w:r>
      <w:r>
        <w:rPr>
          <w:rFonts w:hint="eastAsia" w:ascii="仿宋" w:hAnsi="仿宋" w:eastAsia="仿宋" w:cs="仿宋"/>
          <w:b/>
          <w:bCs/>
          <w:color w:val="auto"/>
          <w:spacing w:val="15"/>
          <w:sz w:val="22"/>
          <w:szCs w:val="22"/>
          <w:highlight w:val="none"/>
        </w:rPr>
        <w:t>从业人员、营业收入、资产总额填报上一年度数据，无上一年度数据的新成立企业可不填报。</w:t>
      </w:r>
    </w:p>
    <w:p>
      <w:pPr>
        <w:pStyle w:val="2"/>
        <w:keepNext w:val="0"/>
        <w:keepLines w:val="0"/>
        <w:pageBreakBefore w:val="0"/>
        <w:widowControl w:val="0"/>
        <w:kinsoku/>
        <w:wordWrap/>
        <w:overflowPunct/>
        <w:topLinePunct w:val="0"/>
        <w:autoSpaceDE w:val="0"/>
        <w:autoSpaceDN w:val="0"/>
        <w:bidi w:val="0"/>
        <w:adjustRightInd/>
        <w:snapToGrid/>
        <w:spacing w:after="0" w:line="336" w:lineRule="auto"/>
        <w:ind w:firstLine="502" w:firstLineChars="200"/>
        <w:textAlignment w:val="auto"/>
        <w:rPr>
          <w:rFonts w:hint="eastAsia" w:ascii="仿宋" w:hAnsi="仿宋" w:eastAsia="仿宋" w:cs="仿宋"/>
          <w:b/>
          <w:bCs/>
          <w:color w:val="auto"/>
          <w:spacing w:val="15"/>
          <w:sz w:val="22"/>
          <w:szCs w:val="22"/>
          <w:highlight w:val="none"/>
          <w:lang w:eastAsia="zh-CN"/>
        </w:rPr>
      </w:pPr>
      <w:r>
        <w:rPr>
          <w:rFonts w:hint="eastAsia" w:ascii="仿宋" w:hAnsi="仿宋" w:eastAsia="仿宋" w:cs="仿宋"/>
          <w:b/>
          <w:bCs/>
          <w:color w:val="auto"/>
          <w:spacing w:val="15"/>
          <w:sz w:val="22"/>
          <w:szCs w:val="22"/>
          <w:highlight w:val="none"/>
          <w:lang w:val="en-US" w:eastAsia="zh-CN"/>
        </w:rPr>
        <w:t>2</w:t>
      </w:r>
      <w:r>
        <w:rPr>
          <w:rFonts w:hint="eastAsia" w:ascii="仿宋" w:hAnsi="仿宋" w:eastAsia="仿宋" w:cs="仿宋"/>
          <w:b/>
          <w:bCs/>
          <w:color w:val="auto"/>
          <w:spacing w:val="15"/>
          <w:sz w:val="22"/>
          <w:szCs w:val="22"/>
          <w:highlight w:val="none"/>
          <w:lang w:eastAsia="zh-CN"/>
        </w:rPr>
        <w:t>.如未提供中小企业声明函的，则其评审中的小型、微型企业不能享受招标文件规定的加分，但不影响供应商投标文件的有效性。</w:t>
      </w:r>
    </w:p>
    <w:p>
      <w:pPr>
        <w:pStyle w:val="2"/>
        <w:keepNext w:val="0"/>
        <w:keepLines w:val="0"/>
        <w:pageBreakBefore w:val="0"/>
        <w:widowControl w:val="0"/>
        <w:kinsoku/>
        <w:wordWrap/>
        <w:overflowPunct/>
        <w:topLinePunct w:val="0"/>
        <w:autoSpaceDE w:val="0"/>
        <w:autoSpaceDN w:val="0"/>
        <w:bidi w:val="0"/>
        <w:adjustRightInd/>
        <w:snapToGrid/>
        <w:spacing w:after="0" w:line="336" w:lineRule="auto"/>
        <w:ind w:firstLine="502" w:firstLineChars="200"/>
        <w:textAlignment w:val="auto"/>
        <w:rPr>
          <w:rFonts w:hint="eastAsia" w:ascii="仿宋" w:hAnsi="仿宋" w:eastAsia="仿宋" w:cs="仿宋"/>
          <w:b/>
          <w:bCs/>
          <w:color w:val="auto"/>
          <w:spacing w:val="15"/>
          <w:sz w:val="22"/>
          <w:szCs w:val="22"/>
          <w:highlight w:val="none"/>
          <w:lang w:eastAsia="zh-CN"/>
        </w:rPr>
      </w:pPr>
      <w:r>
        <w:rPr>
          <w:rFonts w:hint="eastAsia" w:ascii="仿宋" w:hAnsi="仿宋" w:eastAsia="仿宋" w:cs="仿宋"/>
          <w:b/>
          <w:bCs/>
          <w:color w:val="auto"/>
          <w:spacing w:val="15"/>
          <w:sz w:val="22"/>
          <w:szCs w:val="22"/>
          <w:highlight w:val="none"/>
          <w:lang w:val="en-US" w:eastAsia="zh-CN"/>
        </w:rPr>
        <w:t>3</w:t>
      </w:r>
      <w:r>
        <w:rPr>
          <w:rFonts w:hint="eastAsia" w:ascii="仿宋" w:hAnsi="仿宋" w:eastAsia="仿宋" w:cs="仿宋"/>
          <w:b/>
          <w:bCs/>
          <w:color w:val="auto"/>
          <w:spacing w:val="15"/>
          <w:sz w:val="22"/>
          <w:szCs w:val="22"/>
          <w:highlight w:val="none"/>
          <w:lang w:eastAsia="zh-CN"/>
        </w:rPr>
        <w:t>.投标人参加政府采购活动时，提供虚假中小企业声明函的，以提供虚假材料谋取中标处理。</w:t>
      </w:r>
    </w:p>
    <w:p>
      <w:pPr>
        <w:tabs>
          <w:tab w:val="left" w:pos="7665"/>
        </w:tabs>
        <w:spacing w:after="0" w:line="360" w:lineRule="auto"/>
        <w:ind w:firstLine="502" w:firstLineChars="200"/>
        <w:rPr>
          <w:rFonts w:hint="eastAsia" w:ascii="仿宋" w:hAnsi="仿宋" w:eastAsia="仿宋" w:cs="仿宋"/>
          <w:color w:val="auto"/>
          <w:sz w:val="24"/>
          <w:highlight w:val="none"/>
        </w:rPr>
      </w:pPr>
      <w:r>
        <w:rPr>
          <w:rFonts w:hint="eastAsia" w:ascii="仿宋" w:hAnsi="仿宋" w:eastAsia="仿宋" w:cs="仿宋"/>
          <w:b/>
          <w:bCs/>
          <w:color w:val="auto"/>
          <w:spacing w:val="15"/>
          <w:sz w:val="22"/>
          <w:szCs w:val="22"/>
          <w:highlight w:val="none"/>
          <w:lang w:val="en-US" w:eastAsia="zh-CN"/>
        </w:rPr>
        <w:t>4</w:t>
      </w:r>
      <w:r>
        <w:rPr>
          <w:rFonts w:hint="eastAsia" w:ascii="仿宋" w:hAnsi="仿宋" w:eastAsia="仿宋" w:cs="仿宋"/>
          <w:b/>
          <w:bCs/>
          <w:color w:val="auto"/>
          <w:spacing w:val="15"/>
          <w:sz w:val="22"/>
          <w:szCs w:val="22"/>
          <w:highlight w:val="none"/>
          <w:lang w:eastAsia="zh-CN"/>
        </w:rPr>
        <w:t>.投标人为非企业单位的，如</w:t>
      </w:r>
      <w:r>
        <w:rPr>
          <w:rFonts w:hint="eastAsia" w:ascii="仿宋" w:hAnsi="仿宋" w:eastAsia="仿宋" w:cs="仿宋"/>
          <w:b/>
          <w:bCs/>
          <w:color w:val="auto"/>
          <w:spacing w:val="15"/>
          <w:sz w:val="22"/>
          <w:szCs w:val="22"/>
          <w:highlight w:val="none"/>
          <w:lang w:eastAsia="zh-CN"/>
        </w:rPr>
        <w:fldChar w:fldCharType="begin"/>
      </w:r>
      <w:r>
        <w:rPr>
          <w:rFonts w:hint="eastAsia" w:ascii="仿宋" w:hAnsi="仿宋" w:eastAsia="仿宋" w:cs="仿宋"/>
          <w:b/>
          <w:bCs/>
          <w:color w:val="auto"/>
          <w:spacing w:val="15"/>
          <w:sz w:val="22"/>
          <w:szCs w:val="22"/>
          <w:highlight w:val="none"/>
          <w:lang w:eastAsia="zh-CN"/>
        </w:rPr>
        <w:instrText xml:space="preserve"> HYPERLINK "http://www.baidu.com/link?url=iBElULo-d5ZLg5hWr9fKyE9J-RxccwLI-m1Agt9ljL77ObTW5LQjhadjNT2MqWnbLezvMqwfSInjbbIsQiOB-i51ng1O-k9urRWB9JMMNXa_i_MLA720oUeu4HvXUaUSG40sshnLZLbEhVc0Xthfwq" \t "https://www.baidu.com/_blank" </w:instrText>
      </w:r>
      <w:r>
        <w:rPr>
          <w:rFonts w:hint="eastAsia" w:ascii="仿宋" w:hAnsi="仿宋" w:eastAsia="仿宋" w:cs="仿宋"/>
          <w:b/>
          <w:bCs/>
          <w:color w:val="auto"/>
          <w:spacing w:val="15"/>
          <w:sz w:val="22"/>
          <w:szCs w:val="22"/>
          <w:highlight w:val="none"/>
          <w:lang w:eastAsia="zh-CN"/>
        </w:rPr>
        <w:fldChar w:fldCharType="separate"/>
      </w:r>
      <w:r>
        <w:rPr>
          <w:rFonts w:hint="eastAsia" w:ascii="仿宋" w:hAnsi="仿宋" w:eastAsia="仿宋" w:cs="仿宋"/>
          <w:b/>
          <w:bCs/>
          <w:color w:val="auto"/>
          <w:spacing w:val="15"/>
          <w:sz w:val="22"/>
          <w:szCs w:val="22"/>
          <w:highlight w:val="none"/>
          <w:lang w:eastAsia="zh-CN"/>
        </w:rPr>
        <w:t>民办非企业</w:t>
      </w:r>
      <w:r>
        <w:rPr>
          <w:rFonts w:hint="eastAsia" w:ascii="仿宋" w:hAnsi="仿宋" w:eastAsia="仿宋" w:cs="仿宋"/>
          <w:b/>
          <w:bCs/>
          <w:color w:val="auto"/>
          <w:spacing w:val="15"/>
          <w:sz w:val="22"/>
          <w:szCs w:val="22"/>
          <w:highlight w:val="none"/>
          <w:lang w:eastAsia="zh-CN"/>
        </w:rPr>
        <w:fldChar w:fldCharType="end"/>
      </w:r>
      <w:r>
        <w:rPr>
          <w:rFonts w:hint="eastAsia" w:ascii="仿宋" w:hAnsi="仿宋" w:eastAsia="仿宋" w:cs="仿宋"/>
          <w:b/>
          <w:bCs/>
          <w:color w:val="auto"/>
          <w:spacing w:val="15"/>
          <w:sz w:val="22"/>
          <w:szCs w:val="22"/>
          <w:highlight w:val="none"/>
          <w:lang w:eastAsia="zh-CN"/>
        </w:rPr>
        <w:t>、基金会、协会、服务中心、农村承包经营户、学会等非工商(市场监管)登记注册的组织均不适用此声明函，不得提供中小企业声明函，提供此声明的，声明无效。</w:t>
      </w:r>
    </w:p>
    <w:p>
      <w:pPr>
        <w:spacing w:after="0" w:line="360" w:lineRule="auto"/>
        <w:jc w:val="center"/>
        <w:outlineLvl w:val="2"/>
        <w:rPr>
          <w:rStyle w:val="50"/>
          <w:rFonts w:hint="eastAsia" w:ascii="仿宋" w:hAnsi="仿宋" w:eastAsia="仿宋" w:cs="仿宋"/>
          <w:color w:val="auto"/>
          <w:highlight w:val="none"/>
          <w:lang w:eastAsia="zh-CN"/>
        </w:rPr>
      </w:pPr>
      <w:r>
        <w:rPr>
          <w:rFonts w:hint="eastAsia" w:ascii="仿宋" w:hAnsi="仿宋" w:eastAsia="仿宋" w:cs="仿宋"/>
          <w:b/>
          <w:bCs/>
          <w:color w:val="auto"/>
          <w:sz w:val="24"/>
          <w:highlight w:val="none"/>
        </w:rPr>
        <w:br w:type="page"/>
      </w:r>
      <w:r>
        <w:rPr>
          <w:rStyle w:val="50"/>
          <w:rFonts w:hint="eastAsia" w:ascii="仿宋" w:hAnsi="仿宋" w:eastAsia="仿宋" w:cs="仿宋"/>
          <w:bCs w:val="0"/>
          <w:color w:val="auto"/>
          <w:highlight w:val="none"/>
          <w:lang w:val="en-US" w:eastAsia="zh-CN"/>
        </w:rPr>
        <w:t>十</w:t>
      </w:r>
      <w:r>
        <w:rPr>
          <w:rStyle w:val="50"/>
          <w:rFonts w:hint="eastAsia" w:ascii="仿宋" w:hAnsi="仿宋" w:eastAsia="仿宋" w:cs="仿宋"/>
          <w:color w:val="auto"/>
          <w:highlight w:val="none"/>
        </w:rPr>
        <w:t>、残疾人福利性单位声明函</w:t>
      </w:r>
      <w:r>
        <w:rPr>
          <w:rStyle w:val="50"/>
          <w:rFonts w:hint="eastAsia" w:ascii="仿宋" w:hAnsi="仿宋" w:eastAsia="仿宋" w:cs="仿宋"/>
          <w:color w:val="auto"/>
          <w:highlight w:val="none"/>
          <w:lang w:eastAsia="zh-CN"/>
        </w:rPr>
        <w:t>（</w:t>
      </w:r>
      <w:r>
        <w:rPr>
          <w:rStyle w:val="50"/>
          <w:rFonts w:hint="eastAsia" w:ascii="仿宋" w:hAnsi="仿宋" w:eastAsia="仿宋" w:cs="仿宋"/>
          <w:color w:val="auto"/>
          <w:highlight w:val="none"/>
          <w:lang w:val="en-US" w:eastAsia="zh-CN"/>
        </w:rPr>
        <w:t>如涉及</w:t>
      </w:r>
      <w:r>
        <w:rPr>
          <w:rStyle w:val="50"/>
          <w:rFonts w:hint="eastAsia" w:ascii="仿宋" w:hAnsi="仿宋" w:eastAsia="仿宋" w:cs="仿宋"/>
          <w:color w:val="auto"/>
          <w:highlight w:val="none"/>
          <w:lang w:eastAsia="zh-CN"/>
        </w:rPr>
        <w:t>）</w:t>
      </w:r>
    </w:p>
    <w:p>
      <w:pPr>
        <w:spacing w:after="0" w:line="360" w:lineRule="auto"/>
        <w:ind w:firstLine="504" w:firstLineChars="200"/>
        <w:rPr>
          <w:rFonts w:hint="eastAsia" w:ascii="仿宋" w:hAnsi="仿宋" w:eastAsia="仿宋" w:cs="仿宋"/>
          <w:color w:val="auto"/>
          <w:spacing w:val="6"/>
          <w:sz w:val="24"/>
          <w:highlight w:val="none"/>
        </w:rPr>
      </w:pPr>
      <w:r>
        <w:rPr>
          <w:rFonts w:hint="eastAsia" w:ascii="仿宋" w:hAnsi="仿宋" w:eastAsia="仿宋" w:cs="仿宋"/>
          <w:color w:val="auto"/>
          <w:spacing w:val="6"/>
          <w:sz w:val="24"/>
          <w:highlight w:val="none"/>
        </w:rPr>
        <w:t>本单位郑重声明，根据《财政部 民政部 中国残疾人联合会关于促进残疾人就业政府采购政策的通知》（财库</w:t>
      </w:r>
      <w:r>
        <w:rPr>
          <w:rFonts w:hint="eastAsia" w:ascii="仿宋" w:hAnsi="仿宋" w:eastAsia="仿宋" w:cs="仿宋"/>
          <w:color w:val="auto"/>
          <w:sz w:val="24"/>
          <w:highlight w:val="none"/>
        </w:rPr>
        <w:t>〔2017〕 141</w:t>
      </w:r>
      <w:r>
        <w:rPr>
          <w:rFonts w:hint="eastAsia" w:ascii="仿宋" w:hAnsi="仿宋" w:eastAsia="仿宋" w:cs="仿宋"/>
          <w:color w:val="auto"/>
          <w:spacing w:val="6"/>
          <w:sz w:val="24"/>
          <w:highlight w:val="none"/>
        </w:rPr>
        <w:t>号）的规定，</w:t>
      </w:r>
      <w:r>
        <w:rPr>
          <w:rFonts w:hint="eastAsia" w:ascii="仿宋" w:hAnsi="仿宋" w:eastAsia="仿宋" w:cs="仿宋"/>
          <w:b/>
          <w:bCs/>
          <w:color w:val="auto"/>
          <w:spacing w:val="6"/>
          <w:sz w:val="24"/>
          <w:highlight w:val="none"/>
        </w:rPr>
        <w:t>本单位为符合条件的残疾人福利性单位</w:t>
      </w:r>
      <w:r>
        <w:rPr>
          <w:rFonts w:hint="eastAsia" w:ascii="仿宋" w:hAnsi="仿宋" w:eastAsia="仿宋" w:cs="仿宋"/>
          <w:color w:val="auto"/>
          <w:spacing w:val="6"/>
          <w:sz w:val="24"/>
          <w:highlight w:val="none"/>
        </w:rPr>
        <w:t>，且本单位参加</w:t>
      </w:r>
      <w:r>
        <w:rPr>
          <w:rFonts w:hint="eastAsia" w:ascii="仿宋" w:hAnsi="仿宋" w:eastAsia="仿宋" w:cs="仿宋"/>
          <w:color w:val="auto"/>
          <w:sz w:val="24"/>
          <w:highlight w:val="none"/>
          <w:u w:val="single"/>
        </w:rPr>
        <w:t>XXXX</w:t>
      </w:r>
      <w:r>
        <w:rPr>
          <w:rFonts w:hint="eastAsia" w:ascii="仿宋" w:hAnsi="仿宋" w:eastAsia="仿宋" w:cs="仿宋"/>
          <w:color w:val="auto"/>
          <w:spacing w:val="6"/>
          <w:sz w:val="24"/>
          <w:highlight w:val="none"/>
        </w:rPr>
        <w:t>单位的</w:t>
      </w:r>
      <w:r>
        <w:rPr>
          <w:rFonts w:hint="eastAsia" w:ascii="仿宋" w:hAnsi="仿宋" w:eastAsia="仿宋" w:cs="仿宋"/>
          <w:color w:val="auto"/>
          <w:sz w:val="24"/>
          <w:highlight w:val="none"/>
          <w:u w:val="single"/>
        </w:rPr>
        <w:t>XXXX</w:t>
      </w:r>
      <w:r>
        <w:rPr>
          <w:rFonts w:hint="eastAsia" w:ascii="仿宋" w:hAnsi="仿宋" w:eastAsia="仿宋" w:cs="仿宋"/>
          <w:color w:val="auto"/>
          <w:spacing w:val="6"/>
          <w:sz w:val="24"/>
          <w:highlight w:val="none"/>
        </w:rPr>
        <w:t>项目采购活动提供本单位制造的货物（由本单位承担工程/提供服务），或者提供其他残疾人福利性单位制造的货物（不包括使用非残疾人福利性单位注册商标的货物）。</w:t>
      </w:r>
    </w:p>
    <w:p>
      <w:pPr>
        <w:spacing w:after="0" w:line="360" w:lineRule="auto"/>
        <w:ind w:firstLine="504" w:firstLineChars="200"/>
        <w:rPr>
          <w:rFonts w:hint="eastAsia" w:ascii="仿宋" w:hAnsi="仿宋" w:eastAsia="仿宋" w:cs="仿宋"/>
          <w:color w:val="auto"/>
          <w:spacing w:val="6"/>
          <w:sz w:val="24"/>
          <w:highlight w:val="none"/>
        </w:rPr>
      </w:pPr>
      <w:r>
        <w:rPr>
          <w:rFonts w:hint="eastAsia" w:ascii="仿宋" w:hAnsi="仿宋" w:eastAsia="仿宋" w:cs="仿宋"/>
          <w:color w:val="auto"/>
          <w:spacing w:val="6"/>
          <w:sz w:val="24"/>
          <w:highlight w:val="none"/>
        </w:rPr>
        <w:t>本单位对上述声明的真实性负责。如有虚假，将依法承担相应责任。</w:t>
      </w:r>
    </w:p>
    <w:p>
      <w:pPr>
        <w:spacing w:after="0" w:line="360" w:lineRule="auto"/>
        <w:rPr>
          <w:rFonts w:hint="eastAsia" w:ascii="仿宋" w:hAnsi="仿宋" w:eastAsia="仿宋" w:cs="仿宋"/>
          <w:color w:val="auto"/>
          <w:spacing w:val="6"/>
          <w:sz w:val="24"/>
          <w:highlight w:val="none"/>
        </w:rPr>
      </w:pPr>
    </w:p>
    <w:p>
      <w:pPr>
        <w:spacing w:after="0" w:line="360" w:lineRule="auto"/>
        <w:rPr>
          <w:rFonts w:hint="eastAsia" w:ascii="仿宋" w:hAnsi="仿宋" w:eastAsia="仿宋" w:cs="仿宋"/>
          <w:color w:val="auto"/>
          <w:spacing w:val="6"/>
          <w:sz w:val="24"/>
          <w:highlight w:val="none"/>
        </w:rPr>
      </w:pPr>
    </w:p>
    <w:p>
      <w:pPr>
        <w:adjustRightInd w:val="0"/>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投标人名称（盖章）：</w:t>
      </w:r>
      <w:r>
        <w:rPr>
          <w:rFonts w:hint="eastAsia" w:ascii="仿宋" w:hAnsi="仿宋" w:eastAsia="仿宋" w:cs="仿宋"/>
          <w:color w:val="auto"/>
          <w:sz w:val="24"/>
          <w:highlight w:val="none"/>
          <w:u w:val="single"/>
        </w:rPr>
        <w:t xml:space="preserve">                      </w:t>
      </w:r>
    </w:p>
    <w:p>
      <w:pPr>
        <w:widowControl/>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spacing w:after="0" w:line="360" w:lineRule="auto"/>
        <w:rPr>
          <w:rFonts w:hint="eastAsia" w:ascii="仿宋" w:hAnsi="仿宋" w:eastAsia="仿宋" w:cs="仿宋"/>
          <w:color w:val="auto"/>
          <w:sz w:val="24"/>
          <w:highlight w:val="none"/>
        </w:rPr>
      </w:pP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注：1、残疾人福利性单位视同小型、微型企业，享受预留份额、评审中价格扣除等促进中小企业发展的政府采购政策。残疾人福利性单位属于小型、微型企业的，不重复享受政策。</w:t>
      </w:r>
    </w:p>
    <w:p>
      <w:pPr>
        <w:spacing w:after="0"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2、供应商为非残疾人福利性单位的，不得提供此声明。</w:t>
      </w:r>
    </w:p>
    <w:p>
      <w:pPr>
        <w:pStyle w:val="4"/>
        <w:spacing w:before="0" w:after="0" w:line="360" w:lineRule="auto"/>
        <w:jc w:val="center"/>
        <w:rPr>
          <w:rFonts w:hint="eastAsia" w:ascii="仿宋" w:hAnsi="仿宋" w:eastAsia="仿宋" w:cs="仿宋"/>
          <w:i w:val="0"/>
          <w:iCs w:val="0"/>
          <w:color w:val="auto"/>
          <w:sz w:val="24"/>
          <w:szCs w:val="22"/>
          <w:highlight w:val="none"/>
        </w:rPr>
      </w:pPr>
      <w:r>
        <w:rPr>
          <w:rFonts w:hint="eastAsia" w:ascii="仿宋" w:hAnsi="仿宋" w:eastAsia="仿宋" w:cs="仿宋"/>
          <w:i w:val="0"/>
          <w:iCs w:val="0"/>
          <w:color w:val="auto"/>
          <w:szCs w:val="24"/>
          <w:highlight w:val="none"/>
          <w:lang w:val="en-US" w:eastAsia="zh-CN"/>
        </w:rPr>
        <w:br w:type="page"/>
      </w:r>
      <w:r>
        <w:rPr>
          <w:rFonts w:hint="eastAsia" w:ascii="仿宋" w:hAnsi="仿宋" w:eastAsia="仿宋" w:cs="仿宋"/>
          <w:i w:val="0"/>
          <w:iCs w:val="0"/>
          <w:color w:val="auto"/>
          <w:szCs w:val="24"/>
          <w:highlight w:val="none"/>
          <w:lang w:val="en-US" w:eastAsia="zh-CN"/>
        </w:rPr>
        <w:t>十一</w:t>
      </w:r>
      <w:r>
        <w:rPr>
          <w:rFonts w:hint="eastAsia" w:ascii="仿宋" w:hAnsi="仿宋" w:eastAsia="仿宋" w:cs="仿宋"/>
          <w:i w:val="0"/>
          <w:iCs w:val="0"/>
          <w:color w:val="auto"/>
          <w:szCs w:val="24"/>
          <w:highlight w:val="none"/>
        </w:rPr>
        <w:t>、监狱企业相关证明材料(如涉及)</w:t>
      </w:r>
    </w:p>
    <w:p>
      <w:pPr>
        <w:spacing w:line="360" w:lineRule="auto"/>
        <w:jc w:val="left"/>
        <w:rPr>
          <w:rFonts w:hint="eastAsia" w:ascii="仿宋" w:hAnsi="仿宋" w:eastAsia="仿宋" w:cs="仿宋"/>
          <w:color w:val="auto"/>
          <w:sz w:val="24"/>
          <w:szCs w:val="22"/>
          <w:highlight w:val="none"/>
        </w:rPr>
      </w:pPr>
    </w:p>
    <w:p>
      <w:pPr>
        <w:spacing w:line="360" w:lineRule="auto"/>
        <w:jc w:val="left"/>
        <w:rPr>
          <w:rFonts w:hint="eastAsia" w:ascii="仿宋" w:hAnsi="仿宋" w:eastAsia="仿宋" w:cs="仿宋"/>
          <w:color w:val="auto"/>
          <w:sz w:val="24"/>
          <w:szCs w:val="22"/>
          <w:highlight w:val="none"/>
        </w:rPr>
      </w:pPr>
    </w:p>
    <w:p>
      <w:pPr>
        <w:spacing w:line="360" w:lineRule="auto"/>
        <w:ind w:firstLine="339" w:firstLineChars="161"/>
        <w:jc w:val="left"/>
        <w:rPr>
          <w:rFonts w:hint="eastAsia" w:ascii="仿宋" w:hAnsi="仿宋" w:eastAsia="仿宋" w:cs="仿宋"/>
          <w:b/>
          <w:bCs/>
          <w:color w:val="auto"/>
          <w:sz w:val="21"/>
          <w:szCs w:val="20"/>
          <w:highlight w:val="none"/>
        </w:rPr>
      </w:pPr>
      <w:r>
        <w:rPr>
          <w:rFonts w:hint="eastAsia" w:ascii="仿宋" w:hAnsi="仿宋" w:eastAsia="仿宋" w:cs="仿宋"/>
          <w:b/>
          <w:bCs/>
          <w:color w:val="auto"/>
          <w:sz w:val="21"/>
          <w:szCs w:val="20"/>
          <w:highlight w:val="none"/>
        </w:rPr>
        <w:t>说明：</w:t>
      </w:r>
    </w:p>
    <w:p>
      <w:pPr>
        <w:spacing w:line="360" w:lineRule="auto"/>
        <w:ind w:firstLine="339" w:firstLineChars="161"/>
        <w:rPr>
          <w:rFonts w:hint="eastAsia" w:ascii="仿宋" w:hAnsi="仿宋" w:eastAsia="仿宋" w:cs="仿宋"/>
          <w:b/>
          <w:bCs/>
          <w:color w:val="auto"/>
          <w:sz w:val="21"/>
          <w:szCs w:val="20"/>
          <w:highlight w:val="none"/>
        </w:rPr>
      </w:pPr>
      <w:r>
        <w:rPr>
          <w:rFonts w:hint="eastAsia" w:ascii="仿宋" w:hAnsi="仿宋" w:eastAsia="仿宋" w:cs="仿宋"/>
          <w:b/>
          <w:bCs/>
          <w:color w:val="auto"/>
          <w:sz w:val="21"/>
          <w:szCs w:val="20"/>
          <w:highlight w:val="none"/>
        </w:rPr>
        <w:t>1.监狱企业参加政府采购活动时，应当提供由省级以上监狱管理局、戒毒管理局(含新疆生产建设兵团)出具的属于监狱企业的证明文件。</w:t>
      </w:r>
    </w:p>
    <w:p>
      <w:pPr>
        <w:spacing w:line="360" w:lineRule="auto"/>
        <w:ind w:firstLine="339" w:firstLineChars="161"/>
        <w:rPr>
          <w:rFonts w:hint="eastAsia" w:ascii="仿宋" w:hAnsi="仿宋" w:eastAsia="仿宋" w:cs="仿宋"/>
          <w:b/>
          <w:bCs/>
          <w:color w:val="auto"/>
          <w:sz w:val="21"/>
          <w:szCs w:val="20"/>
          <w:highlight w:val="none"/>
        </w:rPr>
      </w:pPr>
      <w:r>
        <w:rPr>
          <w:rFonts w:hint="eastAsia" w:ascii="仿宋" w:hAnsi="仿宋" w:eastAsia="仿宋" w:cs="仿宋"/>
          <w:b/>
          <w:bCs/>
          <w:color w:val="auto"/>
          <w:sz w:val="21"/>
          <w:szCs w:val="20"/>
          <w:highlight w:val="none"/>
        </w:rPr>
        <w:t>2.如未提供监狱企业相关证明材料的，则其磋商中的监狱企业不能享受磋商文件规定的价格扣除，但不影响供应商响应文件的有效性。</w:t>
      </w:r>
    </w:p>
    <w:p>
      <w:pPr>
        <w:pStyle w:val="9"/>
        <w:rPr>
          <w:rFonts w:hint="eastAsia" w:ascii="仿宋" w:hAnsi="仿宋" w:eastAsia="仿宋" w:cs="仿宋"/>
          <w:color w:val="auto"/>
          <w:highlight w:val="none"/>
        </w:rPr>
      </w:pPr>
      <w:r>
        <w:rPr>
          <w:rFonts w:hint="eastAsia" w:ascii="仿宋" w:hAnsi="仿宋" w:eastAsia="仿宋" w:cs="仿宋"/>
          <w:b/>
          <w:bCs/>
          <w:color w:val="auto"/>
          <w:szCs w:val="20"/>
          <w:highlight w:val="none"/>
        </w:rPr>
        <w:t>3.非监狱企业无需提供证明材料</w:t>
      </w:r>
    </w:p>
    <w:p>
      <w:pPr>
        <w:spacing w:after="0" w:line="360" w:lineRule="auto"/>
        <w:jc w:val="center"/>
        <w:outlineLvl w:val="2"/>
        <w:rPr>
          <w:rStyle w:val="50"/>
          <w:rFonts w:hint="eastAsia" w:ascii="仿宋" w:hAnsi="仿宋" w:eastAsia="仿宋" w:cs="仿宋"/>
          <w:color w:val="auto"/>
          <w:highlight w:val="none"/>
        </w:rPr>
      </w:pPr>
      <w:r>
        <w:rPr>
          <w:rFonts w:hint="eastAsia" w:ascii="仿宋" w:hAnsi="仿宋" w:eastAsia="仿宋" w:cs="仿宋"/>
          <w:color w:val="auto"/>
          <w:highlight w:val="none"/>
        </w:rPr>
        <w:br w:type="page"/>
      </w:r>
      <w:r>
        <w:rPr>
          <w:rStyle w:val="50"/>
          <w:rFonts w:hint="eastAsia" w:ascii="仿宋" w:hAnsi="仿宋" w:eastAsia="仿宋" w:cs="仿宋"/>
          <w:color w:val="auto"/>
          <w:highlight w:val="none"/>
          <w:lang w:val="en-US" w:eastAsia="zh-CN"/>
        </w:rPr>
        <w:t>十二</w:t>
      </w:r>
      <w:r>
        <w:rPr>
          <w:rStyle w:val="50"/>
          <w:rFonts w:hint="eastAsia" w:ascii="仿宋" w:hAnsi="仿宋" w:eastAsia="仿宋" w:cs="仿宋"/>
          <w:color w:val="auto"/>
          <w:highlight w:val="none"/>
        </w:rPr>
        <w:t>、关于知识产权的承诺函</w:t>
      </w:r>
    </w:p>
    <w:p>
      <w:pPr>
        <w:pStyle w:val="18"/>
        <w:spacing w:after="0" w:line="360" w:lineRule="auto"/>
        <w:ind w:left="0" w:leftChars="0"/>
        <w:jc w:val="left"/>
        <w:rPr>
          <w:rFonts w:hint="eastAsia" w:ascii="仿宋" w:hAnsi="仿宋" w:eastAsia="仿宋" w:cs="仿宋"/>
          <w:bCs/>
          <w:color w:val="auto"/>
          <w:sz w:val="24"/>
          <w:highlight w:val="none"/>
        </w:rPr>
      </w:pPr>
      <w:r>
        <w:rPr>
          <w:rFonts w:hint="eastAsia" w:ascii="仿宋" w:hAnsi="仿宋" w:eastAsia="仿宋" w:cs="仿宋"/>
          <w:color w:val="auto"/>
          <w:sz w:val="24"/>
          <w:highlight w:val="none"/>
          <w:u w:val="single"/>
          <w:lang w:eastAsia="zh-CN"/>
        </w:rPr>
        <w:t>利阳致诚国际项目管理有限公司</w:t>
      </w:r>
      <w:r>
        <w:rPr>
          <w:rFonts w:hint="eastAsia" w:ascii="仿宋" w:hAnsi="仿宋" w:eastAsia="仿宋" w:cs="仿宋"/>
          <w:bCs/>
          <w:color w:val="auto"/>
          <w:sz w:val="24"/>
          <w:highlight w:val="none"/>
        </w:rPr>
        <w:t>（采购代理机构名称）：</w:t>
      </w:r>
    </w:p>
    <w:p>
      <w:pPr>
        <w:pStyle w:val="18"/>
        <w:spacing w:after="0" w:line="360" w:lineRule="auto"/>
        <w:ind w:left="0" w:leftChars="0" w:firstLine="480" w:firstLineChars="200"/>
        <w:jc w:val="left"/>
        <w:rPr>
          <w:rFonts w:hint="eastAsia" w:ascii="仿宋" w:hAnsi="仿宋" w:eastAsia="仿宋" w:cs="仿宋"/>
          <w:color w:val="auto"/>
          <w:sz w:val="24"/>
          <w:highlight w:val="none"/>
        </w:rPr>
      </w:pPr>
      <w:r>
        <w:rPr>
          <w:rFonts w:hint="eastAsia" w:ascii="仿宋" w:hAnsi="仿宋" w:eastAsia="仿宋" w:cs="仿宋"/>
          <w:bCs/>
          <w:color w:val="auto"/>
          <w:sz w:val="24"/>
          <w:highlight w:val="none"/>
        </w:rPr>
        <w:t>我方作为本次采购项目的投标人，根据招标文件要求，</w:t>
      </w:r>
      <w:r>
        <w:rPr>
          <w:rFonts w:hint="eastAsia" w:ascii="仿宋" w:hAnsi="仿宋" w:eastAsia="仿宋" w:cs="仿宋"/>
          <w:color w:val="auto"/>
          <w:sz w:val="24"/>
          <w:highlight w:val="none"/>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pStyle w:val="18"/>
        <w:spacing w:after="0" w:line="360" w:lineRule="auto"/>
        <w:ind w:left="0" w:leftChars="0" w:firstLine="480" w:firstLineChars="200"/>
        <w:jc w:val="left"/>
        <w:rPr>
          <w:rFonts w:hint="eastAsia" w:ascii="仿宋" w:hAnsi="仿宋" w:eastAsia="仿宋" w:cs="仿宋"/>
          <w:bCs/>
          <w:color w:val="auto"/>
          <w:sz w:val="24"/>
          <w:highlight w:val="none"/>
        </w:rPr>
      </w:pPr>
    </w:p>
    <w:p>
      <w:pPr>
        <w:pStyle w:val="18"/>
        <w:spacing w:after="0" w:line="360" w:lineRule="auto"/>
        <w:ind w:left="0" w:leftChars="0"/>
        <w:rPr>
          <w:rFonts w:hint="eastAsia" w:ascii="仿宋" w:hAnsi="仿宋" w:eastAsia="仿宋" w:cs="仿宋"/>
          <w:bCs/>
          <w:color w:val="auto"/>
          <w:sz w:val="24"/>
          <w:highlight w:val="none"/>
        </w:rPr>
      </w:pPr>
    </w:p>
    <w:p>
      <w:pPr>
        <w:adjustRightInd w:val="0"/>
        <w:spacing w:after="0" w:line="360" w:lineRule="auto"/>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注：本承诺函为参考格式，投标人可根据招标文件第二章总则中第13条相关要求进行承诺。</w:t>
      </w:r>
    </w:p>
    <w:p>
      <w:pPr>
        <w:adjustRightInd w:val="0"/>
        <w:spacing w:after="0" w:line="360" w:lineRule="auto"/>
        <w:ind w:firstLine="480" w:firstLineChars="200"/>
        <w:jc w:val="left"/>
        <w:rPr>
          <w:rFonts w:hint="eastAsia" w:ascii="仿宋" w:hAnsi="仿宋" w:eastAsia="仿宋" w:cs="仿宋"/>
          <w:color w:val="auto"/>
          <w:sz w:val="24"/>
          <w:highlight w:val="none"/>
        </w:rPr>
      </w:pPr>
    </w:p>
    <w:p>
      <w:pPr>
        <w:adjustRightInd w:val="0"/>
        <w:spacing w:after="0" w:line="360" w:lineRule="auto"/>
        <w:ind w:firstLine="480" w:firstLineChars="200"/>
        <w:jc w:val="left"/>
        <w:rPr>
          <w:rFonts w:hint="eastAsia" w:ascii="仿宋" w:hAnsi="仿宋" w:eastAsia="仿宋" w:cs="仿宋"/>
          <w:color w:val="auto"/>
          <w:sz w:val="24"/>
          <w:highlight w:val="none"/>
        </w:rPr>
      </w:pPr>
    </w:p>
    <w:p>
      <w:pPr>
        <w:adjustRightInd w:val="0"/>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投标人名称（盖章）：</w:t>
      </w:r>
      <w:r>
        <w:rPr>
          <w:rFonts w:hint="eastAsia" w:ascii="仿宋" w:hAnsi="仿宋" w:eastAsia="仿宋" w:cs="仿宋"/>
          <w:color w:val="auto"/>
          <w:sz w:val="24"/>
          <w:highlight w:val="none"/>
          <w:u w:val="single"/>
        </w:rPr>
        <w:t xml:space="preserve">                      </w:t>
      </w:r>
    </w:p>
    <w:p>
      <w:pPr>
        <w:widowControl/>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spacing w:after="0" w:line="360" w:lineRule="auto"/>
        <w:jc w:val="left"/>
        <w:rPr>
          <w:rFonts w:hint="eastAsia" w:ascii="仿宋" w:hAnsi="仿宋" w:eastAsia="仿宋" w:cs="仿宋"/>
          <w:color w:val="auto"/>
          <w:sz w:val="24"/>
          <w:highlight w:val="none"/>
        </w:rPr>
      </w:pPr>
    </w:p>
    <w:p>
      <w:pPr>
        <w:spacing w:after="0" w:line="360" w:lineRule="auto"/>
        <w:jc w:val="center"/>
        <w:outlineLvl w:val="2"/>
        <w:rPr>
          <w:rStyle w:val="50"/>
          <w:rFonts w:hint="eastAsia" w:ascii="仿宋" w:hAnsi="仿宋" w:eastAsia="仿宋" w:cs="仿宋"/>
          <w:bCs w:val="0"/>
          <w:color w:val="auto"/>
          <w:highlight w:val="none"/>
        </w:rPr>
      </w:pPr>
      <w:r>
        <w:rPr>
          <w:rFonts w:hint="eastAsia" w:ascii="仿宋" w:hAnsi="仿宋" w:eastAsia="仿宋" w:cs="仿宋"/>
          <w:b/>
          <w:color w:val="auto"/>
          <w:sz w:val="32"/>
          <w:szCs w:val="32"/>
          <w:highlight w:val="none"/>
        </w:rPr>
        <w:br w:type="page"/>
      </w:r>
      <w:r>
        <w:rPr>
          <w:rFonts w:hint="eastAsia" w:ascii="仿宋" w:hAnsi="仿宋" w:eastAsia="仿宋" w:cs="仿宋"/>
          <w:b/>
          <w:color w:val="auto"/>
          <w:sz w:val="32"/>
          <w:szCs w:val="32"/>
          <w:highlight w:val="none"/>
          <w:lang w:val="en-US" w:eastAsia="zh-CN"/>
        </w:rPr>
        <w:t>十三</w:t>
      </w:r>
      <w:r>
        <w:rPr>
          <w:rStyle w:val="50"/>
          <w:rFonts w:hint="eastAsia" w:ascii="仿宋" w:hAnsi="仿宋" w:eastAsia="仿宋" w:cs="仿宋"/>
          <w:bCs w:val="0"/>
          <w:color w:val="auto"/>
          <w:highlight w:val="none"/>
        </w:rPr>
        <w:t>、实施方案</w:t>
      </w:r>
    </w:p>
    <w:p>
      <w:pPr>
        <w:pStyle w:val="2"/>
        <w:spacing w:after="0"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（格式自拟）</w:t>
      </w:r>
    </w:p>
    <w:p>
      <w:pPr>
        <w:pStyle w:val="25"/>
        <w:spacing w:after="0" w:line="360" w:lineRule="auto"/>
        <w:rPr>
          <w:rFonts w:hint="eastAsia" w:ascii="仿宋" w:hAnsi="仿宋" w:eastAsia="仿宋" w:cs="仿宋"/>
          <w:color w:val="auto"/>
          <w:highlight w:val="none"/>
        </w:rPr>
      </w:pPr>
    </w:p>
    <w:p>
      <w:pPr>
        <w:spacing w:after="0" w:line="360" w:lineRule="auto"/>
        <w:rPr>
          <w:rFonts w:hint="eastAsia" w:ascii="仿宋" w:hAnsi="仿宋" w:eastAsia="仿宋" w:cs="仿宋"/>
          <w:color w:val="auto"/>
          <w:highlight w:val="none"/>
        </w:rPr>
      </w:pPr>
    </w:p>
    <w:p>
      <w:pPr>
        <w:pStyle w:val="25"/>
        <w:spacing w:after="0" w:line="360" w:lineRule="auto"/>
        <w:rPr>
          <w:rFonts w:hint="eastAsia" w:ascii="仿宋" w:hAnsi="仿宋" w:eastAsia="仿宋" w:cs="仿宋"/>
          <w:color w:val="auto"/>
          <w:highlight w:val="none"/>
        </w:rPr>
        <w:sectPr>
          <w:pgSz w:w="11906" w:h="16838"/>
          <w:pgMar w:top="1440" w:right="1800" w:bottom="1440" w:left="1800" w:header="851" w:footer="992" w:gutter="0"/>
          <w:pgNumType w:fmt="decimal"/>
          <w:cols w:space="720" w:num="1"/>
          <w:docGrid w:type="lines" w:linePitch="312" w:charSpace="0"/>
        </w:sectPr>
      </w:pPr>
    </w:p>
    <w:p>
      <w:pPr>
        <w:spacing w:after="0" w:line="360" w:lineRule="auto"/>
        <w:jc w:val="center"/>
        <w:outlineLvl w:val="2"/>
        <w:rPr>
          <w:rStyle w:val="50"/>
          <w:rFonts w:hint="eastAsia" w:ascii="仿宋" w:hAnsi="仿宋" w:eastAsia="仿宋" w:cs="仿宋"/>
          <w:bCs w:val="0"/>
          <w:color w:val="auto"/>
          <w:highlight w:val="none"/>
        </w:rPr>
      </w:pPr>
      <w:r>
        <w:rPr>
          <w:rStyle w:val="50"/>
          <w:rFonts w:hint="eastAsia" w:ascii="仿宋" w:hAnsi="仿宋" w:eastAsia="仿宋" w:cs="仿宋"/>
          <w:bCs w:val="0"/>
          <w:color w:val="auto"/>
          <w:highlight w:val="none"/>
        </w:rPr>
        <w:t>十</w:t>
      </w:r>
      <w:r>
        <w:rPr>
          <w:rStyle w:val="50"/>
          <w:rFonts w:hint="eastAsia" w:ascii="仿宋" w:hAnsi="仿宋" w:eastAsia="仿宋" w:cs="仿宋"/>
          <w:bCs w:val="0"/>
          <w:color w:val="auto"/>
          <w:highlight w:val="none"/>
          <w:lang w:val="en-US" w:eastAsia="zh-CN"/>
        </w:rPr>
        <w:t>四</w:t>
      </w:r>
      <w:r>
        <w:rPr>
          <w:rStyle w:val="50"/>
          <w:rFonts w:hint="eastAsia" w:ascii="仿宋" w:hAnsi="仿宋" w:eastAsia="仿宋" w:cs="仿宋"/>
          <w:bCs w:val="0"/>
          <w:color w:val="auto"/>
          <w:highlight w:val="none"/>
        </w:rPr>
        <w:t>、其他部分</w:t>
      </w:r>
    </w:p>
    <w:p>
      <w:pPr>
        <w:pStyle w:val="2"/>
        <w:spacing w:after="0"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（格式自拟）</w:t>
      </w:r>
    </w:p>
    <w:bookmarkEnd w:id="159"/>
    <w:p>
      <w:pPr>
        <w:pStyle w:val="3"/>
        <w:spacing w:before="0" w:after="0" w:line="360" w:lineRule="auto"/>
        <w:jc w:val="center"/>
        <w:rPr>
          <w:rFonts w:hint="eastAsia" w:ascii="仿宋" w:hAnsi="仿宋" w:eastAsia="仿宋" w:cs="仿宋"/>
          <w:color w:val="auto"/>
          <w:highlight w:val="none"/>
        </w:rPr>
      </w:pPr>
      <w:bookmarkStart w:id="161" w:name="_Toc2122"/>
      <w:bookmarkStart w:id="162" w:name="_Toc31277"/>
      <w:bookmarkStart w:id="163" w:name="_Toc7295"/>
      <w:bookmarkStart w:id="164" w:name="_Toc15277_WPSOffice_Level1"/>
      <w:bookmarkStart w:id="165" w:name="_Toc217446093"/>
      <w:bookmarkStart w:id="166" w:name="PO_默认文件内容_32"/>
      <w:r>
        <w:rPr>
          <w:rFonts w:hint="eastAsia" w:ascii="仿宋" w:hAnsi="仿宋" w:eastAsia="仿宋" w:cs="仿宋"/>
          <w:b w:val="0"/>
          <w:bCs w:val="0"/>
          <w:color w:val="auto"/>
          <w:spacing w:val="10"/>
          <w:kern w:val="2"/>
          <w:sz w:val="21"/>
          <w:szCs w:val="28"/>
          <w:highlight w:val="none"/>
        </w:rPr>
        <w:br w:type="page"/>
      </w:r>
      <w:bookmarkStart w:id="167" w:name="_Toc14484"/>
      <w:r>
        <w:rPr>
          <w:rFonts w:hint="eastAsia" w:ascii="仿宋" w:hAnsi="仿宋" w:eastAsia="仿宋" w:cs="仿宋"/>
          <w:color w:val="auto"/>
          <w:highlight w:val="none"/>
        </w:rPr>
        <w:t xml:space="preserve">第四章  </w:t>
      </w:r>
      <w:bookmarkEnd w:id="161"/>
      <w:bookmarkEnd w:id="162"/>
      <w:r>
        <w:rPr>
          <w:rFonts w:hint="eastAsia" w:ascii="仿宋" w:hAnsi="仿宋" w:eastAsia="仿宋" w:cs="仿宋"/>
          <w:color w:val="auto"/>
          <w:highlight w:val="none"/>
        </w:rPr>
        <w:t>招标项目服务、商务及其他要求</w:t>
      </w:r>
      <w:bookmarkEnd w:id="163"/>
      <w:bookmarkEnd w:id="164"/>
      <w:bookmarkEnd w:id="167"/>
    </w:p>
    <w:bookmarkEnd w:id="165"/>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outlineLvl w:val="9"/>
        <w:rPr>
          <w:rFonts w:hint="eastAsia" w:ascii="仿宋" w:hAnsi="仿宋" w:eastAsia="仿宋" w:cs="仿宋"/>
          <w:color w:val="auto"/>
          <w:sz w:val="24"/>
          <w:szCs w:val="24"/>
          <w:highlight w:val="none"/>
        </w:rPr>
      </w:pPr>
      <w:bookmarkStart w:id="168" w:name="_Toc217446094"/>
      <w:bookmarkStart w:id="169" w:name="_Toc29606_WPSOffice_Level1"/>
      <w:bookmarkStart w:id="170" w:name="_Toc22447"/>
      <w:bookmarkStart w:id="171" w:name="_Toc11092"/>
      <w:bookmarkStart w:id="172" w:name="_Toc24786"/>
      <w:bookmarkStart w:id="173" w:name="_Toc31810"/>
    </w:p>
    <w:bookmarkEnd w:id="168"/>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前提：</w:t>
      </w:r>
      <w:r>
        <w:rPr>
          <w:rFonts w:hint="eastAsia" w:ascii="仿宋" w:hAnsi="仿宋" w:eastAsia="仿宋" w:cs="仿宋"/>
          <w:color w:val="auto"/>
          <w:sz w:val="21"/>
          <w:szCs w:val="21"/>
          <w:highlight w:val="none"/>
          <w:lang w:val="en-US" w:eastAsia="zh-CN"/>
        </w:rPr>
        <w:t>①</w:t>
      </w:r>
      <w:r>
        <w:rPr>
          <w:rFonts w:hint="eastAsia" w:ascii="仿宋" w:hAnsi="仿宋" w:eastAsia="仿宋" w:cs="仿宋"/>
          <w:color w:val="auto"/>
          <w:sz w:val="21"/>
          <w:szCs w:val="21"/>
          <w:highlight w:val="none"/>
        </w:rPr>
        <w:t>本章中标注“*”的条款为本项目的实质性条款，投标人不满足的，将按照无效投标处理。</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②</w:t>
      </w:r>
      <w:r>
        <w:rPr>
          <w:rFonts w:hint="eastAsia" w:ascii="仿宋" w:hAnsi="仿宋" w:eastAsia="仿宋" w:cs="仿宋"/>
          <w:color w:val="auto"/>
          <w:sz w:val="21"/>
          <w:szCs w:val="21"/>
          <w:highlight w:val="none"/>
        </w:rPr>
        <w:t>本章“★”号的为重要技术参数，若有负偏离，仅作扣分处理。</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仿宋" w:hAnsi="仿宋" w:eastAsia="仿宋" w:cs="仿宋"/>
          <w:b/>
          <w:bCs/>
          <w:color w:val="auto"/>
          <w:sz w:val="21"/>
          <w:szCs w:val="21"/>
          <w:highlight w:val="none"/>
          <w:lang w:eastAsia="zh-CN"/>
        </w:rPr>
      </w:pPr>
      <w:r>
        <w:rPr>
          <w:rFonts w:hint="eastAsia" w:ascii="仿宋" w:hAnsi="仿宋" w:eastAsia="仿宋" w:cs="仿宋"/>
          <w:color w:val="auto"/>
          <w:sz w:val="21"/>
          <w:szCs w:val="21"/>
          <w:highlight w:val="none"/>
          <w:lang w:val="en-US" w:eastAsia="zh-CN"/>
        </w:rPr>
        <w:t>③本章分为2个包。</w:t>
      </w:r>
      <w:r>
        <w:rPr>
          <w:rFonts w:hint="eastAsia" w:ascii="仿宋" w:hAnsi="仿宋" w:eastAsia="仿宋" w:cs="仿宋"/>
          <w:color w:val="auto"/>
          <w:sz w:val="21"/>
          <w:szCs w:val="21"/>
          <w:highlight w:val="none"/>
        </w:rPr>
        <w:t>核心产品</w:t>
      </w:r>
      <w:r>
        <w:rPr>
          <w:rFonts w:hint="eastAsia" w:ascii="仿宋" w:hAnsi="仿宋" w:eastAsia="仿宋" w:cs="仿宋"/>
          <w:b/>
          <w:bCs/>
          <w:color w:val="auto"/>
          <w:sz w:val="21"/>
          <w:szCs w:val="21"/>
          <w:highlight w:val="none"/>
        </w:rPr>
        <w:t>：</w:t>
      </w:r>
      <w:r>
        <w:rPr>
          <w:rFonts w:hint="eastAsia" w:ascii="仿宋" w:hAnsi="仿宋" w:eastAsia="仿宋" w:cs="仿宋"/>
          <w:b/>
          <w:bCs/>
          <w:color w:val="auto"/>
          <w:sz w:val="21"/>
          <w:szCs w:val="21"/>
          <w:highlight w:val="none"/>
          <w:lang w:eastAsia="zh-CN"/>
        </w:rPr>
        <w:t>第一包：医用血管造影</w:t>
      </w:r>
      <w:r>
        <w:rPr>
          <w:rFonts w:hint="eastAsia" w:ascii="仿宋" w:hAnsi="仿宋" w:eastAsia="仿宋" w:cs="仿宋"/>
          <w:b/>
          <w:bCs/>
          <w:color w:val="auto"/>
          <w:sz w:val="21"/>
          <w:szCs w:val="21"/>
          <w:highlight w:val="none"/>
          <w:lang w:val="en-US" w:eastAsia="zh-CN"/>
        </w:rPr>
        <w:t>X射线机；</w:t>
      </w:r>
      <w:r>
        <w:rPr>
          <w:rFonts w:hint="eastAsia" w:ascii="仿宋" w:hAnsi="仿宋" w:eastAsia="仿宋" w:cs="仿宋"/>
          <w:b/>
          <w:bCs/>
          <w:color w:val="auto"/>
          <w:sz w:val="21"/>
          <w:szCs w:val="21"/>
          <w:highlight w:val="none"/>
          <w:lang w:eastAsia="zh-CN"/>
        </w:rPr>
        <w:t>第二包：</w:t>
      </w:r>
      <w:r>
        <w:rPr>
          <w:rFonts w:hint="eastAsia" w:ascii="仿宋" w:hAnsi="仿宋" w:eastAsia="仿宋" w:cs="仿宋"/>
          <w:b/>
          <w:bCs/>
          <w:color w:val="auto"/>
          <w:sz w:val="21"/>
          <w:szCs w:val="21"/>
          <w:highlight w:val="none"/>
          <w:lang w:val="en-US" w:eastAsia="zh-CN"/>
        </w:rPr>
        <w:t>电子计算机断层扫描设备。</w:t>
      </w:r>
    </w:p>
    <w:p>
      <w:pPr>
        <w:pStyle w:val="59"/>
        <w:numPr>
          <w:ilvl w:val="0"/>
          <w:numId w:val="5"/>
        </w:numP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项目概述</w:t>
      </w:r>
    </w:p>
    <w:tbl>
      <w:tblPr>
        <w:tblStyle w:val="34"/>
        <w:tblpPr w:leftFromText="180" w:rightFromText="180" w:vertAnchor="text" w:horzAnchor="page" w:tblpX="1900" w:tblpY="231"/>
        <w:tblOverlap w:val="never"/>
        <w:tblW w:w="4998" w:type="pct"/>
        <w:jc w:val="center"/>
        <w:tblLayout w:type="autofit"/>
        <w:tblCellMar>
          <w:top w:w="0" w:type="dxa"/>
          <w:left w:w="0" w:type="dxa"/>
          <w:bottom w:w="0" w:type="dxa"/>
          <w:right w:w="0" w:type="dxa"/>
        </w:tblCellMar>
      </w:tblPr>
      <w:tblGrid>
        <w:gridCol w:w="999"/>
        <w:gridCol w:w="2742"/>
        <w:gridCol w:w="855"/>
        <w:gridCol w:w="1025"/>
        <w:gridCol w:w="2712"/>
      </w:tblGrid>
      <w:tr>
        <w:tblPrEx>
          <w:tblCellMar>
            <w:top w:w="0" w:type="dxa"/>
            <w:left w:w="0" w:type="dxa"/>
            <w:bottom w:w="0" w:type="dxa"/>
            <w:right w:w="0" w:type="dxa"/>
          </w:tblCellMar>
        </w:tblPrEx>
        <w:trPr>
          <w:trHeight w:val="566" w:hRule="atLeast"/>
          <w:jc w:val="center"/>
        </w:trPr>
        <w:tc>
          <w:tcPr>
            <w:tcW w:w="599"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0"/>
                <w:sz w:val="24"/>
                <w:szCs w:val="24"/>
                <w:highlight w:val="none"/>
                <w:u w:val="none"/>
                <w:lang w:val="en-US" w:eastAsia="zh-CN" w:bidi="ar"/>
              </w:rPr>
            </w:pPr>
            <w:r>
              <w:rPr>
                <w:rFonts w:hint="eastAsia" w:ascii="仿宋" w:hAnsi="仿宋" w:eastAsia="仿宋" w:cs="仿宋"/>
                <w:b/>
                <w:bCs w:val="0"/>
                <w:i w:val="0"/>
                <w:color w:val="auto"/>
                <w:kern w:val="0"/>
                <w:sz w:val="24"/>
                <w:szCs w:val="24"/>
                <w:highlight w:val="none"/>
                <w:u w:val="none"/>
                <w:lang w:val="en-US" w:eastAsia="zh-CN" w:bidi="ar"/>
              </w:rPr>
              <w:t>包号</w:t>
            </w:r>
          </w:p>
        </w:tc>
        <w:tc>
          <w:tcPr>
            <w:tcW w:w="1645" w:type="pct"/>
            <w:tcBorders>
              <w:top w:val="single" w:color="000000" w:sz="4" w:space="0"/>
              <w:left w:val="single" w:color="auto"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highlight w:val="none"/>
                <w:lang w:eastAsia="zh-CN"/>
              </w:rPr>
            </w:pPr>
            <w:r>
              <w:rPr>
                <w:rFonts w:hint="eastAsia" w:ascii="仿宋" w:hAnsi="仿宋" w:eastAsia="仿宋" w:cs="仿宋"/>
                <w:b/>
                <w:bCs w:val="0"/>
                <w:i w:val="0"/>
                <w:color w:val="auto"/>
                <w:kern w:val="0"/>
                <w:sz w:val="24"/>
                <w:szCs w:val="24"/>
                <w:highlight w:val="none"/>
                <w:u w:val="none"/>
                <w:lang w:val="en-US" w:eastAsia="zh-CN" w:bidi="ar"/>
              </w:rPr>
              <w:t>名称</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1"/>
                <w:szCs w:val="21"/>
                <w:highlight w:val="none"/>
                <w:lang w:val="en-US" w:eastAsia="zh-CN" w:bidi="ar"/>
              </w:rPr>
            </w:pPr>
            <w:r>
              <w:rPr>
                <w:rFonts w:hint="eastAsia" w:ascii="仿宋" w:hAnsi="仿宋" w:eastAsia="仿宋" w:cs="仿宋"/>
                <w:b/>
                <w:bCs w:val="0"/>
                <w:i w:val="0"/>
                <w:color w:val="auto"/>
                <w:kern w:val="0"/>
                <w:sz w:val="24"/>
                <w:szCs w:val="24"/>
                <w:highlight w:val="none"/>
                <w:u w:val="none"/>
                <w:lang w:val="en-US" w:eastAsia="zh-CN" w:bidi="ar"/>
              </w:rPr>
              <w:t>数量</w:t>
            </w:r>
          </w:p>
        </w:tc>
        <w:tc>
          <w:tcPr>
            <w:tcW w:w="615"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1"/>
                <w:szCs w:val="21"/>
                <w:highlight w:val="none"/>
                <w:lang w:val="en-US" w:eastAsia="zh-CN" w:bidi="ar"/>
              </w:rPr>
            </w:pPr>
            <w:r>
              <w:rPr>
                <w:rFonts w:hint="eastAsia" w:ascii="仿宋" w:hAnsi="仿宋" w:eastAsia="仿宋" w:cs="仿宋"/>
                <w:b/>
                <w:bCs w:val="0"/>
                <w:i w:val="0"/>
                <w:color w:val="auto"/>
                <w:kern w:val="0"/>
                <w:sz w:val="24"/>
                <w:szCs w:val="24"/>
                <w:highlight w:val="none"/>
                <w:u w:val="none"/>
                <w:lang w:val="en-US" w:eastAsia="zh-CN" w:bidi="ar"/>
              </w:rPr>
              <w:t>单位</w:t>
            </w:r>
          </w:p>
        </w:tc>
        <w:tc>
          <w:tcPr>
            <w:tcW w:w="162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1"/>
                <w:szCs w:val="21"/>
                <w:highlight w:val="none"/>
                <w:lang w:val="en-US" w:eastAsia="zh-CN" w:bidi="ar"/>
              </w:rPr>
            </w:pPr>
            <w:r>
              <w:rPr>
                <w:rFonts w:hint="eastAsia" w:ascii="仿宋" w:hAnsi="仿宋" w:eastAsia="仿宋" w:cs="仿宋"/>
                <w:b/>
                <w:bCs w:val="0"/>
                <w:i w:val="0"/>
                <w:color w:val="auto"/>
                <w:kern w:val="0"/>
                <w:sz w:val="24"/>
                <w:szCs w:val="24"/>
                <w:highlight w:val="none"/>
                <w:u w:val="none"/>
                <w:lang w:val="en-US" w:eastAsia="zh-CN" w:bidi="ar"/>
              </w:rPr>
              <w:t>最高限价（元）</w:t>
            </w:r>
          </w:p>
        </w:tc>
      </w:tr>
      <w:tr>
        <w:tblPrEx>
          <w:tblCellMar>
            <w:top w:w="0" w:type="dxa"/>
            <w:left w:w="0" w:type="dxa"/>
            <w:bottom w:w="0" w:type="dxa"/>
            <w:right w:w="0" w:type="dxa"/>
          </w:tblCellMar>
        </w:tblPrEx>
        <w:trPr>
          <w:trHeight w:val="566" w:hRule="atLeast"/>
          <w:jc w:val="center"/>
        </w:trPr>
        <w:tc>
          <w:tcPr>
            <w:tcW w:w="599"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sz w:val="24"/>
                <w:szCs w:val="24"/>
                <w:highlight w:val="none"/>
                <w:u w:val="none"/>
              </w:rPr>
            </w:pPr>
            <w:r>
              <w:rPr>
                <w:rFonts w:hint="eastAsia" w:ascii="仿宋" w:hAnsi="仿宋" w:eastAsia="仿宋" w:cs="仿宋"/>
                <w:b w:val="0"/>
                <w:bCs/>
                <w:i w:val="0"/>
                <w:color w:val="auto"/>
                <w:kern w:val="0"/>
                <w:sz w:val="24"/>
                <w:szCs w:val="24"/>
                <w:highlight w:val="none"/>
                <w:u w:val="none"/>
                <w:lang w:val="en-US" w:eastAsia="zh-CN" w:bidi="ar"/>
              </w:rPr>
              <w:t>01</w:t>
            </w:r>
          </w:p>
        </w:tc>
        <w:tc>
          <w:tcPr>
            <w:tcW w:w="1645" w:type="pct"/>
            <w:tcBorders>
              <w:top w:val="single" w:color="000000" w:sz="4" w:space="0"/>
              <w:left w:val="single" w:color="auto"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top"/>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color w:val="auto"/>
                <w:sz w:val="24"/>
                <w:szCs w:val="24"/>
                <w:highlight w:val="none"/>
                <w:lang w:eastAsia="zh-CN"/>
              </w:rPr>
              <w:t>医用血管造影</w:t>
            </w:r>
            <w:r>
              <w:rPr>
                <w:rFonts w:hint="eastAsia" w:ascii="仿宋" w:hAnsi="仿宋" w:eastAsia="仿宋" w:cs="仿宋"/>
                <w:color w:val="auto"/>
                <w:sz w:val="24"/>
                <w:szCs w:val="24"/>
                <w:highlight w:val="none"/>
                <w:lang w:val="en-US" w:eastAsia="zh-CN"/>
              </w:rPr>
              <w:t>X射线机</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top"/>
              <w:rPr>
                <w:rFonts w:hint="eastAsia" w:ascii="仿宋" w:hAnsi="仿宋" w:eastAsia="仿宋" w:cs="仿宋"/>
                <w:b w:val="0"/>
                <w:bCs w:val="0"/>
                <w:i w:val="0"/>
                <w:iCs w:val="0"/>
                <w:color w:val="auto"/>
                <w:kern w:val="2"/>
                <w:sz w:val="24"/>
                <w:szCs w:val="24"/>
                <w:highlight w:val="none"/>
                <w:lang w:val="en-US" w:eastAsia="zh-CN" w:bidi="ar-SA"/>
              </w:rPr>
            </w:pPr>
            <w:r>
              <w:rPr>
                <w:rFonts w:hint="eastAsia" w:ascii="仿宋" w:hAnsi="仿宋" w:eastAsia="仿宋" w:cs="仿宋"/>
                <w:b w:val="0"/>
                <w:bCs w:val="0"/>
                <w:i w:val="0"/>
                <w:iCs w:val="0"/>
                <w:color w:val="auto"/>
                <w:kern w:val="0"/>
                <w:sz w:val="24"/>
                <w:szCs w:val="24"/>
                <w:highlight w:val="none"/>
                <w:lang w:val="en-US" w:eastAsia="zh-CN" w:bidi="ar"/>
              </w:rPr>
              <w:t>1</w:t>
            </w:r>
          </w:p>
        </w:tc>
        <w:tc>
          <w:tcPr>
            <w:tcW w:w="615"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top"/>
              <w:rPr>
                <w:rFonts w:hint="eastAsia" w:ascii="仿宋" w:hAnsi="仿宋" w:eastAsia="仿宋" w:cs="仿宋"/>
                <w:b w:val="0"/>
                <w:bCs w:val="0"/>
                <w:i w:val="0"/>
                <w:iCs w:val="0"/>
                <w:color w:val="auto"/>
                <w:kern w:val="2"/>
                <w:sz w:val="24"/>
                <w:szCs w:val="24"/>
                <w:highlight w:val="none"/>
                <w:lang w:val="en-US" w:eastAsia="zh-CN" w:bidi="ar-SA"/>
              </w:rPr>
            </w:pPr>
            <w:r>
              <w:rPr>
                <w:rFonts w:hint="eastAsia" w:ascii="仿宋" w:hAnsi="仿宋" w:eastAsia="仿宋" w:cs="仿宋"/>
                <w:b w:val="0"/>
                <w:bCs w:val="0"/>
                <w:i w:val="0"/>
                <w:iCs w:val="0"/>
                <w:color w:val="auto"/>
                <w:kern w:val="0"/>
                <w:sz w:val="24"/>
                <w:szCs w:val="24"/>
                <w:highlight w:val="none"/>
                <w:lang w:val="en-US" w:eastAsia="zh-CN" w:bidi="ar"/>
              </w:rPr>
              <w:t>台</w:t>
            </w:r>
          </w:p>
        </w:tc>
        <w:tc>
          <w:tcPr>
            <w:tcW w:w="162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top"/>
              <w:rPr>
                <w:rFonts w:hint="eastAsia" w:ascii="仿宋" w:hAnsi="仿宋" w:eastAsia="仿宋" w:cs="仿宋"/>
                <w:b w:val="0"/>
                <w:bCs w:val="0"/>
                <w:i w:val="0"/>
                <w:iCs w:val="0"/>
                <w:color w:val="auto"/>
                <w:kern w:val="2"/>
                <w:sz w:val="24"/>
                <w:szCs w:val="24"/>
                <w:highlight w:val="none"/>
                <w:lang w:val="en-US" w:eastAsia="zh-CN" w:bidi="ar-SA"/>
              </w:rPr>
            </w:pPr>
            <w:r>
              <w:rPr>
                <w:rFonts w:hint="eastAsia" w:ascii="仿宋" w:hAnsi="仿宋" w:eastAsia="仿宋" w:cs="仿宋"/>
                <w:b w:val="0"/>
                <w:bCs w:val="0"/>
                <w:i w:val="0"/>
                <w:iCs w:val="0"/>
                <w:color w:val="auto"/>
                <w:kern w:val="0"/>
                <w:sz w:val="24"/>
                <w:szCs w:val="24"/>
                <w:highlight w:val="none"/>
                <w:lang w:val="en-US" w:eastAsia="zh-CN" w:bidi="ar"/>
              </w:rPr>
              <w:t>7820000</w:t>
            </w:r>
          </w:p>
        </w:tc>
      </w:tr>
      <w:tr>
        <w:tblPrEx>
          <w:tblCellMar>
            <w:top w:w="0" w:type="dxa"/>
            <w:left w:w="0" w:type="dxa"/>
            <w:bottom w:w="0" w:type="dxa"/>
            <w:right w:w="0" w:type="dxa"/>
          </w:tblCellMar>
        </w:tblPrEx>
        <w:trPr>
          <w:trHeight w:val="534" w:hRule="atLeast"/>
          <w:jc w:val="center"/>
        </w:trPr>
        <w:tc>
          <w:tcPr>
            <w:tcW w:w="599"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auto"/>
                <w:kern w:val="2"/>
                <w:sz w:val="24"/>
                <w:szCs w:val="24"/>
                <w:highlight w:val="none"/>
                <w:u w:val="none"/>
                <w:lang w:val="en-US" w:eastAsia="zh-CN" w:bidi="ar-SA"/>
              </w:rPr>
            </w:pPr>
            <w:r>
              <w:rPr>
                <w:rFonts w:hint="eastAsia" w:ascii="仿宋" w:hAnsi="仿宋" w:eastAsia="仿宋" w:cs="仿宋"/>
                <w:b w:val="0"/>
                <w:bCs/>
                <w:i w:val="0"/>
                <w:color w:val="auto"/>
                <w:kern w:val="0"/>
                <w:sz w:val="24"/>
                <w:szCs w:val="24"/>
                <w:highlight w:val="none"/>
                <w:u w:val="none"/>
                <w:lang w:val="en-US" w:eastAsia="zh-CN" w:bidi="ar"/>
              </w:rPr>
              <w:t>02</w:t>
            </w:r>
          </w:p>
        </w:tc>
        <w:tc>
          <w:tcPr>
            <w:tcW w:w="1645" w:type="pct"/>
            <w:tcBorders>
              <w:top w:val="single" w:color="000000" w:sz="4" w:space="0"/>
              <w:left w:val="single" w:color="auto"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jc w:val="center"/>
              <w:textAlignment w:val="top"/>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color w:val="auto"/>
                <w:sz w:val="24"/>
                <w:szCs w:val="24"/>
                <w:highlight w:val="none"/>
                <w:lang w:eastAsia="zh-CN"/>
              </w:rPr>
              <w:t>电子计算机断层扫描设备</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top"/>
              <w:rPr>
                <w:rFonts w:hint="eastAsia" w:ascii="仿宋" w:hAnsi="仿宋" w:eastAsia="仿宋" w:cs="仿宋"/>
                <w:b w:val="0"/>
                <w:bCs w:val="0"/>
                <w:i w:val="0"/>
                <w:iCs w:val="0"/>
                <w:color w:val="auto"/>
                <w:kern w:val="2"/>
                <w:sz w:val="24"/>
                <w:szCs w:val="24"/>
                <w:highlight w:val="none"/>
                <w:lang w:val="en-US" w:eastAsia="zh-CN" w:bidi="ar-SA"/>
              </w:rPr>
            </w:pPr>
            <w:r>
              <w:rPr>
                <w:rFonts w:hint="eastAsia" w:ascii="仿宋" w:hAnsi="仿宋" w:eastAsia="仿宋" w:cs="仿宋"/>
                <w:b w:val="0"/>
                <w:bCs w:val="0"/>
                <w:i w:val="0"/>
                <w:iCs w:val="0"/>
                <w:color w:val="auto"/>
                <w:kern w:val="0"/>
                <w:sz w:val="24"/>
                <w:szCs w:val="24"/>
                <w:highlight w:val="none"/>
                <w:lang w:val="en-US" w:eastAsia="zh-CN" w:bidi="ar"/>
              </w:rPr>
              <w:t>1</w:t>
            </w:r>
          </w:p>
        </w:tc>
        <w:tc>
          <w:tcPr>
            <w:tcW w:w="615" w:type="pct"/>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top"/>
              <w:rPr>
                <w:rFonts w:hint="eastAsia" w:ascii="仿宋" w:hAnsi="仿宋" w:eastAsia="仿宋" w:cs="仿宋"/>
                <w:b w:val="0"/>
                <w:bCs w:val="0"/>
                <w:i w:val="0"/>
                <w:iCs w:val="0"/>
                <w:color w:val="auto"/>
                <w:kern w:val="2"/>
                <w:sz w:val="24"/>
                <w:szCs w:val="24"/>
                <w:highlight w:val="none"/>
                <w:lang w:val="en-US" w:eastAsia="zh-CN" w:bidi="ar-SA"/>
              </w:rPr>
            </w:pPr>
            <w:r>
              <w:rPr>
                <w:rFonts w:hint="eastAsia" w:ascii="仿宋" w:hAnsi="仿宋" w:eastAsia="仿宋" w:cs="仿宋"/>
                <w:b w:val="0"/>
                <w:bCs w:val="0"/>
                <w:i w:val="0"/>
                <w:iCs w:val="0"/>
                <w:color w:val="auto"/>
                <w:kern w:val="0"/>
                <w:sz w:val="24"/>
                <w:szCs w:val="24"/>
                <w:highlight w:val="none"/>
                <w:lang w:val="en-US" w:eastAsia="zh-CN" w:bidi="ar"/>
              </w:rPr>
              <w:t>台</w:t>
            </w:r>
          </w:p>
        </w:tc>
        <w:tc>
          <w:tcPr>
            <w:tcW w:w="162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top"/>
              <w:rPr>
                <w:rFonts w:hint="eastAsia" w:ascii="仿宋" w:hAnsi="仿宋" w:eastAsia="仿宋" w:cs="仿宋"/>
                <w:b w:val="0"/>
                <w:bCs w:val="0"/>
                <w:i w:val="0"/>
                <w:iCs w:val="0"/>
                <w:color w:val="auto"/>
                <w:kern w:val="2"/>
                <w:sz w:val="24"/>
                <w:szCs w:val="24"/>
                <w:highlight w:val="none"/>
                <w:lang w:val="en-US" w:eastAsia="zh-CN" w:bidi="ar-SA"/>
              </w:rPr>
            </w:pPr>
            <w:r>
              <w:rPr>
                <w:rFonts w:hint="eastAsia" w:ascii="仿宋" w:hAnsi="仿宋" w:eastAsia="仿宋" w:cs="仿宋"/>
                <w:b w:val="0"/>
                <w:bCs w:val="0"/>
                <w:i w:val="0"/>
                <w:iCs w:val="0"/>
                <w:color w:val="auto"/>
                <w:kern w:val="0"/>
                <w:sz w:val="24"/>
                <w:szCs w:val="24"/>
                <w:highlight w:val="none"/>
                <w:lang w:val="en-US" w:eastAsia="zh-CN" w:bidi="ar"/>
              </w:rPr>
              <w:t>3700000</w:t>
            </w:r>
          </w:p>
        </w:tc>
      </w:tr>
    </w:tbl>
    <w:p>
      <w:pPr>
        <w:pStyle w:val="59"/>
        <w:numPr>
          <w:ilvl w:val="0"/>
          <w:numId w:val="0"/>
        </w:numPr>
        <w:rPr>
          <w:rFonts w:hint="eastAsia" w:ascii="仿宋" w:hAnsi="仿宋" w:eastAsia="仿宋" w:cs="仿宋"/>
          <w:color w:val="auto"/>
          <w:highlight w:val="none"/>
          <w:lang w:val="en-US" w:eastAsia="zh-CN"/>
        </w:rPr>
      </w:pPr>
    </w:p>
    <w:p>
      <w:pPr>
        <w:pStyle w:val="82"/>
        <w:keepNext w:val="0"/>
        <w:keepLines w:val="0"/>
        <w:pageBreakBefore w:val="0"/>
        <w:widowControl w:val="0"/>
        <w:numPr>
          <w:ilvl w:val="0"/>
          <w:numId w:val="0"/>
        </w:numPr>
        <w:kinsoku/>
        <w:wordWrap/>
        <w:overflowPunct/>
        <w:topLinePunct w:val="0"/>
        <w:autoSpaceDE/>
        <w:autoSpaceDN/>
        <w:bidi w:val="0"/>
        <w:adjustRightInd/>
        <w:snapToGrid/>
        <w:spacing w:after="0" w:line="360" w:lineRule="auto"/>
        <w:textAlignment w:val="auto"/>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二、项目技术要求</w:t>
      </w:r>
    </w:p>
    <w:p>
      <w:pPr>
        <w:pStyle w:val="18"/>
        <w:keepNext w:val="0"/>
        <w:keepLines w:val="0"/>
        <w:pageBreakBefore w:val="0"/>
        <w:widowControl w:val="0"/>
        <w:numPr>
          <w:ilvl w:val="0"/>
          <w:numId w:val="0"/>
        </w:numPr>
        <w:kinsoku/>
        <w:wordWrap/>
        <w:overflowPunct/>
        <w:topLinePunct w:val="0"/>
        <w:autoSpaceDE/>
        <w:autoSpaceDN/>
        <w:bidi w:val="0"/>
        <w:adjustRightInd/>
        <w:snapToGrid/>
        <w:spacing w:after="0" w:line="360" w:lineRule="auto"/>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01包：</w:t>
      </w:r>
      <w:r>
        <w:rPr>
          <w:rFonts w:hint="eastAsia" w:ascii="仿宋" w:hAnsi="仿宋" w:eastAsia="仿宋" w:cs="仿宋"/>
          <w:b/>
          <w:bCs/>
          <w:color w:val="auto"/>
          <w:sz w:val="24"/>
          <w:szCs w:val="24"/>
          <w:highlight w:val="none"/>
          <w:lang w:eastAsia="zh-CN"/>
        </w:rPr>
        <w:t>医用血管造影</w:t>
      </w:r>
      <w:r>
        <w:rPr>
          <w:rFonts w:hint="eastAsia" w:ascii="仿宋" w:hAnsi="仿宋" w:eastAsia="仿宋" w:cs="仿宋"/>
          <w:b/>
          <w:bCs/>
          <w:color w:val="auto"/>
          <w:sz w:val="24"/>
          <w:szCs w:val="24"/>
          <w:highlight w:val="none"/>
          <w:lang w:val="en-US" w:eastAsia="zh-CN"/>
        </w:rPr>
        <w:t>X射线机</w:t>
      </w:r>
    </w:p>
    <w:tbl>
      <w:tblPr>
        <w:tblStyle w:val="34"/>
        <w:tblW w:w="4999" w:type="pct"/>
        <w:tblInd w:w="0" w:type="dxa"/>
        <w:tblLayout w:type="autofit"/>
        <w:tblCellMar>
          <w:top w:w="0" w:type="dxa"/>
          <w:left w:w="108" w:type="dxa"/>
          <w:bottom w:w="0" w:type="dxa"/>
          <w:right w:w="108" w:type="dxa"/>
        </w:tblCellMar>
      </w:tblPr>
      <w:tblGrid>
        <w:gridCol w:w="980"/>
        <w:gridCol w:w="7540"/>
      </w:tblGrid>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（一）</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整体要求</w:t>
            </w:r>
          </w:p>
        </w:tc>
      </w:tr>
      <w:tr>
        <w:tblPrEx>
          <w:tblCellMar>
            <w:top w:w="0" w:type="dxa"/>
            <w:left w:w="108" w:type="dxa"/>
            <w:bottom w:w="0" w:type="dxa"/>
            <w:right w:w="108" w:type="dxa"/>
          </w:tblCellMar>
        </w:tblPrEx>
        <w:trPr>
          <w:trHeight w:val="72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设备用途：可以完全满足腹部，神经，血管及心脏等介入放射学检查与治疗</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投标机型要求原厂生产</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（二）</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技术要求和参数</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1</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机架系统（C型臂）</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①</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落地式全自动单向C型臂</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②</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机架系统机械轴≥3轴</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③</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机架系统所有轴全部为电动而非手动</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④</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不需要移动床面，机架可位于床的头侧及左右两侧进行透视和采集</w:t>
            </w:r>
          </w:p>
        </w:tc>
      </w:tr>
      <w:tr>
        <w:tblPrEx>
          <w:tblCellMar>
            <w:top w:w="0" w:type="dxa"/>
            <w:left w:w="108" w:type="dxa"/>
            <w:bottom w:w="0" w:type="dxa"/>
            <w:right w:w="108" w:type="dxa"/>
          </w:tblCellMar>
        </w:tblPrEx>
        <w:trPr>
          <w:trHeight w:val="9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⑤</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C臂的滑动轴、旋转轴和主轴旋转时三个轴的中心点保持一致，即单独旋转任何一轴都不改变视野中心，二轴或三轴同时旋转也不改变视野中心</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⑥</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C型臂能从多方切入无显示死角</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★⑦</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C型臂有效弧深≥105cm</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⑧</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L臂旋转范围≥190°</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⑨</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床旁智能手柄控制机架和床的运动</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⑩</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落地机架旋转轴旋转角度范围：LAO≥100° RAO≥100°</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⑪</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落地机架滑动轴旋转角度范围：CRA≥45° CAU≥45°</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⑫</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C型臂最大旋转速度：≥15°/秒</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⑬</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平板及球管具有碰撞保护功能</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⑭</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机架各臂能单轴、双轴或三轴同时运动</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⑮</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实时数码显示所有C型臂旋转角度信息</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⑯</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可由用户设置并存储机架位置：≥70种，能实施自动复位功能</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2</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导管床系统</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①</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落地式导管床，床面为碳纤维合成并有床垫</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②</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承重：≥200KG</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★③</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床长（不含延长板）≥330cm</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④</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床宽≥46cm</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★⑤</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纵向移动≥160cm</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⑥</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横向移动≥28cm</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★⑦</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水平旋转≥±180度</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⑧</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垂直移动范围≥30cm</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⑨</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床面最低高度≤78cm，床面最高高度≥108cm</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⑩</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床面移动有电动模式和手动模式</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3</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X线发生器系统</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①</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高频逆变高压发生器，功率≥80KW</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②</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高压逆变频率≥60KHz</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③</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管电压范围50-125kV</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④</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最短曝光时间≤1ms</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⑤</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全自动智能曝光控制</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4</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球管系统</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①</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高速旋转阳极球管，阳极转速≥7,000转/分</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②</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最大管电流≥1000mA</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★③</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球管阳极热容量≥3.5MHU</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④</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球管阳极散热功率≥6700W</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⑤</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管套热容量≥6.9MHu</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★⑥</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球管焦点≥3个</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⑦</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大焦点≥1.0</w:t>
            </w:r>
            <w:r>
              <w:rPr>
                <w:rFonts w:hint="eastAsia" w:ascii="仿宋" w:hAnsi="仿宋" w:eastAsia="仿宋" w:cs="仿宋"/>
                <w:i w:val="0"/>
                <w:iCs w:val="0"/>
                <w:color w:val="auto"/>
                <w:kern w:val="0"/>
                <w:sz w:val="24"/>
                <w:szCs w:val="24"/>
                <w:highlight w:val="none"/>
                <w:u w:val="none"/>
                <w:lang w:val="en-US" w:eastAsia="zh-CN" w:bidi="ar"/>
              </w:rPr>
              <w:t>mm</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⑧</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中焦点≥0.6</w:t>
            </w:r>
            <w:r>
              <w:rPr>
                <w:rFonts w:hint="eastAsia" w:ascii="仿宋" w:hAnsi="仿宋" w:eastAsia="仿宋" w:cs="仿宋"/>
                <w:i w:val="0"/>
                <w:iCs w:val="0"/>
                <w:color w:val="auto"/>
                <w:kern w:val="0"/>
                <w:sz w:val="24"/>
                <w:szCs w:val="24"/>
                <w:highlight w:val="none"/>
                <w:u w:val="none"/>
                <w:lang w:val="en-US" w:eastAsia="zh-CN" w:bidi="ar"/>
              </w:rPr>
              <w:t>mm</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⑨</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小焦点≤0.3</w:t>
            </w:r>
            <w:r>
              <w:rPr>
                <w:rFonts w:hint="eastAsia" w:ascii="仿宋" w:hAnsi="仿宋" w:eastAsia="仿宋" w:cs="仿宋"/>
                <w:i w:val="0"/>
                <w:iCs w:val="0"/>
                <w:color w:val="auto"/>
                <w:kern w:val="0"/>
                <w:sz w:val="24"/>
                <w:szCs w:val="24"/>
                <w:highlight w:val="none"/>
                <w:u w:val="none"/>
                <w:lang w:val="en-US" w:eastAsia="zh-CN" w:bidi="ar"/>
              </w:rPr>
              <w:t>mm</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★⑩</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大焦点功率≥110kW</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⑪</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中焦点功率≥54kW</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⑫</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小焦点功率≥20kW</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⑬</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球管制冷采用循环水冷和油冷双重冷却</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⑭</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球管内置栅控技术，非高压发生器控制</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⑮</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球管带0.1和0.2mm和0.3mm的铜滤过片</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⑯</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30分钟以上连续透视功率≥3200W</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⑰</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最大透视功率 ≥4500W</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5</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数字化平板探测器</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①</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采用非晶硅数字化平板探测技术</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★②</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为了兼顾心脏及外周介入的需要，平板有效探测面积要求边长≥31cmx31cm</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③</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平板探测器为正方形，在术中不需要调整平板方向</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④</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平板密度动态范围：为了发挥平板技术对图像密度动态范围的分辨能力，系统对原始数据的处理不得低于平板本身输出的分辨能力（14Bits，16384灰阶）</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⑤</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平板内外部结构全部为整板，非拼接板</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⑥</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四视野可变,在20cm的视野下仍可达到1024x1024 的采集矩阵</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★⑦</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平板像素大小要求≥180微米且≤210微米</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⑧</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平板像素矩阵≥1500x1500</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⑨</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宽带平板，每行，每列像素均有一个独立的模数转换器</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★⑩</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平板采集模式DQE≥80%</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★⑪</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平板透视模式DQE≥80%</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6</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透视与采集</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①</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数字脉冲透视</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②</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最大脉冲透视频率≥30帧/秒</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③</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可进行减影透视和非减影透视</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④</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在透视过程中，不间断透视，就可以进行减影透视背景的百分比调整</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⑤</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透视路图功能</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⑥</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透视末帧图像保持</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⑦</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在无X-Ray射线条件下，可进行视野大小的调整</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⑧</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透视图像存储图像数量≥450幅</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⑨</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透视图像存储时间≥60秒</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⑩</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透视图像存储，在透视采集结束前和透视采集结束后都可以进行</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⑪</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具有实时DA采集和实时DSA采集功能</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⑫</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采集矩阵：≥1024x1024，14bit</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⑬</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心脏采集模式，最大脉冲≥30帧/秒</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⑭</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外周采集模式，最大脉冲≥7.5帧/秒</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⑮</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具有旋转采集功能，最大角度≥200°，可用于心脏旋转采集</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⑯</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旋转采集可添加头足侧角度</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⑰</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具有下肢非步进连续血管造影功能</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⑱</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下肢血管造影实时减影</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⑲</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具有三维采集模式，最大角度≥200°，最快速度≥40°/秒</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⑳</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在所有视野下均可以进行三维采集</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㉑</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随机提供原厂三维质控校正摸</w:t>
            </w:r>
          </w:p>
        </w:tc>
      </w:tr>
      <w:tr>
        <w:tblPrEx>
          <w:tblCellMar>
            <w:top w:w="0" w:type="dxa"/>
            <w:left w:w="108" w:type="dxa"/>
            <w:bottom w:w="0" w:type="dxa"/>
            <w:right w:w="108" w:type="dxa"/>
          </w:tblCellMar>
        </w:tblPrEx>
        <w:trPr>
          <w:trHeight w:val="66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㉒</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采集序列可进行分段设计程序，并且每段曝光时间均可在曝光过程中手动中止并自动进行下一段曝光程序</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㉓</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透视序列或采集序列缩略图多幅显示</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㉔</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具有透视存储序列和采集序列回放功能</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7</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主机系统工作站</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①</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病人登录及检索功能</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②</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主机图像处理功能</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③</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主机能够自动和手动对图像进行定标</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④</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主机长度测量及分析功能</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⑤</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主机血管狭窄分析功能</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⑥</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主机心室功能分析功能</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⑦</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主机具备中心线法室壁运动分析功能</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⑧</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提供心脏冠脉支架精显功能</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⑨</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支架精显功能可自动去除Mark点之间的导丝</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⑩</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主机硬盘图像存储1024x1024矩阵，12Bit，容量≥68000幅</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⑪</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主机系统显示器为彩色显示器，用于显示主机系统资料，≥19英寸</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8</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显示器吊架及医疗专用图像显示器</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①</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控制室一个</w:t>
            </w:r>
            <w:r>
              <w:rPr>
                <w:rFonts w:hint="eastAsia" w:ascii="仿宋" w:hAnsi="仿宋" w:eastAsia="仿宋" w:cs="仿宋"/>
                <w:color w:val="auto"/>
                <w:sz w:val="24"/>
                <w:szCs w:val="24"/>
                <w:highlight w:val="none"/>
                <w:lang w:val="en-US" w:eastAsia="zh-CN"/>
              </w:rPr>
              <w:t>≥</w:t>
            </w:r>
            <w:r>
              <w:rPr>
                <w:rFonts w:hint="eastAsia" w:ascii="仿宋" w:hAnsi="仿宋" w:eastAsia="仿宋" w:cs="仿宋"/>
                <w:i w:val="0"/>
                <w:iCs w:val="0"/>
                <w:color w:val="auto"/>
                <w:kern w:val="0"/>
                <w:sz w:val="24"/>
                <w:szCs w:val="24"/>
                <w:highlight w:val="none"/>
                <w:u w:val="none"/>
                <w:lang w:val="en-US" w:eastAsia="zh-CN" w:bidi="ar"/>
              </w:rPr>
              <w:t>19英寸医用专用图像显示器显示实时图像</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②</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操作室二个</w:t>
            </w:r>
            <w:r>
              <w:rPr>
                <w:rFonts w:hint="eastAsia" w:ascii="仿宋" w:hAnsi="仿宋" w:eastAsia="仿宋" w:cs="仿宋"/>
                <w:color w:val="auto"/>
                <w:sz w:val="24"/>
                <w:szCs w:val="24"/>
                <w:highlight w:val="none"/>
                <w:lang w:val="en-US" w:eastAsia="zh-CN"/>
              </w:rPr>
              <w:t>≥</w:t>
            </w:r>
            <w:r>
              <w:rPr>
                <w:rFonts w:hint="eastAsia" w:ascii="仿宋" w:hAnsi="仿宋" w:eastAsia="仿宋" w:cs="仿宋"/>
                <w:i w:val="0"/>
                <w:iCs w:val="0"/>
                <w:color w:val="auto"/>
                <w:kern w:val="0"/>
                <w:sz w:val="24"/>
                <w:szCs w:val="24"/>
                <w:highlight w:val="none"/>
                <w:u w:val="none"/>
                <w:lang w:val="en-US" w:eastAsia="zh-CN" w:bidi="ar"/>
              </w:rPr>
              <w:t>19英寸医用专用图像显示器分别显示实时图像和参考图像</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③</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控制室及操作室</w:t>
            </w:r>
            <w:r>
              <w:rPr>
                <w:rFonts w:hint="eastAsia" w:ascii="仿宋" w:hAnsi="仿宋" w:eastAsia="仿宋" w:cs="仿宋"/>
                <w:i w:val="0"/>
                <w:iCs w:val="0"/>
                <w:color w:val="auto"/>
                <w:kern w:val="0"/>
                <w:sz w:val="24"/>
                <w:szCs w:val="24"/>
                <w:highlight w:val="none"/>
                <w:u w:val="none"/>
                <w:lang w:val="en-US" w:eastAsia="zh-CN" w:bidi="ar"/>
              </w:rPr>
              <w:t>医用专用图像显示器分辨率≥1024X1280</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④</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eastAsia="zh-CN"/>
              </w:rPr>
              <w:t>控制室及操作室</w:t>
            </w:r>
            <w:r>
              <w:rPr>
                <w:rFonts w:hint="eastAsia" w:ascii="仿宋" w:hAnsi="仿宋" w:eastAsia="仿宋" w:cs="仿宋"/>
                <w:i w:val="0"/>
                <w:iCs w:val="0"/>
                <w:color w:val="auto"/>
                <w:kern w:val="0"/>
                <w:sz w:val="24"/>
                <w:szCs w:val="24"/>
                <w:highlight w:val="none"/>
                <w:u w:val="none"/>
                <w:lang w:val="en-US" w:eastAsia="zh-CN" w:bidi="ar"/>
              </w:rPr>
              <w:t>医用专用图像显示器可视角度≥170°</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⑤</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三监视器吊架</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⑥</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监视器吊架可移动至床的两侧</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⑦</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监视器吊架可进行旋转，旋转角度≥330°</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9</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原厂后处理工作站</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①</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工作站为原厂生产（以投标厂商的官方网站为准）</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②</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工作站可浏览和处理同一厂家的CT、MR及PET的图像</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③</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可进行图像二维和三维后处理，包括图像全幅和局部放大；多幅图像显示；图像边缘增强、边缘平缓；图像正负像切换</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④</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DVD/CD刻录图像存储：配备全兼容性的CD刻录系统，图像输出格式可多种选择（DICOM格式，MPEG、AVI），所刻光盘可在普通PC机上回放</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⑤</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USB图像输出，图像输出格式可多种选择（DICOM格式，MPEG、AVI）</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⑥</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工作站胶片打印功能</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⑦</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工作站端口开放，可与其他支持标准DICOM3.0的影像设备和PACS相连</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⑧</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三维采集后，图像自动传输至工作站，无需人工干预</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⑨</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提供VR重建，MIP重建，透明化重建，仿真内窥镜的重建功能</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⑩</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提供能够同时从内和从外观察血管的壳状重建功能</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⑪</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提供计算机断面重建功能</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⑫</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提供3D图像与断面图像同屏显示功能</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⑬</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提供断面图像冠状位/矢状位/轴位同屏显示功能，并且可以随时切换。</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⑭</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提供3D图像与断面图像同屏联动功能</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⑮</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提供工作站血管狭窄分析功能</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⑯</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提供工作站心室功能分析功能</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⑰</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提供工作站中心线法室壁运动分析功能</w:t>
            </w:r>
          </w:p>
        </w:tc>
      </w:tr>
      <w:tr>
        <w:tblPrEx>
          <w:tblCellMar>
            <w:top w:w="0" w:type="dxa"/>
            <w:left w:w="108" w:type="dxa"/>
            <w:bottom w:w="0" w:type="dxa"/>
            <w:right w:w="108" w:type="dxa"/>
          </w:tblCellMar>
        </w:tblPrEx>
        <w:trPr>
          <w:trHeight w:val="76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⑱</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下肢血管造影采集完成后，无需要干预即可在工作站上自动形成自动拼接的无缝的全下肢图像</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⑲</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具有高清类CT功能</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⑳</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提供多容积三维功能</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㉑</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工作站内存≥8GB；工作站硬盘≥420GB</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㉒</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工作站CPU为Intel Xeon CPU或优于Intel Xeon CPU</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㉓</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工作站CPU为双CPU四核心</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㉔</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工作站CPU主频≥2.6GHz</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㉕</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工作站彩色液晶显示器2台，≥19英寸</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㉖</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提供标准DICOM3.0接口</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10</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其它</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①</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提供远程维修接口</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②</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相机数字化接口</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③</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高压注射器接口</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④</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对讲系统</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⑤</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提供悬吊式手术灯</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⑥</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提供红外遥控器两个</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⑦</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提供头托一个</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⑧</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提供双筒高压注射器一台，技术要求如下：</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a</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近端带有手动旋转装置，用于针筒吸药和排气，少量试注射</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b</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注射器容量150ml规格；注射剂量：0.1～150ml</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⑨</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提供2台图文工作站</w:t>
            </w:r>
          </w:p>
        </w:tc>
      </w:tr>
      <w:tr>
        <w:tblPrEx>
          <w:tblCellMar>
            <w:top w:w="0" w:type="dxa"/>
            <w:left w:w="108" w:type="dxa"/>
            <w:bottom w:w="0" w:type="dxa"/>
            <w:right w:w="108" w:type="dxa"/>
          </w:tblCellMar>
        </w:tblPrEx>
        <w:trPr>
          <w:trHeight w:val="840" w:hRule="atLeast"/>
        </w:trPr>
        <w:tc>
          <w:tcPr>
            <w:tcW w:w="575" w:type="pct"/>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⑩</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主机内置式原厂UPS，外部电源意外中断时，可保证病人的诊疗信息不丢失，并提供设备正常关机的电力供应，从而最大程度维护设备。</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11</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射线防护</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①</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设备符合国际放射线安全标准，符合国际射线散射量标准</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②</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具有床旁剂量控制≥2挡</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③</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床旁射线防护帘</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④</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悬吊式射线防护屏</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⑤</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铅防护服(衣、帽、围脖、三角巾、长方巾;0.5铅当量) 4套，配衣架（带帽托）</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⑥</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另外配置不低于6M竖屏医用显示器2台，技术要求如下：</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a</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显示器采用新型LED背光</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b</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分辨率≥3280*2048</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c</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尺寸≧30英寸</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（三）</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技术服务及质量保证</w:t>
            </w:r>
          </w:p>
        </w:tc>
      </w:tr>
      <w:tr>
        <w:tblPrEx>
          <w:tblCellMar>
            <w:top w:w="0" w:type="dxa"/>
            <w:left w:w="108" w:type="dxa"/>
            <w:bottom w:w="0" w:type="dxa"/>
            <w:right w:w="108" w:type="dxa"/>
          </w:tblCellMar>
        </w:tblPrEx>
        <w:trPr>
          <w:trHeight w:val="7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①</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供货方负责派合格的工程师到现场进行设备安装、调试，达到正常运作要求，保证买方正常使用。设备质量保证期为12个月，在保质期内，由于卖方的原因，设备发生故障或不能使用，供货方应在接到通知后24小时响应，48小时内派人到现场解决问题，所有费用由卖方承担</w:t>
            </w:r>
          </w:p>
        </w:tc>
      </w:tr>
      <w:tr>
        <w:tblPrEx>
          <w:tblCellMar>
            <w:top w:w="0" w:type="dxa"/>
            <w:left w:w="108" w:type="dxa"/>
            <w:bottom w:w="0" w:type="dxa"/>
            <w:right w:w="108" w:type="dxa"/>
          </w:tblCellMar>
        </w:tblPrEx>
        <w:trPr>
          <w:trHeight w:val="68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②</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供货商提供必需的技术资料给客户，对设备使用人员进行现场使用培训，培训不少于两次</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③</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提供中文操作手册</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④</w:t>
            </w:r>
          </w:p>
        </w:tc>
        <w:tc>
          <w:tcPr>
            <w:tcW w:w="442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设置有维修中心及零配件库</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⑤</w:t>
            </w:r>
          </w:p>
        </w:tc>
        <w:tc>
          <w:tcPr>
            <w:tcW w:w="4424" w:type="pct"/>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保修期内维修必须由生产厂家而非经销商维修</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⑥</w:t>
            </w:r>
          </w:p>
        </w:tc>
        <w:tc>
          <w:tcPr>
            <w:tcW w:w="4424" w:type="pct"/>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在保质期以后，卖方应提供备件和维修服务</w:t>
            </w:r>
          </w:p>
        </w:tc>
      </w:tr>
      <w:tr>
        <w:tblPrEx>
          <w:tblCellMar>
            <w:top w:w="0" w:type="dxa"/>
            <w:left w:w="108" w:type="dxa"/>
            <w:bottom w:w="0" w:type="dxa"/>
            <w:right w:w="108" w:type="dxa"/>
          </w:tblCellMar>
        </w:tblPrEx>
        <w:trPr>
          <w:trHeight w:val="500" w:hRule="atLeast"/>
        </w:trPr>
        <w:tc>
          <w:tcPr>
            <w:tcW w:w="575" w:type="pct"/>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⑦</w:t>
            </w:r>
          </w:p>
        </w:tc>
        <w:tc>
          <w:tcPr>
            <w:tcW w:w="4424" w:type="pct"/>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both"/>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国内有800或400免费电话维修系统，提供800或400免费电话号码</w:t>
            </w:r>
          </w:p>
        </w:tc>
      </w:tr>
    </w:tbl>
    <w:p>
      <w:pPr>
        <w:keepNext w:val="0"/>
        <w:keepLines w:val="0"/>
        <w:widowControl/>
        <w:suppressLineNumbers w:val="0"/>
        <w:jc w:val="both"/>
        <w:textAlignment w:val="top"/>
        <w:rPr>
          <w:rFonts w:hint="eastAsia" w:ascii="仿宋" w:hAnsi="仿宋" w:eastAsia="仿宋" w:cs="仿宋"/>
          <w:b/>
          <w:bCs/>
          <w:i w:val="0"/>
          <w:iCs w:val="0"/>
          <w:color w:val="auto"/>
          <w:kern w:val="0"/>
          <w:sz w:val="24"/>
          <w:szCs w:val="24"/>
          <w:highlight w:val="none"/>
          <w:u w:val="none"/>
          <w:lang w:val="en-US" w:eastAsia="zh-CN" w:bidi="ar"/>
        </w:rPr>
      </w:pPr>
    </w:p>
    <w:p>
      <w:pPr>
        <w:keepNext w:val="0"/>
        <w:keepLines w:val="0"/>
        <w:widowControl/>
        <w:suppressLineNumbers w:val="0"/>
        <w:jc w:val="both"/>
        <w:textAlignment w:val="top"/>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02包:电子计算机断层扫描设备</w:t>
      </w:r>
    </w:p>
    <w:tbl>
      <w:tblPr>
        <w:tblStyle w:val="34"/>
        <w:tblW w:w="4999" w:type="pct"/>
        <w:tblInd w:w="0" w:type="dxa"/>
        <w:tblLayout w:type="autofit"/>
        <w:tblCellMar>
          <w:top w:w="0" w:type="dxa"/>
          <w:left w:w="108" w:type="dxa"/>
          <w:bottom w:w="0" w:type="dxa"/>
          <w:right w:w="108" w:type="dxa"/>
        </w:tblCellMar>
      </w:tblPr>
      <w:tblGrid>
        <w:gridCol w:w="1183"/>
        <w:gridCol w:w="2759"/>
        <w:gridCol w:w="4578"/>
      </w:tblGrid>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（一）</w:t>
            </w:r>
          </w:p>
        </w:tc>
        <w:tc>
          <w:tcPr>
            <w:tcW w:w="4305" w:type="pct"/>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整体要求</w:t>
            </w:r>
          </w:p>
        </w:tc>
      </w:tr>
      <w:tr>
        <w:tblPrEx>
          <w:tblCellMar>
            <w:top w:w="0" w:type="dxa"/>
            <w:left w:w="108" w:type="dxa"/>
            <w:bottom w:w="0" w:type="dxa"/>
            <w:right w:w="108" w:type="dxa"/>
          </w:tblCellMar>
        </w:tblPrEx>
        <w:trPr>
          <w:trHeight w:val="1082"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设备要求</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多层螺旋CT,探测器排数≥24排，扫描成像≥32层/360；球管、探测器等核心部件为同一品牌生产厂商，提供证明材料</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w:t>
            </w:r>
          </w:p>
        </w:tc>
        <w:tc>
          <w:tcPr>
            <w:tcW w:w="16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技术要求</w:t>
            </w:r>
          </w:p>
        </w:tc>
        <w:tc>
          <w:tcPr>
            <w:tcW w:w="268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具备肺癌低剂量技术，提供FDA认证</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（二）</w:t>
            </w:r>
          </w:p>
        </w:tc>
        <w:tc>
          <w:tcPr>
            <w:tcW w:w="4305" w:type="pct"/>
            <w:gridSpan w:val="2"/>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主要参数</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1</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机架系统</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①</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探测器类型</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固体稀土陶瓷探测器</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★②</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每排探测器物理个数</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≥890个</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★③</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探测器宽度</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≥20mm</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★④</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球管焦点到等中心点距离</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≤55cm</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2</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扫描床系统</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①</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床水平移动范围</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≥1600mm</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②</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床水平移动速度</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≥0.5-100mm/s</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③</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床垂直移动范围</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≥45-97cm</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④</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床定位精度</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≤±0.25mm</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3</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高压系统</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①</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高压发生器功率</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≥40KW</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★②</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球管热容量(100%效率)</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≤5MHU</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★③</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阳极最大散热率</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＞815KHU/min</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④</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球管输出电流范围</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≥10mA-350mA</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⑤</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球管电压范围</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≥80-140KV</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★⑥</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小焦点大小</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≤0.4mm2</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★⑦</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大焦点大小</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≤1.2mm2</w:t>
            </w:r>
          </w:p>
        </w:tc>
      </w:tr>
      <w:tr>
        <w:tblPrEx>
          <w:tblCellMar>
            <w:top w:w="0" w:type="dxa"/>
            <w:left w:w="108" w:type="dxa"/>
            <w:bottom w:w="0" w:type="dxa"/>
            <w:right w:w="108" w:type="dxa"/>
          </w:tblCellMar>
        </w:tblPrEx>
        <w:trPr>
          <w:trHeight w:val="433"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★⑧</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最大单次连续螺旋扫描时间</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≥120秒</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4</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主操作台</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①</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主计算机操作系统</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Linux或Windows</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②</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内存</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≥16GB</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③</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硬盘容量</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≥1200GB</w:t>
            </w:r>
          </w:p>
        </w:tc>
      </w:tr>
      <w:tr>
        <w:tblPrEx>
          <w:tblCellMar>
            <w:top w:w="0" w:type="dxa"/>
            <w:left w:w="108" w:type="dxa"/>
            <w:bottom w:w="0" w:type="dxa"/>
            <w:right w:w="108" w:type="dxa"/>
          </w:tblCellMar>
        </w:tblPrEx>
        <w:trPr>
          <w:trHeight w:val="473"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④</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图像存储量</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≥400,000幅无压缩图像（512×512）</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⑤</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同步处理功能</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具有</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⑥</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同步同屏显示不同方式后处理的图像</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具有</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⑦</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同步摄片</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具有</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⑧</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高分辨率显示器</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≥19英寸LCD（1024× 1280）</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5</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扫描参数</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①</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扫描时间</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≤0.8s/360度</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②</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扫描速度可选范围</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≥6种 （提供具体扫描速度值）</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③</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最大扫描视野FOV</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50cm</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④</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定位像长度</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≥100cm</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⑤</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定位像方向</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后前，前后，左右侧位，任意角度</w:t>
            </w:r>
          </w:p>
        </w:tc>
      </w:tr>
      <w:tr>
        <w:tblPrEx>
          <w:tblCellMar>
            <w:top w:w="0" w:type="dxa"/>
            <w:left w:w="108" w:type="dxa"/>
            <w:bottom w:w="0" w:type="dxa"/>
            <w:right w:w="108" w:type="dxa"/>
          </w:tblCellMar>
        </w:tblPrEx>
        <w:trPr>
          <w:trHeight w:val="500" w:hRule="atLeast"/>
        </w:trPr>
        <w:tc>
          <w:tcPr>
            <w:tcW w:w="694" w:type="pct"/>
            <w:vMerge w:val="restar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⑥</w:t>
            </w:r>
          </w:p>
        </w:tc>
        <w:tc>
          <w:tcPr>
            <w:tcW w:w="1619" w:type="pct"/>
            <w:vMerge w:val="restar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空间分辨率</w:t>
            </w:r>
          </w:p>
        </w:tc>
        <w:tc>
          <w:tcPr>
            <w:tcW w:w="2686" w:type="pct"/>
            <w:vMerge w:val="restar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≥15LP/cm (0%MTF)</w:t>
            </w:r>
          </w:p>
        </w:tc>
      </w:tr>
      <w:tr>
        <w:tblPrEx>
          <w:tblCellMar>
            <w:top w:w="0" w:type="dxa"/>
            <w:left w:w="108" w:type="dxa"/>
            <w:bottom w:w="0" w:type="dxa"/>
            <w:right w:w="108" w:type="dxa"/>
          </w:tblCellMar>
        </w:tblPrEx>
        <w:trPr>
          <w:trHeight w:val="312" w:hRule="atLeast"/>
        </w:trPr>
        <w:tc>
          <w:tcPr>
            <w:tcW w:w="694" w:type="pct"/>
            <w:vMerge w:val="continue"/>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p>
        </w:tc>
        <w:tc>
          <w:tcPr>
            <w:tcW w:w="1619" w:type="pct"/>
            <w:vMerge w:val="continue"/>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p>
        </w:tc>
        <w:tc>
          <w:tcPr>
            <w:tcW w:w="2686" w:type="pct"/>
            <w:vMerge w:val="continue"/>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⑦</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密度分辨率</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≤5mm@0.3% 10mGy</w:t>
            </w:r>
          </w:p>
        </w:tc>
      </w:tr>
      <w:tr>
        <w:tblPrEx>
          <w:tblCellMar>
            <w:top w:w="0" w:type="dxa"/>
            <w:left w:w="108" w:type="dxa"/>
            <w:bottom w:w="0" w:type="dxa"/>
            <w:right w:w="108" w:type="dxa"/>
          </w:tblCellMar>
        </w:tblPrEx>
        <w:trPr>
          <w:trHeight w:val="68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⑧</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图像重建速度</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≥16幅/秒(任意层厚，512×512矩阵)</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6</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临床应用软件</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①</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MPR</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有</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②</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MPVR</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有</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③</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3D软件包</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有</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④</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最大密度投影MIP</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有</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⑤</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最小密度投影MinIP</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有</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⑥</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三维容积显示 (Volume Rendering)</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有</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⑦</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三维血管CTA</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有</w:t>
            </w:r>
          </w:p>
        </w:tc>
      </w:tr>
      <w:tr>
        <w:tblPrEx>
          <w:tblCellMar>
            <w:top w:w="0" w:type="dxa"/>
            <w:left w:w="108" w:type="dxa"/>
            <w:bottom w:w="0" w:type="dxa"/>
            <w:right w:w="108" w:type="dxa"/>
          </w:tblCellMar>
        </w:tblPrEx>
        <w:trPr>
          <w:trHeight w:val="1060" w:hRule="atLeast"/>
        </w:trPr>
        <w:tc>
          <w:tcPr>
            <w:tcW w:w="6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⑧</w:t>
            </w:r>
          </w:p>
        </w:tc>
        <w:tc>
          <w:tcPr>
            <w:tcW w:w="16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仿真内窥镜功能</w:t>
            </w:r>
          </w:p>
        </w:tc>
        <w:tc>
          <w:tcPr>
            <w:tcW w:w="268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要求该功能可同时显示管腔器官的内部、腔壁和外部,并可作动态内窥镜(即模拟飞行)</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⑨</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CT电影</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具备</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⑩</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造影剂智能动态跟踪</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一次注射完成</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⑪</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螺旋扫描降噪软件</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有</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⑫</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肺纹理增强软件</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有</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⑬</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运动伪影校正软件</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有</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⑭</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条状伪影消除软件</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有</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⑮</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后颅窝伪影校正软件</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有</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⑯</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焦点自动跟踪功能</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球管准直器可自动跟踪焦点轨迹</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⑰</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X射线优化滤过功能及装置</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有</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⑱</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提供软件名称及硬件配置</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有</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⑲</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呼吸控制图形提示</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具备</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⑳</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呼吸控制语音提示</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具备</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㉑</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低剂量扫描功能</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有，可达到最低10mA的扫描剂量</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㉒</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Dicom3.0 数字接口</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具备</w:t>
            </w:r>
          </w:p>
        </w:tc>
      </w:tr>
      <w:tr>
        <w:tblPrEx>
          <w:tblCellMar>
            <w:top w:w="0" w:type="dxa"/>
            <w:left w:w="108" w:type="dxa"/>
            <w:bottom w:w="0" w:type="dxa"/>
            <w:right w:w="108" w:type="dxa"/>
          </w:tblCellMar>
        </w:tblPrEx>
        <w:trPr>
          <w:trHeight w:val="638"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7</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高级独立影像后处理系统</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p>
        </w:tc>
      </w:tr>
      <w:tr>
        <w:tblPrEx>
          <w:tblCellMar>
            <w:top w:w="0" w:type="dxa"/>
            <w:left w:w="108" w:type="dxa"/>
            <w:bottom w:w="0" w:type="dxa"/>
            <w:right w:w="108" w:type="dxa"/>
          </w:tblCellMar>
        </w:tblPrEx>
        <w:trPr>
          <w:trHeight w:val="6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①</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处理系统</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要求厂家必须提供原厂后处理系统</w:t>
            </w:r>
          </w:p>
        </w:tc>
      </w:tr>
      <w:tr>
        <w:tblPrEx>
          <w:tblCellMar>
            <w:top w:w="0" w:type="dxa"/>
            <w:left w:w="108" w:type="dxa"/>
            <w:bottom w:w="0" w:type="dxa"/>
            <w:right w:w="108" w:type="dxa"/>
          </w:tblCellMar>
        </w:tblPrEx>
        <w:trPr>
          <w:trHeight w:val="6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②</w:t>
            </w:r>
          </w:p>
        </w:tc>
        <w:tc>
          <w:tcPr>
            <w:tcW w:w="161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图文工作站</w:t>
            </w:r>
          </w:p>
        </w:tc>
        <w:tc>
          <w:tcPr>
            <w:tcW w:w="268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2台</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③</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配备高级后处理服务器</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具备</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④</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工作站主频</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≥4×2.8 GHz</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⑤</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工作站内存</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≥6GB</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⑥</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工作站硬盘容量</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≥1.5T</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⑦</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图像存储量</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≥1500000幅图像（512×512）</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8</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其它</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b/>
                <w:bCs/>
                <w:i w:val="0"/>
                <w:iCs w:val="0"/>
                <w:color w:val="auto"/>
                <w:kern w:val="0"/>
                <w:sz w:val="24"/>
                <w:szCs w:val="24"/>
                <w:highlight w:val="none"/>
                <w:u w:val="none"/>
                <w:lang w:val="en-US" w:eastAsia="zh-CN" w:bidi="ar"/>
              </w:rPr>
            </w:pP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①</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双筒高压注射器 </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1台</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bookmarkStart w:id="174" w:name="_Hlk56361114"/>
            <w:r>
              <w:rPr>
                <w:rFonts w:hint="eastAsia" w:ascii="仿宋" w:hAnsi="仿宋" w:eastAsia="仿宋" w:cs="仿宋"/>
                <w:i w:val="0"/>
                <w:iCs w:val="0"/>
                <w:color w:val="auto"/>
                <w:kern w:val="0"/>
                <w:sz w:val="24"/>
                <w:szCs w:val="24"/>
                <w:highlight w:val="none"/>
                <w:u w:val="none"/>
                <w:lang w:val="en-US" w:eastAsia="zh-CN" w:bidi="ar"/>
              </w:rPr>
              <w:t>a</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语音提示</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智能化语音提示</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b</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注射模式</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智能化模式</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c</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注射模式</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单筒注射模式</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d</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注射模式</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双筒注射模式</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②</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4M医用显示器 </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2台</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a</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显示器采用新型LED背光</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具备</w:t>
            </w:r>
          </w:p>
        </w:tc>
      </w:tr>
      <w:tr>
        <w:tblPrEx>
          <w:tblCellMar>
            <w:top w:w="0" w:type="dxa"/>
            <w:left w:w="108" w:type="dxa"/>
            <w:bottom w:w="0" w:type="dxa"/>
            <w:right w:w="108" w:type="dxa"/>
          </w:tblCellMar>
        </w:tblPrEx>
        <w:trPr>
          <w:trHeight w:val="508"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b</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分辨率≥2560*1440</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具备</w:t>
            </w:r>
          </w:p>
        </w:tc>
      </w:tr>
      <w:tr>
        <w:tblPrEx>
          <w:tblCellMar>
            <w:top w:w="0" w:type="dxa"/>
            <w:left w:w="108" w:type="dxa"/>
            <w:bottom w:w="0" w:type="dxa"/>
            <w:right w:w="108" w:type="dxa"/>
          </w:tblCellMar>
        </w:tblPrEx>
        <w:trPr>
          <w:trHeight w:val="500" w:hRule="atLeast"/>
        </w:trPr>
        <w:tc>
          <w:tcPr>
            <w:tcW w:w="694"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c</w:t>
            </w:r>
          </w:p>
        </w:tc>
        <w:tc>
          <w:tcPr>
            <w:tcW w:w="1619"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尺寸≧27英寸</w:t>
            </w:r>
          </w:p>
        </w:tc>
        <w:tc>
          <w:tcPr>
            <w:tcW w:w="2686" w:type="pct"/>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具备</w:t>
            </w:r>
          </w:p>
        </w:tc>
      </w:tr>
      <w:bookmarkEnd w:id="174"/>
    </w:tbl>
    <w:p>
      <w:pPr>
        <w:pStyle w:val="4"/>
        <w:spacing w:before="0" w:after="0" w:line="300" w:lineRule="auto"/>
        <w:rPr>
          <w:rFonts w:hint="eastAsia" w:ascii="仿宋" w:hAnsi="仿宋" w:eastAsia="仿宋" w:cs="仿宋"/>
          <w:color w:val="auto"/>
          <w:sz w:val="24"/>
          <w:szCs w:val="24"/>
          <w:highlight w:val="none"/>
        </w:rPr>
      </w:pPr>
      <w:r>
        <w:rPr>
          <w:rFonts w:hint="eastAsia" w:ascii="仿宋" w:hAnsi="仿宋" w:eastAsia="仿宋" w:cs="仿宋"/>
          <w:color w:val="auto"/>
          <w:kern w:val="0"/>
          <w:sz w:val="30"/>
          <w:szCs w:val="30"/>
          <w:highlight w:val="none"/>
          <w:lang w:bidi="ar"/>
        </w:rPr>
        <w:t>*</w:t>
      </w:r>
      <w:r>
        <w:rPr>
          <w:rFonts w:hint="eastAsia" w:ascii="仿宋" w:hAnsi="仿宋" w:eastAsia="仿宋" w:cs="仿宋"/>
          <w:color w:val="auto"/>
          <w:sz w:val="24"/>
          <w:szCs w:val="24"/>
          <w:highlight w:val="none"/>
          <w:lang w:val="en-US" w:eastAsia="zh-CN"/>
        </w:rPr>
        <w:t>三</w:t>
      </w:r>
      <w:r>
        <w:rPr>
          <w:rFonts w:hint="eastAsia" w:ascii="仿宋" w:hAnsi="仿宋" w:eastAsia="仿宋" w:cs="仿宋"/>
          <w:b/>
          <w:color w:val="auto"/>
          <w:sz w:val="24"/>
          <w:szCs w:val="24"/>
          <w:highlight w:val="none"/>
          <w:lang w:val="en-US" w:eastAsia="zh-CN"/>
        </w:rPr>
        <w:t>、</w:t>
      </w:r>
      <w:r>
        <w:rPr>
          <w:rFonts w:hint="eastAsia" w:ascii="仿宋" w:hAnsi="仿宋" w:eastAsia="仿宋" w:cs="仿宋"/>
          <w:color w:val="auto"/>
          <w:sz w:val="24"/>
          <w:szCs w:val="24"/>
          <w:highlight w:val="none"/>
        </w:rPr>
        <w:t>商务要求</w:t>
      </w:r>
      <w:r>
        <w:rPr>
          <w:rFonts w:hint="eastAsia" w:ascii="仿宋" w:hAnsi="仿宋" w:eastAsia="仿宋" w:cs="仿宋"/>
          <w:color w:val="auto"/>
          <w:sz w:val="24"/>
          <w:highlight w:val="none"/>
          <w:lang w:val="en-US" w:eastAsia="zh-CN"/>
        </w:rPr>
        <w:t>（提供响应承诺函）</w:t>
      </w:r>
      <w:bookmarkStart w:id="221" w:name="_GoBack"/>
      <w:bookmarkEnd w:id="221"/>
    </w:p>
    <w:p>
      <w:pPr>
        <w:spacing w:after="0" w:line="360" w:lineRule="auto"/>
        <w:ind w:firstLine="482" w:firstLineChars="200"/>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lang w:eastAsia="zh-CN"/>
        </w:rPr>
        <w:t>（</w:t>
      </w:r>
      <w:r>
        <w:rPr>
          <w:rFonts w:hint="eastAsia" w:ascii="仿宋" w:hAnsi="仿宋" w:eastAsia="仿宋" w:cs="仿宋"/>
          <w:b/>
          <w:bCs w:val="0"/>
          <w:color w:val="auto"/>
          <w:sz w:val="24"/>
          <w:highlight w:val="none"/>
          <w:lang w:val="en-US" w:eastAsia="zh-CN"/>
        </w:rPr>
        <w:t>一</w:t>
      </w:r>
      <w:r>
        <w:rPr>
          <w:rFonts w:hint="eastAsia" w:ascii="仿宋" w:hAnsi="仿宋" w:eastAsia="仿宋" w:cs="仿宋"/>
          <w:b/>
          <w:bCs w:val="0"/>
          <w:color w:val="auto"/>
          <w:sz w:val="24"/>
          <w:highlight w:val="none"/>
          <w:lang w:eastAsia="zh-CN"/>
        </w:rPr>
        <w:t>）</w:t>
      </w:r>
      <w:r>
        <w:rPr>
          <w:rFonts w:hint="eastAsia" w:ascii="仿宋" w:hAnsi="仿宋" w:eastAsia="仿宋" w:cs="仿宋"/>
          <w:b/>
          <w:bCs w:val="0"/>
          <w:color w:val="auto"/>
          <w:sz w:val="24"/>
          <w:highlight w:val="none"/>
        </w:rPr>
        <w:t>交货期及地点</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交货期：合同签订生效后</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 xml:space="preserve">日内送到采购人现场，随即在 </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 xml:space="preserve"> 日内全部完成安装调试并通知</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初步验收。</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交货地点:</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01包</w:t>
      </w:r>
      <w:r>
        <w:rPr>
          <w:rFonts w:hint="eastAsia" w:ascii="仿宋" w:hAnsi="仿宋" w:eastAsia="仿宋" w:cs="仿宋"/>
          <w:color w:val="auto"/>
          <w:sz w:val="24"/>
          <w:highlight w:val="none"/>
          <w:lang w:eastAsia="zh-CN"/>
        </w:rPr>
        <w:t>医用血管造影</w:t>
      </w:r>
      <w:r>
        <w:rPr>
          <w:rFonts w:hint="eastAsia" w:ascii="仿宋" w:hAnsi="仿宋" w:eastAsia="仿宋" w:cs="仿宋"/>
          <w:color w:val="auto"/>
          <w:sz w:val="24"/>
          <w:highlight w:val="none"/>
          <w:lang w:val="en-US" w:eastAsia="zh-CN"/>
        </w:rPr>
        <w:t>X射线机交货地点:</w:t>
      </w:r>
      <w:r>
        <w:rPr>
          <w:rFonts w:hint="eastAsia" w:ascii="仿宋" w:hAnsi="仿宋" w:eastAsia="仿宋" w:cs="仿宋"/>
          <w:color w:val="auto"/>
          <w:sz w:val="24"/>
          <w:highlight w:val="none"/>
        </w:rPr>
        <w:t>成都市双流区东升街道</w:t>
      </w:r>
      <w:r>
        <w:rPr>
          <w:rFonts w:hint="eastAsia" w:ascii="仿宋" w:hAnsi="仿宋" w:eastAsia="仿宋" w:cs="仿宋"/>
          <w:color w:val="auto"/>
          <w:sz w:val="24"/>
          <w:highlight w:val="none"/>
          <w:lang w:val="en-US" w:eastAsia="zh-CN"/>
        </w:rPr>
        <w:t xml:space="preserve">花园路二段300号 </w:t>
      </w:r>
      <w:r>
        <w:rPr>
          <w:rFonts w:hint="eastAsia" w:ascii="仿宋" w:hAnsi="仿宋" w:eastAsia="仿宋" w:cs="仿宋"/>
          <w:color w:val="auto"/>
          <w:sz w:val="24"/>
          <w:highlight w:val="none"/>
        </w:rPr>
        <w:t>成都市双流区中医医院花园院区。</w:t>
      </w:r>
    </w:p>
    <w:p>
      <w:pPr>
        <w:spacing w:after="0"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02包电子计算机断层扫描设备交货地点：成都市双流区东升街道淳化街205号 成都市双流区中医医院淳化院区。</w:t>
      </w:r>
    </w:p>
    <w:p>
      <w:pPr>
        <w:numPr>
          <w:ilvl w:val="0"/>
          <w:numId w:val="0"/>
        </w:numPr>
        <w:spacing w:after="0"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val="0"/>
          <w:color w:val="auto"/>
          <w:sz w:val="24"/>
          <w:highlight w:val="none"/>
          <w:lang w:eastAsia="zh-CN"/>
        </w:rPr>
        <w:t>（二）</w:t>
      </w:r>
      <w:r>
        <w:rPr>
          <w:rFonts w:hint="eastAsia" w:ascii="仿宋" w:hAnsi="仿宋" w:eastAsia="仿宋" w:cs="仿宋"/>
          <w:b/>
          <w:bCs/>
          <w:color w:val="auto"/>
          <w:sz w:val="24"/>
          <w:highlight w:val="none"/>
        </w:rPr>
        <w:t>付款方法和条件</w:t>
      </w:r>
    </w:p>
    <w:p>
      <w:pPr>
        <w:spacing w:after="0"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合同签订后5个工作日内支付合同总价款的30%作为预付款。设备安装调试完毕经初步验收合格，进入30日试用期；试用期间发生重大质量问题，采购人有权要求中标人进行更换或修复，更换或修复后重新计算试用期；试用期结束后 15 日内采购人进行最终验收；最终验收合格后半年，采购人在接到中标人书面付款申请、合法有效完整的完税发票与凭证资料，支付合同总价款的40%。一年合同期满且货物无质量问题、中标方无其他违约责任支付剩余30%合同金额。</w:t>
      </w:r>
    </w:p>
    <w:p>
      <w:pPr>
        <w:spacing w:after="0" w:line="360" w:lineRule="auto"/>
        <w:ind w:firstLine="482" w:firstLineChars="200"/>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（三）质保要求</w:t>
      </w:r>
    </w:p>
    <w:p>
      <w:pPr>
        <w:spacing w:after="0"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质保期为设备验收合格后1年。其中，医用血管造影X射线机在整机质保期满一年后，再提供一年上门技术服务，费用包含在报价内。质保期内出现质量问题，中标方在接到通知后2小时内响应，24小时内赶到项目现场，并提出解决方案，修理调换费用由中标方承担。如货物经中标方3次维修仍不能达到本合同约定的质量标准，视作中标方未能按时交货，采购人有权退货并追究中标方的违约责任。货到现场后由于采购人保管不当造成的问题，中标方亦应负责修复，但费用由采购人负担。</w:t>
      </w:r>
    </w:p>
    <w:p>
      <w:pPr>
        <w:spacing w:after="0" w:line="360" w:lineRule="auto"/>
        <w:ind w:firstLine="482" w:firstLineChars="200"/>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（四）其他要求</w:t>
      </w:r>
    </w:p>
    <w:p>
      <w:pPr>
        <w:spacing w:after="0"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为充分保证设备有效期使用期，其生产日期距货交采购人日期不得超过半年。 </w:t>
      </w:r>
    </w:p>
    <w:p>
      <w:pPr>
        <w:pStyle w:val="18"/>
        <w:numPr>
          <w:ilvl w:val="0"/>
          <w:numId w:val="0"/>
        </w:numPr>
        <w:rPr>
          <w:rFonts w:hint="eastAsia" w:ascii="仿宋" w:hAnsi="仿宋" w:eastAsia="仿宋" w:cs="仿宋"/>
          <w:color w:val="auto"/>
          <w:highlight w:val="none"/>
          <w:lang w:val="en-US" w:eastAsia="zh-CN"/>
        </w:rPr>
      </w:pPr>
    </w:p>
    <w:p>
      <w:pPr>
        <w:pStyle w:val="3"/>
        <w:spacing w:before="0" w:after="0" w:line="360" w:lineRule="auto"/>
        <w:jc w:val="center"/>
        <w:rPr>
          <w:rFonts w:hint="eastAsia" w:ascii="仿宋" w:hAnsi="仿宋" w:eastAsia="仿宋" w:cs="仿宋"/>
          <w:color w:val="auto"/>
          <w:sz w:val="24"/>
          <w:highlight w:val="none"/>
        </w:rPr>
      </w:pPr>
      <w:r>
        <w:rPr>
          <w:rFonts w:hint="eastAsia" w:ascii="仿宋" w:hAnsi="仿宋" w:eastAsia="仿宋" w:cs="仿宋"/>
          <w:color w:val="auto"/>
          <w:highlight w:val="none"/>
        </w:rPr>
        <w:br w:type="page"/>
      </w:r>
      <w:bookmarkStart w:id="175" w:name="_Toc17068"/>
      <w:r>
        <w:rPr>
          <w:rFonts w:hint="eastAsia" w:ascii="仿宋" w:hAnsi="仿宋" w:eastAsia="仿宋" w:cs="仿宋"/>
          <w:color w:val="auto"/>
          <w:highlight w:val="none"/>
        </w:rPr>
        <w:t>第五章  资格性审查</w:t>
      </w:r>
      <w:bookmarkEnd w:id="169"/>
      <w:bookmarkEnd w:id="170"/>
      <w:bookmarkEnd w:id="175"/>
    </w:p>
    <w:p>
      <w:pPr>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公开招标采购项目开标结束后，采购人或者采购代理机构应当依法对投标人的资格进行审查。依据法律法规和本招标文件的规定，对投标文件是否按照规定要求提供资格性证明材料、是否按照规定交纳投标保证金，以确定投标供应商是否具备投标资格。资格性审查时因断电、断网、系统故障或其他不可抗力等因素，导致资格审查小组无法通过系统阅读投标文件进行审查的，待系统恢复后继续审查。出现上述情况时，采购代理机构将通知各投标人。</w:t>
      </w:r>
    </w:p>
    <w:p>
      <w:pPr>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2.资格性审查标准见下表：</w:t>
      </w:r>
    </w:p>
    <w:tbl>
      <w:tblPr>
        <w:tblStyle w:val="34"/>
        <w:tblW w:w="89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848"/>
        <w:gridCol w:w="6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dxa"/>
            <w:gridSpan w:val="2"/>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资格性审查项</w:t>
            </w:r>
          </w:p>
        </w:tc>
        <w:tc>
          <w:tcPr>
            <w:tcW w:w="6451"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jc w:val="center"/>
              <w:rPr>
                <w:rFonts w:hint="eastAsia" w:ascii="仿宋" w:hAnsi="仿宋" w:eastAsia="仿宋" w:cs="仿宋"/>
                <w:color w:val="auto"/>
                <w:szCs w:val="21"/>
                <w:highlight w:val="none"/>
              </w:rPr>
            </w:pPr>
            <w:r>
              <w:rPr>
                <w:rFonts w:hint="eastAsia" w:ascii="仿宋" w:hAnsi="仿宋" w:eastAsia="仿宋" w:cs="仿宋"/>
                <w:b/>
                <w:color w:val="auto"/>
                <w:szCs w:val="21"/>
                <w:highlight w:val="none"/>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848"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具有独立承担民事责任的能力</w:t>
            </w:r>
          </w:p>
        </w:tc>
        <w:tc>
          <w:tcPr>
            <w:tcW w:w="6451"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供应商若为企业法人：提供“统一社会信用代码营业执照”；未换证的提供“营业执照、税务登记证、组织机构代码证或三证合一的营业执照”；</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若为事业法人：提供“统一社会信用代码法人登记证书”；未换证的提交“事业法人登记证书、组织机构代码证”；</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若为其他组织：提供“对应主管部门颁发的准许执业证明文件或营业执照”；</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若为自然人：提供“身份证明材料”。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1848"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具有良好的商业信誉</w:t>
            </w:r>
          </w:p>
        </w:tc>
        <w:tc>
          <w:tcPr>
            <w:tcW w:w="6451"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提供具有良好的商业信誉的承诺函。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1848"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具有健全的财务会计制度的证明材料</w:t>
            </w:r>
          </w:p>
        </w:tc>
        <w:tc>
          <w:tcPr>
            <w:tcW w:w="6451"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可提供2019或2020年经审计的财务报告复印件（至少包含审计报告和审计报告中所涉及的财务报表和报表附注）；</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也可提供2019或2020年度供应商内部的财务报表复印件（至少包含资产负债表）；</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也可提供距文件递交截止日一年内银行出具的资信证明（复印件）；</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供应商注册时间至文件递交截止日不足1年的，也可提供在工商备案的公司章程（复印件）。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1848"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具有依法缴纳税收和社会保障资金的良好记录</w:t>
            </w:r>
          </w:p>
        </w:tc>
        <w:tc>
          <w:tcPr>
            <w:tcW w:w="6451"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rPr>
              <w:t>提供具有依法缴纳税收和社会保障资金的良好记录的承诺函。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p>
        </w:tc>
        <w:tc>
          <w:tcPr>
            <w:tcW w:w="1848"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具有履行合同所必需的设备和专业技术能力</w:t>
            </w:r>
          </w:p>
        </w:tc>
        <w:tc>
          <w:tcPr>
            <w:tcW w:w="6451"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提供具有履行合同所必需的设备和专业技术能力的承诺函。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1848"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参加政府采购活动前3年内在经营活动中没有重大违法记录</w:t>
            </w:r>
          </w:p>
        </w:tc>
        <w:tc>
          <w:tcPr>
            <w:tcW w:w="6451"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提供参加政府采购活动前3年内在经营活动中没有重大违法记录的承诺函。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7</w:t>
            </w:r>
          </w:p>
        </w:tc>
        <w:tc>
          <w:tcPr>
            <w:tcW w:w="1848"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符合法律、行政法规规定的其他条件</w:t>
            </w:r>
          </w:p>
        </w:tc>
        <w:tc>
          <w:tcPr>
            <w:tcW w:w="6451"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提供符合法律、行政法规规定的其他条件的承诺函。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8</w:t>
            </w:r>
          </w:p>
        </w:tc>
        <w:tc>
          <w:tcPr>
            <w:tcW w:w="1848"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根据采购项目提出的特殊条件</w:t>
            </w:r>
          </w:p>
        </w:tc>
        <w:tc>
          <w:tcPr>
            <w:tcW w:w="6451" w:type="dxa"/>
            <w:tcBorders>
              <w:top w:val="single" w:color="auto" w:sz="2" w:space="0"/>
              <w:left w:val="single" w:color="auto" w:sz="2" w:space="0"/>
              <w:bottom w:val="single" w:color="auto" w:sz="2" w:space="0"/>
              <w:right w:val="single" w:color="auto" w:sz="2" w:space="0"/>
            </w:tcBorders>
            <w:noWrap w:val="0"/>
            <w:vAlign w:val="center"/>
          </w:tcPr>
          <w:p>
            <w:pPr>
              <w:pStyle w:val="2"/>
              <w:rPr>
                <w:rFonts w:hint="eastAsia" w:ascii="仿宋" w:hAnsi="仿宋" w:eastAsia="仿宋" w:cs="仿宋"/>
                <w:color w:val="auto"/>
                <w:highlight w:val="none"/>
                <w:lang w:val="en-US"/>
              </w:rPr>
            </w:pPr>
            <w:r>
              <w:rPr>
                <w:rFonts w:hint="eastAsia" w:ascii="仿宋" w:hAnsi="仿宋" w:eastAsia="仿宋" w:cs="仿宋"/>
                <w:color w:val="auto"/>
                <w:kern w:val="2"/>
                <w:sz w:val="21"/>
                <w:szCs w:val="24"/>
                <w:highlight w:val="none"/>
                <w:lang w:val="en-US" w:eastAsia="zh-CN" w:bidi="ar-SA"/>
              </w:rPr>
              <w:t>1.若投标产品中有医疗器械的，所投医疗器械须符合《医疗器械注册管理办法》等政策法规要求并具有中华人民共和国医疗器械注册或备案凭证；投标人须符合《医疗器械监督管理条例》等政策法规要求并具有医疗器械生产许可证或者医疗器械经营许可/备案凭证。（提供相关证明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9</w:t>
            </w:r>
          </w:p>
        </w:tc>
        <w:tc>
          <w:tcPr>
            <w:tcW w:w="1848"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参加本次投标活动代表的证明材料</w:t>
            </w:r>
          </w:p>
        </w:tc>
        <w:tc>
          <w:tcPr>
            <w:tcW w:w="6451"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法定代表人/单位负责人授权书原件及法定代表人/单位负责人、授权代表身份证明材料复印件（法定代表人/单位负责人授权他人参与投标时需要提供）。</w:t>
            </w:r>
          </w:p>
          <w:p>
            <w:pPr>
              <w:tabs>
                <w:tab w:val="left" w:pos="851"/>
              </w:tabs>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法定代表人/单位负责人证明书原件及法定代表人/单位负责人身份证明材料复印件（法定代表人/单位负责人亲自参加投标时需要提供）。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10</w:t>
            </w:r>
          </w:p>
        </w:tc>
        <w:tc>
          <w:tcPr>
            <w:tcW w:w="1848"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信用信息查询</w:t>
            </w:r>
          </w:p>
        </w:tc>
        <w:tc>
          <w:tcPr>
            <w:tcW w:w="6451"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采购人/采购代理机构将通过“信用中国”网站（www.creditchina.gov.cn）、“中国政府采购网”网站（www.ccgp.gov.cn）等渠道查询供应商在开标之日前的信用记录，拒绝列入失信被执行人名单、重大税收违法案件当事人名单、政府采购严重违法失信行为记录名单中的供应商参加本项目投标。【说明：供应商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11</w:t>
            </w:r>
          </w:p>
        </w:tc>
        <w:tc>
          <w:tcPr>
            <w:tcW w:w="1848"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不属于其他国家相关法律法规规定的禁止参加投标的供应商</w:t>
            </w:r>
          </w:p>
        </w:tc>
        <w:tc>
          <w:tcPr>
            <w:tcW w:w="6451"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根据招标文件的要求不属于禁止参加投标或投标无效的供应商；</w:t>
            </w:r>
          </w:p>
          <w:p>
            <w:pPr>
              <w:tabs>
                <w:tab w:val="left" w:pos="851"/>
              </w:tabs>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资格审查小组未发现或者未知晓投标人存在属于国家相关法律法规规定的禁止参加投标或投标无效的供应商。</w:t>
            </w:r>
          </w:p>
          <w:p>
            <w:pPr>
              <w:tabs>
                <w:tab w:val="left" w:pos="851"/>
              </w:tabs>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【说明：供应商无须提供证明材料，上传空白页即可，不对本项上传的材料作资格审查】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12</w:t>
            </w:r>
          </w:p>
        </w:tc>
        <w:tc>
          <w:tcPr>
            <w:tcW w:w="1848"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投标文件资格性审查部分签章</w:t>
            </w:r>
          </w:p>
        </w:tc>
        <w:tc>
          <w:tcPr>
            <w:tcW w:w="6451"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均按招标文件要求签章。【说明：供应商无须提供证明材料，上传空白页即可，不对本项上传的材料作资格审查】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13</w:t>
            </w:r>
          </w:p>
        </w:tc>
        <w:tc>
          <w:tcPr>
            <w:tcW w:w="1848"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投标文件资格性审查部分的语言</w:t>
            </w:r>
          </w:p>
        </w:tc>
        <w:tc>
          <w:tcPr>
            <w:tcW w:w="6451"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语言符合招标文件的要求。【说明：供应商无须提供证明材料，上传空白页即可，不对本项上传的材料作资格审查】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14</w:t>
            </w:r>
          </w:p>
        </w:tc>
        <w:tc>
          <w:tcPr>
            <w:tcW w:w="1848"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联合体投标</w:t>
            </w:r>
          </w:p>
        </w:tc>
        <w:tc>
          <w:tcPr>
            <w:tcW w:w="6451"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非联合体投标。【说明：供应商无须提供证明材料，上传空白页即可，不对本项上传的材料作资格审查】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8" w:type="dxa"/>
            <w:gridSpan w:val="3"/>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注：以上证明材料均需加盖公章。</w:t>
            </w:r>
          </w:p>
        </w:tc>
      </w:tr>
    </w:tbl>
    <w:p>
      <w:pPr>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4.“信用中国”和“中国政府采购网”网站查询结果，将以纸质截图或将截图保存至电子介质的形式留存。</w:t>
      </w:r>
    </w:p>
    <w:p>
      <w:pPr>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5.通过资格性审查的供应商＜3名，本次采购失败。</w:t>
      </w:r>
    </w:p>
    <w:p>
      <w:pPr>
        <w:spacing w:after="0" w:line="360" w:lineRule="auto"/>
        <w:jc w:val="center"/>
        <w:outlineLvl w:val="0"/>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br w:type="page"/>
      </w:r>
      <w:bookmarkStart w:id="176" w:name="_Toc19078"/>
      <w:bookmarkStart w:id="177" w:name="_Toc24701_WPSOffice_Level1"/>
      <w:bookmarkStart w:id="178" w:name="_Toc31371"/>
      <w:r>
        <w:rPr>
          <w:rFonts w:hint="eastAsia" w:ascii="仿宋" w:hAnsi="仿宋" w:eastAsia="仿宋" w:cs="仿宋"/>
          <w:b/>
          <w:bCs/>
          <w:color w:val="auto"/>
          <w:sz w:val="44"/>
          <w:szCs w:val="44"/>
          <w:highlight w:val="none"/>
        </w:rPr>
        <w:t>第六章  评标办法</w:t>
      </w:r>
      <w:bookmarkEnd w:id="171"/>
      <w:bookmarkEnd w:id="172"/>
      <w:bookmarkEnd w:id="173"/>
      <w:bookmarkEnd w:id="176"/>
      <w:bookmarkEnd w:id="177"/>
      <w:bookmarkEnd w:id="178"/>
      <w:bookmarkStart w:id="179" w:name="_Hlt101846155"/>
      <w:bookmarkEnd w:id="179"/>
      <w:bookmarkStart w:id="180" w:name="_Toc183682415"/>
      <w:bookmarkStart w:id="181" w:name="_Toc208849007"/>
      <w:bookmarkStart w:id="182" w:name="_Toc183582280"/>
      <w:bookmarkStart w:id="183" w:name="_Toc217446097"/>
    </w:p>
    <w:p>
      <w:pPr>
        <w:pStyle w:val="4"/>
        <w:spacing w:before="0" w:after="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 总则</w:t>
      </w:r>
      <w:bookmarkEnd w:id="180"/>
      <w:bookmarkEnd w:id="181"/>
      <w:bookmarkEnd w:id="182"/>
      <w:bookmarkEnd w:id="183"/>
    </w:p>
    <w:p>
      <w:pPr>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 根据《中华人民共和国政府采购法》、《中华人民共和国政府采购法实施条例》、《政府采购货物和服务招标投标管理办法》等法律制度，结合采购项目特点制定本评标办法。</w:t>
      </w:r>
    </w:p>
    <w:p>
      <w:pPr>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评标工作由采购代理机构负责组织，具体评标事务由采购代理机构依法组建的评标委员会负责。评标委员会由采购人代表和有关技术、经济、法律等方面的专家组成。</w:t>
      </w:r>
    </w:p>
    <w:p>
      <w:pPr>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评标工作应遵循公平、公正、科学及择优的原则，并以相同的评标程序和标准对待所有的投标人。</w:t>
      </w:r>
    </w:p>
    <w:p>
      <w:pPr>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 评标委员会按照招标文件规定的评标方法和标准进行评标，并独立履行下列职责：</w:t>
      </w:r>
    </w:p>
    <w:p>
      <w:pPr>
        <w:spacing w:after="0" w:line="360" w:lineRule="auto"/>
        <w:ind w:firstLine="480" w:firstLineChars="200"/>
        <w:jc w:val="left"/>
        <w:rPr>
          <w:rFonts w:hint="eastAsia" w:ascii="仿宋" w:hAnsi="仿宋" w:eastAsia="仿宋" w:cs="仿宋"/>
          <w:color w:val="auto"/>
          <w:sz w:val="24"/>
          <w:highlight w:val="none"/>
        </w:rPr>
      </w:pPr>
      <w:bookmarkStart w:id="184" w:name="_Toc217446098"/>
      <w:r>
        <w:rPr>
          <w:rFonts w:hint="eastAsia" w:ascii="仿宋" w:hAnsi="仿宋" w:eastAsia="仿宋" w:cs="仿宋"/>
          <w:color w:val="auto"/>
          <w:sz w:val="24"/>
          <w:highlight w:val="none"/>
        </w:rPr>
        <w:t>（一）熟悉和理解招标文件；</w:t>
      </w:r>
    </w:p>
    <w:p>
      <w:pPr>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（二）审查供应商（已通过资格审查）的投标文件是否满足招标文件要求，并作出评价；</w:t>
      </w:r>
    </w:p>
    <w:p>
      <w:pPr>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（三）根据需要要求招标采购单位对招标文件作出解释；根据需要要求供应商对投标文件有关事项作出澄清、说明或者更正；</w:t>
      </w:r>
    </w:p>
    <w:p>
      <w:pPr>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（四）推荐中标候选供应商，或者受采购人委托确定中标供应商；</w:t>
      </w:r>
    </w:p>
    <w:p>
      <w:pPr>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（五）起草评标报告并进行签署；</w:t>
      </w:r>
    </w:p>
    <w:p>
      <w:pPr>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（六）向招标采购单位、财政部门或者其他监督部门报告非法干预评标工作的行为；</w:t>
      </w:r>
    </w:p>
    <w:p>
      <w:pPr>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（七）法律、法规和规章规定的其他职责。</w:t>
      </w:r>
    </w:p>
    <w:p>
      <w:pPr>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 评标过程独立、保密。投标人非法干预评标过程的行为将导致其投标文件作为无效处理。</w:t>
      </w:r>
    </w:p>
    <w:p>
      <w:pPr>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 评标委员会评价投标文件的响应性，对于投标人而言，除评标委员会要求其澄清、说明或者更正而提供的资料外，仅依据投标文件本身的内容，不寻求其他外部证据。</w:t>
      </w:r>
    </w:p>
    <w:p>
      <w:pPr>
        <w:pStyle w:val="4"/>
        <w:spacing w:before="0" w:after="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 评标</w:t>
      </w:r>
      <w:bookmarkEnd w:id="184"/>
      <w:r>
        <w:rPr>
          <w:rFonts w:hint="eastAsia" w:ascii="仿宋" w:hAnsi="仿宋" w:eastAsia="仿宋" w:cs="仿宋"/>
          <w:color w:val="auto"/>
          <w:sz w:val="24"/>
          <w:szCs w:val="24"/>
          <w:highlight w:val="none"/>
        </w:rPr>
        <w:t>方法</w:t>
      </w:r>
    </w:p>
    <w:p>
      <w:pPr>
        <w:spacing w:after="0" w:line="360" w:lineRule="auto"/>
        <w:ind w:firstLine="480" w:firstLineChars="200"/>
        <w:rPr>
          <w:rFonts w:hint="eastAsia" w:ascii="仿宋" w:hAnsi="仿宋" w:eastAsia="仿宋" w:cs="仿宋"/>
          <w:color w:val="auto"/>
          <w:sz w:val="24"/>
          <w:highlight w:val="none"/>
        </w:rPr>
      </w:pPr>
      <w:bookmarkStart w:id="185" w:name="_Toc217446099"/>
      <w:bookmarkStart w:id="186" w:name="_Toc217446103"/>
      <w:r>
        <w:rPr>
          <w:rFonts w:hint="eastAsia" w:ascii="仿宋" w:hAnsi="仿宋" w:eastAsia="仿宋" w:cs="仿宋"/>
          <w:color w:val="auto"/>
          <w:sz w:val="24"/>
          <w:highlight w:val="none"/>
        </w:rPr>
        <w:t>2.1本项目评标方法为：</w:t>
      </w:r>
      <w:r>
        <w:rPr>
          <w:rFonts w:hint="eastAsia" w:ascii="仿宋" w:hAnsi="仿宋" w:eastAsia="仿宋" w:cs="仿宋"/>
          <w:b/>
          <w:bCs/>
          <w:color w:val="auto"/>
          <w:sz w:val="24"/>
          <w:highlight w:val="none"/>
        </w:rPr>
        <w:t>综合评分法</w:t>
      </w:r>
      <w:r>
        <w:rPr>
          <w:rFonts w:hint="eastAsia" w:ascii="仿宋" w:hAnsi="仿宋" w:eastAsia="仿宋" w:cs="仿宋"/>
          <w:color w:val="auto"/>
          <w:sz w:val="24"/>
          <w:highlight w:val="none"/>
        </w:rPr>
        <w:t>。</w:t>
      </w:r>
    </w:p>
    <w:p>
      <w:pPr>
        <w:pStyle w:val="4"/>
        <w:spacing w:before="0" w:after="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 评标程序</w:t>
      </w:r>
    </w:p>
    <w:p>
      <w:pPr>
        <w:spacing w:after="0"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3.1符合性审查</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3.1.1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3.1.2符合性审查标准见下表（按以下顺序审查）：</w:t>
      </w:r>
    </w:p>
    <w:tbl>
      <w:tblPr>
        <w:tblStyle w:val="34"/>
        <w:tblW w:w="0" w:type="auto"/>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2006"/>
        <w:gridCol w:w="6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序号</w:t>
            </w:r>
          </w:p>
        </w:tc>
        <w:tc>
          <w:tcPr>
            <w:tcW w:w="2006"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符合性审查项</w:t>
            </w:r>
          </w:p>
        </w:tc>
        <w:tc>
          <w:tcPr>
            <w:tcW w:w="6594"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ind w:firstLine="426" w:firstLineChars="202"/>
              <w:rPr>
                <w:rFonts w:hint="eastAsia" w:ascii="仿宋" w:hAnsi="仿宋" w:eastAsia="仿宋" w:cs="仿宋"/>
                <w:color w:val="auto"/>
                <w:szCs w:val="21"/>
                <w:highlight w:val="none"/>
              </w:rPr>
            </w:pPr>
            <w:r>
              <w:rPr>
                <w:rFonts w:hint="eastAsia" w:ascii="仿宋" w:hAnsi="仿宋" w:eastAsia="仿宋" w:cs="仿宋"/>
                <w:b/>
                <w:color w:val="auto"/>
                <w:szCs w:val="21"/>
                <w:highlight w:val="none"/>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2006"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投标文件服务、商务及其他要求响应部分组成</w:t>
            </w:r>
          </w:p>
        </w:tc>
        <w:tc>
          <w:tcPr>
            <w:tcW w:w="6594"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符合招标文件“第二章-总则-第14条投标文件的组成”规定要求。【说明：无须提供证明材料，上传空白页即可，不对本项上传的材料作符合性审查】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2006"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投标文件服务、商务及其他要求响应部分签章</w:t>
            </w:r>
          </w:p>
        </w:tc>
        <w:tc>
          <w:tcPr>
            <w:tcW w:w="6594"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均按招标文件要求签章。【说明：无须提供证明材料，上传空白页即可，不对本项上传的材料作符合性审查】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2006"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投标文件服务、商务及其他要求响应部分的计量单位、语言、报价货币、投标有效期</w:t>
            </w:r>
          </w:p>
        </w:tc>
        <w:tc>
          <w:tcPr>
            <w:tcW w:w="6594"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计量单位、语言、报价货币、投标有效期均符合招标文件的要求。【说明：无须提供证明材料，上传空白页即可，不对本项上传的材料作符合性审查】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2006"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投标报价</w:t>
            </w:r>
          </w:p>
        </w:tc>
        <w:tc>
          <w:tcPr>
            <w:tcW w:w="6594"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开标记录、投标文件【注：（1）报价唯一（说明：投标报价出现下列情况的，按以下原则处理，并以修正后的价格作为投标人的投标报价：①投标文件中的大写金额和小写金额不一致的，以大写金额为准，但大写金额出现文字错误，导致金额无法判断的除外；②单价金额小数点或者百分比有明显错位的，以总价为准，并修改单价；③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如因断电、断网、系统故障或其他不可抗力等因素，导致系统无法使用的，由投标人按评标委员会的要求进行澄清或者说明。（5）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p>
        </w:tc>
        <w:tc>
          <w:tcPr>
            <w:tcW w:w="2006"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第四章实质性要求</w:t>
            </w:r>
          </w:p>
        </w:tc>
        <w:tc>
          <w:tcPr>
            <w:tcW w:w="6594"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投标文件均实质性响应招标文件中实质性的技术、服务、商务和其他要求。【说明：须提供相关证明材料】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2006"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进口产品</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如涉及</w:t>
            </w:r>
            <w:r>
              <w:rPr>
                <w:rFonts w:hint="eastAsia" w:ascii="仿宋" w:hAnsi="仿宋" w:eastAsia="仿宋" w:cs="仿宋"/>
                <w:color w:val="auto"/>
                <w:szCs w:val="21"/>
                <w:highlight w:val="none"/>
                <w:lang w:eastAsia="zh-CN"/>
              </w:rPr>
              <w:t>）</w:t>
            </w:r>
          </w:p>
        </w:tc>
        <w:tc>
          <w:tcPr>
            <w:tcW w:w="6594"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未载明“允许采购进口产品”的产品，视为拒绝进口产品参与竞争，供应商以进口产品投标时，将按无效投标处理。载明“允许采购进口产品”的产品，不限制国产产品参与竞争。【说明：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7</w:t>
            </w:r>
          </w:p>
        </w:tc>
        <w:tc>
          <w:tcPr>
            <w:tcW w:w="2006"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不属于禁止参加投标或投标无效的供应商</w:t>
            </w:r>
          </w:p>
        </w:tc>
        <w:tc>
          <w:tcPr>
            <w:tcW w:w="6594"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根据招标文件的要求不属于禁止参加投标或投标无效的供应商；</w:t>
            </w:r>
          </w:p>
          <w:p>
            <w:pPr>
              <w:tabs>
                <w:tab w:val="left" w:pos="851"/>
              </w:tabs>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评标委员会未发现或者未知晓投标人存在属于国家相关法律法规规定的禁止参加投标或投标无效的供应商。</w:t>
            </w:r>
          </w:p>
          <w:p>
            <w:pPr>
              <w:tabs>
                <w:tab w:val="left" w:pos="851"/>
              </w:tabs>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【说明：无须提供证明材料，上传空白页即可，不对本项上传的材料作符合性审查】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8</w:t>
            </w:r>
          </w:p>
        </w:tc>
        <w:tc>
          <w:tcPr>
            <w:tcW w:w="2006"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除资格性审查要求的证明材料外，招标文件要求提供的其他证明材料</w:t>
            </w:r>
          </w:p>
        </w:tc>
        <w:tc>
          <w:tcPr>
            <w:tcW w:w="6594" w:type="dxa"/>
            <w:tcBorders>
              <w:top w:val="single" w:color="auto" w:sz="2" w:space="0"/>
              <w:left w:val="single" w:color="auto" w:sz="2" w:space="0"/>
              <w:bottom w:val="single" w:color="auto" w:sz="2" w:space="0"/>
              <w:right w:val="single" w:color="auto" w:sz="2" w:space="0"/>
            </w:tcBorders>
            <w:noWrap w:val="0"/>
            <w:vAlign w:val="center"/>
          </w:tcPr>
          <w:p>
            <w:pPr>
              <w:tabs>
                <w:tab w:val="left" w:pos="851"/>
              </w:tabs>
              <w:spacing w:after="0"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除资格性审查要求的证明材料外，招标文件要求提供的其他证明材料（如有）。【说明：无须提供证明材料，上传空白页即可，不对本项上传的材料作符合性审查】</w:t>
            </w:r>
          </w:p>
        </w:tc>
      </w:tr>
    </w:tbl>
    <w:p>
      <w:pPr>
        <w:spacing w:after="0" w:line="360" w:lineRule="auto"/>
        <w:rPr>
          <w:rFonts w:hint="eastAsia" w:ascii="仿宋" w:hAnsi="仿宋" w:eastAsia="仿宋" w:cs="仿宋"/>
          <w:color w:val="auto"/>
          <w:sz w:val="24"/>
          <w:highlight w:val="none"/>
        </w:rPr>
      </w:pP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3.1.3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3.1.4通过符合性审查的供应商＜3名，本项目采购失败。</w:t>
      </w:r>
    </w:p>
    <w:p>
      <w:pPr>
        <w:spacing w:after="0"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3.2解释、澄清有关问题</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评标过程中，评标委员会认为招标文件有关事项表述不明确或需要说明的，可以提请招标代理机构书面解释。招标代理机构的解释不得改变招标文件的原义或者影响公平、公正，解释事项如果涉及投标人权益的以有利于投标人的原则进行解释。</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3.2.2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3.2.3澄清应当不超出投标文件的范围、不实质性改变投标文件的内容、不影响投标人的公平竞争、不导致投标文件从不响应招标文件变为响应招标文件的条件。下列内容不得澄清：</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(1)投标人投标文件中不响应招标文件规定的技术参数指标和商务应答；</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(2)投标人投标文件中未提供的证明其是否符合招标文件资格性、符合性规定要求的相关材料。</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(3)投标人投标文件中的材料因印刷、影印等不清晰而难以辨认的。</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3.2.4投标文件报价出现下列情况的，不需要投标人澄清，按以下原则处理：</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(1)大写金额和小写金额不一致的，以大写金额为准，但大写金额出现文字错误，导致金额无法判断的除外；</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(2)单价金额小数点或者百分比有明显错位的，以总价为准，并修改单价；</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(3)总价金额与按单价汇总金额不一致的，以单价金额计算结果为准。</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同时出现两种以上不一致的，按照前款规定的顺序修正。修正后的报价经投标人确认后产生约束力，投标人不确认的，其投标无效。</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3.2.5对不同语言文本投标文件的解释发生异议的，以中文文本为准。</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3.2.6评标结束之前，投标人应随时关注系统提示，及时通过“政府采购云平台”在线响应评标委员会发出的澄清、说明或补正要求，签章并确认提交成功。逾时回复将不能提交，视为投标人自行放弃，其损失由投标人承担。</w:t>
      </w:r>
    </w:p>
    <w:p>
      <w:pPr>
        <w:spacing w:after="0"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评标委员会应当积极履行澄清、说明或者更正的职责，不得滥用权力。</w:t>
      </w:r>
    </w:p>
    <w:p>
      <w:pPr>
        <w:spacing w:after="0"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3.3比较与评价</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按招标文件中规定的评标细则及标准，对符合性检查合格的投标文件进行商务和服务评估，综合比较与评价。</w:t>
      </w:r>
    </w:p>
    <w:p>
      <w:pPr>
        <w:spacing w:after="0"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3.4复核</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评分汇总结束后，评标委员会应当进行复核，特别要对拟推荐为中标候选供应商的、报价最低的、投标文件被认定为无效的进行重点复核。</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评标结果汇总完成后，评标委员会拟出具评审报告前，招标代理机构应当组织2名以上的工作人员，在采购现场监督人员的监督之下，依据有关的法律制度和采购文件对评审结果进行复核，出具复核报告。</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评标结果汇总完成后，除下列情形外，任何人不得修改评标结果：</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（1）分值汇总计算错误的；</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（2）分项评分超出评分标准范围的；</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（3）评标委员会成员对客观评审因素评分不一致的；</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（4）经评标委员会认定评分畸高、畸低的。</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评标报告签署前，经复核发现存在以上情形之一的，评标委员会应当当场修改评标结果，并在评标报告中记载；评标报告签署后，采购人或者代理机构发现存在以上情形之一的，应当组织原评标委员会进行重新评审，重新评审改变评标结果的，书面报告本级财政部门。</w:t>
      </w:r>
    </w:p>
    <w:p>
      <w:pPr>
        <w:spacing w:after="0"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3.5确定中标候选人名单</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按投标人综合得分从高到低进行排序，确定1至3名中标候选人。综合得分相同的，按投标报价由低到高顺序排列，得分且投标报价相同的并列。投标文件满足招标文件全部实质性要求，且按照评审因素的量化指标评审得分最高的投标人为排名第一的中标候选人。</w:t>
      </w:r>
    </w:p>
    <w:p>
      <w:pPr>
        <w:spacing w:after="0"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3.6编写评标报告</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评标报告是评标委员会根据全体评标成员签字的原始评标记录和评标结果编写的报告，其主要内容包括：</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（1）招标公告刊登的媒体名称、开标日期和地点；</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（2）投标人名单和评标委员会成员名单；</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（3）评标方法和标准；</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（4）开标记录和评标情况及说明，包括投标无效投标人名单及原因；</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（5）评标结果，确定的中标候选人名单或者经采购人委托直接确定的中标人；</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（6）其他需要说明的情况，包括评标过程中投标人根据评标委员会要求进行的澄清、说明或者补正，评标委员会成员的更换等； </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（7）报价最高的投标人为中标候选人的，评标委员会应当对其报价的合理性予以特别说明。</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pStyle w:val="4"/>
        <w:spacing w:before="0" w:after="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 评标争议处理规则</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评标委员会在评审过程中，对于符合性审查、对投标人文件做无效投标处理及其他需要共同认定的事项存在争议的，应当以少数服从多数的原则做出结论，但不得违背法律法规和招标文件规定。持不同意见的评标委员会成员应当在评标报告上签署不同意见及理由，否则视为同意评标报告。持不同意见的评标委员会成员认为认定过程和结果不符合法律法规或者招标文件规定的，应当及时向采购人或招标代理机构书面反映。采购人或招标代理机构收到书面反映后，应当书面报告采购项目同级财政部门依法处理。</w:t>
      </w:r>
    </w:p>
    <w:p>
      <w:pPr>
        <w:pStyle w:val="4"/>
        <w:spacing w:before="0" w:after="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 评标细则及标准</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评标委员会只对通过初审的投标文件，根据招标文件的要求采用相同的评标程序、评分办法及标准进行评价和比较。</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本次综合评分的因素是：价格等。</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评标委员会成员应依据招标文件规定的评分标准和方法独立打分。</w:t>
      </w:r>
    </w:p>
    <w:p>
      <w:pPr>
        <w:spacing w:after="0"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5.1评分办法</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本次评标采用综合评分法，由评标委员会各成员独立对通过初审（资格检查和符合性检查）的投标人的投标文件进行评审和打分，评标得分＝（A1＋A2＋……＋An）/n1+（B1＋B2＋……＋Bn）/ n2+（C1＋C2＋……＋Cn）/ n3，A1、A2……An分别为每个经济类评委的打分，n1为经济类评委人数；B1、B2＋……Bn 分别为每个技术类评委（含采购人代表）的打分，n2为技术类评委（含采购人代表）人数；C1、C2……Cn 分别为评审委员会每个成员的打分，n3为评委人数。</w:t>
      </w:r>
    </w:p>
    <w:p>
      <w:pPr>
        <w:spacing w:after="0"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5.2评分标准</w:t>
      </w:r>
    </w:p>
    <w:p>
      <w:pPr>
        <w:pStyle w:val="59"/>
        <w:rPr>
          <w:rFonts w:hint="eastAsia" w:ascii="仿宋" w:hAnsi="仿宋" w:eastAsia="仿宋" w:cs="仿宋"/>
          <w:color w:val="auto"/>
          <w:highlight w:val="none"/>
          <w:lang w:val="en-US" w:eastAsia="zh-CN"/>
        </w:rPr>
      </w:pPr>
      <w:r>
        <w:rPr>
          <w:rFonts w:hint="eastAsia" w:ascii="仿宋" w:hAnsi="仿宋" w:eastAsia="仿宋" w:cs="仿宋"/>
          <w:b/>
          <w:bCs/>
          <w:color w:val="auto"/>
          <w:sz w:val="24"/>
          <w:highlight w:val="none"/>
          <w:lang w:val="en-US" w:eastAsia="zh-CN"/>
        </w:rPr>
        <w:t>01包：</w:t>
      </w:r>
    </w:p>
    <w:tbl>
      <w:tblPr>
        <w:tblStyle w:val="34"/>
        <w:tblW w:w="4998"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8"/>
        <w:gridCol w:w="1290"/>
        <w:gridCol w:w="751"/>
        <w:gridCol w:w="4869"/>
        <w:gridCol w:w="1081"/>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tcBorders>
              <w:top w:val="double" w:color="auto" w:sz="4" w:space="0"/>
              <w:bottom w:val="single" w:color="auto" w:sz="4" w:space="0"/>
            </w:tcBorders>
            <w:noWrap w:val="0"/>
            <w:vAlign w:val="center"/>
          </w:tcPr>
          <w:p>
            <w:pPr>
              <w:spacing w:line="320" w:lineRule="exact"/>
              <w:ind w:firstLine="28"/>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757" w:type="pct"/>
            <w:tcBorders>
              <w:top w:val="double" w:color="auto" w:sz="4" w:space="0"/>
              <w:bottom w:val="single" w:color="auto" w:sz="4" w:space="0"/>
            </w:tcBorders>
            <w:noWrap w:val="0"/>
            <w:vAlign w:val="center"/>
          </w:tcPr>
          <w:p>
            <w:pPr>
              <w:spacing w:line="320" w:lineRule="exact"/>
              <w:ind w:firstLine="28"/>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评分因素</w:t>
            </w:r>
          </w:p>
          <w:p>
            <w:pPr>
              <w:spacing w:line="320" w:lineRule="exact"/>
              <w:ind w:firstLine="28"/>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及权重</w:t>
            </w:r>
          </w:p>
        </w:tc>
        <w:tc>
          <w:tcPr>
            <w:tcW w:w="441" w:type="pct"/>
            <w:tcBorders>
              <w:top w:val="double" w:color="auto" w:sz="4" w:space="0"/>
              <w:bottom w:val="single" w:color="auto" w:sz="4" w:space="0"/>
            </w:tcBorders>
            <w:noWrap w:val="0"/>
            <w:vAlign w:val="center"/>
          </w:tcPr>
          <w:p>
            <w:pPr>
              <w:spacing w:line="320" w:lineRule="exact"/>
              <w:ind w:firstLine="28"/>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分　值</w:t>
            </w:r>
          </w:p>
        </w:tc>
        <w:tc>
          <w:tcPr>
            <w:tcW w:w="2858" w:type="pct"/>
            <w:tcBorders>
              <w:top w:val="double" w:color="auto" w:sz="4" w:space="0"/>
              <w:bottom w:val="single" w:color="auto" w:sz="4" w:space="0"/>
            </w:tcBorders>
            <w:noWrap w:val="0"/>
            <w:vAlign w:val="center"/>
          </w:tcPr>
          <w:p>
            <w:pPr>
              <w:spacing w:line="320" w:lineRule="exact"/>
              <w:ind w:firstLine="28"/>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评分标准</w:t>
            </w:r>
          </w:p>
        </w:tc>
        <w:tc>
          <w:tcPr>
            <w:tcW w:w="632" w:type="pct"/>
            <w:tcBorders>
              <w:top w:val="double" w:color="auto" w:sz="4" w:space="0"/>
              <w:bottom w:val="single" w:color="auto" w:sz="4" w:space="0"/>
            </w:tcBorders>
            <w:noWrap w:val="0"/>
            <w:vAlign w:val="center"/>
          </w:tcPr>
          <w:p>
            <w:pPr>
              <w:spacing w:line="32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说    明</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tcBorders>
              <w:top w:val="single" w:color="auto" w:sz="4" w:space="0"/>
            </w:tcBorders>
            <w:noWrap w:val="0"/>
            <w:vAlign w:val="center"/>
          </w:tcPr>
          <w:p>
            <w:pPr>
              <w:spacing w:after="0" w:line="360" w:lineRule="auto"/>
              <w:ind w:firstLine="28"/>
              <w:jc w:val="center"/>
              <w:rPr>
                <w:rFonts w:hint="eastAsia" w:ascii="仿宋" w:hAnsi="仿宋" w:eastAsia="仿宋" w:cs="仿宋"/>
                <w:color w:val="auto"/>
                <w:highlight w:val="none"/>
              </w:rPr>
            </w:pPr>
            <w:r>
              <w:rPr>
                <w:rFonts w:hint="eastAsia" w:ascii="仿宋" w:hAnsi="仿宋" w:eastAsia="仿宋" w:cs="仿宋"/>
                <w:color w:val="auto"/>
                <w:sz w:val="24"/>
                <w:highlight w:val="none"/>
              </w:rPr>
              <w:t>1</w:t>
            </w:r>
          </w:p>
        </w:tc>
        <w:tc>
          <w:tcPr>
            <w:tcW w:w="757" w:type="pct"/>
            <w:tcBorders>
              <w:top w:val="single" w:color="auto" w:sz="4" w:space="0"/>
            </w:tcBorders>
            <w:noWrap w:val="0"/>
            <w:vAlign w:val="center"/>
          </w:tcPr>
          <w:p>
            <w:pPr>
              <w:spacing w:after="0" w:line="360" w:lineRule="auto"/>
              <w:ind w:firstLine="28"/>
              <w:jc w:val="center"/>
              <w:rPr>
                <w:rFonts w:hint="eastAsia" w:ascii="仿宋" w:hAnsi="仿宋" w:eastAsia="仿宋" w:cs="仿宋"/>
                <w:color w:val="auto"/>
                <w:highlight w:val="none"/>
              </w:rPr>
            </w:pPr>
            <w:r>
              <w:rPr>
                <w:rFonts w:hint="eastAsia" w:ascii="仿宋" w:hAnsi="仿宋" w:eastAsia="仿宋" w:cs="仿宋"/>
                <w:color w:val="auto"/>
                <w:sz w:val="24"/>
                <w:highlight w:val="none"/>
              </w:rPr>
              <w:t>报价30%</w:t>
            </w:r>
          </w:p>
        </w:tc>
        <w:tc>
          <w:tcPr>
            <w:tcW w:w="441" w:type="pct"/>
            <w:tcBorders>
              <w:top w:val="single" w:color="auto" w:sz="4" w:space="0"/>
            </w:tcBorders>
            <w:noWrap w:val="0"/>
            <w:vAlign w:val="center"/>
          </w:tcPr>
          <w:p>
            <w:pPr>
              <w:spacing w:after="0" w:line="360" w:lineRule="auto"/>
              <w:ind w:firstLine="28"/>
              <w:jc w:val="center"/>
              <w:rPr>
                <w:rFonts w:hint="eastAsia" w:ascii="仿宋" w:hAnsi="仿宋" w:eastAsia="仿宋" w:cs="仿宋"/>
                <w:color w:val="auto"/>
                <w:highlight w:val="none"/>
              </w:rPr>
            </w:pPr>
            <w:r>
              <w:rPr>
                <w:rFonts w:hint="eastAsia" w:ascii="仿宋" w:hAnsi="仿宋" w:eastAsia="仿宋" w:cs="仿宋"/>
                <w:color w:val="auto"/>
                <w:sz w:val="24"/>
                <w:highlight w:val="none"/>
              </w:rPr>
              <w:t>30分</w:t>
            </w:r>
          </w:p>
        </w:tc>
        <w:tc>
          <w:tcPr>
            <w:tcW w:w="2858" w:type="pct"/>
            <w:tcBorders>
              <w:top w:val="single" w:color="auto" w:sz="4" w:space="0"/>
            </w:tcBorders>
            <w:noWrap w:val="0"/>
            <w:vAlign w:val="center"/>
          </w:tcPr>
          <w:p>
            <w:pPr>
              <w:pStyle w:val="11"/>
              <w:spacing w:after="0"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以本次有效的最低的投标报价为基准价，投标报价得分=（基准价／投标报价）*30</w:t>
            </w:r>
          </w:p>
          <w:p>
            <w:pPr>
              <w:pStyle w:val="11"/>
              <w:spacing w:after="0" w:line="360" w:lineRule="auto"/>
              <w:rPr>
                <w:rFonts w:hint="eastAsia" w:ascii="仿宋" w:hAnsi="仿宋" w:eastAsia="仿宋" w:cs="仿宋"/>
                <w:color w:val="auto"/>
                <w:highlight w:val="none"/>
              </w:rPr>
            </w:pPr>
            <w:r>
              <w:rPr>
                <w:rFonts w:hint="eastAsia" w:ascii="仿宋" w:hAnsi="仿宋" w:eastAsia="仿宋" w:cs="仿宋"/>
                <w:color w:val="auto"/>
                <w:sz w:val="24"/>
                <w:highlight w:val="none"/>
              </w:rPr>
              <w:t>注：政策性鼓励与惩戒按照本招标文件投标须知附表规定执行。</w:t>
            </w:r>
          </w:p>
        </w:tc>
        <w:tc>
          <w:tcPr>
            <w:tcW w:w="632" w:type="pct"/>
            <w:tcBorders>
              <w:top w:val="single" w:color="auto" w:sz="4" w:space="0"/>
            </w:tcBorders>
            <w:noWrap w:val="0"/>
            <w:vAlign w:val="center"/>
          </w:tcPr>
          <w:p>
            <w:pPr>
              <w:spacing w:after="0" w:line="360" w:lineRule="auto"/>
              <w:ind w:left="-38"/>
              <w:jc w:val="center"/>
              <w:rPr>
                <w:rFonts w:hint="eastAsia" w:ascii="仿宋" w:hAnsi="仿宋" w:eastAsia="仿宋" w:cs="仿宋"/>
                <w:color w:val="auto"/>
                <w:highlight w:val="none"/>
              </w:rPr>
            </w:pPr>
            <w:r>
              <w:rPr>
                <w:rFonts w:hint="eastAsia" w:ascii="仿宋" w:hAnsi="仿宋" w:eastAsia="仿宋" w:cs="仿宋"/>
                <w:color w:val="auto"/>
                <w:sz w:val="24"/>
                <w:highlight w:val="none"/>
              </w:rPr>
              <w:t>共同评审因素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noWrap w:val="0"/>
            <w:vAlign w:val="center"/>
          </w:tcPr>
          <w:p>
            <w:pPr>
              <w:spacing w:after="0" w:line="360" w:lineRule="auto"/>
              <w:ind w:firstLine="28"/>
              <w:jc w:val="center"/>
              <w:rPr>
                <w:rFonts w:hint="eastAsia" w:ascii="仿宋" w:hAnsi="仿宋" w:eastAsia="仿宋" w:cs="仿宋"/>
                <w:color w:val="auto"/>
                <w:highlight w:val="none"/>
              </w:rPr>
            </w:pPr>
            <w:r>
              <w:rPr>
                <w:rFonts w:hint="eastAsia" w:ascii="仿宋" w:hAnsi="仿宋" w:eastAsia="仿宋" w:cs="仿宋"/>
                <w:color w:val="auto"/>
                <w:sz w:val="24"/>
                <w:highlight w:val="none"/>
              </w:rPr>
              <w:t>2</w:t>
            </w:r>
          </w:p>
        </w:tc>
        <w:tc>
          <w:tcPr>
            <w:tcW w:w="757" w:type="pct"/>
            <w:noWrap w:val="0"/>
            <w:vAlign w:val="center"/>
          </w:tcPr>
          <w:p>
            <w:pPr>
              <w:spacing w:after="0" w:line="360" w:lineRule="auto"/>
              <w:jc w:val="center"/>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技术指标和配置 </w:t>
            </w:r>
            <w:r>
              <w:rPr>
                <w:rFonts w:hint="eastAsia" w:ascii="仿宋" w:hAnsi="仿宋" w:eastAsia="仿宋" w:cs="仿宋"/>
                <w:color w:val="auto"/>
                <w:sz w:val="24"/>
                <w:highlight w:val="none"/>
                <w:lang w:val="en-US" w:eastAsia="zh-CN"/>
              </w:rPr>
              <w:t>51</w:t>
            </w:r>
            <w:r>
              <w:rPr>
                <w:rFonts w:hint="eastAsia" w:ascii="仿宋" w:hAnsi="仿宋" w:eastAsia="仿宋" w:cs="仿宋"/>
                <w:color w:val="auto"/>
                <w:sz w:val="24"/>
                <w:highlight w:val="none"/>
              </w:rPr>
              <w:t>%</w:t>
            </w:r>
          </w:p>
        </w:tc>
        <w:tc>
          <w:tcPr>
            <w:tcW w:w="441" w:type="pct"/>
            <w:noWrap w:val="0"/>
            <w:vAlign w:val="center"/>
          </w:tcPr>
          <w:p>
            <w:pPr>
              <w:spacing w:after="0" w:line="360" w:lineRule="auto"/>
              <w:ind w:firstLine="28"/>
              <w:jc w:val="center"/>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51</w:t>
            </w:r>
            <w:r>
              <w:rPr>
                <w:rFonts w:hint="eastAsia" w:ascii="仿宋" w:hAnsi="仿宋" w:eastAsia="仿宋" w:cs="仿宋"/>
                <w:color w:val="auto"/>
                <w:sz w:val="24"/>
                <w:highlight w:val="none"/>
              </w:rPr>
              <w:t>分</w:t>
            </w:r>
          </w:p>
        </w:tc>
        <w:tc>
          <w:tcPr>
            <w:tcW w:w="2858" w:type="pct"/>
            <w:noWrap w:val="0"/>
            <w:vAlign w:val="center"/>
          </w:tcPr>
          <w:p>
            <w:pPr>
              <w:spacing w:after="0"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w:t>
            </w:r>
            <w:r>
              <w:rPr>
                <w:rFonts w:hint="eastAsia" w:ascii="仿宋" w:hAnsi="仿宋" w:eastAsia="仿宋" w:cs="仿宋"/>
                <w:color w:val="auto"/>
                <w:sz w:val="24"/>
                <w:highlight w:val="none"/>
                <w:lang w:val="en-US" w:eastAsia="zh-CN"/>
              </w:rPr>
              <w:t>第四章</w:t>
            </w:r>
            <w:r>
              <w:rPr>
                <w:rFonts w:hint="eastAsia" w:ascii="仿宋" w:hAnsi="仿宋" w:eastAsia="仿宋" w:cs="仿宋"/>
                <w:color w:val="auto"/>
                <w:sz w:val="24"/>
                <w:highlight w:val="none"/>
              </w:rPr>
              <w:t>招标项目服务、商务及其他要求</w:t>
            </w:r>
            <w:r>
              <w:rPr>
                <w:rFonts w:hint="eastAsia" w:ascii="仿宋" w:hAnsi="仿宋" w:eastAsia="仿宋" w:cs="仿宋"/>
                <w:color w:val="auto"/>
                <w:sz w:val="24"/>
                <w:highlight w:val="none"/>
                <w:lang w:val="en-US" w:eastAsia="zh-CN"/>
              </w:rPr>
              <w:t>二、</w:t>
            </w:r>
            <w:r>
              <w:rPr>
                <w:rFonts w:hint="eastAsia" w:ascii="仿宋" w:hAnsi="仿宋" w:eastAsia="仿宋" w:cs="仿宋"/>
                <w:color w:val="auto"/>
                <w:sz w:val="24"/>
                <w:highlight w:val="none"/>
              </w:rPr>
              <w:t>项目技术要求部分（非实质性要求部分）（</w:t>
            </w:r>
            <w:r>
              <w:rPr>
                <w:rFonts w:hint="eastAsia" w:ascii="仿宋" w:hAnsi="仿宋" w:eastAsia="仿宋" w:cs="仿宋"/>
                <w:color w:val="auto"/>
                <w:sz w:val="24"/>
                <w:highlight w:val="none"/>
                <w:lang w:val="en-US" w:eastAsia="zh-CN"/>
              </w:rPr>
              <w:t>51</w:t>
            </w:r>
            <w:r>
              <w:rPr>
                <w:rFonts w:hint="eastAsia" w:ascii="仿宋" w:hAnsi="仿宋" w:eastAsia="仿宋" w:cs="仿宋"/>
                <w:color w:val="auto"/>
                <w:sz w:val="24"/>
                <w:highlight w:val="none"/>
              </w:rPr>
              <w:t>分）</w:t>
            </w:r>
          </w:p>
          <w:p>
            <w:pPr>
              <w:spacing w:after="0"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1.带“★”技术要求</w:t>
            </w:r>
            <w:r>
              <w:rPr>
                <w:rFonts w:hint="eastAsia" w:ascii="仿宋" w:hAnsi="仿宋" w:eastAsia="仿宋" w:cs="仿宋"/>
                <w:color w:val="auto"/>
                <w:sz w:val="24"/>
                <w:szCs w:val="24"/>
                <w:highlight w:val="none"/>
              </w:rPr>
              <w:t>完全满足招标文件要求得</w:t>
            </w:r>
            <w:r>
              <w:rPr>
                <w:rFonts w:hint="eastAsia" w:ascii="仿宋" w:hAnsi="仿宋" w:eastAsia="仿宋" w:cs="仿宋"/>
                <w:color w:val="auto"/>
                <w:sz w:val="24"/>
                <w:szCs w:val="24"/>
                <w:highlight w:val="none"/>
                <w:lang w:val="en-US" w:eastAsia="zh-CN"/>
              </w:rPr>
              <w:t>33</w:t>
            </w:r>
            <w:r>
              <w:rPr>
                <w:rFonts w:hint="eastAsia" w:ascii="仿宋" w:hAnsi="仿宋" w:eastAsia="仿宋" w:cs="仿宋"/>
                <w:color w:val="auto"/>
                <w:sz w:val="24"/>
                <w:szCs w:val="24"/>
                <w:highlight w:val="none"/>
              </w:rPr>
              <w:t>分，带</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号重要参数有负偏离的每一项扣</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分,直至此项分值扣完为止。</w:t>
            </w:r>
          </w:p>
          <w:p>
            <w:pPr>
              <w:spacing w:after="0"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2.非带“★”技术要求</w:t>
            </w:r>
            <w:r>
              <w:rPr>
                <w:rFonts w:hint="eastAsia" w:ascii="仿宋" w:hAnsi="仿宋" w:eastAsia="仿宋" w:cs="仿宋"/>
                <w:color w:val="auto"/>
                <w:sz w:val="24"/>
                <w:szCs w:val="24"/>
                <w:highlight w:val="none"/>
              </w:rPr>
              <w:t>完全满足招标文件要求得</w:t>
            </w:r>
            <w:r>
              <w:rPr>
                <w:rFonts w:hint="eastAsia" w:ascii="仿宋" w:hAnsi="仿宋" w:eastAsia="仿宋" w:cs="仿宋"/>
                <w:color w:val="auto"/>
                <w:sz w:val="24"/>
                <w:szCs w:val="24"/>
                <w:highlight w:val="none"/>
                <w:lang w:val="en-US" w:eastAsia="zh-CN"/>
              </w:rPr>
              <w:t>18</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有负偏离的每一项扣</w:t>
            </w:r>
            <w:r>
              <w:rPr>
                <w:rFonts w:hint="eastAsia" w:ascii="仿宋" w:hAnsi="仿宋" w:eastAsia="仿宋" w:cs="仿宋"/>
                <w:color w:val="auto"/>
                <w:sz w:val="24"/>
                <w:szCs w:val="24"/>
                <w:highlight w:val="none"/>
                <w:lang w:val="en-US" w:eastAsia="zh-CN"/>
              </w:rPr>
              <w:t>0.125</w:t>
            </w:r>
            <w:r>
              <w:rPr>
                <w:rFonts w:hint="eastAsia" w:ascii="仿宋" w:hAnsi="仿宋" w:eastAsia="仿宋" w:cs="仿宋"/>
                <w:color w:val="auto"/>
                <w:sz w:val="24"/>
                <w:szCs w:val="24"/>
                <w:highlight w:val="none"/>
              </w:rPr>
              <w:t>分,直至此项分值扣完为止。</w:t>
            </w:r>
          </w:p>
          <w:p>
            <w:pPr>
              <w:spacing w:after="0"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注：投标人须认真核实所有技术支持资料，并对其在投标文件中提供的技术支持资料的真实性负责，并承担由此带来的一切法律责任和后果。</w:t>
            </w:r>
            <w:r>
              <w:rPr>
                <w:rFonts w:hint="eastAsia" w:ascii="仿宋" w:hAnsi="仿宋" w:eastAsia="仿宋" w:cs="仿宋"/>
                <w:color w:val="auto"/>
                <w:sz w:val="24"/>
                <w:highlight w:val="none"/>
                <w:lang w:val="en-US" w:eastAsia="zh-CN"/>
              </w:rPr>
              <w:t>带</w:t>
            </w:r>
            <w:r>
              <w:rPr>
                <w:rFonts w:hint="eastAsia" w:ascii="仿宋" w:hAnsi="仿宋" w:eastAsia="仿宋" w:cs="仿宋"/>
                <w:color w:val="auto"/>
                <w:sz w:val="24"/>
                <w:highlight w:val="none"/>
              </w:rPr>
              <w:t>“★”重要参数应提供厂家白皮书或检测报告等第三方佐证材料（</w:t>
            </w:r>
            <w:r>
              <w:rPr>
                <w:rFonts w:hint="eastAsia" w:ascii="仿宋" w:hAnsi="仿宋" w:eastAsia="仿宋" w:cs="仿宋"/>
                <w:color w:val="auto"/>
                <w:sz w:val="24"/>
                <w:highlight w:val="none"/>
              </w:rPr>
              <w:t>技术要求有特别说明的，按其要求提供证明材料</w:t>
            </w:r>
            <w:r>
              <w:rPr>
                <w:rFonts w:hint="eastAsia" w:ascii="仿宋" w:hAnsi="仿宋" w:eastAsia="仿宋" w:cs="仿宋"/>
                <w:color w:val="auto"/>
                <w:sz w:val="24"/>
                <w:highlight w:val="none"/>
                <w:lang w:eastAsia="zh-CN"/>
              </w:rPr>
              <w:t>，并在参数应答表上标注所在页码</w:t>
            </w:r>
            <w:r>
              <w:rPr>
                <w:rFonts w:hint="eastAsia" w:ascii="仿宋" w:hAnsi="仿宋" w:eastAsia="仿宋" w:cs="仿宋"/>
                <w:color w:val="auto"/>
                <w:sz w:val="24"/>
                <w:highlight w:val="none"/>
              </w:rPr>
              <w:t>），如无佐证材料的，</w:t>
            </w:r>
            <w:r>
              <w:rPr>
                <w:rFonts w:hint="eastAsia" w:ascii="仿宋" w:hAnsi="仿宋" w:eastAsia="仿宋" w:cs="仿宋"/>
                <w:color w:val="auto"/>
                <w:sz w:val="24"/>
                <w:highlight w:val="none"/>
                <w:lang w:val="en-US" w:eastAsia="zh-CN"/>
              </w:rPr>
              <w:t>不得分。</w:t>
            </w:r>
          </w:p>
        </w:tc>
        <w:tc>
          <w:tcPr>
            <w:tcW w:w="632" w:type="pct"/>
            <w:noWrap w:val="0"/>
            <w:vAlign w:val="center"/>
          </w:tcPr>
          <w:p>
            <w:pPr>
              <w:spacing w:after="0" w:line="360" w:lineRule="auto"/>
              <w:jc w:val="center"/>
              <w:rPr>
                <w:rFonts w:hint="eastAsia" w:ascii="仿宋" w:hAnsi="仿宋" w:eastAsia="仿宋" w:cs="仿宋"/>
                <w:color w:val="auto"/>
                <w:highlight w:val="none"/>
              </w:rPr>
            </w:pPr>
            <w:r>
              <w:rPr>
                <w:rFonts w:hint="eastAsia" w:ascii="仿宋" w:hAnsi="仿宋" w:eastAsia="仿宋" w:cs="仿宋"/>
                <w:color w:val="auto"/>
                <w:sz w:val="24"/>
                <w:highlight w:val="none"/>
              </w:rPr>
              <w:t>技术评审因素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noWrap w:val="0"/>
            <w:vAlign w:val="center"/>
          </w:tcPr>
          <w:p>
            <w:pPr>
              <w:spacing w:after="0" w:line="360" w:lineRule="auto"/>
              <w:ind w:firstLine="28"/>
              <w:jc w:val="center"/>
              <w:rPr>
                <w:rFonts w:hint="eastAsia" w:ascii="仿宋" w:hAnsi="仿宋" w:eastAsia="仿宋" w:cs="仿宋"/>
                <w:color w:val="auto"/>
                <w:highlight w:val="none"/>
              </w:rPr>
            </w:pPr>
            <w:r>
              <w:rPr>
                <w:rFonts w:hint="eastAsia" w:ascii="仿宋" w:hAnsi="仿宋" w:eastAsia="仿宋" w:cs="仿宋"/>
                <w:color w:val="auto"/>
                <w:sz w:val="24"/>
                <w:highlight w:val="none"/>
              </w:rPr>
              <w:t>3</w:t>
            </w:r>
          </w:p>
        </w:tc>
        <w:tc>
          <w:tcPr>
            <w:tcW w:w="757" w:type="pct"/>
            <w:noWrap w:val="0"/>
            <w:vAlign w:val="center"/>
          </w:tcPr>
          <w:p>
            <w:pPr>
              <w:spacing w:after="0" w:line="360" w:lineRule="auto"/>
              <w:ind w:firstLine="28"/>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业绩</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w:t>
            </w:r>
          </w:p>
        </w:tc>
        <w:tc>
          <w:tcPr>
            <w:tcW w:w="441" w:type="pct"/>
            <w:noWrap w:val="0"/>
            <w:vAlign w:val="center"/>
          </w:tcPr>
          <w:p>
            <w:pPr>
              <w:spacing w:after="0" w:line="360" w:lineRule="auto"/>
              <w:ind w:firstLine="28"/>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分</w:t>
            </w:r>
          </w:p>
        </w:tc>
        <w:tc>
          <w:tcPr>
            <w:tcW w:w="2858" w:type="pct"/>
            <w:noWrap w:val="0"/>
            <w:vAlign w:val="center"/>
          </w:tcPr>
          <w:p>
            <w:pPr>
              <w:spacing w:after="0"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提供2019年以来投标人的类似项目业绩，每提供1个得</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分，最多得</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分。</w:t>
            </w:r>
          </w:p>
          <w:p>
            <w:pPr>
              <w:spacing w:after="0"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注：提供中标（成交）通知书或合同复印件加盖供应商公章，未提供</w:t>
            </w:r>
            <w:r>
              <w:rPr>
                <w:rFonts w:hint="eastAsia" w:ascii="仿宋" w:hAnsi="仿宋" w:eastAsia="仿宋" w:cs="仿宋"/>
                <w:color w:val="auto"/>
                <w:sz w:val="24"/>
                <w:highlight w:val="none"/>
                <w:lang w:val="en-US" w:eastAsia="zh-CN"/>
              </w:rPr>
              <w:t>和</w:t>
            </w:r>
            <w:r>
              <w:rPr>
                <w:rFonts w:hint="eastAsia" w:ascii="仿宋" w:hAnsi="仿宋" w:eastAsia="仿宋" w:cs="仿宋"/>
                <w:color w:val="auto"/>
                <w:sz w:val="24"/>
                <w:highlight w:val="none"/>
              </w:rPr>
              <w:t>未盖章的不得分。</w:t>
            </w:r>
          </w:p>
        </w:tc>
        <w:tc>
          <w:tcPr>
            <w:tcW w:w="632" w:type="pct"/>
            <w:noWrap w:val="0"/>
            <w:vAlign w:val="center"/>
          </w:tcPr>
          <w:p>
            <w:pPr>
              <w:spacing w:after="0" w:line="360" w:lineRule="auto"/>
              <w:ind w:left="-40"/>
              <w:jc w:val="center"/>
              <w:rPr>
                <w:rFonts w:hint="eastAsia" w:ascii="仿宋" w:hAnsi="仿宋" w:eastAsia="仿宋" w:cs="仿宋"/>
                <w:color w:val="auto"/>
                <w:sz w:val="24"/>
                <w:highlight w:val="none"/>
              </w:rPr>
            </w:pPr>
          </w:p>
          <w:p>
            <w:pPr>
              <w:spacing w:after="0" w:line="360" w:lineRule="auto"/>
              <w:ind w:left="-4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共同评审因素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noWrap w:val="0"/>
            <w:vAlign w:val="center"/>
          </w:tcPr>
          <w:p>
            <w:pPr>
              <w:spacing w:after="0" w:line="360" w:lineRule="auto"/>
              <w:ind w:firstLine="28"/>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757" w:type="pct"/>
            <w:noWrap w:val="0"/>
            <w:vAlign w:val="center"/>
          </w:tcPr>
          <w:p>
            <w:pPr>
              <w:spacing w:after="0" w:line="360" w:lineRule="auto"/>
              <w:ind w:firstLine="28"/>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售后服务方案8</w:t>
            </w:r>
            <w:r>
              <w:rPr>
                <w:rFonts w:hint="eastAsia" w:ascii="仿宋" w:hAnsi="仿宋" w:eastAsia="仿宋" w:cs="仿宋"/>
                <w:color w:val="auto"/>
                <w:sz w:val="24"/>
                <w:highlight w:val="none"/>
              </w:rPr>
              <w:t>%</w:t>
            </w:r>
          </w:p>
        </w:tc>
        <w:tc>
          <w:tcPr>
            <w:tcW w:w="441" w:type="pct"/>
            <w:noWrap w:val="0"/>
            <w:vAlign w:val="center"/>
          </w:tcPr>
          <w:p>
            <w:pPr>
              <w:spacing w:after="0" w:line="360" w:lineRule="auto"/>
              <w:ind w:firstLine="28"/>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分</w:t>
            </w:r>
          </w:p>
        </w:tc>
        <w:tc>
          <w:tcPr>
            <w:tcW w:w="4846" w:type="dxa"/>
            <w:noWrap w:val="0"/>
            <w:vAlign w:val="center"/>
          </w:tcPr>
          <w:p>
            <w:pPr>
              <w:pStyle w:val="11"/>
              <w:spacing w:after="0" w:line="360" w:lineRule="auto"/>
              <w:rPr>
                <w:rFonts w:hint="eastAsia" w:ascii="仿宋" w:hAnsi="仿宋" w:eastAsia="仿宋" w:cs="仿宋"/>
                <w:color w:val="auto"/>
                <w:kern w:val="2"/>
                <w:sz w:val="24"/>
                <w:szCs w:val="22"/>
                <w:highlight w:val="none"/>
                <w:lang w:val="en-US" w:eastAsia="zh-CN" w:bidi="ar-SA"/>
              </w:rPr>
            </w:pPr>
            <w:r>
              <w:rPr>
                <w:rFonts w:hint="eastAsia" w:ascii="仿宋" w:hAnsi="仿宋" w:eastAsia="仿宋" w:cs="仿宋"/>
                <w:color w:val="auto"/>
                <w:kern w:val="2"/>
                <w:sz w:val="24"/>
                <w:szCs w:val="22"/>
                <w:highlight w:val="none"/>
                <w:lang w:val="en-US" w:eastAsia="zh-CN" w:bidi="ar-SA"/>
              </w:rPr>
              <w:t>投标人针对本项目拟定售后服务方案，根据投标人售后服务方案相关内容进行综合比较评分，售后服务方案包含①具有完善的售后服务体系；②具有完整可行的售后服务保障措施和计划；③具有针对本项目可行的售后服务承诺；④具有针对本项目的完善的售后服务走访制度。上述内容均符合实际情况、内容完善详细、描述准确、完全响应采购要求的得8分；每缺少一项内容的扣2分；每有一项内容存在错误或不足的扣1分，扣完为</w:t>
            </w:r>
            <w:r>
              <w:rPr>
                <w:rFonts w:hint="eastAsia" w:ascii="仿宋" w:hAnsi="仿宋" w:eastAsia="仿宋" w:cs="仿宋"/>
                <w:color w:val="auto"/>
                <w:kern w:val="2"/>
                <w:sz w:val="24"/>
                <w:szCs w:val="22"/>
                <w:highlight w:val="none"/>
                <w:lang w:val="en-US" w:eastAsia="zh-CN" w:bidi="ar-SA"/>
              </w:rPr>
              <w:t>止。</w:t>
            </w:r>
          </w:p>
          <w:p>
            <w:pPr>
              <w:pStyle w:val="11"/>
              <w:spacing w:after="0" w:line="360" w:lineRule="auto"/>
              <w:rPr>
                <w:rFonts w:hint="eastAsia" w:ascii="仿宋" w:hAnsi="仿宋" w:eastAsia="仿宋" w:cs="仿宋"/>
                <w:color w:val="auto"/>
                <w:kern w:val="2"/>
                <w:sz w:val="24"/>
                <w:szCs w:val="22"/>
                <w:highlight w:val="none"/>
                <w:lang w:val="en-US" w:eastAsia="zh-CN" w:bidi="ar-SA"/>
              </w:rPr>
            </w:pPr>
            <w:r>
              <w:rPr>
                <w:rFonts w:hint="eastAsia" w:ascii="仿宋" w:hAnsi="仿宋" w:eastAsia="仿宋" w:cs="仿宋"/>
                <w:color w:val="auto"/>
                <w:sz w:val="24"/>
                <w:szCs w:val="24"/>
                <w:highlight w:val="none"/>
                <w:lang w:val="en-US" w:eastAsia="zh-CN"/>
              </w:rPr>
              <w:t>注：</w:t>
            </w:r>
            <w:r>
              <w:rPr>
                <w:rFonts w:hint="eastAsia" w:ascii="仿宋" w:hAnsi="仿宋" w:eastAsia="仿宋" w:cs="仿宋"/>
                <w:color w:val="auto"/>
                <w:kern w:val="2"/>
                <w:sz w:val="24"/>
                <w:szCs w:val="22"/>
                <w:highlight w:val="none"/>
                <w:lang w:val="en-US" w:eastAsia="zh-CN" w:bidi="ar-SA"/>
              </w:rPr>
              <w:t>内容存在错误或不足是指：</w:t>
            </w:r>
            <w:r>
              <w:rPr>
                <w:rFonts w:hint="eastAsia" w:ascii="仿宋" w:hAnsi="仿宋" w:eastAsia="仿宋" w:cs="仿宋"/>
                <w:color w:val="auto"/>
                <w:sz w:val="24"/>
                <w:szCs w:val="24"/>
                <w:highlight w:val="none"/>
                <w:lang w:eastAsia="zh-CN"/>
              </w:rPr>
              <w:t>存在不适用项目实际情况的情形、凭空编造、逻辑漏洞、国家或行业标准错误以及不可能实现的情形等。</w:t>
            </w:r>
          </w:p>
        </w:tc>
        <w:tc>
          <w:tcPr>
            <w:tcW w:w="632" w:type="pct"/>
            <w:noWrap w:val="0"/>
            <w:vAlign w:val="center"/>
          </w:tcPr>
          <w:p>
            <w:pPr>
              <w:spacing w:after="0" w:line="360" w:lineRule="auto"/>
              <w:ind w:left="-38"/>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技术</w:t>
            </w:r>
            <w:r>
              <w:rPr>
                <w:rFonts w:hint="eastAsia" w:ascii="仿宋" w:hAnsi="仿宋" w:eastAsia="仿宋" w:cs="仿宋"/>
                <w:color w:val="auto"/>
                <w:sz w:val="24"/>
                <w:highlight w:val="none"/>
              </w:rPr>
              <w:t>评审因素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noWrap w:val="0"/>
            <w:vAlign w:val="center"/>
          </w:tcPr>
          <w:p>
            <w:pPr>
              <w:spacing w:after="0" w:line="360" w:lineRule="auto"/>
              <w:ind w:firstLine="28"/>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757" w:type="pct"/>
            <w:noWrap w:val="0"/>
            <w:vAlign w:val="center"/>
          </w:tcPr>
          <w:p>
            <w:pPr>
              <w:spacing w:after="0" w:line="360" w:lineRule="auto"/>
              <w:ind w:firstLine="28"/>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节能、环境标志、无线局域网产品1%</w:t>
            </w:r>
          </w:p>
        </w:tc>
        <w:tc>
          <w:tcPr>
            <w:tcW w:w="441" w:type="pct"/>
            <w:noWrap w:val="0"/>
            <w:vAlign w:val="center"/>
          </w:tcPr>
          <w:p>
            <w:pPr>
              <w:spacing w:after="0" w:line="360" w:lineRule="auto"/>
              <w:ind w:firstLine="28"/>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1分</w:t>
            </w:r>
          </w:p>
        </w:tc>
        <w:tc>
          <w:tcPr>
            <w:tcW w:w="2858" w:type="pct"/>
            <w:noWrap w:val="0"/>
            <w:vAlign w:val="center"/>
          </w:tcPr>
          <w:p>
            <w:pPr>
              <w:spacing w:after="0" w:line="360" w:lineRule="auto"/>
              <w:ind w:firstLine="28"/>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投标产品中属于政府采购优先采购范围的，则每有一项为节能产品或者环境标志产品或者无线局域网产品的得0</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分，非节能、环境标志产品的、无线局域网产品的不得分。本项最多得1分。</w:t>
            </w:r>
          </w:p>
          <w:p>
            <w:pPr>
              <w:spacing w:after="0" w:line="360" w:lineRule="auto"/>
              <w:ind w:firstLine="28"/>
              <w:rPr>
                <w:rFonts w:hint="eastAsia" w:ascii="仿宋" w:hAnsi="仿宋" w:eastAsia="仿宋" w:cs="仿宋"/>
                <w:color w:val="auto"/>
                <w:sz w:val="24"/>
                <w:highlight w:val="none"/>
              </w:rPr>
            </w:pPr>
            <w:r>
              <w:rPr>
                <w:rFonts w:hint="eastAsia" w:ascii="仿宋" w:hAnsi="仿宋" w:eastAsia="仿宋" w:cs="仿宋"/>
                <w:color w:val="auto"/>
                <w:sz w:val="24"/>
                <w:highlight w:val="none"/>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pPr>
              <w:spacing w:after="0" w:line="360" w:lineRule="auto"/>
              <w:ind w:firstLine="28"/>
              <w:rPr>
                <w:rFonts w:hint="eastAsia" w:ascii="仿宋" w:hAnsi="仿宋" w:eastAsia="仿宋" w:cs="仿宋"/>
                <w:color w:val="auto"/>
                <w:sz w:val="24"/>
                <w:highlight w:val="none"/>
              </w:rPr>
            </w:pPr>
            <w:r>
              <w:rPr>
                <w:rFonts w:hint="eastAsia" w:ascii="仿宋" w:hAnsi="仿宋" w:eastAsia="仿宋" w:cs="仿宋"/>
                <w:color w:val="auto"/>
                <w:sz w:val="24"/>
                <w:highlight w:val="none"/>
              </w:rPr>
              <w:t>2. 投标产品属于优先采购范围内的节能产品或者环境标志产品的，提供国家确定的认证机构出具的、处于有效期之内的节能产品、环境标志产品认证证书复印件加盖供应商公章（鲜章）。</w:t>
            </w:r>
          </w:p>
          <w:p>
            <w:pPr>
              <w:spacing w:after="0" w:line="360" w:lineRule="auto"/>
              <w:ind w:firstLine="28"/>
              <w:rPr>
                <w:rFonts w:hint="eastAsia" w:ascii="仿宋" w:hAnsi="仿宋" w:eastAsia="仿宋" w:cs="仿宋"/>
                <w:color w:val="auto"/>
                <w:sz w:val="24"/>
                <w:highlight w:val="none"/>
              </w:rPr>
            </w:pPr>
            <w:r>
              <w:rPr>
                <w:rFonts w:hint="eastAsia" w:ascii="仿宋" w:hAnsi="仿宋" w:eastAsia="仿宋" w:cs="仿宋"/>
                <w:color w:val="auto"/>
                <w:sz w:val="24"/>
                <w:highlight w:val="none"/>
              </w:rPr>
              <w:t>3. 投标产品属于优先采购范围内的无线局域网产品的，提供政府采购清单对应页并加盖供应商单位公章（鲜章）。</w:t>
            </w:r>
          </w:p>
        </w:tc>
        <w:tc>
          <w:tcPr>
            <w:tcW w:w="632" w:type="pct"/>
            <w:noWrap w:val="0"/>
            <w:vAlign w:val="center"/>
          </w:tcPr>
          <w:p>
            <w:pPr>
              <w:spacing w:after="0" w:line="360" w:lineRule="auto"/>
              <w:ind w:left="-38"/>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共同</w:t>
            </w:r>
            <w:r>
              <w:rPr>
                <w:rFonts w:hint="eastAsia" w:ascii="仿宋" w:hAnsi="仿宋" w:eastAsia="仿宋" w:cs="仿宋"/>
                <w:color w:val="auto"/>
                <w:sz w:val="24"/>
                <w:highlight w:val="none"/>
              </w:rPr>
              <w:t>评分因素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noWrap w:val="0"/>
            <w:vAlign w:val="center"/>
          </w:tcPr>
          <w:p>
            <w:pPr>
              <w:spacing w:after="0" w:line="360" w:lineRule="auto"/>
              <w:ind w:left="-38"/>
              <w:rPr>
                <w:rFonts w:hint="eastAsia" w:ascii="仿宋" w:hAnsi="仿宋" w:eastAsia="仿宋" w:cs="仿宋"/>
                <w:color w:val="auto"/>
                <w:sz w:val="24"/>
                <w:highlight w:val="none"/>
              </w:rPr>
            </w:pPr>
            <w:r>
              <w:rPr>
                <w:rFonts w:hint="eastAsia" w:ascii="仿宋" w:hAnsi="仿宋" w:eastAsia="仿宋" w:cs="仿宋"/>
                <w:color w:val="auto"/>
                <w:szCs w:val="21"/>
                <w:highlight w:val="none"/>
              </w:rPr>
              <w:t>注：①本表中所涉及的评审资料是响应文件的重要组成内容，未按要求提供或资料不全的将导致相应得分的丢失。②评分的取值按四舍五入法，保留小数点后两位。</w:t>
            </w:r>
          </w:p>
        </w:tc>
      </w:tr>
    </w:tbl>
    <w:p>
      <w:pPr>
        <w:pStyle w:val="18"/>
        <w:spacing w:line="360" w:lineRule="auto"/>
        <w:ind w:left="0" w:leftChars="0" w:firstLine="0" w:firstLineChars="0"/>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02包：</w:t>
      </w:r>
    </w:p>
    <w:tbl>
      <w:tblPr>
        <w:tblStyle w:val="34"/>
        <w:tblW w:w="4998"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8"/>
        <w:gridCol w:w="1290"/>
        <w:gridCol w:w="751"/>
        <w:gridCol w:w="4869"/>
        <w:gridCol w:w="1081"/>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tcBorders>
              <w:top w:val="double" w:color="auto" w:sz="4" w:space="0"/>
              <w:bottom w:val="single" w:color="auto" w:sz="4" w:space="0"/>
            </w:tcBorders>
            <w:noWrap w:val="0"/>
            <w:vAlign w:val="center"/>
          </w:tcPr>
          <w:p>
            <w:pPr>
              <w:spacing w:line="320" w:lineRule="exact"/>
              <w:ind w:firstLine="28"/>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757" w:type="pct"/>
            <w:tcBorders>
              <w:top w:val="double" w:color="auto" w:sz="4" w:space="0"/>
              <w:bottom w:val="single" w:color="auto" w:sz="4" w:space="0"/>
            </w:tcBorders>
            <w:noWrap w:val="0"/>
            <w:vAlign w:val="center"/>
          </w:tcPr>
          <w:p>
            <w:pPr>
              <w:spacing w:line="320" w:lineRule="exact"/>
              <w:ind w:firstLine="28"/>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评分因素</w:t>
            </w:r>
          </w:p>
          <w:p>
            <w:pPr>
              <w:spacing w:line="320" w:lineRule="exact"/>
              <w:ind w:firstLine="28"/>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及权重</w:t>
            </w:r>
          </w:p>
        </w:tc>
        <w:tc>
          <w:tcPr>
            <w:tcW w:w="441" w:type="pct"/>
            <w:tcBorders>
              <w:top w:val="double" w:color="auto" w:sz="4" w:space="0"/>
              <w:bottom w:val="single" w:color="auto" w:sz="4" w:space="0"/>
            </w:tcBorders>
            <w:noWrap w:val="0"/>
            <w:vAlign w:val="center"/>
          </w:tcPr>
          <w:p>
            <w:pPr>
              <w:spacing w:line="320" w:lineRule="exact"/>
              <w:ind w:firstLine="28"/>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分　值</w:t>
            </w:r>
          </w:p>
        </w:tc>
        <w:tc>
          <w:tcPr>
            <w:tcW w:w="2858" w:type="pct"/>
            <w:tcBorders>
              <w:top w:val="double" w:color="auto" w:sz="4" w:space="0"/>
              <w:bottom w:val="single" w:color="auto" w:sz="4" w:space="0"/>
            </w:tcBorders>
            <w:noWrap w:val="0"/>
            <w:vAlign w:val="center"/>
          </w:tcPr>
          <w:p>
            <w:pPr>
              <w:spacing w:line="320" w:lineRule="exact"/>
              <w:ind w:firstLine="28"/>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评分标准</w:t>
            </w:r>
          </w:p>
        </w:tc>
        <w:tc>
          <w:tcPr>
            <w:tcW w:w="632" w:type="pct"/>
            <w:tcBorders>
              <w:top w:val="double" w:color="auto" w:sz="4" w:space="0"/>
              <w:bottom w:val="single" w:color="auto" w:sz="4" w:space="0"/>
            </w:tcBorders>
            <w:noWrap w:val="0"/>
            <w:vAlign w:val="center"/>
          </w:tcPr>
          <w:p>
            <w:pPr>
              <w:spacing w:line="32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说    明</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tcBorders>
              <w:top w:val="single" w:color="auto" w:sz="4" w:space="0"/>
            </w:tcBorders>
            <w:noWrap w:val="0"/>
            <w:vAlign w:val="center"/>
          </w:tcPr>
          <w:p>
            <w:pPr>
              <w:spacing w:after="0" w:line="360" w:lineRule="auto"/>
              <w:ind w:firstLine="28"/>
              <w:jc w:val="center"/>
              <w:rPr>
                <w:rFonts w:hint="eastAsia" w:ascii="仿宋" w:hAnsi="仿宋" w:eastAsia="仿宋" w:cs="仿宋"/>
                <w:color w:val="auto"/>
                <w:highlight w:val="none"/>
              </w:rPr>
            </w:pPr>
            <w:r>
              <w:rPr>
                <w:rFonts w:hint="eastAsia" w:ascii="仿宋" w:hAnsi="仿宋" w:eastAsia="仿宋" w:cs="仿宋"/>
                <w:color w:val="auto"/>
                <w:sz w:val="24"/>
                <w:highlight w:val="none"/>
              </w:rPr>
              <w:t>1</w:t>
            </w:r>
          </w:p>
        </w:tc>
        <w:tc>
          <w:tcPr>
            <w:tcW w:w="757" w:type="pct"/>
            <w:tcBorders>
              <w:top w:val="single" w:color="auto" w:sz="4" w:space="0"/>
            </w:tcBorders>
            <w:noWrap w:val="0"/>
            <w:vAlign w:val="center"/>
          </w:tcPr>
          <w:p>
            <w:pPr>
              <w:spacing w:after="0" w:line="360" w:lineRule="auto"/>
              <w:ind w:firstLine="28"/>
              <w:jc w:val="center"/>
              <w:rPr>
                <w:rFonts w:hint="eastAsia" w:ascii="仿宋" w:hAnsi="仿宋" w:eastAsia="仿宋" w:cs="仿宋"/>
                <w:color w:val="auto"/>
                <w:highlight w:val="none"/>
              </w:rPr>
            </w:pPr>
            <w:r>
              <w:rPr>
                <w:rFonts w:hint="eastAsia" w:ascii="仿宋" w:hAnsi="仿宋" w:eastAsia="仿宋" w:cs="仿宋"/>
                <w:color w:val="auto"/>
                <w:sz w:val="24"/>
                <w:highlight w:val="none"/>
              </w:rPr>
              <w:t>报价30%</w:t>
            </w:r>
          </w:p>
        </w:tc>
        <w:tc>
          <w:tcPr>
            <w:tcW w:w="441" w:type="pct"/>
            <w:tcBorders>
              <w:top w:val="single" w:color="auto" w:sz="4" w:space="0"/>
            </w:tcBorders>
            <w:noWrap w:val="0"/>
            <w:vAlign w:val="center"/>
          </w:tcPr>
          <w:p>
            <w:pPr>
              <w:spacing w:after="0" w:line="360" w:lineRule="auto"/>
              <w:ind w:firstLine="28"/>
              <w:jc w:val="center"/>
              <w:rPr>
                <w:rFonts w:hint="eastAsia" w:ascii="仿宋" w:hAnsi="仿宋" w:eastAsia="仿宋" w:cs="仿宋"/>
                <w:color w:val="auto"/>
                <w:highlight w:val="none"/>
              </w:rPr>
            </w:pPr>
            <w:r>
              <w:rPr>
                <w:rFonts w:hint="eastAsia" w:ascii="仿宋" w:hAnsi="仿宋" w:eastAsia="仿宋" w:cs="仿宋"/>
                <w:color w:val="auto"/>
                <w:sz w:val="24"/>
                <w:highlight w:val="none"/>
              </w:rPr>
              <w:t>30分</w:t>
            </w:r>
          </w:p>
        </w:tc>
        <w:tc>
          <w:tcPr>
            <w:tcW w:w="2858" w:type="pct"/>
            <w:tcBorders>
              <w:top w:val="single" w:color="auto" w:sz="4" w:space="0"/>
            </w:tcBorders>
            <w:noWrap w:val="0"/>
            <w:vAlign w:val="center"/>
          </w:tcPr>
          <w:p>
            <w:pPr>
              <w:pStyle w:val="11"/>
              <w:spacing w:after="0"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以本次有效的最低的投标报价为基准价，投标报价得分=（基准价／投标报价）*30</w:t>
            </w:r>
          </w:p>
          <w:p>
            <w:pPr>
              <w:pStyle w:val="11"/>
              <w:spacing w:after="0" w:line="360" w:lineRule="auto"/>
              <w:rPr>
                <w:rFonts w:hint="eastAsia" w:ascii="仿宋" w:hAnsi="仿宋" w:eastAsia="仿宋" w:cs="仿宋"/>
                <w:color w:val="auto"/>
                <w:highlight w:val="none"/>
              </w:rPr>
            </w:pPr>
            <w:r>
              <w:rPr>
                <w:rFonts w:hint="eastAsia" w:ascii="仿宋" w:hAnsi="仿宋" w:eastAsia="仿宋" w:cs="仿宋"/>
                <w:color w:val="auto"/>
                <w:sz w:val="24"/>
                <w:highlight w:val="none"/>
              </w:rPr>
              <w:t>注：政策性鼓励与惩戒按照本招标文件投标须知附表规定执行。</w:t>
            </w:r>
          </w:p>
        </w:tc>
        <w:tc>
          <w:tcPr>
            <w:tcW w:w="632" w:type="pct"/>
            <w:tcBorders>
              <w:top w:val="single" w:color="auto" w:sz="4" w:space="0"/>
            </w:tcBorders>
            <w:noWrap w:val="0"/>
            <w:vAlign w:val="center"/>
          </w:tcPr>
          <w:p>
            <w:pPr>
              <w:spacing w:after="0" w:line="360" w:lineRule="auto"/>
              <w:ind w:left="-38"/>
              <w:jc w:val="center"/>
              <w:rPr>
                <w:rFonts w:hint="eastAsia" w:ascii="仿宋" w:hAnsi="仿宋" w:eastAsia="仿宋" w:cs="仿宋"/>
                <w:color w:val="auto"/>
                <w:highlight w:val="none"/>
              </w:rPr>
            </w:pPr>
            <w:r>
              <w:rPr>
                <w:rFonts w:hint="eastAsia" w:ascii="仿宋" w:hAnsi="仿宋" w:eastAsia="仿宋" w:cs="仿宋"/>
                <w:color w:val="auto"/>
                <w:sz w:val="24"/>
                <w:highlight w:val="none"/>
              </w:rPr>
              <w:t>共同评审因素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noWrap w:val="0"/>
            <w:vAlign w:val="center"/>
          </w:tcPr>
          <w:p>
            <w:pPr>
              <w:spacing w:after="0" w:line="360" w:lineRule="auto"/>
              <w:ind w:firstLine="28"/>
              <w:jc w:val="center"/>
              <w:rPr>
                <w:rFonts w:hint="eastAsia" w:ascii="仿宋" w:hAnsi="仿宋" w:eastAsia="仿宋" w:cs="仿宋"/>
                <w:color w:val="auto"/>
                <w:highlight w:val="none"/>
              </w:rPr>
            </w:pPr>
            <w:r>
              <w:rPr>
                <w:rFonts w:hint="eastAsia" w:ascii="仿宋" w:hAnsi="仿宋" w:eastAsia="仿宋" w:cs="仿宋"/>
                <w:color w:val="auto"/>
                <w:sz w:val="24"/>
                <w:highlight w:val="none"/>
              </w:rPr>
              <w:t>2</w:t>
            </w:r>
          </w:p>
        </w:tc>
        <w:tc>
          <w:tcPr>
            <w:tcW w:w="757" w:type="pct"/>
            <w:noWrap w:val="0"/>
            <w:vAlign w:val="center"/>
          </w:tcPr>
          <w:p>
            <w:pPr>
              <w:spacing w:after="0" w:line="360" w:lineRule="auto"/>
              <w:jc w:val="center"/>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技术指标和配置 </w:t>
            </w:r>
            <w:r>
              <w:rPr>
                <w:rFonts w:hint="eastAsia" w:ascii="仿宋" w:hAnsi="仿宋" w:eastAsia="仿宋" w:cs="仿宋"/>
                <w:color w:val="auto"/>
                <w:sz w:val="24"/>
                <w:highlight w:val="none"/>
                <w:lang w:val="en-US" w:eastAsia="zh-CN"/>
              </w:rPr>
              <w:t>48</w:t>
            </w:r>
            <w:r>
              <w:rPr>
                <w:rFonts w:hint="eastAsia" w:ascii="仿宋" w:hAnsi="仿宋" w:eastAsia="仿宋" w:cs="仿宋"/>
                <w:color w:val="auto"/>
                <w:sz w:val="24"/>
                <w:highlight w:val="none"/>
              </w:rPr>
              <w:t>%</w:t>
            </w:r>
          </w:p>
        </w:tc>
        <w:tc>
          <w:tcPr>
            <w:tcW w:w="441" w:type="pct"/>
            <w:noWrap w:val="0"/>
            <w:vAlign w:val="center"/>
          </w:tcPr>
          <w:p>
            <w:pPr>
              <w:spacing w:after="0" w:line="360" w:lineRule="auto"/>
              <w:ind w:firstLine="28"/>
              <w:jc w:val="center"/>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48</w:t>
            </w:r>
            <w:r>
              <w:rPr>
                <w:rFonts w:hint="eastAsia" w:ascii="仿宋" w:hAnsi="仿宋" w:eastAsia="仿宋" w:cs="仿宋"/>
                <w:color w:val="auto"/>
                <w:sz w:val="24"/>
                <w:highlight w:val="none"/>
              </w:rPr>
              <w:t>分</w:t>
            </w:r>
          </w:p>
        </w:tc>
        <w:tc>
          <w:tcPr>
            <w:tcW w:w="2858" w:type="pct"/>
            <w:noWrap w:val="0"/>
            <w:vAlign w:val="center"/>
          </w:tcPr>
          <w:p>
            <w:pPr>
              <w:spacing w:after="0"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w:t>
            </w:r>
            <w:r>
              <w:rPr>
                <w:rFonts w:hint="eastAsia" w:ascii="仿宋" w:hAnsi="仿宋" w:eastAsia="仿宋" w:cs="仿宋"/>
                <w:color w:val="auto"/>
                <w:sz w:val="24"/>
                <w:highlight w:val="none"/>
                <w:lang w:val="en-US" w:eastAsia="zh-CN"/>
              </w:rPr>
              <w:t>第四章</w:t>
            </w:r>
            <w:r>
              <w:rPr>
                <w:rFonts w:hint="eastAsia" w:ascii="仿宋" w:hAnsi="仿宋" w:eastAsia="仿宋" w:cs="仿宋"/>
                <w:color w:val="auto"/>
                <w:sz w:val="24"/>
                <w:highlight w:val="none"/>
              </w:rPr>
              <w:t>招标项目服务、商务及其他要求</w:t>
            </w:r>
            <w:r>
              <w:rPr>
                <w:rFonts w:hint="eastAsia" w:ascii="仿宋" w:hAnsi="仿宋" w:eastAsia="仿宋" w:cs="仿宋"/>
                <w:color w:val="auto"/>
                <w:sz w:val="24"/>
                <w:highlight w:val="none"/>
                <w:lang w:val="en-US" w:eastAsia="zh-CN"/>
              </w:rPr>
              <w:t>二、</w:t>
            </w:r>
            <w:r>
              <w:rPr>
                <w:rFonts w:hint="eastAsia" w:ascii="仿宋" w:hAnsi="仿宋" w:eastAsia="仿宋" w:cs="仿宋"/>
                <w:color w:val="auto"/>
                <w:sz w:val="24"/>
                <w:highlight w:val="none"/>
              </w:rPr>
              <w:t>项目技术要求部分（非实质性要求部分）（</w:t>
            </w:r>
            <w:r>
              <w:rPr>
                <w:rFonts w:hint="eastAsia" w:ascii="仿宋" w:hAnsi="仿宋" w:eastAsia="仿宋" w:cs="仿宋"/>
                <w:color w:val="auto"/>
                <w:sz w:val="24"/>
                <w:highlight w:val="none"/>
                <w:lang w:val="en-US" w:eastAsia="zh-CN"/>
              </w:rPr>
              <w:t>48</w:t>
            </w:r>
            <w:r>
              <w:rPr>
                <w:rFonts w:hint="eastAsia" w:ascii="仿宋" w:hAnsi="仿宋" w:eastAsia="仿宋" w:cs="仿宋"/>
                <w:color w:val="auto"/>
                <w:sz w:val="24"/>
                <w:highlight w:val="none"/>
              </w:rPr>
              <w:t>分）</w:t>
            </w:r>
          </w:p>
          <w:p>
            <w:pPr>
              <w:spacing w:after="0"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1.带“★”技术要求</w:t>
            </w:r>
            <w:r>
              <w:rPr>
                <w:rFonts w:hint="eastAsia" w:ascii="仿宋" w:hAnsi="仿宋" w:eastAsia="仿宋" w:cs="仿宋"/>
                <w:color w:val="auto"/>
                <w:sz w:val="24"/>
                <w:szCs w:val="24"/>
                <w:highlight w:val="none"/>
              </w:rPr>
              <w:t>完全满足招标文件要求得</w:t>
            </w:r>
            <w:r>
              <w:rPr>
                <w:rFonts w:hint="eastAsia" w:ascii="仿宋" w:hAnsi="仿宋" w:eastAsia="仿宋" w:cs="仿宋"/>
                <w:color w:val="auto"/>
                <w:sz w:val="24"/>
                <w:szCs w:val="24"/>
                <w:highlight w:val="none"/>
                <w:lang w:val="en-US" w:eastAsia="zh-CN"/>
              </w:rPr>
              <w:t>33</w:t>
            </w:r>
            <w:r>
              <w:rPr>
                <w:rFonts w:hint="eastAsia" w:ascii="仿宋" w:hAnsi="仿宋" w:eastAsia="仿宋" w:cs="仿宋"/>
                <w:color w:val="auto"/>
                <w:sz w:val="24"/>
                <w:szCs w:val="24"/>
                <w:highlight w:val="none"/>
              </w:rPr>
              <w:t>分，带</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号重要参数有负偏离的每一项扣</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分,直至此项分值扣完为止。</w:t>
            </w:r>
          </w:p>
          <w:p>
            <w:pPr>
              <w:spacing w:after="0"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2.非带“★”技术要求</w:t>
            </w:r>
            <w:r>
              <w:rPr>
                <w:rFonts w:hint="eastAsia" w:ascii="仿宋" w:hAnsi="仿宋" w:eastAsia="仿宋" w:cs="仿宋"/>
                <w:color w:val="auto"/>
                <w:sz w:val="24"/>
                <w:szCs w:val="24"/>
                <w:highlight w:val="none"/>
              </w:rPr>
              <w:t>完全满足招标文件要求得</w:t>
            </w: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有负偏离的每一项扣</w:t>
            </w:r>
            <w:r>
              <w:rPr>
                <w:rFonts w:hint="eastAsia" w:ascii="仿宋" w:hAnsi="仿宋" w:eastAsia="仿宋" w:cs="仿宋"/>
                <w:color w:val="auto"/>
                <w:sz w:val="24"/>
                <w:szCs w:val="24"/>
                <w:highlight w:val="none"/>
                <w:lang w:val="en-US" w:eastAsia="zh-CN"/>
              </w:rPr>
              <w:t>0.25</w:t>
            </w:r>
            <w:r>
              <w:rPr>
                <w:rFonts w:hint="eastAsia" w:ascii="仿宋" w:hAnsi="仿宋" w:eastAsia="仿宋" w:cs="仿宋"/>
                <w:color w:val="auto"/>
                <w:sz w:val="24"/>
                <w:szCs w:val="24"/>
                <w:highlight w:val="none"/>
              </w:rPr>
              <w:t>分,直至此项分值扣完为止。</w:t>
            </w:r>
          </w:p>
          <w:p>
            <w:pPr>
              <w:spacing w:after="0"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注：投标人须认真核实所有技术支持资料，并对其在投标文件中提供的技术支持资料的真实性负责，并承担由此带来的一切法律责任和后果。</w:t>
            </w:r>
            <w:r>
              <w:rPr>
                <w:rFonts w:hint="eastAsia" w:ascii="仿宋" w:hAnsi="仿宋" w:eastAsia="仿宋" w:cs="仿宋"/>
                <w:color w:val="auto"/>
                <w:sz w:val="24"/>
                <w:highlight w:val="none"/>
                <w:lang w:val="en-US" w:eastAsia="zh-CN"/>
              </w:rPr>
              <w:t>带</w:t>
            </w:r>
            <w:r>
              <w:rPr>
                <w:rFonts w:hint="eastAsia" w:ascii="仿宋" w:hAnsi="仿宋" w:eastAsia="仿宋" w:cs="仿宋"/>
                <w:color w:val="auto"/>
                <w:sz w:val="24"/>
                <w:highlight w:val="none"/>
              </w:rPr>
              <w:t>“★”重要参数应提供厂家白皮书或检测报告等第三方佐证材料（</w:t>
            </w:r>
            <w:r>
              <w:rPr>
                <w:rFonts w:hint="eastAsia" w:ascii="仿宋" w:hAnsi="仿宋" w:eastAsia="仿宋" w:cs="仿宋"/>
                <w:color w:val="auto"/>
                <w:sz w:val="24"/>
                <w:highlight w:val="none"/>
              </w:rPr>
              <w:t>技术要求有特别说明的，按其要求提供证明材料</w:t>
            </w:r>
            <w:r>
              <w:rPr>
                <w:rFonts w:hint="eastAsia" w:ascii="仿宋" w:hAnsi="仿宋" w:eastAsia="仿宋" w:cs="仿宋"/>
                <w:color w:val="auto"/>
                <w:sz w:val="24"/>
                <w:highlight w:val="none"/>
                <w:lang w:eastAsia="zh-CN"/>
              </w:rPr>
              <w:t>，并在参数应答表上标注所在页码</w:t>
            </w:r>
            <w:r>
              <w:rPr>
                <w:rFonts w:hint="eastAsia" w:ascii="仿宋" w:hAnsi="仿宋" w:eastAsia="仿宋" w:cs="仿宋"/>
                <w:color w:val="auto"/>
                <w:sz w:val="24"/>
                <w:highlight w:val="none"/>
              </w:rPr>
              <w:t>），如无佐证材料的，</w:t>
            </w:r>
            <w:r>
              <w:rPr>
                <w:rFonts w:hint="eastAsia" w:ascii="仿宋" w:hAnsi="仿宋" w:eastAsia="仿宋" w:cs="仿宋"/>
                <w:color w:val="auto"/>
                <w:sz w:val="24"/>
                <w:highlight w:val="none"/>
                <w:lang w:val="en-US" w:eastAsia="zh-CN"/>
              </w:rPr>
              <w:t>不得分。</w:t>
            </w:r>
          </w:p>
        </w:tc>
        <w:tc>
          <w:tcPr>
            <w:tcW w:w="632" w:type="pct"/>
            <w:noWrap w:val="0"/>
            <w:vAlign w:val="center"/>
          </w:tcPr>
          <w:p>
            <w:pPr>
              <w:spacing w:after="0" w:line="360" w:lineRule="auto"/>
              <w:jc w:val="center"/>
              <w:rPr>
                <w:rFonts w:hint="eastAsia" w:ascii="仿宋" w:hAnsi="仿宋" w:eastAsia="仿宋" w:cs="仿宋"/>
                <w:color w:val="auto"/>
                <w:highlight w:val="none"/>
              </w:rPr>
            </w:pPr>
            <w:r>
              <w:rPr>
                <w:rFonts w:hint="eastAsia" w:ascii="仿宋" w:hAnsi="仿宋" w:eastAsia="仿宋" w:cs="仿宋"/>
                <w:color w:val="auto"/>
                <w:sz w:val="24"/>
                <w:highlight w:val="none"/>
              </w:rPr>
              <w:t>技术评审因素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noWrap w:val="0"/>
            <w:vAlign w:val="center"/>
          </w:tcPr>
          <w:p>
            <w:pPr>
              <w:spacing w:after="0" w:line="360" w:lineRule="auto"/>
              <w:ind w:firstLine="28"/>
              <w:jc w:val="center"/>
              <w:rPr>
                <w:rFonts w:hint="eastAsia" w:ascii="仿宋" w:hAnsi="仿宋" w:eastAsia="仿宋" w:cs="仿宋"/>
                <w:color w:val="auto"/>
                <w:highlight w:val="none"/>
              </w:rPr>
            </w:pPr>
            <w:r>
              <w:rPr>
                <w:rFonts w:hint="eastAsia" w:ascii="仿宋" w:hAnsi="仿宋" w:eastAsia="仿宋" w:cs="仿宋"/>
                <w:color w:val="auto"/>
                <w:sz w:val="24"/>
                <w:highlight w:val="none"/>
              </w:rPr>
              <w:t>3</w:t>
            </w:r>
          </w:p>
        </w:tc>
        <w:tc>
          <w:tcPr>
            <w:tcW w:w="757" w:type="pct"/>
            <w:noWrap w:val="0"/>
            <w:vAlign w:val="center"/>
          </w:tcPr>
          <w:p>
            <w:pPr>
              <w:spacing w:after="0" w:line="360" w:lineRule="auto"/>
              <w:ind w:firstLine="28"/>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业绩</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w:t>
            </w:r>
          </w:p>
        </w:tc>
        <w:tc>
          <w:tcPr>
            <w:tcW w:w="441" w:type="pct"/>
            <w:noWrap w:val="0"/>
            <w:vAlign w:val="center"/>
          </w:tcPr>
          <w:p>
            <w:pPr>
              <w:spacing w:after="0" w:line="360" w:lineRule="auto"/>
              <w:ind w:firstLine="28"/>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分</w:t>
            </w:r>
          </w:p>
        </w:tc>
        <w:tc>
          <w:tcPr>
            <w:tcW w:w="2858" w:type="pct"/>
            <w:noWrap w:val="0"/>
            <w:vAlign w:val="center"/>
          </w:tcPr>
          <w:p>
            <w:pPr>
              <w:spacing w:after="0"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提供2019年以来投标人的类似项目业绩，每提供1个得</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分，最多得</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分。</w:t>
            </w:r>
          </w:p>
          <w:p>
            <w:pPr>
              <w:spacing w:after="0"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注：提供中标（成交）通知书或合同复印件加盖供应商公章，未提供</w:t>
            </w:r>
            <w:r>
              <w:rPr>
                <w:rFonts w:hint="eastAsia" w:ascii="仿宋" w:hAnsi="仿宋" w:eastAsia="仿宋" w:cs="仿宋"/>
                <w:color w:val="auto"/>
                <w:sz w:val="24"/>
                <w:highlight w:val="none"/>
                <w:lang w:val="en-US" w:eastAsia="zh-CN"/>
              </w:rPr>
              <w:t>和</w:t>
            </w:r>
            <w:r>
              <w:rPr>
                <w:rFonts w:hint="eastAsia" w:ascii="仿宋" w:hAnsi="仿宋" w:eastAsia="仿宋" w:cs="仿宋"/>
                <w:color w:val="auto"/>
                <w:sz w:val="24"/>
                <w:highlight w:val="none"/>
              </w:rPr>
              <w:t>未盖章的不得分。</w:t>
            </w:r>
          </w:p>
        </w:tc>
        <w:tc>
          <w:tcPr>
            <w:tcW w:w="632" w:type="pct"/>
            <w:noWrap w:val="0"/>
            <w:vAlign w:val="center"/>
          </w:tcPr>
          <w:p>
            <w:pPr>
              <w:spacing w:after="0" w:line="360" w:lineRule="auto"/>
              <w:ind w:left="-40"/>
              <w:jc w:val="center"/>
              <w:rPr>
                <w:rFonts w:hint="eastAsia" w:ascii="仿宋" w:hAnsi="仿宋" w:eastAsia="仿宋" w:cs="仿宋"/>
                <w:color w:val="auto"/>
                <w:sz w:val="24"/>
                <w:highlight w:val="none"/>
              </w:rPr>
            </w:pPr>
          </w:p>
          <w:p>
            <w:pPr>
              <w:spacing w:after="0" w:line="360" w:lineRule="auto"/>
              <w:ind w:left="-4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共同评审因素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noWrap w:val="0"/>
            <w:vAlign w:val="center"/>
          </w:tcPr>
          <w:p>
            <w:pPr>
              <w:spacing w:after="0" w:line="360" w:lineRule="auto"/>
              <w:ind w:firstLine="28"/>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757" w:type="pct"/>
            <w:noWrap w:val="0"/>
            <w:vAlign w:val="center"/>
          </w:tcPr>
          <w:p>
            <w:pPr>
              <w:spacing w:after="0" w:line="360" w:lineRule="auto"/>
              <w:ind w:firstLine="28"/>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售后服务方案12</w:t>
            </w:r>
            <w:r>
              <w:rPr>
                <w:rFonts w:hint="eastAsia" w:ascii="仿宋" w:hAnsi="仿宋" w:eastAsia="仿宋" w:cs="仿宋"/>
                <w:color w:val="auto"/>
                <w:sz w:val="24"/>
                <w:highlight w:val="none"/>
              </w:rPr>
              <w:t>%</w:t>
            </w:r>
          </w:p>
        </w:tc>
        <w:tc>
          <w:tcPr>
            <w:tcW w:w="441" w:type="pct"/>
            <w:noWrap w:val="0"/>
            <w:vAlign w:val="center"/>
          </w:tcPr>
          <w:p>
            <w:pPr>
              <w:spacing w:after="0" w:line="360" w:lineRule="auto"/>
              <w:ind w:firstLine="28"/>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分</w:t>
            </w:r>
          </w:p>
        </w:tc>
        <w:tc>
          <w:tcPr>
            <w:tcW w:w="4846" w:type="dxa"/>
            <w:noWrap w:val="0"/>
            <w:vAlign w:val="center"/>
          </w:tcPr>
          <w:p>
            <w:pPr>
              <w:pStyle w:val="11"/>
              <w:spacing w:after="0" w:line="360" w:lineRule="auto"/>
              <w:rPr>
                <w:rFonts w:hint="eastAsia" w:ascii="仿宋" w:hAnsi="仿宋" w:eastAsia="仿宋" w:cs="仿宋"/>
                <w:color w:val="auto"/>
                <w:kern w:val="2"/>
                <w:sz w:val="24"/>
                <w:szCs w:val="22"/>
                <w:highlight w:val="none"/>
                <w:lang w:val="en-US" w:eastAsia="zh-CN" w:bidi="ar-SA"/>
              </w:rPr>
            </w:pPr>
            <w:r>
              <w:rPr>
                <w:rFonts w:hint="eastAsia" w:ascii="仿宋" w:hAnsi="仿宋" w:eastAsia="仿宋" w:cs="仿宋"/>
                <w:color w:val="auto"/>
                <w:kern w:val="2"/>
                <w:sz w:val="24"/>
                <w:szCs w:val="22"/>
                <w:highlight w:val="none"/>
                <w:lang w:val="en-US" w:eastAsia="zh-CN" w:bidi="ar-SA"/>
              </w:rPr>
              <w:t>投标人针对本项目拟定售后服务方案，根据投标人售后服务方案相关内容进行综合比较评分，售后服务方案包含①具有完善的售后服务体系；②具有完整可行的售后服务保障措施和计划；③具有针对本项目可行的售后服务承诺；④具有针对本项目的完善的售后服务走访制度。上述内容均符合实际情况、内容完善详细、描述准确、完全响应采购要求的得12分；每缺少一项内容的扣3分；每有一项内容存在错误或不足的扣2分，扣完为止。</w:t>
            </w:r>
          </w:p>
          <w:p>
            <w:pPr>
              <w:pStyle w:val="11"/>
              <w:spacing w:after="0" w:line="360" w:lineRule="auto"/>
              <w:rPr>
                <w:rFonts w:hint="eastAsia" w:ascii="仿宋" w:hAnsi="仿宋" w:eastAsia="仿宋" w:cs="仿宋"/>
                <w:color w:val="auto"/>
                <w:kern w:val="2"/>
                <w:sz w:val="24"/>
                <w:szCs w:val="22"/>
                <w:highlight w:val="none"/>
                <w:lang w:val="en-US" w:eastAsia="zh-CN" w:bidi="ar-SA"/>
              </w:rPr>
            </w:pPr>
            <w:r>
              <w:rPr>
                <w:rFonts w:hint="eastAsia" w:ascii="仿宋" w:hAnsi="仿宋" w:eastAsia="仿宋" w:cs="仿宋"/>
                <w:color w:val="auto"/>
                <w:sz w:val="24"/>
                <w:szCs w:val="24"/>
                <w:highlight w:val="none"/>
                <w:lang w:val="en-US" w:eastAsia="zh-CN"/>
              </w:rPr>
              <w:t>注：</w:t>
            </w:r>
            <w:r>
              <w:rPr>
                <w:rFonts w:hint="eastAsia" w:ascii="仿宋" w:hAnsi="仿宋" w:eastAsia="仿宋" w:cs="仿宋"/>
                <w:color w:val="auto"/>
                <w:kern w:val="2"/>
                <w:sz w:val="24"/>
                <w:szCs w:val="22"/>
                <w:highlight w:val="none"/>
                <w:lang w:val="en-US" w:eastAsia="zh-CN" w:bidi="ar-SA"/>
              </w:rPr>
              <w:t>内容存在错误或不足是指：</w:t>
            </w:r>
            <w:r>
              <w:rPr>
                <w:rFonts w:hint="eastAsia" w:ascii="仿宋" w:hAnsi="仿宋" w:eastAsia="仿宋" w:cs="仿宋"/>
                <w:color w:val="auto"/>
                <w:sz w:val="24"/>
                <w:szCs w:val="24"/>
                <w:highlight w:val="none"/>
                <w:lang w:eastAsia="zh-CN"/>
              </w:rPr>
              <w:t>存在不适用项目实际情况的情形、凭空编造、逻辑漏洞、国家或行业标准错误以及不可能实现的情形等。</w:t>
            </w:r>
          </w:p>
        </w:tc>
        <w:tc>
          <w:tcPr>
            <w:tcW w:w="632" w:type="pct"/>
            <w:noWrap w:val="0"/>
            <w:vAlign w:val="center"/>
          </w:tcPr>
          <w:p>
            <w:pPr>
              <w:spacing w:after="0" w:line="360" w:lineRule="auto"/>
              <w:ind w:left="-38"/>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技术</w:t>
            </w:r>
            <w:r>
              <w:rPr>
                <w:rFonts w:hint="eastAsia" w:ascii="仿宋" w:hAnsi="仿宋" w:eastAsia="仿宋" w:cs="仿宋"/>
                <w:color w:val="auto"/>
                <w:sz w:val="24"/>
                <w:highlight w:val="none"/>
              </w:rPr>
              <w:t>评审因素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noWrap w:val="0"/>
            <w:vAlign w:val="center"/>
          </w:tcPr>
          <w:p>
            <w:pPr>
              <w:spacing w:after="0" w:line="360" w:lineRule="auto"/>
              <w:ind w:firstLine="28"/>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757" w:type="pct"/>
            <w:noWrap w:val="0"/>
            <w:vAlign w:val="center"/>
          </w:tcPr>
          <w:p>
            <w:pPr>
              <w:spacing w:after="0" w:line="360" w:lineRule="auto"/>
              <w:ind w:firstLine="28"/>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节能、环境标志、无线局域网产品1%</w:t>
            </w:r>
          </w:p>
        </w:tc>
        <w:tc>
          <w:tcPr>
            <w:tcW w:w="441" w:type="pct"/>
            <w:noWrap w:val="0"/>
            <w:vAlign w:val="center"/>
          </w:tcPr>
          <w:p>
            <w:pPr>
              <w:spacing w:after="0" w:line="360" w:lineRule="auto"/>
              <w:ind w:firstLine="28"/>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1分</w:t>
            </w:r>
          </w:p>
        </w:tc>
        <w:tc>
          <w:tcPr>
            <w:tcW w:w="2858" w:type="pct"/>
            <w:noWrap w:val="0"/>
            <w:vAlign w:val="center"/>
          </w:tcPr>
          <w:p>
            <w:pPr>
              <w:spacing w:after="0" w:line="360" w:lineRule="auto"/>
              <w:ind w:firstLine="28"/>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投标产品中属于政府采购优先采购范围的，则每有一项为节能产品或者环境标志产品或者无线局域网产品的得0</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分，非节能、环境标志产品的、无线局域网产品的不得分。本项最多得1分。</w:t>
            </w:r>
          </w:p>
          <w:p>
            <w:pPr>
              <w:spacing w:after="0" w:line="360" w:lineRule="auto"/>
              <w:ind w:firstLine="28"/>
              <w:rPr>
                <w:rFonts w:hint="eastAsia" w:ascii="仿宋" w:hAnsi="仿宋" w:eastAsia="仿宋" w:cs="仿宋"/>
                <w:color w:val="auto"/>
                <w:sz w:val="24"/>
                <w:highlight w:val="none"/>
              </w:rPr>
            </w:pPr>
            <w:r>
              <w:rPr>
                <w:rFonts w:hint="eastAsia" w:ascii="仿宋" w:hAnsi="仿宋" w:eastAsia="仿宋" w:cs="仿宋"/>
                <w:color w:val="auto"/>
                <w:sz w:val="24"/>
                <w:highlight w:val="none"/>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pPr>
              <w:spacing w:after="0" w:line="360" w:lineRule="auto"/>
              <w:ind w:firstLine="28"/>
              <w:rPr>
                <w:rFonts w:hint="eastAsia" w:ascii="仿宋" w:hAnsi="仿宋" w:eastAsia="仿宋" w:cs="仿宋"/>
                <w:color w:val="auto"/>
                <w:sz w:val="24"/>
                <w:highlight w:val="none"/>
              </w:rPr>
            </w:pPr>
            <w:r>
              <w:rPr>
                <w:rFonts w:hint="eastAsia" w:ascii="仿宋" w:hAnsi="仿宋" w:eastAsia="仿宋" w:cs="仿宋"/>
                <w:color w:val="auto"/>
                <w:sz w:val="24"/>
                <w:highlight w:val="none"/>
              </w:rPr>
              <w:t>2. 投标产品属于优先采购范围内的节能产品或者环境标志产品的，提供国家确定的认证机构出具的、处于有效期之内的节能产品、环境标志产品认证证书复印件加盖供应商公章（鲜章）。</w:t>
            </w:r>
          </w:p>
          <w:p>
            <w:pPr>
              <w:spacing w:after="0" w:line="360" w:lineRule="auto"/>
              <w:ind w:firstLine="28"/>
              <w:rPr>
                <w:rFonts w:hint="eastAsia" w:ascii="仿宋" w:hAnsi="仿宋" w:eastAsia="仿宋" w:cs="仿宋"/>
                <w:color w:val="auto"/>
                <w:sz w:val="24"/>
                <w:highlight w:val="none"/>
              </w:rPr>
            </w:pPr>
            <w:r>
              <w:rPr>
                <w:rFonts w:hint="eastAsia" w:ascii="仿宋" w:hAnsi="仿宋" w:eastAsia="仿宋" w:cs="仿宋"/>
                <w:color w:val="auto"/>
                <w:sz w:val="24"/>
                <w:highlight w:val="none"/>
              </w:rPr>
              <w:t>3. 投标产品属于优先采购范围内的无线局域网产品的，提供政府采购清单对应页并加盖供应商单位公章（鲜章）。</w:t>
            </w:r>
          </w:p>
        </w:tc>
        <w:tc>
          <w:tcPr>
            <w:tcW w:w="632" w:type="pct"/>
            <w:noWrap w:val="0"/>
            <w:vAlign w:val="center"/>
          </w:tcPr>
          <w:p>
            <w:pPr>
              <w:spacing w:after="0" w:line="360" w:lineRule="auto"/>
              <w:ind w:left="-38"/>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共同</w:t>
            </w:r>
            <w:r>
              <w:rPr>
                <w:rFonts w:hint="eastAsia" w:ascii="仿宋" w:hAnsi="仿宋" w:eastAsia="仿宋" w:cs="仿宋"/>
                <w:color w:val="auto"/>
                <w:sz w:val="24"/>
                <w:highlight w:val="none"/>
              </w:rPr>
              <w:t>评分因素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noWrap w:val="0"/>
            <w:vAlign w:val="center"/>
          </w:tcPr>
          <w:p>
            <w:pPr>
              <w:spacing w:after="0" w:line="360" w:lineRule="auto"/>
              <w:ind w:left="-38"/>
              <w:rPr>
                <w:rFonts w:hint="eastAsia" w:ascii="仿宋" w:hAnsi="仿宋" w:eastAsia="仿宋" w:cs="仿宋"/>
                <w:color w:val="auto"/>
                <w:sz w:val="24"/>
                <w:highlight w:val="none"/>
              </w:rPr>
            </w:pPr>
            <w:r>
              <w:rPr>
                <w:rFonts w:hint="eastAsia" w:ascii="仿宋" w:hAnsi="仿宋" w:eastAsia="仿宋" w:cs="仿宋"/>
                <w:color w:val="auto"/>
                <w:szCs w:val="21"/>
                <w:highlight w:val="none"/>
              </w:rPr>
              <w:t>注：①本表中所涉及的评审资料是响应文件的重要组成内容，未按要求提供或资料不全的将导致相应得分的丢失。②评分的取值按四舍五入法，保留小数点后两位。</w:t>
            </w:r>
          </w:p>
        </w:tc>
      </w:tr>
    </w:tbl>
    <w:p>
      <w:pPr>
        <w:pStyle w:val="4"/>
        <w:spacing w:before="0" w:after="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 废标</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本次政府采购活动中，出现下列情形之一的，予以废标：</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（1）符合专业条件的投标人或者对招标文件作实质响应的投标人不足三家的；</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（2）出现影响采购公正的违法、违规行为的；</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（3）投标人的报价均超过了采购预算，采购人不能支付的；</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（4）因重大变故，采购任务取消的；</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废标后，招标代理机构将在“四川政府采购网”上公告。</w:t>
      </w:r>
    </w:p>
    <w:p>
      <w:pPr>
        <w:pStyle w:val="4"/>
        <w:spacing w:before="0" w:after="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 定标</w:t>
      </w:r>
    </w:p>
    <w:p>
      <w:pPr>
        <w:spacing w:after="0"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7.1定标原则</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本项目根据评标委员会确定的中标候选人名单，采购人按顺序确定1名中标人。中标候选供应商并列的，由采购人采取随机抽取的方式确定中标人。</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采购人在收到评标报告5个工作日内未按评标报告推荐的中标候选人顺序确定中标人，又不能说明合法理由的，视同按评标报告推荐的顺序确定排名第一的中标候选人为中标人。</w:t>
      </w:r>
    </w:p>
    <w:p>
      <w:pPr>
        <w:spacing w:after="0" w:line="360" w:lineRule="auto"/>
        <w:ind w:firstLine="482" w:firstLineChars="200"/>
        <w:rPr>
          <w:rFonts w:hint="eastAsia" w:ascii="仿宋" w:hAnsi="仿宋" w:eastAsia="仿宋" w:cs="仿宋"/>
          <w:color w:val="auto"/>
          <w:highlight w:val="none"/>
        </w:rPr>
      </w:pPr>
      <w:r>
        <w:rPr>
          <w:rFonts w:hint="eastAsia" w:ascii="仿宋" w:hAnsi="仿宋" w:eastAsia="仿宋" w:cs="仿宋"/>
          <w:b/>
          <w:bCs/>
          <w:color w:val="auto"/>
          <w:sz w:val="24"/>
          <w:highlight w:val="none"/>
        </w:rPr>
        <w:t>7.2定标程序</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（1）评审委员会将评审情况写出书面报告。</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（2）招标代理机构在评审结束之日起2个工作日内将评审报告送采购人。</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（3）采购人在收到评审报告后三个工作日内，按照评审报告中推荐的中标候选人顺序确定中标人。</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（4）根据采购人确定的中标人，招标代理机构在“四川政府采购网”上发布中标公告，同时向中标人发出中标通知书。</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（5）采购人、招标代理机构不解释中标或未中标原因，不退回投标文件和其他投标资料。</w:t>
      </w:r>
    </w:p>
    <w:p>
      <w:pPr>
        <w:pStyle w:val="4"/>
        <w:spacing w:before="0" w:after="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 评标专家在政府采购活动中承担以下义务</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（1）遵纪守法，客观、公正、廉洁地履行职责。</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按照政府采购法律法规和采购文件的规定要求对投标人的资格条件和投标人提供的产品价格、技术、服务等方面严格进行独立评审，提供科学合理、公平公正的评审意见，参与起草评审报告，并予签字确认。</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（3）保守秘密。不得泄漏投标人的投标文件及知悉的商业秘密，不得向投标人透露评审情况。</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（4）发现投标人在政府采购活动中有不正当竞争或恶意串通等违规行为，及时向政府采购评审工作的组织者或财政部门报告并加以制止。</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（5）发现采购人、招标代理机构及其工作人员在政府采购活动中有干预评审、发表倾向性和歧视性言论、受贿或者接受投标人的其他好处及其他违法违规行为，及时向财政部门报告。</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（6）解答有关方面对政府采购评审工作中有关问题的询问，配合采购人或者招标代理机构答复投标人的询问、质疑，配合财政部门的投诉处理工作等事宜。</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（7）法律、法规和规章规定的其他义务。</w:t>
      </w:r>
    </w:p>
    <w:p>
      <w:pPr>
        <w:pStyle w:val="4"/>
        <w:spacing w:before="0" w:after="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 评标委员会及其成员不得有下列行为</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（1）确定参与评标至评标结束前私自接触投标人；</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（2）接受投标人提出的与投标文件不一致的澄清或者说明，除招标文件明确可以澄清的除外；</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（3）违反评标纪律发表倾向性意见或者征询采购人的倾向性意见；</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（4）对需要专业判断的主观评审因素协商评分；</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（5）在评标过程中擅离职守，影响评标程序正常进行的；</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（6）记录、复制或者带走任何评标资料；</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（7）其他不遵守评标纪律的行为。</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评标委员会成员有前款第一至五项行为之一的，其评审意见无效，并不得获取评审劳务报酬和报销异地评审差旅费。</w:t>
      </w:r>
    </w:p>
    <w:p>
      <w:pPr>
        <w:pStyle w:val="4"/>
        <w:spacing w:before="0" w:after="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 评审专家在政府采购活动中应当遵守以下工作纪律</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（1）遵行《政府采购法》第十二条和《政府采购法实施条例》第九条及政府采购相关法律法规关于回避的规定。</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（2）应邀按时参加评审和咨询活动，遵守评标区管理规定。</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进入评标区之前应将所有的通信设备存入招标代理机构指定的存放处。评标专家不得以任何方式将通信设备带入评标区，否则将被取消其当次项目的评标资格。遇特殊情况不能出席或途中遇阻不能按时参加评审或咨询的，应及时告知财政部门或者采购人或者招标代理机构，不得私自转托他人。</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（4）不得参加与自己有利害关系的政府采购项目的评审活动。对与自己有利害关系的评审项目，如受到邀请，应主动提出回避。财政部门、采购人或招标代理机构也可要求该评审专家回避。</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（5）评审过程中关闭通讯设备，不得与外界联系。因发生不可预见情况，确实需要与外界联系的，在监督人员监督之下办理。</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（7）在评标过程中和评标结束后，不得记录、复制或带走任何评标资料，除因规定的义务外，不得向外界透露评标内容。</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（8）服从评标现场招标代理机构的现场秩序管理，接受评标现场监督人员的合法监督。</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（9）遵守有关廉洁自律规定，不得私下接触投标人，不得收受投标人及有关业务单位和个人的财物或好处，不得接受采购组织单位的请托。</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（10）有关部门（机构）制定的其他评审工作纪律。</w:t>
      </w:r>
    </w:p>
    <w:bookmarkEnd w:id="166"/>
    <w:bookmarkEnd w:id="185"/>
    <w:bookmarkEnd w:id="186"/>
    <w:p>
      <w:pPr>
        <w:pStyle w:val="3"/>
        <w:spacing w:line="400" w:lineRule="exact"/>
        <w:jc w:val="center"/>
        <w:rPr>
          <w:rFonts w:hint="eastAsia" w:ascii="仿宋" w:hAnsi="仿宋" w:eastAsia="仿宋" w:cs="仿宋"/>
          <w:color w:val="auto"/>
          <w:sz w:val="32"/>
          <w:szCs w:val="32"/>
          <w:highlight w:val="none"/>
        </w:rPr>
      </w:pPr>
      <w:bookmarkStart w:id="187" w:name="_Toc18105"/>
      <w:bookmarkStart w:id="188" w:name="_Toc17449_WPSOffice_Level1"/>
      <w:bookmarkStart w:id="189" w:name="_Toc6055"/>
      <w:r>
        <w:rPr>
          <w:rFonts w:hint="eastAsia" w:ascii="仿宋" w:hAnsi="仿宋" w:eastAsia="仿宋" w:cs="仿宋"/>
          <w:b/>
          <w:bCs/>
          <w:color w:val="auto"/>
          <w:sz w:val="32"/>
          <w:szCs w:val="32"/>
          <w:highlight w:val="none"/>
        </w:rPr>
        <w:br w:type="page"/>
      </w:r>
      <w:r>
        <w:rPr>
          <w:rFonts w:hint="eastAsia" w:ascii="仿宋" w:hAnsi="仿宋" w:eastAsia="仿宋" w:cs="仿宋"/>
          <w:b/>
          <w:bCs/>
          <w:color w:val="auto"/>
          <w:sz w:val="32"/>
          <w:szCs w:val="32"/>
          <w:highlight w:val="none"/>
        </w:rPr>
        <w:t xml:space="preserve">第七章  </w:t>
      </w:r>
      <w:bookmarkEnd w:id="187"/>
      <w:bookmarkEnd w:id="188"/>
      <w:r>
        <w:rPr>
          <w:rFonts w:hint="eastAsia" w:ascii="仿宋" w:hAnsi="仿宋" w:eastAsia="仿宋" w:cs="仿宋"/>
          <w:b/>
          <w:bCs/>
          <w:color w:val="auto"/>
          <w:sz w:val="32"/>
          <w:szCs w:val="32"/>
          <w:highlight w:val="none"/>
        </w:rPr>
        <w:t>政府采购合同</w:t>
      </w:r>
      <w:bookmarkEnd w:id="189"/>
    </w:p>
    <w:p>
      <w:pPr>
        <w:spacing w:line="400" w:lineRule="exact"/>
        <w:rPr>
          <w:rFonts w:hint="eastAsia" w:ascii="仿宋" w:hAnsi="仿宋" w:eastAsia="仿宋" w:cs="仿宋"/>
          <w:color w:val="auto"/>
          <w:highlight w:val="none"/>
        </w:rPr>
      </w:pPr>
    </w:p>
    <w:p>
      <w:pPr>
        <w:spacing w:line="360" w:lineRule="auto"/>
        <w:ind w:firstLine="723" w:firstLineChars="200"/>
        <w:jc w:val="center"/>
        <w:outlineLvl w:val="0"/>
        <w:rPr>
          <w:rFonts w:hint="eastAsia" w:ascii="仿宋" w:hAnsi="仿宋" w:eastAsia="仿宋" w:cs="仿宋"/>
          <w:color w:val="auto"/>
          <w:kern w:val="0"/>
          <w:szCs w:val="28"/>
          <w:highlight w:val="none"/>
        </w:rPr>
      </w:pPr>
      <w:r>
        <w:rPr>
          <w:rFonts w:hint="eastAsia" w:ascii="仿宋" w:hAnsi="仿宋" w:eastAsia="仿宋" w:cs="仿宋"/>
          <w:b/>
          <w:bCs/>
          <w:color w:val="auto"/>
          <w:sz w:val="36"/>
          <w:szCs w:val="36"/>
          <w:highlight w:val="none"/>
        </w:rPr>
        <w:t xml:space="preserve"> </w:t>
      </w:r>
      <w:bookmarkStart w:id="190" w:name="_Toc23708"/>
      <w:r>
        <w:rPr>
          <w:rFonts w:hint="eastAsia" w:ascii="仿宋" w:hAnsi="仿宋" w:eastAsia="仿宋" w:cs="仿宋"/>
          <w:b/>
          <w:bCs/>
          <w:color w:val="auto"/>
          <w:sz w:val="36"/>
          <w:szCs w:val="36"/>
          <w:highlight w:val="none"/>
        </w:rPr>
        <w:t>合同主要条款（</w:t>
      </w:r>
      <w:r>
        <w:rPr>
          <w:rFonts w:hint="eastAsia" w:ascii="仿宋" w:hAnsi="仿宋" w:eastAsia="仿宋" w:cs="仿宋"/>
          <w:b/>
          <w:bCs/>
          <w:color w:val="auto"/>
          <w:sz w:val="36"/>
          <w:szCs w:val="36"/>
          <w:highlight w:val="none"/>
          <w:lang w:val="en-US" w:eastAsia="zh-CN"/>
        </w:rPr>
        <w:t>仅</w:t>
      </w:r>
      <w:r>
        <w:rPr>
          <w:rFonts w:hint="eastAsia" w:ascii="仿宋" w:hAnsi="仿宋" w:eastAsia="仿宋" w:cs="仿宋"/>
          <w:b/>
          <w:bCs/>
          <w:color w:val="auto"/>
          <w:sz w:val="36"/>
          <w:szCs w:val="36"/>
          <w:highlight w:val="none"/>
        </w:rPr>
        <w:t>供参考）</w:t>
      </w:r>
      <w:bookmarkEnd w:id="190"/>
    </w:p>
    <w:p>
      <w:pPr>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合同编号：</w:t>
      </w:r>
      <w:r>
        <w:rPr>
          <w:rFonts w:hint="eastAsia" w:ascii="仿宋" w:hAnsi="仿宋" w:eastAsia="仿宋" w:cs="仿宋"/>
          <w:color w:val="auto"/>
          <w:szCs w:val="21"/>
          <w:highlight w:val="none"/>
        </w:rPr>
        <w:t>XXXX。</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签订地点：</w:t>
      </w:r>
      <w:r>
        <w:rPr>
          <w:rFonts w:hint="eastAsia" w:ascii="仿宋" w:hAnsi="仿宋" w:eastAsia="仿宋" w:cs="仿宋"/>
          <w:color w:val="auto"/>
          <w:szCs w:val="21"/>
          <w:highlight w:val="none"/>
        </w:rPr>
        <w:t>XXXX。</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签订时间：</w:t>
      </w:r>
      <w:r>
        <w:rPr>
          <w:rFonts w:hint="eastAsia" w:ascii="仿宋" w:hAnsi="仿宋" w:eastAsia="仿宋" w:cs="仿宋"/>
          <w:color w:val="auto"/>
          <w:szCs w:val="21"/>
          <w:highlight w:val="none"/>
        </w:rPr>
        <w:t>XXXX</w:t>
      </w:r>
      <w:r>
        <w:rPr>
          <w:rFonts w:hint="eastAsia" w:ascii="仿宋" w:hAnsi="仿宋" w:eastAsia="仿宋" w:cs="仿宋"/>
          <w:color w:val="auto"/>
          <w:sz w:val="24"/>
          <w:highlight w:val="none"/>
        </w:rPr>
        <w:t>年</w:t>
      </w:r>
      <w:r>
        <w:rPr>
          <w:rFonts w:hint="eastAsia" w:ascii="仿宋" w:hAnsi="仿宋" w:eastAsia="仿宋" w:cs="仿宋"/>
          <w:color w:val="auto"/>
          <w:szCs w:val="21"/>
          <w:highlight w:val="none"/>
        </w:rPr>
        <w:t>XX</w:t>
      </w:r>
      <w:r>
        <w:rPr>
          <w:rFonts w:hint="eastAsia" w:ascii="仿宋" w:hAnsi="仿宋" w:eastAsia="仿宋" w:cs="仿宋"/>
          <w:color w:val="auto"/>
          <w:sz w:val="24"/>
          <w:highlight w:val="none"/>
        </w:rPr>
        <w:t>月</w:t>
      </w:r>
      <w:r>
        <w:rPr>
          <w:rFonts w:hint="eastAsia" w:ascii="仿宋" w:hAnsi="仿宋" w:eastAsia="仿宋" w:cs="仿宋"/>
          <w:color w:val="auto"/>
          <w:szCs w:val="21"/>
          <w:highlight w:val="none"/>
        </w:rPr>
        <w:t>XX</w:t>
      </w:r>
      <w:r>
        <w:rPr>
          <w:rFonts w:hint="eastAsia" w:ascii="仿宋" w:hAnsi="仿宋" w:eastAsia="仿宋" w:cs="仿宋"/>
          <w:color w:val="auto"/>
          <w:sz w:val="24"/>
          <w:highlight w:val="none"/>
        </w:rPr>
        <w:t>日。</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采购人（甲方）：</w:t>
      </w:r>
      <w:r>
        <w:rPr>
          <w:rFonts w:hint="eastAsia" w:ascii="仿宋" w:hAnsi="仿宋" w:eastAsia="仿宋" w:cs="仿宋"/>
          <w:color w:val="auto"/>
          <w:sz w:val="24"/>
          <w:highlight w:val="none"/>
          <w:u w:val="singl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供应商（乙方）：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highlight w:val="none"/>
        </w:rPr>
        <w:t xml:space="preserve">                                       </w:t>
      </w:r>
    </w:p>
    <w:p>
      <w:pPr>
        <w:spacing w:line="360" w:lineRule="auto"/>
        <w:rPr>
          <w:rFonts w:hint="eastAsia" w:ascii="仿宋" w:hAnsi="仿宋" w:eastAsia="仿宋" w:cs="仿宋"/>
          <w:color w:val="auto"/>
          <w:sz w:val="24"/>
          <w:highlight w:val="none"/>
        </w:rPr>
      </w:pPr>
    </w:p>
    <w:p>
      <w:pPr>
        <w:pStyle w:val="85"/>
        <w:spacing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根据《中华人民共和国政府采购法》、《中华人民共和国</w:t>
      </w:r>
      <w:r>
        <w:rPr>
          <w:rFonts w:hint="eastAsia" w:ascii="仿宋" w:hAnsi="仿宋" w:eastAsia="仿宋" w:cs="仿宋"/>
          <w:color w:val="auto"/>
          <w:highlight w:val="none"/>
          <w:lang w:val="en-US" w:eastAsia="zh-CN"/>
        </w:rPr>
        <w:t>民法典</w:t>
      </w:r>
      <w:r>
        <w:rPr>
          <w:rFonts w:hint="eastAsia" w:ascii="仿宋" w:hAnsi="仿宋" w:eastAsia="仿宋" w:cs="仿宋"/>
          <w:color w:val="auto"/>
          <w:highlight w:val="none"/>
        </w:rPr>
        <w:t>》及</w:t>
      </w:r>
      <w:r>
        <w:rPr>
          <w:rFonts w:hint="eastAsia" w:ascii="仿宋" w:hAnsi="仿宋" w:eastAsia="仿宋" w:cs="仿宋"/>
          <w:color w:val="auto"/>
          <w:szCs w:val="21"/>
          <w:highlight w:val="none"/>
        </w:rPr>
        <w:t>XX</w:t>
      </w:r>
      <w:r>
        <w:rPr>
          <w:rFonts w:hint="eastAsia" w:ascii="仿宋" w:hAnsi="仿宋" w:eastAsia="仿宋" w:cs="仿宋"/>
          <w:color w:val="auto"/>
          <w:highlight w:val="none"/>
        </w:rPr>
        <w:t>政府采购中心</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采购项目（项目编号：</w:t>
      </w:r>
      <w:r>
        <w:rPr>
          <w:rFonts w:hint="eastAsia" w:ascii="仿宋" w:hAnsi="仿宋" w:eastAsia="仿宋" w:cs="仿宋"/>
          <w:color w:val="auto"/>
          <w:szCs w:val="21"/>
          <w:highlight w:val="none"/>
        </w:rPr>
        <w:t>XX</w:t>
      </w:r>
      <w:r>
        <w:rPr>
          <w:rFonts w:hint="eastAsia" w:ascii="仿宋" w:hAnsi="仿宋" w:eastAsia="仿宋" w:cs="仿宋"/>
          <w:color w:val="auto"/>
          <w:highlight w:val="none"/>
        </w:rPr>
        <w:t>）的《</w:t>
      </w:r>
      <w:r>
        <w:rPr>
          <w:rFonts w:hint="eastAsia" w:ascii="仿宋" w:hAnsi="仿宋" w:eastAsia="仿宋" w:cs="仿宋"/>
          <w:color w:val="auto"/>
          <w:highlight w:val="none"/>
          <w:lang w:eastAsia="zh-CN"/>
        </w:rPr>
        <w:t>采购文件</w:t>
      </w:r>
      <w:r>
        <w:rPr>
          <w:rFonts w:hint="eastAsia" w:ascii="仿宋" w:hAnsi="仿宋" w:eastAsia="仿宋" w:cs="仿宋"/>
          <w:color w:val="auto"/>
          <w:highlight w:val="none"/>
        </w:rPr>
        <w:t>》、乙方的《投标文件》及《中标通知书》，甲、乙双方同意签订本合同。详细技术说明及其他有关合同项目的特定信息由合同附件予以说明，合同附件及本项目的</w:t>
      </w:r>
      <w:r>
        <w:rPr>
          <w:rFonts w:hint="eastAsia" w:ascii="仿宋" w:hAnsi="仿宋" w:eastAsia="仿宋" w:cs="仿宋"/>
          <w:color w:val="auto"/>
          <w:highlight w:val="none"/>
          <w:lang w:eastAsia="zh-CN"/>
        </w:rPr>
        <w:t>采购文件</w:t>
      </w:r>
      <w:r>
        <w:rPr>
          <w:rFonts w:hint="eastAsia" w:ascii="仿宋" w:hAnsi="仿宋" w:eastAsia="仿宋" w:cs="仿宋"/>
          <w:color w:val="auto"/>
          <w:highlight w:val="none"/>
        </w:rPr>
        <w:t>、投标文件、《中标通知书》等均为本合同不可分割的部分。双方同意共同遵守如下条款：</w:t>
      </w:r>
    </w:p>
    <w:p>
      <w:pPr>
        <w:pStyle w:val="4"/>
        <w:spacing w:line="360" w:lineRule="auto"/>
        <w:ind w:firstLine="482" w:firstLineChars="200"/>
        <w:rPr>
          <w:rFonts w:hint="eastAsia" w:ascii="仿宋" w:hAnsi="仿宋" w:eastAsia="仿宋" w:cs="仿宋"/>
          <w:color w:val="auto"/>
          <w:sz w:val="24"/>
          <w:szCs w:val="24"/>
          <w:highlight w:val="none"/>
        </w:rPr>
      </w:pPr>
      <w:bookmarkStart w:id="191" w:name="_Toc217446107"/>
      <w:r>
        <w:rPr>
          <w:rFonts w:hint="eastAsia" w:ascii="仿宋" w:hAnsi="仿宋" w:eastAsia="仿宋" w:cs="仿宋"/>
          <w:color w:val="auto"/>
          <w:sz w:val="24"/>
          <w:szCs w:val="24"/>
          <w:highlight w:val="none"/>
        </w:rPr>
        <w:t>一、合同货物</w:t>
      </w:r>
      <w:bookmarkEnd w:id="191"/>
    </w:p>
    <w:tbl>
      <w:tblPr>
        <w:tblStyle w:val="34"/>
        <w:tblW w:w="0" w:type="auto"/>
        <w:tblInd w:w="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75"/>
        <w:gridCol w:w="1050"/>
        <w:gridCol w:w="720"/>
        <w:gridCol w:w="900"/>
        <w:gridCol w:w="1080"/>
        <w:gridCol w:w="1185"/>
        <w:gridCol w:w="1260"/>
        <w:gridCol w:w="12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1575"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货物品名</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规格</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型号</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单位</w:t>
            </w: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120" w:firstLineChars="50"/>
              <w:rPr>
                <w:rFonts w:hint="eastAsia" w:ascii="仿宋" w:hAnsi="仿宋" w:eastAsia="仿宋" w:cs="仿宋"/>
                <w:color w:val="auto"/>
                <w:sz w:val="24"/>
                <w:highlight w:val="none"/>
              </w:rPr>
            </w:pPr>
            <w:r>
              <w:rPr>
                <w:rFonts w:hint="eastAsia" w:ascii="仿宋" w:hAnsi="仿宋" w:eastAsia="仿宋" w:cs="仿宋"/>
                <w:color w:val="auto"/>
                <w:sz w:val="24"/>
                <w:highlight w:val="none"/>
              </w:rPr>
              <w:t>数量</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120" w:firstLineChars="5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单价</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总价</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随机</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配件</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120" w:firstLineChars="50"/>
              <w:rPr>
                <w:rFonts w:hint="eastAsia" w:ascii="仿宋" w:hAnsi="仿宋" w:eastAsia="仿宋" w:cs="仿宋"/>
                <w:color w:val="auto"/>
                <w:sz w:val="24"/>
                <w:highlight w:val="none"/>
              </w:rPr>
            </w:pPr>
            <w:r>
              <w:rPr>
                <w:rFonts w:hint="eastAsia" w:ascii="仿宋" w:hAnsi="仿宋" w:eastAsia="仿宋" w:cs="仿宋"/>
                <w:color w:val="auto"/>
                <w:sz w:val="24"/>
                <w:highlight w:val="none"/>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w:t>
            </w: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w:t>
            </w:r>
          </w:p>
        </w:tc>
        <w:tc>
          <w:tcPr>
            <w:tcW w:w="11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w:t>
            </w: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w:t>
            </w:r>
          </w:p>
        </w:tc>
        <w:tc>
          <w:tcPr>
            <w:tcW w:w="11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w:t>
            </w:r>
          </w:p>
        </w:tc>
      </w:tr>
    </w:tbl>
    <w:p>
      <w:pPr>
        <w:pStyle w:val="4"/>
        <w:spacing w:line="360" w:lineRule="auto"/>
        <w:ind w:firstLine="482" w:firstLineChars="200"/>
        <w:rPr>
          <w:rFonts w:hint="eastAsia" w:ascii="仿宋" w:hAnsi="仿宋" w:eastAsia="仿宋" w:cs="仿宋"/>
          <w:color w:val="auto"/>
          <w:sz w:val="24"/>
          <w:szCs w:val="24"/>
          <w:highlight w:val="none"/>
        </w:rPr>
      </w:pPr>
      <w:bookmarkStart w:id="192" w:name="_Toc217446108"/>
      <w:r>
        <w:rPr>
          <w:rFonts w:hint="eastAsia" w:ascii="仿宋" w:hAnsi="仿宋" w:eastAsia="仿宋" w:cs="仿宋"/>
          <w:color w:val="auto"/>
          <w:sz w:val="24"/>
          <w:szCs w:val="24"/>
          <w:highlight w:val="none"/>
        </w:rPr>
        <w:t>二、合同总价</w:t>
      </w:r>
      <w:bookmarkEnd w:id="192"/>
    </w:p>
    <w:p>
      <w:pPr>
        <w:pStyle w:val="9"/>
        <w:spacing w:line="360" w:lineRule="auto"/>
        <w:ind w:firstLineChars="175"/>
        <w:rPr>
          <w:rFonts w:hint="eastAsia" w:ascii="仿宋" w:hAnsi="仿宋" w:eastAsia="仿宋" w:cs="仿宋"/>
          <w:color w:val="auto"/>
          <w:sz w:val="24"/>
          <w:highlight w:val="none"/>
        </w:rPr>
      </w:pPr>
      <w:r>
        <w:rPr>
          <w:rFonts w:hint="eastAsia" w:ascii="仿宋" w:hAnsi="仿宋" w:eastAsia="仿宋" w:cs="仿宋"/>
          <w:color w:val="auto"/>
          <w:sz w:val="24"/>
          <w:highlight w:val="none"/>
        </w:rPr>
        <w:t>合同总价为人民币大写：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元，即RMB￥</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pStyle w:val="4"/>
        <w:spacing w:line="360" w:lineRule="auto"/>
        <w:ind w:firstLine="482" w:firstLineChars="200"/>
        <w:rPr>
          <w:rFonts w:hint="eastAsia" w:ascii="仿宋" w:hAnsi="仿宋" w:eastAsia="仿宋" w:cs="仿宋"/>
          <w:color w:val="auto"/>
          <w:sz w:val="24"/>
          <w:szCs w:val="24"/>
          <w:highlight w:val="none"/>
        </w:rPr>
      </w:pPr>
      <w:bookmarkStart w:id="193" w:name="_Toc217446109"/>
      <w:r>
        <w:rPr>
          <w:rFonts w:hint="eastAsia" w:ascii="仿宋" w:hAnsi="仿宋" w:eastAsia="仿宋" w:cs="仿宋"/>
          <w:color w:val="auto"/>
          <w:sz w:val="24"/>
          <w:szCs w:val="24"/>
          <w:highlight w:val="none"/>
        </w:rPr>
        <w:t>三、质量要求</w:t>
      </w:r>
      <w:bookmarkEnd w:id="193"/>
    </w:p>
    <w:p>
      <w:pPr>
        <w:pStyle w:val="85"/>
        <w:spacing w:line="460" w:lineRule="exact"/>
        <w:ind w:firstLine="0" w:firstLineChars="0"/>
        <w:jc w:val="left"/>
        <w:rPr>
          <w:rFonts w:hint="eastAsia" w:ascii="仿宋" w:hAnsi="仿宋" w:eastAsia="仿宋" w:cs="仿宋"/>
          <w:color w:val="auto"/>
          <w:highlight w:val="none"/>
        </w:rPr>
      </w:pPr>
      <w:r>
        <w:rPr>
          <w:rFonts w:hint="eastAsia" w:ascii="仿宋" w:hAnsi="仿宋" w:eastAsia="仿宋" w:cs="仿宋"/>
          <w:color w:val="auto"/>
          <w:highlight w:val="none"/>
        </w:rPr>
        <w:t xml:space="preserve"> 1、乙方须提供全新的货物（含零部件、配件、使用说明书等），表面无划伤、无碰撞痕迹，且权属清楚，不得侵害他人的知识产权，并按照相关要求包装完好。</w:t>
      </w:r>
    </w:p>
    <w:p>
      <w:pPr>
        <w:pStyle w:val="85"/>
        <w:spacing w:line="460" w:lineRule="exact"/>
        <w:ind w:firstLine="0" w:firstLineChars="0"/>
        <w:jc w:val="left"/>
        <w:rPr>
          <w:rFonts w:hint="eastAsia" w:ascii="仿宋" w:hAnsi="仿宋" w:eastAsia="仿宋" w:cs="仿宋"/>
          <w:color w:val="auto"/>
          <w:highlight w:val="none"/>
        </w:rPr>
      </w:pPr>
      <w:r>
        <w:rPr>
          <w:rFonts w:hint="eastAsia" w:ascii="仿宋" w:hAnsi="仿宋" w:eastAsia="仿宋" w:cs="仿宋"/>
          <w:color w:val="auto"/>
          <w:highlight w:val="none"/>
        </w:rPr>
        <w:t xml:space="preserve">    2、货物必须符合或优于国家（行业）标准，以及本项目招标文件的质量要求和技术指标与出厂标准。</w:t>
      </w:r>
    </w:p>
    <w:p>
      <w:pPr>
        <w:pStyle w:val="85"/>
        <w:spacing w:line="460" w:lineRule="exact"/>
        <w:ind w:firstLine="0" w:firstLineChars="0"/>
        <w:jc w:val="left"/>
        <w:rPr>
          <w:rFonts w:hint="eastAsia" w:ascii="仿宋" w:hAnsi="仿宋" w:eastAsia="仿宋" w:cs="仿宋"/>
          <w:color w:val="auto"/>
          <w:highlight w:val="none"/>
        </w:rPr>
      </w:pPr>
      <w:r>
        <w:rPr>
          <w:rFonts w:hint="eastAsia" w:ascii="仿宋" w:hAnsi="仿宋" w:eastAsia="仿宋" w:cs="仿宋"/>
          <w:color w:val="auto"/>
          <w:highlight w:val="none"/>
        </w:rPr>
        <w:t xml:space="preserve">    3、货物制造质量出现问题，乙方应负责三包（包修、包换、包退），费用由乙方负担，甲方有权到乙方生产场地检查货物质量和生产进度。</w:t>
      </w:r>
    </w:p>
    <w:p>
      <w:pPr>
        <w:pStyle w:val="85"/>
        <w:spacing w:line="460" w:lineRule="exact"/>
        <w:ind w:firstLine="0" w:firstLineChars="0"/>
        <w:jc w:val="left"/>
        <w:rPr>
          <w:rFonts w:hint="eastAsia" w:ascii="仿宋" w:hAnsi="仿宋" w:eastAsia="仿宋" w:cs="仿宋"/>
          <w:color w:val="auto"/>
          <w:highlight w:val="none"/>
        </w:rPr>
      </w:pPr>
      <w:r>
        <w:rPr>
          <w:rFonts w:hint="eastAsia" w:ascii="仿宋" w:hAnsi="仿宋" w:eastAsia="仿宋" w:cs="仿宋"/>
          <w:color w:val="auto"/>
          <w:highlight w:val="none"/>
        </w:rPr>
        <w:t xml:space="preserve">    4、货到现场后由于甲方保管不当造成的质量问题，乙方亦应负责修理，但费用由甲方负担。</w:t>
      </w:r>
      <w:bookmarkStart w:id="194" w:name="_Toc217446110"/>
    </w:p>
    <w:p>
      <w:pPr>
        <w:pStyle w:val="85"/>
        <w:spacing w:line="460" w:lineRule="exact"/>
        <w:ind w:firstLine="0" w:firstLineChars="0"/>
        <w:jc w:val="left"/>
        <w:rPr>
          <w:rFonts w:hint="eastAsia" w:ascii="仿宋" w:hAnsi="仿宋" w:eastAsia="仿宋" w:cs="仿宋"/>
          <w:b/>
          <w:color w:val="auto"/>
          <w:highlight w:val="none"/>
        </w:rPr>
      </w:pPr>
      <w:r>
        <w:rPr>
          <w:rFonts w:hint="eastAsia" w:ascii="仿宋" w:hAnsi="仿宋" w:eastAsia="仿宋" w:cs="仿宋"/>
          <w:b/>
          <w:color w:val="auto"/>
          <w:highlight w:val="none"/>
        </w:rPr>
        <w:t xml:space="preserve">    四、交货及验收</w:t>
      </w:r>
      <w:bookmarkEnd w:id="194"/>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1、乙方在合同签订生效之日起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天内交货（全部货物）到甲方指定地点，随即在</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日内</w:t>
      </w:r>
      <w:r>
        <w:rPr>
          <w:rFonts w:hint="eastAsia" w:ascii="仿宋" w:hAnsi="仿宋" w:eastAsia="仿宋" w:cs="仿宋"/>
          <w:bCs/>
          <w:color w:val="auto"/>
          <w:sz w:val="24"/>
          <w:highlight w:val="none"/>
        </w:rPr>
        <w:t>到</w:t>
      </w:r>
      <w:r>
        <w:rPr>
          <w:rFonts w:hint="eastAsia" w:ascii="仿宋" w:hAnsi="仿宋" w:eastAsia="仿宋" w:cs="仿宋"/>
          <w:color w:val="auto"/>
          <w:sz w:val="24"/>
          <w:highlight w:val="none"/>
        </w:rPr>
        <w:t>达现场组织安装、调试，达到正常运行要求，保证医院能正常使用，并在全部完成安装调试后通知甲方初验收；特殊情况，经双方协商一致后可延期交货。</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乙方应就设备的安装、调试、操作、维修、保养等对采购人维修技术人员进行培训。设备安装调试完毕后，中标供应商应对采购人操作人员进行现场培训，直至医院的技术人员能独立操作，同时能完成一般常见故障的维修工作。</w:t>
      </w:r>
    </w:p>
    <w:p>
      <w:pPr>
        <w:pStyle w:val="85"/>
        <w:spacing w:line="460" w:lineRule="exact"/>
        <w:ind w:firstLine="0" w:firstLineChars="0"/>
        <w:jc w:val="left"/>
        <w:rPr>
          <w:rFonts w:hint="eastAsia" w:ascii="仿宋" w:hAnsi="仿宋" w:eastAsia="仿宋" w:cs="仿宋"/>
          <w:color w:val="auto"/>
          <w:highlight w:val="none"/>
        </w:rPr>
      </w:pPr>
      <w:r>
        <w:rPr>
          <w:rFonts w:hint="eastAsia" w:ascii="仿宋" w:hAnsi="仿宋" w:eastAsia="仿宋" w:cs="仿宋"/>
          <w:color w:val="auto"/>
          <w:highlight w:val="none"/>
        </w:rPr>
        <w:t xml:space="preserve">    3、验收由甲方组织，乙方配合进行：</w:t>
      </w:r>
    </w:p>
    <w:p>
      <w:pPr>
        <w:pStyle w:val="85"/>
        <w:spacing w:line="460" w:lineRule="exact"/>
        <w:ind w:firstLine="0" w:firstLineChars="0"/>
        <w:jc w:val="left"/>
        <w:rPr>
          <w:rFonts w:hint="eastAsia" w:ascii="仿宋" w:hAnsi="仿宋" w:eastAsia="仿宋" w:cs="仿宋"/>
          <w:color w:val="auto"/>
          <w:highlight w:val="none"/>
        </w:rPr>
      </w:pPr>
      <w:r>
        <w:rPr>
          <w:rFonts w:hint="eastAsia" w:ascii="仿宋" w:hAnsi="仿宋" w:eastAsia="仿宋" w:cs="仿宋"/>
          <w:color w:val="auto"/>
          <w:highlight w:val="none"/>
        </w:rPr>
        <w:t xml:space="preserve">    (1) 交货验收时，乙方须提供产品质检部门从同类产品中抽样检查合格的检测报告。货物在乙方书面通知安装调试完毕后</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rPr>
        <w:t>日内初步验收。</w:t>
      </w:r>
      <w:r>
        <w:rPr>
          <w:rFonts w:hint="eastAsia" w:ascii="仿宋" w:hAnsi="仿宋" w:eastAsia="仿宋" w:cs="仿宋"/>
          <w:color w:val="auto"/>
          <w:highlight w:val="none"/>
          <w:lang w:eastAsia="zh-CN"/>
        </w:rPr>
        <w:t>甲方无故逾期验收的，视为初步验收合格。</w:t>
      </w:r>
      <w:r>
        <w:rPr>
          <w:rFonts w:hint="eastAsia" w:ascii="仿宋" w:hAnsi="仿宋" w:eastAsia="仿宋" w:cs="仿宋"/>
          <w:color w:val="auto"/>
          <w:highlight w:val="none"/>
        </w:rPr>
        <w:t>初步验收合格后，进入</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日</w:t>
      </w:r>
      <w:r>
        <w:rPr>
          <w:rFonts w:hint="eastAsia" w:ascii="仿宋" w:hAnsi="仿宋" w:eastAsia="仿宋" w:cs="仿宋"/>
          <w:color w:val="auto"/>
          <w:highlight w:val="none"/>
        </w:rPr>
        <w:t>试用期；试用期间发</w:t>
      </w:r>
      <w:r>
        <w:rPr>
          <w:rFonts w:hint="eastAsia" w:ascii="仿宋" w:hAnsi="仿宋" w:eastAsia="仿宋" w:cs="仿宋"/>
          <w:color w:val="auto"/>
          <w:highlight w:val="none"/>
        </w:rPr>
        <w:t>生重大质量问题，甲方有权要求乙方进行更换或修复，更换或修复后重新计算试用期；试用期结束后</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日内甲方进行最终验收；</w:t>
      </w:r>
    </w:p>
    <w:p>
      <w:pPr>
        <w:pStyle w:val="85"/>
        <w:spacing w:line="460" w:lineRule="exact"/>
        <w:ind w:firstLine="0" w:firstLineChars="0"/>
        <w:jc w:val="left"/>
        <w:rPr>
          <w:rFonts w:hint="eastAsia" w:ascii="仿宋" w:hAnsi="仿宋" w:eastAsia="仿宋" w:cs="仿宋"/>
          <w:color w:val="auto"/>
          <w:highlight w:val="none"/>
        </w:rPr>
      </w:pPr>
      <w:r>
        <w:rPr>
          <w:rFonts w:hint="eastAsia" w:ascii="仿宋" w:hAnsi="仿宋" w:eastAsia="仿宋" w:cs="仿宋"/>
          <w:color w:val="auto"/>
          <w:highlight w:val="none"/>
        </w:rPr>
        <w:t xml:space="preserve">    (2)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pStyle w:val="85"/>
        <w:spacing w:line="460" w:lineRule="exact"/>
        <w:ind w:firstLine="0" w:firstLineChars="0"/>
        <w:jc w:val="left"/>
        <w:rPr>
          <w:rFonts w:hint="eastAsia" w:ascii="仿宋" w:hAnsi="仿宋" w:eastAsia="仿宋" w:cs="仿宋"/>
          <w:color w:val="auto"/>
          <w:highlight w:val="none"/>
        </w:rPr>
      </w:pPr>
      <w:r>
        <w:rPr>
          <w:rFonts w:hint="eastAsia" w:ascii="仿宋" w:hAnsi="仿宋" w:eastAsia="仿宋" w:cs="仿宋"/>
          <w:color w:val="auto"/>
          <w:highlight w:val="none"/>
        </w:rPr>
        <w:t xml:space="preserve">    (3)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但不免除乙方应承担的违约责任；</w:t>
      </w:r>
    </w:p>
    <w:p>
      <w:pPr>
        <w:pStyle w:val="85"/>
        <w:spacing w:line="460" w:lineRule="exact"/>
        <w:ind w:firstLine="0" w:firstLineChars="0"/>
        <w:jc w:val="left"/>
        <w:rPr>
          <w:rFonts w:hint="eastAsia" w:ascii="仿宋" w:hAnsi="仿宋" w:eastAsia="仿宋" w:cs="仿宋"/>
          <w:color w:val="auto"/>
          <w:highlight w:val="none"/>
        </w:rPr>
      </w:pPr>
      <w:r>
        <w:rPr>
          <w:rFonts w:hint="eastAsia" w:ascii="仿宋" w:hAnsi="仿宋" w:eastAsia="仿宋" w:cs="仿宋"/>
          <w:color w:val="auto"/>
          <w:highlight w:val="none"/>
        </w:rPr>
        <w:t xml:space="preserve">    (4) 如质量验收合格，双方签署质量验收报告。</w:t>
      </w:r>
    </w:p>
    <w:p>
      <w:pPr>
        <w:pStyle w:val="85"/>
        <w:spacing w:line="460" w:lineRule="exact"/>
        <w:ind w:firstLine="0" w:firstLineChars="0"/>
        <w:jc w:val="left"/>
        <w:rPr>
          <w:rFonts w:hint="eastAsia" w:ascii="仿宋" w:hAnsi="仿宋" w:eastAsia="仿宋" w:cs="仿宋"/>
          <w:color w:val="auto"/>
          <w:highlight w:val="none"/>
        </w:rPr>
      </w:pPr>
      <w:r>
        <w:rPr>
          <w:rFonts w:hint="eastAsia" w:ascii="仿宋" w:hAnsi="仿宋" w:eastAsia="仿宋" w:cs="仿宋"/>
          <w:color w:val="auto"/>
          <w:highlight w:val="none"/>
        </w:rPr>
        <w:t xml:space="preserve">    4、货物在试用期结束后</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日内，甲方无故不进行最终验收工作并已使用货物的，视同已安装调试完成并验收合格。</w:t>
      </w:r>
    </w:p>
    <w:p>
      <w:pPr>
        <w:pStyle w:val="85"/>
        <w:spacing w:line="460" w:lineRule="exact"/>
        <w:ind w:firstLine="0" w:firstLineChars="0"/>
        <w:jc w:val="left"/>
        <w:rPr>
          <w:rFonts w:hint="eastAsia" w:ascii="仿宋" w:hAnsi="仿宋" w:eastAsia="仿宋" w:cs="仿宋"/>
          <w:color w:val="auto"/>
          <w:highlight w:val="none"/>
        </w:rPr>
      </w:pPr>
      <w:r>
        <w:rPr>
          <w:rFonts w:hint="eastAsia" w:ascii="仿宋" w:hAnsi="仿宋" w:eastAsia="仿宋" w:cs="仿宋"/>
          <w:color w:val="auto"/>
          <w:highlight w:val="none"/>
        </w:rPr>
        <w:t xml:space="preserve">    5、乙方应将所提供货物的装箱清单、配件、随机工具、用户使用手册、原厂保修卡等资料交付给甲方；乙方不能完整交付货物及本款规定的单证和工具的，必须负责补齐，否则视为未按合同约定交货。</w:t>
      </w:r>
    </w:p>
    <w:p>
      <w:pPr>
        <w:pStyle w:val="85"/>
        <w:spacing w:line="460" w:lineRule="exact"/>
        <w:ind w:firstLine="0" w:firstLineChars="0"/>
        <w:jc w:val="left"/>
        <w:rPr>
          <w:rFonts w:hint="eastAsia" w:ascii="仿宋" w:hAnsi="仿宋" w:eastAsia="仿宋" w:cs="仿宋"/>
          <w:color w:val="auto"/>
          <w:highlight w:val="none"/>
        </w:rPr>
      </w:pPr>
      <w:r>
        <w:rPr>
          <w:rFonts w:hint="eastAsia" w:ascii="仿宋" w:hAnsi="仿宋" w:eastAsia="仿宋" w:cs="仿宋"/>
          <w:color w:val="auto"/>
          <w:highlight w:val="none"/>
        </w:rPr>
        <w:t xml:space="preserve">    6、如货物经乙方</w:t>
      </w:r>
      <w:r>
        <w:rPr>
          <w:rFonts w:hint="eastAsia" w:ascii="仿宋" w:hAnsi="仿宋" w:eastAsia="仿宋" w:cs="仿宋"/>
          <w:color w:val="auto"/>
          <w:highlight w:val="none"/>
          <w:u w:val="single"/>
        </w:rPr>
        <w:t xml:space="preserve"> 3</w:t>
      </w:r>
      <w:r>
        <w:rPr>
          <w:rFonts w:hint="eastAsia" w:ascii="仿宋" w:hAnsi="仿宋" w:eastAsia="仿宋" w:cs="仿宋"/>
          <w:color w:val="auto"/>
          <w:highlight w:val="none"/>
        </w:rPr>
        <w:t>次维修仍不能达到合同约定的质量标准，甲方有权退货，并视作乙方不能交付货物而须支付违约赔偿金给甲方，甲方还可依法追究乙方的违约责任。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7、其他未尽事宜应严格按照</w:t>
      </w:r>
      <w:bookmarkStart w:id="195" w:name="_Toc217446111"/>
      <w:r>
        <w:rPr>
          <w:rFonts w:hint="eastAsia" w:ascii="仿宋" w:hAnsi="仿宋" w:eastAsia="仿宋" w:cs="仿宋"/>
          <w:color w:val="auto"/>
          <w:sz w:val="24"/>
          <w:highlight w:val="none"/>
        </w:rPr>
        <w:t>《财政部关于进一步加强政府采购需求和履约验收管理的指导意见》(财库〔2016〕205号)、《四川省政府采购项目需求论证和履约验收管理办法》(川财采〔2015〕32号)的要求进行验收。</w:t>
      </w:r>
    </w:p>
    <w:p>
      <w:pPr>
        <w:pStyle w:val="85"/>
        <w:spacing w:line="460" w:lineRule="exact"/>
        <w:ind w:firstLine="480" w:firstLineChars="0"/>
        <w:jc w:val="left"/>
        <w:rPr>
          <w:rFonts w:hint="eastAsia" w:ascii="仿宋" w:hAnsi="仿宋" w:eastAsia="仿宋" w:cs="仿宋"/>
          <w:b/>
          <w:bCs/>
          <w:color w:val="auto"/>
          <w:highlight w:val="none"/>
        </w:rPr>
      </w:pPr>
      <w:r>
        <w:rPr>
          <w:rFonts w:hint="eastAsia" w:ascii="仿宋" w:hAnsi="仿宋" w:eastAsia="仿宋" w:cs="仿宋"/>
          <w:b/>
          <w:bCs/>
          <w:color w:val="auto"/>
          <w:highlight w:val="none"/>
        </w:rPr>
        <w:t>五、付款方式</w:t>
      </w:r>
      <w:bookmarkEnd w:id="195"/>
    </w:p>
    <w:p>
      <w:pPr>
        <w:numPr>
          <w:ilvl w:val="0"/>
          <w:numId w:val="0"/>
        </w:numPr>
        <w:spacing w:after="0" w:line="360" w:lineRule="auto"/>
        <w:ind w:firstLine="480" w:firstLineChars="200"/>
        <w:rPr>
          <w:rFonts w:hint="eastAsia" w:ascii="仿宋" w:hAnsi="仿宋" w:eastAsia="仿宋" w:cs="仿宋"/>
          <w:color w:val="auto"/>
          <w:sz w:val="24"/>
          <w:highlight w:val="none"/>
          <w:lang w:val="en-US" w:eastAsia="zh-CN"/>
        </w:rPr>
      </w:pPr>
      <w:bookmarkStart w:id="196" w:name="_Toc217446112"/>
      <w:r>
        <w:rPr>
          <w:rFonts w:hint="eastAsia" w:ascii="仿宋" w:hAnsi="仿宋" w:eastAsia="仿宋" w:cs="仿宋"/>
          <w:color w:val="auto"/>
          <w:sz w:val="24"/>
          <w:highlight w:val="none"/>
          <w:lang w:val="en-US" w:eastAsia="zh-CN"/>
        </w:rPr>
        <w:t>合同签订后5个工作日内支付合同总价款的30%作为预付款。设备安装调试完毕经初步验收合格，进入30日试用期；试用期间发生重大质量问题，甲方有权要求乙方进行更换或修复，更换或修复后重新计算试用期；试用期结束后 15 日内甲方进行最终验收；最终验收合格后半年，甲方在接到乙方书面付款申请、合法有效完整的完税发票与凭证资料，支付合同总价款的40%。一年合同期满且货物无质量问题、乙方无其他违约责任支付剩余30%合同金额。</w:t>
      </w:r>
    </w:p>
    <w:p>
      <w:pPr>
        <w:pStyle w:val="85"/>
        <w:spacing w:line="460" w:lineRule="exact"/>
        <w:ind w:firstLine="480" w:firstLineChars="0"/>
        <w:jc w:val="left"/>
        <w:rPr>
          <w:rFonts w:hint="eastAsia" w:ascii="仿宋" w:hAnsi="仿宋" w:eastAsia="仿宋" w:cs="仿宋"/>
          <w:b/>
          <w:bCs/>
          <w:color w:val="auto"/>
          <w:highlight w:val="none"/>
        </w:rPr>
      </w:pPr>
      <w:r>
        <w:rPr>
          <w:rFonts w:hint="eastAsia" w:ascii="仿宋" w:hAnsi="仿宋" w:eastAsia="仿宋" w:cs="仿宋"/>
          <w:b/>
          <w:bCs/>
          <w:color w:val="auto"/>
          <w:highlight w:val="none"/>
        </w:rPr>
        <w:t>六、售后服务</w:t>
      </w:r>
      <w:bookmarkEnd w:id="196"/>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1、乙方为甲方提供完善的技术支持与服务，指派专人负责与采购人联系售后服务事宜，必要的售后机具配置、具有专门的服务电话。</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乙方售后联系人：             电话：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2、乙方向甲方提供7×24小时的技术支持服务，配置专门固定的售后服务电话。接到采购人系统故障报修应2小时内响应，4小时内到达现场，24小时内不能排除故障的应提供备用机，以保证设备的正常使用。</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3、乙方在故障问题解决后24小时内，向甲方提交问题处理报告，说明问题种类、问题原因、问题解决中使用的方法及造成的损失等情况。</w:t>
      </w:r>
    </w:p>
    <w:p>
      <w:pPr>
        <w:pStyle w:val="85"/>
        <w:spacing w:line="460" w:lineRule="exact"/>
        <w:ind w:firstLine="480"/>
        <w:jc w:val="left"/>
        <w:rPr>
          <w:rFonts w:hint="eastAsia" w:ascii="仿宋" w:hAnsi="仿宋" w:eastAsia="仿宋" w:cs="仿宋"/>
          <w:color w:val="auto"/>
          <w:highlight w:val="none"/>
        </w:rPr>
      </w:pPr>
      <w:r>
        <w:rPr>
          <w:rFonts w:hint="eastAsia" w:ascii="仿宋" w:hAnsi="仿宋" w:eastAsia="仿宋" w:cs="仿宋"/>
          <w:color w:val="auto"/>
          <w:highlight w:val="none"/>
        </w:rPr>
        <w:t>4、质保期为最终验收合格后一年，若产品说明书中载明的质保期与本协议约定的质保期不一致的，按最有利于甲方的质保期计算。质保期内出现质量问题，乙方维修工程师在接到故障报告后8小时内到达甲方现场（含节假日），明确故障后，非大型配件36小时内到场（含节假日）进行处理，大型配件10日内到达现场（含节假日）进行处理，费用由乙方承担。</w:t>
      </w:r>
    </w:p>
    <w:p>
      <w:pPr>
        <w:pStyle w:val="85"/>
        <w:spacing w:line="460" w:lineRule="exact"/>
        <w:ind w:firstLine="480"/>
        <w:jc w:val="left"/>
        <w:rPr>
          <w:rFonts w:hint="eastAsia" w:ascii="仿宋" w:hAnsi="仿宋" w:eastAsia="仿宋" w:cs="仿宋"/>
          <w:color w:val="auto"/>
          <w:highlight w:val="none"/>
        </w:rPr>
      </w:pPr>
      <w:r>
        <w:rPr>
          <w:rFonts w:hint="eastAsia" w:ascii="仿宋" w:hAnsi="仿宋" w:eastAsia="仿宋" w:cs="仿宋"/>
          <w:color w:val="auto"/>
          <w:highlight w:val="none"/>
        </w:rPr>
        <w:t>5、如货物经乙方</w:t>
      </w:r>
      <w:r>
        <w:rPr>
          <w:rFonts w:hint="eastAsia" w:ascii="仿宋" w:hAnsi="仿宋" w:eastAsia="仿宋" w:cs="仿宋"/>
          <w:color w:val="auto"/>
          <w:highlight w:val="none"/>
          <w:u w:val="single"/>
        </w:rPr>
        <w:t>3次</w:t>
      </w:r>
      <w:r>
        <w:rPr>
          <w:rFonts w:hint="eastAsia" w:ascii="仿宋" w:hAnsi="仿宋" w:eastAsia="仿宋" w:cs="仿宋"/>
          <w:color w:val="auto"/>
          <w:highlight w:val="none"/>
        </w:rPr>
        <w:t>维修仍不能达到本合同约定的质量标准，视作乙方未能按时交货，甲方有权退货并追究乙方的违约责任。货到现场后由于甲方保管不当造成的问题，乙方亦应负责修复，但费用由甲方负担。</w:t>
      </w:r>
      <w:bookmarkStart w:id="197" w:name="_Toc217446113"/>
    </w:p>
    <w:p>
      <w:pPr>
        <w:pStyle w:val="85"/>
        <w:spacing w:line="460" w:lineRule="exact"/>
        <w:ind w:firstLine="482"/>
        <w:jc w:val="left"/>
        <w:rPr>
          <w:rFonts w:hint="eastAsia" w:ascii="仿宋" w:hAnsi="仿宋" w:eastAsia="仿宋" w:cs="仿宋"/>
          <w:b/>
          <w:color w:val="auto"/>
          <w:highlight w:val="none"/>
        </w:rPr>
      </w:pPr>
      <w:r>
        <w:rPr>
          <w:rFonts w:hint="eastAsia" w:ascii="仿宋" w:hAnsi="仿宋" w:eastAsia="仿宋" w:cs="仿宋"/>
          <w:b/>
          <w:color w:val="auto"/>
          <w:highlight w:val="none"/>
        </w:rPr>
        <w:t>七、违约责任</w:t>
      </w:r>
      <w:bookmarkEnd w:id="197"/>
    </w:p>
    <w:p>
      <w:pPr>
        <w:pStyle w:val="85"/>
        <w:spacing w:line="460" w:lineRule="exact"/>
        <w:ind w:firstLine="0" w:firstLineChars="0"/>
        <w:jc w:val="left"/>
        <w:rPr>
          <w:rFonts w:hint="eastAsia" w:ascii="仿宋" w:hAnsi="仿宋" w:eastAsia="仿宋" w:cs="仿宋"/>
          <w:color w:val="auto"/>
          <w:highlight w:val="none"/>
        </w:rPr>
      </w:pPr>
      <w:r>
        <w:rPr>
          <w:rFonts w:hint="eastAsia" w:ascii="仿宋" w:hAnsi="仿宋" w:eastAsia="仿宋" w:cs="仿宋"/>
          <w:color w:val="auto"/>
          <w:highlight w:val="none"/>
        </w:rPr>
        <w:t xml:space="preserve">    1、甲方违约责任</w:t>
      </w:r>
    </w:p>
    <w:p>
      <w:pPr>
        <w:pStyle w:val="85"/>
        <w:spacing w:line="460" w:lineRule="exact"/>
        <w:ind w:firstLine="0" w:firstLineChars="0"/>
        <w:jc w:val="left"/>
        <w:rPr>
          <w:rFonts w:hint="eastAsia" w:ascii="仿宋" w:hAnsi="仿宋" w:eastAsia="仿宋" w:cs="仿宋"/>
          <w:color w:val="auto"/>
          <w:highlight w:val="none"/>
        </w:rPr>
      </w:pPr>
      <w:r>
        <w:rPr>
          <w:rFonts w:hint="eastAsia" w:ascii="仿宋" w:hAnsi="仿宋" w:eastAsia="仿宋" w:cs="仿宋"/>
          <w:color w:val="auto"/>
          <w:highlight w:val="none"/>
        </w:rPr>
        <w:t xml:space="preserve">    （1） 甲方无正当理由拒收货物的，给乙方造成损失的，甲方应偿付合同总价百分之</w:t>
      </w:r>
      <w:r>
        <w:rPr>
          <w:rFonts w:hint="eastAsia" w:ascii="仿宋" w:hAnsi="仿宋" w:eastAsia="仿宋" w:cs="仿宋"/>
          <w:color w:val="auto"/>
          <w:highlight w:val="none"/>
          <w:u w:val="single"/>
        </w:rPr>
        <w:t xml:space="preserve"> 五 </w:t>
      </w:r>
      <w:r>
        <w:rPr>
          <w:rFonts w:hint="eastAsia" w:ascii="仿宋" w:hAnsi="仿宋" w:eastAsia="仿宋" w:cs="仿宋"/>
          <w:color w:val="auto"/>
          <w:highlight w:val="none"/>
        </w:rPr>
        <w:t>的违约金；</w:t>
      </w:r>
    </w:p>
    <w:p>
      <w:pPr>
        <w:pStyle w:val="85"/>
        <w:spacing w:line="460" w:lineRule="exact"/>
        <w:ind w:firstLine="0" w:firstLineChars="0"/>
        <w:jc w:val="left"/>
        <w:rPr>
          <w:rFonts w:hint="eastAsia" w:ascii="仿宋" w:hAnsi="仿宋" w:eastAsia="仿宋" w:cs="仿宋"/>
          <w:color w:val="auto"/>
          <w:highlight w:val="none"/>
          <w:lang w:eastAsia="zh-CN"/>
        </w:rPr>
      </w:pPr>
      <w:r>
        <w:rPr>
          <w:rFonts w:hint="eastAsia" w:ascii="仿宋" w:hAnsi="仿宋" w:eastAsia="仿宋" w:cs="仿宋"/>
          <w:color w:val="auto"/>
          <w:highlight w:val="none"/>
        </w:rPr>
        <w:t xml:space="preserve">    （2） 甲方无故逾期支付货款的，除应及时付足货款外，应向乙方偿付当期逾期金额万分之</w:t>
      </w:r>
      <w:r>
        <w:rPr>
          <w:rFonts w:hint="eastAsia" w:ascii="仿宋" w:hAnsi="仿宋" w:eastAsia="仿宋" w:cs="仿宋"/>
          <w:color w:val="auto"/>
          <w:highlight w:val="none"/>
          <w:u w:val="single"/>
        </w:rPr>
        <w:t xml:space="preserve"> 一 </w:t>
      </w:r>
      <w:r>
        <w:rPr>
          <w:rFonts w:hint="eastAsia" w:ascii="仿宋" w:hAnsi="仿宋" w:eastAsia="仿宋" w:cs="仿宋"/>
          <w:color w:val="auto"/>
          <w:highlight w:val="none"/>
        </w:rPr>
        <w:t>/天的违约金；逾期付款超过</w:t>
      </w:r>
      <w:r>
        <w:rPr>
          <w:rFonts w:hint="eastAsia" w:ascii="仿宋" w:hAnsi="仿宋" w:eastAsia="仿宋" w:cs="仿宋"/>
          <w:color w:val="auto"/>
          <w:highlight w:val="none"/>
          <w:u w:val="single"/>
        </w:rPr>
        <w:t xml:space="preserve"> 30 </w:t>
      </w:r>
      <w:r>
        <w:rPr>
          <w:rFonts w:hint="eastAsia" w:ascii="仿宋" w:hAnsi="仿宋" w:eastAsia="仿宋" w:cs="仿宋"/>
          <w:color w:val="auto"/>
          <w:highlight w:val="none"/>
        </w:rPr>
        <w:t>天的，乙方有权终止合同</w:t>
      </w:r>
      <w:r>
        <w:rPr>
          <w:rFonts w:hint="eastAsia" w:ascii="仿宋" w:hAnsi="仿宋" w:eastAsia="仿宋" w:cs="仿宋"/>
          <w:color w:val="auto"/>
          <w:highlight w:val="none"/>
          <w:lang w:eastAsia="zh-CN"/>
        </w:rPr>
        <w:t>，甲</w:t>
      </w:r>
      <w:r>
        <w:rPr>
          <w:rFonts w:hint="eastAsia" w:ascii="仿宋" w:hAnsi="仿宋" w:eastAsia="仿宋" w:cs="仿宋"/>
          <w:color w:val="auto"/>
          <w:highlight w:val="none"/>
        </w:rPr>
        <w:t>方则应按合同总价的百分之</w:t>
      </w:r>
      <w:r>
        <w:rPr>
          <w:rFonts w:hint="eastAsia" w:ascii="仿宋" w:hAnsi="仿宋" w:eastAsia="仿宋" w:cs="仿宋"/>
          <w:color w:val="auto"/>
          <w:highlight w:val="none"/>
          <w:u w:val="single"/>
        </w:rPr>
        <w:t xml:space="preserve"> 二十 </w:t>
      </w:r>
      <w:r>
        <w:rPr>
          <w:rFonts w:hint="eastAsia" w:ascii="仿宋" w:hAnsi="仿宋" w:eastAsia="仿宋" w:cs="仿宋"/>
          <w:color w:val="auto"/>
          <w:highlight w:val="none"/>
        </w:rPr>
        <w:t>的款额向</w:t>
      </w:r>
      <w:r>
        <w:rPr>
          <w:rFonts w:hint="eastAsia" w:ascii="仿宋" w:hAnsi="仿宋" w:eastAsia="仿宋" w:cs="仿宋"/>
          <w:color w:val="auto"/>
          <w:highlight w:val="none"/>
          <w:lang w:eastAsia="zh-CN"/>
        </w:rPr>
        <w:t>乙</w:t>
      </w:r>
      <w:r>
        <w:rPr>
          <w:rFonts w:hint="eastAsia" w:ascii="仿宋" w:hAnsi="仿宋" w:eastAsia="仿宋" w:cs="仿宋"/>
          <w:color w:val="auto"/>
          <w:highlight w:val="none"/>
        </w:rPr>
        <w:t>方偿付</w:t>
      </w:r>
      <w:r>
        <w:rPr>
          <w:rFonts w:hint="eastAsia" w:ascii="仿宋" w:hAnsi="仿宋" w:eastAsia="仿宋" w:cs="仿宋"/>
          <w:color w:val="auto"/>
          <w:highlight w:val="none"/>
          <w:lang w:eastAsia="zh-CN"/>
        </w:rPr>
        <w:t>违约</w:t>
      </w:r>
      <w:r>
        <w:rPr>
          <w:rFonts w:hint="eastAsia" w:ascii="仿宋" w:hAnsi="仿宋" w:eastAsia="仿宋" w:cs="仿宋"/>
          <w:color w:val="auto"/>
          <w:highlight w:val="none"/>
        </w:rPr>
        <w:t>金</w:t>
      </w:r>
      <w:r>
        <w:rPr>
          <w:rFonts w:hint="eastAsia" w:ascii="仿宋" w:hAnsi="仿宋" w:eastAsia="仿宋" w:cs="仿宋"/>
          <w:color w:val="auto"/>
          <w:highlight w:val="none"/>
          <w:lang w:eastAsia="zh-CN"/>
        </w:rPr>
        <w:t>，并需要承担乙方因终止合同产生的一切损失费用。</w:t>
      </w:r>
    </w:p>
    <w:p>
      <w:pPr>
        <w:pStyle w:val="85"/>
        <w:spacing w:line="460" w:lineRule="exact"/>
        <w:ind w:firstLine="0" w:firstLineChars="0"/>
        <w:jc w:val="left"/>
        <w:rPr>
          <w:rFonts w:hint="eastAsia" w:ascii="仿宋" w:hAnsi="仿宋" w:eastAsia="仿宋" w:cs="仿宋"/>
          <w:color w:val="auto"/>
          <w:highlight w:val="none"/>
        </w:rPr>
      </w:pPr>
      <w:r>
        <w:rPr>
          <w:rFonts w:hint="eastAsia" w:ascii="仿宋" w:hAnsi="仿宋" w:eastAsia="仿宋" w:cs="仿宋"/>
          <w:color w:val="auto"/>
          <w:highlight w:val="none"/>
        </w:rPr>
        <w:t xml:space="preserve">    （3） 甲方偿付的违约金不足以弥补乙方损失的，还应按乙方损失尚未弥补的部分，支付赔偿金给乙方。</w:t>
      </w:r>
    </w:p>
    <w:p>
      <w:pPr>
        <w:pStyle w:val="85"/>
        <w:spacing w:line="460" w:lineRule="exact"/>
        <w:ind w:firstLine="0" w:firstLineChars="0"/>
        <w:jc w:val="left"/>
        <w:rPr>
          <w:rFonts w:hint="eastAsia" w:ascii="仿宋" w:hAnsi="仿宋" w:eastAsia="仿宋" w:cs="仿宋"/>
          <w:color w:val="auto"/>
          <w:highlight w:val="none"/>
        </w:rPr>
      </w:pPr>
      <w:r>
        <w:rPr>
          <w:rFonts w:hint="eastAsia" w:ascii="仿宋" w:hAnsi="仿宋" w:eastAsia="仿宋" w:cs="仿宋"/>
          <w:color w:val="auto"/>
          <w:highlight w:val="none"/>
        </w:rPr>
        <w:t xml:space="preserve">    2、乙方违约责任</w:t>
      </w:r>
    </w:p>
    <w:p>
      <w:pPr>
        <w:pStyle w:val="85"/>
        <w:spacing w:line="460" w:lineRule="exact"/>
        <w:ind w:firstLine="0" w:firstLineChars="0"/>
        <w:jc w:val="left"/>
        <w:rPr>
          <w:rFonts w:hint="eastAsia" w:ascii="仿宋" w:hAnsi="仿宋" w:eastAsia="仿宋" w:cs="仿宋"/>
          <w:color w:val="auto"/>
          <w:highlight w:val="none"/>
        </w:rPr>
      </w:pPr>
      <w:r>
        <w:rPr>
          <w:rFonts w:hint="eastAsia" w:ascii="仿宋" w:hAnsi="仿宋" w:eastAsia="仿宋" w:cs="仿宋"/>
          <w:color w:val="auto"/>
          <w:highlight w:val="none"/>
        </w:rPr>
        <w:t xml:space="preserve">    （1）乙方交付的货物质量不符合合同规定的，乙方应向甲方支付合同总价的百分之</w:t>
      </w:r>
      <w:r>
        <w:rPr>
          <w:rFonts w:hint="eastAsia" w:ascii="仿宋" w:hAnsi="仿宋" w:eastAsia="仿宋" w:cs="仿宋"/>
          <w:color w:val="auto"/>
          <w:highlight w:val="none"/>
          <w:u w:val="single"/>
        </w:rPr>
        <w:t xml:space="preserve"> 五 </w:t>
      </w:r>
      <w:r>
        <w:rPr>
          <w:rFonts w:hint="eastAsia" w:ascii="仿宋" w:hAnsi="仿宋" w:eastAsia="仿宋" w:cs="仿宋"/>
          <w:color w:val="auto"/>
          <w:highlight w:val="none"/>
        </w:rPr>
        <w:t>的违约金，并须在合同规定的交货时间内更换合格的货物给甲方，否则，视作乙方不能交付货物而违约，按本条本款下述第“（2）”项规定由乙方偿付违约赔偿金给甲方。</w:t>
      </w:r>
    </w:p>
    <w:p>
      <w:pPr>
        <w:pStyle w:val="85"/>
        <w:spacing w:line="460" w:lineRule="exact"/>
        <w:ind w:firstLine="0" w:firstLineChars="0"/>
        <w:jc w:val="left"/>
        <w:rPr>
          <w:rFonts w:hint="eastAsia" w:ascii="仿宋" w:hAnsi="仿宋" w:eastAsia="仿宋" w:cs="仿宋"/>
          <w:color w:val="auto"/>
          <w:highlight w:val="none"/>
        </w:rPr>
      </w:pPr>
      <w:r>
        <w:rPr>
          <w:rFonts w:hint="eastAsia" w:ascii="仿宋" w:hAnsi="仿宋" w:eastAsia="仿宋" w:cs="仿宋"/>
          <w:color w:val="auto"/>
          <w:highlight w:val="none"/>
        </w:rPr>
        <w:t xml:space="preserve">    （2）乙方不能交付货物或逾期交付货物或逾期提供售后服务而违约的，除应及时交足货物外，应向甲方偿付逾期交货部分货款总额的万分之</w:t>
      </w:r>
      <w:r>
        <w:rPr>
          <w:rFonts w:hint="eastAsia" w:ascii="仿宋" w:hAnsi="仿宋" w:eastAsia="仿宋" w:cs="仿宋"/>
          <w:color w:val="auto"/>
          <w:highlight w:val="none"/>
          <w:u w:val="single"/>
        </w:rPr>
        <w:t xml:space="preserve"> 一 </w:t>
      </w:r>
      <w:r>
        <w:rPr>
          <w:rFonts w:hint="eastAsia" w:ascii="仿宋" w:hAnsi="仿宋" w:eastAsia="仿宋" w:cs="仿宋"/>
          <w:color w:val="auto"/>
          <w:highlight w:val="none"/>
        </w:rPr>
        <w:t>/天的违约金；逾期交货或逾期提供售后服务超过</w:t>
      </w:r>
      <w:r>
        <w:rPr>
          <w:rFonts w:hint="eastAsia" w:ascii="仿宋" w:hAnsi="仿宋" w:eastAsia="仿宋" w:cs="仿宋"/>
          <w:color w:val="auto"/>
          <w:highlight w:val="none"/>
          <w:u w:val="single"/>
        </w:rPr>
        <w:t xml:space="preserve"> 30 </w:t>
      </w:r>
      <w:r>
        <w:rPr>
          <w:rFonts w:hint="eastAsia" w:ascii="仿宋" w:hAnsi="仿宋" w:eastAsia="仿宋" w:cs="仿宋"/>
          <w:color w:val="auto"/>
          <w:highlight w:val="none"/>
        </w:rPr>
        <w:t>天，甲方有权终止合同，乙方则应按合同总价的百</w:t>
      </w:r>
      <w:r>
        <w:rPr>
          <w:rFonts w:hint="eastAsia" w:ascii="仿宋" w:hAnsi="仿宋" w:eastAsia="仿宋" w:cs="仿宋"/>
          <w:color w:val="auto"/>
          <w:highlight w:val="none"/>
        </w:rPr>
        <w:t>分之</w:t>
      </w:r>
      <w:r>
        <w:rPr>
          <w:rFonts w:hint="eastAsia" w:ascii="仿宋" w:hAnsi="仿宋" w:eastAsia="仿宋" w:cs="仿宋"/>
          <w:color w:val="auto"/>
          <w:highlight w:val="none"/>
          <w:u w:val="single"/>
        </w:rPr>
        <w:t xml:space="preserve"> 二十 </w:t>
      </w:r>
      <w:r>
        <w:rPr>
          <w:rFonts w:hint="eastAsia" w:ascii="仿宋" w:hAnsi="仿宋" w:eastAsia="仿宋" w:cs="仿宋"/>
          <w:color w:val="auto"/>
          <w:highlight w:val="none"/>
        </w:rPr>
        <w:t>的款额向甲方偿付赔偿金，并须全额退还甲方已经付给乙方的货款及其利息及承担甲方因终止合同产生的一切损失费用。</w:t>
      </w:r>
    </w:p>
    <w:p>
      <w:pPr>
        <w:pStyle w:val="85"/>
        <w:spacing w:line="460" w:lineRule="exact"/>
        <w:ind w:firstLine="0" w:firstLineChars="0"/>
        <w:jc w:val="left"/>
        <w:rPr>
          <w:rFonts w:hint="eastAsia" w:ascii="仿宋" w:hAnsi="仿宋" w:eastAsia="仿宋" w:cs="仿宋"/>
          <w:color w:val="auto"/>
          <w:highlight w:val="none"/>
        </w:rPr>
      </w:pPr>
      <w:r>
        <w:rPr>
          <w:rFonts w:hint="eastAsia" w:ascii="仿宋" w:hAnsi="仿宋" w:eastAsia="仿宋" w:cs="仿宋"/>
          <w:color w:val="auto"/>
          <w:highlight w:val="none"/>
        </w:rPr>
        <w:t xml:space="preserve">    （3）乙方货物经甲方送交具有法定资格条件的质量技术监督机构检测后，如检测结果认定货物质量不符合本合同规定标准的，则视为乙方没有按时交货而违约，除按照本款第（2）项之规定承担违约责任外，乙方还须在</w:t>
      </w:r>
      <w:r>
        <w:rPr>
          <w:rFonts w:hint="eastAsia" w:ascii="仿宋" w:hAnsi="仿宋" w:eastAsia="仿宋" w:cs="仿宋"/>
          <w:color w:val="auto"/>
          <w:highlight w:val="none"/>
          <w:u w:val="single"/>
        </w:rPr>
        <w:t xml:space="preserve"> 30 </w:t>
      </w:r>
      <w:r>
        <w:rPr>
          <w:rFonts w:hint="eastAsia" w:ascii="仿宋" w:hAnsi="仿宋" w:eastAsia="仿宋" w:cs="仿宋"/>
          <w:color w:val="auto"/>
          <w:highlight w:val="none"/>
        </w:rPr>
        <w:t>天内无条件更换合格的货物，如逾期不能更换合格的货物，甲方有权终止本合同，乙方应另付合同总价的百分之</w:t>
      </w:r>
      <w:r>
        <w:rPr>
          <w:rFonts w:hint="eastAsia" w:ascii="仿宋" w:hAnsi="仿宋" w:eastAsia="仿宋" w:cs="仿宋"/>
          <w:color w:val="auto"/>
          <w:highlight w:val="none"/>
          <w:u w:val="single"/>
        </w:rPr>
        <w:t xml:space="preserve"> 二十 </w:t>
      </w:r>
      <w:r>
        <w:rPr>
          <w:rFonts w:hint="eastAsia" w:ascii="仿宋" w:hAnsi="仿宋" w:eastAsia="仿宋" w:cs="仿宋"/>
          <w:color w:val="auto"/>
          <w:highlight w:val="none"/>
        </w:rPr>
        <w:t>的违约金给甲方。</w:t>
      </w:r>
    </w:p>
    <w:p>
      <w:pPr>
        <w:pStyle w:val="85"/>
        <w:spacing w:line="460" w:lineRule="exact"/>
        <w:ind w:firstLine="0" w:firstLineChars="0"/>
        <w:jc w:val="left"/>
        <w:rPr>
          <w:rFonts w:hint="eastAsia" w:ascii="仿宋" w:hAnsi="仿宋" w:eastAsia="仿宋" w:cs="仿宋"/>
          <w:color w:val="auto"/>
          <w:highlight w:val="none"/>
        </w:rPr>
      </w:pPr>
      <w:r>
        <w:rPr>
          <w:rFonts w:hint="eastAsia" w:ascii="仿宋" w:hAnsi="仿宋" w:eastAsia="仿宋" w:cs="仿宋"/>
          <w:color w:val="auto"/>
          <w:highlight w:val="none"/>
        </w:rPr>
        <w:t xml:space="preserve">    （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 二十 向甲方支付违约金并赔偿因此给甲方造成的一切损失。</w:t>
      </w:r>
    </w:p>
    <w:p>
      <w:pPr>
        <w:pStyle w:val="85"/>
        <w:spacing w:line="460" w:lineRule="exact"/>
        <w:ind w:firstLine="0" w:firstLineChars="0"/>
        <w:jc w:val="left"/>
        <w:rPr>
          <w:rFonts w:hint="eastAsia" w:ascii="仿宋" w:hAnsi="仿宋" w:eastAsia="仿宋" w:cs="仿宋"/>
          <w:color w:val="auto"/>
          <w:highlight w:val="none"/>
        </w:rPr>
      </w:pPr>
      <w:r>
        <w:rPr>
          <w:rFonts w:hint="eastAsia" w:ascii="仿宋" w:hAnsi="仿宋" w:eastAsia="仿宋" w:cs="仿宋"/>
          <w:color w:val="auto"/>
          <w:highlight w:val="none"/>
        </w:rPr>
        <w:t xml:space="preserve">     （5）乙方提供的货物因质量问题给甲方或患者等第三方造成损害的，由乙方承担全部责任并负责处理，若已由甲方垫付赔偿等费用的，甲方有权向乙方追偿，乙方还应当承担由此给甲方造成的损失，包括但不限于诉讼费、鉴定费、公证费、律师费等费用。</w:t>
      </w:r>
    </w:p>
    <w:p>
      <w:pPr>
        <w:pStyle w:val="85"/>
        <w:spacing w:line="460" w:lineRule="exact"/>
        <w:ind w:firstLine="480" w:firstLineChars="0"/>
        <w:jc w:val="left"/>
        <w:rPr>
          <w:rFonts w:hint="eastAsia" w:ascii="仿宋" w:hAnsi="仿宋" w:eastAsia="仿宋" w:cs="仿宋"/>
          <w:color w:val="auto"/>
          <w:highlight w:val="none"/>
          <w:lang w:val="en-US" w:eastAsia="zh-CN"/>
        </w:rPr>
      </w:pPr>
      <w:r>
        <w:rPr>
          <w:rFonts w:hint="eastAsia" w:ascii="仿宋" w:hAnsi="仿宋" w:eastAsia="仿宋" w:cs="仿宋"/>
          <w:color w:val="auto"/>
          <w:highlight w:val="none"/>
        </w:rPr>
        <w:t>（6）乙方偿付的违约金不足以弥补甲方损失的，还应按甲方损失尚未弥补的部分，支付赔偿金给甲方。</w:t>
      </w:r>
      <w:bookmarkStart w:id="198" w:name="_Toc217446114"/>
      <w:r>
        <w:rPr>
          <w:rFonts w:hint="eastAsia" w:ascii="仿宋" w:hAnsi="仿宋" w:eastAsia="仿宋" w:cs="仿宋"/>
          <w:color w:val="auto"/>
          <w:highlight w:val="none"/>
        </w:rPr>
        <w:t>乙方应承担的违约金、赔偿金等甲方有权在应付款中优先扣除，乙方应继续履行合同义务。</w:t>
      </w:r>
      <w:r>
        <w:rPr>
          <w:rFonts w:hint="eastAsia" w:ascii="仿宋" w:hAnsi="仿宋" w:eastAsia="仿宋" w:cs="仿宋"/>
          <w:color w:val="auto"/>
          <w:highlight w:val="none"/>
          <w:lang w:val="en-US" w:eastAsia="zh-CN"/>
        </w:rPr>
        <w:t xml:space="preserve"> </w:t>
      </w:r>
    </w:p>
    <w:p>
      <w:pPr>
        <w:pStyle w:val="85"/>
        <w:spacing w:line="460" w:lineRule="exact"/>
        <w:ind w:firstLine="0" w:firstLineChars="0"/>
        <w:jc w:val="left"/>
        <w:rPr>
          <w:rFonts w:hint="eastAsia" w:ascii="仿宋" w:hAnsi="仿宋" w:eastAsia="仿宋" w:cs="仿宋"/>
          <w:b/>
          <w:color w:val="auto"/>
          <w:highlight w:val="none"/>
        </w:rPr>
      </w:pPr>
      <w:r>
        <w:rPr>
          <w:rFonts w:hint="eastAsia" w:ascii="仿宋" w:hAnsi="仿宋" w:eastAsia="仿宋" w:cs="仿宋"/>
          <w:b/>
          <w:color w:val="auto"/>
          <w:highlight w:val="none"/>
        </w:rPr>
        <w:t xml:space="preserve">    八、争议解决办法</w:t>
      </w:r>
      <w:bookmarkEnd w:id="198"/>
    </w:p>
    <w:p>
      <w:pPr>
        <w:pStyle w:val="85"/>
        <w:spacing w:line="460" w:lineRule="exact"/>
        <w:ind w:firstLine="0" w:firstLineChars="0"/>
        <w:jc w:val="left"/>
        <w:rPr>
          <w:rFonts w:hint="eastAsia" w:ascii="仿宋" w:hAnsi="仿宋" w:eastAsia="仿宋" w:cs="仿宋"/>
          <w:color w:val="auto"/>
          <w:highlight w:val="none"/>
        </w:rPr>
      </w:pPr>
      <w:r>
        <w:rPr>
          <w:rFonts w:hint="eastAsia" w:ascii="仿宋" w:hAnsi="仿宋" w:eastAsia="仿宋" w:cs="仿宋"/>
          <w:color w:val="auto"/>
          <w:highlight w:val="none"/>
        </w:rPr>
        <w:t xml:space="preserve">    1、因货物的质量问题发生争议，由质量技术监督部门或其指定的质量鉴定机构进行质量鉴定，鉴定费由乙方垫付。货物符合标准的，鉴定费由甲方承担；货物不符合质量标准的，鉴定费由乙方承担。</w:t>
      </w:r>
    </w:p>
    <w:p>
      <w:pPr>
        <w:pStyle w:val="85"/>
        <w:spacing w:line="460" w:lineRule="exact"/>
        <w:ind w:firstLine="0" w:firstLineChars="0"/>
        <w:jc w:val="left"/>
        <w:rPr>
          <w:rFonts w:hint="eastAsia" w:ascii="仿宋" w:hAnsi="仿宋" w:eastAsia="仿宋" w:cs="仿宋"/>
          <w:color w:val="auto"/>
          <w:highlight w:val="none"/>
        </w:rPr>
      </w:pPr>
      <w:r>
        <w:rPr>
          <w:rFonts w:hint="eastAsia" w:ascii="仿宋" w:hAnsi="仿宋" w:eastAsia="仿宋" w:cs="仿宋"/>
          <w:color w:val="auto"/>
          <w:highlight w:val="none"/>
        </w:rPr>
        <w:t xml:space="preserve">    2、合同履行期间,若双方发生争议，可协商或由有关部门调解解决，协商或调解不成的，双方同意向甲方所在地法院诉讼解决。</w:t>
      </w:r>
      <w:bookmarkStart w:id="199" w:name="_Toc217446115"/>
    </w:p>
    <w:p>
      <w:pPr>
        <w:pStyle w:val="85"/>
        <w:spacing w:line="460" w:lineRule="exact"/>
        <w:ind w:firstLine="0" w:firstLineChars="0"/>
        <w:jc w:val="left"/>
        <w:rPr>
          <w:rFonts w:hint="eastAsia" w:ascii="仿宋" w:hAnsi="仿宋" w:eastAsia="仿宋" w:cs="仿宋"/>
          <w:b/>
          <w:color w:val="auto"/>
          <w:highlight w:val="none"/>
        </w:rPr>
      </w:pPr>
      <w:r>
        <w:rPr>
          <w:rFonts w:hint="eastAsia" w:ascii="仿宋" w:hAnsi="仿宋" w:eastAsia="仿宋" w:cs="仿宋"/>
          <w:b/>
          <w:color w:val="auto"/>
          <w:highlight w:val="none"/>
        </w:rPr>
        <w:t xml:space="preserve">    九、其他</w:t>
      </w:r>
      <w:bookmarkEnd w:id="199"/>
    </w:p>
    <w:p>
      <w:pPr>
        <w:pStyle w:val="85"/>
        <w:spacing w:line="460" w:lineRule="exact"/>
        <w:ind w:firstLine="0" w:firstLineChars="0"/>
        <w:jc w:val="left"/>
        <w:rPr>
          <w:rFonts w:hint="eastAsia" w:ascii="仿宋" w:hAnsi="仿宋" w:eastAsia="仿宋" w:cs="仿宋"/>
          <w:color w:val="auto"/>
          <w:highlight w:val="none"/>
        </w:rPr>
      </w:pPr>
      <w:r>
        <w:rPr>
          <w:rFonts w:hint="eastAsia" w:ascii="仿宋" w:hAnsi="仿宋" w:eastAsia="仿宋" w:cs="仿宋"/>
          <w:color w:val="auto"/>
          <w:highlight w:val="none"/>
        </w:rPr>
        <w:t xml:space="preserve">    1、如有未尽事宜，由双方依法订立补充合同。</w:t>
      </w:r>
    </w:p>
    <w:p>
      <w:pPr>
        <w:pStyle w:val="85"/>
        <w:spacing w:line="460" w:lineRule="exact"/>
        <w:ind w:firstLine="480" w:firstLineChars="0"/>
        <w:jc w:val="left"/>
        <w:rPr>
          <w:rFonts w:hint="eastAsia" w:ascii="仿宋" w:hAnsi="仿宋" w:eastAsia="仿宋" w:cs="仿宋"/>
          <w:color w:val="auto"/>
          <w:highlight w:val="none"/>
        </w:rPr>
      </w:pPr>
      <w:r>
        <w:rPr>
          <w:rFonts w:hint="eastAsia" w:ascii="仿宋" w:hAnsi="仿宋" w:eastAsia="仿宋" w:cs="仿宋"/>
          <w:color w:val="auto"/>
          <w:highlight w:val="none"/>
        </w:rPr>
        <w:t>2、本合同一式七份，自双方法定代表人或授权代表签字并加盖公章之日起生效。甲方四份，乙方、政府采购管理部门、采购代理机构各一份。</w:t>
      </w:r>
    </w:p>
    <w:p>
      <w:pPr>
        <w:pStyle w:val="85"/>
        <w:spacing w:line="460" w:lineRule="exact"/>
        <w:ind w:firstLine="480" w:firstLineChars="0"/>
        <w:jc w:val="left"/>
        <w:rPr>
          <w:rFonts w:hint="eastAsia" w:ascii="仿宋" w:hAnsi="仿宋" w:eastAsia="仿宋" w:cs="仿宋"/>
          <w:color w:val="auto"/>
          <w:highlight w:val="none"/>
        </w:rPr>
      </w:pPr>
      <w:r>
        <w:rPr>
          <w:rFonts w:hint="eastAsia" w:ascii="仿宋" w:hAnsi="仿宋" w:eastAsia="仿宋" w:cs="仿宋"/>
          <w:color w:val="auto"/>
          <w:highlight w:val="none"/>
        </w:rPr>
        <w:t>3、双方确认：双方在本合同载明的地址、传真、邮箱，为对方可以送达资料、通知等文件的有效地址、传真、邮箱，任何一方变更均应以书面形式通知对方，否则承担因此带来的不利后果。双方同意：以邮寄方式向对方发送文件的，自文件交付给邮寄单位之日起5日内视为送达；以传真、电子邮件方式向对方发送文件的，自发送时视为送达。</w:t>
      </w:r>
    </w:p>
    <w:p>
      <w:pPr>
        <w:pStyle w:val="85"/>
        <w:spacing w:line="460" w:lineRule="exact"/>
        <w:ind w:firstLine="481" w:firstLineChars="0"/>
        <w:jc w:val="left"/>
        <w:rPr>
          <w:rFonts w:hint="eastAsia" w:ascii="仿宋" w:hAnsi="仿宋" w:eastAsia="仿宋" w:cs="仿宋"/>
          <w:b/>
          <w:color w:val="auto"/>
          <w:highlight w:val="none"/>
        </w:rPr>
      </w:pPr>
      <w:r>
        <w:rPr>
          <w:rFonts w:hint="eastAsia" w:ascii="仿宋" w:hAnsi="仿宋" w:eastAsia="仿宋" w:cs="仿宋"/>
          <w:b/>
          <w:color w:val="auto"/>
          <w:highlight w:val="none"/>
        </w:rPr>
        <w:t>十、附件：</w:t>
      </w:r>
      <w:r>
        <w:rPr>
          <w:rFonts w:hint="eastAsia" w:ascii="仿宋" w:hAnsi="仿宋" w:eastAsia="仿宋" w:cs="仿宋"/>
          <w:b/>
          <w:color w:val="auto"/>
          <w:highlight w:val="none"/>
          <w:lang w:val="en-US" w:eastAsia="zh-CN"/>
        </w:rPr>
        <w:t>1.</w:t>
      </w:r>
      <w:r>
        <w:rPr>
          <w:rFonts w:hint="eastAsia" w:ascii="仿宋" w:hAnsi="仿宋" w:eastAsia="仿宋" w:cs="仿宋"/>
          <w:b/>
          <w:color w:val="auto"/>
          <w:highlight w:val="none"/>
        </w:rPr>
        <w:t>配置清单</w:t>
      </w:r>
    </w:p>
    <w:p>
      <w:pPr>
        <w:pStyle w:val="85"/>
        <w:spacing w:line="460" w:lineRule="exact"/>
        <w:ind w:firstLine="481" w:firstLineChars="0"/>
        <w:jc w:val="left"/>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lang w:val="en-US" w:eastAsia="zh-CN"/>
        </w:rPr>
        <w:t xml:space="preserve">          2.成交通知</w:t>
      </w:r>
    </w:p>
    <w:p>
      <w:pPr>
        <w:pStyle w:val="2"/>
        <w:rPr>
          <w:rFonts w:hint="eastAsia" w:ascii="仿宋" w:hAnsi="仿宋" w:eastAsia="仿宋" w:cs="仿宋"/>
          <w:color w:val="auto"/>
          <w:highlight w:val="none"/>
        </w:rPr>
      </w:pPr>
    </w:p>
    <w:p>
      <w:pPr>
        <w:spacing w:line="360" w:lineRule="auto"/>
        <w:ind w:left="959" w:leftChars="228" w:hanging="480" w:hanging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甲方：成都市双流区中医医院     乙方：            （盖单位公章）                          （盖单位公章）</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法定代表人（授权代表）：             法定代表人（授权代表）：</w:t>
      </w:r>
    </w:p>
    <w:p>
      <w:pPr>
        <w:spacing w:line="360" w:lineRule="auto"/>
        <w:ind w:left="5519" w:leftChars="228" w:hanging="5040" w:hangingChars="2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址：双流区东升街道花园路二段  地    址： </w:t>
      </w:r>
    </w:p>
    <w:p>
      <w:pPr>
        <w:spacing w:line="360" w:lineRule="auto"/>
        <w:ind w:left="5999" w:leftChars="228" w:hanging="5520" w:hangingChars="23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开户银行：建设银行双流支行          开户银行：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账号：51001527908051525586          账号：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电    话：028-69803260              电    话：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真：028-85821611              传    真： </w:t>
      </w:r>
    </w:p>
    <w:p>
      <w:pPr>
        <w:ind w:firstLine="480" w:firstLineChars="200"/>
        <w:rPr>
          <w:rFonts w:hint="eastAsia" w:ascii="仿宋" w:hAnsi="仿宋" w:eastAsia="仿宋" w:cs="仿宋"/>
          <w:color w:val="auto"/>
          <w:szCs w:val="21"/>
          <w:highlight w:val="none"/>
        </w:rPr>
      </w:pPr>
      <w:r>
        <w:rPr>
          <w:rFonts w:hint="eastAsia" w:ascii="仿宋" w:hAnsi="仿宋" w:eastAsia="仿宋" w:cs="仿宋"/>
          <w:color w:val="auto"/>
          <w:sz w:val="24"/>
          <w:highlight w:val="none"/>
        </w:rPr>
        <w:t>签约日期：</w:t>
      </w:r>
      <w:r>
        <w:rPr>
          <w:rFonts w:hint="eastAsia" w:ascii="仿宋" w:hAnsi="仿宋" w:eastAsia="仿宋" w:cs="仿宋"/>
          <w:color w:val="auto"/>
          <w:szCs w:val="21"/>
          <w:highlight w:val="none"/>
        </w:rPr>
        <w:t xml:space="preserve">     </w:t>
      </w:r>
      <w:r>
        <w:rPr>
          <w:rFonts w:hint="eastAsia" w:ascii="仿宋" w:hAnsi="仿宋" w:eastAsia="仿宋" w:cs="仿宋"/>
          <w:color w:val="auto"/>
          <w:sz w:val="24"/>
          <w:highlight w:val="none"/>
        </w:rPr>
        <w:t xml:space="preserve">年 </w:t>
      </w:r>
      <w:r>
        <w:rPr>
          <w:rFonts w:hint="eastAsia" w:ascii="仿宋" w:hAnsi="仿宋" w:eastAsia="仿宋" w:cs="仿宋"/>
          <w:color w:val="auto"/>
          <w:szCs w:val="21"/>
          <w:highlight w:val="none"/>
        </w:rPr>
        <w:t xml:space="preserve">   </w:t>
      </w:r>
      <w:r>
        <w:rPr>
          <w:rFonts w:hint="eastAsia" w:ascii="仿宋" w:hAnsi="仿宋" w:eastAsia="仿宋" w:cs="仿宋"/>
          <w:color w:val="auto"/>
          <w:sz w:val="24"/>
          <w:highlight w:val="none"/>
        </w:rPr>
        <w:t>月</w:t>
      </w:r>
      <w:r>
        <w:rPr>
          <w:rFonts w:hint="eastAsia" w:ascii="仿宋" w:hAnsi="仿宋" w:eastAsia="仿宋" w:cs="仿宋"/>
          <w:color w:val="auto"/>
          <w:szCs w:val="21"/>
          <w:highlight w:val="none"/>
        </w:rPr>
        <w:t xml:space="preserve">    </w:t>
      </w:r>
      <w:r>
        <w:rPr>
          <w:rFonts w:hint="eastAsia" w:ascii="仿宋" w:hAnsi="仿宋" w:eastAsia="仿宋" w:cs="仿宋"/>
          <w:color w:val="auto"/>
          <w:sz w:val="24"/>
          <w:highlight w:val="none"/>
        </w:rPr>
        <w:t xml:space="preserve">日 </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 xml:space="preserve">     签约日期：</w:t>
      </w:r>
      <w:r>
        <w:rPr>
          <w:rFonts w:hint="eastAsia" w:ascii="仿宋" w:hAnsi="仿宋" w:eastAsia="仿宋" w:cs="仿宋"/>
          <w:color w:val="auto"/>
          <w:szCs w:val="21"/>
          <w:highlight w:val="none"/>
        </w:rPr>
        <w:t xml:space="preserve">    </w:t>
      </w:r>
      <w:r>
        <w:rPr>
          <w:rFonts w:hint="eastAsia" w:ascii="仿宋" w:hAnsi="仿宋" w:eastAsia="仿宋" w:cs="仿宋"/>
          <w:color w:val="auto"/>
          <w:sz w:val="24"/>
          <w:highlight w:val="none"/>
        </w:rPr>
        <w:t>年</w:t>
      </w:r>
      <w:r>
        <w:rPr>
          <w:rFonts w:hint="eastAsia" w:ascii="仿宋" w:hAnsi="仿宋" w:eastAsia="仿宋" w:cs="仿宋"/>
          <w:color w:val="auto"/>
          <w:szCs w:val="21"/>
          <w:highlight w:val="none"/>
        </w:rPr>
        <w:t xml:space="preserve">    </w:t>
      </w:r>
      <w:r>
        <w:rPr>
          <w:rFonts w:hint="eastAsia" w:ascii="仿宋" w:hAnsi="仿宋" w:eastAsia="仿宋" w:cs="仿宋"/>
          <w:color w:val="auto"/>
          <w:sz w:val="24"/>
          <w:highlight w:val="none"/>
        </w:rPr>
        <w:t>月</w:t>
      </w:r>
      <w:r>
        <w:rPr>
          <w:rFonts w:hint="eastAsia" w:ascii="仿宋" w:hAnsi="仿宋" w:eastAsia="仿宋" w:cs="仿宋"/>
          <w:color w:val="auto"/>
          <w:szCs w:val="21"/>
          <w:highlight w:val="none"/>
        </w:rPr>
        <w:t xml:space="preserve">    日</w:t>
      </w:r>
    </w:p>
    <w:p>
      <w:pPr>
        <w:spacing w:line="360" w:lineRule="auto"/>
        <w:ind w:firstLine="482" w:firstLineChars="200"/>
        <w:rPr>
          <w:rFonts w:hint="eastAsia" w:ascii="仿宋" w:hAnsi="仿宋" w:eastAsia="仿宋" w:cs="仿宋"/>
          <w:b/>
          <w:bCs/>
          <w:color w:val="auto"/>
          <w:sz w:val="24"/>
          <w:highlight w:val="none"/>
        </w:rPr>
      </w:pPr>
    </w:p>
    <w:p>
      <w:pPr>
        <w:spacing w:line="360" w:lineRule="auto"/>
        <w:ind w:firstLine="482" w:firstLineChars="200"/>
        <w:rPr>
          <w:rFonts w:hint="eastAsia" w:ascii="仿宋" w:hAnsi="仿宋" w:eastAsia="仿宋" w:cs="仿宋"/>
          <w:b/>
          <w:bCs/>
          <w:color w:val="auto"/>
          <w:sz w:val="24"/>
          <w:highlight w:val="none"/>
        </w:rPr>
      </w:pPr>
    </w:p>
    <w:p>
      <w:pPr>
        <w:spacing w:line="360" w:lineRule="auto"/>
        <w:ind w:firstLine="482" w:firstLineChars="200"/>
        <w:outlineLvl w:val="0"/>
        <w:rPr>
          <w:rFonts w:hint="eastAsia" w:ascii="仿宋" w:hAnsi="仿宋" w:eastAsia="仿宋" w:cs="仿宋"/>
          <w:b/>
          <w:bCs/>
          <w:color w:val="auto"/>
          <w:sz w:val="24"/>
          <w:highlight w:val="none"/>
        </w:rPr>
      </w:pPr>
      <w:bookmarkStart w:id="200" w:name="_Toc14739"/>
      <w:r>
        <w:rPr>
          <w:rFonts w:hint="eastAsia" w:ascii="仿宋" w:hAnsi="仿宋" w:eastAsia="仿宋" w:cs="仿宋"/>
          <w:b/>
          <w:bCs/>
          <w:color w:val="auto"/>
          <w:sz w:val="24"/>
          <w:highlight w:val="none"/>
        </w:rPr>
        <w:t>附件：</w:t>
      </w: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配置清单</w:t>
      </w:r>
      <w:bookmarkEnd w:id="200"/>
    </w:p>
    <w:tbl>
      <w:tblPr>
        <w:tblStyle w:val="35"/>
        <w:tblW w:w="10553" w:type="dxa"/>
        <w:tblInd w:w="-7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1200"/>
        <w:gridCol w:w="1050"/>
        <w:gridCol w:w="2850"/>
        <w:gridCol w:w="1693"/>
        <w:gridCol w:w="1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1" w:type="dxa"/>
            <w:noWrap w:val="0"/>
            <w:vAlign w:val="center"/>
          </w:tcPr>
          <w:p>
            <w:pPr>
              <w:pStyle w:val="2"/>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产品名称</w:t>
            </w:r>
          </w:p>
        </w:tc>
        <w:tc>
          <w:tcPr>
            <w:tcW w:w="1200" w:type="dxa"/>
            <w:noWrap w:val="0"/>
            <w:vAlign w:val="center"/>
          </w:tcPr>
          <w:p>
            <w:pPr>
              <w:pStyle w:val="2"/>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品牌</w:t>
            </w:r>
          </w:p>
        </w:tc>
        <w:tc>
          <w:tcPr>
            <w:tcW w:w="1050" w:type="dxa"/>
            <w:noWrap w:val="0"/>
            <w:vAlign w:val="center"/>
          </w:tcPr>
          <w:p>
            <w:pPr>
              <w:pStyle w:val="2"/>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质保期</w:t>
            </w:r>
          </w:p>
        </w:tc>
        <w:tc>
          <w:tcPr>
            <w:tcW w:w="2850" w:type="dxa"/>
            <w:noWrap w:val="0"/>
            <w:vAlign w:val="center"/>
          </w:tcPr>
          <w:p>
            <w:pPr>
              <w:pStyle w:val="2"/>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配置</w:t>
            </w:r>
          </w:p>
        </w:tc>
        <w:tc>
          <w:tcPr>
            <w:tcW w:w="1693" w:type="dxa"/>
            <w:noWrap w:val="0"/>
            <w:vAlign w:val="center"/>
          </w:tcPr>
          <w:p>
            <w:pPr>
              <w:pStyle w:val="2"/>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单位</w:t>
            </w:r>
          </w:p>
        </w:tc>
        <w:tc>
          <w:tcPr>
            <w:tcW w:w="1639" w:type="dxa"/>
            <w:noWrap w:val="0"/>
            <w:vAlign w:val="center"/>
          </w:tcPr>
          <w:p>
            <w:pPr>
              <w:pStyle w:val="2"/>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1" w:type="dxa"/>
            <w:noWrap w:val="0"/>
            <w:vAlign w:val="center"/>
          </w:tcPr>
          <w:p>
            <w:pPr>
              <w:pStyle w:val="2"/>
              <w:jc w:val="center"/>
              <w:rPr>
                <w:rFonts w:hint="eastAsia" w:ascii="仿宋" w:hAnsi="仿宋" w:eastAsia="仿宋" w:cs="仿宋"/>
                <w:color w:val="auto"/>
                <w:sz w:val="24"/>
                <w:highlight w:val="none"/>
              </w:rPr>
            </w:pPr>
          </w:p>
        </w:tc>
        <w:tc>
          <w:tcPr>
            <w:tcW w:w="1200" w:type="dxa"/>
            <w:noWrap w:val="0"/>
            <w:vAlign w:val="center"/>
          </w:tcPr>
          <w:p>
            <w:pPr>
              <w:pStyle w:val="2"/>
              <w:jc w:val="center"/>
              <w:rPr>
                <w:rFonts w:hint="eastAsia" w:ascii="仿宋" w:hAnsi="仿宋" w:eastAsia="仿宋" w:cs="仿宋"/>
                <w:color w:val="auto"/>
                <w:highlight w:val="none"/>
              </w:rPr>
            </w:pPr>
          </w:p>
        </w:tc>
        <w:tc>
          <w:tcPr>
            <w:tcW w:w="1050" w:type="dxa"/>
            <w:noWrap w:val="0"/>
            <w:vAlign w:val="center"/>
          </w:tcPr>
          <w:p>
            <w:pPr>
              <w:pStyle w:val="2"/>
              <w:jc w:val="center"/>
              <w:rPr>
                <w:rFonts w:hint="eastAsia" w:ascii="仿宋" w:hAnsi="仿宋" w:eastAsia="仿宋" w:cs="仿宋"/>
                <w:color w:val="auto"/>
                <w:highlight w:val="none"/>
              </w:rPr>
            </w:pPr>
          </w:p>
        </w:tc>
        <w:tc>
          <w:tcPr>
            <w:tcW w:w="2850" w:type="dxa"/>
            <w:noWrap w:val="0"/>
            <w:vAlign w:val="center"/>
          </w:tcPr>
          <w:p>
            <w:pPr>
              <w:pStyle w:val="2"/>
              <w:jc w:val="center"/>
              <w:rPr>
                <w:rFonts w:hint="eastAsia" w:ascii="仿宋" w:hAnsi="仿宋" w:eastAsia="仿宋" w:cs="仿宋"/>
                <w:color w:val="auto"/>
                <w:highlight w:val="none"/>
              </w:rPr>
            </w:pPr>
          </w:p>
        </w:tc>
        <w:tc>
          <w:tcPr>
            <w:tcW w:w="1693" w:type="dxa"/>
            <w:noWrap w:val="0"/>
            <w:vAlign w:val="center"/>
          </w:tcPr>
          <w:p>
            <w:pPr>
              <w:pStyle w:val="2"/>
              <w:jc w:val="center"/>
              <w:rPr>
                <w:rFonts w:hint="eastAsia" w:ascii="仿宋" w:hAnsi="仿宋" w:eastAsia="仿宋" w:cs="仿宋"/>
                <w:color w:val="auto"/>
                <w:highlight w:val="none"/>
              </w:rPr>
            </w:pPr>
          </w:p>
        </w:tc>
        <w:tc>
          <w:tcPr>
            <w:tcW w:w="1639" w:type="dxa"/>
            <w:noWrap w:val="0"/>
            <w:vAlign w:val="center"/>
          </w:tcPr>
          <w:p>
            <w:pPr>
              <w:pStyle w:val="2"/>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1" w:type="dxa"/>
            <w:noWrap w:val="0"/>
            <w:vAlign w:val="center"/>
          </w:tcPr>
          <w:p>
            <w:pPr>
              <w:pStyle w:val="2"/>
              <w:jc w:val="center"/>
              <w:rPr>
                <w:rFonts w:hint="eastAsia" w:ascii="仿宋" w:hAnsi="仿宋" w:eastAsia="仿宋" w:cs="仿宋"/>
                <w:color w:val="auto"/>
                <w:sz w:val="24"/>
                <w:highlight w:val="none"/>
              </w:rPr>
            </w:pPr>
          </w:p>
        </w:tc>
        <w:tc>
          <w:tcPr>
            <w:tcW w:w="1200" w:type="dxa"/>
            <w:noWrap w:val="0"/>
            <w:vAlign w:val="center"/>
          </w:tcPr>
          <w:p>
            <w:pPr>
              <w:pStyle w:val="2"/>
              <w:jc w:val="center"/>
              <w:rPr>
                <w:rFonts w:hint="eastAsia" w:ascii="仿宋" w:hAnsi="仿宋" w:eastAsia="仿宋" w:cs="仿宋"/>
                <w:color w:val="auto"/>
                <w:highlight w:val="none"/>
              </w:rPr>
            </w:pPr>
          </w:p>
        </w:tc>
        <w:tc>
          <w:tcPr>
            <w:tcW w:w="1050" w:type="dxa"/>
            <w:noWrap w:val="0"/>
            <w:vAlign w:val="center"/>
          </w:tcPr>
          <w:p>
            <w:pPr>
              <w:pStyle w:val="2"/>
              <w:jc w:val="center"/>
              <w:rPr>
                <w:rFonts w:hint="eastAsia" w:ascii="仿宋" w:hAnsi="仿宋" w:eastAsia="仿宋" w:cs="仿宋"/>
                <w:color w:val="auto"/>
                <w:highlight w:val="none"/>
              </w:rPr>
            </w:pPr>
          </w:p>
        </w:tc>
        <w:tc>
          <w:tcPr>
            <w:tcW w:w="2850" w:type="dxa"/>
            <w:noWrap w:val="0"/>
            <w:vAlign w:val="center"/>
          </w:tcPr>
          <w:p>
            <w:pPr>
              <w:pStyle w:val="2"/>
              <w:jc w:val="center"/>
              <w:rPr>
                <w:rFonts w:hint="eastAsia" w:ascii="仿宋" w:hAnsi="仿宋" w:eastAsia="仿宋" w:cs="仿宋"/>
                <w:color w:val="auto"/>
                <w:highlight w:val="none"/>
              </w:rPr>
            </w:pPr>
          </w:p>
        </w:tc>
        <w:tc>
          <w:tcPr>
            <w:tcW w:w="1693" w:type="dxa"/>
            <w:noWrap w:val="0"/>
            <w:vAlign w:val="center"/>
          </w:tcPr>
          <w:p>
            <w:pPr>
              <w:pStyle w:val="2"/>
              <w:jc w:val="center"/>
              <w:rPr>
                <w:rFonts w:hint="eastAsia" w:ascii="仿宋" w:hAnsi="仿宋" w:eastAsia="仿宋" w:cs="仿宋"/>
                <w:color w:val="auto"/>
                <w:highlight w:val="none"/>
              </w:rPr>
            </w:pPr>
          </w:p>
        </w:tc>
        <w:tc>
          <w:tcPr>
            <w:tcW w:w="1639" w:type="dxa"/>
            <w:noWrap w:val="0"/>
            <w:vAlign w:val="center"/>
          </w:tcPr>
          <w:p>
            <w:pPr>
              <w:pStyle w:val="2"/>
              <w:jc w:val="center"/>
              <w:rPr>
                <w:rFonts w:hint="eastAsia" w:ascii="仿宋" w:hAnsi="仿宋" w:eastAsia="仿宋" w:cs="仿宋"/>
                <w:color w:val="auto"/>
                <w:highlight w:val="none"/>
              </w:rPr>
            </w:pPr>
          </w:p>
        </w:tc>
      </w:tr>
    </w:tbl>
    <w:p>
      <w:pPr>
        <w:pStyle w:val="85"/>
        <w:spacing w:after="0" w:line="500" w:lineRule="exact"/>
        <w:ind w:firstLine="480"/>
        <w:rPr>
          <w:rFonts w:hint="eastAsia" w:ascii="仿宋" w:hAnsi="仿宋" w:eastAsia="仿宋" w:cs="仿宋"/>
          <w:color w:val="auto"/>
          <w:szCs w:val="21"/>
          <w:highlight w:val="none"/>
        </w:rPr>
      </w:pPr>
    </w:p>
    <w:p>
      <w:pPr>
        <w:pStyle w:val="92"/>
        <w:spacing w:line="360" w:lineRule="auto"/>
        <w:outlineLvl w:val="9"/>
        <w:rPr>
          <w:rStyle w:val="102"/>
          <w:rFonts w:hint="eastAsia" w:ascii="仿宋" w:hAnsi="仿宋" w:eastAsia="仿宋" w:cs="仿宋"/>
          <w:b/>
          <w:bCs/>
          <w:color w:val="auto"/>
          <w:kern w:val="1"/>
          <w:sz w:val="21"/>
          <w:szCs w:val="21"/>
          <w:highlight w:val="none"/>
        </w:rPr>
      </w:pPr>
    </w:p>
    <w:p>
      <w:pPr>
        <w:spacing w:after="0" w:line="360" w:lineRule="auto"/>
        <w:ind w:firstLine="480" w:firstLineChars="200"/>
        <w:rPr>
          <w:rFonts w:hint="eastAsia" w:ascii="仿宋" w:hAnsi="仿宋" w:eastAsia="仿宋" w:cs="仿宋"/>
          <w:color w:val="auto"/>
          <w:sz w:val="24"/>
          <w:highlight w:val="none"/>
        </w:rPr>
      </w:pPr>
    </w:p>
    <w:p>
      <w:pPr>
        <w:spacing w:after="0" w:line="360" w:lineRule="auto"/>
        <w:rPr>
          <w:rFonts w:hint="eastAsia" w:ascii="仿宋" w:hAnsi="仿宋" w:eastAsia="仿宋" w:cs="仿宋"/>
          <w:color w:val="auto"/>
          <w:sz w:val="24"/>
          <w:highlight w:val="none"/>
        </w:rPr>
      </w:pPr>
    </w:p>
    <w:p>
      <w:pPr>
        <w:spacing w:after="0" w:line="360" w:lineRule="auto"/>
        <w:ind w:firstLine="480" w:firstLineChars="200"/>
        <w:rPr>
          <w:rFonts w:hint="eastAsia" w:ascii="仿宋" w:hAnsi="仿宋" w:eastAsia="仿宋" w:cs="仿宋"/>
          <w:color w:val="auto"/>
          <w:sz w:val="24"/>
          <w:highlight w:val="none"/>
        </w:rPr>
      </w:pPr>
    </w:p>
    <w:p>
      <w:pPr>
        <w:widowControl/>
        <w:spacing w:after="0" w:line="360" w:lineRule="auto"/>
        <w:rPr>
          <w:rFonts w:hint="eastAsia" w:ascii="仿宋" w:hAnsi="仿宋" w:eastAsia="仿宋" w:cs="仿宋"/>
          <w:b/>
          <w:bCs/>
          <w:color w:val="auto"/>
          <w:highlight w:val="none"/>
        </w:rPr>
      </w:pPr>
      <w:r>
        <w:rPr>
          <w:rFonts w:hint="eastAsia" w:ascii="仿宋" w:hAnsi="仿宋" w:eastAsia="仿宋" w:cs="仿宋"/>
          <w:color w:val="auto"/>
          <w:szCs w:val="21"/>
          <w:highlight w:val="none"/>
        </w:rPr>
        <w:br w:type="page"/>
      </w:r>
      <w:r>
        <w:rPr>
          <w:rFonts w:hint="eastAsia" w:ascii="仿宋" w:hAnsi="仿宋" w:eastAsia="仿宋" w:cs="仿宋"/>
          <w:b/>
          <w:bCs/>
          <w:color w:val="auto"/>
          <w:sz w:val="24"/>
          <w:highlight w:val="none"/>
        </w:rPr>
        <w:t>附件一：</w:t>
      </w:r>
      <w:r>
        <w:rPr>
          <w:rFonts w:hint="eastAsia" w:ascii="仿宋" w:hAnsi="仿宋" w:eastAsia="仿宋" w:cs="仿宋"/>
          <w:b/>
          <w:bCs/>
          <w:color w:val="auto"/>
          <w:highlight w:val="none"/>
        </w:rPr>
        <w:t>《四川省财政厅关于推进四川省政府采购供应商信用融资工作的通知》(川财采〔2018〕123号文)</w:t>
      </w:r>
    </w:p>
    <w:p>
      <w:pPr>
        <w:pStyle w:val="31"/>
        <w:spacing w:before="0" w:beforeAutospacing="0" w:after="0" w:afterAutospacing="0"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highlight w:val="none"/>
        </w:rPr>
        <w:t>查询链接：</w:t>
      </w:r>
      <w:r>
        <w:rPr>
          <w:rFonts w:hint="eastAsia" w:ascii="仿宋" w:hAnsi="仿宋" w:eastAsia="仿宋" w:cs="仿宋"/>
          <w:b/>
          <w:bCs/>
          <w:color w:val="auto"/>
          <w:sz w:val="24"/>
          <w:szCs w:val="24"/>
          <w:highlight w:val="none"/>
        </w:rPr>
        <w:t>http://www.ccgp-sichuan.gov.cn/view/staticpags/sjzcfg/40288687657ff75501672fd954532414.html</w:t>
      </w:r>
    </w:p>
    <w:p>
      <w:pPr>
        <w:widowControl/>
        <w:spacing w:after="0" w:line="360" w:lineRule="auto"/>
        <w:rPr>
          <w:rFonts w:hint="eastAsia" w:ascii="仿宋" w:hAnsi="仿宋" w:eastAsia="仿宋" w:cs="仿宋"/>
          <w:color w:val="auto"/>
          <w:highlight w:val="none"/>
        </w:rPr>
      </w:pPr>
    </w:p>
    <w:p>
      <w:pPr>
        <w:widowControl/>
        <w:spacing w:after="0"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drawing>
          <wp:inline distT="0" distB="0" distL="114300" distR="114300">
            <wp:extent cx="5302250" cy="1859915"/>
            <wp:effectExtent l="0" t="0" r="1270" b="14605"/>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16"/>
                    <a:stretch>
                      <a:fillRect/>
                    </a:stretch>
                  </pic:blipFill>
                  <pic:spPr>
                    <a:xfrm>
                      <a:off x="0" y="0"/>
                      <a:ext cx="5302250" cy="1859915"/>
                    </a:xfrm>
                    <a:prstGeom prst="rect">
                      <a:avLst/>
                    </a:prstGeom>
                    <a:noFill/>
                    <a:ln>
                      <a:noFill/>
                    </a:ln>
                  </pic:spPr>
                </pic:pic>
              </a:graphicData>
            </a:graphic>
          </wp:inline>
        </w:drawing>
      </w:r>
    </w:p>
    <w:p>
      <w:pPr>
        <w:pStyle w:val="31"/>
        <w:spacing w:before="0" w:beforeAutospacing="0" w:after="0" w:afterAutospacing="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各市（州）、扩权县（市）财政局，各省直机关、事业单位、团体组织，各金融机构，各采购代理机构，各政府采购供应商：</w:t>
      </w:r>
    </w:p>
    <w:p>
      <w:pPr>
        <w:pStyle w:val="31"/>
        <w:spacing w:before="0" w:beforeAutospacing="0" w:after="0" w:afterAutospacing="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为贯彻落实党的十九大精神、国务院“放管服”改革决策部署、省委十一届三次全会“大力推进创新驱动发展战略”精神，助力解决政府采购中标、成交供应商资金不足、融资难、融资贵的困难，促进供应商依法诚信参加政府采购活动，根据《中华人民共和国政府采购法》、《四川省人民政府关于印发进一步规范政府采购监管和执行若干规定的通知》（川府发〔2018〕14号）等有关规定，现就推进四川省政府采购供应商信用融资工作有关事项通知如下。</w:t>
      </w:r>
    </w:p>
    <w:p>
      <w:pPr>
        <w:pStyle w:val="31"/>
        <w:spacing w:before="0" w:beforeAutospacing="0" w:after="0" w:afterAutospacing="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一、融资概念</w:t>
      </w:r>
    </w:p>
    <w:p>
      <w:pPr>
        <w:pStyle w:val="31"/>
        <w:spacing w:before="0" w:beforeAutospacing="0" w:after="0" w:afterAutospacing="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政府采购供应商信用融资（以下简称“政采贷”），是指银行以政府采购供应商信用审查和政府采购信誉为基础，依托政府采购合同，按优于一般企业的贷款程序和利率，直接向申请贷款的供应商发放无财产抵押贷款的一种融资模式。</w:t>
      </w:r>
    </w:p>
    <w:p>
      <w:pPr>
        <w:pStyle w:val="31"/>
        <w:spacing w:before="0" w:beforeAutospacing="0" w:after="0" w:afterAutospacing="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二、基本原则</w:t>
      </w:r>
    </w:p>
    <w:p>
      <w:pPr>
        <w:pStyle w:val="31"/>
        <w:spacing w:before="0" w:beforeAutospacing="0" w:after="0" w:afterAutospacing="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（一）财政引导，市场运行</w:t>
      </w:r>
    </w:p>
    <w:p>
      <w:pPr>
        <w:pStyle w:val="31"/>
        <w:spacing w:before="0" w:beforeAutospacing="0" w:after="0" w:afterAutospacing="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财政部门推进“政采贷”，银行和供应商按照自愿原则参与。供应商自愿选择是否申请“政采贷”，银行依据其内部审查制度和决策程序决定是否为供应商提供融资，自担风险。</w:t>
      </w:r>
    </w:p>
    <w:p>
      <w:pPr>
        <w:pStyle w:val="31"/>
        <w:spacing w:before="0" w:beforeAutospacing="0" w:after="0" w:afterAutospacing="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（二）建立机制，服务银企</w:t>
      </w:r>
    </w:p>
    <w:p>
      <w:pPr>
        <w:pStyle w:val="31"/>
        <w:spacing w:before="0" w:beforeAutospacing="0" w:after="0" w:afterAutospacing="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财政部门与银行建立“政采贷”工作机制，推动政府采购政策功能和金融资源的有机结合，拓宽银行的融资业务，助力解决政府采购中标、成交供应商资金不足、融资难、融资贵的困难，促进企业健康发展。</w:t>
      </w:r>
    </w:p>
    <w:p>
      <w:pPr>
        <w:pStyle w:val="31"/>
        <w:spacing w:before="0" w:beforeAutospacing="0" w:after="0" w:afterAutospacing="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（三）优质优惠，加强扶持</w:t>
      </w:r>
    </w:p>
    <w:p>
      <w:pPr>
        <w:pStyle w:val="31"/>
        <w:spacing w:before="0" w:beforeAutospacing="0" w:after="0" w:afterAutospacing="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银行按优于同期一般企业的贷款利率，向政府采购供应商提供信用贷款，贷款额度由银行根据政府采购合同的具体情况确定，不要求申请融资的供应商提供财产抵押或第三方担保，不收取融资利息之外的额外费用。</w:t>
      </w:r>
    </w:p>
    <w:p>
      <w:pPr>
        <w:pStyle w:val="31"/>
        <w:spacing w:before="0" w:beforeAutospacing="0" w:after="0" w:afterAutospacing="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三、基本条件</w:t>
      </w:r>
    </w:p>
    <w:p>
      <w:pPr>
        <w:pStyle w:val="31"/>
        <w:spacing w:before="0" w:beforeAutospacing="0" w:after="0" w:afterAutospacing="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（一）银行暨“政采贷”金融产品</w:t>
      </w:r>
    </w:p>
    <w:p>
      <w:pPr>
        <w:pStyle w:val="31"/>
        <w:spacing w:before="0" w:beforeAutospacing="0" w:after="0" w:afterAutospacing="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1、征集。</w:t>
      </w:r>
      <w:r>
        <w:rPr>
          <w:rFonts w:hint="eastAsia" w:ascii="仿宋" w:hAnsi="仿宋" w:eastAsia="仿宋" w:cs="仿宋"/>
          <w:color w:val="auto"/>
          <w:sz w:val="24"/>
          <w:szCs w:val="24"/>
          <w:highlight w:val="none"/>
        </w:rPr>
        <w:t>在四川省行政区域内，有意向开展“政采贷”工作的银行，可以于2018年12月21日前，直接向四川省财政厅（政府采购监督管理处）提交书面申请。四川省财政厅可以根据情况每年征集一次有意向开展“政采贷”工作的银行。</w:t>
      </w:r>
    </w:p>
    <w:p>
      <w:pPr>
        <w:pStyle w:val="31"/>
        <w:spacing w:before="0" w:beforeAutospacing="0" w:after="0" w:afterAutospacing="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申请材料应当包括银行基本情况、“政采贷”产品名称、申请贷款条件、申请贷款方式、申请贷款程序、贷款审查流程、贷款额度、发放贷款时间、收款方式及其他优质服务和优惠承诺等。</w:t>
      </w:r>
    </w:p>
    <w:p>
      <w:pPr>
        <w:pStyle w:val="31"/>
        <w:spacing w:before="0" w:beforeAutospacing="0" w:after="0" w:afterAutospacing="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银行提供的“政采贷”产品应当满足“无抵押担保、程序简便、利率优惠、放款及时”的基本条件以及本通知其他相关规定。</w:t>
      </w:r>
    </w:p>
    <w:p>
      <w:pPr>
        <w:pStyle w:val="31"/>
        <w:spacing w:before="0" w:beforeAutospacing="0" w:after="0" w:afterAutospacing="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银行申请材料中应当载明其自愿提供“政采贷”产品，自担风险，不得要求或者变相要求财政部门和采购人为其提供风险担保、承诺。</w:t>
      </w:r>
    </w:p>
    <w:p>
      <w:pPr>
        <w:pStyle w:val="31"/>
        <w:spacing w:before="0" w:beforeAutospacing="0" w:after="0" w:afterAutospacing="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2、公示。</w:t>
      </w:r>
      <w:r>
        <w:rPr>
          <w:rFonts w:hint="eastAsia" w:ascii="仿宋" w:hAnsi="仿宋" w:eastAsia="仿宋" w:cs="仿宋"/>
          <w:color w:val="auto"/>
          <w:sz w:val="24"/>
          <w:szCs w:val="24"/>
          <w:highlight w:val="none"/>
        </w:rPr>
        <w:t>四川省财政厅收到银行提交的书面申请后，对满足本通知要求的银行及其“政采贷”产品具体信息，及时在四川政府采购网向社会公示。银行申请材料中提供的“政采贷”产品不满足本通知要求的，四川省财政厅将退回申请，并告知理由。</w:t>
      </w:r>
    </w:p>
    <w:p>
      <w:pPr>
        <w:pStyle w:val="31"/>
        <w:spacing w:before="0" w:beforeAutospacing="0" w:after="0" w:afterAutospacing="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（二）供应商</w:t>
      </w:r>
    </w:p>
    <w:p>
      <w:pPr>
        <w:pStyle w:val="31"/>
        <w:spacing w:before="0" w:beforeAutospacing="0" w:after="0" w:afterAutospacing="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政府采购供应商向银行申请“政采贷”，应当满足下列基本条件：</w:t>
      </w:r>
    </w:p>
    <w:p>
      <w:pPr>
        <w:pStyle w:val="31"/>
        <w:spacing w:before="0" w:beforeAutospacing="0" w:after="0" w:afterAutospacing="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1、</w:t>
      </w:r>
      <w:r>
        <w:rPr>
          <w:rFonts w:hint="eastAsia" w:ascii="仿宋" w:hAnsi="仿宋" w:eastAsia="仿宋" w:cs="仿宋"/>
          <w:color w:val="auto"/>
          <w:sz w:val="24"/>
          <w:szCs w:val="24"/>
          <w:highlight w:val="none"/>
        </w:rPr>
        <w:t>具有依法承担民事责任的能力；</w:t>
      </w:r>
    </w:p>
    <w:p>
      <w:pPr>
        <w:pStyle w:val="31"/>
        <w:spacing w:before="0" w:beforeAutospacing="0" w:after="0" w:afterAutospacing="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2、</w:t>
      </w:r>
      <w:r>
        <w:rPr>
          <w:rFonts w:hint="eastAsia" w:ascii="仿宋" w:hAnsi="仿宋" w:eastAsia="仿宋" w:cs="仿宋"/>
          <w:color w:val="auto"/>
          <w:sz w:val="24"/>
          <w:szCs w:val="24"/>
          <w:highlight w:val="none"/>
        </w:rPr>
        <w:t>具有依法履行政府采购合同的能力；</w:t>
      </w:r>
    </w:p>
    <w:p>
      <w:pPr>
        <w:pStyle w:val="31"/>
        <w:spacing w:before="0" w:beforeAutospacing="0" w:after="0" w:afterAutospacing="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3、</w:t>
      </w:r>
      <w:r>
        <w:rPr>
          <w:rFonts w:hint="eastAsia" w:ascii="仿宋" w:hAnsi="仿宋" w:eastAsia="仿宋" w:cs="仿宋"/>
          <w:color w:val="auto"/>
          <w:sz w:val="24"/>
          <w:szCs w:val="24"/>
          <w:highlight w:val="none"/>
        </w:rPr>
        <w:t>参加的政府采购活动未被财政部门依法暂停、责令重新开展或者认定中标、成交无效；</w:t>
      </w:r>
    </w:p>
    <w:p>
      <w:pPr>
        <w:pStyle w:val="31"/>
        <w:spacing w:before="0" w:beforeAutospacing="0" w:after="0" w:afterAutospacing="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4、</w:t>
      </w:r>
      <w:r>
        <w:rPr>
          <w:rFonts w:hint="eastAsia" w:ascii="仿宋" w:hAnsi="仿宋" w:eastAsia="仿宋" w:cs="仿宋"/>
          <w:color w:val="auto"/>
          <w:sz w:val="24"/>
          <w:szCs w:val="24"/>
          <w:highlight w:val="none"/>
        </w:rPr>
        <w:t>无《政府采购法》第二十二条第一款第（五）项所称的重大违法记录；</w:t>
      </w:r>
    </w:p>
    <w:p>
      <w:pPr>
        <w:pStyle w:val="31"/>
        <w:spacing w:before="0" w:beforeAutospacing="0" w:after="0" w:afterAutospacing="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5、</w:t>
      </w:r>
      <w:r>
        <w:rPr>
          <w:rFonts w:hint="eastAsia" w:ascii="仿宋" w:hAnsi="仿宋" w:eastAsia="仿宋" w:cs="仿宋"/>
          <w:color w:val="auto"/>
          <w:sz w:val="24"/>
          <w:szCs w:val="24"/>
          <w:highlight w:val="none"/>
        </w:rPr>
        <w:t>未被法院、市场监管、税务、银行等部门单位纳入失信名单且在有效期内；</w:t>
      </w:r>
    </w:p>
    <w:p>
      <w:pPr>
        <w:pStyle w:val="31"/>
        <w:spacing w:before="0" w:beforeAutospacing="0" w:after="0" w:afterAutospacing="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6、</w:t>
      </w:r>
      <w:r>
        <w:rPr>
          <w:rFonts w:hint="eastAsia" w:ascii="仿宋" w:hAnsi="仿宋" w:eastAsia="仿宋" w:cs="仿宋"/>
          <w:color w:val="auto"/>
          <w:sz w:val="24"/>
          <w:szCs w:val="24"/>
          <w:highlight w:val="none"/>
        </w:rPr>
        <w:t>在一定期限内的（银行可以具体确定）政府采购合同履约过程中或者其他经营活动履约过程中，无不依法履约被有关行政部门行政处罚的或者产生法律纠纷被法院、仲裁机构判决、裁决败诉的；</w:t>
      </w:r>
    </w:p>
    <w:p>
      <w:pPr>
        <w:pStyle w:val="31"/>
        <w:spacing w:before="0" w:beforeAutospacing="0" w:after="0" w:afterAutospacing="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7、</w:t>
      </w:r>
      <w:r>
        <w:rPr>
          <w:rFonts w:hint="eastAsia" w:ascii="仿宋" w:hAnsi="仿宋" w:eastAsia="仿宋" w:cs="仿宋"/>
          <w:color w:val="auto"/>
          <w:sz w:val="24"/>
          <w:szCs w:val="24"/>
          <w:highlight w:val="none"/>
        </w:rPr>
        <w:t>其他银行要求的不属于提供财产抵押或第三方担保的条件。</w:t>
      </w:r>
    </w:p>
    <w:p>
      <w:pPr>
        <w:pStyle w:val="31"/>
        <w:spacing w:before="0" w:beforeAutospacing="0" w:after="0" w:afterAutospacing="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四、构建平台</w:t>
      </w:r>
    </w:p>
    <w:p>
      <w:pPr>
        <w:pStyle w:val="31"/>
        <w:spacing w:before="0" w:beforeAutospacing="0" w:after="0" w:afterAutospacing="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四川省财政厅将在四川政府采购网统一构建四川省“政采贷”信息化服务平台，推进四川省“政采贷”工作信息化建设。</w:t>
      </w:r>
    </w:p>
    <w:p>
      <w:pPr>
        <w:pStyle w:val="31"/>
        <w:spacing w:before="0" w:beforeAutospacing="0" w:after="0" w:afterAutospacing="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五、财金互动</w:t>
      </w:r>
    </w:p>
    <w:p>
      <w:pPr>
        <w:pStyle w:val="31"/>
        <w:spacing w:before="0" w:beforeAutospacing="0" w:after="0" w:afterAutospacing="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各级财政部门应当按照《四川省政府采购促进中小企业发展的若干规定》（川财采[2016]35号）等有关规定，对金融机构向小微企业提供“政采贷”贷款产生的损失，纳入财政金融互动政策范围给予风险补贴。</w:t>
      </w:r>
    </w:p>
    <w:p>
      <w:pPr>
        <w:pStyle w:val="31"/>
        <w:spacing w:before="0" w:beforeAutospacing="0" w:after="0" w:afterAutospacing="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六、基本流程</w:t>
      </w:r>
    </w:p>
    <w:p>
      <w:pPr>
        <w:pStyle w:val="31"/>
        <w:spacing w:before="0" w:beforeAutospacing="0" w:after="0" w:afterAutospacing="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（一）意向申请</w:t>
      </w:r>
    </w:p>
    <w:p>
      <w:pPr>
        <w:pStyle w:val="31"/>
        <w:spacing w:before="0" w:beforeAutospacing="0" w:after="0" w:afterAutospacing="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有融资需求的供应商可根据四川政府采购网公示的银行及其“政采贷”产品，自行选择符合自身情况的“政采贷”银行及其产品，凭中标（成交）通知书向银行提出贷款意向申请。银行应及时按照有关规定完成对供应商的信用审查以及开设账户等相关工作。</w:t>
      </w:r>
    </w:p>
    <w:p>
      <w:pPr>
        <w:pStyle w:val="31"/>
        <w:spacing w:before="0" w:beforeAutospacing="0" w:after="0" w:afterAutospacing="0"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（二）正式申请</w:t>
      </w:r>
    </w:p>
    <w:p>
      <w:pPr>
        <w:pStyle w:val="31"/>
        <w:spacing w:before="0" w:beforeAutospacing="0" w:after="0" w:afterAutospacing="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与采购人在法定时间依法签订政府采购合同（政府采购合同签订后，应当依法在7个工作日内向同级财政部门备案，2个工作日内在四川政府采购网公告）后，可凭政府采购合同向银行提出“政采贷”正式申请。</w:t>
      </w:r>
    </w:p>
    <w:p>
      <w:pPr>
        <w:pStyle w:val="31"/>
        <w:spacing w:before="0" w:beforeAutospacing="0" w:after="0" w:afterAutospacing="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拟用于“政采贷”的政府采购合同，应在合同中注明贷款银行名称及账号，作为供应商本次采购的唯一收款账号。因发生特殊情况需要在还款前变更收款账号的，供应商应当事前书面告知采购人和放款银行，并获得采购人和放款银行同意。采购人和放款银行同意后，采购人与供应商应当就该条款重新签订政府采购合同或者签订补充协议作为原政府采购合同的一部分，并在签订后依法在7个工作日内向同级财政部门备案，2个工作日内在四川政府采购网公告。</w:t>
      </w:r>
    </w:p>
    <w:p>
      <w:pPr>
        <w:pStyle w:val="31"/>
        <w:spacing w:before="0" w:beforeAutospacing="0" w:after="0" w:afterAutospacing="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（三）贷款审查</w:t>
      </w:r>
    </w:p>
    <w:p>
      <w:pPr>
        <w:pStyle w:val="31"/>
        <w:spacing w:before="0" w:beforeAutospacing="0" w:after="0" w:afterAutospacing="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银行按规定对申请“政采贷”的供应商及其提供的政府采购合同等信息进行审查。审查过程中，银行认为有必要的，可以到采购人、采购代理机构或者财政部门对该政府采购合同的书面信息与备案信息进行核实，有关单位应当配合。银行审查通过后，应当按照其在四川政府采购网公示的“政采贷”产品服务承诺事项及时放款。</w:t>
      </w:r>
    </w:p>
    <w:p>
      <w:pPr>
        <w:pStyle w:val="31"/>
        <w:spacing w:before="0" w:beforeAutospacing="0" w:after="0" w:afterAutospacing="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（四）信息报送</w:t>
      </w:r>
    </w:p>
    <w:p>
      <w:pPr>
        <w:pStyle w:val="31"/>
        <w:spacing w:before="0" w:beforeAutospacing="0" w:after="0" w:afterAutospacing="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银行完成放款后，应当通过四川省“政采贷”信息化服务平台，填写《四川省“政采贷”信息统计表》（详见附件），每季度终了5个工作日内，向四川省财政厅（政府采购监督管理处）报送，以便相关部门及时掌握和分析“政采贷”信息，不断推进“政采贷”工作。</w:t>
      </w:r>
    </w:p>
    <w:p>
      <w:pPr>
        <w:pStyle w:val="31"/>
        <w:spacing w:before="0" w:beforeAutospacing="0" w:after="0" w:afterAutospacing="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（五）资金支付</w:t>
      </w:r>
    </w:p>
    <w:p>
      <w:pPr>
        <w:pStyle w:val="31"/>
        <w:spacing w:before="0" w:beforeAutospacing="0" w:after="0" w:afterAutospacing="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政府采购资金支付时，采购人必须将采购资金支付到政府采购合同中注明的贷款银行名称及账号，以保障贷款资金的安全回收。采购人不得将采购资金支付在政府采购合同约定以外的收款账号。</w:t>
      </w:r>
    </w:p>
    <w:p>
      <w:pPr>
        <w:pStyle w:val="31"/>
        <w:spacing w:before="0" w:beforeAutospacing="0" w:after="0" w:afterAutospacing="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政府采购资金支付过程中，银行需要查询采购资金支付进程有关信息的，财政部门和采购人应当支持。</w:t>
      </w:r>
    </w:p>
    <w:p>
      <w:pPr>
        <w:pStyle w:val="31"/>
        <w:spacing w:before="0" w:beforeAutospacing="0" w:after="0" w:afterAutospacing="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七、职责要求</w:t>
      </w:r>
    </w:p>
    <w:p>
      <w:pPr>
        <w:pStyle w:val="31"/>
        <w:spacing w:before="0" w:beforeAutospacing="0" w:after="0" w:afterAutospacing="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（一）</w:t>
      </w:r>
      <w:r>
        <w:rPr>
          <w:rFonts w:hint="eastAsia" w:ascii="仿宋" w:hAnsi="仿宋" w:eastAsia="仿宋" w:cs="仿宋"/>
          <w:color w:val="auto"/>
          <w:sz w:val="24"/>
          <w:szCs w:val="24"/>
          <w:highlight w:val="none"/>
        </w:rPr>
        <w:t>各级财政部门应当高度重视“政采贷”工作，提高认识，充分发挥自身职能作用。不断完善政策措施，加强对“政采贷”采购项目的跟踪监督，对于银行向采购人、采购代理机构核实或者获取合法范围内的相关政府采购信息有困难的，可以积极进行协调。财政部门不得为“政采贷”提供任何形式的担保和承诺。</w:t>
      </w:r>
    </w:p>
    <w:p>
      <w:pPr>
        <w:pStyle w:val="31"/>
        <w:spacing w:before="0" w:beforeAutospacing="0" w:after="0" w:afterAutospacing="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（二）</w:t>
      </w:r>
      <w:r>
        <w:rPr>
          <w:rFonts w:hint="eastAsia" w:ascii="仿宋" w:hAnsi="仿宋" w:eastAsia="仿宋" w:cs="仿宋"/>
          <w:color w:val="auto"/>
          <w:sz w:val="24"/>
          <w:szCs w:val="24"/>
          <w:highlight w:val="none"/>
        </w:rPr>
        <w:t>银行应当切实转变注重抵押担保的传统信贷理念，积极服务经济社会发展的大局，不断完善“政采贷”产品，优化贷款审查流程，简化贷款审查手续，提供更多优质服务，同时做好风险防控工作。银行对于供应商是否如期还款情况及未如期还款的主要原因等信息，应当及时向财政部门反馈。</w:t>
      </w:r>
    </w:p>
    <w:p>
      <w:pPr>
        <w:pStyle w:val="31"/>
        <w:spacing w:before="0" w:beforeAutospacing="0" w:after="0" w:afterAutospacing="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（三）</w:t>
      </w:r>
      <w:r>
        <w:rPr>
          <w:rFonts w:hint="eastAsia" w:ascii="仿宋" w:hAnsi="仿宋" w:eastAsia="仿宋" w:cs="仿宋"/>
          <w:color w:val="auto"/>
          <w:sz w:val="24"/>
          <w:szCs w:val="24"/>
          <w:highlight w:val="none"/>
        </w:rPr>
        <w:t>采购人应当积极支持“政采贷”工作，对于银行、供应商提出的合理需求，应当支持。对于已融资采购项目，供应商履约完成后，要及时开展履约验收工作，及时支付采购资金，不得无故拖延和拒付采购资金。</w:t>
      </w:r>
    </w:p>
    <w:p>
      <w:pPr>
        <w:pStyle w:val="31"/>
        <w:spacing w:before="0" w:beforeAutospacing="0" w:after="0" w:afterAutospacing="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（四）</w:t>
      </w:r>
      <w:r>
        <w:rPr>
          <w:rFonts w:hint="eastAsia" w:ascii="仿宋" w:hAnsi="仿宋" w:eastAsia="仿宋" w:cs="仿宋"/>
          <w:color w:val="auto"/>
          <w:sz w:val="24"/>
          <w:szCs w:val="24"/>
          <w:highlight w:val="none"/>
        </w:rPr>
        <w:t>采购代理机构在组织实施政府采购活动中，应当采取有效方式，向供应商宣传“政采贷”政策。银行需要借用采购代理机构的场所直接向供应商介绍其“政采贷”产品的，采购代理机构应当支持。</w:t>
      </w:r>
    </w:p>
    <w:p>
      <w:pPr>
        <w:pStyle w:val="31"/>
        <w:spacing w:before="0" w:beforeAutospacing="0" w:after="0" w:afterAutospacing="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（五）</w:t>
      </w:r>
      <w:r>
        <w:rPr>
          <w:rFonts w:hint="eastAsia" w:ascii="仿宋" w:hAnsi="仿宋" w:eastAsia="仿宋" w:cs="仿宋"/>
          <w:color w:val="auto"/>
          <w:sz w:val="24"/>
          <w:szCs w:val="24"/>
          <w:highlight w:val="none"/>
        </w:rPr>
        <w:t>供应商应当依法参加政府采购活动，公平竞争，诚实守信，严格按照政府采购合同履约，严格按照借款合同偿还债务。</w:t>
      </w:r>
    </w:p>
    <w:p>
      <w:pPr>
        <w:pStyle w:val="31"/>
        <w:spacing w:before="0" w:beforeAutospacing="0" w:after="0" w:afterAutospacing="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（六）</w:t>
      </w:r>
      <w:r>
        <w:rPr>
          <w:rFonts w:hint="eastAsia" w:ascii="仿宋" w:hAnsi="仿宋" w:eastAsia="仿宋" w:cs="仿宋"/>
          <w:color w:val="auto"/>
          <w:sz w:val="24"/>
          <w:szCs w:val="24"/>
          <w:highlight w:val="none"/>
        </w:rPr>
        <w:t>财政部门、采购人、采购代理机构及其他有关单位和个人不得违规干预供应商选择“政采贷”银行及其产品，也不得违规干预银行向供应商进行贷款。</w:t>
      </w:r>
    </w:p>
    <w:p>
      <w:pPr>
        <w:pStyle w:val="31"/>
        <w:spacing w:before="0" w:beforeAutospacing="0" w:after="0" w:afterAutospacing="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（七）</w:t>
      </w:r>
      <w:r>
        <w:rPr>
          <w:rFonts w:hint="eastAsia" w:ascii="仿宋" w:hAnsi="仿宋" w:eastAsia="仿宋" w:cs="仿宋"/>
          <w:color w:val="auto"/>
          <w:sz w:val="24"/>
          <w:szCs w:val="24"/>
          <w:highlight w:val="none"/>
        </w:rPr>
        <w:t>相关单位和个人在开展“政采贷”工作过程中，发现新问题、新情况或者有意见建议的，请及时向四川省财政厅反馈。</w:t>
      </w:r>
    </w:p>
    <w:p>
      <w:pPr>
        <w:pStyle w:val="31"/>
        <w:spacing w:before="0" w:beforeAutospacing="0" w:after="0" w:afterAutospacing="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八、违规处理</w:t>
      </w:r>
    </w:p>
    <w:p>
      <w:pPr>
        <w:pStyle w:val="31"/>
        <w:spacing w:before="0" w:beforeAutospacing="0" w:after="0" w:afterAutospacing="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（一）银行违规处理</w:t>
      </w:r>
    </w:p>
    <w:p>
      <w:pPr>
        <w:pStyle w:val="31"/>
        <w:spacing w:before="0" w:beforeAutospacing="0" w:after="0" w:afterAutospacing="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银行不按照其在四川政府采购网公示的“政采贷”产品服务承诺事项办理供应商信用融资贷款申请的，由四川省财政厅进行约谈，责令限期整改；拒不整改或者变相拒不整改的，撤销其在四川政府采购网的公示信息，取消其资格，并在1-3年内拒绝接收其再次申请。</w:t>
      </w:r>
    </w:p>
    <w:p>
      <w:pPr>
        <w:pStyle w:val="31"/>
        <w:spacing w:before="0" w:beforeAutospacing="0" w:after="0" w:afterAutospacing="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（二）供应商违规处理</w:t>
      </w:r>
    </w:p>
    <w:p>
      <w:pPr>
        <w:pStyle w:val="31"/>
        <w:spacing w:before="0" w:beforeAutospacing="0" w:after="0" w:afterAutospacing="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以政府采购合同造假或者其他造假方式违规申请信用融资的，或者违反有关规定或者约定，导致无法偿还信用融资贷款的，或者拒绝或无故拖延还款付息的，由有关部门单位依法处理，纳入“不具备《中华人民共和国政府采购法》第二十二条第一款第（二）项规定的具有良好的商业信誉条件”名单，并在四川政府采购网公示。</w:t>
      </w:r>
    </w:p>
    <w:p>
      <w:pPr>
        <w:pStyle w:val="31"/>
        <w:spacing w:before="0" w:beforeAutospacing="0" w:after="0" w:afterAutospacing="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（三）其他违规处理</w:t>
      </w:r>
    </w:p>
    <w:p>
      <w:pPr>
        <w:pStyle w:val="31"/>
        <w:spacing w:before="0" w:beforeAutospacing="0" w:after="0" w:afterAutospacing="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无正当理由拖延和拒付采购资金的，或者采购代理机构拒绝支持银行借用场所向供应商介绍其“政采贷”产品的，或者有关单位或个人违规干预供应商选择“政采贷”银行及其产品的，或者有关单位或个人违规干预银行向供应商进行贷款的，由采购项目同级财政部门进行约谈，责令限期整改；拒不整改或者变相拒不整改的，按照有关规定依法处理。</w:t>
      </w:r>
    </w:p>
    <w:p>
      <w:pPr>
        <w:pStyle w:val="31"/>
        <w:spacing w:before="0" w:beforeAutospacing="0" w:after="0" w:afterAutospacing="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附件：四川省“政采贷”信息统计表</w:t>
      </w:r>
    </w:p>
    <w:p>
      <w:pPr>
        <w:widowControl/>
        <w:spacing w:after="0"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lang w:bidi="ar"/>
        </w:rPr>
        <w:drawing>
          <wp:anchor distT="0" distB="0" distL="114300" distR="114300" simplePos="0" relativeHeight="251659264" behindDoc="0" locked="0" layoutInCell="1" allowOverlap="1">
            <wp:simplePos x="0" y="0"/>
            <wp:positionH relativeFrom="column">
              <wp:posOffset>3808095</wp:posOffset>
            </wp:positionH>
            <wp:positionV relativeFrom="paragraph">
              <wp:posOffset>446405</wp:posOffset>
            </wp:positionV>
            <wp:extent cx="1771650" cy="1781175"/>
            <wp:effectExtent l="0" t="0" r="11430" b="1905"/>
            <wp:wrapSquare wrapText="bothSides"/>
            <wp:docPr id="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6"/>
                    <pic:cNvPicPr>
                      <a:picLocks noChangeAspect="1"/>
                    </pic:cNvPicPr>
                  </pic:nvPicPr>
                  <pic:blipFill>
                    <a:blip r:embed="rId17"/>
                    <a:stretch>
                      <a:fillRect/>
                    </a:stretch>
                  </pic:blipFill>
                  <pic:spPr>
                    <a:xfrm>
                      <a:off x="0" y="0"/>
                      <a:ext cx="1771650" cy="1781175"/>
                    </a:xfrm>
                    <a:prstGeom prst="rect">
                      <a:avLst/>
                    </a:prstGeom>
                    <a:noFill/>
                    <a:ln>
                      <a:noFill/>
                    </a:ln>
                  </pic:spPr>
                </pic:pic>
              </a:graphicData>
            </a:graphic>
          </wp:anchor>
        </w:drawing>
      </w:r>
      <w:r>
        <w:rPr>
          <w:rFonts w:hint="eastAsia" w:ascii="仿宋" w:hAnsi="仿宋" w:eastAsia="仿宋" w:cs="仿宋"/>
          <w:color w:val="auto"/>
          <w:sz w:val="24"/>
          <w:highlight w:val="none"/>
        </w:rPr>
        <w:br w:type="page"/>
      </w:r>
      <w:r>
        <w:rPr>
          <w:rFonts w:hint="eastAsia" w:ascii="仿宋" w:hAnsi="仿宋" w:eastAsia="仿宋" w:cs="仿宋"/>
          <w:b/>
          <w:bCs/>
          <w:color w:val="auto"/>
          <w:sz w:val="24"/>
          <w:highlight w:val="none"/>
        </w:rPr>
        <w:t>附件二：成都市财政局  中国人民银行成都分行营业管理部关于印发《成都市中小企业政府采购信用融资暂行办法》和《成都市级支持中小企业政府采购信用融资实施方案》的通知（成财采〔2019〕17号）</w:t>
      </w:r>
    </w:p>
    <w:p>
      <w:pPr>
        <w:widowControl/>
        <w:spacing w:after="0"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查询链接：</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"http://cdcz.chengdu.gov.cn/cdsczj/c116726/2019-03/13/content_7d81ae9c2a1e48968c7839a9c5b88ccd.shtml" </w:instrText>
      </w:r>
      <w:r>
        <w:rPr>
          <w:rFonts w:hint="eastAsia" w:ascii="仿宋" w:hAnsi="仿宋" w:eastAsia="仿宋" w:cs="仿宋"/>
          <w:color w:val="auto"/>
          <w:highlight w:val="none"/>
        </w:rPr>
        <w:fldChar w:fldCharType="separate"/>
      </w:r>
      <w:r>
        <w:rPr>
          <w:rStyle w:val="42"/>
          <w:rFonts w:hint="eastAsia" w:ascii="仿宋" w:hAnsi="仿宋" w:eastAsia="仿宋" w:cs="仿宋"/>
          <w:b/>
          <w:bCs/>
          <w:color w:val="auto"/>
          <w:sz w:val="24"/>
          <w:highlight w:val="none"/>
        </w:rPr>
        <w:t>http://cdcz.chengdu.gov.cn/cdsczj/c116726/2019-03/13/content_7d81ae9c2a1e48968c7839a9c5b88ccd.shtml</w:t>
      </w:r>
      <w:r>
        <w:rPr>
          <w:rFonts w:hint="eastAsia" w:ascii="仿宋" w:hAnsi="仿宋" w:eastAsia="仿宋" w:cs="仿宋"/>
          <w:b/>
          <w:bCs/>
          <w:color w:val="auto"/>
          <w:sz w:val="24"/>
          <w:highlight w:val="none"/>
        </w:rPr>
        <w:fldChar w:fldCharType="end"/>
      </w:r>
    </w:p>
    <w:p>
      <w:pPr>
        <w:widowControl/>
        <w:spacing w:after="0" w:line="360" w:lineRule="auto"/>
        <w:rPr>
          <w:rFonts w:hint="eastAsia" w:ascii="仿宋" w:hAnsi="仿宋" w:eastAsia="仿宋" w:cs="仿宋"/>
          <w:b/>
          <w:bCs/>
          <w:color w:val="auto"/>
          <w:sz w:val="24"/>
          <w:highlight w:val="none"/>
        </w:rPr>
      </w:pPr>
    </w:p>
    <w:tbl>
      <w:tblPr>
        <w:tblStyle w:val="34"/>
        <w:tblW w:w="0" w:type="auto"/>
        <w:jc w:val="center"/>
        <w:tblLayout w:type="fixed"/>
        <w:tblCellMar>
          <w:top w:w="0" w:type="dxa"/>
          <w:left w:w="108" w:type="dxa"/>
          <w:bottom w:w="0" w:type="dxa"/>
          <w:right w:w="108" w:type="dxa"/>
        </w:tblCellMar>
      </w:tblPr>
      <w:tblGrid>
        <w:gridCol w:w="7482"/>
        <w:gridCol w:w="1580"/>
      </w:tblGrid>
      <w:tr>
        <w:tblPrEx>
          <w:tblCellMar>
            <w:top w:w="0" w:type="dxa"/>
            <w:left w:w="108" w:type="dxa"/>
            <w:bottom w:w="0" w:type="dxa"/>
            <w:right w:w="108" w:type="dxa"/>
          </w:tblCellMar>
        </w:tblPrEx>
        <w:trPr>
          <w:cantSplit/>
          <w:trHeight w:val="1156" w:hRule="atLeast"/>
          <w:jc w:val="center"/>
        </w:trPr>
        <w:tc>
          <w:tcPr>
            <w:tcW w:w="7482" w:type="dxa"/>
            <w:noWrap w:val="0"/>
            <w:vAlign w:val="center"/>
          </w:tcPr>
          <w:p>
            <w:pPr>
              <w:snapToGrid w:val="0"/>
              <w:spacing w:after="0" w:line="360" w:lineRule="auto"/>
              <w:jc w:val="distribute"/>
              <w:rPr>
                <w:rFonts w:hint="eastAsia" w:ascii="仿宋" w:hAnsi="仿宋" w:eastAsia="仿宋" w:cs="仿宋"/>
                <w:color w:val="auto"/>
                <w:sz w:val="66"/>
                <w:szCs w:val="66"/>
                <w:highlight w:val="none"/>
              </w:rPr>
            </w:pPr>
            <w:r>
              <w:rPr>
                <w:rFonts w:hint="eastAsia" w:ascii="仿宋" w:hAnsi="仿宋" w:eastAsia="仿宋" w:cs="仿宋"/>
                <w:color w:val="auto"/>
                <w:sz w:val="66"/>
                <w:szCs w:val="66"/>
                <w:highlight w:val="none"/>
              </w:rPr>
              <w:t>成都市财政局</w:t>
            </w:r>
          </w:p>
        </w:tc>
        <w:tc>
          <w:tcPr>
            <w:tcW w:w="1580" w:type="dxa"/>
            <w:vMerge w:val="restart"/>
            <w:noWrap w:val="0"/>
            <w:vAlign w:val="center"/>
          </w:tcPr>
          <w:p>
            <w:pPr>
              <w:snapToGrid w:val="0"/>
              <w:spacing w:after="0" w:line="360" w:lineRule="auto"/>
              <w:jc w:val="center"/>
              <w:rPr>
                <w:rFonts w:hint="eastAsia" w:ascii="仿宋" w:hAnsi="仿宋" w:eastAsia="仿宋" w:cs="仿宋"/>
                <w:color w:val="auto"/>
                <w:sz w:val="66"/>
                <w:szCs w:val="66"/>
                <w:highlight w:val="none"/>
              </w:rPr>
            </w:pPr>
            <w:r>
              <w:rPr>
                <w:rFonts w:hint="eastAsia" w:ascii="仿宋" w:hAnsi="仿宋" w:eastAsia="仿宋" w:cs="仿宋"/>
                <w:color w:val="auto"/>
                <w:sz w:val="66"/>
                <w:szCs w:val="66"/>
                <w:highlight w:val="none"/>
              </w:rPr>
              <w:t>文件</w:t>
            </w:r>
          </w:p>
        </w:tc>
      </w:tr>
      <w:tr>
        <w:tblPrEx>
          <w:tblCellMar>
            <w:top w:w="0" w:type="dxa"/>
            <w:left w:w="108" w:type="dxa"/>
            <w:bottom w:w="0" w:type="dxa"/>
            <w:right w:w="108" w:type="dxa"/>
          </w:tblCellMar>
        </w:tblPrEx>
        <w:trPr>
          <w:cantSplit/>
          <w:trHeight w:val="1335" w:hRule="atLeast"/>
          <w:jc w:val="center"/>
        </w:trPr>
        <w:tc>
          <w:tcPr>
            <w:tcW w:w="7482" w:type="dxa"/>
            <w:noWrap w:val="0"/>
            <w:vAlign w:val="center"/>
          </w:tcPr>
          <w:p>
            <w:pPr>
              <w:snapToGrid w:val="0"/>
              <w:spacing w:after="0" w:line="360" w:lineRule="auto"/>
              <w:jc w:val="distribute"/>
              <w:rPr>
                <w:rFonts w:hint="eastAsia" w:ascii="仿宋" w:hAnsi="仿宋" w:eastAsia="仿宋" w:cs="仿宋"/>
                <w:color w:val="auto"/>
                <w:spacing w:val="-20"/>
                <w:w w:val="82"/>
                <w:sz w:val="62"/>
                <w:szCs w:val="62"/>
                <w:highlight w:val="none"/>
              </w:rPr>
            </w:pPr>
            <w:r>
              <w:rPr>
                <w:rFonts w:hint="eastAsia" w:ascii="仿宋" w:hAnsi="仿宋" w:eastAsia="仿宋" w:cs="仿宋"/>
                <w:color w:val="auto"/>
                <w:spacing w:val="-20"/>
                <w:w w:val="82"/>
                <w:sz w:val="62"/>
                <w:szCs w:val="62"/>
                <w:highlight w:val="none"/>
              </w:rPr>
              <w:t>中国人民银行成都分行营业管理部</w:t>
            </w:r>
          </w:p>
        </w:tc>
        <w:tc>
          <w:tcPr>
            <w:tcW w:w="1580" w:type="dxa"/>
            <w:vMerge w:val="continue"/>
            <w:noWrap w:val="0"/>
            <w:vAlign w:val="center"/>
          </w:tcPr>
          <w:p>
            <w:pPr>
              <w:snapToGrid w:val="0"/>
              <w:spacing w:after="0" w:line="360" w:lineRule="auto"/>
              <w:jc w:val="center"/>
              <w:rPr>
                <w:rFonts w:hint="eastAsia" w:ascii="仿宋" w:hAnsi="仿宋" w:eastAsia="仿宋" w:cs="仿宋"/>
                <w:color w:val="auto"/>
                <w:sz w:val="66"/>
                <w:szCs w:val="66"/>
                <w:highlight w:val="none"/>
              </w:rPr>
            </w:pPr>
          </w:p>
        </w:tc>
      </w:tr>
    </w:tbl>
    <w:p>
      <w:pPr>
        <w:snapToGrid w:val="0"/>
        <w:spacing w:after="0" w:line="360" w:lineRule="auto"/>
        <w:jc w:val="center"/>
        <w:rPr>
          <w:rFonts w:hint="eastAsia" w:ascii="仿宋" w:hAnsi="仿宋" w:eastAsia="仿宋" w:cs="仿宋"/>
          <w:color w:val="auto"/>
          <w:highlight w:val="none"/>
        </w:rPr>
      </w:pPr>
    </w:p>
    <w:p>
      <w:pPr>
        <w:spacing w:after="0"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320675</wp:posOffset>
                </wp:positionV>
                <wp:extent cx="5618480" cy="0"/>
                <wp:effectExtent l="0" t="9525" r="5080" b="13335"/>
                <wp:wrapNone/>
                <wp:docPr id="39" name="直接连接符 39"/>
                <wp:cNvGraphicFramePr/>
                <a:graphic xmlns:a="http://schemas.openxmlformats.org/drawingml/2006/main">
                  <a:graphicData uri="http://schemas.microsoft.com/office/word/2010/wordprocessingShape">
                    <wps:wsp>
                      <wps:cNvCnPr/>
                      <wps:spPr>
                        <a:xfrm>
                          <a:off x="0" y="0"/>
                          <a:ext cx="5618480" cy="0"/>
                        </a:xfrm>
                        <a:prstGeom prst="line">
                          <a:avLst/>
                        </a:prstGeom>
                        <a:ln w="19050" cap="flat" cmpd="sng">
                          <a:solidFill>
                            <a:srgbClr val="FF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25.25pt;height:0pt;width:442.4pt;z-index:251660288;mso-width-relative:page;mso-height-relative:page;" filled="f" stroked="t" coordsize="21600,21600" o:gfxdata="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O/uPvWAAAABgEAAA8AAAAAAAAAAQAgAAAAIgAAAGRycy9kb3ducmV2LnhtbFBLAQIU&#10;ABQAAAAIAIdO4kDGCiK59QEAAOkDAAAOAAAAAAAAAAEAIAAAACUBAABkcnMvZTJvRG9jLnhtbFBL&#10;BQYAAAAABgAGAFkBAACMBQAAAAA=&#10;">
                <v:fill on="f" focussize="0,0"/>
                <v:stroke weight="1.5pt" color="#FF0000" joinstyle="round"/>
                <v:imagedata o:title=""/>
                <o:lock v:ext="edit" aspectratio="f"/>
              </v:line>
            </w:pict>
          </mc:Fallback>
        </mc:AlternateContent>
      </w:r>
      <w:r>
        <w:rPr>
          <w:rFonts w:hint="eastAsia" w:ascii="仿宋" w:hAnsi="仿宋" w:eastAsia="仿宋" w:cs="仿宋"/>
          <w:color w:val="auto"/>
          <w:highlight w:val="none"/>
        </w:rPr>
        <w:t>成财采〔2019〕17号</w:t>
      </w:r>
    </w:p>
    <w:p>
      <w:pPr>
        <w:topLinePunct/>
        <w:spacing w:after="0" w:line="360" w:lineRule="auto"/>
        <w:jc w:val="center"/>
        <w:rPr>
          <w:rFonts w:hint="eastAsia" w:ascii="仿宋" w:hAnsi="仿宋" w:eastAsia="仿宋" w:cs="仿宋"/>
          <w:color w:val="auto"/>
          <w:highlight w:val="none"/>
        </w:rPr>
      </w:pPr>
    </w:p>
    <w:p>
      <w:pPr>
        <w:topLinePunct/>
        <w:snapToGrid w:val="0"/>
        <w:spacing w:after="0" w:line="360" w:lineRule="auto"/>
        <w:jc w:val="center"/>
        <w:rPr>
          <w:rFonts w:hint="eastAsia" w:ascii="仿宋" w:hAnsi="仿宋" w:eastAsia="仿宋" w:cs="仿宋"/>
          <w:color w:val="auto"/>
          <w:spacing w:val="-18"/>
          <w:sz w:val="40"/>
          <w:szCs w:val="44"/>
          <w:highlight w:val="none"/>
        </w:rPr>
      </w:pPr>
      <w:bookmarkStart w:id="201" w:name="_Toc8510_WPSOffice_Level1"/>
      <w:r>
        <w:rPr>
          <w:rFonts w:hint="eastAsia" w:ascii="仿宋" w:hAnsi="仿宋" w:eastAsia="仿宋" w:cs="仿宋"/>
          <w:color w:val="auto"/>
          <w:spacing w:val="-18"/>
          <w:sz w:val="40"/>
          <w:szCs w:val="44"/>
          <w:highlight w:val="none"/>
        </w:rPr>
        <w:t>成都市财政局  中国人民银行成都分行营业管理部</w:t>
      </w:r>
      <w:bookmarkEnd w:id="201"/>
    </w:p>
    <w:p>
      <w:pPr>
        <w:topLinePunct/>
        <w:snapToGrid w:val="0"/>
        <w:spacing w:after="0" w:line="360" w:lineRule="auto"/>
        <w:jc w:val="center"/>
        <w:rPr>
          <w:rFonts w:hint="eastAsia" w:ascii="仿宋" w:hAnsi="仿宋" w:eastAsia="仿宋" w:cs="仿宋"/>
          <w:color w:val="auto"/>
          <w:sz w:val="40"/>
          <w:szCs w:val="44"/>
          <w:highlight w:val="none"/>
        </w:rPr>
      </w:pPr>
      <w:bookmarkStart w:id="202" w:name="_Toc7584_WPSOffice_Level1"/>
      <w:r>
        <w:rPr>
          <w:rFonts w:hint="eastAsia" w:ascii="仿宋" w:hAnsi="仿宋" w:eastAsia="仿宋" w:cs="仿宋"/>
          <w:color w:val="auto"/>
          <w:sz w:val="40"/>
          <w:szCs w:val="44"/>
          <w:highlight w:val="none"/>
        </w:rPr>
        <w:t>关于印发《成都市中小企业政府采购信用融资</w:t>
      </w:r>
      <w:bookmarkEnd w:id="202"/>
    </w:p>
    <w:p>
      <w:pPr>
        <w:topLinePunct/>
        <w:snapToGrid w:val="0"/>
        <w:spacing w:after="0" w:line="360" w:lineRule="auto"/>
        <w:jc w:val="center"/>
        <w:rPr>
          <w:rFonts w:hint="eastAsia" w:ascii="仿宋" w:hAnsi="仿宋" w:eastAsia="仿宋" w:cs="仿宋"/>
          <w:color w:val="auto"/>
          <w:sz w:val="40"/>
          <w:szCs w:val="44"/>
          <w:highlight w:val="none"/>
        </w:rPr>
      </w:pPr>
      <w:bookmarkStart w:id="203" w:name="_Toc10694_WPSOffice_Level1"/>
      <w:r>
        <w:rPr>
          <w:rFonts w:hint="eastAsia" w:ascii="仿宋" w:hAnsi="仿宋" w:eastAsia="仿宋" w:cs="仿宋"/>
          <w:color w:val="auto"/>
          <w:sz w:val="40"/>
          <w:szCs w:val="44"/>
          <w:highlight w:val="none"/>
        </w:rPr>
        <w:t>暂行办法》和《成都市级支持中小企业</w:t>
      </w:r>
      <w:bookmarkEnd w:id="203"/>
    </w:p>
    <w:p>
      <w:pPr>
        <w:topLinePunct/>
        <w:snapToGrid w:val="0"/>
        <w:spacing w:after="0" w:line="360" w:lineRule="auto"/>
        <w:jc w:val="center"/>
        <w:rPr>
          <w:rFonts w:hint="eastAsia" w:ascii="仿宋" w:hAnsi="仿宋" w:eastAsia="仿宋" w:cs="仿宋"/>
          <w:color w:val="auto"/>
          <w:sz w:val="40"/>
          <w:szCs w:val="44"/>
          <w:highlight w:val="none"/>
        </w:rPr>
      </w:pPr>
      <w:bookmarkStart w:id="204" w:name="_Toc3298_WPSOffice_Level1"/>
      <w:r>
        <w:rPr>
          <w:rFonts w:hint="eastAsia" w:ascii="仿宋" w:hAnsi="仿宋" w:eastAsia="仿宋" w:cs="仿宋"/>
          <w:color w:val="auto"/>
          <w:sz w:val="40"/>
          <w:szCs w:val="44"/>
          <w:highlight w:val="none"/>
        </w:rPr>
        <w:t>政府采购信用融资实施方案》的通知</w:t>
      </w:r>
      <w:bookmarkEnd w:id="204"/>
    </w:p>
    <w:p>
      <w:pPr>
        <w:spacing w:after="0" w:line="360" w:lineRule="auto"/>
        <w:jc w:val="center"/>
        <w:rPr>
          <w:rFonts w:hint="eastAsia" w:ascii="仿宋" w:hAnsi="仿宋" w:eastAsia="仿宋" w:cs="仿宋"/>
          <w:color w:val="auto"/>
          <w:highlight w:val="none"/>
        </w:rPr>
      </w:pPr>
    </w:p>
    <w:p>
      <w:pPr>
        <w:widowControl/>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成都天府新区、高新区财政金融局，各区（市）县财政局，市级各部门、单位，各银行业金融机构：</w:t>
      </w:r>
    </w:p>
    <w:p>
      <w:pPr>
        <w:widowControl/>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为深入贯彻落实中央、省、市关于支持民营经济健康发展有关精神，进一步发挥政府采购在促进中小企业发展中的政策引导作用，有效缓解中小企业融资难、融资贵问题，市财政局、中国人民银行成都分行营业管理部制定了《成都市中小企业政府采购信用融资暂行办法》和《成都市级支持中小企业政府采购信用融资实施方案》（以下简称《暂行办法》和《实施方案》），现印发给你们，请按要求贯彻执行。</w:t>
      </w:r>
    </w:p>
    <w:p>
      <w:pPr>
        <w:widowControl/>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一、高度重视、迅速行动</w:t>
      </w:r>
    </w:p>
    <w:p>
      <w:pPr>
        <w:widowControl/>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政府采购信用融资是缓解中小企业资金短缺压力，优化中小企业发展环境，促进经济发展的重要举措，各相关单位要统一思想，充分认识政府采购信用融资工作的重要意义，结合政府采购工作实际精心组织、周密部署，赓即推进政府采购信用融资工作，支持有融资需求、符合条件的中小微企业实现高效融资。</w:t>
      </w:r>
    </w:p>
    <w:p>
      <w:pPr>
        <w:widowControl/>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二、明确责任、压茬推进</w:t>
      </w:r>
    </w:p>
    <w:p>
      <w:pPr>
        <w:widowControl/>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市级各部门、单位即日起严格按照《暂行办法》和《实施方案》相关规定和工作要求，结合职能职责认真抓好贯彻执行。各区（市）县财政部门要根据《暂行办法》，结合本地实际制定具体实施方案，在涵盖市级确定的融资机构基础上明确融资机构名单，并于2019年6月30日前全面推进政府采购信用融资工作。</w:t>
      </w:r>
    </w:p>
    <w:p>
      <w:pPr>
        <w:widowControl/>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三、优化服务、营造氛围</w:t>
      </w:r>
    </w:p>
    <w:p>
      <w:pPr>
        <w:widowControl/>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各相关单位要充分发挥市场在资源配置中的决定性作用，强化宣传引导、优化工作机制、加强跟踪问效，积极创造条件主动服务，为融资双方提供优质高效的服务，让政府采购信用融资政策惠及更多中小微企业，并将工作落实的经验做法及时形成信息反馈市财政局，为推动中小微企业高质量发展营造法治化、国际化、便利化的营商环境。</w:t>
      </w:r>
    </w:p>
    <w:p>
      <w:pPr>
        <w:widowControl/>
        <w:spacing w:after="0" w:line="360" w:lineRule="auto"/>
        <w:ind w:firstLine="480" w:firstLineChars="200"/>
        <w:rPr>
          <w:rFonts w:hint="eastAsia" w:ascii="仿宋" w:hAnsi="仿宋" w:eastAsia="仿宋" w:cs="仿宋"/>
          <w:color w:val="auto"/>
          <w:sz w:val="24"/>
          <w:highlight w:val="none"/>
        </w:rPr>
      </w:pPr>
    </w:p>
    <w:p>
      <w:pPr>
        <w:widowControl/>
        <w:spacing w:after="0" w:line="360" w:lineRule="auto"/>
        <w:ind w:firstLine="480" w:firstLineChars="200"/>
        <w:outlineLvl w:val="0"/>
        <w:rPr>
          <w:rFonts w:hint="eastAsia" w:ascii="仿宋" w:hAnsi="仿宋" w:eastAsia="仿宋" w:cs="仿宋"/>
          <w:color w:val="auto"/>
          <w:sz w:val="24"/>
          <w:highlight w:val="none"/>
        </w:rPr>
      </w:pPr>
      <w:bookmarkStart w:id="205" w:name="_Toc23833"/>
      <w:bookmarkStart w:id="206" w:name="_Toc27291_WPSOffice_Level1"/>
      <w:r>
        <w:rPr>
          <w:rFonts w:hint="eastAsia" w:ascii="仿宋" w:hAnsi="仿宋" w:eastAsia="仿宋" w:cs="仿宋"/>
          <w:color w:val="auto"/>
          <w:sz w:val="24"/>
          <w:highlight w:val="none"/>
        </w:rPr>
        <w:t>附件：1．成都市中小企业政府采购信用融资暂行办法</w:t>
      </w:r>
      <w:bookmarkEnd w:id="205"/>
      <w:bookmarkEnd w:id="206"/>
      <w:r>
        <w:rPr>
          <w:rFonts w:hint="eastAsia" w:ascii="仿宋" w:hAnsi="仿宋" w:eastAsia="仿宋" w:cs="仿宋"/>
          <w:color w:val="auto"/>
          <w:sz w:val="24"/>
          <w:highlight w:val="none"/>
        </w:rPr>
        <w:t xml:space="preserve"> </w:t>
      </w:r>
    </w:p>
    <w:p>
      <w:pPr>
        <w:widowControl/>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2．成都市级支持中小企业政府采购信用融资实施方案</w:t>
      </w:r>
    </w:p>
    <w:p>
      <w:pPr>
        <w:pStyle w:val="12"/>
        <w:widowControl/>
        <w:topLinePunct/>
        <w:spacing w:after="0" w:line="360" w:lineRule="auto"/>
        <w:ind w:firstLine="0"/>
        <w:rPr>
          <w:rFonts w:hint="eastAsia" w:ascii="仿宋" w:hAnsi="仿宋" w:eastAsia="仿宋" w:cs="仿宋"/>
          <w:color w:val="auto"/>
          <w:sz w:val="24"/>
          <w:szCs w:val="24"/>
          <w:highlight w:val="none"/>
        </w:rPr>
      </w:pPr>
    </w:p>
    <w:p>
      <w:pPr>
        <w:pStyle w:val="12"/>
        <w:widowControl/>
        <w:topLinePunct/>
        <w:spacing w:after="0" w:line="360" w:lineRule="auto"/>
        <w:ind w:firstLine="480" w:firstLineChars="200"/>
        <w:rPr>
          <w:rFonts w:hint="eastAsia" w:ascii="仿宋" w:hAnsi="仿宋" w:eastAsia="仿宋" w:cs="仿宋"/>
          <w:color w:val="auto"/>
          <w:sz w:val="24"/>
          <w:szCs w:val="24"/>
          <w:highlight w:val="none"/>
        </w:rPr>
      </w:pPr>
    </w:p>
    <w:p>
      <w:pPr>
        <w:widowControl/>
        <w:tabs>
          <w:tab w:val="left" w:pos="7584"/>
        </w:tabs>
        <w:topLinePunct/>
        <w:spacing w:after="0" w:line="360" w:lineRule="auto"/>
        <w:ind w:firstLine="480" w:firstLineChars="20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成都市财政局         中国人民银行成都分行营业管理部</w:t>
      </w:r>
    </w:p>
    <w:p>
      <w:pPr>
        <w:widowControl/>
        <w:tabs>
          <w:tab w:val="left" w:pos="7584"/>
        </w:tabs>
        <w:topLinePunct/>
        <w:spacing w:after="0" w:line="360" w:lineRule="auto"/>
        <w:ind w:firstLine="480" w:firstLineChars="20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2019年2月26日</w:t>
      </w:r>
    </w:p>
    <w:p>
      <w:pPr>
        <w:spacing w:after="0"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p>
    <w:p>
      <w:pPr>
        <w:topLinePunct/>
        <w:spacing w:after="0" w:line="360" w:lineRule="auto"/>
        <w:outlineLvl w:val="0"/>
        <w:rPr>
          <w:rFonts w:hint="eastAsia" w:ascii="仿宋" w:hAnsi="仿宋" w:eastAsia="仿宋" w:cs="仿宋"/>
          <w:color w:val="auto"/>
          <w:sz w:val="24"/>
          <w:highlight w:val="none"/>
        </w:rPr>
      </w:pPr>
      <w:bookmarkStart w:id="207" w:name="_Toc18803"/>
      <w:r>
        <w:rPr>
          <w:rFonts w:hint="eastAsia" w:ascii="仿宋" w:hAnsi="仿宋" w:eastAsia="仿宋" w:cs="仿宋"/>
          <w:color w:val="auto"/>
          <w:sz w:val="24"/>
          <w:highlight w:val="none"/>
        </w:rPr>
        <w:t>附件1</w:t>
      </w:r>
      <w:bookmarkEnd w:id="207"/>
    </w:p>
    <w:p>
      <w:pPr>
        <w:topLinePunct/>
        <w:spacing w:after="0" w:line="360" w:lineRule="auto"/>
        <w:rPr>
          <w:rFonts w:hint="eastAsia" w:ascii="仿宋" w:hAnsi="仿宋" w:eastAsia="仿宋" w:cs="仿宋"/>
          <w:color w:val="auto"/>
          <w:sz w:val="24"/>
          <w:highlight w:val="none"/>
        </w:rPr>
      </w:pPr>
    </w:p>
    <w:p>
      <w:pPr>
        <w:topLinePunct/>
        <w:snapToGrid w:val="0"/>
        <w:spacing w:after="0" w:line="360" w:lineRule="auto"/>
        <w:jc w:val="center"/>
        <w:rPr>
          <w:rFonts w:hint="eastAsia" w:ascii="仿宋" w:hAnsi="仿宋" w:eastAsia="仿宋" w:cs="仿宋"/>
          <w:color w:val="auto"/>
          <w:sz w:val="24"/>
          <w:highlight w:val="none"/>
        </w:rPr>
      </w:pPr>
      <w:bookmarkStart w:id="208" w:name="_Toc9017_WPSOffice_Level1"/>
      <w:r>
        <w:rPr>
          <w:rFonts w:hint="eastAsia" w:ascii="仿宋" w:hAnsi="仿宋" w:eastAsia="仿宋" w:cs="仿宋"/>
          <w:color w:val="auto"/>
          <w:sz w:val="24"/>
          <w:highlight w:val="none"/>
        </w:rPr>
        <w:t>成都市中小企业政府采购信用融资暂行办法</w:t>
      </w:r>
      <w:bookmarkEnd w:id="208"/>
    </w:p>
    <w:p>
      <w:pPr>
        <w:topLinePunct/>
        <w:spacing w:after="0" w:line="360" w:lineRule="auto"/>
        <w:jc w:val="center"/>
        <w:rPr>
          <w:rFonts w:hint="eastAsia" w:ascii="仿宋" w:hAnsi="仿宋" w:eastAsia="仿宋" w:cs="仿宋"/>
          <w:color w:val="auto"/>
          <w:sz w:val="24"/>
          <w:highlight w:val="none"/>
        </w:rPr>
      </w:pPr>
      <w:bookmarkStart w:id="209" w:name="_Toc3891_WPSOffice_Level1"/>
      <w:r>
        <w:rPr>
          <w:rFonts w:hint="eastAsia" w:ascii="仿宋" w:hAnsi="仿宋" w:eastAsia="仿宋" w:cs="仿宋"/>
          <w:color w:val="auto"/>
          <w:sz w:val="24"/>
          <w:highlight w:val="none"/>
        </w:rPr>
        <w:t>第一章  总  则</w:t>
      </w:r>
      <w:bookmarkEnd w:id="209"/>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第一条（政策依据）</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为进一步贯彻落实国务院、四川省、成都市关于支持和促进中小企业发展的政策措施，充分发挥政府采购政策导向作用，有效缓解中小企业融资难、融资贵问题，支持中小企业参与政府采购活动，根据《政府采购法》《四川省政府采购促进中小企业发展的若干规定》（川财采〔2016〕35号）和《四川省财政厅关于推进四川省政府采购供应商信用融资工作的通知》（川财采〔2018〕123号）有关精神，结合我市实际，制定本办法。</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第二条（适用范围）</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成都市行政区域内政府采购信用融资适用本办法。</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第三条（术语定义）</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本办法所称政府采购信用融资，是指融资机构以信用审查为基础，依据政府采购合同，按相应的优惠政策向申请融资的中小企业（以下简称供应商）提供资金支持的融资模式。</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本办法所称融资机构，是指在成都市属地注册或设立分支机构，有意向按照本办法开展政府采购信用融资业务，经同级财政部门确定的银行机构。</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本办法所称中小企业，包括中型、小型及微型企业，其划型标准按照国家相关规定执行。</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第四条（基本原则）</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政府采购信用融资工作坚持政府引导、市场主导，自愿选择、自担风险，诚实信用、互惠共赢的原则，切实发挥市场在资源配置中的决定性作用。</w:t>
      </w:r>
    </w:p>
    <w:p>
      <w:pPr>
        <w:topLinePunct/>
        <w:spacing w:after="0" w:line="360" w:lineRule="auto"/>
        <w:ind w:firstLine="480" w:firstLineChars="200"/>
        <w:jc w:val="center"/>
        <w:rPr>
          <w:rFonts w:hint="eastAsia" w:ascii="仿宋" w:hAnsi="仿宋" w:eastAsia="仿宋" w:cs="仿宋"/>
          <w:color w:val="auto"/>
          <w:sz w:val="24"/>
          <w:highlight w:val="none"/>
        </w:rPr>
      </w:pPr>
      <w:bookmarkStart w:id="210" w:name="_Toc10295_WPSOffice_Level1"/>
      <w:r>
        <w:rPr>
          <w:rFonts w:hint="eastAsia" w:ascii="仿宋" w:hAnsi="仿宋" w:eastAsia="仿宋" w:cs="仿宋"/>
          <w:color w:val="auto"/>
          <w:sz w:val="24"/>
          <w:highlight w:val="none"/>
        </w:rPr>
        <w:t>第二章  融资优惠</w:t>
      </w:r>
      <w:bookmarkEnd w:id="210"/>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第五条（融资方式）</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供应商无需提供财产抵押或第三方担保，凭借政府采购合同向融资机构申请融资，融资机构根据其授信政策为供应商提供信用贷款。</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第六条（融资额度）</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融资额度原则上不超过政府采购合同金额。</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第七条（融资利率）</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融资机构向供应商提供融资的利率应低于同期一般中小企业的贷款利率。融资利率上浮比例原则上不超过中国人民银行公布的同期贷款基准利率的30%。</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第八条（融资期限）</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融资期限原则上与政府采购合同履行期限一致。</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第九条（融资效率）</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融资机构应当建立政府采购信用融资绿色通道，配备专业人员定向服务，简化融资审批程序。对申报材料齐全完备的供应商，原则上应在5个工作日内完成审批，对审批通过且具备放款条件的供应商，原则上应在5个工作日内完成放款。</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第十条（融资业务升级）</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对履约记录良好、诚信资质高的供应商，融资机构应当在授信额度、融资审查、融资利率等方面给予更大支持，促进供应商依法诚信经营。</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第十一条（贷款风险补贴）</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银行业金融机构向小微企业发放的贷款（无需抵押、质押或担保的贷款）损失，财政部门按最高不超过年度新增损失类贷款额的60%予以风险补贴，具体分担比例由各地根据金融机构小微企业贷款发放总量、损失情况、财力状况等因素综合确定。</w:t>
      </w:r>
    </w:p>
    <w:p>
      <w:pPr>
        <w:topLinePunct/>
        <w:spacing w:after="0" w:line="360" w:lineRule="auto"/>
        <w:ind w:firstLine="480" w:firstLineChars="200"/>
        <w:jc w:val="center"/>
        <w:rPr>
          <w:rFonts w:hint="eastAsia" w:ascii="仿宋" w:hAnsi="仿宋" w:eastAsia="仿宋" w:cs="仿宋"/>
          <w:color w:val="auto"/>
          <w:sz w:val="24"/>
          <w:highlight w:val="none"/>
        </w:rPr>
      </w:pPr>
      <w:bookmarkStart w:id="211" w:name="_Toc11015_WPSOffice_Level1"/>
      <w:r>
        <w:rPr>
          <w:rFonts w:hint="eastAsia" w:ascii="仿宋" w:hAnsi="仿宋" w:eastAsia="仿宋" w:cs="仿宋"/>
          <w:color w:val="auto"/>
          <w:sz w:val="24"/>
          <w:highlight w:val="none"/>
        </w:rPr>
        <w:t>第三章  融资流程</w:t>
      </w:r>
      <w:bookmarkEnd w:id="211"/>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第十二条（融资流程）</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（一）信息发布。采购人应当在发布的采购公告和采购文件中载明采购项目可提供信用融资的信息。</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（二）融资申请。有融资需求的供应商自主选择提供政府采购信用融资服务的融资机构及产品，并按要求提供申请资料。</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（三）融资审查。融资机构对供应商的融资申请进行审查，并向供应商反馈审查及融资额度等情况。</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（四）账户确认。供应商须在合作融资机构开立结算账户，并与采购人在政府采购合同中或通过签订补充协议的方式约定唯一收款账户，融资机构对唯一收款账户进行确认和锁定。</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（五）放款。融资机构对政府采购合同及融资相关信息进行确认，并向供应商提供相应的融资产品。</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（六）贷款归还。采购人按相关规定和合同约定将合同资金支付至约定的唯一收款账户。</w:t>
      </w:r>
    </w:p>
    <w:p>
      <w:pPr>
        <w:topLinePunct/>
        <w:spacing w:after="0" w:line="360" w:lineRule="auto"/>
        <w:ind w:firstLine="480" w:firstLineChars="200"/>
        <w:jc w:val="center"/>
        <w:rPr>
          <w:rFonts w:hint="eastAsia" w:ascii="仿宋" w:hAnsi="仿宋" w:eastAsia="仿宋" w:cs="仿宋"/>
          <w:color w:val="auto"/>
          <w:sz w:val="24"/>
          <w:highlight w:val="none"/>
        </w:rPr>
      </w:pPr>
      <w:bookmarkStart w:id="212" w:name="_Toc19188_WPSOffice_Level1"/>
      <w:r>
        <w:rPr>
          <w:rFonts w:hint="eastAsia" w:ascii="仿宋" w:hAnsi="仿宋" w:eastAsia="仿宋" w:cs="仿宋"/>
          <w:color w:val="auto"/>
          <w:sz w:val="24"/>
          <w:highlight w:val="none"/>
        </w:rPr>
        <w:t>第四章  职责分工</w:t>
      </w:r>
      <w:bookmarkEnd w:id="212"/>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第十三条（财政部门职责）</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牵头政府采购信用融资工作，做好政策引导和支持协调，为开展政府采购信用融资提供便利。向融资机构提供相关必要信息，推进政府采购中标（成交）信息、合同信息、融资信息和信用信息等信息资源共享。适时调整开展政府采购信用融资业务的融资机构名单。但在政府采购信用融资工作中，财政部门不得提供任何形式的担保和承诺。</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第十四条（融资机构主管部门职责）</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引导融资机构依法依规开展政府采购信用融资。推动成都市政府采购监督管理系统与中征应收账款融资服务平台直联，实现政府采购信用融资线上办理，加强与财政部门的信息共享。</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第十五条（采购人职责）</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执行并宣传政府采购信用融资政策，在采购公告和采购文件中载明政府采购信用融资政策。在采购代理机构委托协议中明确政府采购信用融资工作相关要求。畅通银企对接渠道，支持供应商开展政府采购信用融资。依法及时公开政府采购合同信息，协助融资机构确认或更改合同支付信息。及时开展履约验收和资金支付工作，不得无故拖延和拒付采购资金。</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第十六条（融资机构职责）</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宣传和推广政府采购信用融资政策，开发符合政府采购信用融资政策的产品。在做好授信调查的基础上合理确定授信额度。做好融资业务与政府采购业务的系统对接。制定业务管理规范，做好相关风险防控工作。定期向同级财政部门反馈业务开展情况。</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第十七条（供应商职责）</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依法诚信参与政府采购活动，严格遵守国家法律、法规和政府采购合同约定，对投标（响应）文件的真实性和相关承诺承担法律责任。真实、完整、准确地向融资机构提供信用融资审查所需相关资料。遵照融资约定及时还本付息。</w:t>
      </w:r>
    </w:p>
    <w:p>
      <w:pPr>
        <w:topLinePunct/>
        <w:spacing w:after="0" w:line="360" w:lineRule="auto"/>
        <w:ind w:firstLine="480" w:firstLineChars="200"/>
        <w:jc w:val="center"/>
        <w:rPr>
          <w:rFonts w:hint="eastAsia" w:ascii="仿宋" w:hAnsi="仿宋" w:eastAsia="仿宋" w:cs="仿宋"/>
          <w:color w:val="auto"/>
          <w:sz w:val="24"/>
          <w:highlight w:val="none"/>
        </w:rPr>
      </w:pPr>
      <w:bookmarkStart w:id="213" w:name="_Toc31814_WPSOffice_Level1"/>
      <w:r>
        <w:rPr>
          <w:rFonts w:hint="eastAsia" w:ascii="仿宋" w:hAnsi="仿宋" w:eastAsia="仿宋" w:cs="仿宋"/>
          <w:color w:val="auto"/>
          <w:sz w:val="24"/>
          <w:highlight w:val="none"/>
        </w:rPr>
        <w:t>第五章 监督管理</w:t>
      </w:r>
      <w:bookmarkEnd w:id="213"/>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第十八条（采购人监管）</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采购人不执行政府采购信用融资政策，或不正当干预供应商选择合作融资机构，或无故拖延和拒付采购资金的，财政部门视情节进行约谈、通报直至暂停拨付财政资金。</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第十九条（融资机构监管）</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融资机构违反规定开展政府采购信用融资业务，对政府采购造成负面影响的，财政部门视情节取消其参与政府采购信用融资的业务权限。</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第二十条（供应商监管）</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弄虚作假或以伪造政府采购合同等方式违规获取政府采购信用融资，或不按约定按时还款付息的，融资机构依法追究相关责任。财政部门将其纳入“不具备《政府采购法》第二十二条第一款第（二）项规定的具有良好的商业信誉条件”名单并予以公示。</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第二十一条</w:t>
      </w:r>
      <w:bookmarkStart w:id="214" w:name="BM24558847_25425864_3"/>
      <w:bookmarkEnd w:id="214"/>
      <w:r>
        <w:rPr>
          <w:rFonts w:hint="eastAsia" w:ascii="仿宋" w:hAnsi="仿宋" w:eastAsia="仿宋" w:cs="仿宋"/>
          <w:color w:val="auto"/>
          <w:sz w:val="24"/>
          <w:highlight w:val="none"/>
        </w:rPr>
        <w:t>（相关单位及工作人员监管）</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各相关单位及其工作人员在履行职责中存在滥用职权、玩忽职守、徇私舞弊等违法违纪行为的，依照有关规定处理，涉嫌犯罪的，移送司法机关处理。</w:t>
      </w:r>
    </w:p>
    <w:p>
      <w:pPr>
        <w:topLinePunct/>
        <w:spacing w:after="0" w:line="360" w:lineRule="auto"/>
        <w:ind w:firstLine="480" w:firstLineChars="200"/>
        <w:jc w:val="center"/>
        <w:rPr>
          <w:rFonts w:hint="eastAsia" w:ascii="仿宋" w:hAnsi="仿宋" w:eastAsia="仿宋" w:cs="仿宋"/>
          <w:color w:val="auto"/>
          <w:sz w:val="24"/>
          <w:highlight w:val="none"/>
        </w:rPr>
      </w:pPr>
      <w:bookmarkStart w:id="215" w:name="_Toc22129_WPSOffice_Level1"/>
      <w:r>
        <w:rPr>
          <w:rFonts w:hint="eastAsia" w:ascii="仿宋" w:hAnsi="仿宋" w:eastAsia="仿宋" w:cs="仿宋"/>
          <w:color w:val="auto"/>
          <w:sz w:val="24"/>
          <w:highlight w:val="none"/>
        </w:rPr>
        <w:t>第六章  附  则</w:t>
      </w:r>
      <w:bookmarkEnd w:id="215"/>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第二十二条（解释相关）</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本办法由市财政局会同中国人民银行成都分行营业管理部负责解释。</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第二十三条（施行相关）</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本办法自印发之日起施行。市财政局、市金融办2013年12月9日印发的《关于开展中小企业政府采购信用担保及融资试点工作的通知》（成财采〔2013〕200号）同时废止。</w:t>
      </w:r>
    </w:p>
    <w:p>
      <w:pPr>
        <w:spacing w:after="0"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p>
    <w:p>
      <w:pPr>
        <w:topLinePunct/>
        <w:spacing w:after="0" w:line="360" w:lineRule="auto"/>
        <w:outlineLvl w:val="0"/>
        <w:rPr>
          <w:rFonts w:hint="eastAsia" w:ascii="仿宋" w:hAnsi="仿宋" w:eastAsia="仿宋" w:cs="仿宋"/>
          <w:color w:val="auto"/>
          <w:sz w:val="24"/>
          <w:highlight w:val="none"/>
        </w:rPr>
      </w:pPr>
      <w:bookmarkStart w:id="216" w:name="_Toc11536"/>
      <w:r>
        <w:rPr>
          <w:rFonts w:hint="eastAsia" w:ascii="仿宋" w:hAnsi="仿宋" w:eastAsia="仿宋" w:cs="仿宋"/>
          <w:color w:val="auto"/>
          <w:sz w:val="24"/>
          <w:highlight w:val="none"/>
        </w:rPr>
        <w:t>附件2</w:t>
      </w:r>
      <w:bookmarkEnd w:id="216"/>
    </w:p>
    <w:p>
      <w:pPr>
        <w:topLinePunct/>
        <w:spacing w:after="0" w:line="360" w:lineRule="auto"/>
        <w:ind w:firstLine="480" w:firstLineChars="200"/>
        <w:rPr>
          <w:rFonts w:hint="eastAsia" w:ascii="仿宋" w:hAnsi="仿宋" w:eastAsia="仿宋" w:cs="仿宋"/>
          <w:color w:val="auto"/>
          <w:sz w:val="24"/>
          <w:highlight w:val="none"/>
        </w:rPr>
      </w:pPr>
    </w:p>
    <w:p>
      <w:pPr>
        <w:topLinePunct/>
        <w:snapToGrid w:val="0"/>
        <w:spacing w:after="0" w:line="360" w:lineRule="auto"/>
        <w:jc w:val="center"/>
        <w:rPr>
          <w:rFonts w:hint="eastAsia" w:ascii="仿宋" w:hAnsi="仿宋" w:eastAsia="仿宋" w:cs="仿宋"/>
          <w:color w:val="auto"/>
          <w:sz w:val="24"/>
          <w:highlight w:val="none"/>
        </w:rPr>
      </w:pPr>
      <w:bookmarkStart w:id="217" w:name="_Toc22840_WPSOffice_Level1"/>
      <w:r>
        <w:rPr>
          <w:rFonts w:hint="eastAsia" w:ascii="仿宋" w:hAnsi="仿宋" w:eastAsia="仿宋" w:cs="仿宋"/>
          <w:color w:val="auto"/>
          <w:sz w:val="24"/>
          <w:highlight w:val="none"/>
        </w:rPr>
        <w:t>成都市级支持中小企业政府采购</w:t>
      </w:r>
      <w:bookmarkEnd w:id="217"/>
    </w:p>
    <w:p>
      <w:pPr>
        <w:topLinePunct/>
        <w:snapToGrid w:val="0"/>
        <w:spacing w:after="0" w:line="360" w:lineRule="auto"/>
        <w:jc w:val="center"/>
        <w:rPr>
          <w:rFonts w:hint="eastAsia" w:ascii="仿宋" w:hAnsi="仿宋" w:eastAsia="仿宋" w:cs="仿宋"/>
          <w:color w:val="auto"/>
          <w:sz w:val="24"/>
          <w:highlight w:val="none"/>
        </w:rPr>
      </w:pPr>
      <w:bookmarkStart w:id="218" w:name="_Toc18942_WPSOffice_Level1"/>
      <w:r>
        <w:rPr>
          <w:rFonts w:hint="eastAsia" w:ascii="仿宋" w:hAnsi="仿宋" w:eastAsia="仿宋" w:cs="仿宋"/>
          <w:color w:val="auto"/>
          <w:sz w:val="24"/>
          <w:highlight w:val="none"/>
        </w:rPr>
        <w:t>信用融资实施方案</w:t>
      </w:r>
      <w:bookmarkEnd w:id="218"/>
    </w:p>
    <w:p>
      <w:pPr>
        <w:topLinePunct/>
        <w:spacing w:after="0" w:line="360" w:lineRule="auto"/>
        <w:ind w:firstLine="480" w:firstLineChars="200"/>
        <w:rPr>
          <w:rFonts w:hint="eastAsia" w:ascii="仿宋" w:hAnsi="仿宋" w:eastAsia="仿宋" w:cs="仿宋"/>
          <w:color w:val="auto"/>
          <w:sz w:val="24"/>
          <w:highlight w:val="none"/>
        </w:rPr>
      </w:pP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为贯彻落实中央、省、市关于支持民营经济健康发展相关精神和政府采购支持中小企业发展政策，有效缓解中小企业融资难、融资贵问题，支持中小企业参与政府采购活动，促进中小企业发展，根据《成都市中小企业政府采购信用融资暂行办法》（以下简称《暂行办法》），制定本实施方案（以下简称《实施方案》）。</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一、目标任务</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全面贯彻落实国务院、四川省、成都市关于支持中小企业发展精神，充分发挥政府采购扶持中小企业发展的政策功能，持续推进和完善政府采购诚信体系建设，引导融资机构扩大对政府采购中标（成交）中小企业供应商（以下简称供应商）的融资规模，积极营造良好的营商环境，促进中小企业高质量发展。</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二、适用范围</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本《实施方案》适用于成都市本级政府采购信用融资工作。</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三、基本原则 </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政府引导、市场主导。坚持政采搭台、市场运作，市财政局、中国人民银行成都分行营业管理部牵头组织并指导市级政府采购信用融资工作，但不参与政府采购信用融资具体业务。融资机构和供应商通过市场化运作的方式开展政府采购信用融资工作。</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自愿选择、自担风险。融资机构自愿选择是否开展政府采购信用融资业务。供应商自主决定是否享受政府采购信用融资政策，并自由选择信用融资合作方。融资机构与供应商自行承担政府采购信用融资的业务风险。</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诚实信用、互惠共赢。引导供应商树立“诚信创造价值”的理念，通过政府采购信用融资支持供应商依法、诚信经营。利用信息化技术搭建信息互通平台，在诚实信用、互惠互利基础上，促进供应商与融资机构实现良性互动、合作共赢。</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四、组织实施</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（一）宣传动员</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相关部门和单位采取多种方式积极宣传《暂行办法》和《实施方案》，落实财政部门、融资机构主管部门、采购人、融资机构等职责任务，明确各项工作目标任务，确保成都市级政府采购信用融资工作有序推进。</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（二）融资机构选择</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1．报名。有意向按照《暂行办法》和《实施方案》开展政府采购信用融资业务的融资机构，由其在蓉最高机构或在蓉最高机构指定的分支机构在市财政局政府采购监督管理处报名。报名需提供以下材料：</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（1）融资机构基本情况；</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（2）政府采购信用融资实施方案（包括授信政策、融资产品、贷款利率及其它优惠措施、业务流程及各环节办结时间、联系方式等）；</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（3）关于遵照《暂行办法》和《实施方案》开展政府采购信用融资业务的承诺；</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（4）关于政府采购信用融资业务风险及系统对接研发费用自行承担的承诺。</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2．系统对接。融资机构成功报名后，须按要求完成政府采购信用融资业务与成都市政府采购监督管理系统的技术对接。</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3．确定融资机构。市财政局将完成系统对接的融资机构确定为我市开展政府采购信用融资业务的融资机构，并在成都市政府采购监督管理系统集中展示，为供应商开展融资提供指引。</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（三）其他事项</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成都市级政府采购信用融资工作通过成都市政府采购监督管理系统实行全流程在线管理。成都市政府采购监督管理系统启用前或升级维护期间，市级政府采购信用融资业务按照《暂行办法》相关规定进行离线办理，并在系统正常运行后上传相关信息。</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五、相关要求</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（一）加强组织领导。</w:t>
      </w:r>
      <w:r>
        <w:rPr>
          <w:rFonts w:hint="eastAsia" w:ascii="仿宋" w:hAnsi="仿宋" w:eastAsia="仿宋" w:cs="仿宋"/>
          <w:color w:val="auto"/>
          <w:kern w:val="0"/>
          <w:sz w:val="24"/>
          <w:highlight w:val="none"/>
        </w:rPr>
        <w:t>政府采购信用融资是缓解中小企业资金短缺压力，优化中小企业发展环境，促进我市经济发展的重要举措。市级各部门、单位要统一思想，充分认识此项工作的重要意义，认真抓好政策落实，</w:t>
      </w:r>
      <w:r>
        <w:rPr>
          <w:rFonts w:hint="eastAsia" w:ascii="仿宋" w:hAnsi="仿宋" w:eastAsia="仿宋" w:cs="仿宋"/>
          <w:color w:val="auto"/>
          <w:sz w:val="24"/>
          <w:highlight w:val="none"/>
        </w:rPr>
        <w:t>全面、有序、科学推进政府采购信用融资工作。</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（二）注重协调配合。</w:t>
      </w:r>
      <w:r>
        <w:rPr>
          <w:rFonts w:hint="eastAsia" w:ascii="仿宋" w:hAnsi="仿宋" w:eastAsia="仿宋" w:cs="仿宋"/>
          <w:color w:val="auto"/>
          <w:kern w:val="0"/>
          <w:sz w:val="24"/>
          <w:highlight w:val="none"/>
        </w:rPr>
        <w:t>市财政局、中国人民银行成都分行营业管理部及采购人</w:t>
      </w:r>
      <w:r>
        <w:rPr>
          <w:rFonts w:hint="eastAsia" w:ascii="仿宋" w:hAnsi="仿宋" w:eastAsia="仿宋" w:cs="仿宋"/>
          <w:color w:val="auto"/>
          <w:sz w:val="24"/>
          <w:highlight w:val="none"/>
        </w:rPr>
        <w:t>等有关单位要根据职责任务，及时协调解决工作中遇到的困难和问题，积极</w:t>
      </w:r>
      <w:r>
        <w:rPr>
          <w:rFonts w:hint="eastAsia" w:ascii="仿宋" w:hAnsi="仿宋" w:eastAsia="仿宋" w:cs="仿宋"/>
          <w:color w:val="auto"/>
          <w:kern w:val="0"/>
          <w:sz w:val="24"/>
          <w:highlight w:val="none"/>
        </w:rPr>
        <w:t>创造条件主动服务，帮助有融资需求、符合条件的供应商实现政府采购信用融资，促进中小企业又好又快发展</w:t>
      </w:r>
      <w:r>
        <w:rPr>
          <w:rFonts w:hint="eastAsia" w:ascii="仿宋" w:hAnsi="仿宋" w:eastAsia="仿宋" w:cs="仿宋"/>
          <w:color w:val="auto"/>
          <w:sz w:val="24"/>
          <w:highlight w:val="none"/>
        </w:rPr>
        <w:t>。</w:t>
      </w:r>
    </w:p>
    <w:p>
      <w:pPr>
        <w:topLinePunct/>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强化宣传引导。各相关部门、单位要不断优化工作机制，为中小企业供应商提供优质服务。强化宣传引导，不断扩大政府采购信用融资政策的知晓度。加强跟踪问效，让政府采购信用融资惠及更多中小企业，积极营造良好的营商环境。</w:t>
      </w:r>
    </w:p>
    <w:p>
      <w:pPr>
        <w:topLinePunct/>
        <w:spacing w:after="0" w:line="360" w:lineRule="auto"/>
        <w:jc w:val="left"/>
        <w:rPr>
          <w:rFonts w:hint="eastAsia" w:ascii="仿宋" w:hAnsi="仿宋" w:eastAsia="仿宋" w:cs="仿宋"/>
          <w:b/>
          <w:bCs/>
          <w:color w:val="auto"/>
          <w:sz w:val="28"/>
          <w:szCs w:val="36"/>
          <w:highlight w:val="none"/>
        </w:rPr>
        <w:sectPr>
          <w:type w:val="continuous"/>
          <w:pgSz w:w="11906" w:h="16838"/>
          <w:pgMar w:top="1440" w:right="1800" w:bottom="1440" w:left="1800" w:header="851" w:footer="992" w:gutter="0"/>
          <w:pgNumType w:fmt="decimal"/>
          <w:cols w:space="720" w:num="1"/>
          <w:docGrid w:type="lines" w:linePitch="319" w:charSpace="0"/>
        </w:sectPr>
      </w:pPr>
    </w:p>
    <w:p>
      <w:pPr>
        <w:pStyle w:val="2"/>
        <w:rPr>
          <w:rFonts w:hint="eastAsia"/>
          <w:color w:val="auto"/>
          <w:highlight w:val="none"/>
        </w:rPr>
        <w:sectPr>
          <w:pgSz w:w="11906" w:h="16838"/>
          <w:pgMar w:top="1440" w:right="1800" w:bottom="1440" w:left="1800" w:header="851" w:footer="992" w:gutter="0"/>
          <w:pgNumType w:fmt="decimal"/>
          <w:cols w:space="720" w:num="1"/>
          <w:docGrid w:type="lines" w:linePitch="319" w:charSpace="0"/>
        </w:sectPr>
      </w:pPr>
      <w:r>
        <w:rPr>
          <w:color w:val="auto"/>
          <w:highlight w:val="none"/>
        </w:rPr>
        <w:drawing>
          <wp:anchor distT="0" distB="0" distL="114300" distR="114300" simplePos="0" relativeHeight="251662336" behindDoc="0" locked="0" layoutInCell="1" allowOverlap="1">
            <wp:simplePos x="0" y="0"/>
            <wp:positionH relativeFrom="column">
              <wp:posOffset>-226695</wp:posOffset>
            </wp:positionH>
            <wp:positionV relativeFrom="paragraph">
              <wp:posOffset>515620</wp:posOffset>
            </wp:positionV>
            <wp:extent cx="5744210" cy="8230870"/>
            <wp:effectExtent l="0" t="0" r="1270" b="13970"/>
            <wp:wrapSquare wrapText="bothSides"/>
            <wp:docPr id="3" name="图片 7" descr="说明: 说明: 说明: 说明: 说明: 说明: 说明: 说明: C:\Users\yzr\Desktop\QQ截图20200424174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说明: 说明: 说明: 说明: 说明: 说明: 说明: 说明: C:\Users\yzr\Desktop\QQ截图20200424174415.png"/>
                    <pic:cNvPicPr>
                      <a:picLocks noChangeAspect="1"/>
                    </pic:cNvPicPr>
                  </pic:nvPicPr>
                  <pic:blipFill>
                    <a:blip r:embed="rId18"/>
                    <a:stretch>
                      <a:fillRect/>
                    </a:stretch>
                  </pic:blipFill>
                  <pic:spPr>
                    <a:xfrm>
                      <a:off x="0" y="0"/>
                      <a:ext cx="5744210" cy="8230870"/>
                    </a:xfrm>
                    <a:prstGeom prst="rect">
                      <a:avLst/>
                    </a:prstGeom>
                    <a:noFill/>
                    <a:ln>
                      <a:noFill/>
                    </a:ln>
                  </pic:spPr>
                </pic:pic>
              </a:graphicData>
            </a:graphic>
          </wp:anchor>
        </w:drawing>
      </w:r>
      <w:r>
        <w:rPr>
          <w:rFonts w:hint="eastAsia"/>
          <w:color w:val="auto"/>
          <w:highlight w:val="none"/>
          <w:lang w:eastAsia="zh-CN"/>
        </w:rPr>
        <w:t>附件</w:t>
      </w:r>
      <w:r>
        <w:rPr>
          <w:rFonts w:hint="eastAsia"/>
          <w:color w:val="auto"/>
          <w:highlight w:val="none"/>
          <w:lang w:val="en-US" w:eastAsia="zh-CN"/>
        </w:rPr>
        <w:t>三</w:t>
      </w:r>
    </w:p>
    <w:p>
      <w:pPr>
        <w:pStyle w:val="2"/>
        <w:rPr>
          <w:rFonts w:hint="eastAsia"/>
          <w:color w:val="auto"/>
          <w:highlight w:val="none"/>
        </w:rPr>
        <w:sectPr>
          <w:pgSz w:w="11906" w:h="16838"/>
          <w:pgMar w:top="1440" w:right="1800" w:bottom="1440" w:left="1800" w:header="851" w:footer="992" w:gutter="0"/>
          <w:pgNumType w:fmt="decimal"/>
          <w:cols w:space="720" w:num="1"/>
          <w:docGrid w:type="lines" w:linePitch="319" w:charSpace="0"/>
        </w:sectPr>
      </w:pPr>
      <w:r>
        <w:rPr>
          <w:color w:val="auto"/>
          <w:highlight w:val="none"/>
        </w:rPr>
        <w:drawing>
          <wp:anchor distT="0" distB="0" distL="114300" distR="114300" simplePos="0" relativeHeight="251663360" behindDoc="0" locked="0" layoutInCell="1" allowOverlap="1">
            <wp:simplePos x="0" y="0"/>
            <wp:positionH relativeFrom="column">
              <wp:posOffset>-250190</wp:posOffset>
            </wp:positionH>
            <wp:positionV relativeFrom="paragraph">
              <wp:posOffset>150495</wp:posOffset>
            </wp:positionV>
            <wp:extent cx="5760720" cy="8255635"/>
            <wp:effectExtent l="0" t="0" r="0" b="4445"/>
            <wp:wrapSquare wrapText="bothSides"/>
            <wp:docPr id="4" name="图片 8" descr="说明: 说明: 说明: 说明: 说明: 说明: 说明: 说明: C:\Users\yzr\Desktop\QQ截图20200424174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说明: 说明: 说明: 说明: 说明: 说明: 说明: 说明: C:\Users\yzr\Desktop\QQ截图20200424174424.png"/>
                    <pic:cNvPicPr>
                      <a:picLocks noChangeAspect="1"/>
                    </pic:cNvPicPr>
                  </pic:nvPicPr>
                  <pic:blipFill>
                    <a:blip r:embed="rId19"/>
                    <a:stretch>
                      <a:fillRect/>
                    </a:stretch>
                  </pic:blipFill>
                  <pic:spPr>
                    <a:xfrm>
                      <a:off x="0" y="0"/>
                      <a:ext cx="5760720" cy="8255635"/>
                    </a:xfrm>
                    <a:prstGeom prst="rect">
                      <a:avLst/>
                    </a:prstGeom>
                    <a:noFill/>
                    <a:ln>
                      <a:noFill/>
                    </a:ln>
                  </pic:spPr>
                </pic:pic>
              </a:graphicData>
            </a:graphic>
          </wp:anchor>
        </w:drawing>
      </w:r>
    </w:p>
    <w:p>
      <w:pPr>
        <w:pStyle w:val="2"/>
        <w:rPr>
          <w:rFonts w:hint="eastAsia"/>
          <w:color w:val="auto"/>
          <w:highlight w:val="none"/>
        </w:rPr>
        <w:sectPr>
          <w:pgSz w:w="11906" w:h="16838"/>
          <w:pgMar w:top="1440" w:right="1800" w:bottom="1440" w:left="1800" w:header="851" w:footer="992" w:gutter="0"/>
          <w:pgNumType w:fmt="decimal"/>
          <w:cols w:space="720" w:num="1"/>
          <w:docGrid w:type="lines" w:linePitch="319" w:charSpace="0"/>
        </w:sectPr>
      </w:pPr>
      <w:r>
        <w:rPr>
          <w:color w:val="auto"/>
          <w:highlight w:val="none"/>
        </w:rPr>
        <w:drawing>
          <wp:anchor distT="0" distB="0" distL="114300" distR="114300" simplePos="0" relativeHeight="251664384" behindDoc="0" locked="0" layoutInCell="1" allowOverlap="1">
            <wp:simplePos x="0" y="0"/>
            <wp:positionH relativeFrom="column">
              <wp:posOffset>-295275</wp:posOffset>
            </wp:positionH>
            <wp:positionV relativeFrom="paragraph">
              <wp:posOffset>131445</wp:posOffset>
            </wp:positionV>
            <wp:extent cx="5844540" cy="8665210"/>
            <wp:effectExtent l="0" t="0" r="7620" b="6350"/>
            <wp:wrapSquare wrapText="bothSides"/>
            <wp:docPr id="5" name="图片 9" descr="说明: 说明: 说明: 说明: 说明: 说明: 说明: 说明: C:\Users\yzr\Desktop\QQ截图20200424174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说明: 说明: 说明: 说明: 说明: 说明: 说明: 说明: C:\Users\yzr\Desktop\QQ截图20200424174431.png"/>
                    <pic:cNvPicPr>
                      <a:picLocks noChangeAspect="1"/>
                    </pic:cNvPicPr>
                  </pic:nvPicPr>
                  <pic:blipFill>
                    <a:blip r:embed="rId20"/>
                    <a:stretch>
                      <a:fillRect/>
                    </a:stretch>
                  </pic:blipFill>
                  <pic:spPr>
                    <a:xfrm>
                      <a:off x="0" y="0"/>
                      <a:ext cx="5844540" cy="8665210"/>
                    </a:xfrm>
                    <a:prstGeom prst="rect">
                      <a:avLst/>
                    </a:prstGeom>
                    <a:noFill/>
                    <a:ln>
                      <a:noFill/>
                    </a:ln>
                  </pic:spPr>
                </pic:pic>
              </a:graphicData>
            </a:graphic>
          </wp:anchor>
        </w:drawing>
      </w:r>
    </w:p>
    <w:p>
      <w:pPr>
        <w:pStyle w:val="2"/>
        <w:rPr>
          <w:rFonts w:hint="eastAsia"/>
          <w:color w:val="auto"/>
          <w:highlight w:val="none"/>
        </w:rPr>
        <w:sectPr>
          <w:pgSz w:w="11906" w:h="16838"/>
          <w:pgMar w:top="1440" w:right="1800" w:bottom="1440" w:left="1800" w:header="851" w:footer="992" w:gutter="0"/>
          <w:pgNumType w:fmt="decimal"/>
          <w:cols w:space="720" w:num="1"/>
          <w:docGrid w:type="lines" w:linePitch="319" w:charSpace="0"/>
        </w:sectPr>
      </w:pPr>
      <w:r>
        <w:rPr>
          <w:rFonts w:ascii="宋体" w:hAnsi="宋体"/>
          <w:color w:val="auto"/>
          <w:highlight w:val="none"/>
        </w:rPr>
        <w:drawing>
          <wp:anchor distT="0" distB="0" distL="114300" distR="114300" simplePos="0" relativeHeight="251665408" behindDoc="0" locked="0" layoutInCell="1" allowOverlap="1">
            <wp:simplePos x="0" y="0"/>
            <wp:positionH relativeFrom="column">
              <wp:posOffset>-314325</wp:posOffset>
            </wp:positionH>
            <wp:positionV relativeFrom="paragraph">
              <wp:posOffset>123825</wp:posOffset>
            </wp:positionV>
            <wp:extent cx="5783580" cy="8663940"/>
            <wp:effectExtent l="0" t="0" r="7620" b="7620"/>
            <wp:wrapSquare wrapText="bothSides"/>
            <wp:docPr id="6" name="图片 10" descr="说明: 说明: 说明: 说明: 说明: 说明: 说明: 说明: C:\Users\yzr\Desktop\QQ截图20200424174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说明: 说明: 说明: 说明: 说明: 说明: 说明: 说明: C:\Users\yzr\Desktop\QQ截图20200424174438.png"/>
                    <pic:cNvPicPr>
                      <a:picLocks noChangeAspect="1"/>
                    </pic:cNvPicPr>
                  </pic:nvPicPr>
                  <pic:blipFill>
                    <a:blip r:embed="rId21"/>
                    <a:stretch>
                      <a:fillRect/>
                    </a:stretch>
                  </pic:blipFill>
                  <pic:spPr>
                    <a:xfrm>
                      <a:off x="0" y="0"/>
                      <a:ext cx="5783580" cy="8663940"/>
                    </a:xfrm>
                    <a:prstGeom prst="rect">
                      <a:avLst/>
                    </a:prstGeom>
                    <a:noFill/>
                    <a:ln>
                      <a:noFill/>
                    </a:ln>
                  </pic:spPr>
                </pic:pic>
              </a:graphicData>
            </a:graphic>
          </wp:anchor>
        </w:drawing>
      </w:r>
    </w:p>
    <w:p>
      <w:pPr>
        <w:spacing w:after="0" w:line="360" w:lineRule="auto"/>
        <w:outlineLvl w:val="0"/>
        <w:rPr>
          <w:rFonts w:hint="eastAsia" w:ascii="仿宋" w:hAnsi="仿宋" w:eastAsia="仿宋" w:cs="仿宋"/>
          <w:b/>
          <w:bCs/>
          <w:color w:val="auto"/>
          <w:sz w:val="24"/>
          <w:szCs w:val="32"/>
          <w:highlight w:val="none"/>
        </w:rPr>
      </w:pPr>
      <w:bookmarkStart w:id="219" w:name="_Toc17800_WPSOffice_Level1"/>
      <w:bookmarkStart w:id="220" w:name="_Toc16364"/>
      <w:r>
        <w:rPr>
          <w:rFonts w:hint="eastAsia" w:ascii="仿宋" w:hAnsi="仿宋" w:eastAsia="仿宋" w:cs="仿宋"/>
          <w:b/>
          <w:bCs/>
          <w:color w:val="auto"/>
          <w:sz w:val="24"/>
          <w:szCs w:val="32"/>
          <w:highlight w:val="none"/>
        </w:rPr>
        <w:t>附件</w:t>
      </w:r>
      <w:r>
        <w:rPr>
          <w:rFonts w:hint="eastAsia" w:ascii="仿宋" w:hAnsi="仿宋" w:eastAsia="仿宋" w:cs="仿宋"/>
          <w:b/>
          <w:bCs/>
          <w:color w:val="auto"/>
          <w:sz w:val="24"/>
          <w:szCs w:val="32"/>
          <w:highlight w:val="none"/>
          <w:lang w:eastAsia="zh-CN"/>
        </w:rPr>
        <w:t>四</w:t>
      </w:r>
      <w:r>
        <w:rPr>
          <w:rFonts w:hint="eastAsia" w:ascii="仿宋" w:hAnsi="仿宋" w:eastAsia="仿宋" w:cs="仿宋"/>
          <w:b/>
          <w:bCs/>
          <w:color w:val="auto"/>
          <w:sz w:val="24"/>
          <w:szCs w:val="32"/>
          <w:highlight w:val="none"/>
        </w:rPr>
        <w:t>：政府采购云平台使用介绍</w:t>
      </w:r>
      <w:bookmarkEnd w:id="219"/>
      <w:bookmarkEnd w:id="220"/>
    </w:p>
    <w:p>
      <w:pPr>
        <w:spacing w:after="0" w:line="360" w:lineRule="auto"/>
        <w:rPr>
          <w:rFonts w:hint="eastAsia" w:ascii="仿宋" w:hAnsi="仿宋" w:eastAsia="仿宋" w:cs="仿宋"/>
          <w:b/>
          <w:bCs/>
          <w:color w:val="auto"/>
          <w:sz w:val="24"/>
          <w:szCs w:val="32"/>
          <w:highlight w:val="none"/>
        </w:rPr>
      </w:pPr>
      <w:r>
        <w:rPr>
          <w:rFonts w:hint="eastAsia" w:ascii="仿宋" w:hAnsi="仿宋" w:eastAsia="仿宋" w:cs="仿宋"/>
          <w:b/>
          <w:bCs/>
          <w:color w:val="auto"/>
          <w:sz w:val="24"/>
          <w:szCs w:val="32"/>
          <w:highlight w:val="none"/>
        </w:rPr>
        <w:t>1.输入网址：</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 </w:instrText>
      </w:r>
      <w:r>
        <w:rPr>
          <w:rFonts w:hint="eastAsia" w:ascii="仿宋" w:hAnsi="仿宋" w:eastAsia="仿宋" w:cs="仿宋"/>
          <w:color w:val="auto"/>
          <w:highlight w:val="none"/>
        </w:rPr>
        <w:fldChar w:fldCharType="separate"/>
      </w:r>
      <w:r>
        <w:rPr>
          <w:rStyle w:val="42"/>
          <w:rFonts w:hint="eastAsia" w:ascii="仿宋" w:hAnsi="仿宋" w:eastAsia="仿宋" w:cs="仿宋"/>
          <w:b/>
          <w:bCs/>
          <w:color w:val="auto"/>
          <w:sz w:val="24"/>
          <w:szCs w:val="32"/>
          <w:highlight w:val="none"/>
        </w:rPr>
        <w:t>https://www.zcygov.cn</w:t>
      </w:r>
      <w:r>
        <w:rPr>
          <w:rFonts w:hint="eastAsia" w:ascii="仿宋" w:hAnsi="仿宋" w:eastAsia="仿宋" w:cs="仿宋"/>
          <w:b/>
          <w:bCs/>
          <w:color w:val="auto"/>
          <w:sz w:val="24"/>
          <w:szCs w:val="32"/>
          <w:highlight w:val="none"/>
        </w:rPr>
        <w:fldChar w:fldCharType="end"/>
      </w:r>
    </w:p>
    <w:p>
      <w:pPr>
        <w:spacing w:after="0" w:line="360" w:lineRule="auto"/>
        <w:rPr>
          <w:rFonts w:hint="eastAsia" w:ascii="仿宋" w:hAnsi="仿宋" w:eastAsia="仿宋" w:cs="仿宋"/>
          <w:b/>
          <w:bCs/>
          <w:color w:val="auto"/>
          <w:sz w:val="24"/>
          <w:szCs w:val="32"/>
          <w:highlight w:val="none"/>
        </w:rPr>
      </w:pPr>
      <w:r>
        <w:rPr>
          <w:rFonts w:hint="eastAsia" w:ascii="仿宋" w:hAnsi="仿宋" w:eastAsia="仿宋" w:cs="仿宋"/>
          <w:b/>
          <w:bCs/>
          <w:color w:val="auto"/>
          <w:sz w:val="24"/>
          <w:szCs w:val="32"/>
          <w:highlight w:val="none"/>
        </w:rPr>
        <w:t>2.选择与项目对应的行政区域如：四川省-成都市-成都市本级</w:t>
      </w:r>
    </w:p>
    <w:p>
      <w:pPr>
        <w:spacing w:after="0" w:line="360" w:lineRule="auto"/>
        <w:rPr>
          <w:rFonts w:hint="eastAsia" w:ascii="仿宋" w:hAnsi="仿宋" w:eastAsia="仿宋" w:cs="仿宋"/>
          <w:color w:val="auto"/>
          <w:highlight w:val="none"/>
        </w:rPr>
      </w:pPr>
      <w:r>
        <w:rPr>
          <w:rFonts w:hint="eastAsia" w:ascii="仿宋" w:hAnsi="仿宋" w:eastAsia="仿宋" w:cs="仿宋"/>
          <w:color w:val="auto"/>
          <w:highlight w:val="none"/>
        </w:rPr>
        <w:drawing>
          <wp:inline distT="0" distB="0" distL="114300" distR="114300">
            <wp:extent cx="6691630" cy="4184650"/>
            <wp:effectExtent l="0" t="0" r="13970" b="635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2"/>
                    <a:stretch>
                      <a:fillRect/>
                    </a:stretch>
                  </pic:blipFill>
                  <pic:spPr>
                    <a:xfrm>
                      <a:off x="0" y="0"/>
                      <a:ext cx="6691630" cy="4184650"/>
                    </a:xfrm>
                    <a:prstGeom prst="rect">
                      <a:avLst/>
                    </a:prstGeom>
                    <a:noFill/>
                    <a:ln>
                      <a:noFill/>
                    </a:ln>
                  </pic:spPr>
                </pic:pic>
              </a:graphicData>
            </a:graphic>
          </wp:inline>
        </w:drawing>
      </w:r>
    </w:p>
    <w:p>
      <w:pPr>
        <w:pStyle w:val="2"/>
        <w:spacing w:after="0" w:line="360" w:lineRule="auto"/>
        <w:rPr>
          <w:rFonts w:hint="eastAsia" w:ascii="仿宋" w:hAnsi="仿宋" w:eastAsia="仿宋" w:cs="仿宋"/>
          <w:color w:val="auto"/>
          <w:highlight w:val="none"/>
        </w:rPr>
      </w:pPr>
    </w:p>
    <w:p>
      <w:pPr>
        <w:numPr>
          <w:ilvl w:val="0"/>
          <w:numId w:val="6"/>
        </w:numPr>
        <w:spacing w:after="0" w:line="360" w:lineRule="auto"/>
        <w:rPr>
          <w:rFonts w:hint="eastAsia" w:ascii="仿宋" w:hAnsi="仿宋" w:eastAsia="仿宋" w:cs="仿宋"/>
          <w:b/>
          <w:bCs/>
          <w:color w:val="auto"/>
          <w:sz w:val="24"/>
          <w:szCs w:val="32"/>
          <w:highlight w:val="none"/>
        </w:rPr>
      </w:pPr>
      <w:r>
        <w:rPr>
          <w:rFonts w:hint="eastAsia" w:ascii="仿宋" w:hAnsi="仿宋" w:eastAsia="仿宋" w:cs="仿宋"/>
          <w:b/>
          <w:bCs/>
          <w:color w:val="auto"/>
          <w:sz w:val="24"/>
          <w:szCs w:val="32"/>
          <w:highlight w:val="none"/>
        </w:rPr>
        <w:t>点击操作指南-供应商</w:t>
      </w:r>
    </w:p>
    <w:p>
      <w:pPr>
        <w:kinsoku w:val="0"/>
        <w:wordWrap w:val="0"/>
        <w:topLinePunct/>
        <w:spacing w:after="0" w:line="360" w:lineRule="auto"/>
        <w:rPr>
          <w:rFonts w:hint="eastAsia" w:ascii="仿宋" w:hAnsi="仿宋" w:eastAsia="仿宋" w:cs="仿宋"/>
          <w:b/>
          <w:bCs/>
          <w:color w:val="auto"/>
          <w:highlight w:val="none"/>
        </w:rPr>
      </w:pPr>
      <w:r>
        <w:rPr>
          <w:rFonts w:hint="eastAsia" w:ascii="仿宋" w:hAnsi="仿宋" w:eastAsia="仿宋" w:cs="仿宋"/>
          <w:color w:val="auto"/>
          <w:highlight w:val="none"/>
        </w:rPr>
        <w:drawing>
          <wp:inline distT="0" distB="0" distL="114300" distR="114300">
            <wp:extent cx="8854440" cy="4585335"/>
            <wp:effectExtent l="0" t="0" r="0" b="190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3"/>
                    <a:stretch>
                      <a:fillRect/>
                    </a:stretch>
                  </pic:blipFill>
                  <pic:spPr>
                    <a:xfrm>
                      <a:off x="0" y="0"/>
                      <a:ext cx="8854440" cy="4585335"/>
                    </a:xfrm>
                    <a:prstGeom prst="rect">
                      <a:avLst/>
                    </a:prstGeom>
                    <a:noFill/>
                    <a:ln>
                      <a:noFill/>
                    </a:ln>
                  </pic:spPr>
                </pic:pic>
              </a:graphicData>
            </a:graphic>
          </wp:inline>
        </w:drawing>
      </w:r>
      <w:r>
        <w:rPr>
          <w:rFonts w:hint="eastAsia" w:ascii="仿宋" w:hAnsi="仿宋" w:eastAsia="仿宋" w:cs="仿宋"/>
          <w:color w:val="auto"/>
          <w:highlight w:val="none"/>
        </w:rPr>
        <w:br w:type="page"/>
      </w:r>
      <w:r>
        <w:rPr>
          <w:rFonts w:hint="eastAsia" w:ascii="仿宋" w:hAnsi="仿宋" w:eastAsia="仿宋" w:cs="仿宋"/>
          <w:b/>
          <w:bCs/>
          <w:color w:val="auto"/>
          <w:sz w:val="24"/>
          <w:szCs w:val="32"/>
          <w:highlight w:val="none"/>
        </w:rPr>
        <w:t>4.进入政采云供应商学习专题页面</w:t>
      </w:r>
      <w:r>
        <w:rPr>
          <w:rFonts w:hint="eastAsia" w:ascii="仿宋" w:hAnsi="仿宋" w:eastAsia="仿宋" w:cs="仿宋"/>
          <w:b/>
          <w:bCs/>
          <w:color w:val="auto"/>
          <w:highlight w:val="none"/>
        </w:rPr>
        <w:t>（https://edu.zcygov.cn/luban/xxzt-chengdu-gys?utm=a0017.b1347.cl50.5.0917bc90b7bb11eb807c353645758db6）</w:t>
      </w:r>
    </w:p>
    <w:p>
      <w:pPr>
        <w:pStyle w:val="91"/>
        <w:spacing w:after="0" w:line="360" w:lineRule="auto"/>
        <w:rPr>
          <w:rFonts w:hint="eastAsia" w:ascii="仿宋" w:hAnsi="仿宋" w:eastAsia="仿宋" w:cs="仿宋"/>
          <w:color w:val="auto"/>
          <w:highlight w:val="none"/>
        </w:rPr>
      </w:pPr>
    </w:p>
    <w:p>
      <w:pPr>
        <w:spacing w:after="0" w:line="360" w:lineRule="auto"/>
        <w:rPr>
          <w:rFonts w:hint="eastAsia" w:ascii="仿宋" w:hAnsi="仿宋" w:eastAsia="仿宋" w:cs="仿宋"/>
          <w:color w:val="auto"/>
          <w:highlight w:val="none"/>
        </w:rPr>
      </w:pPr>
      <w:r>
        <w:rPr>
          <w:rFonts w:hint="eastAsia" w:ascii="仿宋" w:hAnsi="仿宋" w:eastAsia="仿宋" w:cs="仿宋"/>
          <w:color w:val="auto"/>
          <w:highlight w:val="none"/>
        </w:rPr>
        <w:drawing>
          <wp:inline distT="0" distB="0" distL="114300" distR="114300">
            <wp:extent cx="9255760" cy="4606290"/>
            <wp:effectExtent l="0" t="0" r="10160" b="1143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4"/>
                    <a:stretch>
                      <a:fillRect/>
                    </a:stretch>
                  </pic:blipFill>
                  <pic:spPr>
                    <a:xfrm>
                      <a:off x="0" y="0"/>
                      <a:ext cx="9255760" cy="4606290"/>
                    </a:xfrm>
                    <a:prstGeom prst="rect">
                      <a:avLst/>
                    </a:prstGeom>
                    <a:noFill/>
                    <a:ln>
                      <a:noFill/>
                    </a:ln>
                  </pic:spPr>
                </pic:pic>
              </a:graphicData>
            </a:graphic>
          </wp:inline>
        </w:drawing>
      </w:r>
    </w:p>
    <w:p>
      <w:pPr>
        <w:spacing w:after="0" w:line="360" w:lineRule="auto"/>
        <w:rPr>
          <w:rFonts w:hint="eastAsia" w:ascii="仿宋" w:hAnsi="仿宋" w:eastAsia="仿宋" w:cs="仿宋"/>
          <w:b/>
          <w:bCs/>
          <w:color w:val="auto"/>
          <w:sz w:val="24"/>
          <w:szCs w:val="32"/>
          <w:highlight w:val="none"/>
        </w:rPr>
      </w:pPr>
      <w:r>
        <w:rPr>
          <w:rFonts w:hint="eastAsia" w:ascii="仿宋" w:hAnsi="仿宋" w:eastAsia="仿宋" w:cs="仿宋"/>
          <w:color w:val="auto"/>
          <w:highlight w:val="none"/>
        </w:rPr>
        <w:br w:type="page"/>
      </w:r>
      <w:r>
        <w:rPr>
          <w:rFonts w:hint="eastAsia" w:ascii="仿宋" w:hAnsi="仿宋" w:eastAsia="仿宋" w:cs="仿宋"/>
          <w:b/>
          <w:bCs/>
          <w:color w:val="auto"/>
          <w:sz w:val="24"/>
          <w:szCs w:val="32"/>
          <w:highlight w:val="none"/>
        </w:rPr>
        <w:t>5.供应商资讯服务渠道</w:t>
      </w:r>
    </w:p>
    <w:p>
      <w:pPr>
        <w:spacing w:after="0" w:line="360" w:lineRule="auto"/>
        <w:rPr>
          <w:rFonts w:hint="eastAsia" w:ascii="仿宋" w:hAnsi="仿宋" w:eastAsia="仿宋" w:cs="仿宋"/>
          <w:color w:val="auto"/>
          <w:highlight w:val="none"/>
        </w:rPr>
      </w:pPr>
      <w:r>
        <w:rPr>
          <w:rFonts w:hint="eastAsia" w:ascii="仿宋" w:hAnsi="仿宋" w:eastAsia="仿宋" w:cs="仿宋"/>
          <w:color w:val="auto"/>
          <w:highlight w:val="none"/>
        </w:rPr>
        <w:drawing>
          <wp:inline distT="0" distB="0" distL="114300" distR="114300">
            <wp:extent cx="9380855" cy="3362960"/>
            <wp:effectExtent l="0" t="0" r="6985" b="508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5"/>
                    <a:stretch>
                      <a:fillRect/>
                    </a:stretch>
                  </pic:blipFill>
                  <pic:spPr>
                    <a:xfrm>
                      <a:off x="0" y="0"/>
                      <a:ext cx="9380855" cy="3362960"/>
                    </a:xfrm>
                    <a:prstGeom prst="rect">
                      <a:avLst/>
                    </a:prstGeom>
                    <a:noFill/>
                    <a:ln>
                      <a:noFill/>
                    </a:ln>
                  </pic:spPr>
                </pic:pic>
              </a:graphicData>
            </a:graphic>
          </wp:inline>
        </w:drawing>
      </w:r>
    </w:p>
    <w:p>
      <w:pPr>
        <w:spacing w:after="0" w:line="360" w:lineRule="auto"/>
        <w:rPr>
          <w:rFonts w:hint="eastAsia" w:ascii="仿宋" w:hAnsi="仿宋" w:eastAsia="仿宋" w:cs="仿宋"/>
          <w:color w:val="auto"/>
          <w:highlight w:val="none"/>
        </w:rPr>
      </w:pPr>
      <w:r>
        <w:rPr>
          <w:rFonts w:hint="eastAsia" w:ascii="仿宋" w:hAnsi="仿宋" w:eastAsia="仿宋" w:cs="仿宋"/>
          <w:color w:val="auto"/>
          <w:highlight w:val="none"/>
        </w:rPr>
        <w:br w:type="page"/>
      </w:r>
      <w:r>
        <w:rPr>
          <w:rFonts w:hint="eastAsia" w:ascii="仿宋" w:hAnsi="仿宋" w:eastAsia="仿宋" w:cs="仿宋"/>
          <w:b/>
          <w:bCs/>
          <w:color w:val="auto"/>
          <w:sz w:val="24"/>
          <w:szCs w:val="32"/>
          <w:highlight w:val="none"/>
        </w:rPr>
        <w:t>6.入驻政府采购云平台（注册）</w:t>
      </w:r>
    </w:p>
    <w:p>
      <w:pPr>
        <w:spacing w:after="0" w:line="360" w:lineRule="auto"/>
        <w:rPr>
          <w:rFonts w:hint="eastAsia" w:ascii="仿宋" w:hAnsi="仿宋" w:eastAsia="仿宋" w:cs="仿宋"/>
          <w:color w:val="auto"/>
          <w:highlight w:val="none"/>
        </w:rPr>
      </w:pPr>
      <w:r>
        <w:rPr>
          <w:rFonts w:hint="eastAsia" w:ascii="仿宋" w:hAnsi="仿宋" w:eastAsia="仿宋" w:cs="仿宋"/>
          <w:color w:val="auto"/>
          <w:highlight w:val="none"/>
        </w:rPr>
        <w:drawing>
          <wp:inline distT="0" distB="0" distL="114300" distR="114300">
            <wp:extent cx="8853805" cy="3604895"/>
            <wp:effectExtent l="0" t="0" r="635" b="698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6"/>
                    <a:stretch>
                      <a:fillRect/>
                    </a:stretch>
                  </pic:blipFill>
                  <pic:spPr>
                    <a:xfrm>
                      <a:off x="0" y="0"/>
                      <a:ext cx="8853805" cy="3604895"/>
                    </a:xfrm>
                    <a:prstGeom prst="rect">
                      <a:avLst/>
                    </a:prstGeom>
                    <a:noFill/>
                    <a:ln>
                      <a:noFill/>
                    </a:ln>
                  </pic:spPr>
                </pic:pic>
              </a:graphicData>
            </a:graphic>
          </wp:inline>
        </w:drawing>
      </w:r>
    </w:p>
    <w:p>
      <w:pPr>
        <w:spacing w:after="0" w:line="360" w:lineRule="auto"/>
        <w:rPr>
          <w:rFonts w:hint="eastAsia" w:ascii="仿宋" w:hAnsi="仿宋" w:eastAsia="仿宋" w:cs="仿宋"/>
          <w:color w:val="auto"/>
          <w:highlight w:val="none"/>
        </w:rPr>
      </w:pPr>
      <w:r>
        <w:rPr>
          <w:rFonts w:hint="eastAsia" w:ascii="仿宋" w:hAnsi="仿宋" w:eastAsia="仿宋" w:cs="仿宋"/>
          <w:color w:val="auto"/>
          <w:highlight w:val="none"/>
        </w:rPr>
        <w:br w:type="page"/>
      </w:r>
      <w:r>
        <w:rPr>
          <w:rFonts w:hint="eastAsia" w:ascii="仿宋" w:hAnsi="仿宋" w:eastAsia="仿宋" w:cs="仿宋"/>
          <w:b/>
          <w:bCs/>
          <w:color w:val="auto"/>
          <w:sz w:val="24"/>
          <w:szCs w:val="32"/>
          <w:highlight w:val="none"/>
        </w:rPr>
        <w:t>7.下载《供应商政府采购项目电子交易操作指南》</w:t>
      </w:r>
    </w:p>
    <w:p>
      <w:pPr>
        <w:spacing w:after="0" w:line="360" w:lineRule="auto"/>
        <w:rPr>
          <w:rFonts w:hint="eastAsia" w:ascii="仿宋" w:hAnsi="仿宋" w:eastAsia="仿宋" w:cs="仿宋"/>
          <w:color w:val="auto"/>
          <w:sz w:val="24"/>
          <w:highlight w:val="none"/>
        </w:rPr>
      </w:pPr>
      <w:r>
        <w:rPr>
          <w:rFonts w:hint="eastAsia" w:ascii="仿宋" w:hAnsi="仿宋" w:eastAsia="仿宋" w:cs="仿宋"/>
          <w:color w:val="auto"/>
          <w:highlight w:val="none"/>
        </w:rPr>
        <w:drawing>
          <wp:inline distT="0" distB="0" distL="114300" distR="114300">
            <wp:extent cx="7965440" cy="4413250"/>
            <wp:effectExtent l="0" t="0" r="5080" b="635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27"/>
                    <a:stretch>
                      <a:fillRect/>
                    </a:stretch>
                  </pic:blipFill>
                  <pic:spPr>
                    <a:xfrm>
                      <a:off x="0" y="0"/>
                      <a:ext cx="7965440" cy="4413250"/>
                    </a:xfrm>
                    <a:prstGeom prst="rect">
                      <a:avLst/>
                    </a:prstGeom>
                    <a:noFill/>
                    <a:ln>
                      <a:noFill/>
                    </a:ln>
                  </pic:spPr>
                </pic:pic>
              </a:graphicData>
            </a:graphic>
          </wp:inline>
        </w:drawing>
      </w:r>
    </w:p>
    <w:sectPr>
      <w:type w:val="continuous"/>
      <w:pgSz w:w="16838" w:h="11906" w:orient="landscape"/>
      <w:pgMar w:top="1440" w:right="1800" w:bottom="1440" w:left="1800" w:header="851" w:footer="992" w:gutter="0"/>
      <w:pgNumType w:fmt="decimal"/>
      <w:cols w:space="720" w:num="1"/>
      <w:docGrid w:type="lines" w:linePitch="31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603F01FF" w:csb1="FFFF0000"/>
  </w:font>
  <w:font w:name="楷体à.ā">
    <w:altName w:val="宋体"/>
    <w:panose1 w:val="00000000000000000000"/>
    <w:charset w:val="86"/>
    <w:family w:val="roman"/>
    <w:pitch w:val="default"/>
    <w:sig w:usb0="00000000" w:usb1="00000000" w:usb2="00000010" w:usb3="00000000" w:csb0="00040000" w:csb1="00000000"/>
  </w:font>
  <w:font w:name="Eʩ">
    <w:altName w:val="微软雅黑"/>
    <w:panose1 w:val="00000000000000000000"/>
    <w:charset w:val="00"/>
    <w:family w:val="auto"/>
    <w:pitch w:val="default"/>
    <w:sig w:usb0="00000000" w:usb1="00000000" w:usb2="00000000" w:usb3="00000000" w:csb0="00040001" w:csb1="00000000"/>
  </w:font>
  <w:font w:name="PMingLiUfalt">
    <w:altName w:val="MingLiU-ExtB"/>
    <w:panose1 w:val="00000000000000000000"/>
    <w:charset w:val="88"/>
    <w:family w:val="auto"/>
    <w:pitch w:val="default"/>
    <w:sig w:usb0="00000000" w:usb1="00000000" w:usb2="00000010" w:usb3="00000000" w:csb0="00100000" w:csb1="00000000"/>
  </w:font>
  <w:font w:name="MingLiU-ExtB">
    <w:panose1 w:val="02020500000000000000"/>
    <w:charset w:val="88"/>
    <w:family w:val="auto"/>
    <w:pitch w:val="default"/>
    <w:sig w:usb0="8000002F" w:usb1="02000008" w:usb2="00000000" w:usb3="00000000" w:csb0="00100001" w:csb1="00000000"/>
  </w:font>
  <w:font w:name="ヒラギノ角ゴ Pro W3">
    <w:altName w:val="MS UI Gothic"/>
    <w:panose1 w:val="020B0300000000000000"/>
    <w:charset w:val="80"/>
    <w:family w:val="auto"/>
    <w:pitch w:val="default"/>
    <w:sig w:usb0="00000000" w:usb1="00000000" w:usb2="00000012" w:usb3="00000000" w:csb0="0002000D" w:csb1="00000000"/>
  </w:font>
  <w:font w:name="MS UI Gothic">
    <w:panose1 w:val="020B0600070205080204"/>
    <w:charset w:val="80"/>
    <w:family w:val="auto"/>
    <w:pitch w:val="default"/>
    <w:sig w:usb0="E00002FF" w:usb1="6AC7FDFB" w:usb2="08000012" w:usb3="00000000" w:csb0="4002009F" w:csb1="DFD7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1"/>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eoBX+3gEAAL8DAAAOAAAAAAAA&#10;AAEAIAAAAB4BAABkcnMvZTJvRG9jLnhtbFBLBQYAAAAABgAGAFkBAABuBQAAAAA=&#10;">
              <v:fill on="f" focussize="0,0"/>
              <v:stroke on="f"/>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1"/>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sU6QMkBAACb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5xE95Q4rjFiV++f7v8+HX5+ZUs&#10;l1mgPkCNeQ8BM9Nw5wdMnv2Azsx7UNHmLzIiGEd5z1d55ZCIyI/Wq/W6wpDA2HxBfPb4PERIb6W3&#10;JBsNjTi/Iis/vYc0ps4puZrz99qYMkPj/nIgZvaw3PvYY7bSsB8mQnvfnpFPj6NvqMNNp8S8c6hs&#10;3pLZiLOxn41jiPrQlTXK9SDcHhM2UXrLFUbYqTDOrLCb9isvxZ/3kvX4T2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ixTpAyQEAAJsDAAAOAAAAAAAAAAEAIAAAAB4BAABkcnMvZTJvRG9j&#10;LnhtbFBLBQYAAAAABgAGAFkBAABZBQAAAAA=&#10;">
              <v:fill on="f" focussize="0,0"/>
              <v:stroke on="f"/>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1"/>
                          </w:pPr>
                          <w:r>
                            <w:fldChar w:fldCharType="begin"/>
                          </w:r>
                          <w:r>
                            <w:instrText xml:space="preserve"> PAGE  \* MERGEFORMAT </w:instrText>
                          </w:r>
                          <w:r>
                            <w:fldChar w:fldCharType="separate"/>
                          </w:r>
                          <w:r>
                            <w:t>29</w:t>
                          </w:r>
                          <w:r>
                            <w:fldChar w:fldCharType="end"/>
                          </w:r>
                        </w:p>
                      </w:txbxContent>
                    </wps:txbx>
                    <wps:bodyPr vert="horz" wrap="none" lIns="0" tIns="0" rIns="0" bIns="0" anchor="t" anchorCtr="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pPgz33gEAAMADAAAOAAAAAAAA&#10;AAEAIAAAAB4BAABkcnMvZTJvRG9jLnhtbFBLBQYAAAAABgAGAFkBAABuBQAAAAA=&#10;">
              <v:fill on="f" focussize="0,0"/>
              <v:stroke on="f"/>
              <v:imagedata o:title=""/>
              <o:lock v:ext="edit" aspectratio="f"/>
              <v:textbox inset="0mm,0mm,0mm,0mm" style="mso-fit-shape-to-text:t;">
                <w:txbxContent>
                  <w:p>
                    <w:pPr>
                      <w:pStyle w:val="21"/>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spacing w:line="240" w:lineRule="auto"/>
      <w:jc w:val="left"/>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25E64E"/>
    <w:multiLevelType w:val="singleLevel"/>
    <w:tmpl w:val="A025E64E"/>
    <w:lvl w:ilvl="0" w:tentative="0">
      <w:start w:val="5"/>
      <w:numFmt w:val="decimal"/>
      <w:suff w:val="nothing"/>
      <w:lvlText w:val="%1．"/>
      <w:lvlJc w:val="left"/>
    </w:lvl>
  </w:abstractNum>
  <w:abstractNum w:abstractNumId="1">
    <w:nsid w:val="BE0B7F96"/>
    <w:multiLevelType w:val="singleLevel"/>
    <w:tmpl w:val="BE0B7F96"/>
    <w:lvl w:ilvl="0" w:tentative="0">
      <w:start w:val="1"/>
      <w:numFmt w:val="decimal"/>
      <w:lvlText w:val="%1."/>
      <w:lvlJc w:val="left"/>
      <w:pPr>
        <w:tabs>
          <w:tab w:val="left" w:pos="312"/>
        </w:tabs>
      </w:pPr>
    </w:lvl>
  </w:abstractNum>
  <w:abstractNum w:abstractNumId="2">
    <w:nsid w:val="F51F0F1F"/>
    <w:multiLevelType w:val="singleLevel"/>
    <w:tmpl w:val="F51F0F1F"/>
    <w:lvl w:ilvl="0" w:tentative="0">
      <w:start w:val="1"/>
      <w:numFmt w:val="chineseCounting"/>
      <w:suff w:val="nothing"/>
      <w:lvlText w:val="%1、"/>
      <w:lvlJc w:val="left"/>
      <w:rPr>
        <w:rFonts w:hint="eastAsia"/>
      </w:rPr>
    </w:lvl>
  </w:abstractNum>
  <w:abstractNum w:abstractNumId="3">
    <w:nsid w:val="1517B247"/>
    <w:multiLevelType w:val="singleLevel"/>
    <w:tmpl w:val="1517B247"/>
    <w:lvl w:ilvl="0" w:tentative="0">
      <w:start w:val="3"/>
      <w:numFmt w:val="decimal"/>
      <w:lvlText w:val="%1."/>
      <w:lvlJc w:val="left"/>
      <w:pPr>
        <w:tabs>
          <w:tab w:val="left" w:pos="312"/>
        </w:tabs>
      </w:pPr>
    </w:lvl>
  </w:abstractNum>
  <w:abstractNum w:abstractNumId="4">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77"/>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5">
    <w:nsid w:val="6AC6DC91"/>
    <w:multiLevelType w:val="singleLevel"/>
    <w:tmpl w:val="6AC6DC91"/>
    <w:lvl w:ilvl="0" w:tentative="0">
      <w:start w:val="1"/>
      <w:numFmt w:val="chineseCounting"/>
      <w:suff w:val="nothing"/>
      <w:lvlText w:val="%1、"/>
      <w:lvlJc w:val="left"/>
      <w:rPr>
        <w:rFonts w:hint="eastAsia"/>
      </w:rPr>
    </w:lvl>
  </w:abstractNum>
  <w:num w:numId="1">
    <w:abstractNumId w:val="4"/>
  </w:num>
  <w:num w:numId="2">
    <w:abstractNumId w:val="1"/>
  </w:num>
  <w:num w:numId="3">
    <w:abstractNumId w:val="0"/>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420"/>
  <w:hyphenationZone w:val="360"/>
  <w:drawingGridVerticalSpacing w:val="159"/>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A96"/>
    <w:rsid w:val="00002E81"/>
    <w:rsid w:val="00007AD8"/>
    <w:rsid w:val="00014438"/>
    <w:rsid w:val="00016256"/>
    <w:rsid w:val="00017150"/>
    <w:rsid w:val="00022E18"/>
    <w:rsid w:val="00026152"/>
    <w:rsid w:val="000304B0"/>
    <w:rsid w:val="00031B04"/>
    <w:rsid w:val="00036751"/>
    <w:rsid w:val="00036EEF"/>
    <w:rsid w:val="00060BF7"/>
    <w:rsid w:val="0006108D"/>
    <w:rsid w:val="00062AA7"/>
    <w:rsid w:val="00063B2E"/>
    <w:rsid w:val="000705EB"/>
    <w:rsid w:val="00072E9C"/>
    <w:rsid w:val="00075C5E"/>
    <w:rsid w:val="000760E2"/>
    <w:rsid w:val="00090B42"/>
    <w:rsid w:val="000912B1"/>
    <w:rsid w:val="00091BAB"/>
    <w:rsid w:val="00093327"/>
    <w:rsid w:val="00095107"/>
    <w:rsid w:val="000965E1"/>
    <w:rsid w:val="000A133D"/>
    <w:rsid w:val="000A1509"/>
    <w:rsid w:val="000A246A"/>
    <w:rsid w:val="000A2A8E"/>
    <w:rsid w:val="000A30C8"/>
    <w:rsid w:val="000A3DA2"/>
    <w:rsid w:val="000A70F2"/>
    <w:rsid w:val="000B36E8"/>
    <w:rsid w:val="000B4220"/>
    <w:rsid w:val="000C297C"/>
    <w:rsid w:val="000C6FE5"/>
    <w:rsid w:val="000C7011"/>
    <w:rsid w:val="000D22E0"/>
    <w:rsid w:val="000D2B0E"/>
    <w:rsid w:val="000D717B"/>
    <w:rsid w:val="000E010C"/>
    <w:rsid w:val="000E6D82"/>
    <w:rsid w:val="000F5A22"/>
    <w:rsid w:val="000F7505"/>
    <w:rsid w:val="00101EBF"/>
    <w:rsid w:val="00102351"/>
    <w:rsid w:val="001040AB"/>
    <w:rsid w:val="001068FD"/>
    <w:rsid w:val="00107A0B"/>
    <w:rsid w:val="00110DCE"/>
    <w:rsid w:val="00114138"/>
    <w:rsid w:val="0011541B"/>
    <w:rsid w:val="0011592E"/>
    <w:rsid w:val="001169EC"/>
    <w:rsid w:val="0011722E"/>
    <w:rsid w:val="00120CE2"/>
    <w:rsid w:val="00125E97"/>
    <w:rsid w:val="001300AD"/>
    <w:rsid w:val="001324D0"/>
    <w:rsid w:val="00133455"/>
    <w:rsid w:val="001364F4"/>
    <w:rsid w:val="0014031B"/>
    <w:rsid w:val="001406AF"/>
    <w:rsid w:val="001567DA"/>
    <w:rsid w:val="001635E5"/>
    <w:rsid w:val="00165A6D"/>
    <w:rsid w:val="001730FE"/>
    <w:rsid w:val="00175CF1"/>
    <w:rsid w:val="0017673A"/>
    <w:rsid w:val="00177C67"/>
    <w:rsid w:val="00181D0E"/>
    <w:rsid w:val="001867AC"/>
    <w:rsid w:val="00190666"/>
    <w:rsid w:val="0019289D"/>
    <w:rsid w:val="00194D30"/>
    <w:rsid w:val="00194FCB"/>
    <w:rsid w:val="0019506D"/>
    <w:rsid w:val="00196E92"/>
    <w:rsid w:val="00197444"/>
    <w:rsid w:val="0019755D"/>
    <w:rsid w:val="001A34F3"/>
    <w:rsid w:val="001A6131"/>
    <w:rsid w:val="001A7C62"/>
    <w:rsid w:val="001B171B"/>
    <w:rsid w:val="001B1735"/>
    <w:rsid w:val="001B3EC5"/>
    <w:rsid w:val="001B65F3"/>
    <w:rsid w:val="001B6CE3"/>
    <w:rsid w:val="001C03A0"/>
    <w:rsid w:val="001C3D51"/>
    <w:rsid w:val="001C6ECA"/>
    <w:rsid w:val="001C78E7"/>
    <w:rsid w:val="001D4748"/>
    <w:rsid w:val="001D4C75"/>
    <w:rsid w:val="001D6279"/>
    <w:rsid w:val="001D6C0F"/>
    <w:rsid w:val="001E69D8"/>
    <w:rsid w:val="001E6A53"/>
    <w:rsid w:val="001E7DDD"/>
    <w:rsid w:val="001F1BA6"/>
    <w:rsid w:val="001F7393"/>
    <w:rsid w:val="001F76E7"/>
    <w:rsid w:val="0020039F"/>
    <w:rsid w:val="00202A19"/>
    <w:rsid w:val="00203A74"/>
    <w:rsid w:val="00204199"/>
    <w:rsid w:val="002067C3"/>
    <w:rsid w:val="002120E1"/>
    <w:rsid w:val="002129B6"/>
    <w:rsid w:val="0021461E"/>
    <w:rsid w:val="0021593A"/>
    <w:rsid w:val="00215C39"/>
    <w:rsid w:val="00216109"/>
    <w:rsid w:val="00217312"/>
    <w:rsid w:val="0022001E"/>
    <w:rsid w:val="00220922"/>
    <w:rsid w:val="00225D67"/>
    <w:rsid w:val="002267CE"/>
    <w:rsid w:val="00227396"/>
    <w:rsid w:val="002345F1"/>
    <w:rsid w:val="00234CA2"/>
    <w:rsid w:val="0023577B"/>
    <w:rsid w:val="00237A14"/>
    <w:rsid w:val="00237A7C"/>
    <w:rsid w:val="00246798"/>
    <w:rsid w:val="002556EC"/>
    <w:rsid w:val="002636ED"/>
    <w:rsid w:val="00264AC7"/>
    <w:rsid w:val="00266675"/>
    <w:rsid w:val="002703ED"/>
    <w:rsid w:val="002703F8"/>
    <w:rsid w:val="00271AF9"/>
    <w:rsid w:val="00285A63"/>
    <w:rsid w:val="00286762"/>
    <w:rsid w:val="002967CE"/>
    <w:rsid w:val="00297306"/>
    <w:rsid w:val="00297E79"/>
    <w:rsid w:val="002A11AD"/>
    <w:rsid w:val="002A3283"/>
    <w:rsid w:val="002A4171"/>
    <w:rsid w:val="002B0731"/>
    <w:rsid w:val="002B1E39"/>
    <w:rsid w:val="002B2897"/>
    <w:rsid w:val="002B3F90"/>
    <w:rsid w:val="002B734E"/>
    <w:rsid w:val="002C195F"/>
    <w:rsid w:val="002C46CB"/>
    <w:rsid w:val="002C48FA"/>
    <w:rsid w:val="002D042C"/>
    <w:rsid w:val="002D4ECA"/>
    <w:rsid w:val="002E1CA5"/>
    <w:rsid w:val="002E328B"/>
    <w:rsid w:val="002E4062"/>
    <w:rsid w:val="002E5C9A"/>
    <w:rsid w:val="002E7E75"/>
    <w:rsid w:val="002F7A01"/>
    <w:rsid w:val="00301A28"/>
    <w:rsid w:val="003028D5"/>
    <w:rsid w:val="003070DB"/>
    <w:rsid w:val="003073D8"/>
    <w:rsid w:val="00307829"/>
    <w:rsid w:val="00312575"/>
    <w:rsid w:val="00313703"/>
    <w:rsid w:val="00314A71"/>
    <w:rsid w:val="00314DE6"/>
    <w:rsid w:val="00315A3E"/>
    <w:rsid w:val="00316280"/>
    <w:rsid w:val="00316EB4"/>
    <w:rsid w:val="003208BA"/>
    <w:rsid w:val="003226A5"/>
    <w:rsid w:val="0032327E"/>
    <w:rsid w:val="003300C6"/>
    <w:rsid w:val="003300EE"/>
    <w:rsid w:val="00330905"/>
    <w:rsid w:val="00330FC4"/>
    <w:rsid w:val="00331608"/>
    <w:rsid w:val="003343CF"/>
    <w:rsid w:val="003354C8"/>
    <w:rsid w:val="00336716"/>
    <w:rsid w:val="00337243"/>
    <w:rsid w:val="00346B52"/>
    <w:rsid w:val="00347D55"/>
    <w:rsid w:val="00351DDE"/>
    <w:rsid w:val="00354F55"/>
    <w:rsid w:val="0036210F"/>
    <w:rsid w:val="00363398"/>
    <w:rsid w:val="0036414E"/>
    <w:rsid w:val="003651A1"/>
    <w:rsid w:val="00367B8E"/>
    <w:rsid w:val="00370B3A"/>
    <w:rsid w:val="003733EE"/>
    <w:rsid w:val="003738E0"/>
    <w:rsid w:val="003741DF"/>
    <w:rsid w:val="00374A00"/>
    <w:rsid w:val="003750DB"/>
    <w:rsid w:val="003759E8"/>
    <w:rsid w:val="00376884"/>
    <w:rsid w:val="00385A23"/>
    <w:rsid w:val="00394D48"/>
    <w:rsid w:val="00397CB0"/>
    <w:rsid w:val="003A079A"/>
    <w:rsid w:val="003A1A59"/>
    <w:rsid w:val="003A32A6"/>
    <w:rsid w:val="003A6A7E"/>
    <w:rsid w:val="003B5631"/>
    <w:rsid w:val="003C6641"/>
    <w:rsid w:val="003C739B"/>
    <w:rsid w:val="003D09DE"/>
    <w:rsid w:val="003D2186"/>
    <w:rsid w:val="003D3C37"/>
    <w:rsid w:val="003D3DAF"/>
    <w:rsid w:val="003E03F4"/>
    <w:rsid w:val="003E15DF"/>
    <w:rsid w:val="003E1ABC"/>
    <w:rsid w:val="003E363C"/>
    <w:rsid w:val="003E42D6"/>
    <w:rsid w:val="003F1176"/>
    <w:rsid w:val="00401B24"/>
    <w:rsid w:val="00402FFA"/>
    <w:rsid w:val="00413901"/>
    <w:rsid w:val="0041486D"/>
    <w:rsid w:val="00414E18"/>
    <w:rsid w:val="00415F60"/>
    <w:rsid w:val="00416ED9"/>
    <w:rsid w:val="0043058E"/>
    <w:rsid w:val="00431D6C"/>
    <w:rsid w:val="00434342"/>
    <w:rsid w:val="00437902"/>
    <w:rsid w:val="00445E84"/>
    <w:rsid w:val="004476A3"/>
    <w:rsid w:val="00447BA7"/>
    <w:rsid w:val="00450051"/>
    <w:rsid w:val="00451428"/>
    <w:rsid w:val="0045177D"/>
    <w:rsid w:val="00454E0D"/>
    <w:rsid w:val="004557B0"/>
    <w:rsid w:val="00457401"/>
    <w:rsid w:val="00460537"/>
    <w:rsid w:val="004639E2"/>
    <w:rsid w:val="004747CA"/>
    <w:rsid w:val="0047571F"/>
    <w:rsid w:val="00477902"/>
    <w:rsid w:val="00480F86"/>
    <w:rsid w:val="00482AB7"/>
    <w:rsid w:val="004836E9"/>
    <w:rsid w:val="004927B6"/>
    <w:rsid w:val="00493260"/>
    <w:rsid w:val="00494396"/>
    <w:rsid w:val="004A0508"/>
    <w:rsid w:val="004A30DB"/>
    <w:rsid w:val="004B0037"/>
    <w:rsid w:val="004B30A1"/>
    <w:rsid w:val="004B4362"/>
    <w:rsid w:val="004B4A5A"/>
    <w:rsid w:val="004B6A2D"/>
    <w:rsid w:val="004C42FC"/>
    <w:rsid w:val="004C61F6"/>
    <w:rsid w:val="004D1262"/>
    <w:rsid w:val="004D1906"/>
    <w:rsid w:val="004D3115"/>
    <w:rsid w:val="004D491F"/>
    <w:rsid w:val="004D59D1"/>
    <w:rsid w:val="004E1110"/>
    <w:rsid w:val="004E26F0"/>
    <w:rsid w:val="004E451D"/>
    <w:rsid w:val="004E4B68"/>
    <w:rsid w:val="004E4E93"/>
    <w:rsid w:val="004E6460"/>
    <w:rsid w:val="004F037A"/>
    <w:rsid w:val="004F1700"/>
    <w:rsid w:val="004F5CFF"/>
    <w:rsid w:val="00503DB5"/>
    <w:rsid w:val="00504A4E"/>
    <w:rsid w:val="00506075"/>
    <w:rsid w:val="00506C10"/>
    <w:rsid w:val="00507348"/>
    <w:rsid w:val="00507A82"/>
    <w:rsid w:val="00507FA7"/>
    <w:rsid w:val="00514808"/>
    <w:rsid w:val="00516CD7"/>
    <w:rsid w:val="005212C2"/>
    <w:rsid w:val="005212C4"/>
    <w:rsid w:val="0052133F"/>
    <w:rsid w:val="00521906"/>
    <w:rsid w:val="00522C34"/>
    <w:rsid w:val="00523BC6"/>
    <w:rsid w:val="00532B9C"/>
    <w:rsid w:val="00534D59"/>
    <w:rsid w:val="00535A0F"/>
    <w:rsid w:val="0054150E"/>
    <w:rsid w:val="00542838"/>
    <w:rsid w:val="00543735"/>
    <w:rsid w:val="00550AED"/>
    <w:rsid w:val="00551D4E"/>
    <w:rsid w:val="00553CAF"/>
    <w:rsid w:val="005545BE"/>
    <w:rsid w:val="005556BE"/>
    <w:rsid w:val="00556240"/>
    <w:rsid w:val="00561BDA"/>
    <w:rsid w:val="00562C92"/>
    <w:rsid w:val="00567CCE"/>
    <w:rsid w:val="005717CE"/>
    <w:rsid w:val="005724DC"/>
    <w:rsid w:val="00572826"/>
    <w:rsid w:val="00575FAE"/>
    <w:rsid w:val="00576A9F"/>
    <w:rsid w:val="00580755"/>
    <w:rsid w:val="00583F6C"/>
    <w:rsid w:val="00584872"/>
    <w:rsid w:val="00584A71"/>
    <w:rsid w:val="00586BFF"/>
    <w:rsid w:val="0059308F"/>
    <w:rsid w:val="0059523C"/>
    <w:rsid w:val="005962C4"/>
    <w:rsid w:val="005A3B30"/>
    <w:rsid w:val="005A5D20"/>
    <w:rsid w:val="005A6B70"/>
    <w:rsid w:val="005A6BCF"/>
    <w:rsid w:val="005B2A38"/>
    <w:rsid w:val="005B3504"/>
    <w:rsid w:val="005B383D"/>
    <w:rsid w:val="005C1259"/>
    <w:rsid w:val="005C3558"/>
    <w:rsid w:val="005C5F85"/>
    <w:rsid w:val="005C7DD5"/>
    <w:rsid w:val="005D07BF"/>
    <w:rsid w:val="005D2D57"/>
    <w:rsid w:val="005D3A0A"/>
    <w:rsid w:val="005D7308"/>
    <w:rsid w:val="005E112B"/>
    <w:rsid w:val="005E25E7"/>
    <w:rsid w:val="005E25EC"/>
    <w:rsid w:val="005E2AB7"/>
    <w:rsid w:val="005E3F8F"/>
    <w:rsid w:val="005E5F2F"/>
    <w:rsid w:val="005E6359"/>
    <w:rsid w:val="005E709D"/>
    <w:rsid w:val="006005C1"/>
    <w:rsid w:val="00605736"/>
    <w:rsid w:val="00614A60"/>
    <w:rsid w:val="00614DC0"/>
    <w:rsid w:val="00615BEE"/>
    <w:rsid w:val="00621550"/>
    <w:rsid w:val="006243C6"/>
    <w:rsid w:val="00624CF3"/>
    <w:rsid w:val="00627859"/>
    <w:rsid w:val="006310EB"/>
    <w:rsid w:val="00632B8B"/>
    <w:rsid w:val="00634B10"/>
    <w:rsid w:val="00635699"/>
    <w:rsid w:val="006363E3"/>
    <w:rsid w:val="00636410"/>
    <w:rsid w:val="006404FC"/>
    <w:rsid w:val="00640A83"/>
    <w:rsid w:val="00650926"/>
    <w:rsid w:val="00665C6C"/>
    <w:rsid w:val="00672C40"/>
    <w:rsid w:val="00680D58"/>
    <w:rsid w:val="0068412C"/>
    <w:rsid w:val="0068490D"/>
    <w:rsid w:val="00685341"/>
    <w:rsid w:val="006853DD"/>
    <w:rsid w:val="00690CCA"/>
    <w:rsid w:val="00690F30"/>
    <w:rsid w:val="006918DD"/>
    <w:rsid w:val="00696FA3"/>
    <w:rsid w:val="00697C2D"/>
    <w:rsid w:val="006A4F7D"/>
    <w:rsid w:val="006B1BDD"/>
    <w:rsid w:val="006B4813"/>
    <w:rsid w:val="006C34CB"/>
    <w:rsid w:val="006C5A79"/>
    <w:rsid w:val="006D0C87"/>
    <w:rsid w:val="006D23FC"/>
    <w:rsid w:val="006D76E4"/>
    <w:rsid w:val="006E2549"/>
    <w:rsid w:val="006E4C50"/>
    <w:rsid w:val="006E6822"/>
    <w:rsid w:val="006F1ACB"/>
    <w:rsid w:val="006F1E8E"/>
    <w:rsid w:val="006F29BA"/>
    <w:rsid w:val="006F2FC8"/>
    <w:rsid w:val="006F52E3"/>
    <w:rsid w:val="006F6F3F"/>
    <w:rsid w:val="007014F1"/>
    <w:rsid w:val="0070241A"/>
    <w:rsid w:val="00702FC0"/>
    <w:rsid w:val="007037FA"/>
    <w:rsid w:val="00704120"/>
    <w:rsid w:val="00704D34"/>
    <w:rsid w:val="00705F4F"/>
    <w:rsid w:val="00706260"/>
    <w:rsid w:val="0070720E"/>
    <w:rsid w:val="00707412"/>
    <w:rsid w:val="007171DF"/>
    <w:rsid w:val="007203FD"/>
    <w:rsid w:val="00721BDE"/>
    <w:rsid w:val="00725C5E"/>
    <w:rsid w:val="00727510"/>
    <w:rsid w:val="007311B2"/>
    <w:rsid w:val="00731235"/>
    <w:rsid w:val="00732B25"/>
    <w:rsid w:val="007343BC"/>
    <w:rsid w:val="0073552E"/>
    <w:rsid w:val="00735868"/>
    <w:rsid w:val="00737C32"/>
    <w:rsid w:val="00744711"/>
    <w:rsid w:val="0075240E"/>
    <w:rsid w:val="00760C67"/>
    <w:rsid w:val="00771E82"/>
    <w:rsid w:val="00775E7A"/>
    <w:rsid w:val="00776BF1"/>
    <w:rsid w:val="0078341B"/>
    <w:rsid w:val="007935F3"/>
    <w:rsid w:val="0079593C"/>
    <w:rsid w:val="007A18B5"/>
    <w:rsid w:val="007A67DE"/>
    <w:rsid w:val="007A683D"/>
    <w:rsid w:val="007A6B50"/>
    <w:rsid w:val="007A6B90"/>
    <w:rsid w:val="007B008A"/>
    <w:rsid w:val="007B3F35"/>
    <w:rsid w:val="007B59CD"/>
    <w:rsid w:val="007B6747"/>
    <w:rsid w:val="007D0FB9"/>
    <w:rsid w:val="007D1567"/>
    <w:rsid w:val="007D7C0B"/>
    <w:rsid w:val="007E1AA4"/>
    <w:rsid w:val="007E1BEE"/>
    <w:rsid w:val="007E2E12"/>
    <w:rsid w:val="007E32EA"/>
    <w:rsid w:val="007E45EB"/>
    <w:rsid w:val="007E61D1"/>
    <w:rsid w:val="007F2892"/>
    <w:rsid w:val="007F4A47"/>
    <w:rsid w:val="007F4B05"/>
    <w:rsid w:val="007F5172"/>
    <w:rsid w:val="007F6C76"/>
    <w:rsid w:val="007F75DC"/>
    <w:rsid w:val="0080109F"/>
    <w:rsid w:val="00806D28"/>
    <w:rsid w:val="00807ADB"/>
    <w:rsid w:val="008120D6"/>
    <w:rsid w:val="00813637"/>
    <w:rsid w:val="00814FCC"/>
    <w:rsid w:val="00817496"/>
    <w:rsid w:val="00817AAE"/>
    <w:rsid w:val="008244D1"/>
    <w:rsid w:val="00824A1E"/>
    <w:rsid w:val="0082520E"/>
    <w:rsid w:val="00827C45"/>
    <w:rsid w:val="00827C4C"/>
    <w:rsid w:val="00827FA3"/>
    <w:rsid w:val="00830EB8"/>
    <w:rsid w:val="00832264"/>
    <w:rsid w:val="00832DB8"/>
    <w:rsid w:val="00835165"/>
    <w:rsid w:val="00835F45"/>
    <w:rsid w:val="00837748"/>
    <w:rsid w:val="00840853"/>
    <w:rsid w:val="0084215B"/>
    <w:rsid w:val="00842B97"/>
    <w:rsid w:val="00850CA7"/>
    <w:rsid w:val="00852BD7"/>
    <w:rsid w:val="00855FB8"/>
    <w:rsid w:val="00863FD7"/>
    <w:rsid w:val="0086411B"/>
    <w:rsid w:val="00864238"/>
    <w:rsid w:val="00876DBD"/>
    <w:rsid w:val="0088435F"/>
    <w:rsid w:val="008844FA"/>
    <w:rsid w:val="0088578D"/>
    <w:rsid w:val="0088585D"/>
    <w:rsid w:val="0089237C"/>
    <w:rsid w:val="00893DAE"/>
    <w:rsid w:val="008957B0"/>
    <w:rsid w:val="00897D22"/>
    <w:rsid w:val="008A2AF9"/>
    <w:rsid w:val="008B1E46"/>
    <w:rsid w:val="008B4CCA"/>
    <w:rsid w:val="008B5C9C"/>
    <w:rsid w:val="008B71C7"/>
    <w:rsid w:val="008D3790"/>
    <w:rsid w:val="008D5F79"/>
    <w:rsid w:val="008E349C"/>
    <w:rsid w:val="008E489D"/>
    <w:rsid w:val="008E5771"/>
    <w:rsid w:val="008F1DDF"/>
    <w:rsid w:val="008F69DC"/>
    <w:rsid w:val="00902096"/>
    <w:rsid w:val="009035AC"/>
    <w:rsid w:val="00904A04"/>
    <w:rsid w:val="009069BA"/>
    <w:rsid w:val="00906B19"/>
    <w:rsid w:val="00906E38"/>
    <w:rsid w:val="00906E67"/>
    <w:rsid w:val="00906EFC"/>
    <w:rsid w:val="00907E27"/>
    <w:rsid w:val="00911B93"/>
    <w:rsid w:val="00912412"/>
    <w:rsid w:val="00912979"/>
    <w:rsid w:val="009138CF"/>
    <w:rsid w:val="00913E3F"/>
    <w:rsid w:val="009158D4"/>
    <w:rsid w:val="009164B3"/>
    <w:rsid w:val="009168D9"/>
    <w:rsid w:val="00916F97"/>
    <w:rsid w:val="00923162"/>
    <w:rsid w:val="009251C5"/>
    <w:rsid w:val="009257B9"/>
    <w:rsid w:val="00932F3D"/>
    <w:rsid w:val="0093312C"/>
    <w:rsid w:val="00933CAA"/>
    <w:rsid w:val="0094114F"/>
    <w:rsid w:val="00944128"/>
    <w:rsid w:val="0094761A"/>
    <w:rsid w:val="00947BCD"/>
    <w:rsid w:val="009507AB"/>
    <w:rsid w:val="00951749"/>
    <w:rsid w:val="00953456"/>
    <w:rsid w:val="00955688"/>
    <w:rsid w:val="0095678E"/>
    <w:rsid w:val="00964C19"/>
    <w:rsid w:val="00965B2F"/>
    <w:rsid w:val="009662BC"/>
    <w:rsid w:val="009667DB"/>
    <w:rsid w:val="009676AA"/>
    <w:rsid w:val="009753F0"/>
    <w:rsid w:val="00977945"/>
    <w:rsid w:val="00985ED3"/>
    <w:rsid w:val="00990D83"/>
    <w:rsid w:val="00990F54"/>
    <w:rsid w:val="00992DFA"/>
    <w:rsid w:val="00993802"/>
    <w:rsid w:val="0099546F"/>
    <w:rsid w:val="00996F31"/>
    <w:rsid w:val="009979FD"/>
    <w:rsid w:val="009A0B08"/>
    <w:rsid w:val="009A57EC"/>
    <w:rsid w:val="009A6ECD"/>
    <w:rsid w:val="009B0D8F"/>
    <w:rsid w:val="009B1577"/>
    <w:rsid w:val="009B3F19"/>
    <w:rsid w:val="009B4CCB"/>
    <w:rsid w:val="009B6D5B"/>
    <w:rsid w:val="009B7BA3"/>
    <w:rsid w:val="009C1572"/>
    <w:rsid w:val="009C212F"/>
    <w:rsid w:val="009C23E6"/>
    <w:rsid w:val="009C51C3"/>
    <w:rsid w:val="009C613A"/>
    <w:rsid w:val="009D5489"/>
    <w:rsid w:val="009D60C2"/>
    <w:rsid w:val="009E223E"/>
    <w:rsid w:val="009E4DF7"/>
    <w:rsid w:val="009E66AF"/>
    <w:rsid w:val="009F0956"/>
    <w:rsid w:val="009F0D87"/>
    <w:rsid w:val="009F1C97"/>
    <w:rsid w:val="009F4796"/>
    <w:rsid w:val="009F4AFF"/>
    <w:rsid w:val="009F72AD"/>
    <w:rsid w:val="00A01D50"/>
    <w:rsid w:val="00A02ADE"/>
    <w:rsid w:val="00A0326D"/>
    <w:rsid w:val="00A0428C"/>
    <w:rsid w:val="00A12EDC"/>
    <w:rsid w:val="00A13E8A"/>
    <w:rsid w:val="00A2044B"/>
    <w:rsid w:val="00A20D61"/>
    <w:rsid w:val="00A214F2"/>
    <w:rsid w:val="00A23584"/>
    <w:rsid w:val="00A30A91"/>
    <w:rsid w:val="00A34123"/>
    <w:rsid w:val="00A41976"/>
    <w:rsid w:val="00A41F18"/>
    <w:rsid w:val="00A43E09"/>
    <w:rsid w:val="00A44B42"/>
    <w:rsid w:val="00A44C13"/>
    <w:rsid w:val="00A46048"/>
    <w:rsid w:val="00A519CC"/>
    <w:rsid w:val="00A53201"/>
    <w:rsid w:val="00A55B4C"/>
    <w:rsid w:val="00A56F18"/>
    <w:rsid w:val="00A57FAB"/>
    <w:rsid w:val="00A61AC1"/>
    <w:rsid w:val="00A63261"/>
    <w:rsid w:val="00A632E6"/>
    <w:rsid w:val="00A64A7B"/>
    <w:rsid w:val="00A66FE3"/>
    <w:rsid w:val="00A72A4A"/>
    <w:rsid w:val="00A73275"/>
    <w:rsid w:val="00A73AA3"/>
    <w:rsid w:val="00A73C7A"/>
    <w:rsid w:val="00A75066"/>
    <w:rsid w:val="00A75910"/>
    <w:rsid w:val="00A77BAE"/>
    <w:rsid w:val="00A82D03"/>
    <w:rsid w:val="00A95415"/>
    <w:rsid w:val="00AA1C81"/>
    <w:rsid w:val="00AA3393"/>
    <w:rsid w:val="00AA6433"/>
    <w:rsid w:val="00AA7D2D"/>
    <w:rsid w:val="00AB0302"/>
    <w:rsid w:val="00AB40B8"/>
    <w:rsid w:val="00AB61E1"/>
    <w:rsid w:val="00AB7BF3"/>
    <w:rsid w:val="00AC2643"/>
    <w:rsid w:val="00AC3E85"/>
    <w:rsid w:val="00AC4DE2"/>
    <w:rsid w:val="00AC5321"/>
    <w:rsid w:val="00AC5406"/>
    <w:rsid w:val="00AC6736"/>
    <w:rsid w:val="00AD0386"/>
    <w:rsid w:val="00AD0A60"/>
    <w:rsid w:val="00AD35B6"/>
    <w:rsid w:val="00AD40EC"/>
    <w:rsid w:val="00AD76EC"/>
    <w:rsid w:val="00AE2756"/>
    <w:rsid w:val="00AE3136"/>
    <w:rsid w:val="00AE5163"/>
    <w:rsid w:val="00AE55DC"/>
    <w:rsid w:val="00AE64BB"/>
    <w:rsid w:val="00AF220B"/>
    <w:rsid w:val="00AF32B7"/>
    <w:rsid w:val="00AF5EB2"/>
    <w:rsid w:val="00B074A9"/>
    <w:rsid w:val="00B10AAD"/>
    <w:rsid w:val="00B122D1"/>
    <w:rsid w:val="00B150CC"/>
    <w:rsid w:val="00B2007F"/>
    <w:rsid w:val="00B21FF4"/>
    <w:rsid w:val="00B238C8"/>
    <w:rsid w:val="00B243DE"/>
    <w:rsid w:val="00B25023"/>
    <w:rsid w:val="00B253EC"/>
    <w:rsid w:val="00B26FEA"/>
    <w:rsid w:val="00B27E55"/>
    <w:rsid w:val="00B46B9A"/>
    <w:rsid w:val="00B5064C"/>
    <w:rsid w:val="00B50900"/>
    <w:rsid w:val="00B5278E"/>
    <w:rsid w:val="00B52A1D"/>
    <w:rsid w:val="00B54097"/>
    <w:rsid w:val="00B55398"/>
    <w:rsid w:val="00B5745A"/>
    <w:rsid w:val="00B57B8A"/>
    <w:rsid w:val="00B6069D"/>
    <w:rsid w:val="00B67AD7"/>
    <w:rsid w:val="00B74F62"/>
    <w:rsid w:val="00B76F0A"/>
    <w:rsid w:val="00B80536"/>
    <w:rsid w:val="00B84513"/>
    <w:rsid w:val="00B8457B"/>
    <w:rsid w:val="00B849AD"/>
    <w:rsid w:val="00B87940"/>
    <w:rsid w:val="00B919BB"/>
    <w:rsid w:val="00B95CB7"/>
    <w:rsid w:val="00B95F58"/>
    <w:rsid w:val="00B96ED0"/>
    <w:rsid w:val="00B97136"/>
    <w:rsid w:val="00B9715A"/>
    <w:rsid w:val="00B976C4"/>
    <w:rsid w:val="00BA12D2"/>
    <w:rsid w:val="00BA157F"/>
    <w:rsid w:val="00BA1B22"/>
    <w:rsid w:val="00BA3C31"/>
    <w:rsid w:val="00BA45B1"/>
    <w:rsid w:val="00BA56EA"/>
    <w:rsid w:val="00BA5A1E"/>
    <w:rsid w:val="00BA6484"/>
    <w:rsid w:val="00BA6D4C"/>
    <w:rsid w:val="00BB3849"/>
    <w:rsid w:val="00BB47C5"/>
    <w:rsid w:val="00BB5969"/>
    <w:rsid w:val="00BC1700"/>
    <w:rsid w:val="00BC2F90"/>
    <w:rsid w:val="00BC3689"/>
    <w:rsid w:val="00BC5BF2"/>
    <w:rsid w:val="00BC5FFF"/>
    <w:rsid w:val="00BC613E"/>
    <w:rsid w:val="00BC7F8A"/>
    <w:rsid w:val="00BD3CEA"/>
    <w:rsid w:val="00BD577F"/>
    <w:rsid w:val="00BE71D3"/>
    <w:rsid w:val="00BF4179"/>
    <w:rsid w:val="00BF596E"/>
    <w:rsid w:val="00C0043C"/>
    <w:rsid w:val="00C01ECC"/>
    <w:rsid w:val="00C027CC"/>
    <w:rsid w:val="00C049EB"/>
    <w:rsid w:val="00C065C5"/>
    <w:rsid w:val="00C06829"/>
    <w:rsid w:val="00C076EC"/>
    <w:rsid w:val="00C100AD"/>
    <w:rsid w:val="00C16C1B"/>
    <w:rsid w:val="00C177A5"/>
    <w:rsid w:val="00C21D6F"/>
    <w:rsid w:val="00C2388F"/>
    <w:rsid w:val="00C251CE"/>
    <w:rsid w:val="00C32B7A"/>
    <w:rsid w:val="00C351E4"/>
    <w:rsid w:val="00C35DF4"/>
    <w:rsid w:val="00C36C73"/>
    <w:rsid w:val="00C421B6"/>
    <w:rsid w:val="00C45E4B"/>
    <w:rsid w:val="00C5022C"/>
    <w:rsid w:val="00C508C1"/>
    <w:rsid w:val="00C511E3"/>
    <w:rsid w:val="00C522C1"/>
    <w:rsid w:val="00C54028"/>
    <w:rsid w:val="00C54267"/>
    <w:rsid w:val="00C573F3"/>
    <w:rsid w:val="00C620DD"/>
    <w:rsid w:val="00C63A38"/>
    <w:rsid w:val="00C71858"/>
    <w:rsid w:val="00C72D09"/>
    <w:rsid w:val="00C76884"/>
    <w:rsid w:val="00C81912"/>
    <w:rsid w:val="00C8585D"/>
    <w:rsid w:val="00C865EB"/>
    <w:rsid w:val="00C94452"/>
    <w:rsid w:val="00C94F51"/>
    <w:rsid w:val="00C955E0"/>
    <w:rsid w:val="00CA67F2"/>
    <w:rsid w:val="00CB1E84"/>
    <w:rsid w:val="00CB308B"/>
    <w:rsid w:val="00CB41D2"/>
    <w:rsid w:val="00CB48DC"/>
    <w:rsid w:val="00CC5F99"/>
    <w:rsid w:val="00CC6366"/>
    <w:rsid w:val="00CC68CA"/>
    <w:rsid w:val="00CD23C8"/>
    <w:rsid w:val="00CE1B22"/>
    <w:rsid w:val="00CE4310"/>
    <w:rsid w:val="00CE4D93"/>
    <w:rsid w:val="00CF14CB"/>
    <w:rsid w:val="00CF1560"/>
    <w:rsid w:val="00CF27A1"/>
    <w:rsid w:val="00CF2811"/>
    <w:rsid w:val="00CF2ED9"/>
    <w:rsid w:val="00CF2F76"/>
    <w:rsid w:val="00CF396F"/>
    <w:rsid w:val="00CF3CD2"/>
    <w:rsid w:val="00CF47BE"/>
    <w:rsid w:val="00D000EC"/>
    <w:rsid w:val="00D01A9B"/>
    <w:rsid w:val="00D02E7F"/>
    <w:rsid w:val="00D05321"/>
    <w:rsid w:val="00D13549"/>
    <w:rsid w:val="00D161C7"/>
    <w:rsid w:val="00D2353A"/>
    <w:rsid w:val="00D316C7"/>
    <w:rsid w:val="00D3319D"/>
    <w:rsid w:val="00D3484D"/>
    <w:rsid w:val="00D35E79"/>
    <w:rsid w:val="00D418C7"/>
    <w:rsid w:val="00D42338"/>
    <w:rsid w:val="00D42A79"/>
    <w:rsid w:val="00D42F50"/>
    <w:rsid w:val="00D453B3"/>
    <w:rsid w:val="00D457E7"/>
    <w:rsid w:val="00D50AB5"/>
    <w:rsid w:val="00D52173"/>
    <w:rsid w:val="00D53546"/>
    <w:rsid w:val="00D617A3"/>
    <w:rsid w:val="00D65D51"/>
    <w:rsid w:val="00D67157"/>
    <w:rsid w:val="00D7091B"/>
    <w:rsid w:val="00D73B4C"/>
    <w:rsid w:val="00D7441E"/>
    <w:rsid w:val="00D77383"/>
    <w:rsid w:val="00D773C7"/>
    <w:rsid w:val="00D805D4"/>
    <w:rsid w:val="00D846B8"/>
    <w:rsid w:val="00D84743"/>
    <w:rsid w:val="00D8613A"/>
    <w:rsid w:val="00D868C4"/>
    <w:rsid w:val="00D903AF"/>
    <w:rsid w:val="00D90F59"/>
    <w:rsid w:val="00D9143C"/>
    <w:rsid w:val="00DA1E5D"/>
    <w:rsid w:val="00DA25EF"/>
    <w:rsid w:val="00DA4A29"/>
    <w:rsid w:val="00DA51BA"/>
    <w:rsid w:val="00DA6C14"/>
    <w:rsid w:val="00DC09C7"/>
    <w:rsid w:val="00DC103C"/>
    <w:rsid w:val="00DC1A76"/>
    <w:rsid w:val="00DD1B05"/>
    <w:rsid w:val="00DD2EFD"/>
    <w:rsid w:val="00DD4C4F"/>
    <w:rsid w:val="00DD4C9F"/>
    <w:rsid w:val="00DD5BDA"/>
    <w:rsid w:val="00DE25B3"/>
    <w:rsid w:val="00DE3B1C"/>
    <w:rsid w:val="00DE40E4"/>
    <w:rsid w:val="00DE44FF"/>
    <w:rsid w:val="00DE4D28"/>
    <w:rsid w:val="00DF3C31"/>
    <w:rsid w:val="00E01326"/>
    <w:rsid w:val="00E01F8E"/>
    <w:rsid w:val="00E04E6B"/>
    <w:rsid w:val="00E14F06"/>
    <w:rsid w:val="00E17D3C"/>
    <w:rsid w:val="00E21DB2"/>
    <w:rsid w:val="00E21EEB"/>
    <w:rsid w:val="00E22F39"/>
    <w:rsid w:val="00E248BB"/>
    <w:rsid w:val="00E275F6"/>
    <w:rsid w:val="00E310A1"/>
    <w:rsid w:val="00E31536"/>
    <w:rsid w:val="00E35AE6"/>
    <w:rsid w:val="00E36E25"/>
    <w:rsid w:val="00E46283"/>
    <w:rsid w:val="00E47B16"/>
    <w:rsid w:val="00E51527"/>
    <w:rsid w:val="00E51D6C"/>
    <w:rsid w:val="00E55CA7"/>
    <w:rsid w:val="00E55E19"/>
    <w:rsid w:val="00E61C9F"/>
    <w:rsid w:val="00E62188"/>
    <w:rsid w:val="00E63D6F"/>
    <w:rsid w:val="00E64F68"/>
    <w:rsid w:val="00E67189"/>
    <w:rsid w:val="00E716D6"/>
    <w:rsid w:val="00E71735"/>
    <w:rsid w:val="00E75990"/>
    <w:rsid w:val="00E77958"/>
    <w:rsid w:val="00E81B9F"/>
    <w:rsid w:val="00E837A1"/>
    <w:rsid w:val="00E83889"/>
    <w:rsid w:val="00E83AF9"/>
    <w:rsid w:val="00E83BC1"/>
    <w:rsid w:val="00E84353"/>
    <w:rsid w:val="00E8533C"/>
    <w:rsid w:val="00E863AF"/>
    <w:rsid w:val="00E868B6"/>
    <w:rsid w:val="00E86ED2"/>
    <w:rsid w:val="00E87879"/>
    <w:rsid w:val="00E87BAC"/>
    <w:rsid w:val="00E90175"/>
    <w:rsid w:val="00E902A4"/>
    <w:rsid w:val="00E902A6"/>
    <w:rsid w:val="00EB54DE"/>
    <w:rsid w:val="00EB68AB"/>
    <w:rsid w:val="00EB6A49"/>
    <w:rsid w:val="00EB764A"/>
    <w:rsid w:val="00EC166C"/>
    <w:rsid w:val="00EC4AC3"/>
    <w:rsid w:val="00EC4F93"/>
    <w:rsid w:val="00EC6334"/>
    <w:rsid w:val="00ED1DC2"/>
    <w:rsid w:val="00ED2FDB"/>
    <w:rsid w:val="00ED46D0"/>
    <w:rsid w:val="00ED4D98"/>
    <w:rsid w:val="00ED565B"/>
    <w:rsid w:val="00ED661A"/>
    <w:rsid w:val="00ED7A68"/>
    <w:rsid w:val="00EE4440"/>
    <w:rsid w:val="00EE6D41"/>
    <w:rsid w:val="00EE6DF7"/>
    <w:rsid w:val="00EE6F14"/>
    <w:rsid w:val="00F148EA"/>
    <w:rsid w:val="00F1691A"/>
    <w:rsid w:val="00F20C27"/>
    <w:rsid w:val="00F24508"/>
    <w:rsid w:val="00F2458F"/>
    <w:rsid w:val="00F269E0"/>
    <w:rsid w:val="00F26E4F"/>
    <w:rsid w:val="00F26FBC"/>
    <w:rsid w:val="00F308BA"/>
    <w:rsid w:val="00F30F2E"/>
    <w:rsid w:val="00F32C53"/>
    <w:rsid w:val="00F32E93"/>
    <w:rsid w:val="00F3325B"/>
    <w:rsid w:val="00F42037"/>
    <w:rsid w:val="00F43258"/>
    <w:rsid w:val="00F43C59"/>
    <w:rsid w:val="00F504BB"/>
    <w:rsid w:val="00F54847"/>
    <w:rsid w:val="00F55083"/>
    <w:rsid w:val="00F61ABF"/>
    <w:rsid w:val="00F62521"/>
    <w:rsid w:val="00F63291"/>
    <w:rsid w:val="00F6393F"/>
    <w:rsid w:val="00F67E3B"/>
    <w:rsid w:val="00F75689"/>
    <w:rsid w:val="00F75A68"/>
    <w:rsid w:val="00F77320"/>
    <w:rsid w:val="00F81882"/>
    <w:rsid w:val="00F8248A"/>
    <w:rsid w:val="00F86D38"/>
    <w:rsid w:val="00F93F50"/>
    <w:rsid w:val="00F94479"/>
    <w:rsid w:val="00F95A37"/>
    <w:rsid w:val="00F95AC4"/>
    <w:rsid w:val="00FA3199"/>
    <w:rsid w:val="00FA3562"/>
    <w:rsid w:val="00FA3653"/>
    <w:rsid w:val="00FA4264"/>
    <w:rsid w:val="00FA456D"/>
    <w:rsid w:val="00FA7624"/>
    <w:rsid w:val="00FB0145"/>
    <w:rsid w:val="00FB01D1"/>
    <w:rsid w:val="00FB6C34"/>
    <w:rsid w:val="00FB7E82"/>
    <w:rsid w:val="00FC0553"/>
    <w:rsid w:val="00FC1AB5"/>
    <w:rsid w:val="00FC5AC5"/>
    <w:rsid w:val="00FC6E32"/>
    <w:rsid w:val="00FD14A7"/>
    <w:rsid w:val="00FD2E8E"/>
    <w:rsid w:val="00FD70DB"/>
    <w:rsid w:val="00FE0947"/>
    <w:rsid w:val="00FE31E8"/>
    <w:rsid w:val="00FE45BA"/>
    <w:rsid w:val="00FE5A31"/>
    <w:rsid w:val="00FE6AA7"/>
    <w:rsid w:val="00FE6B0B"/>
    <w:rsid w:val="00FF1086"/>
    <w:rsid w:val="00FF1FF8"/>
    <w:rsid w:val="00FF5A28"/>
    <w:rsid w:val="00FF658A"/>
    <w:rsid w:val="00FF7B67"/>
    <w:rsid w:val="014E2E85"/>
    <w:rsid w:val="015D404C"/>
    <w:rsid w:val="016B3CA6"/>
    <w:rsid w:val="0178340B"/>
    <w:rsid w:val="01B55201"/>
    <w:rsid w:val="01CD7511"/>
    <w:rsid w:val="022E6D4C"/>
    <w:rsid w:val="02317836"/>
    <w:rsid w:val="023A425A"/>
    <w:rsid w:val="02413EDA"/>
    <w:rsid w:val="02430B2B"/>
    <w:rsid w:val="02461D0A"/>
    <w:rsid w:val="028D3D23"/>
    <w:rsid w:val="02967657"/>
    <w:rsid w:val="02A20EE6"/>
    <w:rsid w:val="02D94B26"/>
    <w:rsid w:val="02E836CB"/>
    <w:rsid w:val="02EC61A5"/>
    <w:rsid w:val="02FF01F9"/>
    <w:rsid w:val="0310140E"/>
    <w:rsid w:val="03386882"/>
    <w:rsid w:val="034053A0"/>
    <w:rsid w:val="034A4C13"/>
    <w:rsid w:val="03797367"/>
    <w:rsid w:val="039327D6"/>
    <w:rsid w:val="03C93DE4"/>
    <w:rsid w:val="03CF276F"/>
    <w:rsid w:val="03E219EE"/>
    <w:rsid w:val="03F8144F"/>
    <w:rsid w:val="03FE0DCE"/>
    <w:rsid w:val="03FE7515"/>
    <w:rsid w:val="04104985"/>
    <w:rsid w:val="042716ED"/>
    <w:rsid w:val="044D64AC"/>
    <w:rsid w:val="045451B7"/>
    <w:rsid w:val="045E20AA"/>
    <w:rsid w:val="04AA07F7"/>
    <w:rsid w:val="04D131E5"/>
    <w:rsid w:val="04D332DA"/>
    <w:rsid w:val="05052E25"/>
    <w:rsid w:val="053112AC"/>
    <w:rsid w:val="0557499A"/>
    <w:rsid w:val="05650B26"/>
    <w:rsid w:val="05A95255"/>
    <w:rsid w:val="05AF103D"/>
    <w:rsid w:val="05BA5054"/>
    <w:rsid w:val="05DE2191"/>
    <w:rsid w:val="05EF57BD"/>
    <w:rsid w:val="060F6F5B"/>
    <w:rsid w:val="062126EF"/>
    <w:rsid w:val="0662250D"/>
    <w:rsid w:val="069756C9"/>
    <w:rsid w:val="06A92F28"/>
    <w:rsid w:val="06C93B0D"/>
    <w:rsid w:val="06EA41D2"/>
    <w:rsid w:val="06F82B78"/>
    <w:rsid w:val="071340FA"/>
    <w:rsid w:val="072E42E3"/>
    <w:rsid w:val="076C6FB7"/>
    <w:rsid w:val="07AE5D26"/>
    <w:rsid w:val="07D729CE"/>
    <w:rsid w:val="07DE6C1B"/>
    <w:rsid w:val="07E32A26"/>
    <w:rsid w:val="07FB31AA"/>
    <w:rsid w:val="08110D5F"/>
    <w:rsid w:val="08404482"/>
    <w:rsid w:val="08484C90"/>
    <w:rsid w:val="08680C8A"/>
    <w:rsid w:val="0894460D"/>
    <w:rsid w:val="08A1103E"/>
    <w:rsid w:val="08AD349A"/>
    <w:rsid w:val="08B756C0"/>
    <w:rsid w:val="08CA5E8E"/>
    <w:rsid w:val="08E541DE"/>
    <w:rsid w:val="08F12495"/>
    <w:rsid w:val="08F25ADB"/>
    <w:rsid w:val="09067486"/>
    <w:rsid w:val="093749F8"/>
    <w:rsid w:val="093E116A"/>
    <w:rsid w:val="095247AA"/>
    <w:rsid w:val="0968446C"/>
    <w:rsid w:val="09880AD8"/>
    <w:rsid w:val="09B23F1D"/>
    <w:rsid w:val="09E127BA"/>
    <w:rsid w:val="09FC6205"/>
    <w:rsid w:val="0A353553"/>
    <w:rsid w:val="0AA5328F"/>
    <w:rsid w:val="0AAD5F6D"/>
    <w:rsid w:val="0AE65BC8"/>
    <w:rsid w:val="0AF10EF9"/>
    <w:rsid w:val="0B0037FF"/>
    <w:rsid w:val="0B013BD1"/>
    <w:rsid w:val="0B134589"/>
    <w:rsid w:val="0B1A0512"/>
    <w:rsid w:val="0B443B5A"/>
    <w:rsid w:val="0B4B09AA"/>
    <w:rsid w:val="0B502ED7"/>
    <w:rsid w:val="0B7B1C81"/>
    <w:rsid w:val="0B7E48FD"/>
    <w:rsid w:val="0BC33169"/>
    <w:rsid w:val="0BC41155"/>
    <w:rsid w:val="0BEF2F56"/>
    <w:rsid w:val="0BFB0153"/>
    <w:rsid w:val="0C030754"/>
    <w:rsid w:val="0C556782"/>
    <w:rsid w:val="0CA00E3D"/>
    <w:rsid w:val="0CFC2EE8"/>
    <w:rsid w:val="0D154AAE"/>
    <w:rsid w:val="0D161EA6"/>
    <w:rsid w:val="0D1E293E"/>
    <w:rsid w:val="0D417D41"/>
    <w:rsid w:val="0D5B72FA"/>
    <w:rsid w:val="0D954675"/>
    <w:rsid w:val="0E2F068D"/>
    <w:rsid w:val="0E545AFA"/>
    <w:rsid w:val="0E711104"/>
    <w:rsid w:val="0E746EA7"/>
    <w:rsid w:val="0E7840C0"/>
    <w:rsid w:val="0E7C3468"/>
    <w:rsid w:val="0E8A2DA6"/>
    <w:rsid w:val="0F4628FA"/>
    <w:rsid w:val="0F542DC7"/>
    <w:rsid w:val="0F594D76"/>
    <w:rsid w:val="0F7439E1"/>
    <w:rsid w:val="0F7909EA"/>
    <w:rsid w:val="0F8845FF"/>
    <w:rsid w:val="0F9B2B5E"/>
    <w:rsid w:val="0FB34829"/>
    <w:rsid w:val="0FBF4AFD"/>
    <w:rsid w:val="0FCB20E9"/>
    <w:rsid w:val="0FD13773"/>
    <w:rsid w:val="0FF24AF1"/>
    <w:rsid w:val="0FFD5B1D"/>
    <w:rsid w:val="1000236E"/>
    <w:rsid w:val="10535E24"/>
    <w:rsid w:val="105B51DC"/>
    <w:rsid w:val="10784503"/>
    <w:rsid w:val="10AC44B6"/>
    <w:rsid w:val="10B02E63"/>
    <w:rsid w:val="10C14D02"/>
    <w:rsid w:val="10C30DD6"/>
    <w:rsid w:val="10D637A4"/>
    <w:rsid w:val="113A30DB"/>
    <w:rsid w:val="113F67BF"/>
    <w:rsid w:val="11437209"/>
    <w:rsid w:val="114C1021"/>
    <w:rsid w:val="119C617B"/>
    <w:rsid w:val="11B24E3D"/>
    <w:rsid w:val="11C22947"/>
    <w:rsid w:val="11C96F3F"/>
    <w:rsid w:val="11EF02D6"/>
    <w:rsid w:val="12091138"/>
    <w:rsid w:val="120E4215"/>
    <w:rsid w:val="12252197"/>
    <w:rsid w:val="124F7D66"/>
    <w:rsid w:val="12843821"/>
    <w:rsid w:val="129C5457"/>
    <w:rsid w:val="12C853FC"/>
    <w:rsid w:val="12EA4DF1"/>
    <w:rsid w:val="12FF612F"/>
    <w:rsid w:val="1308440F"/>
    <w:rsid w:val="13404493"/>
    <w:rsid w:val="135607B7"/>
    <w:rsid w:val="13B37B42"/>
    <w:rsid w:val="13B6593C"/>
    <w:rsid w:val="13BB5EEE"/>
    <w:rsid w:val="13D0618E"/>
    <w:rsid w:val="13D72E28"/>
    <w:rsid w:val="14122513"/>
    <w:rsid w:val="144B74A1"/>
    <w:rsid w:val="14537884"/>
    <w:rsid w:val="14593BBF"/>
    <w:rsid w:val="148970AE"/>
    <w:rsid w:val="148F0D11"/>
    <w:rsid w:val="14B538EB"/>
    <w:rsid w:val="14CE6CAD"/>
    <w:rsid w:val="14D56C28"/>
    <w:rsid w:val="14EF424A"/>
    <w:rsid w:val="1516763A"/>
    <w:rsid w:val="151C338A"/>
    <w:rsid w:val="15493997"/>
    <w:rsid w:val="155270A5"/>
    <w:rsid w:val="155F25B7"/>
    <w:rsid w:val="1565002B"/>
    <w:rsid w:val="15764134"/>
    <w:rsid w:val="15CA3A84"/>
    <w:rsid w:val="15E45DCF"/>
    <w:rsid w:val="15FB5013"/>
    <w:rsid w:val="164973BC"/>
    <w:rsid w:val="164A629B"/>
    <w:rsid w:val="167236B1"/>
    <w:rsid w:val="16A67E6D"/>
    <w:rsid w:val="16B903F1"/>
    <w:rsid w:val="16D229E9"/>
    <w:rsid w:val="16DC282A"/>
    <w:rsid w:val="173D66F2"/>
    <w:rsid w:val="17430389"/>
    <w:rsid w:val="175442C4"/>
    <w:rsid w:val="175C0959"/>
    <w:rsid w:val="17694069"/>
    <w:rsid w:val="176E4294"/>
    <w:rsid w:val="177143F1"/>
    <w:rsid w:val="177941D0"/>
    <w:rsid w:val="17AD3734"/>
    <w:rsid w:val="17AD7718"/>
    <w:rsid w:val="17DC532F"/>
    <w:rsid w:val="17E33F38"/>
    <w:rsid w:val="17E858DF"/>
    <w:rsid w:val="17EF566D"/>
    <w:rsid w:val="186359D8"/>
    <w:rsid w:val="186E548D"/>
    <w:rsid w:val="187947EE"/>
    <w:rsid w:val="18800267"/>
    <w:rsid w:val="18E27E46"/>
    <w:rsid w:val="18EC3008"/>
    <w:rsid w:val="18F4372F"/>
    <w:rsid w:val="18F93885"/>
    <w:rsid w:val="190B3F4D"/>
    <w:rsid w:val="19201D08"/>
    <w:rsid w:val="19237A10"/>
    <w:rsid w:val="196659D9"/>
    <w:rsid w:val="19731B79"/>
    <w:rsid w:val="198122A9"/>
    <w:rsid w:val="19951777"/>
    <w:rsid w:val="19990732"/>
    <w:rsid w:val="19CD112C"/>
    <w:rsid w:val="19DA2B3D"/>
    <w:rsid w:val="19EE3608"/>
    <w:rsid w:val="19F403C6"/>
    <w:rsid w:val="19FD3FF2"/>
    <w:rsid w:val="1A024AC4"/>
    <w:rsid w:val="1A4B679D"/>
    <w:rsid w:val="1A9759BA"/>
    <w:rsid w:val="1AA57B5F"/>
    <w:rsid w:val="1ACE6C96"/>
    <w:rsid w:val="1B003F95"/>
    <w:rsid w:val="1B1B0BBF"/>
    <w:rsid w:val="1B260840"/>
    <w:rsid w:val="1B2721FB"/>
    <w:rsid w:val="1B2A6089"/>
    <w:rsid w:val="1B2F566F"/>
    <w:rsid w:val="1B3D298F"/>
    <w:rsid w:val="1B67421D"/>
    <w:rsid w:val="1B7F4CC1"/>
    <w:rsid w:val="1B8E24F5"/>
    <w:rsid w:val="1B9845A6"/>
    <w:rsid w:val="1BD22BA4"/>
    <w:rsid w:val="1BE761D2"/>
    <w:rsid w:val="1C0950E5"/>
    <w:rsid w:val="1C1D195D"/>
    <w:rsid w:val="1C1F5E41"/>
    <w:rsid w:val="1C2407D2"/>
    <w:rsid w:val="1C392717"/>
    <w:rsid w:val="1C522081"/>
    <w:rsid w:val="1C625ADA"/>
    <w:rsid w:val="1CC125D0"/>
    <w:rsid w:val="1CFC4FA1"/>
    <w:rsid w:val="1D1A7B5E"/>
    <w:rsid w:val="1D314742"/>
    <w:rsid w:val="1D60242D"/>
    <w:rsid w:val="1DB73C31"/>
    <w:rsid w:val="1DDE4865"/>
    <w:rsid w:val="1E316915"/>
    <w:rsid w:val="1E3B7996"/>
    <w:rsid w:val="1E5006DD"/>
    <w:rsid w:val="1E626810"/>
    <w:rsid w:val="1E77133B"/>
    <w:rsid w:val="1E7C1444"/>
    <w:rsid w:val="1E7D4154"/>
    <w:rsid w:val="1EAC6734"/>
    <w:rsid w:val="1EB360CF"/>
    <w:rsid w:val="1ECD0004"/>
    <w:rsid w:val="1EDE0AA2"/>
    <w:rsid w:val="1EE44777"/>
    <w:rsid w:val="1F057771"/>
    <w:rsid w:val="1F3A1F0D"/>
    <w:rsid w:val="1F4F2CDB"/>
    <w:rsid w:val="1F515A41"/>
    <w:rsid w:val="1F612C70"/>
    <w:rsid w:val="1F773899"/>
    <w:rsid w:val="1F863DB0"/>
    <w:rsid w:val="1FA20A5A"/>
    <w:rsid w:val="1FDB5C8D"/>
    <w:rsid w:val="1FF27915"/>
    <w:rsid w:val="1FF314D8"/>
    <w:rsid w:val="201B3466"/>
    <w:rsid w:val="202A6CAB"/>
    <w:rsid w:val="208E2D86"/>
    <w:rsid w:val="20A41BDD"/>
    <w:rsid w:val="20FB6B7F"/>
    <w:rsid w:val="21240B75"/>
    <w:rsid w:val="21274B8C"/>
    <w:rsid w:val="21320020"/>
    <w:rsid w:val="21354379"/>
    <w:rsid w:val="21432F64"/>
    <w:rsid w:val="214D230E"/>
    <w:rsid w:val="21927F51"/>
    <w:rsid w:val="21C203C7"/>
    <w:rsid w:val="21D218F6"/>
    <w:rsid w:val="21EE38EF"/>
    <w:rsid w:val="21F35B7F"/>
    <w:rsid w:val="22473824"/>
    <w:rsid w:val="224A72AF"/>
    <w:rsid w:val="225223EF"/>
    <w:rsid w:val="225243AA"/>
    <w:rsid w:val="22547760"/>
    <w:rsid w:val="22700ECC"/>
    <w:rsid w:val="22723839"/>
    <w:rsid w:val="227436F4"/>
    <w:rsid w:val="227C659F"/>
    <w:rsid w:val="229E0110"/>
    <w:rsid w:val="22AD05E4"/>
    <w:rsid w:val="22C008B6"/>
    <w:rsid w:val="22CC3602"/>
    <w:rsid w:val="22D24C57"/>
    <w:rsid w:val="22ED3802"/>
    <w:rsid w:val="230B6C59"/>
    <w:rsid w:val="23B00B6B"/>
    <w:rsid w:val="23BD0A11"/>
    <w:rsid w:val="23C823BC"/>
    <w:rsid w:val="23E53AEE"/>
    <w:rsid w:val="24057464"/>
    <w:rsid w:val="24083F81"/>
    <w:rsid w:val="244F55CB"/>
    <w:rsid w:val="248555FD"/>
    <w:rsid w:val="24A42D4D"/>
    <w:rsid w:val="24C7382C"/>
    <w:rsid w:val="24D34D10"/>
    <w:rsid w:val="24F3261C"/>
    <w:rsid w:val="24F46692"/>
    <w:rsid w:val="25014A25"/>
    <w:rsid w:val="254507E9"/>
    <w:rsid w:val="257E30B7"/>
    <w:rsid w:val="25CB6313"/>
    <w:rsid w:val="25D57113"/>
    <w:rsid w:val="25E54982"/>
    <w:rsid w:val="25EB3462"/>
    <w:rsid w:val="263B69FA"/>
    <w:rsid w:val="263C5A0B"/>
    <w:rsid w:val="26607ED1"/>
    <w:rsid w:val="266B71A0"/>
    <w:rsid w:val="269D7C54"/>
    <w:rsid w:val="26AD1445"/>
    <w:rsid w:val="26D60601"/>
    <w:rsid w:val="26E51EF5"/>
    <w:rsid w:val="26FE01DA"/>
    <w:rsid w:val="27A2224D"/>
    <w:rsid w:val="27BC0CDE"/>
    <w:rsid w:val="27E50CA8"/>
    <w:rsid w:val="27E948ED"/>
    <w:rsid w:val="28012834"/>
    <w:rsid w:val="28017784"/>
    <w:rsid w:val="285A52C3"/>
    <w:rsid w:val="287508A2"/>
    <w:rsid w:val="287F157E"/>
    <w:rsid w:val="28955618"/>
    <w:rsid w:val="28A139E0"/>
    <w:rsid w:val="28D41922"/>
    <w:rsid w:val="28DD78F7"/>
    <w:rsid w:val="28DF5F92"/>
    <w:rsid w:val="29031F65"/>
    <w:rsid w:val="29291736"/>
    <w:rsid w:val="294411F8"/>
    <w:rsid w:val="29521644"/>
    <w:rsid w:val="29986DA9"/>
    <w:rsid w:val="29CC726F"/>
    <w:rsid w:val="29D5537D"/>
    <w:rsid w:val="29EB158B"/>
    <w:rsid w:val="2A26417E"/>
    <w:rsid w:val="2A304D9F"/>
    <w:rsid w:val="2A3360DB"/>
    <w:rsid w:val="2A491D72"/>
    <w:rsid w:val="2A634A21"/>
    <w:rsid w:val="2A6F7B63"/>
    <w:rsid w:val="2A8E2E5D"/>
    <w:rsid w:val="2A9905A2"/>
    <w:rsid w:val="2AA14B6D"/>
    <w:rsid w:val="2AA71E03"/>
    <w:rsid w:val="2AD02892"/>
    <w:rsid w:val="2AED414D"/>
    <w:rsid w:val="2B2D5991"/>
    <w:rsid w:val="2B7A199A"/>
    <w:rsid w:val="2B812B85"/>
    <w:rsid w:val="2B86149B"/>
    <w:rsid w:val="2BA56218"/>
    <w:rsid w:val="2BB97180"/>
    <w:rsid w:val="2C1A76C8"/>
    <w:rsid w:val="2C5300D5"/>
    <w:rsid w:val="2C5F3F9C"/>
    <w:rsid w:val="2C840F94"/>
    <w:rsid w:val="2C925684"/>
    <w:rsid w:val="2CBB3F8E"/>
    <w:rsid w:val="2CF429B8"/>
    <w:rsid w:val="2D111729"/>
    <w:rsid w:val="2D2540F2"/>
    <w:rsid w:val="2D2864D4"/>
    <w:rsid w:val="2D3B2EA5"/>
    <w:rsid w:val="2D6405B3"/>
    <w:rsid w:val="2D6A35EE"/>
    <w:rsid w:val="2D6F1C24"/>
    <w:rsid w:val="2D7D20F5"/>
    <w:rsid w:val="2DAA40C0"/>
    <w:rsid w:val="2DCB70C9"/>
    <w:rsid w:val="2DD32383"/>
    <w:rsid w:val="2DE50909"/>
    <w:rsid w:val="2E074350"/>
    <w:rsid w:val="2E130D88"/>
    <w:rsid w:val="2E520DDC"/>
    <w:rsid w:val="2E6F2442"/>
    <w:rsid w:val="2E8D1750"/>
    <w:rsid w:val="2E917FC7"/>
    <w:rsid w:val="2EA11FF9"/>
    <w:rsid w:val="2EA724C0"/>
    <w:rsid w:val="2EB1759E"/>
    <w:rsid w:val="2EB90498"/>
    <w:rsid w:val="2ED06B3A"/>
    <w:rsid w:val="2EE72320"/>
    <w:rsid w:val="2EE8455C"/>
    <w:rsid w:val="2F051595"/>
    <w:rsid w:val="2F2B3BBA"/>
    <w:rsid w:val="2F3B75E1"/>
    <w:rsid w:val="2F556E64"/>
    <w:rsid w:val="2FC414F3"/>
    <w:rsid w:val="2FC506C2"/>
    <w:rsid w:val="2FE60929"/>
    <w:rsid w:val="2FF058D0"/>
    <w:rsid w:val="303815F7"/>
    <w:rsid w:val="304911C9"/>
    <w:rsid w:val="304D1B3B"/>
    <w:rsid w:val="308B2FC0"/>
    <w:rsid w:val="30A37AA3"/>
    <w:rsid w:val="30D0752A"/>
    <w:rsid w:val="30D70117"/>
    <w:rsid w:val="30D8470A"/>
    <w:rsid w:val="30E42F09"/>
    <w:rsid w:val="310F427D"/>
    <w:rsid w:val="311B7D55"/>
    <w:rsid w:val="31274B61"/>
    <w:rsid w:val="31292EFD"/>
    <w:rsid w:val="314B29C9"/>
    <w:rsid w:val="316626E3"/>
    <w:rsid w:val="31922776"/>
    <w:rsid w:val="31B441AF"/>
    <w:rsid w:val="31CA5A33"/>
    <w:rsid w:val="31E36769"/>
    <w:rsid w:val="3233535A"/>
    <w:rsid w:val="32381309"/>
    <w:rsid w:val="326474DA"/>
    <w:rsid w:val="327A6488"/>
    <w:rsid w:val="32817D88"/>
    <w:rsid w:val="32A81084"/>
    <w:rsid w:val="32AA603B"/>
    <w:rsid w:val="32D70991"/>
    <w:rsid w:val="32F535F5"/>
    <w:rsid w:val="33016458"/>
    <w:rsid w:val="33060E4C"/>
    <w:rsid w:val="33200F4F"/>
    <w:rsid w:val="33564AB2"/>
    <w:rsid w:val="339E6C88"/>
    <w:rsid w:val="33B2679E"/>
    <w:rsid w:val="33D36B9A"/>
    <w:rsid w:val="33DC14FA"/>
    <w:rsid w:val="34022683"/>
    <w:rsid w:val="341C3972"/>
    <w:rsid w:val="3446360A"/>
    <w:rsid w:val="34533BEE"/>
    <w:rsid w:val="345859F0"/>
    <w:rsid w:val="346336DD"/>
    <w:rsid w:val="34B346C3"/>
    <w:rsid w:val="34F34C56"/>
    <w:rsid w:val="3517036E"/>
    <w:rsid w:val="35300F78"/>
    <w:rsid w:val="3558075F"/>
    <w:rsid w:val="35780F77"/>
    <w:rsid w:val="357A5788"/>
    <w:rsid w:val="357B2FAF"/>
    <w:rsid w:val="35A67BFC"/>
    <w:rsid w:val="35A876A1"/>
    <w:rsid w:val="35AD5F35"/>
    <w:rsid w:val="35C50183"/>
    <w:rsid w:val="35EC2159"/>
    <w:rsid w:val="35F114A2"/>
    <w:rsid w:val="360308BC"/>
    <w:rsid w:val="36147632"/>
    <w:rsid w:val="364D0EC0"/>
    <w:rsid w:val="36530971"/>
    <w:rsid w:val="36561BAE"/>
    <w:rsid w:val="36610C56"/>
    <w:rsid w:val="366B24CA"/>
    <w:rsid w:val="36951B8D"/>
    <w:rsid w:val="36A8145F"/>
    <w:rsid w:val="36DD69F4"/>
    <w:rsid w:val="37133678"/>
    <w:rsid w:val="3728410F"/>
    <w:rsid w:val="376916D4"/>
    <w:rsid w:val="376D4076"/>
    <w:rsid w:val="376E6E4C"/>
    <w:rsid w:val="37806B15"/>
    <w:rsid w:val="379F4ECC"/>
    <w:rsid w:val="37E43FA4"/>
    <w:rsid w:val="38095396"/>
    <w:rsid w:val="3816397A"/>
    <w:rsid w:val="38351306"/>
    <w:rsid w:val="383E2875"/>
    <w:rsid w:val="385666E5"/>
    <w:rsid w:val="38847839"/>
    <w:rsid w:val="389B40D1"/>
    <w:rsid w:val="38A27BCA"/>
    <w:rsid w:val="38AD0ACD"/>
    <w:rsid w:val="38C7007B"/>
    <w:rsid w:val="38DB70E7"/>
    <w:rsid w:val="38E42223"/>
    <w:rsid w:val="38E7021B"/>
    <w:rsid w:val="38FC22BD"/>
    <w:rsid w:val="39172BE0"/>
    <w:rsid w:val="391E6375"/>
    <w:rsid w:val="39202A58"/>
    <w:rsid w:val="39392ABC"/>
    <w:rsid w:val="394D32FB"/>
    <w:rsid w:val="39BD163F"/>
    <w:rsid w:val="39C278E6"/>
    <w:rsid w:val="39C643B9"/>
    <w:rsid w:val="39E44C3D"/>
    <w:rsid w:val="39E45F4A"/>
    <w:rsid w:val="39E73097"/>
    <w:rsid w:val="3A104D6D"/>
    <w:rsid w:val="3A3827C5"/>
    <w:rsid w:val="3A6746EC"/>
    <w:rsid w:val="3A7D1C34"/>
    <w:rsid w:val="3A8D1522"/>
    <w:rsid w:val="3A915AD0"/>
    <w:rsid w:val="3A9264EB"/>
    <w:rsid w:val="3AB47E17"/>
    <w:rsid w:val="3ABF774F"/>
    <w:rsid w:val="3AC1651A"/>
    <w:rsid w:val="3AD14E8A"/>
    <w:rsid w:val="3AD16F1E"/>
    <w:rsid w:val="3AF545DF"/>
    <w:rsid w:val="3AFB05CE"/>
    <w:rsid w:val="3B192EFF"/>
    <w:rsid w:val="3B3F00FE"/>
    <w:rsid w:val="3B511B23"/>
    <w:rsid w:val="3BA93B16"/>
    <w:rsid w:val="3BC71655"/>
    <w:rsid w:val="3BC96FFE"/>
    <w:rsid w:val="3BCE25E6"/>
    <w:rsid w:val="3C085B4E"/>
    <w:rsid w:val="3C0F295B"/>
    <w:rsid w:val="3C1B106D"/>
    <w:rsid w:val="3C22183D"/>
    <w:rsid w:val="3C5D7C20"/>
    <w:rsid w:val="3C6F5B49"/>
    <w:rsid w:val="3C8A3F06"/>
    <w:rsid w:val="3C9278F9"/>
    <w:rsid w:val="3CE10C9A"/>
    <w:rsid w:val="3CE360C2"/>
    <w:rsid w:val="3CEA2ACF"/>
    <w:rsid w:val="3D0C77C5"/>
    <w:rsid w:val="3D0F6B72"/>
    <w:rsid w:val="3D177406"/>
    <w:rsid w:val="3D223819"/>
    <w:rsid w:val="3D48523F"/>
    <w:rsid w:val="3D5D6F35"/>
    <w:rsid w:val="3D8B06B4"/>
    <w:rsid w:val="3DA97210"/>
    <w:rsid w:val="3DC46A40"/>
    <w:rsid w:val="3DDF4E96"/>
    <w:rsid w:val="3E0E3745"/>
    <w:rsid w:val="3E66679D"/>
    <w:rsid w:val="3E7A0654"/>
    <w:rsid w:val="3E900B26"/>
    <w:rsid w:val="3E983572"/>
    <w:rsid w:val="3EBD4315"/>
    <w:rsid w:val="3EE62806"/>
    <w:rsid w:val="3EF04A46"/>
    <w:rsid w:val="3F0C3653"/>
    <w:rsid w:val="3F3618F0"/>
    <w:rsid w:val="3F5129F4"/>
    <w:rsid w:val="3F84444A"/>
    <w:rsid w:val="3FC14E74"/>
    <w:rsid w:val="3FCE61D4"/>
    <w:rsid w:val="3FE14054"/>
    <w:rsid w:val="402552E5"/>
    <w:rsid w:val="40275E65"/>
    <w:rsid w:val="4030360B"/>
    <w:rsid w:val="403B5BF5"/>
    <w:rsid w:val="403C7C0C"/>
    <w:rsid w:val="404A6865"/>
    <w:rsid w:val="40731D0B"/>
    <w:rsid w:val="40951536"/>
    <w:rsid w:val="40A1083C"/>
    <w:rsid w:val="40BD25B1"/>
    <w:rsid w:val="40D45B50"/>
    <w:rsid w:val="40E82D7E"/>
    <w:rsid w:val="410C388D"/>
    <w:rsid w:val="41110BED"/>
    <w:rsid w:val="41540A99"/>
    <w:rsid w:val="417A0C45"/>
    <w:rsid w:val="41A03ED4"/>
    <w:rsid w:val="41A07B4E"/>
    <w:rsid w:val="41B16534"/>
    <w:rsid w:val="41BC1F10"/>
    <w:rsid w:val="41DD7028"/>
    <w:rsid w:val="4215147E"/>
    <w:rsid w:val="42486DEF"/>
    <w:rsid w:val="424B3AFB"/>
    <w:rsid w:val="424E798B"/>
    <w:rsid w:val="42730700"/>
    <w:rsid w:val="42AA2B73"/>
    <w:rsid w:val="42C0154B"/>
    <w:rsid w:val="42D53026"/>
    <w:rsid w:val="42D75368"/>
    <w:rsid w:val="42E250CC"/>
    <w:rsid w:val="42E83D10"/>
    <w:rsid w:val="42E91A9C"/>
    <w:rsid w:val="42F22E36"/>
    <w:rsid w:val="42FA221D"/>
    <w:rsid w:val="430C0D36"/>
    <w:rsid w:val="43532722"/>
    <w:rsid w:val="436572AC"/>
    <w:rsid w:val="43765341"/>
    <w:rsid w:val="43847091"/>
    <w:rsid w:val="439731C5"/>
    <w:rsid w:val="43AC19E7"/>
    <w:rsid w:val="43CA0AF5"/>
    <w:rsid w:val="440F50B7"/>
    <w:rsid w:val="44310E14"/>
    <w:rsid w:val="44697270"/>
    <w:rsid w:val="44DE6DB1"/>
    <w:rsid w:val="453B5C88"/>
    <w:rsid w:val="4588546E"/>
    <w:rsid w:val="45B22EC1"/>
    <w:rsid w:val="45BE7074"/>
    <w:rsid w:val="45E60474"/>
    <w:rsid w:val="45F4565B"/>
    <w:rsid w:val="45F95218"/>
    <w:rsid w:val="46122789"/>
    <w:rsid w:val="464D6318"/>
    <w:rsid w:val="46886E13"/>
    <w:rsid w:val="4690524E"/>
    <w:rsid w:val="46936A1F"/>
    <w:rsid w:val="46AA3296"/>
    <w:rsid w:val="46C1077C"/>
    <w:rsid w:val="46CE0949"/>
    <w:rsid w:val="47152426"/>
    <w:rsid w:val="47323011"/>
    <w:rsid w:val="473D2379"/>
    <w:rsid w:val="475D52DA"/>
    <w:rsid w:val="476756F9"/>
    <w:rsid w:val="47756B56"/>
    <w:rsid w:val="477E69BA"/>
    <w:rsid w:val="478F3EA7"/>
    <w:rsid w:val="47A10F0B"/>
    <w:rsid w:val="47AD3F78"/>
    <w:rsid w:val="47B82CDA"/>
    <w:rsid w:val="4800175D"/>
    <w:rsid w:val="482B5C12"/>
    <w:rsid w:val="484B79B9"/>
    <w:rsid w:val="488A3BCE"/>
    <w:rsid w:val="48C237B4"/>
    <w:rsid w:val="48DD73F7"/>
    <w:rsid w:val="48E55278"/>
    <w:rsid w:val="48E6104E"/>
    <w:rsid w:val="48FB0FBB"/>
    <w:rsid w:val="492C3528"/>
    <w:rsid w:val="498A6479"/>
    <w:rsid w:val="498C3E0D"/>
    <w:rsid w:val="49B4651F"/>
    <w:rsid w:val="49B7789F"/>
    <w:rsid w:val="49D066E0"/>
    <w:rsid w:val="49D434D6"/>
    <w:rsid w:val="49D639C4"/>
    <w:rsid w:val="49E329B9"/>
    <w:rsid w:val="4A3756E1"/>
    <w:rsid w:val="4A3B5AAC"/>
    <w:rsid w:val="4A596D09"/>
    <w:rsid w:val="4A6A012D"/>
    <w:rsid w:val="4A885F03"/>
    <w:rsid w:val="4A9C1DE8"/>
    <w:rsid w:val="4AED1B3A"/>
    <w:rsid w:val="4AF47255"/>
    <w:rsid w:val="4B1B27CA"/>
    <w:rsid w:val="4B3C1A19"/>
    <w:rsid w:val="4BA85A03"/>
    <w:rsid w:val="4BD760C8"/>
    <w:rsid w:val="4C1E6F74"/>
    <w:rsid w:val="4C1F5596"/>
    <w:rsid w:val="4C6512DA"/>
    <w:rsid w:val="4C781D22"/>
    <w:rsid w:val="4CA9590C"/>
    <w:rsid w:val="4CE6400E"/>
    <w:rsid w:val="4CF906E8"/>
    <w:rsid w:val="4D116A1C"/>
    <w:rsid w:val="4D20123A"/>
    <w:rsid w:val="4D2F60F9"/>
    <w:rsid w:val="4D5670A7"/>
    <w:rsid w:val="4D5D051F"/>
    <w:rsid w:val="4D5D1F52"/>
    <w:rsid w:val="4D6B297D"/>
    <w:rsid w:val="4DAC7D4C"/>
    <w:rsid w:val="4DBC63C0"/>
    <w:rsid w:val="4DC60AB7"/>
    <w:rsid w:val="4E07242E"/>
    <w:rsid w:val="4E4E2F3A"/>
    <w:rsid w:val="4E540763"/>
    <w:rsid w:val="4E606CED"/>
    <w:rsid w:val="4E72442D"/>
    <w:rsid w:val="4E8B2F5B"/>
    <w:rsid w:val="4EA43DEF"/>
    <w:rsid w:val="4EB0364A"/>
    <w:rsid w:val="4EB36609"/>
    <w:rsid w:val="4EF1559A"/>
    <w:rsid w:val="4F406FF7"/>
    <w:rsid w:val="4F46255D"/>
    <w:rsid w:val="4F546ECF"/>
    <w:rsid w:val="4F567FAC"/>
    <w:rsid w:val="4F5D7111"/>
    <w:rsid w:val="4F7020F0"/>
    <w:rsid w:val="4F8729A1"/>
    <w:rsid w:val="4F8E36B5"/>
    <w:rsid w:val="4FA45F82"/>
    <w:rsid w:val="4FC20AA7"/>
    <w:rsid w:val="4FE80B78"/>
    <w:rsid w:val="4FF026F6"/>
    <w:rsid w:val="4FFD0AB6"/>
    <w:rsid w:val="50420770"/>
    <w:rsid w:val="50582EBF"/>
    <w:rsid w:val="505F1EFD"/>
    <w:rsid w:val="5068001B"/>
    <w:rsid w:val="506C50B1"/>
    <w:rsid w:val="507C1B99"/>
    <w:rsid w:val="50B70587"/>
    <w:rsid w:val="50F2027E"/>
    <w:rsid w:val="50F97C91"/>
    <w:rsid w:val="512A2A78"/>
    <w:rsid w:val="513D1102"/>
    <w:rsid w:val="514122EC"/>
    <w:rsid w:val="515B375C"/>
    <w:rsid w:val="515F4148"/>
    <w:rsid w:val="518347D8"/>
    <w:rsid w:val="5185098A"/>
    <w:rsid w:val="518B34DC"/>
    <w:rsid w:val="519A03E7"/>
    <w:rsid w:val="51F651B2"/>
    <w:rsid w:val="521024B8"/>
    <w:rsid w:val="52186CD1"/>
    <w:rsid w:val="521C4275"/>
    <w:rsid w:val="52230157"/>
    <w:rsid w:val="523978C1"/>
    <w:rsid w:val="52517A90"/>
    <w:rsid w:val="528864CB"/>
    <w:rsid w:val="5292269A"/>
    <w:rsid w:val="52D255D2"/>
    <w:rsid w:val="52DD0A68"/>
    <w:rsid w:val="52EC7E76"/>
    <w:rsid w:val="53116663"/>
    <w:rsid w:val="53265EE0"/>
    <w:rsid w:val="532A4949"/>
    <w:rsid w:val="53423C6C"/>
    <w:rsid w:val="5345588D"/>
    <w:rsid w:val="536515F2"/>
    <w:rsid w:val="5376467E"/>
    <w:rsid w:val="538C5DFD"/>
    <w:rsid w:val="53A25854"/>
    <w:rsid w:val="53AB4BF3"/>
    <w:rsid w:val="53B034DF"/>
    <w:rsid w:val="53B355FD"/>
    <w:rsid w:val="53CE4273"/>
    <w:rsid w:val="53D44433"/>
    <w:rsid w:val="53F25463"/>
    <w:rsid w:val="54526B91"/>
    <w:rsid w:val="54651589"/>
    <w:rsid w:val="54734ACB"/>
    <w:rsid w:val="54783F3B"/>
    <w:rsid w:val="54BA656D"/>
    <w:rsid w:val="54BF5E10"/>
    <w:rsid w:val="54DE0F4F"/>
    <w:rsid w:val="54DF4B64"/>
    <w:rsid w:val="54E53259"/>
    <w:rsid w:val="54E97D97"/>
    <w:rsid w:val="54EA5BF7"/>
    <w:rsid w:val="55356900"/>
    <w:rsid w:val="558F1FD7"/>
    <w:rsid w:val="55AD11FF"/>
    <w:rsid w:val="55B769EE"/>
    <w:rsid w:val="55EA5842"/>
    <w:rsid w:val="56015F2E"/>
    <w:rsid w:val="560B1770"/>
    <w:rsid w:val="56125393"/>
    <w:rsid w:val="563D07A6"/>
    <w:rsid w:val="565B2644"/>
    <w:rsid w:val="566F3BE9"/>
    <w:rsid w:val="56797DA1"/>
    <w:rsid w:val="568527A9"/>
    <w:rsid w:val="56CC79BA"/>
    <w:rsid w:val="56CF2831"/>
    <w:rsid w:val="56F52A0D"/>
    <w:rsid w:val="57153616"/>
    <w:rsid w:val="572B20A7"/>
    <w:rsid w:val="57787D9B"/>
    <w:rsid w:val="577C1E80"/>
    <w:rsid w:val="5788757C"/>
    <w:rsid w:val="579E6879"/>
    <w:rsid w:val="57B4627B"/>
    <w:rsid w:val="57B80D32"/>
    <w:rsid w:val="57D20586"/>
    <w:rsid w:val="57E5750F"/>
    <w:rsid w:val="580C459C"/>
    <w:rsid w:val="58682E29"/>
    <w:rsid w:val="588769BB"/>
    <w:rsid w:val="588C0AAD"/>
    <w:rsid w:val="589A7211"/>
    <w:rsid w:val="58AA3B72"/>
    <w:rsid w:val="58C14269"/>
    <w:rsid w:val="58E377F7"/>
    <w:rsid w:val="58F05AD9"/>
    <w:rsid w:val="590236C1"/>
    <w:rsid w:val="59036554"/>
    <w:rsid w:val="590A3E65"/>
    <w:rsid w:val="591579D5"/>
    <w:rsid w:val="59200143"/>
    <w:rsid w:val="597822CA"/>
    <w:rsid w:val="59A44EA2"/>
    <w:rsid w:val="59C147E0"/>
    <w:rsid w:val="59C80A03"/>
    <w:rsid w:val="59D17464"/>
    <w:rsid w:val="5A066EA4"/>
    <w:rsid w:val="5A1F4654"/>
    <w:rsid w:val="5A4F2C18"/>
    <w:rsid w:val="5A5B2881"/>
    <w:rsid w:val="5A6D4ABA"/>
    <w:rsid w:val="5A720611"/>
    <w:rsid w:val="5A7E7B53"/>
    <w:rsid w:val="5A812E59"/>
    <w:rsid w:val="5A880D80"/>
    <w:rsid w:val="5A995DAB"/>
    <w:rsid w:val="5ABA7460"/>
    <w:rsid w:val="5AC23634"/>
    <w:rsid w:val="5ACB453D"/>
    <w:rsid w:val="5AF779F8"/>
    <w:rsid w:val="5B1062ED"/>
    <w:rsid w:val="5B567151"/>
    <w:rsid w:val="5B8E672D"/>
    <w:rsid w:val="5B947F8E"/>
    <w:rsid w:val="5B9C24F1"/>
    <w:rsid w:val="5B9E50D3"/>
    <w:rsid w:val="5BB46CAC"/>
    <w:rsid w:val="5C105F94"/>
    <w:rsid w:val="5C251D7A"/>
    <w:rsid w:val="5C5F056F"/>
    <w:rsid w:val="5C724B48"/>
    <w:rsid w:val="5CBF064C"/>
    <w:rsid w:val="5CBF1046"/>
    <w:rsid w:val="5CFA1CEF"/>
    <w:rsid w:val="5D280866"/>
    <w:rsid w:val="5D2C49EA"/>
    <w:rsid w:val="5D400C12"/>
    <w:rsid w:val="5D6B45FE"/>
    <w:rsid w:val="5D7E5D81"/>
    <w:rsid w:val="5DA15C08"/>
    <w:rsid w:val="5DB73653"/>
    <w:rsid w:val="5DC534F4"/>
    <w:rsid w:val="5DE44F8E"/>
    <w:rsid w:val="5DF60096"/>
    <w:rsid w:val="5DFF7801"/>
    <w:rsid w:val="5E1763BF"/>
    <w:rsid w:val="5E2F576D"/>
    <w:rsid w:val="5E4274C8"/>
    <w:rsid w:val="5E466ED9"/>
    <w:rsid w:val="5E6907E3"/>
    <w:rsid w:val="5E6F4DE2"/>
    <w:rsid w:val="5E941605"/>
    <w:rsid w:val="5E9C6357"/>
    <w:rsid w:val="5EB52F60"/>
    <w:rsid w:val="5EC44200"/>
    <w:rsid w:val="5EC82C37"/>
    <w:rsid w:val="5EDD4F31"/>
    <w:rsid w:val="5EF210D2"/>
    <w:rsid w:val="5F042BD4"/>
    <w:rsid w:val="5F0E6C5C"/>
    <w:rsid w:val="5F230F76"/>
    <w:rsid w:val="5F2447E2"/>
    <w:rsid w:val="5F2872ED"/>
    <w:rsid w:val="5F2E3DA5"/>
    <w:rsid w:val="5FBF6460"/>
    <w:rsid w:val="5FC47F6A"/>
    <w:rsid w:val="600B28B6"/>
    <w:rsid w:val="602A170A"/>
    <w:rsid w:val="603B22A6"/>
    <w:rsid w:val="60437933"/>
    <w:rsid w:val="605A28BD"/>
    <w:rsid w:val="606612AE"/>
    <w:rsid w:val="606846AF"/>
    <w:rsid w:val="60C87184"/>
    <w:rsid w:val="60D6252D"/>
    <w:rsid w:val="610B183C"/>
    <w:rsid w:val="61134F5B"/>
    <w:rsid w:val="6122217B"/>
    <w:rsid w:val="614E30F6"/>
    <w:rsid w:val="61613AC5"/>
    <w:rsid w:val="616B75B8"/>
    <w:rsid w:val="617C4235"/>
    <w:rsid w:val="618113BE"/>
    <w:rsid w:val="619233FA"/>
    <w:rsid w:val="619A3ED3"/>
    <w:rsid w:val="61A709F6"/>
    <w:rsid w:val="61AF1761"/>
    <w:rsid w:val="61D640C8"/>
    <w:rsid w:val="621D5FD0"/>
    <w:rsid w:val="625351F3"/>
    <w:rsid w:val="62553A9B"/>
    <w:rsid w:val="625D0D83"/>
    <w:rsid w:val="627B7721"/>
    <w:rsid w:val="627D6533"/>
    <w:rsid w:val="628D77F7"/>
    <w:rsid w:val="62A00205"/>
    <w:rsid w:val="62A954D2"/>
    <w:rsid w:val="62CC5473"/>
    <w:rsid w:val="62D73225"/>
    <w:rsid w:val="62F569D6"/>
    <w:rsid w:val="630C7A3C"/>
    <w:rsid w:val="634535EC"/>
    <w:rsid w:val="63933968"/>
    <w:rsid w:val="63D635A2"/>
    <w:rsid w:val="63D66BDA"/>
    <w:rsid w:val="63D66D3A"/>
    <w:rsid w:val="63DC35F1"/>
    <w:rsid w:val="641759F5"/>
    <w:rsid w:val="6441634D"/>
    <w:rsid w:val="6445786C"/>
    <w:rsid w:val="646679B9"/>
    <w:rsid w:val="64922A50"/>
    <w:rsid w:val="64BE491B"/>
    <w:rsid w:val="64D329CF"/>
    <w:rsid w:val="650426DD"/>
    <w:rsid w:val="654E35AF"/>
    <w:rsid w:val="6560522E"/>
    <w:rsid w:val="657235AB"/>
    <w:rsid w:val="657F0CDB"/>
    <w:rsid w:val="65C02314"/>
    <w:rsid w:val="65FA5B9B"/>
    <w:rsid w:val="662E56F4"/>
    <w:rsid w:val="663F19B5"/>
    <w:rsid w:val="664E6285"/>
    <w:rsid w:val="667B36D0"/>
    <w:rsid w:val="66C945DE"/>
    <w:rsid w:val="66E168AD"/>
    <w:rsid w:val="673C1207"/>
    <w:rsid w:val="67557264"/>
    <w:rsid w:val="67753BC9"/>
    <w:rsid w:val="67AC14B0"/>
    <w:rsid w:val="67C65D9A"/>
    <w:rsid w:val="67F5613D"/>
    <w:rsid w:val="68452A8B"/>
    <w:rsid w:val="684E46DF"/>
    <w:rsid w:val="68517281"/>
    <w:rsid w:val="68567627"/>
    <w:rsid w:val="685A6385"/>
    <w:rsid w:val="685F2CAB"/>
    <w:rsid w:val="69000390"/>
    <w:rsid w:val="690715CF"/>
    <w:rsid w:val="691E0CA2"/>
    <w:rsid w:val="69215E32"/>
    <w:rsid w:val="69247457"/>
    <w:rsid w:val="6944771E"/>
    <w:rsid w:val="698377BF"/>
    <w:rsid w:val="698A4060"/>
    <w:rsid w:val="69E14866"/>
    <w:rsid w:val="6A225E1F"/>
    <w:rsid w:val="6A394550"/>
    <w:rsid w:val="6A3B5037"/>
    <w:rsid w:val="6A6122EB"/>
    <w:rsid w:val="6A674179"/>
    <w:rsid w:val="6AE07478"/>
    <w:rsid w:val="6B1B7F4E"/>
    <w:rsid w:val="6B2D7560"/>
    <w:rsid w:val="6B397792"/>
    <w:rsid w:val="6B665E1C"/>
    <w:rsid w:val="6B74153B"/>
    <w:rsid w:val="6B7867DE"/>
    <w:rsid w:val="6B7A0E17"/>
    <w:rsid w:val="6B7B1AB7"/>
    <w:rsid w:val="6B80005A"/>
    <w:rsid w:val="6B976723"/>
    <w:rsid w:val="6BA90006"/>
    <w:rsid w:val="6BCA1195"/>
    <w:rsid w:val="6BD265B2"/>
    <w:rsid w:val="6BF65381"/>
    <w:rsid w:val="6C0434F7"/>
    <w:rsid w:val="6C161E18"/>
    <w:rsid w:val="6C196224"/>
    <w:rsid w:val="6C2F1783"/>
    <w:rsid w:val="6C673F69"/>
    <w:rsid w:val="6C717588"/>
    <w:rsid w:val="6C796258"/>
    <w:rsid w:val="6CBB08C6"/>
    <w:rsid w:val="6CC35974"/>
    <w:rsid w:val="6CE56BD0"/>
    <w:rsid w:val="6CF56458"/>
    <w:rsid w:val="6D083B18"/>
    <w:rsid w:val="6D2A351D"/>
    <w:rsid w:val="6D2B1629"/>
    <w:rsid w:val="6D2C5AA6"/>
    <w:rsid w:val="6D2F041C"/>
    <w:rsid w:val="6D476EFE"/>
    <w:rsid w:val="6D483AA3"/>
    <w:rsid w:val="6D650525"/>
    <w:rsid w:val="6D8F44B2"/>
    <w:rsid w:val="6DB24D6B"/>
    <w:rsid w:val="6DC878A1"/>
    <w:rsid w:val="6E163112"/>
    <w:rsid w:val="6E2C0631"/>
    <w:rsid w:val="6E304E54"/>
    <w:rsid w:val="6E3431D3"/>
    <w:rsid w:val="6E3B78E1"/>
    <w:rsid w:val="6E5B3FEE"/>
    <w:rsid w:val="6E815E20"/>
    <w:rsid w:val="6E82756A"/>
    <w:rsid w:val="6E8B39B0"/>
    <w:rsid w:val="6EAD493E"/>
    <w:rsid w:val="6EC35D97"/>
    <w:rsid w:val="6EDD2382"/>
    <w:rsid w:val="6EF601EB"/>
    <w:rsid w:val="6F3C13C4"/>
    <w:rsid w:val="6F3D2BD0"/>
    <w:rsid w:val="6F4D4377"/>
    <w:rsid w:val="6F4F1FA2"/>
    <w:rsid w:val="6F827E1F"/>
    <w:rsid w:val="6F8D0467"/>
    <w:rsid w:val="6F957411"/>
    <w:rsid w:val="6FBE33DD"/>
    <w:rsid w:val="6FD11BD1"/>
    <w:rsid w:val="6FEF748A"/>
    <w:rsid w:val="701B4AA1"/>
    <w:rsid w:val="70695629"/>
    <w:rsid w:val="706E2CC7"/>
    <w:rsid w:val="70850E58"/>
    <w:rsid w:val="70F65B1B"/>
    <w:rsid w:val="712B7FB7"/>
    <w:rsid w:val="717778CF"/>
    <w:rsid w:val="718E695F"/>
    <w:rsid w:val="71C9438B"/>
    <w:rsid w:val="71DC0EA7"/>
    <w:rsid w:val="71DF4622"/>
    <w:rsid w:val="71EB232F"/>
    <w:rsid w:val="71F22395"/>
    <w:rsid w:val="72141830"/>
    <w:rsid w:val="723F5D4E"/>
    <w:rsid w:val="726E1AB7"/>
    <w:rsid w:val="72A75113"/>
    <w:rsid w:val="72E03AF4"/>
    <w:rsid w:val="732F3A9D"/>
    <w:rsid w:val="73310943"/>
    <w:rsid w:val="733C66BA"/>
    <w:rsid w:val="735B575F"/>
    <w:rsid w:val="736E5255"/>
    <w:rsid w:val="736E713E"/>
    <w:rsid w:val="73821076"/>
    <w:rsid w:val="7385232B"/>
    <w:rsid w:val="73AA2969"/>
    <w:rsid w:val="73B22405"/>
    <w:rsid w:val="73B8474E"/>
    <w:rsid w:val="73CF1F2D"/>
    <w:rsid w:val="73D81DDE"/>
    <w:rsid w:val="73FC1BEE"/>
    <w:rsid w:val="73FE741E"/>
    <w:rsid w:val="741D456D"/>
    <w:rsid w:val="743A7953"/>
    <w:rsid w:val="74493A8B"/>
    <w:rsid w:val="747A1ED6"/>
    <w:rsid w:val="74822716"/>
    <w:rsid w:val="74A77D79"/>
    <w:rsid w:val="74BB2C8C"/>
    <w:rsid w:val="74EB298F"/>
    <w:rsid w:val="74EE2280"/>
    <w:rsid w:val="74F53D91"/>
    <w:rsid w:val="74FD694C"/>
    <w:rsid w:val="750D3D28"/>
    <w:rsid w:val="753A02FB"/>
    <w:rsid w:val="756176A1"/>
    <w:rsid w:val="756D5BF5"/>
    <w:rsid w:val="75B1536A"/>
    <w:rsid w:val="75B71D6A"/>
    <w:rsid w:val="75BE0954"/>
    <w:rsid w:val="75C5459B"/>
    <w:rsid w:val="75D03F19"/>
    <w:rsid w:val="75E21089"/>
    <w:rsid w:val="76467434"/>
    <w:rsid w:val="765866EF"/>
    <w:rsid w:val="766429FA"/>
    <w:rsid w:val="768A172A"/>
    <w:rsid w:val="76B02C75"/>
    <w:rsid w:val="76CF7D85"/>
    <w:rsid w:val="76D45B66"/>
    <w:rsid w:val="76E152EC"/>
    <w:rsid w:val="76FE2417"/>
    <w:rsid w:val="771E653D"/>
    <w:rsid w:val="77222009"/>
    <w:rsid w:val="77344790"/>
    <w:rsid w:val="7763578D"/>
    <w:rsid w:val="77AC60BD"/>
    <w:rsid w:val="77AD7409"/>
    <w:rsid w:val="77C6297D"/>
    <w:rsid w:val="780E5394"/>
    <w:rsid w:val="78127254"/>
    <w:rsid w:val="781A5EC1"/>
    <w:rsid w:val="788E700F"/>
    <w:rsid w:val="7898254F"/>
    <w:rsid w:val="792523D8"/>
    <w:rsid w:val="79372C5B"/>
    <w:rsid w:val="793853B6"/>
    <w:rsid w:val="793C225F"/>
    <w:rsid w:val="794006DB"/>
    <w:rsid w:val="795E0019"/>
    <w:rsid w:val="798422C6"/>
    <w:rsid w:val="799916B7"/>
    <w:rsid w:val="79D23352"/>
    <w:rsid w:val="79D85CE8"/>
    <w:rsid w:val="79E247BB"/>
    <w:rsid w:val="79F55340"/>
    <w:rsid w:val="7A121472"/>
    <w:rsid w:val="7A153D5D"/>
    <w:rsid w:val="7A1C0A51"/>
    <w:rsid w:val="7A1E0BB7"/>
    <w:rsid w:val="7A2E2066"/>
    <w:rsid w:val="7A322C02"/>
    <w:rsid w:val="7A397975"/>
    <w:rsid w:val="7A431925"/>
    <w:rsid w:val="7A7108C7"/>
    <w:rsid w:val="7A751EE9"/>
    <w:rsid w:val="7A8F300C"/>
    <w:rsid w:val="7AA57264"/>
    <w:rsid w:val="7ACE0A84"/>
    <w:rsid w:val="7AEA5AC6"/>
    <w:rsid w:val="7AEC3BBE"/>
    <w:rsid w:val="7AF65F04"/>
    <w:rsid w:val="7AFB12FA"/>
    <w:rsid w:val="7B052BD7"/>
    <w:rsid w:val="7B072853"/>
    <w:rsid w:val="7B5B2FAF"/>
    <w:rsid w:val="7B7B60D4"/>
    <w:rsid w:val="7BA10F88"/>
    <w:rsid w:val="7BE72E44"/>
    <w:rsid w:val="7C016746"/>
    <w:rsid w:val="7C1C3C3D"/>
    <w:rsid w:val="7C585216"/>
    <w:rsid w:val="7C603D07"/>
    <w:rsid w:val="7C726FF8"/>
    <w:rsid w:val="7C81141E"/>
    <w:rsid w:val="7C82365F"/>
    <w:rsid w:val="7C856EAD"/>
    <w:rsid w:val="7CA44252"/>
    <w:rsid w:val="7CC00193"/>
    <w:rsid w:val="7D093393"/>
    <w:rsid w:val="7D3E5BA4"/>
    <w:rsid w:val="7D477432"/>
    <w:rsid w:val="7D594983"/>
    <w:rsid w:val="7D844CEF"/>
    <w:rsid w:val="7D9B66E0"/>
    <w:rsid w:val="7DA40457"/>
    <w:rsid w:val="7DB479EE"/>
    <w:rsid w:val="7DCD6635"/>
    <w:rsid w:val="7DE82881"/>
    <w:rsid w:val="7DF23C70"/>
    <w:rsid w:val="7E002341"/>
    <w:rsid w:val="7E272313"/>
    <w:rsid w:val="7E3F5C57"/>
    <w:rsid w:val="7E415B82"/>
    <w:rsid w:val="7E4A1BBE"/>
    <w:rsid w:val="7E802FA3"/>
    <w:rsid w:val="7E9C1324"/>
    <w:rsid w:val="7E9C1A45"/>
    <w:rsid w:val="7ED12C6A"/>
    <w:rsid w:val="7ED41DA3"/>
    <w:rsid w:val="7ED920B6"/>
    <w:rsid w:val="7EE36967"/>
    <w:rsid w:val="7EE4001F"/>
    <w:rsid w:val="7F006586"/>
    <w:rsid w:val="7F1C6649"/>
    <w:rsid w:val="7F1D6609"/>
    <w:rsid w:val="7F3E0DD7"/>
    <w:rsid w:val="7F4108E0"/>
    <w:rsid w:val="7F50760E"/>
    <w:rsid w:val="7F5D75FB"/>
    <w:rsid w:val="7F6746E1"/>
    <w:rsid w:val="7F9663C3"/>
    <w:rsid w:val="7F9A3C80"/>
    <w:rsid w:val="7F9D0028"/>
    <w:rsid w:val="7FA345E5"/>
    <w:rsid w:val="7FBE0FFC"/>
    <w:rsid w:val="7FC2173E"/>
    <w:rsid w:val="7FC40573"/>
    <w:rsid w:val="BFFD224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qFormat="1" w:unhideWhenUsed="0" w:uiPriority="0" w:semiHidden="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semiHidden="0" w:name="Default Paragraph Font"/>
    <w:lsdException w:qFormat="1" w:unhideWhenUsed="0" w:uiPriority="99"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unhideWhenUsed="0" w:uiPriority="0" w:semiHidden="0" w:name="Date"/>
    <w:lsdException w:qFormat="1" w:uiPriority="99" w:semiHidden="0" w:name="Body Text First Indent"/>
    <w:lsdException w:uiPriority="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uiPriority="0" w:name="Body Text Indent 3"/>
    <w:lsdException w:qFormat="1" w:unhideWhenUsed="0"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uiPriority="0" w:name="HTML Keyboard"/>
    <w:lsdException w:uiPriority="0" w:name="HTML Preformatted"/>
    <w:lsdException w:qFormat="1" w:uiPriority="0" w:semiHidden="0" w:name="HTML Sample"/>
    <w:lsdException w:uiPriority="0" w:name="HTML Typewriter"/>
    <w:lsdException w:qFormat="1"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59" w:lineRule="auto"/>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8"/>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49"/>
    <w:qFormat/>
    <w:uiPriority w:val="9"/>
    <w:pPr>
      <w:keepNext/>
      <w:keepLines/>
      <w:spacing w:before="260" w:after="260" w:line="415" w:lineRule="auto"/>
      <w:outlineLvl w:val="1"/>
    </w:pPr>
    <w:rPr>
      <w:rFonts w:ascii="Arial" w:hAnsi="Arial" w:eastAsia="黑体"/>
      <w:b/>
      <w:bCs/>
      <w:sz w:val="32"/>
      <w:szCs w:val="32"/>
    </w:rPr>
  </w:style>
  <w:style w:type="paragraph" w:styleId="5">
    <w:name w:val="heading 3"/>
    <w:basedOn w:val="1"/>
    <w:next w:val="1"/>
    <w:link w:val="50"/>
    <w:qFormat/>
    <w:uiPriority w:val="0"/>
    <w:pPr>
      <w:keepNext/>
      <w:keepLines/>
      <w:spacing w:before="120" w:after="120" w:line="360" w:lineRule="auto"/>
      <w:outlineLvl w:val="2"/>
    </w:pPr>
    <w:rPr>
      <w:b/>
      <w:bCs/>
      <w:kern w:val="0"/>
      <w:sz w:val="28"/>
      <w:szCs w:val="32"/>
    </w:rPr>
  </w:style>
  <w:style w:type="paragraph" w:styleId="6">
    <w:name w:val="heading 4"/>
    <w:basedOn w:val="1"/>
    <w:next w:val="1"/>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36">
    <w:name w:val="Default Paragraph Font"/>
    <w:unhideWhenUsed/>
    <w:uiPriority w:val="1"/>
  </w:style>
  <w:style w:type="table" w:default="1" w:styleId="34">
    <w:name w:val="Normal Table"/>
    <w:unhideWhenUsed/>
    <w:qFormat/>
    <w:uiPriority w:val="99"/>
    <w:tblPr>
      <w:tblCellMar>
        <w:top w:w="0" w:type="dxa"/>
        <w:left w:w="108" w:type="dxa"/>
        <w:bottom w:w="0" w:type="dxa"/>
        <w:right w:w="108" w:type="dxa"/>
      </w:tblCellMar>
    </w:tblPr>
  </w:style>
  <w:style w:type="paragraph" w:styleId="2">
    <w:name w:val="Body Text"/>
    <w:basedOn w:val="1"/>
    <w:next w:val="1"/>
    <w:link w:val="47"/>
    <w:qFormat/>
    <w:uiPriority w:val="99"/>
    <w:pPr>
      <w:spacing w:line="480" w:lineRule="exact"/>
    </w:pPr>
    <w:rPr>
      <w:rFonts w:ascii="仿宋_GB2312" w:hAnsi="Times New Roman" w:eastAsia="仿宋_GB2312" w:cs="Times New Roman"/>
      <w:sz w:val="28"/>
      <w:szCs w:val="28"/>
    </w:rPr>
  </w:style>
  <w:style w:type="paragraph" w:styleId="7">
    <w:name w:val="toc 7"/>
    <w:basedOn w:val="1"/>
    <w:next w:val="1"/>
    <w:qFormat/>
    <w:uiPriority w:val="0"/>
    <w:pPr>
      <w:ind w:left="2520" w:leftChars="1200"/>
    </w:pPr>
  </w:style>
  <w:style w:type="paragraph" w:styleId="8">
    <w:name w:val="index 8"/>
    <w:basedOn w:val="1"/>
    <w:next w:val="1"/>
    <w:qFormat/>
    <w:uiPriority w:val="0"/>
    <w:pPr>
      <w:spacing w:line="276" w:lineRule="auto"/>
      <w:jc w:val="left"/>
    </w:pPr>
    <w:rPr>
      <w:rFonts w:ascii="宋体" w:hAnsi="宋体"/>
      <w:color w:val="FF0000"/>
      <w:szCs w:val="21"/>
    </w:rPr>
  </w:style>
  <w:style w:type="paragraph" w:styleId="9">
    <w:name w:val="Normal Indent"/>
    <w:basedOn w:val="1"/>
    <w:link w:val="51"/>
    <w:qFormat/>
    <w:uiPriority w:val="0"/>
    <w:pPr>
      <w:ind w:firstLine="200" w:firstLineChars="200"/>
    </w:pPr>
  </w:style>
  <w:style w:type="paragraph" w:styleId="10">
    <w:name w:val="Document Map"/>
    <w:basedOn w:val="1"/>
    <w:link w:val="52"/>
    <w:qFormat/>
    <w:uiPriority w:val="0"/>
    <w:rPr>
      <w:rFonts w:ascii="宋体"/>
      <w:sz w:val="18"/>
      <w:szCs w:val="18"/>
    </w:rPr>
  </w:style>
  <w:style w:type="paragraph" w:styleId="11">
    <w:name w:val="annotation text"/>
    <w:basedOn w:val="1"/>
    <w:link w:val="53"/>
    <w:qFormat/>
    <w:uiPriority w:val="99"/>
    <w:pPr>
      <w:jc w:val="left"/>
    </w:pPr>
  </w:style>
  <w:style w:type="paragraph" w:styleId="12">
    <w:name w:val="Body Text Indent"/>
    <w:basedOn w:val="1"/>
    <w:qFormat/>
    <w:uiPriority w:val="0"/>
    <w:pPr>
      <w:ind w:firstLine="630"/>
    </w:pPr>
    <w:rPr>
      <w:sz w:val="32"/>
      <w:szCs w:val="20"/>
    </w:rPr>
  </w:style>
  <w:style w:type="paragraph" w:styleId="13">
    <w:name w:val="Block Text"/>
    <w:basedOn w:val="1"/>
    <w:qFormat/>
    <w:uiPriority w:val="0"/>
    <w:pPr>
      <w:spacing w:after="120"/>
      <w:ind w:left="1440" w:leftChars="700" w:right="700" w:rightChars="700"/>
    </w:pPr>
  </w:style>
  <w:style w:type="paragraph" w:styleId="14">
    <w:name w:val="toc 5"/>
    <w:basedOn w:val="1"/>
    <w:next w:val="1"/>
    <w:qFormat/>
    <w:uiPriority w:val="0"/>
    <w:pPr>
      <w:ind w:left="1680" w:leftChars="800"/>
    </w:pPr>
  </w:style>
  <w:style w:type="paragraph" w:styleId="15">
    <w:name w:val="toc 3"/>
    <w:basedOn w:val="1"/>
    <w:next w:val="1"/>
    <w:qFormat/>
    <w:uiPriority w:val="0"/>
    <w:pPr>
      <w:ind w:left="840" w:leftChars="400"/>
    </w:pPr>
  </w:style>
  <w:style w:type="paragraph" w:styleId="16">
    <w:name w:val="Plain Text"/>
    <w:basedOn w:val="1"/>
    <w:qFormat/>
    <w:uiPriority w:val="0"/>
    <w:rPr>
      <w:rFonts w:hAnsi="Courier New"/>
      <w:kern w:val="2"/>
      <w:sz w:val="21"/>
    </w:rPr>
  </w:style>
  <w:style w:type="paragraph" w:styleId="17">
    <w:name w:val="toc 8"/>
    <w:basedOn w:val="1"/>
    <w:next w:val="1"/>
    <w:qFormat/>
    <w:uiPriority w:val="0"/>
    <w:pPr>
      <w:ind w:left="2940" w:leftChars="1400"/>
    </w:pPr>
  </w:style>
  <w:style w:type="paragraph" w:styleId="18">
    <w:name w:val="Body Text Indent 2"/>
    <w:basedOn w:val="1"/>
    <w:next w:val="19"/>
    <w:qFormat/>
    <w:uiPriority w:val="0"/>
    <w:pPr>
      <w:spacing w:after="120" w:line="480" w:lineRule="auto"/>
      <w:ind w:left="420" w:leftChars="200"/>
    </w:pPr>
    <w:rPr>
      <w:rFonts w:ascii="Times New Roman" w:hAnsi="Times New Roman" w:eastAsia="宋体" w:cs="Times New Roman"/>
    </w:rPr>
  </w:style>
  <w:style w:type="paragraph" w:customStyle="1" w:styleId="19">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styleId="20">
    <w:name w:val="Balloon Text"/>
    <w:basedOn w:val="1"/>
    <w:link w:val="54"/>
    <w:qFormat/>
    <w:uiPriority w:val="99"/>
    <w:rPr>
      <w:sz w:val="18"/>
      <w:szCs w:val="18"/>
    </w:rPr>
  </w:style>
  <w:style w:type="paragraph" w:styleId="21">
    <w:name w:val="footer"/>
    <w:basedOn w:val="1"/>
    <w:link w:val="55"/>
    <w:qFormat/>
    <w:uiPriority w:val="99"/>
    <w:pPr>
      <w:tabs>
        <w:tab w:val="center" w:pos="4153"/>
        <w:tab w:val="right" w:pos="8306"/>
      </w:tabs>
      <w:snapToGrid w:val="0"/>
      <w:jc w:val="left"/>
    </w:pPr>
    <w:rPr>
      <w:sz w:val="18"/>
      <w:szCs w:val="20"/>
    </w:rPr>
  </w:style>
  <w:style w:type="paragraph" w:styleId="22">
    <w:name w:val="header"/>
    <w:basedOn w:val="1"/>
    <w:link w:val="56"/>
    <w:qFormat/>
    <w:uiPriority w:val="99"/>
    <w:pPr>
      <w:pBdr>
        <w:bottom w:val="single" w:color="auto" w:sz="6" w:space="1"/>
      </w:pBdr>
      <w:tabs>
        <w:tab w:val="center" w:pos="4153"/>
        <w:tab w:val="right" w:pos="8306"/>
      </w:tabs>
      <w:snapToGrid w:val="0"/>
      <w:jc w:val="center"/>
    </w:pPr>
    <w:rPr>
      <w:sz w:val="18"/>
      <w:szCs w:val="20"/>
    </w:rPr>
  </w:style>
  <w:style w:type="paragraph" w:styleId="23">
    <w:name w:val="toc 1"/>
    <w:basedOn w:val="1"/>
    <w:next w:val="1"/>
    <w:qFormat/>
    <w:uiPriority w:val="0"/>
  </w:style>
  <w:style w:type="paragraph" w:styleId="24">
    <w:name w:val="toc 4"/>
    <w:basedOn w:val="1"/>
    <w:next w:val="1"/>
    <w:qFormat/>
    <w:uiPriority w:val="0"/>
    <w:pPr>
      <w:ind w:left="1260" w:leftChars="600"/>
    </w:pPr>
  </w:style>
  <w:style w:type="paragraph" w:styleId="25">
    <w:name w:val="Subtitle"/>
    <w:basedOn w:val="1"/>
    <w:next w:val="1"/>
    <w:qFormat/>
    <w:uiPriority w:val="11"/>
    <w:pPr>
      <w:jc w:val="center"/>
    </w:pPr>
    <w:rPr>
      <w:spacing w:val="10"/>
      <w:szCs w:val="28"/>
    </w:rPr>
  </w:style>
  <w:style w:type="paragraph" w:styleId="26">
    <w:name w:val="List"/>
    <w:basedOn w:val="1"/>
    <w:qFormat/>
    <w:uiPriority w:val="0"/>
    <w:pPr>
      <w:ind w:left="200" w:hanging="200" w:hangingChars="200"/>
    </w:pPr>
    <w:rPr>
      <w:rFonts w:hAnsi="Calibri" w:eastAsia="微软雅黑"/>
    </w:rPr>
  </w:style>
  <w:style w:type="paragraph" w:styleId="27">
    <w:name w:val="toc 6"/>
    <w:basedOn w:val="1"/>
    <w:next w:val="1"/>
    <w:qFormat/>
    <w:uiPriority w:val="0"/>
    <w:pPr>
      <w:ind w:left="2100" w:leftChars="1000"/>
    </w:pPr>
  </w:style>
  <w:style w:type="paragraph" w:styleId="28">
    <w:name w:val="toc 2"/>
    <w:basedOn w:val="1"/>
    <w:next w:val="1"/>
    <w:qFormat/>
    <w:uiPriority w:val="0"/>
    <w:pPr>
      <w:ind w:left="420" w:leftChars="200"/>
    </w:pPr>
  </w:style>
  <w:style w:type="paragraph" w:styleId="29">
    <w:name w:val="toc 9"/>
    <w:basedOn w:val="1"/>
    <w:next w:val="1"/>
    <w:qFormat/>
    <w:uiPriority w:val="0"/>
    <w:pPr>
      <w:ind w:left="3360" w:leftChars="1600"/>
    </w:pPr>
  </w:style>
  <w:style w:type="paragraph" w:styleId="30">
    <w:name w:val="Body Text 2"/>
    <w:qFormat/>
    <w:uiPriority w:val="0"/>
    <w:pPr>
      <w:spacing w:after="120" w:line="480" w:lineRule="auto"/>
    </w:pPr>
    <w:rPr>
      <w:rFonts w:ascii="Times New Roman" w:hAnsi="Times New Roman" w:eastAsia="Arial Unicode MS" w:cs="Arial Unicode MS"/>
      <w:color w:val="000000"/>
      <w:kern w:val="2"/>
      <w:sz w:val="21"/>
      <w:szCs w:val="21"/>
      <w:lang w:val="en-US" w:eastAsia="zh-CN" w:bidi="ar-SA"/>
    </w:rPr>
  </w:style>
  <w:style w:type="paragraph" w:styleId="31">
    <w:name w:val="Normal (Web)"/>
    <w:basedOn w:val="1"/>
    <w:qFormat/>
    <w:uiPriority w:val="0"/>
    <w:pPr>
      <w:widowControl/>
      <w:spacing w:before="100" w:beforeAutospacing="1" w:after="100" w:afterAutospacing="1"/>
      <w:jc w:val="left"/>
    </w:pPr>
    <w:rPr>
      <w:rFonts w:ascii="宋体"/>
      <w:kern w:val="0"/>
      <w:sz w:val="18"/>
      <w:szCs w:val="18"/>
    </w:rPr>
  </w:style>
  <w:style w:type="paragraph" w:styleId="32">
    <w:name w:val="annotation subject"/>
    <w:basedOn w:val="11"/>
    <w:next w:val="11"/>
    <w:link w:val="57"/>
    <w:qFormat/>
    <w:uiPriority w:val="0"/>
    <w:rPr>
      <w:b/>
      <w:bCs/>
    </w:rPr>
  </w:style>
  <w:style w:type="paragraph" w:styleId="33">
    <w:name w:val="Body Text First Indent"/>
    <w:basedOn w:val="2"/>
    <w:link w:val="58"/>
    <w:unhideWhenUsed/>
    <w:qFormat/>
    <w:uiPriority w:val="99"/>
    <w:pPr>
      <w:widowControl/>
      <w:spacing w:after="120" w:line="259" w:lineRule="auto"/>
      <w:ind w:firstLine="420" w:firstLineChars="100"/>
      <w:jc w:val="left"/>
    </w:pPr>
    <w:rPr>
      <w:rFonts w:ascii="宋体" w:hAnsi="宋体" w:eastAsia="宋体" w:cs="宋体"/>
      <w:kern w:val="0"/>
      <w:sz w:val="24"/>
      <w:szCs w:val="24"/>
    </w:rPr>
  </w:style>
  <w:style w:type="table" w:styleId="35">
    <w:name w:val="Table Grid"/>
    <w:basedOn w:val="3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qFormat/>
    <w:uiPriority w:val="22"/>
    <w:rPr>
      <w:b/>
      <w:bCs/>
    </w:rPr>
  </w:style>
  <w:style w:type="character" w:styleId="38">
    <w:name w:val="page number"/>
    <w:qFormat/>
    <w:uiPriority w:val="0"/>
  </w:style>
  <w:style w:type="character" w:styleId="39">
    <w:name w:val="FollowedHyperlink"/>
    <w:unhideWhenUsed/>
    <w:qFormat/>
    <w:uiPriority w:val="99"/>
    <w:rPr>
      <w:color w:val="954F72"/>
      <w:u w:val="single"/>
    </w:rPr>
  </w:style>
  <w:style w:type="character" w:styleId="40">
    <w:name w:val="HTML Definition"/>
    <w:unhideWhenUsed/>
    <w:qFormat/>
    <w:uiPriority w:val="0"/>
  </w:style>
  <w:style w:type="character" w:styleId="41">
    <w:name w:val="HTML Variable"/>
    <w:unhideWhenUsed/>
    <w:qFormat/>
    <w:uiPriority w:val="0"/>
  </w:style>
  <w:style w:type="character" w:styleId="42">
    <w:name w:val="Hyperlink"/>
    <w:unhideWhenUsed/>
    <w:qFormat/>
    <w:uiPriority w:val="99"/>
    <w:rPr>
      <w:color w:val="0563C1"/>
      <w:u w:val="single"/>
    </w:rPr>
  </w:style>
  <w:style w:type="character" w:styleId="43">
    <w:name w:val="HTML Code"/>
    <w:unhideWhenUsed/>
    <w:qFormat/>
    <w:uiPriority w:val="0"/>
    <w:rPr>
      <w:rFonts w:ascii="Courier New" w:hAnsi="Courier New"/>
      <w:sz w:val="20"/>
    </w:rPr>
  </w:style>
  <w:style w:type="character" w:styleId="44">
    <w:name w:val="annotation reference"/>
    <w:qFormat/>
    <w:uiPriority w:val="0"/>
    <w:rPr>
      <w:sz w:val="21"/>
      <w:szCs w:val="21"/>
    </w:rPr>
  </w:style>
  <w:style w:type="character" w:styleId="45">
    <w:name w:val="HTML Cite"/>
    <w:unhideWhenUsed/>
    <w:qFormat/>
    <w:uiPriority w:val="0"/>
  </w:style>
  <w:style w:type="character" w:styleId="46">
    <w:name w:val="HTML Sample"/>
    <w:unhideWhenUsed/>
    <w:qFormat/>
    <w:uiPriority w:val="0"/>
    <w:rPr>
      <w:rFonts w:ascii="Courier New" w:hAnsi="Courier New"/>
    </w:rPr>
  </w:style>
  <w:style w:type="character" w:customStyle="1" w:styleId="47">
    <w:name w:val="正文文本 Char1"/>
    <w:link w:val="2"/>
    <w:qFormat/>
    <w:uiPriority w:val="99"/>
    <w:rPr>
      <w:rFonts w:ascii="仿宋_GB2312" w:eastAsia="仿宋_GB2312"/>
      <w:kern w:val="2"/>
      <w:sz w:val="28"/>
      <w:szCs w:val="28"/>
    </w:rPr>
  </w:style>
  <w:style w:type="character" w:customStyle="1" w:styleId="48">
    <w:name w:val="标题 1 Char"/>
    <w:link w:val="3"/>
    <w:qFormat/>
    <w:uiPriority w:val="0"/>
    <w:rPr>
      <w:b/>
      <w:bCs/>
      <w:kern w:val="44"/>
      <w:sz w:val="44"/>
      <w:szCs w:val="44"/>
    </w:rPr>
  </w:style>
  <w:style w:type="character" w:customStyle="1" w:styleId="49">
    <w:name w:val="标题 2 Char"/>
    <w:link w:val="4"/>
    <w:qFormat/>
    <w:uiPriority w:val="9"/>
    <w:rPr>
      <w:rFonts w:ascii="Arial" w:hAnsi="Arial" w:eastAsia="黑体"/>
      <w:b/>
      <w:bCs/>
      <w:sz w:val="32"/>
      <w:szCs w:val="32"/>
    </w:rPr>
  </w:style>
  <w:style w:type="character" w:customStyle="1" w:styleId="50">
    <w:name w:val="标题 3 Char"/>
    <w:link w:val="5"/>
    <w:qFormat/>
    <w:uiPriority w:val="0"/>
    <w:rPr>
      <w:b/>
      <w:bCs/>
      <w:sz w:val="28"/>
      <w:szCs w:val="32"/>
    </w:rPr>
  </w:style>
  <w:style w:type="character" w:customStyle="1" w:styleId="51">
    <w:name w:val="正文缩进 Char"/>
    <w:link w:val="9"/>
    <w:qFormat/>
    <w:uiPriority w:val="0"/>
    <w:rPr>
      <w:kern w:val="2"/>
      <w:sz w:val="21"/>
      <w:szCs w:val="24"/>
    </w:rPr>
  </w:style>
  <w:style w:type="character" w:customStyle="1" w:styleId="52">
    <w:name w:val="文档结构图 Char"/>
    <w:link w:val="10"/>
    <w:qFormat/>
    <w:uiPriority w:val="0"/>
    <w:rPr>
      <w:rFonts w:ascii="宋体"/>
      <w:kern w:val="2"/>
      <w:sz w:val="18"/>
      <w:szCs w:val="18"/>
    </w:rPr>
  </w:style>
  <w:style w:type="character" w:customStyle="1" w:styleId="53">
    <w:name w:val="批注文字 Char"/>
    <w:link w:val="11"/>
    <w:qFormat/>
    <w:uiPriority w:val="99"/>
    <w:rPr>
      <w:kern w:val="2"/>
      <w:sz w:val="21"/>
      <w:szCs w:val="24"/>
    </w:rPr>
  </w:style>
  <w:style w:type="character" w:customStyle="1" w:styleId="54">
    <w:name w:val="批注框文本 Char"/>
    <w:link w:val="20"/>
    <w:qFormat/>
    <w:uiPriority w:val="99"/>
    <w:rPr>
      <w:kern w:val="2"/>
      <w:sz w:val="18"/>
      <w:szCs w:val="18"/>
    </w:rPr>
  </w:style>
  <w:style w:type="character" w:customStyle="1" w:styleId="55">
    <w:name w:val="页脚 Char"/>
    <w:link w:val="21"/>
    <w:qFormat/>
    <w:uiPriority w:val="99"/>
    <w:rPr>
      <w:kern w:val="2"/>
      <w:sz w:val="18"/>
    </w:rPr>
  </w:style>
  <w:style w:type="character" w:customStyle="1" w:styleId="56">
    <w:name w:val="页眉 Char"/>
    <w:link w:val="22"/>
    <w:qFormat/>
    <w:uiPriority w:val="99"/>
    <w:rPr>
      <w:kern w:val="2"/>
      <w:sz w:val="18"/>
    </w:rPr>
  </w:style>
  <w:style w:type="character" w:customStyle="1" w:styleId="57">
    <w:name w:val="批注主题 Char"/>
    <w:link w:val="32"/>
    <w:qFormat/>
    <w:uiPriority w:val="0"/>
    <w:rPr>
      <w:b/>
      <w:bCs/>
      <w:kern w:val="2"/>
      <w:sz w:val="21"/>
      <w:szCs w:val="24"/>
    </w:rPr>
  </w:style>
  <w:style w:type="character" w:customStyle="1" w:styleId="58">
    <w:name w:val="正文首行缩进 Char"/>
    <w:link w:val="33"/>
    <w:qFormat/>
    <w:uiPriority w:val="99"/>
    <w:rPr>
      <w:rFonts w:ascii="宋体" w:hAnsi="宋体" w:eastAsia="仿宋_GB2312" w:cs="宋体"/>
      <w:kern w:val="2"/>
      <w:sz w:val="24"/>
      <w:szCs w:val="24"/>
    </w:rPr>
  </w:style>
  <w:style w:type="paragraph" w:customStyle="1" w:styleId="59">
    <w:name w:val="Default"/>
    <w:next w:val="18"/>
    <w:qFormat/>
    <w:uiPriority w:val="0"/>
    <w:pPr>
      <w:widowControl w:val="0"/>
      <w:autoSpaceDE w:val="0"/>
      <w:autoSpaceDN w:val="0"/>
      <w:adjustRightInd w:val="0"/>
    </w:pPr>
    <w:rPr>
      <w:rFonts w:ascii="楷体à.ā" w:hAnsi="Times New Roman" w:eastAsia="楷体à.ā" w:cs="Times New Roman"/>
      <w:color w:val="000000"/>
      <w:sz w:val="24"/>
      <w:szCs w:val="22"/>
      <w:lang w:val="en-US" w:eastAsia="zh-CN" w:bidi="ar-SA"/>
    </w:rPr>
  </w:style>
  <w:style w:type="character" w:customStyle="1" w:styleId="60">
    <w:name w:val="font71"/>
    <w:basedOn w:val="36"/>
    <w:qFormat/>
    <w:uiPriority w:val="0"/>
    <w:rPr>
      <w:rFonts w:hint="eastAsia" w:ascii="宋体" w:hAnsi="宋体" w:eastAsia="宋体" w:cs="宋体"/>
      <w:b/>
      <w:bCs/>
      <w:color w:val="000000"/>
      <w:sz w:val="21"/>
      <w:szCs w:val="21"/>
      <w:u w:val="none"/>
    </w:rPr>
  </w:style>
  <w:style w:type="character" w:customStyle="1" w:styleId="61">
    <w:name w:val="font61"/>
    <w:basedOn w:val="36"/>
    <w:qFormat/>
    <w:uiPriority w:val="0"/>
    <w:rPr>
      <w:rFonts w:hint="eastAsia" w:ascii="宋体" w:hAnsi="宋体" w:eastAsia="宋体" w:cs="宋体"/>
      <w:color w:val="000000"/>
      <w:sz w:val="21"/>
      <w:szCs w:val="21"/>
      <w:u w:val="none"/>
    </w:rPr>
  </w:style>
  <w:style w:type="character" w:customStyle="1" w:styleId="62">
    <w:name w:val="批注文字 Char1"/>
    <w:qFormat/>
    <w:uiPriority w:val="0"/>
    <w:rPr>
      <w:rFonts w:ascii="Times New Roman" w:hAnsi="Times New Roman" w:eastAsia="宋体" w:cs="Times New Roman"/>
      <w:szCs w:val="24"/>
    </w:rPr>
  </w:style>
  <w:style w:type="character" w:customStyle="1" w:styleId="63">
    <w:name w:val="font91"/>
    <w:qFormat/>
    <w:uiPriority w:val="0"/>
    <w:rPr>
      <w:rFonts w:hint="eastAsia" w:ascii="宋体" w:hAnsi="宋体" w:eastAsia="宋体" w:cs="宋体"/>
      <w:color w:val="FF0000"/>
      <w:sz w:val="21"/>
      <w:szCs w:val="21"/>
      <w:u w:val="single"/>
    </w:rPr>
  </w:style>
  <w:style w:type="character" w:customStyle="1" w:styleId="64">
    <w:name w:val="img1"/>
    <w:uiPriority w:val="0"/>
  </w:style>
  <w:style w:type="character" w:customStyle="1" w:styleId="65">
    <w:name w:val="font01"/>
    <w:qFormat/>
    <w:uiPriority w:val="0"/>
    <w:rPr>
      <w:rFonts w:ascii="Arial" w:hAnsi="Arial" w:cs="Arial"/>
      <w:color w:val="000000"/>
      <w:sz w:val="22"/>
      <w:szCs w:val="22"/>
      <w:u w:val="none"/>
    </w:rPr>
  </w:style>
  <w:style w:type="character" w:customStyle="1" w:styleId="66">
    <w:name w:val="font101"/>
    <w:qFormat/>
    <w:uiPriority w:val="0"/>
    <w:rPr>
      <w:rFonts w:hint="eastAsia" w:ascii="宋体" w:hAnsi="宋体" w:eastAsia="宋体" w:cs="宋体"/>
      <w:color w:val="000000"/>
      <w:sz w:val="21"/>
      <w:szCs w:val="21"/>
      <w:u w:val="single"/>
    </w:rPr>
  </w:style>
  <w:style w:type="character" w:customStyle="1" w:styleId="67">
    <w:name w:val="font31"/>
    <w:qFormat/>
    <w:uiPriority w:val="0"/>
    <w:rPr>
      <w:rFonts w:hint="eastAsia" w:ascii="宋体" w:hAnsi="宋体" w:eastAsia="宋体" w:cs="宋体"/>
      <w:color w:val="000000"/>
      <w:sz w:val="21"/>
      <w:szCs w:val="21"/>
      <w:u w:val="none"/>
    </w:rPr>
  </w:style>
  <w:style w:type="character" w:customStyle="1" w:styleId="68">
    <w:name w:val="font81"/>
    <w:basedOn w:val="36"/>
    <w:qFormat/>
    <w:uiPriority w:val="0"/>
    <w:rPr>
      <w:rFonts w:hint="eastAsia" w:ascii="宋体" w:hAnsi="宋体" w:eastAsia="宋体" w:cs="宋体"/>
      <w:b/>
      <w:bCs/>
      <w:color w:val="000000"/>
      <w:sz w:val="21"/>
      <w:szCs w:val="21"/>
      <w:u w:val="single"/>
    </w:rPr>
  </w:style>
  <w:style w:type="character" w:customStyle="1" w:styleId="69">
    <w:name w:val="font111"/>
    <w:qFormat/>
    <w:uiPriority w:val="0"/>
    <w:rPr>
      <w:rFonts w:hint="default" w:ascii="Eʩ" w:hAnsi="Eʩ" w:eastAsia="Eʩ" w:cs="Eʩ"/>
      <w:color w:val="000000"/>
      <w:sz w:val="21"/>
      <w:szCs w:val="21"/>
      <w:u w:val="single"/>
    </w:rPr>
  </w:style>
  <w:style w:type="character" w:customStyle="1" w:styleId="70">
    <w:name w:val="img"/>
    <w:qFormat/>
    <w:uiPriority w:val="0"/>
  </w:style>
  <w:style w:type="character" w:customStyle="1" w:styleId="71">
    <w:name w:val="apple-converted-space"/>
    <w:qFormat/>
    <w:uiPriority w:val="0"/>
  </w:style>
  <w:style w:type="character" w:customStyle="1" w:styleId="72">
    <w:name w:val="正文文本 Char"/>
    <w:qFormat/>
    <w:uiPriority w:val="99"/>
    <w:rPr>
      <w:rFonts w:ascii="宋体" w:hAnsi="宋体" w:eastAsia="宋体" w:cs="宋体"/>
      <w:kern w:val="0"/>
      <w:sz w:val="24"/>
    </w:rPr>
  </w:style>
  <w:style w:type="character" w:customStyle="1" w:styleId="73">
    <w:name w:val="font112"/>
    <w:basedOn w:val="36"/>
    <w:qFormat/>
    <w:uiPriority w:val="0"/>
    <w:rPr>
      <w:rFonts w:hint="eastAsia" w:ascii="宋体" w:hAnsi="宋体" w:eastAsia="宋体" w:cs="宋体"/>
      <w:color w:val="000000"/>
      <w:sz w:val="21"/>
      <w:szCs w:val="21"/>
      <w:u w:val="single"/>
    </w:rPr>
  </w:style>
  <w:style w:type="paragraph" w:customStyle="1" w:styleId="74">
    <w:name w:val="13、表格内居中正文"/>
    <w:basedOn w:val="1"/>
    <w:qFormat/>
    <w:uiPriority w:val="0"/>
    <w:pPr>
      <w:tabs>
        <w:tab w:val="left" w:pos="0"/>
      </w:tabs>
      <w:wordWrap w:val="0"/>
      <w:topLinePunct/>
      <w:spacing w:line="360" w:lineRule="exact"/>
      <w:jc w:val="center"/>
    </w:pPr>
  </w:style>
  <w:style w:type="paragraph" w:customStyle="1" w:styleId="75">
    <w:name w:val="正文1"/>
    <w:qFormat/>
    <w:uiPriority w:val="0"/>
    <w:pPr>
      <w:widowControl w:val="0"/>
      <w:adjustRightInd w:val="0"/>
      <w:spacing w:after="160" w:line="312" w:lineRule="atLeast"/>
      <w:jc w:val="both"/>
      <w:textAlignment w:val="baseline"/>
    </w:pPr>
    <w:rPr>
      <w:rFonts w:ascii="宋体" w:hAnsi="Times New Roman" w:eastAsia="宋体" w:cs="Times New Roman"/>
      <w:sz w:val="34"/>
      <w:szCs w:val="22"/>
      <w:lang w:val="en-US" w:eastAsia="zh-CN" w:bidi="ar-SA"/>
    </w:rPr>
  </w:style>
  <w:style w:type="paragraph" w:customStyle="1" w:styleId="76">
    <w:name w:val="_Style 5"/>
    <w:basedOn w:val="1"/>
    <w:qFormat/>
    <w:uiPriority w:val="0"/>
    <w:pPr>
      <w:ind w:firstLine="420"/>
    </w:pPr>
    <w:rPr>
      <w:rFonts w:ascii="Calibri" w:hAnsi="Calibri"/>
      <w:szCs w:val="22"/>
    </w:rPr>
  </w:style>
  <w:style w:type="paragraph" w:customStyle="1" w:styleId="77">
    <w:name w:val="标题 5（有编号）（绿盟科技）"/>
    <w:basedOn w:val="1"/>
    <w:next w:val="78"/>
    <w:qFormat/>
    <w:uiPriority w:val="0"/>
    <w:pPr>
      <w:keepNext/>
      <w:keepLines/>
      <w:numPr>
        <w:ilvl w:val="4"/>
        <w:numId w:val="1"/>
      </w:numPr>
      <w:spacing w:before="280" w:after="156" w:line="377" w:lineRule="auto"/>
      <w:jc w:val="left"/>
      <w:outlineLvl w:val="4"/>
    </w:pPr>
    <w:rPr>
      <w:rFonts w:ascii="Arial" w:hAnsi="Arial" w:eastAsia="黑体"/>
      <w:b/>
      <w:sz w:val="24"/>
      <w:szCs w:val="28"/>
    </w:rPr>
  </w:style>
  <w:style w:type="paragraph" w:customStyle="1" w:styleId="78">
    <w:name w:val="正文（绿盟科技）"/>
    <w:qFormat/>
    <w:uiPriority w:val="99"/>
    <w:pPr>
      <w:spacing w:line="300" w:lineRule="auto"/>
    </w:pPr>
    <w:rPr>
      <w:rFonts w:ascii="Arial" w:hAnsi="Arial" w:eastAsia="宋体" w:cs="黑体"/>
      <w:sz w:val="21"/>
      <w:szCs w:val="21"/>
      <w:lang w:val="en-US" w:eastAsia="zh-CN" w:bidi="ar-SA"/>
    </w:rPr>
  </w:style>
  <w:style w:type="paragraph" w:customStyle="1" w:styleId="79">
    <w:name w:val=" Char Char Char"/>
    <w:basedOn w:val="1"/>
    <w:qFormat/>
    <w:uiPriority w:val="0"/>
    <w:rPr>
      <w:rFonts w:ascii="Times New Roman" w:hAnsi="Times New Roman"/>
    </w:rPr>
  </w:style>
  <w:style w:type="paragraph" w:customStyle="1" w:styleId="80">
    <w:name w:val="正文21"/>
    <w:qFormat/>
    <w:uiPriority w:val="0"/>
    <w:pPr>
      <w:widowControl w:val="0"/>
      <w:adjustRightInd w:val="0"/>
      <w:spacing w:line="312" w:lineRule="atLeast"/>
      <w:jc w:val="both"/>
      <w:textAlignment w:val="baseline"/>
    </w:pPr>
    <w:rPr>
      <w:rFonts w:ascii="宋体" w:hAnsi="Calibri" w:eastAsia="宋体" w:cs="Times New Roman"/>
      <w:sz w:val="34"/>
      <w:szCs w:val="22"/>
      <w:lang w:val="en-US" w:eastAsia="zh-CN" w:bidi="ar-SA"/>
    </w:rPr>
  </w:style>
  <w:style w:type="paragraph" w:customStyle="1" w:styleId="81">
    <w:name w:val="Table Paragraph"/>
    <w:basedOn w:val="1"/>
    <w:qFormat/>
    <w:uiPriority w:val="1"/>
    <w:rPr>
      <w:rFonts w:ascii="宋体" w:hAnsi="宋体" w:eastAsia="宋体" w:cs="宋体"/>
      <w:lang w:val="zh-CN" w:eastAsia="zh-CN" w:bidi="zh-CN"/>
    </w:rPr>
  </w:style>
  <w:style w:type="paragraph" w:customStyle="1" w:styleId="82">
    <w:name w:val="GW-正文"/>
    <w:basedOn w:val="1"/>
    <w:qFormat/>
    <w:uiPriority w:val="0"/>
    <w:pPr>
      <w:spacing w:line="360" w:lineRule="auto"/>
      <w:ind w:firstLine="200" w:firstLineChars="200"/>
    </w:pPr>
    <w:rPr>
      <w:rFonts w:eastAsia="仿宋_GB2312"/>
      <w:sz w:val="24"/>
    </w:rPr>
  </w:style>
  <w:style w:type="paragraph" w:customStyle="1" w:styleId="83">
    <w:name w:val="Body text|21"/>
    <w:basedOn w:val="1"/>
    <w:qFormat/>
    <w:uiPriority w:val="99"/>
    <w:pPr>
      <w:shd w:val="clear" w:color="auto" w:fill="FFFFFF"/>
      <w:spacing w:line="490" w:lineRule="exact"/>
      <w:ind w:firstLine="460"/>
      <w:jc w:val="distribute"/>
    </w:pPr>
    <w:rPr>
      <w:rFonts w:ascii="PMingLiUfalt" w:hAnsi="PMingLiUfalt" w:eastAsia="PMingLiUfalt" w:cs="PMingLiUfalt"/>
      <w:sz w:val="20"/>
      <w:szCs w:val="20"/>
    </w:rPr>
  </w:style>
  <w:style w:type="paragraph" w:customStyle="1" w:styleId="84">
    <w:name w:val="正文格式"/>
    <w:qFormat/>
    <w:uiPriority w:val="0"/>
    <w:pPr>
      <w:spacing w:line="360" w:lineRule="auto"/>
      <w:ind w:firstLine="200" w:firstLineChars="200"/>
    </w:pPr>
    <w:rPr>
      <w:rFonts w:ascii="Calibri" w:hAnsi="Calibri" w:eastAsia="宋体" w:cs="Times New Roman"/>
      <w:kern w:val="2"/>
      <w:sz w:val="28"/>
      <w:szCs w:val="22"/>
      <w:lang w:val="en-US" w:eastAsia="zh-CN" w:bidi="ar-SA"/>
    </w:rPr>
  </w:style>
  <w:style w:type="paragraph" w:customStyle="1" w:styleId="85">
    <w:name w:val="样式 首行缩进:  2 字符"/>
    <w:basedOn w:val="1"/>
    <w:qFormat/>
    <w:uiPriority w:val="0"/>
    <w:pPr>
      <w:spacing w:line="400" w:lineRule="exact"/>
      <w:ind w:firstLine="200" w:firstLineChars="200"/>
    </w:pPr>
    <w:rPr>
      <w:rFonts w:cs="宋体"/>
      <w:sz w:val="24"/>
    </w:rPr>
  </w:style>
  <w:style w:type="paragraph" w:customStyle="1" w:styleId="86">
    <w:name w:val="List Paragraph1"/>
    <w:basedOn w:val="1"/>
    <w:qFormat/>
    <w:uiPriority w:val="0"/>
    <w:pPr>
      <w:ind w:firstLine="420" w:firstLineChars="200"/>
    </w:pPr>
  </w:style>
  <w:style w:type="paragraph" w:styleId="87">
    <w:name w:val="List Paragraph"/>
    <w:basedOn w:val="1"/>
    <w:qFormat/>
    <w:uiPriority w:val="34"/>
    <w:pPr>
      <w:spacing w:after="0" w:line="240" w:lineRule="auto"/>
      <w:ind w:firstLine="420" w:firstLineChars="200"/>
    </w:pPr>
  </w:style>
  <w:style w:type="paragraph" w:customStyle="1" w:styleId="88">
    <w:name w:val="_Style 87"/>
    <w:semiHidden/>
    <w:qFormat/>
    <w:uiPriority w:val="99"/>
    <w:rPr>
      <w:rFonts w:ascii="Times New Roman" w:hAnsi="Times New Roman" w:eastAsia="宋体" w:cs="Times New Roman"/>
      <w:kern w:val="2"/>
      <w:sz w:val="21"/>
      <w:szCs w:val="24"/>
      <w:lang w:val="en-US" w:eastAsia="zh-CN" w:bidi="ar-SA"/>
    </w:rPr>
  </w:style>
  <w:style w:type="paragraph" w:customStyle="1" w:styleId="89">
    <w:name w:val="_Style 33"/>
    <w:basedOn w:val="1"/>
    <w:next w:val="87"/>
    <w:qFormat/>
    <w:uiPriority w:val="0"/>
    <w:pPr>
      <w:ind w:firstLine="420" w:firstLineChars="200"/>
    </w:pPr>
    <w:rPr>
      <w:rFonts w:ascii="宋体" w:hAnsi="Times New Roman"/>
      <w:kern w:val="0"/>
      <w:sz w:val="18"/>
      <w:szCs w:val="18"/>
    </w:rPr>
  </w:style>
  <w:style w:type="paragraph" w:customStyle="1" w:styleId="90">
    <w:name w:val="01、普通正文"/>
    <w:basedOn w:val="1"/>
    <w:qFormat/>
    <w:uiPriority w:val="0"/>
    <w:pPr>
      <w:tabs>
        <w:tab w:val="left" w:pos="0"/>
      </w:tabs>
      <w:wordWrap w:val="0"/>
      <w:topLinePunct/>
    </w:pPr>
    <w:rPr>
      <w:snapToGrid w:val="0"/>
    </w:rPr>
  </w:style>
  <w:style w:type="paragraph" w:customStyle="1" w:styleId="91">
    <w:name w:val="表格文字"/>
    <w:basedOn w:val="1"/>
    <w:qFormat/>
    <w:uiPriority w:val="0"/>
    <w:pPr>
      <w:autoSpaceDE w:val="0"/>
      <w:autoSpaceDN w:val="0"/>
      <w:adjustRightInd w:val="0"/>
      <w:jc w:val="left"/>
    </w:pPr>
  </w:style>
  <w:style w:type="paragraph" w:customStyle="1" w:styleId="92">
    <w:name w:val="正文 A"/>
    <w:qFormat/>
    <w:uiPriority w:val="0"/>
    <w:pPr>
      <w:widowControl w:val="0"/>
      <w:jc w:val="both"/>
    </w:pPr>
    <w:rPr>
      <w:rFonts w:ascii="Times New Roman" w:hAnsi="Times New Roman" w:eastAsia="ヒラギノ角ゴ Pro W3" w:cs="Times New Roman"/>
      <w:color w:val="000000"/>
      <w:kern w:val="2"/>
      <w:sz w:val="21"/>
      <w:lang w:val="en-US" w:eastAsia="zh-CN" w:bidi="ar-SA"/>
    </w:rPr>
  </w:style>
  <w:style w:type="paragraph" w:customStyle="1" w:styleId="93">
    <w:name w:val="_Style 1"/>
    <w:basedOn w:val="1"/>
    <w:qFormat/>
    <w:uiPriority w:val="0"/>
    <w:pPr>
      <w:spacing w:after="0" w:line="240" w:lineRule="auto"/>
      <w:ind w:firstLine="420" w:firstLineChars="200"/>
    </w:pPr>
    <w:rPr>
      <w:szCs w:val="22"/>
    </w:rPr>
  </w:style>
  <w:style w:type="paragraph" w:customStyle="1" w:styleId="94">
    <w:name w:val="正文格式（正式）"/>
    <w:basedOn w:val="1"/>
    <w:qFormat/>
    <w:uiPriority w:val="0"/>
    <w:pPr>
      <w:ind w:firstLine="200" w:firstLineChars="200"/>
    </w:pPr>
    <w:rPr>
      <w:rFonts w:ascii="Calibri" w:hAnsi="Calibri" w:cs="宋体"/>
      <w:szCs w:val="20"/>
    </w:rPr>
  </w:style>
  <w:style w:type="paragraph" w:customStyle="1" w:styleId="95">
    <w:name w:val="正文首行缩进两字符"/>
    <w:basedOn w:val="1"/>
    <w:qFormat/>
    <w:uiPriority w:val="0"/>
    <w:pPr>
      <w:spacing w:line="360" w:lineRule="auto"/>
      <w:ind w:firstLine="200" w:firstLineChars="200"/>
    </w:pPr>
  </w:style>
  <w:style w:type="paragraph" w:customStyle="1" w:styleId="96">
    <w:name w:val="表格"/>
    <w:basedOn w:val="1"/>
    <w:qFormat/>
    <w:uiPriority w:val="0"/>
    <w:pPr>
      <w:spacing w:line="400" w:lineRule="exact"/>
    </w:pPr>
    <w:rPr>
      <w:rFonts w:ascii="Times New Roman" w:hAnsi="Times New Roman"/>
      <w:sz w:val="24"/>
    </w:rPr>
  </w:style>
  <w:style w:type="paragraph" w:customStyle="1" w:styleId="97">
    <w:name w:val="WPSOffice手动目录 1"/>
    <w:qFormat/>
    <w:uiPriority w:val="0"/>
    <w:rPr>
      <w:rFonts w:ascii="Times New Roman" w:hAnsi="Times New Roman" w:eastAsia="宋体" w:cs="Times New Roman"/>
      <w:lang w:val="en-US" w:eastAsia="zh-CN" w:bidi="ar-SA"/>
    </w:rPr>
  </w:style>
  <w:style w:type="paragraph" w:customStyle="1" w:styleId="98">
    <w:name w:val="无间隔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99">
    <w:name w:val="12、表格内左对齐正文"/>
    <w:basedOn w:val="1"/>
    <w:qFormat/>
    <w:uiPriority w:val="0"/>
    <w:pPr>
      <w:tabs>
        <w:tab w:val="left" w:pos="0"/>
      </w:tabs>
      <w:wordWrap w:val="0"/>
      <w:topLinePunct/>
      <w:spacing w:line="360" w:lineRule="exact"/>
      <w:ind w:left="48" w:leftChars="20"/>
    </w:pPr>
    <w:rPr>
      <w:snapToGrid w:val="0"/>
    </w:rPr>
  </w:style>
  <w:style w:type="paragraph" w:styleId="100">
    <w:name w:val="No Spacing"/>
    <w:qFormat/>
    <w:uiPriority w:val="1"/>
    <w:pPr>
      <w:widowControl w:val="0"/>
      <w:ind w:firstLine="200" w:firstLineChars="200"/>
      <w:jc w:val="both"/>
    </w:pPr>
    <w:rPr>
      <w:rFonts w:ascii="Calibri" w:hAnsi="Calibri" w:eastAsia="宋体" w:cs="Times New Roman"/>
      <w:kern w:val="2"/>
      <w:sz w:val="24"/>
      <w:szCs w:val="22"/>
      <w:lang w:val="en-US" w:eastAsia="zh-CN" w:bidi="ar-SA"/>
    </w:rPr>
  </w:style>
  <w:style w:type="table" w:customStyle="1" w:styleId="101">
    <w:name w:val="Table Normal"/>
    <w:qFormat/>
    <w:uiPriority w:val="0"/>
    <w:rPr>
      <w:lang w:val="en-US" w:eastAsia="zh-CN" w:bidi="ar-SA"/>
    </w:rPr>
    <w:tblPr>
      <w:tblCellMar>
        <w:top w:w="0" w:type="dxa"/>
        <w:left w:w="0" w:type="dxa"/>
        <w:bottom w:w="0" w:type="dxa"/>
        <w:right w:w="0" w:type="dxa"/>
      </w:tblCellMar>
    </w:tblPr>
  </w:style>
  <w:style w:type="character" w:customStyle="1" w:styleId="102">
    <w:name w:val="无"/>
    <w:qFormat/>
    <w:uiPriority w:val="0"/>
  </w:style>
  <w:style w:type="character" w:customStyle="1" w:styleId="103">
    <w:name w:val="font11"/>
    <w:basedOn w:val="36"/>
    <w:qFormat/>
    <w:uiPriority w:val="0"/>
    <w:rPr>
      <w:rFonts w:hint="default" w:ascii="Times New Roman" w:hAnsi="Times New Roman" w:cs="Times New Roman"/>
      <w:color w:val="000000"/>
      <w:sz w:val="20"/>
      <w:szCs w:val="20"/>
      <w:u w:val="none"/>
    </w:rPr>
  </w:style>
  <w:style w:type="paragraph" w:customStyle="1" w:styleId="104">
    <w:name w:val="drug-explain-txt"/>
    <w:basedOn w:val="1"/>
    <w:qFormat/>
    <w:uiPriority w:val="0"/>
    <w:pPr>
      <w:widowControl/>
      <w:spacing w:before="100" w:beforeAutospacing="1" w:after="100" w:afterAutospacing="1" w:line="164" w:lineRule="atLeast"/>
      <w:jc w:val="left"/>
    </w:pPr>
    <w:rPr>
      <w:rFonts w:ascii="宋体" w:hAnsi="宋体" w:eastAsia="宋体" w:cs="宋体"/>
      <w:kern w:val="0"/>
      <w:sz w:val="24"/>
      <w:szCs w:val="24"/>
    </w:rPr>
  </w:style>
  <w:style w:type="paragraph" w:customStyle="1" w:styleId="105">
    <w:name w:val="_Style 3"/>
    <w:qFormat/>
    <w:uiPriority w:val="0"/>
    <w:pPr>
      <w:widowControl w:val="0"/>
      <w:jc w:val="both"/>
    </w:pPr>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119</Pages>
  <Words>51889</Words>
  <Characters>54477</Characters>
  <Lines>554</Lines>
  <Paragraphs>155</Paragraphs>
  <TotalTime>152</TotalTime>
  <ScaleCrop>false</ScaleCrop>
  <LinksUpToDate>false</LinksUpToDate>
  <CharactersWithSpaces>56470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2021-08-12T15:55:00Z</dcterms:created>
  <dc:creator>s</dc:creator>
  <cp:lastModifiedBy>簡愛</cp:lastModifiedBy>
  <cp:lastPrinted>2021-08-12T16:00:00Z</cp:lastPrinted>
  <dcterms:modified xsi:type="dcterms:W3CDTF">2021-12-13T06:21:07Z</dcterms:modified>
  <dc:title>招标编号：xxxx [xxxx] xx号</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C163F37E076F4E159B87F142EAEA8BC2</vt:lpwstr>
  </property>
</Properties>
</file>