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eastAsia="仿宋" w:cs="仿宋"/>
          <w:b/>
          <w:bCs/>
          <w:color w:val="000000" w:themeColor="text1"/>
          <w:sz w:val="32"/>
          <w:szCs w:val="32"/>
        </w:rPr>
      </w:pPr>
      <w:r>
        <w:rPr>
          <w:rFonts w:ascii="宋体" w:hAnsi="宋体" w:cs="宋体"/>
          <w:color w:val="000000"/>
        </w:rPr>
        <w:drawing>
          <wp:inline distT="0" distB="0" distL="114300" distR="114300">
            <wp:extent cx="2419350" cy="1247140"/>
            <wp:effectExtent l="0" t="0" r="6350" b="1016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a:stretch>
                      <a:fillRect/>
                    </a:stretch>
                  </pic:blipFill>
                  <pic:spPr>
                    <a:xfrm>
                      <a:off x="0" y="0"/>
                      <a:ext cx="2419350" cy="1247140"/>
                    </a:xfrm>
                    <a:prstGeom prst="rect">
                      <a:avLst/>
                    </a:prstGeom>
                    <a:noFill/>
                    <a:ln>
                      <a:noFill/>
                    </a:ln>
                  </pic:spPr>
                </pic:pic>
              </a:graphicData>
            </a:graphic>
          </wp:inline>
        </w:drawing>
      </w:r>
    </w:p>
    <w:p>
      <w:pPr>
        <w:jc w:val="center"/>
        <w:rPr>
          <w:rFonts w:ascii="仿宋" w:hAnsi="仿宋" w:eastAsia="仿宋" w:cs="仿宋"/>
          <w:b/>
          <w:bCs/>
          <w:sz w:val="52"/>
          <w:szCs w:val="52"/>
        </w:rPr>
      </w:pPr>
      <w:r>
        <w:rPr>
          <w:rFonts w:hint="eastAsia" w:ascii="仿宋" w:hAnsi="仿宋" w:eastAsia="仿宋" w:cs="仿宋"/>
          <w:b/>
          <w:bCs/>
          <w:sz w:val="44"/>
          <w:szCs w:val="44"/>
        </w:rPr>
        <w:t>成都市双流区环境卫生管理所双流区生活垃圾压缩站渗滤液及冲洗废水无害化处理服务项目</w:t>
      </w:r>
    </w:p>
    <w:p>
      <w:pPr>
        <w:pStyle w:val="2"/>
        <w:jc w:val="center"/>
        <w:rPr>
          <w:rFonts w:eastAsia="仿宋"/>
        </w:rPr>
      </w:pPr>
      <w:r>
        <w:rPr>
          <w:rFonts w:hint="eastAsia" w:ascii="仿宋" w:hAnsi="仿宋" w:eastAsia="仿宋" w:cs="仿宋"/>
          <w:b/>
          <w:bCs/>
          <w:color w:val="000000" w:themeColor="text1"/>
          <w:sz w:val="32"/>
          <w:szCs w:val="32"/>
        </w:rPr>
        <w:t>招标编号：挂网自动生成</w:t>
      </w:r>
    </w:p>
    <w:p>
      <w:pPr>
        <w:rPr>
          <w:rFonts w:ascii="仿宋" w:hAnsi="仿宋" w:eastAsia="仿宋" w:cs="仿宋"/>
          <w:sz w:val="52"/>
          <w:szCs w:val="52"/>
        </w:rPr>
      </w:pPr>
    </w:p>
    <w:p>
      <w:pPr>
        <w:tabs>
          <w:tab w:val="left" w:pos="2505"/>
          <w:tab w:val="center" w:pos="4204"/>
        </w:tabs>
        <w:jc w:val="center"/>
        <w:rPr>
          <w:rFonts w:ascii="仿宋" w:hAnsi="仿宋" w:eastAsia="仿宋" w:cs="仿宋"/>
          <w:sz w:val="72"/>
          <w:szCs w:val="72"/>
        </w:rPr>
      </w:pPr>
      <w:r>
        <w:rPr>
          <w:rFonts w:hint="eastAsia" w:ascii="仿宋" w:hAnsi="仿宋" w:eastAsia="仿宋" w:cs="仿宋"/>
          <w:sz w:val="72"/>
          <w:szCs w:val="72"/>
        </w:rPr>
        <w:t>招</w:t>
      </w:r>
    </w:p>
    <w:p>
      <w:pPr>
        <w:jc w:val="center"/>
        <w:rPr>
          <w:rFonts w:ascii="仿宋" w:hAnsi="仿宋" w:eastAsia="仿宋" w:cs="仿宋"/>
          <w:sz w:val="72"/>
          <w:szCs w:val="72"/>
        </w:rPr>
      </w:pPr>
      <w:r>
        <w:rPr>
          <w:rFonts w:hint="eastAsia" w:ascii="仿宋" w:hAnsi="仿宋" w:eastAsia="仿宋" w:cs="仿宋"/>
          <w:sz w:val="72"/>
          <w:szCs w:val="72"/>
        </w:rPr>
        <w:t>标</w:t>
      </w:r>
    </w:p>
    <w:p>
      <w:pPr>
        <w:jc w:val="center"/>
        <w:rPr>
          <w:rFonts w:ascii="仿宋" w:hAnsi="仿宋" w:eastAsia="仿宋" w:cs="仿宋"/>
          <w:sz w:val="72"/>
          <w:szCs w:val="72"/>
        </w:rPr>
      </w:pPr>
      <w:r>
        <w:rPr>
          <w:rFonts w:hint="eastAsia" w:ascii="仿宋" w:hAnsi="仿宋" w:eastAsia="仿宋" w:cs="仿宋"/>
          <w:sz w:val="72"/>
          <w:szCs w:val="72"/>
        </w:rPr>
        <w:t>文</w:t>
      </w:r>
    </w:p>
    <w:p>
      <w:pPr>
        <w:jc w:val="center"/>
        <w:rPr>
          <w:rFonts w:ascii="仿宋" w:hAnsi="仿宋" w:eastAsia="仿宋" w:cs="仿宋"/>
          <w:sz w:val="72"/>
          <w:szCs w:val="72"/>
        </w:rPr>
      </w:pPr>
      <w:r>
        <w:rPr>
          <w:rFonts w:hint="eastAsia" w:ascii="仿宋" w:hAnsi="仿宋" w:eastAsia="仿宋" w:cs="仿宋"/>
          <w:sz w:val="72"/>
          <w:szCs w:val="72"/>
        </w:rPr>
        <w:t>件</w:t>
      </w:r>
    </w:p>
    <w:p>
      <w:pPr>
        <w:spacing w:line="360" w:lineRule="auto"/>
        <w:rPr>
          <w:rFonts w:ascii="仿宋" w:hAnsi="仿宋" w:eastAsia="仿宋" w:cs="仿宋"/>
          <w:sz w:val="32"/>
          <w:szCs w:val="32"/>
        </w:rPr>
      </w:pPr>
    </w:p>
    <w:p>
      <w:pPr>
        <w:tabs>
          <w:tab w:val="left" w:pos="3780"/>
        </w:tabs>
        <w:snapToGrid w:val="0"/>
        <w:spacing w:line="360" w:lineRule="auto"/>
        <w:jc w:val="center"/>
        <w:rPr>
          <w:rFonts w:ascii="仿宋" w:hAnsi="仿宋" w:eastAsia="仿宋" w:cs="仿宋"/>
          <w:b/>
          <w:bCs/>
          <w:kern w:val="0"/>
          <w:sz w:val="32"/>
          <w:szCs w:val="32"/>
        </w:rPr>
      </w:pPr>
      <w:r>
        <w:rPr>
          <w:rFonts w:hint="eastAsia" w:ascii="仿宋" w:hAnsi="仿宋" w:eastAsia="仿宋" w:cs="仿宋"/>
          <w:b/>
          <w:bCs/>
          <w:kern w:val="0"/>
          <w:sz w:val="32"/>
          <w:szCs w:val="32"/>
        </w:rPr>
        <w:t>采购人：成都市双流区环境卫生管理所</w:t>
      </w:r>
    </w:p>
    <w:p>
      <w:pPr>
        <w:tabs>
          <w:tab w:val="left" w:pos="3780"/>
        </w:tabs>
        <w:snapToGrid w:val="0"/>
        <w:spacing w:line="360" w:lineRule="auto"/>
        <w:jc w:val="center"/>
        <w:rPr>
          <w:rFonts w:ascii="仿宋" w:hAnsi="仿宋" w:eastAsia="仿宋" w:cs="仿宋"/>
          <w:b/>
          <w:bCs/>
          <w:kern w:val="0"/>
          <w:sz w:val="32"/>
          <w:szCs w:val="32"/>
        </w:rPr>
      </w:pPr>
      <w:r>
        <w:rPr>
          <w:rFonts w:hint="eastAsia" w:ascii="仿宋" w:hAnsi="仿宋" w:eastAsia="仿宋" w:cs="仿宋"/>
          <w:b/>
          <w:bCs/>
          <w:kern w:val="0"/>
          <w:sz w:val="32"/>
          <w:szCs w:val="32"/>
        </w:rPr>
        <w:t>采购代理机构：利阳致诚国际项目管理有限公司</w:t>
      </w:r>
    </w:p>
    <w:p>
      <w:pPr>
        <w:tabs>
          <w:tab w:val="left" w:pos="3780"/>
        </w:tabs>
        <w:snapToGrid w:val="0"/>
        <w:spacing w:line="360" w:lineRule="auto"/>
        <w:jc w:val="center"/>
        <w:rPr>
          <w:rFonts w:ascii="仿宋" w:hAnsi="仿宋" w:eastAsia="仿宋" w:cs="仿宋"/>
          <w:b/>
          <w:bCs/>
          <w:kern w:val="0"/>
          <w:sz w:val="32"/>
          <w:szCs w:val="32"/>
        </w:rPr>
      </w:pPr>
      <w:r>
        <w:rPr>
          <w:rFonts w:hint="eastAsia" w:ascii="仿宋" w:hAnsi="仿宋" w:eastAsia="仿宋" w:cs="仿宋"/>
          <w:b/>
          <w:bCs/>
          <w:kern w:val="0"/>
          <w:sz w:val="32"/>
          <w:szCs w:val="32"/>
        </w:rPr>
        <w:t>共同编制</w:t>
      </w:r>
    </w:p>
    <w:p>
      <w:pPr>
        <w:tabs>
          <w:tab w:val="left" w:pos="3780"/>
        </w:tabs>
        <w:snapToGrid w:val="0"/>
        <w:spacing w:line="480" w:lineRule="auto"/>
        <w:jc w:val="center"/>
        <w:rPr>
          <w:rFonts w:ascii="仿宋" w:hAnsi="仿宋" w:eastAsia="仿宋" w:cs="仿宋"/>
          <w:b/>
          <w:bCs/>
          <w:kern w:val="0"/>
          <w:sz w:val="32"/>
          <w:szCs w:val="32"/>
        </w:rPr>
      </w:pPr>
      <w:r>
        <w:rPr>
          <w:rFonts w:hint="eastAsia" w:ascii="仿宋" w:hAnsi="仿宋" w:eastAsia="仿宋" w:cs="仿宋"/>
          <w:b/>
          <w:bCs/>
          <w:kern w:val="0"/>
          <w:sz w:val="32"/>
          <w:szCs w:val="32"/>
        </w:rPr>
        <w:t>二〇二一年</w:t>
      </w:r>
      <w:r>
        <w:rPr>
          <w:rFonts w:hint="eastAsia" w:ascii="仿宋" w:hAnsi="仿宋" w:eastAsia="仿宋" w:cs="仿宋"/>
          <w:b/>
          <w:bCs/>
          <w:kern w:val="0"/>
          <w:sz w:val="32"/>
          <w:szCs w:val="32"/>
          <w:lang w:val="en-US" w:eastAsia="zh-CN"/>
        </w:rPr>
        <w:t>十一</w:t>
      </w:r>
      <w:r>
        <w:rPr>
          <w:rFonts w:hint="eastAsia" w:ascii="仿宋" w:hAnsi="仿宋" w:eastAsia="仿宋" w:cs="仿宋"/>
          <w:b/>
          <w:bCs/>
          <w:kern w:val="0"/>
          <w:sz w:val="32"/>
          <w:szCs w:val="32"/>
        </w:rPr>
        <w:t>月</w:t>
      </w:r>
    </w:p>
    <w:p>
      <w:pPr>
        <w:spacing w:line="360" w:lineRule="auto"/>
        <w:jc w:val="center"/>
        <w:rPr>
          <w:rFonts w:ascii="仿宋" w:hAnsi="仿宋" w:eastAsia="仿宋" w:cs="仿宋"/>
          <w:b/>
          <w:sz w:val="36"/>
          <w:szCs w:val="36"/>
        </w:rPr>
      </w:pPr>
    </w:p>
    <w:p>
      <w:pPr>
        <w:jc w:val="center"/>
        <w:rPr>
          <w:rFonts w:ascii="仿宋" w:hAnsi="仿宋" w:eastAsia="仿宋" w:cs="仿宋"/>
          <w:b/>
          <w:bCs/>
          <w:sz w:val="44"/>
          <w:szCs w:val="44"/>
        </w:rPr>
      </w:pPr>
      <w:bookmarkStart w:id="0" w:name="_Hlt101233737"/>
      <w:bookmarkEnd w:id="0"/>
      <w:bookmarkStart w:id="1" w:name="_Hlt101843627"/>
      <w:bookmarkEnd w:id="1"/>
      <w:r>
        <w:rPr>
          <w:rFonts w:hint="eastAsia" w:ascii="仿宋" w:hAnsi="仿宋" w:eastAsia="仿宋" w:cs="仿宋"/>
          <w:b/>
          <w:bCs/>
          <w:sz w:val="44"/>
          <w:szCs w:val="44"/>
        </w:rPr>
        <w:t>目    录</w:t>
      </w:r>
    </w:p>
    <w:p>
      <w:pPr>
        <w:jc w:val="center"/>
        <w:rPr>
          <w:rFonts w:ascii="仿宋" w:hAnsi="仿宋" w:eastAsia="仿宋" w:cs="仿宋"/>
          <w:b/>
          <w:bCs/>
          <w:sz w:val="36"/>
          <w:szCs w:val="36"/>
        </w:rPr>
      </w:pPr>
    </w:p>
    <w:p>
      <w:pPr>
        <w:pStyle w:val="19"/>
        <w:tabs>
          <w:tab w:val="right" w:leader="dot" w:pos="8959"/>
        </w:tabs>
        <w:rPr>
          <w:sz w:val="36"/>
          <w:szCs w:val="44"/>
        </w:rPr>
      </w:pPr>
      <w:r>
        <w:rPr>
          <w:rFonts w:hint="eastAsia" w:ascii="仿宋" w:hAnsi="仿宋" w:eastAsia="仿宋" w:cs="仿宋"/>
          <w:sz w:val="48"/>
          <w:szCs w:val="48"/>
        </w:rPr>
        <w:fldChar w:fldCharType="begin"/>
      </w:r>
      <w:r>
        <w:rPr>
          <w:rFonts w:hint="eastAsia" w:ascii="仿宋" w:hAnsi="仿宋" w:eastAsia="仿宋" w:cs="仿宋"/>
          <w:sz w:val="48"/>
          <w:szCs w:val="48"/>
        </w:rPr>
        <w:instrText xml:space="preserve">TOC \o "1-1" \h \u </w:instrText>
      </w:r>
      <w:r>
        <w:rPr>
          <w:rFonts w:hint="eastAsia" w:ascii="仿宋" w:hAnsi="仿宋" w:eastAsia="仿宋" w:cs="仿宋"/>
          <w:sz w:val="48"/>
          <w:szCs w:val="48"/>
        </w:rPr>
        <w:fldChar w:fldCharType="separate"/>
      </w:r>
      <w:r>
        <w:fldChar w:fldCharType="begin"/>
      </w:r>
      <w:r>
        <w:instrText xml:space="preserve"> HYPERLINK \l "_Toc17958" </w:instrText>
      </w:r>
      <w:r>
        <w:fldChar w:fldCharType="separate"/>
      </w:r>
      <w:r>
        <w:rPr>
          <w:rFonts w:hint="eastAsia" w:ascii="仿宋" w:hAnsi="仿宋" w:eastAsia="仿宋" w:cs="仿宋"/>
          <w:sz w:val="36"/>
          <w:szCs w:val="56"/>
        </w:rPr>
        <w:t>第一章  投标邀请</w:t>
      </w:r>
      <w:r>
        <w:rPr>
          <w:sz w:val="36"/>
          <w:szCs w:val="44"/>
        </w:rPr>
        <w:tab/>
      </w:r>
      <w:r>
        <w:rPr>
          <w:sz w:val="36"/>
          <w:szCs w:val="44"/>
        </w:rPr>
        <w:fldChar w:fldCharType="begin"/>
      </w:r>
      <w:r>
        <w:rPr>
          <w:sz w:val="36"/>
          <w:szCs w:val="44"/>
        </w:rPr>
        <w:instrText xml:space="preserve"> PAGEREF _Toc17958 \h </w:instrText>
      </w:r>
      <w:r>
        <w:rPr>
          <w:sz w:val="36"/>
          <w:szCs w:val="44"/>
        </w:rPr>
        <w:fldChar w:fldCharType="separate"/>
      </w:r>
      <w:r>
        <w:rPr>
          <w:sz w:val="36"/>
          <w:szCs w:val="44"/>
        </w:rPr>
        <w:t>1</w:t>
      </w:r>
      <w:r>
        <w:rPr>
          <w:sz w:val="36"/>
          <w:szCs w:val="44"/>
        </w:rPr>
        <w:fldChar w:fldCharType="end"/>
      </w:r>
      <w:r>
        <w:rPr>
          <w:sz w:val="36"/>
          <w:szCs w:val="44"/>
        </w:rPr>
        <w:fldChar w:fldCharType="end"/>
      </w:r>
    </w:p>
    <w:p>
      <w:pPr>
        <w:pStyle w:val="19"/>
        <w:tabs>
          <w:tab w:val="right" w:leader="dot" w:pos="8959"/>
        </w:tabs>
        <w:rPr>
          <w:sz w:val="36"/>
          <w:szCs w:val="44"/>
        </w:rPr>
      </w:pPr>
      <w:r>
        <w:fldChar w:fldCharType="begin"/>
      </w:r>
      <w:r>
        <w:instrText xml:space="preserve"> HYPERLINK \l "_Toc7661" </w:instrText>
      </w:r>
      <w:r>
        <w:fldChar w:fldCharType="separate"/>
      </w:r>
      <w:r>
        <w:rPr>
          <w:rFonts w:hint="eastAsia" w:ascii="仿宋" w:hAnsi="仿宋" w:eastAsia="仿宋" w:cs="仿宋"/>
          <w:sz w:val="36"/>
          <w:szCs w:val="56"/>
        </w:rPr>
        <w:t>第二章  投标人须知</w:t>
      </w:r>
      <w:r>
        <w:rPr>
          <w:sz w:val="36"/>
          <w:szCs w:val="44"/>
        </w:rPr>
        <w:tab/>
      </w:r>
      <w:r>
        <w:rPr>
          <w:sz w:val="36"/>
          <w:szCs w:val="44"/>
        </w:rPr>
        <w:fldChar w:fldCharType="begin"/>
      </w:r>
      <w:r>
        <w:rPr>
          <w:sz w:val="36"/>
          <w:szCs w:val="44"/>
        </w:rPr>
        <w:instrText xml:space="preserve"> PAGEREF _Toc7661 \h </w:instrText>
      </w:r>
      <w:r>
        <w:rPr>
          <w:sz w:val="36"/>
          <w:szCs w:val="44"/>
        </w:rPr>
        <w:fldChar w:fldCharType="separate"/>
      </w:r>
      <w:r>
        <w:rPr>
          <w:sz w:val="36"/>
          <w:szCs w:val="44"/>
        </w:rPr>
        <w:t>4</w:t>
      </w:r>
      <w:r>
        <w:rPr>
          <w:sz w:val="36"/>
          <w:szCs w:val="44"/>
        </w:rPr>
        <w:fldChar w:fldCharType="end"/>
      </w:r>
      <w:r>
        <w:rPr>
          <w:sz w:val="36"/>
          <w:szCs w:val="44"/>
        </w:rPr>
        <w:fldChar w:fldCharType="end"/>
      </w:r>
    </w:p>
    <w:p>
      <w:pPr>
        <w:pStyle w:val="19"/>
        <w:tabs>
          <w:tab w:val="right" w:leader="dot" w:pos="8959"/>
        </w:tabs>
        <w:rPr>
          <w:sz w:val="36"/>
          <w:szCs w:val="44"/>
        </w:rPr>
      </w:pPr>
      <w:r>
        <w:fldChar w:fldCharType="begin"/>
      </w:r>
      <w:r>
        <w:instrText xml:space="preserve"> HYPERLINK \l "_Toc27605" </w:instrText>
      </w:r>
      <w:r>
        <w:fldChar w:fldCharType="separate"/>
      </w:r>
      <w:r>
        <w:rPr>
          <w:rFonts w:hint="eastAsia" w:ascii="仿宋" w:hAnsi="仿宋" w:eastAsia="仿宋" w:cs="仿宋"/>
          <w:sz w:val="36"/>
          <w:szCs w:val="56"/>
        </w:rPr>
        <w:t>第三章  投标文件格式</w:t>
      </w:r>
      <w:r>
        <w:rPr>
          <w:sz w:val="36"/>
          <w:szCs w:val="44"/>
        </w:rPr>
        <w:tab/>
      </w:r>
      <w:r>
        <w:rPr>
          <w:sz w:val="36"/>
          <w:szCs w:val="44"/>
        </w:rPr>
        <w:fldChar w:fldCharType="begin"/>
      </w:r>
      <w:r>
        <w:rPr>
          <w:sz w:val="36"/>
          <w:szCs w:val="44"/>
        </w:rPr>
        <w:instrText xml:space="preserve"> PAGEREF _Toc27605 \h </w:instrText>
      </w:r>
      <w:r>
        <w:rPr>
          <w:sz w:val="36"/>
          <w:szCs w:val="44"/>
        </w:rPr>
        <w:fldChar w:fldCharType="separate"/>
      </w:r>
      <w:r>
        <w:rPr>
          <w:sz w:val="36"/>
          <w:szCs w:val="44"/>
        </w:rPr>
        <w:t>23</w:t>
      </w:r>
      <w:r>
        <w:rPr>
          <w:sz w:val="36"/>
          <w:szCs w:val="44"/>
        </w:rPr>
        <w:fldChar w:fldCharType="end"/>
      </w:r>
      <w:r>
        <w:rPr>
          <w:sz w:val="36"/>
          <w:szCs w:val="44"/>
        </w:rPr>
        <w:fldChar w:fldCharType="end"/>
      </w:r>
    </w:p>
    <w:p>
      <w:pPr>
        <w:pStyle w:val="19"/>
        <w:tabs>
          <w:tab w:val="right" w:leader="dot" w:pos="8959"/>
        </w:tabs>
        <w:rPr>
          <w:sz w:val="36"/>
          <w:szCs w:val="44"/>
        </w:rPr>
      </w:pPr>
      <w:r>
        <w:fldChar w:fldCharType="begin"/>
      </w:r>
      <w:r>
        <w:instrText xml:space="preserve"> HYPERLINK \l "_Toc19927" </w:instrText>
      </w:r>
      <w:r>
        <w:fldChar w:fldCharType="separate"/>
      </w:r>
      <w:r>
        <w:rPr>
          <w:rFonts w:hint="eastAsia" w:ascii="仿宋" w:hAnsi="仿宋" w:eastAsia="仿宋" w:cs="仿宋"/>
          <w:sz w:val="36"/>
          <w:szCs w:val="56"/>
        </w:rPr>
        <w:t>第四章  投标人和投标产品的资格、资质性及其他类似效力要求</w:t>
      </w:r>
      <w:r>
        <w:rPr>
          <w:sz w:val="36"/>
          <w:szCs w:val="44"/>
        </w:rPr>
        <w:tab/>
      </w:r>
      <w:r>
        <w:rPr>
          <w:sz w:val="36"/>
          <w:szCs w:val="44"/>
        </w:rPr>
        <w:fldChar w:fldCharType="begin"/>
      </w:r>
      <w:r>
        <w:rPr>
          <w:sz w:val="36"/>
          <w:szCs w:val="44"/>
        </w:rPr>
        <w:instrText xml:space="preserve"> PAGEREF _Toc19927 \h </w:instrText>
      </w:r>
      <w:r>
        <w:rPr>
          <w:sz w:val="36"/>
          <w:szCs w:val="44"/>
        </w:rPr>
        <w:fldChar w:fldCharType="separate"/>
      </w:r>
      <w:r>
        <w:rPr>
          <w:sz w:val="36"/>
          <w:szCs w:val="44"/>
        </w:rPr>
        <w:t>41</w:t>
      </w:r>
      <w:r>
        <w:rPr>
          <w:sz w:val="36"/>
          <w:szCs w:val="44"/>
        </w:rPr>
        <w:fldChar w:fldCharType="end"/>
      </w:r>
      <w:r>
        <w:rPr>
          <w:sz w:val="36"/>
          <w:szCs w:val="44"/>
        </w:rPr>
        <w:fldChar w:fldCharType="end"/>
      </w:r>
    </w:p>
    <w:p>
      <w:pPr>
        <w:pStyle w:val="19"/>
        <w:tabs>
          <w:tab w:val="right" w:leader="dot" w:pos="8959"/>
        </w:tabs>
        <w:rPr>
          <w:sz w:val="36"/>
          <w:szCs w:val="44"/>
        </w:rPr>
      </w:pPr>
      <w:r>
        <w:fldChar w:fldCharType="begin"/>
      </w:r>
      <w:r>
        <w:instrText xml:space="preserve"> HYPERLINK \l "_Toc8782" </w:instrText>
      </w:r>
      <w:r>
        <w:fldChar w:fldCharType="separate"/>
      </w:r>
      <w:r>
        <w:rPr>
          <w:rFonts w:hint="eastAsia" w:ascii="仿宋" w:hAnsi="仿宋" w:eastAsia="仿宋" w:cs="仿宋"/>
          <w:sz w:val="36"/>
          <w:szCs w:val="56"/>
        </w:rPr>
        <w:t>第五章  投标人应当提供的资格、资质性及其他类似效力要求的相关证明材料</w:t>
      </w:r>
      <w:r>
        <w:rPr>
          <w:sz w:val="36"/>
          <w:szCs w:val="44"/>
        </w:rPr>
        <w:tab/>
      </w:r>
      <w:r>
        <w:rPr>
          <w:sz w:val="36"/>
          <w:szCs w:val="44"/>
        </w:rPr>
        <w:fldChar w:fldCharType="begin"/>
      </w:r>
      <w:r>
        <w:rPr>
          <w:sz w:val="36"/>
          <w:szCs w:val="44"/>
        </w:rPr>
        <w:instrText xml:space="preserve"> PAGEREF _Toc8782 \h </w:instrText>
      </w:r>
      <w:r>
        <w:rPr>
          <w:sz w:val="36"/>
          <w:szCs w:val="44"/>
        </w:rPr>
        <w:fldChar w:fldCharType="separate"/>
      </w:r>
      <w:r>
        <w:rPr>
          <w:sz w:val="36"/>
          <w:szCs w:val="44"/>
        </w:rPr>
        <w:t>44</w:t>
      </w:r>
      <w:r>
        <w:rPr>
          <w:sz w:val="36"/>
          <w:szCs w:val="44"/>
        </w:rPr>
        <w:fldChar w:fldCharType="end"/>
      </w:r>
      <w:r>
        <w:rPr>
          <w:sz w:val="36"/>
          <w:szCs w:val="44"/>
        </w:rPr>
        <w:fldChar w:fldCharType="end"/>
      </w:r>
    </w:p>
    <w:p>
      <w:pPr>
        <w:pStyle w:val="19"/>
        <w:tabs>
          <w:tab w:val="right" w:leader="dot" w:pos="8959"/>
        </w:tabs>
        <w:rPr>
          <w:sz w:val="36"/>
          <w:szCs w:val="44"/>
        </w:rPr>
      </w:pPr>
      <w:r>
        <w:fldChar w:fldCharType="begin"/>
      </w:r>
      <w:r>
        <w:instrText xml:space="preserve"> HYPERLINK \l "_Toc23651" </w:instrText>
      </w:r>
      <w:r>
        <w:fldChar w:fldCharType="separate"/>
      </w:r>
      <w:r>
        <w:rPr>
          <w:rFonts w:hint="eastAsia" w:ascii="仿宋" w:hAnsi="仿宋" w:eastAsia="仿宋" w:cs="仿宋"/>
          <w:sz w:val="36"/>
          <w:szCs w:val="56"/>
        </w:rPr>
        <w:t>第六章  招标项目技术、服务、政府采购合同内容条款及其他商务要求</w:t>
      </w:r>
      <w:r>
        <w:rPr>
          <w:sz w:val="36"/>
          <w:szCs w:val="44"/>
        </w:rPr>
        <w:tab/>
      </w:r>
      <w:r>
        <w:rPr>
          <w:sz w:val="36"/>
          <w:szCs w:val="44"/>
        </w:rPr>
        <w:fldChar w:fldCharType="begin"/>
      </w:r>
      <w:r>
        <w:rPr>
          <w:sz w:val="36"/>
          <w:szCs w:val="44"/>
        </w:rPr>
        <w:instrText xml:space="preserve"> PAGEREF _Toc23651 \h </w:instrText>
      </w:r>
      <w:r>
        <w:rPr>
          <w:sz w:val="36"/>
          <w:szCs w:val="44"/>
        </w:rPr>
        <w:fldChar w:fldCharType="separate"/>
      </w:r>
      <w:r>
        <w:rPr>
          <w:sz w:val="36"/>
          <w:szCs w:val="44"/>
        </w:rPr>
        <w:t>46</w:t>
      </w:r>
      <w:r>
        <w:rPr>
          <w:sz w:val="36"/>
          <w:szCs w:val="44"/>
        </w:rPr>
        <w:fldChar w:fldCharType="end"/>
      </w:r>
      <w:r>
        <w:rPr>
          <w:sz w:val="36"/>
          <w:szCs w:val="44"/>
        </w:rPr>
        <w:fldChar w:fldCharType="end"/>
      </w:r>
    </w:p>
    <w:p>
      <w:pPr>
        <w:pStyle w:val="19"/>
        <w:tabs>
          <w:tab w:val="right" w:leader="dot" w:pos="8959"/>
        </w:tabs>
        <w:rPr>
          <w:sz w:val="36"/>
          <w:szCs w:val="44"/>
        </w:rPr>
      </w:pPr>
      <w:r>
        <w:fldChar w:fldCharType="begin"/>
      </w:r>
      <w:r>
        <w:instrText xml:space="preserve"> HYPERLINK \l "_Toc21224" </w:instrText>
      </w:r>
      <w:r>
        <w:fldChar w:fldCharType="separate"/>
      </w:r>
      <w:r>
        <w:rPr>
          <w:rFonts w:hint="eastAsia" w:ascii="仿宋" w:hAnsi="仿宋" w:eastAsia="仿宋" w:cs="仿宋"/>
          <w:sz w:val="36"/>
          <w:szCs w:val="56"/>
        </w:rPr>
        <w:t>第七章  评标办法</w:t>
      </w:r>
      <w:r>
        <w:rPr>
          <w:sz w:val="36"/>
          <w:szCs w:val="44"/>
        </w:rPr>
        <w:tab/>
      </w:r>
      <w:r>
        <w:rPr>
          <w:sz w:val="36"/>
          <w:szCs w:val="44"/>
        </w:rPr>
        <w:fldChar w:fldCharType="begin"/>
      </w:r>
      <w:r>
        <w:rPr>
          <w:sz w:val="36"/>
          <w:szCs w:val="44"/>
        </w:rPr>
        <w:instrText xml:space="preserve"> PAGEREF _Toc21224 \h </w:instrText>
      </w:r>
      <w:r>
        <w:rPr>
          <w:sz w:val="36"/>
          <w:szCs w:val="44"/>
        </w:rPr>
        <w:fldChar w:fldCharType="separate"/>
      </w:r>
      <w:r>
        <w:rPr>
          <w:sz w:val="36"/>
          <w:szCs w:val="44"/>
        </w:rPr>
        <w:t>63</w:t>
      </w:r>
      <w:r>
        <w:rPr>
          <w:sz w:val="36"/>
          <w:szCs w:val="44"/>
        </w:rPr>
        <w:fldChar w:fldCharType="end"/>
      </w:r>
      <w:r>
        <w:rPr>
          <w:sz w:val="36"/>
          <w:szCs w:val="44"/>
        </w:rPr>
        <w:fldChar w:fldCharType="end"/>
      </w:r>
    </w:p>
    <w:p>
      <w:pPr>
        <w:pStyle w:val="19"/>
        <w:tabs>
          <w:tab w:val="right" w:leader="dot" w:pos="8959"/>
        </w:tabs>
        <w:rPr>
          <w:sz w:val="36"/>
          <w:szCs w:val="44"/>
        </w:rPr>
      </w:pPr>
      <w:r>
        <w:fldChar w:fldCharType="begin"/>
      </w:r>
      <w:r>
        <w:instrText xml:space="preserve"> HYPERLINK \l "_Toc24443" </w:instrText>
      </w:r>
      <w:r>
        <w:fldChar w:fldCharType="separate"/>
      </w:r>
      <w:r>
        <w:rPr>
          <w:rFonts w:hint="eastAsia" w:ascii="仿宋" w:hAnsi="仿宋" w:eastAsia="仿宋" w:cs="仿宋"/>
          <w:sz w:val="36"/>
          <w:szCs w:val="56"/>
        </w:rPr>
        <w:t>第八章  政府采购合同</w:t>
      </w:r>
      <w:r>
        <w:rPr>
          <w:sz w:val="36"/>
          <w:szCs w:val="44"/>
        </w:rPr>
        <w:tab/>
      </w:r>
      <w:r>
        <w:rPr>
          <w:sz w:val="36"/>
          <w:szCs w:val="44"/>
        </w:rPr>
        <w:fldChar w:fldCharType="begin"/>
      </w:r>
      <w:r>
        <w:rPr>
          <w:sz w:val="36"/>
          <w:szCs w:val="44"/>
        </w:rPr>
        <w:instrText xml:space="preserve"> PAGEREF _Toc24443 \h </w:instrText>
      </w:r>
      <w:r>
        <w:rPr>
          <w:sz w:val="36"/>
          <w:szCs w:val="44"/>
        </w:rPr>
        <w:fldChar w:fldCharType="separate"/>
      </w:r>
      <w:r>
        <w:rPr>
          <w:sz w:val="36"/>
          <w:szCs w:val="44"/>
        </w:rPr>
        <w:t>74</w:t>
      </w:r>
      <w:r>
        <w:rPr>
          <w:sz w:val="36"/>
          <w:szCs w:val="44"/>
        </w:rPr>
        <w:fldChar w:fldCharType="end"/>
      </w:r>
      <w:r>
        <w:rPr>
          <w:sz w:val="36"/>
          <w:szCs w:val="44"/>
        </w:rPr>
        <w:fldChar w:fldCharType="end"/>
      </w:r>
    </w:p>
    <w:p>
      <w:pPr>
        <w:spacing w:line="480" w:lineRule="auto"/>
        <w:rPr>
          <w:rFonts w:ascii="仿宋" w:hAnsi="仿宋" w:eastAsia="仿宋" w:cs="仿宋"/>
          <w:sz w:val="48"/>
          <w:szCs w:val="48"/>
        </w:rPr>
        <w:sectPr>
          <w:pgSz w:w="11907" w:h="16840"/>
          <w:pgMar w:top="1440" w:right="1474" w:bottom="1440" w:left="1474" w:header="851" w:footer="992" w:gutter="0"/>
          <w:cols w:space="720" w:num="1"/>
          <w:docGrid w:linePitch="312" w:charSpace="0"/>
        </w:sectPr>
      </w:pPr>
      <w:r>
        <w:rPr>
          <w:rFonts w:hint="eastAsia" w:ascii="仿宋" w:hAnsi="仿宋" w:eastAsia="仿宋" w:cs="仿宋"/>
          <w:sz w:val="36"/>
          <w:szCs w:val="48"/>
        </w:rPr>
        <w:fldChar w:fldCharType="end"/>
      </w:r>
      <w:bookmarkStart w:id="2" w:name="_Toc24584"/>
    </w:p>
    <w:p>
      <w:pPr>
        <w:pStyle w:val="3"/>
        <w:spacing w:line="240" w:lineRule="atLeast"/>
        <w:jc w:val="center"/>
        <w:rPr>
          <w:rFonts w:ascii="仿宋" w:hAnsi="仿宋" w:eastAsia="仿宋" w:cs="仿宋"/>
          <w:sz w:val="36"/>
          <w:szCs w:val="36"/>
        </w:rPr>
      </w:pPr>
      <w:bookmarkStart w:id="3" w:name="_Toc17958"/>
      <w:r>
        <w:rPr>
          <w:rFonts w:hint="eastAsia" w:ascii="仿宋" w:hAnsi="仿宋" w:eastAsia="仿宋" w:cs="仿宋"/>
          <w:sz w:val="36"/>
          <w:szCs w:val="36"/>
        </w:rPr>
        <w:t>第一章  投标邀请</w:t>
      </w:r>
      <w:bookmarkEnd w:id="2"/>
      <w:bookmarkEnd w:id="3"/>
    </w:p>
    <w:p>
      <w:pPr>
        <w:tabs>
          <w:tab w:val="left" w:pos="7665"/>
        </w:tabs>
        <w:spacing w:line="360" w:lineRule="auto"/>
        <w:ind w:firstLine="600" w:firstLineChars="250"/>
        <w:rPr>
          <w:rFonts w:ascii="仿宋" w:hAnsi="仿宋" w:eastAsia="仿宋" w:cs="仿宋"/>
          <w:sz w:val="24"/>
        </w:rPr>
      </w:pPr>
      <w:r>
        <w:rPr>
          <w:rFonts w:hint="eastAsia" w:ascii="仿宋" w:hAnsi="仿宋" w:eastAsia="仿宋" w:cs="仿宋"/>
          <w:sz w:val="24"/>
          <w:u w:val="single"/>
        </w:rPr>
        <w:t>利阳致诚国际项目管理有限公司</w:t>
      </w:r>
      <w:r>
        <w:rPr>
          <w:rFonts w:hint="eastAsia" w:ascii="仿宋" w:hAnsi="仿宋" w:eastAsia="仿宋" w:cs="仿宋"/>
          <w:sz w:val="24"/>
        </w:rPr>
        <w:t>受</w:t>
      </w:r>
      <w:r>
        <w:rPr>
          <w:rFonts w:hint="eastAsia" w:ascii="仿宋" w:hAnsi="仿宋" w:eastAsia="仿宋" w:cs="仿宋"/>
          <w:sz w:val="24"/>
          <w:u w:val="single"/>
        </w:rPr>
        <w:t>成都市双流区环境卫生管理所</w:t>
      </w:r>
      <w:r>
        <w:rPr>
          <w:rFonts w:hint="eastAsia" w:ascii="仿宋" w:hAnsi="仿宋" w:eastAsia="仿宋" w:cs="仿宋"/>
          <w:sz w:val="24"/>
        </w:rPr>
        <w:t>委托，拟对</w:t>
      </w:r>
      <w:bookmarkStart w:id="4" w:name="PO_默认文件内容_6"/>
      <w:r>
        <w:rPr>
          <w:rFonts w:hint="eastAsia" w:ascii="仿宋" w:hAnsi="仿宋" w:eastAsia="仿宋" w:cs="仿宋"/>
          <w:sz w:val="24"/>
          <w:u w:val="single"/>
        </w:rPr>
        <w:t>成都市双流区环境卫生管理所双流区生活垃圾压缩站渗滤液及冲洗废水无害化处理服务项目</w:t>
      </w:r>
      <w:r>
        <w:rPr>
          <w:rFonts w:hint="eastAsia" w:ascii="仿宋" w:hAnsi="仿宋" w:eastAsia="仿宋" w:cs="仿宋"/>
          <w:sz w:val="24"/>
        </w:rPr>
        <w:t>进行国内公开招标，兹邀请符合本次招标要求的供应商参加投标。</w:t>
      </w:r>
      <w:bookmarkEnd w:id="4"/>
    </w:p>
    <w:p>
      <w:pPr>
        <w:spacing w:line="360" w:lineRule="auto"/>
        <w:ind w:firstLine="482" w:firstLineChars="200"/>
        <w:rPr>
          <w:rFonts w:ascii="仿宋" w:hAnsi="仿宋" w:eastAsia="仿宋" w:cs="仿宋"/>
          <w:b/>
          <w:sz w:val="24"/>
        </w:rPr>
      </w:pPr>
      <w:r>
        <w:rPr>
          <w:rFonts w:hint="eastAsia" w:ascii="仿宋" w:hAnsi="仿宋" w:eastAsia="仿宋" w:cs="仿宋"/>
          <w:b/>
          <w:sz w:val="24"/>
        </w:rPr>
        <w:t>一</w:t>
      </w:r>
      <w:r>
        <w:rPr>
          <w:rFonts w:hint="eastAsia" w:ascii="仿宋" w:hAnsi="仿宋" w:eastAsia="仿宋" w:cs="仿宋"/>
          <w:b/>
          <w:color w:val="000000" w:themeColor="text1"/>
          <w:sz w:val="24"/>
        </w:rPr>
        <w:t>、招标编号：挂网自动生成</w:t>
      </w:r>
    </w:p>
    <w:p>
      <w:pPr>
        <w:spacing w:line="360" w:lineRule="auto"/>
        <w:ind w:right="31" w:rightChars="15" w:firstLine="482" w:firstLineChars="200"/>
        <w:rPr>
          <w:rFonts w:ascii="仿宋" w:hAnsi="仿宋" w:eastAsia="仿宋" w:cs="仿宋"/>
          <w:b/>
          <w:sz w:val="24"/>
          <w:szCs w:val="32"/>
        </w:rPr>
      </w:pPr>
      <w:r>
        <w:rPr>
          <w:rFonts w:hint="eastAsia" w:ascii="仿宋" w:hAnsi="仿宋" w:eastAsia="仿宋" w:cs="仿宋"/>
          <w:b/>
          <w:bCs/>
          <w:sz w:val="24"/>
        </w:rPr>
        <w:t>二、</w:t>
      </w:r>
      <w:r>
        <w:rPr>
          <w:rFonts w:hint="eastAsia" w:ascii="仿宋" w:hAnsi="仿宋" w:eastAsia="仿宋" w:cs="仿宋"/>
          <w:b/>
          <w:sz w:val="24"/>
        </w:rPr>
        <w:t>招标项目：</w:t>
      </w:r>
      <w:r>
        <w:rPr>
          <w:rFonts w:hint="eastAsia" w:ascii="仿宋" w:hAnsi="仿宋" w:eastAsia="仿宋" w:cs="仿宋"/>
          <w:bCs/>
          <w:sz w:val="24"/>
        </w:rPr>
        <w:t>成都市双流区环境卫生管理所双流区生活垃圾压缩站渗滤液及冲洗废水无害化处理服务项目</w:t>
      </w:r>
      <w:r>
        <w:rPr>
          <w:rFonts w:hint="eastAsia" w:ascii="仿宋" w:hAnsi="仿宋" w:eastAsia="仿宋" w:cs="仿宋"/>
          <w:bCs/>
          <w:sz w:val="24"/>
          <w:szCs w:val="32"/>
        </w:rPr>
        <w:t>。</w:t>
      </w:r>
    </w:p>
    <w:p>
      <w:pPr>
        <w:spacing w:line="360" w:lineRule="auto"/>
        <w:ind w:right="31" w:rightChars="15" w:firstLine="482" w:firstLineChars="200"/>
        <w:rPr>
          <w:rFonts w:ascii="仿宋" w:hAnsi="仿宋" w:eastAsia="仿宋" w:cs="仿宋"/>
          <w:b/>
          <w:bCs/>
          <w:sz w:val="24"/>
        </w:rPr>
      </w:pPr>
      <w:r>
        <w:rPr>
          <w:rFonts w:hint="eastAsia" w:ascii="仿宋" w:hAnsi="仿宋" w:eastAsia="仿宋" w:cs="仿宋"/>
          <w:b/>
          <w:sz w:val="24"/>
          <w:szCs w:val="28"/>
        </w:rPr>
        <w:t>三、资金来源：</w:t>
      </w:r>
      <w:r>
        <w:rPr>
          <w:rFonts w:hint="eastAsia" w:ascii="仿宋" w:hAnsi="仿宋" w:eastAsia="仿宋" w:cs="仿宋"/>
          <w:bCs/>
          <w:sz w:val="24"/>
          <w:szCs w:val="28"/>
        </w:rPr>
        <w:t>财政资金，已落实</w:t>
      </w:r>
      <w:r>
        <w:rPr>
          <w:rFonts w:hint="eastAsia" w:ascii="仿宋" w:hAnsi="仿宋" w:eastAsia="仿宋" w:cs="仿宋"/>
          <w:bCs/>
          <w:sz w:val="24"/>
        </w:rPr>
        <w:t>。</w:t>
      </w:r>
    </w:p>
    <w:p>
      <w:pPr>
        <w:spacing w:line="360" w:lineRule="auto"/>
        <w:ind w:firstLine="482" w:firstLineChars="200"/>
        <w:rPr>
          <w:rFonts w:ascii="仿宋" w:hAnsi="仿宋" w:eastAsia="仿宋" w:cs="仿宋"/>
          <w:b/>
          <w:sz w:val="24"/>
        </w:rPr>
      </w:pPr>
      <w:r>
        <w:rPr>
          <w:rFonts w:hint="eastAsia" w:ascii="仿宋" w:hAnsi="仿宋" w:eastAsia="仿宋" w:cs="仿宋"/>
          <w:b/>
          <w:sz w:val="24"/>
        </w:rPr>
        <w:t>四</w:t>
      </w:r>
      <w:r>
        <w:rPr>
          <w:rFonts w:hint="eastAsia" w:ascii="仿宋" w:hAnsi="仿宋" w:eastAsia="仿宋" w:cs="仿宋"/>
          <w:b/>
          <w:bCs/>
          <w:sz w:val="24"/>
        </w:rPr>
        <w:t>、</w:t>
      </w:r>
      <w:r>
        <w:rPr>
          <w:rFonts w:hint="eastAsia" w:ascii="仿宋" w:hAnsi="仿宋" w:eastAsia="仿宋" w:cs="仿宋"/>
          <w:b/>
          <w:sz w:val="24"/>
        </w:rPr>
        <w:t>招标项目简介：</w:t>
      </w:r>
      <w:bookmarkStart w:id="5" w:name="PO_默认文件内容_14"/>
    </w:p>
    <w:p>
      <w:pPr>
        <w:spacing w:line="360" w:lineRule="auto"/>
        <w:ind w:firstLine="480" w:firstLineChars="200"/>
        <w:rPr>
          <w:rFonts w:ascii="仿宋" w:hAnsi="仿宋" w:eastAsia="仿宋" w:cs="仿宋"/>
          <w:sz w:val="24"/>
          <w:szCs w:val="28"/>
        </w:rPr>
      </w:pPr>
      <w:r>
        <w:rPr>
          <w:rFonts w:hint="eastAsia" w:ascii="仿宋" w:hAnsi="仿宋" w:eastAsia="仿宋" w:cs="仿宋"/>
          <w:sz w:val="24"/>
          <w:szCs w:val="28"/>
        </w:rPr>
        <w:t>本次项目共一个包：双流区生活垃圾压缩站渗滤液及冲洗废水无害化处理服务。（具体详见招标文件第六章）。</w:t>
      </w:r>
      <w:bookmarkEnd w:id="5"/>
    </w:p>
    <w:p>
      <w:pPr>
        <w:spacing w:afterLines="50" w:line="360" w:lineRule="auto"/>
        <w:ind w:firstLine="482" w:firstLineChars="200"/>
        <w:rPr>
          <w:rFonts w:ascii="仿宋" w:hAnsi="仿宋" w:eastAsia="仿宋" w:cs="仿宋"/>
          <w:b/>
          <w:bCs/>
          <w:sz w:val="24"/>
        </w:rPr>
      </w:pPr>
      <w:r>
        <w:rPr>
          <w:rFonts w:hint="eastAsia" w:ascii="仿宋" w:hAnsi="仿宋" w:eastAsia="仿宋" w:cs="仿宋"/>
          <w:b/>
          <w:bCs/>
          <w:sz w:val="24"/>
        </w:rPr>
        <w:t>五、供应商参加本次政府采购活动，应当在提交投标文件前具备下列条件：</w:t>
      </w:r>
    </w:p>
    <w:p>
      <w:pPr>
        <w:pStyle w:val="48"/>
        <w:ind w:firstLine="600" w:firstLineChars="250"/>
        <w:rPr>
          <w:rFonts w:ascii="仿宋" w:hAnsi="仿宋" w:eastAsia="仿宋" w:cs="仿宋"/>
          <w:sz w:val="24"/>
        </w:rPr>
      </w:pPr>
      <w:bookmarkStart w:id="6" w:name="PO_供应商资格条件_1"/>
      <w:r>
        <w:rPr>
          <w:rFonts w:hint="eastAsia" w:ascii="仿宋" w:hAnsi="仿宋" w:eastAsia="仿宋" w:cs="仿宋"/>
          <w:sz w:val="24"/>
        </w:rPr>
        <w:t>1、满足《中华人民共和国政府采购法》第二十二条规定；</w:t>
      </w:r>
    </w:p>
    <w:p>
      <w:pPr>
        <w:tabs>
          <w:tab w:val="left" w:pos="7665"/>
        </w:tabs>
        <w:spacing w:line="360" w:lineRule="auto"/>
        <w:ind w:firstLine="600" w:firstLineChars="250"/>
        <w:rPr>
          <w:rFonts w:ascii="仿宋" w:hAnsi="仿宋" w:eastAsia="仿宋" w:cs="仿宋"/>
          <w:sz w:val="24"/>
        </w:rPr>
      </w:pPr>
      <w:r>
        <w:rPr>
          <w:rFonts w:hint="eastAsia" w:ascii="仿宋" w:hAnsi="仿宋" w:eastAsia="仿宋" w:cs="仿宋"/>
          <w:sz w:val="24"/>
        </w:rPr>
        <w:t>2、落实政府采购政策需满足的资格要求：无；</w:t>
      </w:r>
    </w:p>
    <w:p>
      <w:pPr>
        <w:tabs>
          <w:tab w:val="left" w:pos="7665"/>
        </w:tabs>
        <w:spacing w:line="360" w:lineRule="auto"/>
        <w:ind w:firstLine="600" w:firstLineChars="250"/>
        <w:rPr>
          <w:rFonts w:ascii="仿宋" w:hAnsi="仿宋" w:eastAsia="仿宋" w:cs="仿宋"/>
          <w:sz w:val="24"/>
        </w:rPr>
      </w:pPr>
      <w:r>
        <w:rPr>
          <w:rFonts w:hint="eastAsia" w:ascii="仿宋" w:hAnsi="仿宋" w:eastAsia="仿宋" w:cs="仿宋"/>
          <w:sz w:val="24"/>
        </w:rPr>
        <w:t>3、本项目为非专门面向中小企业采购的项目；</w:t>
      </w:r>
    </w:p>
    <w:p>
      <w:pPr>
        <w:tabs>
          <w:tab w:val="left" w:pos="7665"/>
        </w:tabs>
        <w:spacing w:line="360" w:lineRule="auto"/>
        <w:ind w:firstLine="600" w:firstLineChars="250"/>
        <w:rPr>
          <w:rFonts w:ascii="仿宋" w:hAnsi="仿宋" w:eastAsia="仿宋" w:cs="仿宋"/>
          <w:sz w:val="24"/>
        </w:rPr>
      </w:pPr>
      <w:r>
        <w:rPr>
          <w:rFonts w:hint="eastAsia" w:ascii="仿宋" w:hAnsi="仿宋" w:eastAsia="仿宋" w:cs="仿宋"/>
          <w:sz w:val="24"/>
        </w:rPr>
        <w:t>4、本项目不接受联合体投标。</w:t>
      </w:r>
      <w:bookmarkEnd w:id="6"/>
    </w:p>
    <w:p>
      <w:pPr>
        <w:spacing w:after="50" w:line="360" w:lineRule="auto"/>
        <w:ind w:firstLine="482" w:firstLineChars="200"/>
        <w:rPr>
          <w:rFonts w:ascii="仿宋" w:hAnsi="仿宋" w:eastAsia="仿宋" w:cs="仿宋"/>
          <w:b/>
          <w:sz w:val="24"/>
        </w:rPr>
      </w:pPr>
      <w:r>
        <w:rPr>
          <w:rFonts w:hint="eastAsia" w:ascii="仿宋" w:hAnsi="仿宋" w:eastAsia="仿宋" w:cs="仿宋"/>
          <w:b/>
          <w:sz w:val="24"/>
        </w:rPr>
        <w:t>六、招标文件获取时间、地点：</w:t>
      </w:r>
    </w:p>
    <w:p>
      <w:pPr>
        <w:tabs>
          <w:tab w:val="left" w:pos="1134"/>
        </w:tabs>
        <w:snapToGrid w:val="0"/>
        <w:spacing w:line="360" w:lineRule="auto"/>
        <w:ind w:firstLine="480" w:firstLineChars="200"/>
        <w:rPr>
          <w:rFonts w:ascii="仿宋" w:hAnsi="仿宋" w:eastAsia="仿宋" w:cs="仿宋"/>
          <w:bCs/>
          <w:color w:val="000000" w:themeColor="text1"/>
          <w:sz w:val="24"/>
        </w:rPr>
      </w:pPr>
      <w:bookmarkStart w:id="7" w:name="PO_默认文件内容_47"/>
      <w:r>
        <w:rPr>
          <w:rFonts w:hint="eastAsia" w:ascii="仿宋" w:hAnsi="仿宋" w:eastAsia="仿宋" w:cs="仿宋"/>
          <w:bCs/>
          <w:color w:val="000000" w:themeColor="text1"/>
          <w:sz w:val="24"/>
        </w:rPr>
        <w:t>招标文件自</w:t>
      </w:r>
      <w:r>
        <w:rPr>
          <w:rFonts w:hint="eastAsia" w:ascii="仿宋" w:hAnsi="仿宋" w:eastAsia="仿宋" w:cs="仿宋"/>
          <w:b/>
          <w:color w:val="000000" w:themeColor="text1"/>
          <w:sz w:val="24"/>
          <w:u w:val="single"/>
        </w:rPr>
        <w:t>2021</w:t>
      </w:r>
      <w:r>
        <w:rPr>
          <w:rFonts w:hint="eastAsia" w:ascii="仿宋" w:hAnsi="仿宋" w:eastAsia="仿宋" w:cs="仿宋"/>
          <w:b/>
          <w:color w:val="000000" w:themeColor="text1"/>
          <w:sz w:val="24"/>
        </w:rPr>
        <w:t>年</w:t>
      </w:r>
      <w:r>
        <w:rPr>
          <w:rFonts w:hint="eastAsia" w:ascii="仿宋" w:hAnsi="仿宋" w:eastAsia="仿宋" w:cs="仿宋"/>
          <w:b/>
          <w:color w:val="000000" w:themeColor="text1"/>
          <w:sz w:val="24"/>
          <w:u w:val="single"/>
          <w:lang w:val="en-US" w:eastAsia="zh-CN"/>
        </w:rPr>
        <w:t>11</w:t>
      </w:r>
      <w:r>
        <w:rPr>
          <w:rFonts w:hint="eastAsia" w:ascii="仿宋" w:hAnsi="仿宋" w:eastAsia="仿宋" w:cs="仿宋"/>
          <w:b/>
          <w:color w:val="000000" w:themeColor="text1"/>
          <w:sz w:val="24"/>
        </w:rPr>
        <w:t>月</w:t>
      </w:r>
      <w:r>
        <w:rPr>
          <w:rFonts w:hint="eastAsia" w:ascii="仿宋" w:hAnsi="仿宋" w:eastAsia="仿宋" w:cs="仿宋"/>
          <w:b/>
          <w:color w:val="000000" w:themeColor="text1"/>
          <w:sz w:val="24"/>
          <w:u w:val="single"/>
          <w:lang w:val="en-US" w:eastAsia="zh-CN"/>
        </w:rPr>
        <w:t>4</w:t>
      </w:r>
      <w:r>
        <w:rPr>
          <w:rFonts w:hint="eastAsia" w:ascii="仿宋" w:hAnsi="仿宋" w:eastAsia="仿宋" w:cs="仿宋"/>
          <w:b/>
          <w:color w:val="000000" w:themeColor="text1"/>
          <w:sz w:val="24"/>
        </w:rPr>
        <w:t>日</w:t>
      </w:r>
      <w:r>
        <w:rPr>
          <w:rFonts w:hint="eastAsia" w:ascii="仿宋" w:hAnsi="仿宋" w:eastAsia="仿宋" w:cs="仿宋"/>
          <w:b/>
          <w:color w:val="000000" w:themeColor="text1"/>
          <w:sz w:val="24"/>
          <w:u w:val="single"/>
        </w:rPr>
        <w:t>至2021</w:t>
      </w:r>
      <w:r>
        <w:rPr>
          <w:rFonts w:hint="eastAsia" w:ascii="仿宋" w:hAnsi="仿宋" w:eastAsia="仿宋" w:cs="仿宋"/>
          <w:b/>
          <w:color w:val="000000" w:themeColor="text1"/>
          <w:sz w:val="24"/>
        </w:rPr>
        <w:t>年</w:t>
      </w:r>
      <w:r>
        <w:rPr>
          <w:rFonts w:hint="eastAsia" w:ascii="仿宋" w:hAnsi="仿宋" w:eastAsia="仿宋" w:cs="仿宋"/>
          <w:b/>
          <w:color w:val="000000" w:themeColor="text1"/>
          <w:sz w:val="24"/>
          <w:u w:val="single"/>
          <w:lang w:val="en-US" w:eastAsia="zh-CN"/>
        </w:rPr>
        <w:t>11</w:t>
      </w:r>
      <w:r>
        <w:rPr>
          <w:rFonts w:hint="eastAsia" w:ascii="仿宋" w:hAnsi="仿宋" w:eastAsia="仿宋" w:cs="仿宋"/>
          <w:b/>
          <w:color w:val="000000" w:themeColor="text1"/>
          <w:sz w:val="24"/>
        </w:rPr>
        <w:t>月</w:t>
      </w:r>
      <w:r>
        <w:rPr>
          <w:rFonts w:hint="eastAsia" w:ascii="仿宋" w:hAnsi="仿宋" w:eastAsia="仿宋" w:cs="仿宋"/>
          <w:b/>
          <w:color w:val="000000" w:themeColor="text1"/>
          <w:sz w:val="24"/>
          <w:u w:val="single"/>
          <w:lang w:val="en-US" w:eastAsia="zh-CN"/>
        </w:rPr>
        <w:t>10</w:t>
      </w:r>
      <w:r>
        <w:rPr>
          <w:rFonts w:hint="eastAsia" w:ascii="仿宋" w:hAnsi="仿宋" w:eastAsia="仿宋" w:cs="仿宋"/>
          <w:b/>
          <w:color w:val="000000" w:themeColor="text1"/>
          <w:sz w:val="24"/>
        </w:rPr>
        <w:t>日</w:t>
      </w:r>
      <w:r>
        <w:rPr>
          <w:rFonts w:hint="eastAsia" w:ascii="仿宋" w:hAnsi="仿宋" w:eastAsia="仿宋" w:cs="仿宋"/>
          <w:bCs/>
          <w:color w:val="000000" w:themeColor="text1"/>
          <w:sz w:val="24"/>
        </w:rPr>
        <w:t>（每天9:00-17:00，节假日除外）。</w:t>
      </w:r>
      <w:bookmarkEnd w:id="7"/>
    </w:p>
    <w:p>
      <w:pPr>
        <w:spacing w:afterLines="50" w:line="360" w:lineRule="auto"/>
        <w:ind w:firstLine="480" w:firstLineChars="200"/>
        <w:rPr>
          <w:rFonts w:ascii="仿宋" w:hAnsi="仿宋" w:eastAsia="仿宋" w:cs="仿宋"/>
          <w:bCs/>
          <w:color w:val="000000" w:themeColor="text1"/>
          <w:sz w:val="24"/>
          <w:szCs w:val="28"/>
        </w:rPr>
      </w:pPr>
      <w:r>
        <w:rPr>
          <w:rFonts w:hint="eastAsia" w:ascii="仿宋" w:hAnsi="仿宋" w:eastAsia="仿宋" w:cs="仿宋"/>
          <w:bCs/>
          <w:color w:val="000000" w:themeColor="text1"/>
          <w:sz w:val="24"/>
          <w:szCs w:val="28"/>
        </w:rPr>
        <w:t>招标文件获取地点：政府采购云平台（https://www.zcygov.cn/）。</w:t>
      </w:r>
    </w:p>
    <w:p>
      <w:pPr>
        <w:spacing w:afterLines="50" w:line="360" w:lineRule="auto"/>
        <w:ind w:firstLine="480" w:firstLineChars="200"/>
        <w:rPr>
          <w:rFonts w:ascii="仿宋" w:hAnsi="仿宋" w:eastAsia="仿宋" w:cs="仿宋"/>
          <w:bCs/>
          <w:color w:val="000000" w:themeColor="text1"/>
          <w:sz w:val="24"/>
          <w:szCs w:val="28"/>
        </w:rPr>
      </w:pPr>
      <w:r>
        <w:rPr>
          <w:rFonts w:hint="eastAsia" w:ascii="仿宋" w:hAnsi="仿宋" w:eastAsia="仿宋" w:cs="仿宋"/>
          <w:bCs/>
          <w:color w:val="000000" w:themeColor="text1"/>
          <w:sz w:val="24"/>
          <w:szCs w:val="28"/>
        </w:rPr>
        <w:t>招标文件获取方式：投标人从“政府采购云平台”获取采购文件（网址：https://www.zcygov.cn）。登录政府采购云平台—项目采购—获取采购文件—申请获取采购文件。提示：（1）本项目招标文件免费获取。（2）投标人只有在“政府采购云平台”完成获取招标文件申请并下载招标文件后才视作依法参与本项目。如未在“政府采购云平台”内完成相关流程，引起的投标无效责任自负。（3）本项目为电子招标投标项目，投标人参与本项目全过程中凡涉及系统操作请详见《供应商政府采购项目电子交易操作指南》。（操作指南以政府采购云平台网站发布为准，获取方式详见：招标文件附件三-政府采购云平台使用介绍）。（4）政府采购云平台投标人注册地址：https://middle.zcygov.cn/v-settle-front/registry?settleCategory=1&amp;entranceType=119&amp;utm=a0017.b1347.cl50.3.c0de9400b91b11eb870ad7da87d69c97。</w:t>
      </w:r>
    </w:p>
    <w:p>
      <w:pPr>
        <w:spacing w:afterLines="50" w:line="360" w:lineRule="auto"/>
        <w:ind w:firstLine="480" w:firstLineChars="200"/>
        <w:rPr>
          <w:rFonts w:ascii="仿宋" w:hAnsi="仿宋" w:eastAsia="仿宋" w:cs="仿宋"/>
          <w:bCs/>
          <w:color w:val="000000" w:themeColor="text1"/>
          <w:sz w:val="24"/>
          <w:szCs w:val="28"/>
        </w:rPr>
      </w:pPr>
      <w:r>
        <w:rPr>
          <w:rFonts w:hint="eastAsia" w:ascii="仿宋" w:hAnsi="仿宋" w:eastAsia="仿宋" w:cs="仿宋"/>
          <w:bCs/>
          <w:color w:val="000000" w:themeColor="text1"/>
          <w:sz w:val="24"/>
          <w:szCs w:val="28"/>
        </w:rPr>
        <w:t>本项目为电子招标投标项目，投标人参与本项目全过程中凡涉及系统操作请详见《供应商政府采购项目电子交易操作指南》。（操作指南以政府采购云平台网站发布为准，获取方式详见：附件三-政府采购云平台使用介绍）</w:t>
      </w:r>
    </w:p>
    <w:p>
      <w:pPr>
        <w:spacing w:afterLines="50" w:line="360" w:lineRule="auto"/>
        <w:ind w:firstLine="482" w:firstLineChars="200"/>
        <w:rPr>
          <w:rFonts w:ascii="仿宋" w:hAnsi="仿宋" w:eastAsia="仿宋" w:cs="仿宋"/>
          <w:b/>
          <w:color w:val="000000" w:themeColor="text1"/>
          <w:sz w:val="24"/>
        </w:rPr>
      </w:pPr>
      <w:r>
        <w:rPr>
          <w:rFonts w:hint="eastAsia" w:ascii="仿宋" w:hAnsi="仿宋" w:eastAsia="仿宋" w:cs="仿宋"/>
          <w:b/>
          <w:color w:val="000000" w:themeColor="text1"/>
          <w:sz w:val="24"/>
          <w:szCs w:val="28"/>
        </w:rPr>
        <w:t>七、</w:t>
      </w:r>
      <w:r>
        <w:rPr>
          <w:rFonts w:hint="eastAsia" w:ascii="仿宋" w:hAnsi="仿宋" w:eastAsia="仿宋" w:cs="仿宋"/>
          <w:b/>
          <w:color w:val="000000" w:themeColor="text1"/>
          <w:sz w:val="24"/>
        </w:rPr>
        <w:t>投标截止时间和开标时间：</w:t>
      </w:r>
      <w:r>
        <w:rPr>
          <w:rFonts w:hint="eastAsia" w:ascii="仿宋" w:hAnsi="仿宋" w:eastAsia="仿宋" w:cs="仿宋"/>
          <w:b/>
          <w:bCs/>
          <w:color w:val="000000" w:themeColor="text1"/>
          <w:sz w:val="24"/>
          <w:u w:val="single"/>
        </w:rPr>
        <w:t>2021</w:t>
      </w:r>
      <w:r>
        <w:rPr>
          <w:rFonts w:hint="eastAsia" w:ascii="仿宋" w:hAnsi="仿宋" w:eastAsia="仿宋" w:cs="仿宋"/>
          <w:b/>
          <w:bCs/>
          <w:color w:val="000000" w:themeColor="text1"/>
          <w:sz w:val="24"/>
        </w:rPr>
        <w:t>年</w:t>
      </w:r>
      <w:r>
        <w:rPr>
          <w:rFonts w:hint="eastAsia" w:ascii="仿宋" w:hAnsi="仿宋" w:eastAsia="仿宋" w:cs="仿宋"/>
          <w:b/>
          <w:bCs/>
          <w:color w:val="000000" w:themeColor="text1"/>
          <w:sz w:val="24"/>
          <w:u w:val="single"/>
          <w:lang w:val="en-US" w:eastAsia="zh-CN"/>
        </w:rPr>
        <w:t>11</w:t>
      </w:r>
      <w:r>
        <w:rPr>
          <w:rFonts w:hint="eastAsia" w:ascii="仿宋" w:hAnsi="仿宋" w:eastAsia="仿宋" w:cs="仿宋"/>
          <w:b/>
          <w:bCs/>
          <w:color w:val="000000" w:themeColor="text1"/>
          <w:sz w:val="24"/>
        </w:rPr>
        <w:t>月</w:t>
      </w:r>
      <w:r>
        <w:rPr>
          <w:rFonts w:hint="eastAsia" w:ascii="仿宋" w:hAnsi="仿宋" w:eastAsia="仿宋" w:cs="仿宋"/>
          <w:b/>
          <w:bCs/>
          <w:color w:val="000000" w:themeColor="text1"/>
          <w:sz w:val="24"/>
          <w:u w:val="single"/>
          <w:lang w:val="en-US" w:eastAsia="zh-CN"/>
        </w:rPr>
        <w:t>25</w:t>
      </w:r>
      <w:r>
        <w:rPr>
          <w:rFonts w:hint="eastAsia" w:ascii="仿宋" w:hAnsi="仿宋" w:eastAsia="仿宋" w:cs="仿宋"/>
          <w:b/>
          <w:bCs/>
          <w:color w:val="000000" w:themeColor="text1"/>
          <w:sz w:val="24"/>
        </w:rPr>
        <w:t>日</w:t>
      </w:r>
      <w:r>
        <w:rPr>
          <w:rFonts w:hint="eastAsia" w:ascii="仿宋" w:hAnsi="仿宋" w:eastAsia="仿宋" w:cs="仿宋"/>
          <w:b/>
          <w:bCs/>
          <w:color w:val="000000" w:themeColor="text1"/>
          <w:sz w:val="24"/>
          <w:u w:val="single"/>
          <w:lang w:val="en-US" w:eastAsia="zh-CN"/>
        </w:rPr>
        <w:t>11</w:t>
      </w:r>
      <w:r>
        <w:rPr>
          <w:rFonts w:hint="eastAsia" w:ascii="仿宋" w:hAnsi="仿宋" w:eastAsia="仿宋" w:cs="仿宋"/>
          <w:b/>
          <w:bCs/>
          <w:color w:val="000000" w:themeColor="text1"/>
          <w:sz w:val="24"/>
        </w:rPr>
        <w:t>：</w:t>
      </w:r>
      <w:r>
        <w:rPr>
          <w:rFonts w:hint="eastAsia" w:ascii="仿宋" w:hAnsi="仿宋" w:eastAsia="仿宋" w:cs="仿宋"/>
          <w:b/>
          <w:bCs/>
          <w:color w:val="000000" w:themeColor="text1"/>
          <w:sz w:val="24"/>
          <w:u w:val="single"/>
          <w:lang w:val="en-US" w:eastAsia="zh-CN"/>
        </w:rPr>
        <w:t>00</w:t>
      </w:r>
      <w:r>
        <w:rPr>
          <w:rFonts w:hint="eastAsia" w:ascii="仿宋" w:hAnsi="仿宋" w:eastAsia="仿宋" w:cs="仿宋"/>
          <w:b/>
          <w:bCs/>
          <w:color w:val="000000" w:themeColor="text1"/>
          <w:sz w:val="24"/>
          <w:szCs w:val="28"/>
        </w:rPr>
        <w:t>（北京时间）</w:t>
      </w:r>
      <w:r>
        <w:rPr>
          <w:rFonts w:hint="eastAsia" w:ascii="仿宋" w:hAnsi="仿宋" w:eastAsia="仿宋" w:cs="仿宋"/>
          <w:color w:val="000000" w:themeColor="text1"/>
          <w:sz w:val="24"/>
          <w:szCs w:val="28"/>
        </w:rPr>
        <w:t>。</w:t>
      </w:r>
    </w:p>
    <w:p>
      <w:pPr>
        <w:pStyle w:val="11"/>
        <w:spacing w:afterLines="50" w:line="360" w:lineRule="auto"/>
        <w:ind w:firstLine="480"/>
        <w:rPr>
          <w:rFonts w:ascii="仿宋" w:hAnsi="仿宋" w:eastAsia="仿宋" w:cs="仿宋"/>
          <w:bCs/>
          <w:color w:val="000000" w:themeColor="text1"/>
          <w:sz w:val="24"/>
          <w:szCs w:val="28"/>
        </w:rPr>
      </w:pPr>
      <w:r>
        <w:rPr>
          <w:rFonts w:hint="eastAsia" w:ascii="仿宋" w:hAnsi="仿宋" w:eastAsia="仿宋" w:cs="仿宋"/>
          <w:bCs/>
          <w:color w:val="000000" w:themeColor="text1"/>
          <w:sz w:val="24"/>
          <w:szCs w:val="28"/>
        </w:rPr>
        <w:t>投标截止时间前，投标人应将加密的电子投标文件递交至“政府采购云平台”对应项目。</w:t>
      </w:r>
      <w:bookmarkStart w:id="287" w:name="_GoBack"/>
      <w:bookmarkEnd w:id="287"/>
    </w:p>
    <w:p>
      <w:pPr>
        <w:pStyle w:val="11"/>
        <w:spacing w:afterLines="50" w:line="360" w:lineRule="auto"/>
        <w:ind w:firstLine="480"/>
        <w:rPr>
          <w:rFonts w:ascii="仿宋" w:hAnsi="仿宋" w:eastAsia="仿宋" w:cs="仿宋"/>
          <w:b/>
          <w:bCs/>
          <w:sz w:val="24"/>
          <w:szCs w:val="28"/>
        </w:rPr>
      </w:pPr>
      <w:r>
        <w:rPr>
          <w:rFonts w:hint="eastAsia" w:ascii="仿宋" w:hAnsi="仿宋" w:eastAsia="仿宋" w:cs="仿宋"/>
          <w:b/>
          <w:sz w:val="24"/>
          <w:szCs w:val="28"/>
        </w:rPr>
        <w:t>八、</w:t>
      </w:r>
      <w:r>
        <w:rPr>
          <w:rFonts w:hint="eastAsia" w:ascii="仿宋" w:hAnsi="仿宋" w:eastAsia="仿宋" w:cs="仿宋"/>
          <w:b/>
          <w:bCs/>
          <w:sz w:val="24"/>
          <w:szCs w:val="28"/>
        </w:rPr>
        <w:t>开标地点：</w:t>
      </w:r>
      <w:r>
        <w:rPr>
          <w:rFonts w:hint="eastAsia" w:ascii="仿宋" w:hAnsi="仿宋" w:eastAsia="仿宋" w:cs="仿宋"/>
          <w:sz w:val="24"/>
          <w:szCs w:val="28"/>
        </w:rPr>
        <w:t>（1）本项目为不见面开标项目；（2）开标地点：政府采购云平台(https://www.zcygov.cn)；（3）本项目只接受投标人加密并递交至“政府采购云平台”的投标文件。</w:t>
      </w:r>
    </w:p>
    <w:p>
      <w:pPr>
        <w:pStyle w:val="48"/>
        <w:ind w:firstLine="482"/>
        <w:rPr>
          <w:rFonts w:ascii="仿宋" w:hAnsi="仿宋" w:eastAsia="仿宋" w:cs="仿宋"/>
          <w:sz w:val="24"/>
        </w:rPr>
      </w:pPr>
      <w:bookmarkStart w:id="8" w:name="PO_默认文件内容_33"/>
      <w:r>
        <w:rPr>
          <w:rFonts w:hint="eastAsia" w:ascii="仿宋" w:hAnsi="仿宋" w:eastAsia="仿宋" w:cs="仿宋"/>
          <w:b/>
          <w:sz w:val="24"/>
        </w:rPr>
        <w:t>九、</w:t>
      </w:r>
      <w:r>
        <w:rPr>
          <w:rFonts w:hint="eastAsia" w:ascii="仿宋" w:hAnsi="仿宋" w:eastAsia="仿宋" w:cs="仿宋"/>
          <w:sz w:val="24"/>
        </w:rPr>
        <w:t>本投标邀请在四川政府采购网上以公告形式发布。</w:t>
      </w:r>
      <w:bookmarkEnd w:id="8"/>
    </w:p>
    <w:p>
      <w:pPr>
        <w:pStyle w:val="48"/>
        <w:ind w:firstLine="482"/>
        <w:rPr>
          <w:rFonts w:ascii="仿宋" w:hAnsi="仿宋" w:eastAsia="仿宋" w:cs="仿宋"/>
          <w:b/>
          <w:sz w:val="24"/>
        </w:rPr>
      </w:pPr>
      <w:r>
        <w:rPr>
          <w:rFonts w:hint="eastAsia" w:ascii="仿宋" w:hAnsi="仿宋" w:eastAsia="仿宋" w:cs="仿宋"/>
          <w:b/>
          <w:sz w:val="24"/>
        </w:rPr>
        <w:t>十、供应商信用融资：</w:t>
      </w:r>
    </w:p>
    <w:p>
      <w:pPr>
        <w:pStyle w:val="48"/>
        <w:ind w:firstLine="480"/>
        <w:rPr>
          <w:rFonts w:ascii="仿宋" w:hAnsi="仿宋" w:eastAsia="仿宋" w:cs="仿宋"/>
          <w:sz w:val="24"/>
        </w:rPr>
      </w:pPr>
      <w:r>
        <w:rPr>
          <w:rFonts w:hint="eastAsia" w:ascii="仿宋" w:hAnsi="仿宋" w:eastAsia="仿宋" w:cs="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48"/>
        <w:ind w:firstLine="480"/>
        <w:rPr>
          <w:rFonts w:ascii="仿宋" w:hAnsi="仿宋" w:eastAsia="仿宋" w:cs="仿宋"/>
          <w:sz w:val="24"/>
        </w:rPr>
      </w:pPr>
      <w:r>
        <w:rPr>
          <w:rFonts w:hint="eastAsia" w:ascii="仿宋" w:hAnsi="仿宋" w:eastAsia="仿宋" w:cs="仿宋"/>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p>
    <w:p>
      <w:pPr>
        <w:pStyle w:val="48"/>
        <w:ind w:firstLine="482"/>
        <w:rPr>
          <w:rFonts w:ascii="仿宋" w:hAnsi="仿宋" w:eastAsia="仿宋" w:cs="仿宋"/>
          <w:b/>
          <w:sz w:val="24"/>
        </w:rPr>
      </w:pPr>
      <w:r>
        <w:rPr>
          <w:rFonts w:hint="eastAsia" w:ascii="仿宋" w:hAnsi="仿宋" w:eastAsia="仿宋" w:cs="仿宋"/>
          <w:b/>
          <w:sz w:val="24"/>
        </w:rPr>
        <w:t>十一、联系方式</w:t>
      </w:r>
    </w:p>
    <w:p>
      <w:pPr>
        <w:pStyle w:val="48"/>
        <w:snapToGrid w:val="0"/>
        <w:ind w:firstLine="472" w:firstLineChars="196"/>
        <w:rPr>
          <w:rFonts w:ascii="仿宋" w:hAnsi="仿宋" w:eastAsia="仿宋" w:cs="仿宋"/>
          <w:b/>
          <w:sz w:val="24"/>
        </w:rPr>
      </w:pPr>
      <w:r>
        <w:rPr>
          <w:rFonts w:hint="eastAsia" w:ascii="仿宋" w:hAnsi="仿宋" w:eastAsia="仿宋" w:cs="仿宋"/>
          <w:b/>
          <w:sz w:val="24"/>
        </w:rPr>
        <w:t>采购人：成都市双流区环境卫生管理所</w:t>
      </w:r>
    </w:p>
    <w:p>
      <w:pPr>
        <w:pStyle w:val="48"/>
        <w:snapToGrid w:val="0"/>
        <w:ind w:firstLine="480"/>
        <w:rPr>
          <w:rFonts w:ascii="仿宋" w:hAnsi="仿宋" w:eastAsia="仿宋" w:cs="仿宋"/>
          <w:bCs/>
          <w:sz w:val="24"/>
        </w:rPr>
      </w:pPr>
      <w:r>
        <w:rPr>
          <w:rFonts w:hint="eastAsia" w:ascii="仿宋" w:hAnsi="仿宋" w:eastAsia="仿宋" w:cs="仿宋"/>
          <w:bCs/>
          <w:sz w:val="24"/>
        </w:rPr>
        <w:t>地址：成都市双流区胜利镇云华社区三组160号</w:t>
      </w:r>
    </w:p>
    <w:p>
      <w:pPr>
        <w:pStyle w:val="48"/>
        <w:snapToGrid w:val="0"/>
        <w:ind w:firstLine="480"/>
        <w:rPr>
          <w:rFonts w:ascii="仿宋" w:hAnsi="仿宋" w:eastAsia="仿宋" w:cs="仿宋"/>
          <w:sz w:val="24"/>
        </w:rPr>
      </w:pPr>
      <w:r>
        <w:rPr>
          <w:rFonts w:hint="eastAsia" w:ascii="仿宋" w:hAnsi="仿宋" w:eastAsia="仿宋" w:cs="仿宋"/>
          <w:sz w:val="24"/>
        </w:rPr>
        <w:t>联系人：刘老师</w:t>
      </w:r>
    </w:p>
    <w:p>
      <w:pPr>
        <w:pStyle w:val="48"/>
        <w:snapToGrid w:val="0"/>
        <w:ind w:firstLine="480"/>
        <w:rPr>
          <w:rFonts w:ascii="仿宋" w:hAnsi="仿宋" w:eastAsia="仿宋" w:cs="仿宋"/>
          <w:sz w:val="24"/>
        </w:rPr>
      </w:pPr>
      <w:r>
        <w:rPr>
          <w:rFonts w:hint="eastAsia" w:ascii="仿宋" w:hAnsi="仿宋" w:eastAsia="仿宋" w:cs="仿宋"/>
          <w:sz w:val="24"/>
        </w:rPr>
        <w:t>联系电话：028-85804310</w:t>
      </w:r>
    </w:p>
    <w:p>
      <w:pPr>
        <w:pStyle w:val="48"/>
        <w:snapToGrid w:val="0"/>
        <w:ind w:firstLine="472" w:firstLineChars="196"/>
        <w:rPr>
          <w:rFonts w:ascii="仿宋" w:hAnsi="仿宋" w:eastAsia="仿宋" w:cs="仿宋"/>
          <w:b/>
          <w:sz w:val="24"/>
        </w:rPr>
      </w:pPr>
      <w:r>
        <w:rPr>
          <w:rFonts w:hint="eastAsia" w:ascii="仿宋" w:hAnsi="仿宋" w:eastAsia="仿宋" w:cs="仿宋"/>
          <w:b/>
          <w:sz w:val="24"/>
        </w:rPr>
        <w:t>采购代理机构：利阳致诚国际项目管理有限公司</w:t>
      </w:r>
    </w:p>
    <w:p>
      <w:pPr>
        <w:pStyle w:val="48"/>
        <w:snapToGrid w:val="0"/>
        <w:ind w:firstLine="480"/>
        <w:rPr>
          <w:rFonts w:ascii="仿宋" w:hAnsi="仿宋" w:eastAsia="仿宋" w:cs="仿宋"/>
          <w:sz w:val="24"/>
        </w:rPr>
      </w:pPr>
      <w:r>
        <w:rPr>
          <w:rFonts w:hint="eastAsia" w:ascii="仿宋" w:hAnsi="仿宋" w:eastAsia="仿宋" w:cs="仿宋"/>
          <w:sz w:val="24"/>
        </w:rPr>
        <w:t>地址：成都市锦江区三色路163号A栋1单元14层04号</w:t>
      </w:r>
    </w:p>
    <w:p>
      <w:pPr>
        <w:pStyle w:val="48"/>
        <w:snapToGrid w:val="0"/>
        <w:ind w:firstLine="480"/>
        <w:rPr>
          <w:rFonts w:ascii="仿宋" w:hAnsi="仿宋" w:eastAsia="仿宋" w:cs="仿宋"/>
          <w:sz w:val="24"/>
        </w:rPr>
      </w:pPr>
      <w:r>
        <w:rPr>
          <w:rFonts w:hint="eastAsia" w:ascii="仿宋" w:hAnsi="仿宋" w:eastAsia="仿宋" w:cs="仿宋"/>
          <w:sz w:val="24"/>
        </w:rPr>
        <w:t>联系人：陈先生</w:t>
      </w:r>
    </w:p>
    <w:p>
      <w:pPr>
        <w:pStyle w:val="48"/>
        <w:snapToGrid w:val="0"/>
        <w:ind w:firstLine="480"/>
        <w:rPr>
          <w:rFonts w:ascii="仿宋" w:hAnsi="仿宋" w:eastAsia="仿宋" w:cs="仿宋"/>
          <w:sz w:val="24"/>
        </w:rPr>
      </w:pPr>
      <w:r>
        <w:rPr>
          <w:rFonts w:hint="eastAsia" w:ascii="仿宋" w:hAnsi="仿宋" w:eastAsia="仿宋" w:cs="仿宋"/>
          <w:sz w:val="24"/>
        </w:rPr>
        <w:t>联系电话：028-83377199</w:t>
      </w:r>
    </w:p>
    <w:p>
      <w:pPr>
        <w:pStyle w:val="48"/>
        <w:spacing w:line="420" w:lineRule="exact"/>
        <w:ind w:firstLine="1260" w:firstLineChars="525"/>
        <w:rPr>
          <w:rFonts w:ascii="仿宋" w:hAnsi="仿宋" w:eastAsia="仿宋" w:cs="仿宋"/>
          <w:sz w:val="24"/>
        </w:rPr>
      </w:pPr>
    </w:p>
    <w:p>
      <w:pPr>
        <w:pStyle w:val="26"/>
        <w:spacing w:after="50" w:afterAutospacing="0" w:line="420" w:lineRule="exact"/>
        <w:ind w:firstLine="5640" w:firstLineChars="2350"/>
        <w:rPr>
          <w:rFonts w:ascii="仿宋" w:hAnsi="仿宋" w:eastAsia="仿宋" w:cs="仿宋"/>
          <w:sz w:val="24"/>
          <w:szCs w:val="24"/>
        </w:rPr>
      </w:pPr>
    </w:p>
    <w:p>
      <w:pPr>
        <w:pStyle w:val="26"/>
        <w:spacing w:after="50" w:afterAutospacing="0" w:line="420" w:lineRule="exact"/>
        <w:rPr>
          <w:rFonts w:ascii="仿宋" w:hAnsi="仿宋" w:eastAsia="仿宋" w:cs="仿宋"/>
          <w:sz w:val="36"/>
          <w:szCs w:val="36"/>
        </w:rPr>
        <w:sectPr>
          <w:footerReference r:id="rId5" w:type="default"/>
          <w:footerReference r:id="rId6" w:type="even"/>
          <w:pgSz w:w="11907" w:h="16840"/>
          <w:pgMar w:top="1440" w:right="1474" w:bottom="1440" w:left="1474" w:header="851" w:footer="992" w:gutter="0"/>
          <w:pgNumType w:start="1"/>
          <w:cols w:space="720" w:num="1"/>
          <w:docGrid w:linePitch="312" w:charSpace="0"/>
        </w:sectPr>
      </w:pPr>
      <w:bookmarkStart w:id="9" w:name="_Toc12497"/>
      <w:bookmarkStart w:id="10" w:name="_Toc213396945"/>
      <w:bookmarkStart w:id="11" w:name="_Toc213496267"/>
      <w:bookmarkStart w:id="12" w:name="_Toc213396759"/>
      <w:bookmarkStart w:id="13" w:name="_Toc213397009"/>
      <w:bookmarkStart w:id="14" w:name="_Toc217446031"/>
    </w:p>
    <w:p>
      <w:pPr>
        <w:pStyle w:val="3"/>
        <w:jc w:val="center"/>
        <w:rPr>
          <w:rFonts w:ascii="仿宋" w:hAnsi="仿宋" w:eastAsia="仿宋" w:cs="仿宋"/>
          <w:sz w:val="36"/>
          <w:szCs w:val="36"/>
        </w:rPr>
      </w:pPr>
      <w:bookmarkStart w:id="15" w:name="_Toc7661"/>
      <w:r>
        <w:rPr>
          <w:rFonts w:hint="eastAsia" w:ascii="仿宋" w:hAnsi="仿宋" w:eastAsia="仿宋" w:cs="仿宋"/>
          <w:sz w:val="36"/>
          <w:szCs w:val="36"/>
        </w:rPr>
        <w:t>第二章  投标人须知</w:t>
      </w:r>
      <w:bookmarkEnd w:id="9"/>
      <w:bookmarkEnd w:id="15"/>
    </w:p>
    <w:p>
      <w:pPr>
        <w:pStyle w:val="4"/>
        <w:spacing w:line="240" w:lineRule="atLeast"/>
        <w:jc w:val="center"/>
        <w:rPr>
          <w:rFonts w:ascii="仿宋" w:hAnsi="仿宋" w:eastAsia="仿宋" w:cs="仿宋"/>
        </w:rPr>
      </w:pPr>
      <w:r>
        <w:rPr>
          <w:rFonts w:hint="eastAsia" w:ascii="仿宋" w:hAnsi="仿宋" w:eastAsia="仿宋" w:cs="仿宋"/>
        </w:rPr>
        <w:t>一、投标人须知附表</w:t>
      </w:r>
      <w:bookmarkEnd w:id="10"/>
      <w:bookmarkEnd w:id="11"/>
      <w:bookmarkEnd w:id="12"/>
      <w:bookmarkEnd w:id="13"/>
      <w:bookmarkEnd w:id="14"/>
    </w:p>
    <w:tbl>
      <w:tblPr>
        <w:tblStyle w:val="29"/>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11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3" w:hRule="atLeast"/>
          <w:tblHeader/>
          <w:jc w:val="center"/>
        </w:trPr>
        <w:tc>
          <w:tcPr>
            <w:tcW w:w="838" w:type="dxa"/>
            <w:vAlign w:val="center"/>
          </w:tcPr>
          <w:p>
            <w:pPr>
              <w:pStyle w:val="50"/>
              <w:ind w:left="9"/>
              <w:jc w:val="center"/>
              <w:rPr>
                <w:rFonts w:ascii="仿宋" w:hAnsi="仿宋" w:eastAsia="仿宋" w:cs="仿宋"/>
                <w:kern w:val="2"/>
                <w:sz w:val="21"/>
                <w:szCs w:val="21"/>
              </w:rPr>
            </w:pPr>
            <w:r>
              <w:rPr>
                <w:rFonts w:hint="eastAsia" w:ascii="仿宋" w:hAnsi="仿宋" w:eastAsia="仿宋" w:cs="仿宋"/>
                <w:kern w:val="2"/>
                <w:sz w:val="21"/>
                <w:szCs w:val="21"/>
              </w:rPr>
              <w:t>序号</w:t>
            </w:r>
          </w:p>
        </w:tc>
        <w:tc>
          <w:tcPr>
            <w:tcW w:w="2552" w:type="dxa"/>
            <w:vAlign w:val="center"/>
          </w:tcPr>
          <w:p>
            <w:pPr>
              <w:pStyle w:val="50"/>
              <w:ind w:left="38"/>
              <w:jc w:val="center"/>
              <w:rPr>
                <w:rFonts w:ascii="仿宋" w:hAnsi="仿宋" w:eastAsia="仿宋" w:cs="仿宋"/>
                <w:kern w:val="2"/>
                <w:sz w:val="21"/>
                <w:szCs w:val="21"/>
              </w:rPr>
            </w:pPr>
            <w:r>
              <w:rPr>
                <w:rFonts w:hint="eastAsia" w:ascii="仿宋" w:hAnsi="仿宋" w:eastAsia="仿宋" w:cs="仿宋"/>
                <w:kern w:val="2"/>
                <w:sz w:val="21"/>
                <w:szCs w:val="21"/>
              </w:rPr>
              <w:t>条款名称</w:t>
            </w:r>
          </w:p>
        </w:tc>
        <w:tc>
          <w:tcPr>
            <w:tcW w:w="6111" w:type="dxa"/>
            <w:vAlign w:val="center"/>
          </w:tcPr>
          <w:p>
            <w:pPr>
              <w:pStyle w:val="50"/>
              <w:jc w:val="center"/>
              <w:rPr>
                <w:rFonts w:ascii="仿宋" w:hAnsi="仿宋" w:eastAsia="仿宋" w:cs="仿宋"/>
                <w:kern w:val="2"/>
                <w:sz w:val="21"/>
                <w:szCs w:val="21"/>
              </w:rPr>
            </w:pPr>
            <w:r>
              <w:rPr>
                <w:rFonts w:hint="eastAsia" w:ascii="仿宋" w:hAnsi="仿宋" w:eastAsia="仿宋" w:cs="仿宋"/>
                <w:kern w:val="2"/>
                <w:sz w:val="21"/>
                <w:szCs w:val="21"/>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restart"/>
            <w:vAlign w:val="center"/>
          </w:tcPr>
          <w:p>
            <w:pPr>
              <w:pStyle w:val="50"/>
              <w:ind w:right="230"/>
              <w:jc w:val="center"/>
              <w:rPr>
                <w:rFonts w:ascii="仿宋" w:hAnsi="仿宋" w:eastAsia="仿宋" w:cs="仿宋"/>
                <w:kern w:val="2"/>
                <w:sz w:val="21"/>
                <w:szCs w:val="21"/>
              </w:rPr>
            </w:pPr>
            <w:r>
              <w:rPr>
                <w:rFonts w:hint="eastAsia" w:ascii="仿宋" w:hAnsi="仿宋" w:eastAsia="仿宋" w:cs="仿宋"/>
                <w:kern w:val="2"/>
                <w:sz w:val="21"/>
                <w:szCs w:val="21"/>
              </w:rPr>
              <w:t>1</w:t>
            </w:r>
          </w:p>
        </w:tc>
        <w:tc>
          <w:tcPr>
            <w:tcW w:w="2552" w:type="dxa"/>
            <w:tcBorders>
              <w:bottom w:val="single" w:color="auto" w:sz="4" w:space="0"/>
            </w:tcBorders>
            <w:vAlign w:val="center"/>
          </w:tcPr>
          <w:p>
            <w:pPr>
              <w:pStyle w:val="50"/>
              <w:ind w:left="38"/>
              <w:jc w:val="center"/>
              <w:rPr>
                <w:rFonts w:ascii="仿宋" w:hAnsi="仿宋" w:eastAsia="仿宋" w:cs="仿宋"/>
                <w:kern w:val="2"/>
                <w:sz w:val="21"/>
                <w:szCs w:val="21"/>
              </w:rPr>
            </w:pPr>
            <w:r>
              <w:rPr>
                <w:rFonts w:hint="eastAsia" w:ascii="仿宋" w:hAnsi="仿宋" w:eastAsia="仿宋" w:cs="仿宋"/>
                <w:kern w:val="2"/>
                <w:sz w:val="21"/>
                <w:szCs w:val="21"/>
              </w:rPr>
              <w:t>采购预算</w:t>
            </w:r>
          </w:p>
          <w:p>
            <w:pPr>
              <w:pStyle w:val="50"/>
              <w:ind w:left="38"/>
              <w:jc w:val="center"/>
              <w:rPr>
                <w:rFonts w:ascii="仿宋" w:hAnsi="仿宋" w:eastAsia="仿宋" w:cs="仿宋"/>
                <w:kern w:val="2"/>
                <w:sz w:val="21"/>
                <w:szCs w:val="21"/>
              </w:rPr>
            </w:pPr>
            <w:r>
              <w:rPr>
                <w:rFonts w:hint="eastAsia" w:ascii="仿宋" w:hAnsi="仿宋" w:eastAsia="仿宋" w:cs="仿宋"/>
                <w:sz w:val="21"/>
                <w:szCs w:val="21"/>
              </w:rPr>
              <w:t>（实质性要求）</w:t>
            </w:r>
          </w:p>
        </w:tc>
        <w:tc>
          <w:tcPr>
            <w:tcW w:w="6111" w:type="dxa"/>
            <w:tcBorders>
              <w:bottom w:val="single" w:color="auto" w:sz="4" w:space="0"/>
            </w:tcBorders>
          </w:tcPr>
          <w:p>
            <w:pPr>
              <w:widowControl/>
              <w:rPr>
                <w:rFonts w:ascii="仿宋" w:hAnsi="仿宋" w:eastAsia="仿宋" w:cs="仿宋"/>
                <w:kern w:val="0"/>
                <w:szCs w:val="21"/>
              </w:rPr>
            </w:pPr>
            <w:r>
              <w:rPr>
                <w:rFonts w:hint="eastAsia" w:ascii="仿宋" w:hAnsi="仿宋" w:eastAsia="仿宋" w:cs="仿宋"/>
                <w:kern w:val="0"/>
                <w:szCs w:val="21"/>
              </w:rPr>
              <w:t>人民币760.5140万元/年；其中单价预算金额：109元/吨。</w:t>
            </w:r>
          </w:p>
          <w:p>
            <w:pPr>
              <w:widowControl/>
              <w:rPr>
                <w:rFonts w:ascii="仿宋" w:hAnsi="仿宋" w:eastAsia="仿宋" w:cs="仿宋"/>
                <w:szCs w:val="21"/>
              </w:rPr>
            </w:pPr>
            <w:r>
              <w:rPr>
                <w:rFonts w:hint="eastAsia" w:ascii="仿宋" w:hAnsi="仿宋" w:eastAsia="仿宋" w:cs="仿宋"/>
                <w:szCs w:val="21"/>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continue"/>
            <w:vAlign w:val="center"/>
          </w:tcPr>
          <w:p>
            <w:pPr>
              <w:jc w:val="center"/>
              <w:rPr>
                <w:rFonts w:ascii="仿宋" w:hAnsi="仿宋" w:eastAsia="仿宋" w:cs="仿宋"/>
                <w:szCs w:val="21"/>
              </w:rPr>
            </w:pPr>
          </w:p>
        </w:tc>
        <w:tc>
          <w:tcPr>
            <w:tcW w:w="2552" w:type="dxa"/>
            <w:tcBorders>
              <w:top w:val="single" w:color="auto" w:sz="4" w:space="0"/>
            </w:tcBorders>
            <w:vAlign w:val="center"/>
          </w:tcPr>
          <w:p>
            <w:pPr>
              <w:pStyle w:val="50"/>
              <w:jc w:val="center"/>
              <w:rPr>
                <w:rFonts w:ascii="仿宋" w:hAnsi="仿宋" w:eastAsia="仿宋" w:cs="仿宋"/>
                <w:kern w:val="2"/>
                <w:sz w:val="21"/>
                <w:szCs w:val="21"/>
              </w:rPr>
            </w:pPr>
            <w:r>
              <w:rPr>
                <w:rFonts w:hint="eastAsia" w:ascii="仿宋" w:hAnsi="仿宋" w:eastAsia="仿宋" w:cs="仿宋"/>
                <w:kern w:val="2"/>
                <w:sz w:val="21"/>
                <w:szCs w:val="21"/>
              </w:rPr>
              <w:t>最高限价</w:t>
            </w:r>
          </w:p>
          <w:p>
            <w:pPr>
              <w:pStyle w:val="50"/>
              <w:jc w:val="center"/>
              <w:rPr>
                <w:rFonts w:ascii="仿宋" w:hAnsi="仿宋" w:eastAsia="仿宋" w:cs="仿宋"/>
                <w:kern w:val="2"/>
                <w:sz w:val="21"/>
                <w:szCs w:val="21"/>
              </w:rPr>
            </w:pPr>
            <w:r>
              <w:rPr>
                <w:rFonts w:hint="eastAsia" w:ascii="仿宋" w:hAnsi="仿宋" w:eastAsia="仿宋" w:cs="仿宋"/>
                <w:sz w:val="21"/>
                <w:szCs w:val="21"/>
              </w:rPr>
              <w:t>（实质性要求）</w:t>
            </w:r>
          </w:p>
        </w:tc>
        <w:tc>
          <w:tcPr>
            <w:tcW w:w="6111" w:type="dxa"/>
            <w:tcBorders>
              <w:top w:val="single" w:color="auto" w:sz="4" w:space="0"/>
            </w:tcBorders>
          </w:tcPr>
          <w:p>
            <w:pPr>
              <w:widowControl/>
              <w:rPr>
                <w:rFonts w:ascii="仿宋" w:hAnsi="仿宋" w:eastAsia="仿宋" w:cs="仿宋"/>
                <w:kern w:val="0"/>
                <w:szCs w:val="21"/>
              </w:rPr>
            </w:pPr>
            <w:r>
              <w:rPr>
                <w:rFonts w:hint="eastAsia" w:ascii="仿宋" w:hAnsi="仿宋" w:eastAsia="仿宋" w:cs="仿宋"/>
                <w:kern w:val="0"/>
                <w:szCs w:val="21"/>
              </w:rPr>
              <w:t>总价最高限价为人民币760.5140万元/年；其中单价最高限价金额：109元/吨。</w:t>
            </w:r>
          </w:p>
          <w:p>
            <w:pPr>
              <w:widowControl/>
              <w:rPr>
                <w:rFonts w:ascii="仿宋" w:hAnsi="仿宋" w:eastAsia="仿宋" w:cs="仿宋"/>
                <w:kern w:val="0"/>
                <w:szCs w:val="21"/>
              </w:rPr>
            </w:pPr>
            <w:r>
              <w:rPr>
                <w:rFonts w:hint="eastAsia" w:ascii="仿宋" w:hAnsi="仿宋" w:eastAsia="仿宋" w:cs="仿宋"/>
                <w:kern w:val="0"/>
                <w:szCs w:val="21"/>
              </w:rPr>
              <w:t>超过总价最高限价的报价为无效投标。</w:t>
            </w:r>
          </w:p>
          <w:p>
            <w:pPr>
              <w:widowControl/>
              <w:rPr>
                <w:rFonts w:ascii="仿宋" w:hAnsi="仿宋" w:eastAsia="仿宋" w:cs="仿宋"/>
                <w:kern w:val="0"/>
                <w:szCs w:val="21"/>
              </w:rPr>
            </w:pPr>
            <w:r>
              <w:rPr>
                <w:rFonts w:hint="eastAsia" w:ascii="仿宋" w:hAnsi="仿宋" w:eastAsia="仿宋" w:cs="仿宋"/>
                <w:kern w:val="0"/>
                <w:szCs w:val="21"/>
              </w:rPr>
              <w:t>超过单价最高限价的报价为无效投标。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50"/>
              <w:ind w:right="230"/>
              <w:jc w:val="center"/>
              <w:rPr>
                <w:rFonts w:ascii="仿宋" w:hAnsi="仿宋" w:eastAsia="仿宋" w:cs="仿宋"/>
                <w:kern w:val="2"/>
                <w:sz w:val="21"/>
                <w:szCs w:val="21"/>
              </w:rPr>
            </w:pPr>
            <w:r>
              <w:rPr>
                <w:rFonts w:hint="eastAsia" w:ascii="仿宋" w:hAnsi="仿宋" w:eastAsia="仿宋" w:cs="仿宋"/>
                <w:kern w:val="2"/>
                <w:sz w:val="21"/>
                <w:szCs w:val="21"/>
              </w:rPr>
              <w:t>2</w:t>
            </w:r>
          </w:p>
        </w:tc>
        <w:tc>
          <w:tcPr>
            <w:tcW w:w="2552" w:type="dxa"/>
            <w:vAlign w:val="center"/>
          </w:tcPr>
          <w:p>
            <w:pPr>
              <w:pStyle w:val="50"/>
              <w:ind w:left="38"/>
              <w:jc w:val="center"/>
              <w:rPr>
                <w:rFonts w:ascii="仿宋" w:hAnsi="仿宋" w:eastAsia="仿宋" w:cs="仿宋"/>
                <w:kern w:val="2"/>
                <w:sz w:val="21"/>
                <w:szCs w:val="21"/>
              </w:rPr>
            </w:pPr>
            <w:r>
              <w:rPr>
                <w:rFonts w:hint="eastAsia" w:ascii="仿宋" w:hAnsi="仿宋" w:eastAsia="仿宋" w:cs="仿宋"/>
                <w:kern w:val="2"/>
                <w:sz w:val="21"/>
                <w:szCs w:val="21"/>
              </w:rPr>
              <w:t>不正当竞争预防措施</w:t>
            </w:r>
          </w:p>
          <w:p>
            <w:pPr>
              <w:pStyle w:val="50"/>
              <w:ind w:left="38"/>
              <w:jc w:val="center"/>
              <w:rPr>
                <w:rFonts w:ascii="仿宋" w:hAnsi="仿宋" w:eastAsia="仿宋" w:cs="仿宋"/>
                <w:kern w:val="2"/>
                <w:sz w:val="21"/>
                <w:szCs w:val="21"/>
              </w:rPr>
            </w:pPr>
            <w:r>
              <w:rPr>
                <w:rFonts w:hint="eastAsia" w:ascii="仿宋" w:hAnsi="仿宋" w:eastAsia="仿宋" w:cs="仿宋"/>
                <w:sz w:val="21"/>
                <w:szCs w:val="21"/>
              </w:rPr>
              <w:t>（实质性要求）</w:t>
            </w:r>
          </w:p>
        </w:tc>
        <w:tc>
          <w:tcPr>
            <w:tcW w:w="6111" w:type="dxa"/>
            <w:vAlign w:val="center"/>
          </w:tcPr>
          <w:p>
            <w:pPr>
              <w:pStyle w:val="50"/>
              <w:jc w:val="both"/>
              <w:rPr>
                <w:rFonts w:ascii="仿宋" w:hAnsi="仿宋" w:eastAsia="仿宋" w:cs="仿宋"/>
                <w:kern w:val="2"/>
                <w:sz w:val="21"/>
                <w:szCs w:val="21"/>
              </w:rPr>
            </w:pPr>
            <w:r>
              <w:rPr>
                <w:rFonts w:hint="eastAsia" w:ascii="仿宋" w:hAnsi="仿宋" w:eastAsia="仿宋" w:cs="仿宋"/>
                <w:kern w:val="2"/>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50"/>
              <w:jc w:val="both"/>
              <w:rPr>
                <w:rFonts w:ascii="仿宋" w:hAnsi="仿宋" w:eastAsia="仿宋" w:cs="仿宋"/>
                <w:kern w:val="2"/>
                <w:sz w:val="21"/>
                <w:szCs w:val="21"/>
              </w:rPr>
            </w:pPr>
            <w:r>
              <w:rPr>
                <w:rFonts w:hint="eastAsia" w:ascii="仿宋" w:hAnsi="仿宋" w:eastAsia="仿宋" w:cs="仿宋"/>
                <w:kern w:val="2"/>
                <w:sz w:val="21"/>
                <w:szCs w:val="21"/>
              </w:rPr>
              <w:t>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pPr>
              <w:pStyle w:val="50"/>
              <w:jc w:val="both"/>
              <w:rPr>
                <w:rFonts w:ascii="仿宋" w:hAnsi="仿宋" w:eastAsia="仿宋" w:cs="仿宋"/>
                <w:kern w:val="2"/>
                <w:sz w:val="21"/>
                <w:szCs w:val="21"/>
              </w:rPr>
            </w:pPr>
            <w:r>
              <w:rPr>
                <w:rFonts w:hint="eastAsia" w:ascii="仿宋" w:hAnsi="仿宋" w:eastAsia="仿宋" w:cs="仿宋"/>
                <w:kern w:val="2"/>
                <w:sz w:val="21"/>
                <w:szCs w:val="21"/>
              </w:rPr>
              <w:t>供应商书面说明应当签字确认或者加盖公章，否则无效。书面说明的签字确认，供应商为法人的，由其法定代表人（负责人）或者代理人签字确认；供应商为其他组织的，由其主要负责人或者代理人签字确认；供应商为自然人的，由其本人或者代理人签字确认。</w:t>
            </w:r>
          </w:p>
          <w:p>
            <w:pPr>
              <w:pStyle w:val="50"/>
              <w:jc w:val="both"/>
              <w:rPr>
                <w:rFonts w:ascii="仿宋" w:hAnsi="仿宋" w:eastAsia="仿宋" w:cs="仿宋"/>
                <w:kern w:val="2"/>
                <w:sz w:val="21"/>
                <w:szCs w:val="21"/>
              </w:rPr>
            </w:pPr>
            <w:r>
              <w:rPr>
                <w:rFonts w:hint="eastAsia" w:ascii="仿宋" w:hAnsi="仿宋" w:eastAsia="仿宋" w:cs="仿宋"/>
                <w:kern w:val="2"/>
                <w:sz w:val="21"/>
                <w:szCs w:val="21"/>
              </w:rPr>
              <w:t>供应商提供书面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50"/>
              <w:ind w:right="230"/>
              <w:jc w:val="center"/>
              <w:rPr>
                <w:rFonts w:ascii="仿宋" w:hAnsi="仿宋" w:eastAsia="仿宋" w:cs="仿宋"/>
                <w:kern w:val="2"/>
                <w:sz w:val="21"/>
                <w:szCs w:val="21"/>
              </w:rPr>
            </w:pPr>
            <w:r>
              <w:rPr>
                <w:rFonts w:hint="eastAsia" w:ascii="仿宋" w:hAnsi="仿宋" w:eastAsia="仿宋" w:cs="仿宋"/>
                <w:kern w:val="2"/>
                <w:sz w:val="21"/>
                <w:szCs w:val="21"/>
              </w:rPr>
              <w:t>3</w:t>
            </w:r>
          </w:p>
        </w:tc>
        <w:tc>
          <w:tcPr>
            <w:tcW w:w="2552" w:type="dxa"/>
            <w:vAlign w:val="center"/>
          </w:tcPr>
          <w:p>
            <w:pPr>
              <w:pStyle w:val="50"/>
              <w:ind w:left="38"/>
              <w:jc w:val="center"/>
              <w:rPr>
                <w:rFonts w:ascii="仿宋" w:hAnsi="仿宋" w:eastAsia="仿宋" w:cs="仿宋"/>
                <w:sz w:val="21"/>
                <w:szCs w:val="21"/>
                <w:lang w:val="zh-CN"/>
              </w:rPr>
            </w:pPr>
            <w:r>
              <w:rPr>
                <w:rFonts w:hint="eastAsia" w:ascii="仿宋" w:hAnsi="仿宋" w:eastAsia="仿宋" w:cs="仿宋"/>
                <w:sz w:val="21"/>
                <w:szCs w:val="21"/>
                <w:lang w:val="zh-CN"/>
              </w:rPr>
              <w:t>进口产品（实质性要求）</w:t>
            </w:r>
          </w:p>
        </w:tc>
        <w:tc>
          <w:tcPr>
            <w:tcW w:w="6111" w:type="dxa"/>
            <w:vAlign w:val="center"/>
          </w:tcPr>
          <w:p>
            <w:pPr>
              <w:pStyle w:val="50"/>
              <w:ind w:firstLine="420" w:firstLineChars="200"/>
              <w:jc w:val="both"/>
              <w:rPr>
                <w:rFonts w:ascii="仿宋" w:hAnsi="仿宋" w:eastAsia="仿宋" w:cs="仿宋"/>
                <w:sz w:val="21"/>
                <w:szCs w:val="21"/>
                <w:lang w:val="zh-CN"/>
              </w:rPr>
            </w:pPr>
            <w:r>
              <w:rPr>
                <w:rFonts w:hint="eastAsia" w:ascii="仿宋" w:hAnsi="仿宋" w:eastAsia="仿宋" w:cs="仿宋"/>
                <w:sz w:val="21"/>
                <w:szCs w:val="21"/>
              </w:rPr>
              <w:t>本项目不适用。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50"/>
              <w:ind w:right="230"/>
              <w:jc w:val="center"/>
              <w:rPr>
                <w:rFonts w:ascii="仿宋" w:hAnsi="仿宋" w:eastAsia="仿宋" w:cs="仿宋"/>
                <w:sz w:val="21"/>
                <w:szCs w:val="21"/>
                <w:lang w:val="zh-CN"/>
              </w:rPr>
            </w:pPr>
            <w:r>
              <w:rPr>
                <w:rFonts w:hint="eastAsia" w:ascii="仿宋" w:hAnsi="仿宋" w:eastAsia="仿宋" w:cs="仿宋"/>
                <w:sz w:val="21"/>
                <w:szCs w:val="21"/>
                <w:lang w:val="zh-CN"/>
              </w:rPr>
              <w:t>4</w:t>
            </w:r>
          </w:p>
        </w:tc>
        <w:tc>
          <w:tcPr>
            <w:tcW w:w="2552" w:type="dxa"/>
            <w:vAlign w:val="center"/>
          </w:tcPr>
          <w:p>
            <w:pPr>
              <w:pStyle w:val="50"/>
              <w:spacing w:after="0"/>
              <w:jc w:val="center"/>
              <w:rPr>
                <w:rFonts w:ascii="仿宋" w:hAnsi="仿宋" w:eastAsia="仿宋" w:cs="仿宋"/>
                <w:kern w:val="2"/>
                <w:sz w:val="21"/>
                <w:szCs w:val="21"/>
              </w:rPr>
            </w:pPr>
            <w:r>
              <w:rPr>
                <w:rFonts w:hint="eastAsia" w:ascii="仿宋" w:hAnsi="仿宋" w:eastAsia="仿宋" w:cs="仿宋"/>
                <w:kern w:val="2"/>
                <w:sz w:val="21"/>
                <w:szCs w:val="21"/>
              </w:rPr>
              <w:t>小微企业（监狱企业、残疾人福利性单位</w:t>
            </w:r>
            <w:r>
              <w:rPr>
                <w:rFonts w:hint="eastAsia" w:ascii="仿宋" w:hAnsi="仿宋" w:eastAsia="仿宋" w:cs="仿宋"/>
                <w:sz w:val="21"/>
                <w:szCs w:val="21"/>
              </w:rPr>
              <w:t>视同小微企业</w:t>
            </w:r>
            <w:r>
              <w:rPr>
                <w:rFonts w:hint="eastAsia" w:ascii="仿宋" w:hAnsi="仿宋" w:eastAsia="仿宋" w:cs="仿宋"/>
                <w:kern w:val="2"/>
                <w:sz w:val="21"/>
                <w:szCs w:val="21"/>
              </w:rPr>
              <w:t>）价格扣除</w:t>
            </w:r>
          </w:p>
        </w:tc>
        <w:tc>
          <w:tcPr>
            <w:tcW w:w="6111" w:type="dxa"/>
            <w:vAlign w:val="center"/>
          </w:tcPr>
          <w:p>
            <w:pPr>
              <w:pStyle w:val="50"/>
              <w:spacing w:line="360" w:lineRule="auto"/>
              <w:ind w:firstLine="420" w:firstLineChars="200"/>
              <w:jc w:val="both"/>
              <w:rPr>
                <w:rFonts w:ascii="仿宋" w:hAnsi="仿宋" w:eastAsia="仿宋" w:cs="仿宋"/>
                <w:sz w:val="21"/>
                <w:szCs w:val="21"/>
              </w:rPr>
            </w:pPr>
            <w:r>
              <w:rPr>
                <w:rFonts w:hint="eastAsia" w:ascii="仿宋" w:hAnsi="仿宋" w:eastAsia="仿宋" w:cs="仿宋"/>
                <w:sz w:val="21"/>
                <w:szCs w:val="21"/>
              </w:rPr>
              <w:t>（一）小微企业（监狱企业、残疾人福利性单位视同小微企业）价格扣除：</w:t>
            </w:r>
          </w:p>
          <w:p>
            <w:pPr>
              <w:pStyle w:val="50"/>
              <w:spacing w:line="360" w:lineRule="auto"/>
              <w:ind w:firstLine="420" w:firstLineChars="200"/>
              <w:jc w:val="both"/>
              <w:rPr>
                <w:rFonts w:ascii="仿宋" w:hAnsi="仿宋" w:eastAsia="仿宋" w:cs="仿宋"/>
                <w:sz w:val="21"/>
                <w:szCs w:val="21"/>
              </w:rPr>
            </w:pPr>
            <w:r>
              <w:rPr>
                <w:rFonts w:hint="eastAsia" w:ascii="仿宋" w:hAnsi="仿宋" w:eastAsia="仿宋" w:cs="仿宋"/>
                <w:sz w:val="21"/>
                <w:szCs w:val="21"/>
              </w:rPr>
              <w:t>根据《政府采购促进中小企业发展管理办法》（财库〔2020〕46号）的规定，本次采购项目中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pStyle w:val="50"/>
              <w:spacing w:line="360" w:lineRule="auto"/>
              <w:ind w:firstLine="420" w:firstLineChars="200"/>
              <w:jc w:val="both"/>
              <w:rPr>
                <w:rFonts w:ascii="仿宋" w:hAnsi="仿宋" w:eastAsia="仿宋" w:cs="仿宋"/>
                <w:sz w:val="21"/>
                <w:szCs w:val="21"/>
              </w:rPr>
            </w:pPr>
            <w:r>
              <w:rPr>
                <w:rFonts w:hint="eastAsia" w:ascii="仿宋" w:hAnsi="仿宋" w:eastAsia="仿宋" w:cs="仿宋"/>
                <w:sz w:val="21"/>
                <w:szCs w:val="21"/>
              </w:rPr>
              <w:t>1、适用范围：</w:t>
            </w:r>
          </w:p>
          <w:p>
            <w:pPr>
              <w:pStyle w:val="50"/>
              <w:spacing w:line="360" w:lineRule="auto"/>
              <w:ind w:firstLine="420" w:firstLineChars="200"/>
              <w:jc w:val="both"/>
              <w:rPr>
                <w:rFonts w:ascii="仿宋" w:hAnsi="仿宋" w:eastAsia="仿宋" w:cs="仿宋"/>
                <w:sz w:val="21"/>
                <w:szCs w:val="21"/>
              </w:rPr>
            </w:pPr>
            <w:r>
              <w:rPr>
                <w:rFonts w:hint="eastAsia" w:ascii="仿宋" w:hAnsi="仿宋" w:eastAsia="仿宋" w:cs="仿宋"/>
                <w:sz w:val="21"/>
                <w:szCs w:val="21"/>
              </w:rPr>
              <w:t>（1）在货物采购项目中，货物由中小企业制造，即货物由中小企业生产且使用该中小企业商号或者注册商标；（2）在工程采购项目中，工程由中小企业承建，即工程施工单位为中小企业；</w:t>
            </w:r>
            <w:r>
              <w:rPr>
                <w:rFonts w:hint="eastAsia" w:ascii="仿宋" w:hAnsi="仿宋" w:eastAsia="仿宋" w:cs="仿宋"/>
                <w:b/>
                <w:bCs/>
                <w:sz w:val="21"/>
                <w:szCs w:val="21"/>
              </w:rPr>
              <w:t>（3）在服务采购项目中，服务由中小企业承接，即提供服务的人员为中小企业依照《中华人民共和国劳动合同法》 订立劳动合同的从业人员；</w:t>
            </w:r>
            <w:r>
              <w:rPr>
                <w:rFonts w:hint="eastAsia" w:ascii="仿宋" w:hAnsi="仿宋" w:eastAsia="仿宋" w:cs="仿宋"/>
                <w:sz w:val="21"/>
                <w:szCs w:val="21"/>
              </w:rPr>
              <w:t>（4）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w:t>
            </w:r>
          </w:p>
          <w:p>
            <w:pPr>
              <w:pStyle w:val="50"/>
              <w:spacing w:line="360" w:lineRule="auto"/>
              <w:ind w:firstLine="420" w:firstLineChars="200"/>
              <w:jc w:val="both"/>
              <w:rPr>
                <w:rFonts w:ascii="仿宋" w:hAnsi="仿宋" w:eastAsia="仿宋" w:cs="仿宋"/>
                <w:sz w:val="21"/>
                <w:szCs w:val="21"/>
              </w:rPr>
            </w:pPr>
            <w:r>
              <w:rPr>
                <w:rFonts w:hint="eastAsia" w:ascii="仿宋" w:hAnsi="仿宋" w:eastAsia="仿宋" w:cs="仿宋"/>
                <w:sz w:val="21"/>
                <w:szCs w:val="21"/>
              </w:rPr>
              <w:t>2、执行方式：</w:t>
            </w:r>
          </w:p>
          <w:p>
            <w:pPr>
              <w:pStyle w:val="50"/>
              <w:spacing w:line="360" w:lineRule="auto"/>
              <w:ind w:firstLine="420" w:firstLineChars="200"/>
              <w:jc w:val="both"/>
              <w:rPr>
                <w:rFonts w:ascii="仿宋" w:hAnsi="仿宋" w:eastAsia="仿宋" w:cs="仿宋"/>
                <w:sz w:val="21"/>
                <w:szCs w:val="21"/>
              </w:rPr>
            </w:pPr>
            <w:r>
              <w:rPr>
                <w:rFonts w:hint="eastAsia" w:ascii="仿宋" w:hAnsi="仿宋" w:eastAsia="仿宋" w:cs="仿宋"/>
                <w:sz w:val="21"/>
                <w:szCs w:val="21"/>
              </w:rPr>
              <w:t>（1）根据《政府采购促进中小企业发展管理办法》（财库〔2020〕46号）的规定，对小型和微型企业的价格给予10%（服务项目）的价格扣除，用扣除后的价格参与评标。</w:t>
            </w:r>
          </w:p>
          <w:p>
            <w:pPr>
              <w:pStyle w:val="50"/>
              <w:spacing w:line="360" w:lineRule="auto"/>
              <w:ind w:firstLine="420" w:firstLineChars="200"/>
              <w:jc w:val="both"/>
              <w:rPr>
                <w:rFonts w:ascii="仿宋" w:hAnsi="仿宋" w:eastAsia="仿宋" w:cs="仿宋"/>
                <w:sz w:val="21"/>
                <w:szCs w:val="21"/>
              </w:rPr>
            </w:pPr>
            <w:r>
              <w:rPr>
                <w:rFonts w:hint="eastAsia" w:ascii="仿宋" w:hAnsi="仿宋" w:eastAsia="仿宋" w:cs="仿宋"/>
                <w:sz w:val="21"/>
                <w:szCs w:val="21"/>
              </w:rPr>
              <w:t>（2）参加政府采购活动的中小企业应当根据（财库〔2020〕46号）的规定提供《中小企业声明函》原件。</w:t>
            </w:r>
          </w:p>
          <w:p>
            <w:pPr>
              <w:pStyle w:val="50"/>
              <w:spacing w:line="360" w:lineRule="auto"/>
              <w:ind w:firstLine="420" w:firstLineChars="200"/>
              <w:jc w:val="both"/>
              <w:rPr>
                <w:rFonts w:ascii="仿宋" w:hAnsi="仿宋" w:eastAsia="仿宋" w:cs="仿宋"/>
                <w:sz w:val="21"/>
                <w:szCs w:val="21"/>
              </w:rPr>
            </w:pPr>
            <w:r>
              <w:rPr>
                <w:rFonts w:hint="eastAsia" w:ascii="仿宋" w:hAnsi="仿宋" w:eastAsia="仿宋" w:cs="仿宋"/>
                <w:sz w:val="21"/>
                <w:szCs w:val="21"/>
              </w:rPr>
              <w:t>（3）价格扣除比例或者价格分加分比例对小型企业和微型企业同等对待，不作区分。</w:t>
            </w:r>
          </w:p>
          <w:p>
            <w:pPr>
              <w:pStyle w:val="50"/>
              <w:spacing w:line="360" w:lineRule="auto"/>
              <w:ind w:firstLine="420" w:firstLineChars="200"/>
              <w:jc w:val="both"/>
              <w:rPr>
                <w:rFonts w:ascii="仿宋" w:hAnsi="仿宋" w:eastAsia="仿宋" w:cs="仿宋"/>
                <w:sz w:val="21"/>
                <w:szCs w:val="21"/>
              </w:rPr>
            </w:pPr>
            <w:r>
              <w:rPr>
                <w:rFonts w:hint="eastAsia" w:ascii="仿宋" w:hAnsi="仿宋" w:eastAsia="仿宋" w:cs="仿宋"/>
                <w:sz w:val="21"/>
                <w:szCs w:val="21"/>
              </w:rPr>
              <w:t>3、监狱企业价格扣除：</w:t>
            </w:r>
          </w:p>
          <w:p>
            <w:pPr>
              <w:pStyle w:val="50"/>
              <w:spacing w:line="360" w:lineRule="auto"/>
              <w:ind w:firstLine="420" w:firstLineChars="200"/>
              <w:jc w:val="both"/>
              <w:rPr>
                <w:rFonts w:ascii="仿宋" w:hAnsi="仿宋" w:eastAsia="仿宋" w:cs="仿宋"/>
                <w:sz w:val="21"/>
                <w:szCs w:val="21"/>
              </w:rPr>
            </w:pPr>
            <w:r>
              <w:rPr>
                <w:rFonts w:hint="eastAsia" w:ascii="仿宋" w:hAnsi="仿宋" w:eastAsia="仿宋" w:cs="仿宋"/>
                <w:sz w:val="21"/>
                <w:szCs w:val="21"/>
              </w:rPr>
              <w:t>根据《财政部、司法部关于政府采购支持监狱企业发展有关问题的通知》（财库〔2014〕68号）的规定，监狱企业视同小型、微型企业。符合要求的投标人提供省级以上监狱管理局、戒毒管理局（含新疆生产建设兵团）出具的属于监狱企业的证明文件复印件加盖投标人公章。</w:t>
            </w:r>
          </w:p>
          <w:p>
            <w:pPr>
              <w:pStyle w:val="50"/>
              <w:spacing w:line="360" w:lineRule="auto"/>
              <w:ind w:firstLine="420" w:firstLineChars="200"/>
              <w:jc w:val="both"/>
              <w:rPr>
                <w:rFonts w:ascii="仿宋" w:hAnsi="仿宋" w:eastAsia="仿宋" w:cs="仿宋"/>
                <w:sz w:val="21"/>
                <w:szCs w:val="21"/>
              </w:rPr>
            </w:pPr>
            <w:r>
              <w:rPr>
                <w:rFonts w:hint="eastAsia" w:ascii="仿宋" w:hAnsi="仿宋" w:eastAsia="仿宋" w:cs="仿宋"/>
                <w:sz w:val="21"/>
                <w:szCs w:val="21"/>
              </w:rPr>
              <w:t>4、符合促进残疾人就业条件况标人的价格扣除：</w:t>
            </w:r>
          </w:p>
          <w:p>
            <w:pPr>
              <w:widowControl/>
              <w:spacing w:after="120" w:line="360" w:lineRule="auto"/>
              <w:ind w:firstLine="420" w:firstLineChars="200"/>
              <w:jc w:val="left"/>
              <w:rPr>
                <w:rFonts w:ascii="仿宋" w:hAnsi="仿宋" w:eastAsia="仿宋" w:cs="仿宋"/>
                <w:b/>
                <w:bCs/>
                <w:kern w:val="0"/>
                <w:szCs w:val="21"/>
              </w:rPr>
            </w:pPr>
            <w:r>
              <w:rPr>
                <w:rFonts w:hint="eastAsia" w:ascii="仿宋" w:hAnsi="仿宋" w:eastAsia="仿宋" w:cs="仿宋"/>
                <w:szCs w:val="21"/>
              </w:rPr>
              <w:t>根据《关于促进残疾人就业政府采购政策的通知》（财库〔2017〕141号）的规定，残疾人福利性单位视同小型、微型企业。参加政府采购活动的残疾人福利性单位应当提供《残疾人福利性单位声明函》原件。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50"/>
              <w:spacing w:before="72" w:after="72"/>
              <w:ind w:right="264"/>
              <w:jc w:val="center"/>
              <w:rPr>
                <w:rFonts w:ascii="仿宋" w:hAnsi="仿宋" w:eastAsia="仿宋" w:cs="仿宋"/>
                <w:sz w:val="21"/>
                <w:szCs w:val="21"/>
                <w:lang w:val="zh-CN"/>
              </w:rPr>
            </w:pPr>
            <w:r>
              <w:rPr>
                <w:rFonts w:hint="eastAsia" w:ascii="仿宋" w:hAnsi="仿宋" w:eastAsia="仿宋" w:cs="仿宋"/>
                <w:kern w:val="2"/>
                <w:sz w:val="21"/>
                <w:szCs w:val="21"/>
              </w:rPr>
              <w:t>5</w:t>
            </w:r>
          </w:p>
        </w:tc>
        <w:tc>
          <w:tcPr>
            <w:tcW w:w="2552" w:type="dxa"/>
            <w:vAlign w:val="center"/>
          </w:tcPr>
          <w:p>
            <w:pPr>
              <w:spacing w:line="340" w:lineRule="exact"/>
              <w:ind w:left="105" w:leftChars="50" w:right="105" w:rightChars="50"/>
              <w:jc w:val="center"/>
              <w:rPr>
                <w:rFonts w:ascii="仿宋" w:hAnsi="仿宋" w:eastAsia="仿宋" w:cs="仿宋"/>
              </w:rPr>
            </w:pPr>
            <w:r>
              <w:rPr>
                <w:rFonts w:hint="eastAsia" w:ascii="仿宋" w:hAnsi="仿宋" w:eastAsia="仿宋" w:cs="仿宋"/>
              </w:rPr>
              <w:t>节能、环保及无线局域网产品政府采购政策</w:t>
            </w:r>
          </w:p>
        </w:tc>
        <w:tc>
          <w:tcPr>
            <w:tcW w:w="6111" w:type="dxa"/>
            <w:vAlign w:val="center"/>
          </w:tcPr>
          <w:p>
            <w:pPr>
              <w:spacing w:after="120" w:line="340" w:lineRule="exact"/>
              <w:ind w:right="105" w:rightChars="50"/>
              <w:jc w:val="left"/>
              <w:rPr>
                <w:rFonts w:ascii="仿宋" w:hAnsi="仿宋" w:eastAsia="仿宋" w:cs="仿宋"/>
                <w:kern w:val="0"/>
                <w:szCs w:val="21"/>
              </w:rPr>
            </w:pPr>
            <w:r>
              <w:rPr>
                <w:rFonts w:hint="eastAsia" w:ascii="仿宋" w:hAnsi="仿宋" w:eastAsia="仿宋" w:cs="仿宋"/>
                <w:kern w:val="0"/>
                <w:szCs w:val="21"/>
              </w:rPr>
              <w:t>本项目不涉及。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50"/>
              <w:ind w:right="230"/>
              <w:jc w:val="center"/>
              <w:rPr>
                <w:rFonts w:ascii="仿宋" w:hAnsi="仿宋" w:eastAsia="仿宋" w:cs="仿宋"/>
                <w:kern w:val="2"/>
                <w:sz w:val="21"/>
                <w:szCs w:val="21"/>
              </w:rPr>
            </w:pPr>
            <w:r>
              <w:rPr>
                <w:rFonts w:hint="eastAsia" w:ascii="仿宋" w:hAnsi="仿宋" w:eastAsia="仿宋" w:cs="仿宋"/>
                <w:kern w:val="2"/>
                <w:sz w:val="21"/>
                <w:szCs w:val="21"/>
              </w:rPr>
              <w:t>6</w:t>
            </w:r>
          </w:p>
        </w:tc>
        <w:tc>
          <w:tcPr>
            <w:tcW w:w="2552" w:type="dxa"/>
            <w:vAlign w:val="center"/>
          </w:tcPr>
          <w:p>
            <w:pPr>
              <w:spacing w:line="340" w:lineRule="exact"/>
              <w:ind w:left="105" w:leftChars="50" w:right="105" w:rightChars="50"/>
              <w:jc w:val="center"/>
              <w:rPr>
                <w:rFonts w:ascii="仿宋" w:hAnsi="仿宋" w:eastAsia="仿宋" w:cs="仿宋"/>
                <w:szCs w:val="21"/>
              </w:rPr>
            </w:pPr>
            <w:r>
              <w:rPr>
                <w:rFonts w:hint="eastAsia" w:ascii="仿宋" w:hAnsi="仿宋" w:eastAsia="仿宋" w:cs="仿宋"/>
                <w:kern w:val="0"/>
                <w:szCs w:val="21"/>
              </w:rPr>
              <w:t>评标情况公告</w:t>
            </w:r>
          </w:p>
        </w:tc>
        <w:tc>
          <w:tcPr>
            <w:tcW w:w="6111" w:type="dxa"/>
            <w:vAlign w:val="center"/>
          </w:tcPr>
          <w:p>
            <w:pPr>
              <w:widowControl/>
              <w:jc w:val="left"/>
              <w:rPr>
                <w:rFonts w:ascii="仿宋" w:hAnsi="仿宋" w:eastAsia="仿宋" w:cs="仿宋"/>
                <w:szCs w:val="21"/>
              </w:rPr>
            </w:pPr>
            <w:bookmarkStart w:id="16" w:name="PO_默认文件内容_7"/>
            <w:r>
              <w:rPr>
                <w:rFonts w:hint="eastAsia" w:ascii="仿宋" w:hAnsi="仿宋" w:eastAsia="仿宋" w:cs="仿宋"/>
                <w:kern w:val="0"/>
                <w:szCs w:val="21"/>
              </w:rPr>
              <w:t>所有供应商投标文件资格性、符合性检查情况、采用综合评分法时的总得分和分项汇总得分情况、评标结果等将在四川政府采购网上采购结果公告栏中予以公告。</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50"/>
              <w:ind w:right="230"/>
              <w:jc w:val="center"/>
              <w:rPr>
                <w:rFonts w:ascii="仿宋" w:hAnsi="仿宋" w:eastAsia="仿宋" w:cs="仿宋"/>
                <w:kern w:val="2"/>
                <w:sz w:val="21"/>
                <w:szCs w:val="21"/>
              </w:rPr>
            </w:pPr>
            <w:r>
              <w:rPr>
                <w:rFonts w:hint="eastAsia" w:ascii="仿宋" w:hAnsi="仿宋" w:eastAsia="仿宋" w:cs="仿宋"/>
                <w:kern w:val="2"/>
                <w:sz w:val="21"/>
                <w:szCs w:val="21"/>
              </w:rPr>
              <w:t>7</w:t>
            </w:r>
          </w:p>
        </w:tc>
        <w:tc>
          <w:tcPr>
            <w:tcW w:w="2552" w:type="dxa"/>
            <w:vAlign w:val="center"/>
          </w:tcPr>
          <w:p>
            <w:pPr>
              <w:pStyle w:val="50"/>
              <w:ind w:left="96"/>
              <w:jc w:val="center"/>
              <w:rPr>
                <w:rFonts w:ascii="仿宋" w:hAnsi="仿宋" w:eastAsia="仿宋" w:cs="仿宋"/>
                <w:sz w:val="21"/>
                <w:szCs w:val="21"/>
                <w:lang w:val="zh-CN"/>
              </w:rPr>
            </w:pPr>
            <w:r>
              <w:rPr>
                <w:rFonts w:hint="eastAsia" w:ascii="仿宋" w:hAnsi="仿宋" w:eastAsia="仿宋" w:cs="仿宋"/>
                <w:sz w:val="21"/>
                <w:szCs w:val="21"/>
                <w:lang w:val="zh-CN"/>
              </w:rPr>
              <w:t>投标保证金</w:t>
            </w:r>
          </w:p>
        </w:tc>
        <w:tc>
          <w:tcPr>
            <w:tcW w:w="6111" w:type="dxa"/>
            <w:vAlign w:val="center"/>
          </w:tcPr>
          <w:p>
            <w:pPr>
              <w:rPr>
                <w:rFonts w:ascii="仿宋" w:hAnsi="仿宋" w:eastAsia="仿宋" w:cs="仿宋"/>
                <w:bCs/>
                <w:szCs w:val="21"/>
                <w:lang w:val="zh-CN"/>
              </w:rPr>
            </w:pPr>
            <w:r>
              <w:rPr>
                <w:rFonts w:hint="eastAsia" w:ascii="仿宋" w:hAnsi="仿宋" w:eastAsia="仿宋" w:cs="仿宋"/>
                <w:bCs/>
                <w:szCs w:val="21"/>
                <w:lang w:val="zh-CN"/>
              </w:rPr>
              <w:t>本项目不涉及。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50"/>
              <w:ind w:right="264"/>
              <w:jc w:val="center"/>
              <w:rPr>
                <w:rFonts w:ascii="仿宋" w:hAnsi="仿宋" w:eastAsia="仿宋" w:cs="仿宋"/>
                <w:kern w:val="2"/>
                <w:sz w:val="21"/>
                <w:szCs w:val="21"/>
              </w:rPr>
            </w:pPr>
            <w:r>
              <w:rPr>
                <w:rFonts w:hint="eastAsia" w:ascii="仿宋" w:hAnsi="仿宋" w:eastAsia="仿宋" w:cs="仿宋"/>
                <w:kern w:val="2"/>
                <w:sz w:val="21"/>
                <w:szCs w:val="21"/>
              </w:rPr>
              <w:t>8</w:t>
            </w:r>
          </w:p>
        </w:tc>
        <w:tc>
          <w:tcPr>
            <w:tcW w:w="2552" w:type="dxa"/>
            <w:vAlign w:val="center"/>
          </w:tcPr>
          <w:p>
            <w:pPr>
              <w:pStyle w:val="50"/>
              <w:ind w:left="96"/>
              <w:jc w:val="center"/>
              <w:rPr>
                <w:rFonts w:ascii="仿宋" w:hAnsi="仿宋" w:eastAsia="仿宋" w:cs="仿宋"/>
                <w:sz w:val="21"/>
                <w:szCs w:val="21"/>
                <w:lang w:val="zh-CN"/>
              </w:rPr>
            </w:pPr>
            <w:r>
              <w:rPr>
                <w:rFonts w:hint="eastAsia" w:ascii="仿宋" w:hAnsi="仿宋" w:eastAsia="仿宋" w:cs="仿宋"/>
                <w:sz w:val="21"/>
                <w:szCs w:val="21"/>
                <w:lang w:val="zh-CN"/>
              </w:rPr>
              <w:t>履约保证金</w:t>
            </w:r>
          </w:p>
        </w:tc>
        <w:tc>
          <w:tcPr>
            <w:tcW w:w="6111" w:type="dxa"/>
            <w:vAlign w:val="center"/>
          </w:tcPr>
          <w:p>
            <w:pPr>
              <w:pStyle w:val="50"/>
              <w:rPr>
                <w:rFonts w:ascii="仿宋" w:hAnsi="仿宋" w:eastAsia="仿宋" w:cs="仿宋"/>
                <w:bCs/>
                <w:sz w:val="21"/>
                <w:szCs w:val="21"/>
                <w:lang w:val="zh-CN"/>
              </w:rPr>
            </w:pPr>
            <w:r>
              <w:rPr>
                <w:rFonts w:hint="eastAsia" w:ascii="仿宋" w:hAnsi="仿宋" w:eastAsia="仿宋" w:cs="仿宋"/>
                <w:bCs/>
                <w:sz w:val="21"/>
                <w:szCs w:val="21"/>
                <w:lang w:val="zh-CN"/>
              </w:rPr>
              <w:t>本项目不涉及。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50"/>
              <w:ind w:right="264"/>
              <w:jc w:val="center"/>
              <w:rPr>
                <w:rFonts w:ascii="仿宋" w:hAnsi="仿宋" w:eastAsia="仿宋" w:cs="仿宋"/>
                <w:kern w:val="2"/>
                <w:sz w:val="21"/>
                <w:szCs w:val="21"/>
              </w:rPr>
            </w:pPr>
            <w:r>
              <w:rPr>
                <w:rFonts w:hint="eastAsia" w:ascii="仿宋" w:hAnsi="仿宋" w:eastAsia="仿宋" w:cs="仿宋"/>
                <w:kern w:val="2"/>
                <w:sz w:val="21"/>
                <w:szCs w:val="21"/>
              </w:rPr>
              <w:t>9</w:t>
            </w:r>
          </w:p>
        </w:tc>
        <w:tc>
          <w:tcPr>
            <w:tcW w:w="2552" w:type="dxa"/>
            <w:vAlign w:val="center"/>
          </w:tcPr>
          <w:p>
            <w:pPr>
              <w:ind w:firstLine="105" w:firstLineChars="50"/>
              <w:jc w:val="center"/>
              <w:rPr>
                <w:rFonts w:ascii="仿宋" w:hAnsi="仿宋" w:eastAsia="仿宋" w:cs="仿宋"/>
                <w:szCs w:val="21"/>
              </w:rPr>
            </w:pPr>
            <w:r>
              <w:rPr>
                <w:rFonts w:hint="eastAsia" w:ascii="仿宋" w:hAnsi="仿宋" w:eastAsia="仿宋" w:cs="仿宋"/>
                <w:szCs w:val="21"/>
              </w:rPr>
              <w:t>合同分包</w:t>
            </w:r>
          </w:p>
          <w:p>
            <w:pPr>
              <w:pStyle w:val="50"/>
              <w:jc w:val="center"/>
              <w:rPr>
                <w:rFonts w:ascii="仿宋" w:hAnsi="仿宋" w:eastAsia="仿宋" w:cs="仿宋"/>
                <w:b/>
                <w:bCs/>
                <w:kern w:val="2"/>
                <w:sz w:val="21"/>
                <w:szCs w:val="21"/>
              </w:rPr>
            </w:pPr>
            <w:r>
              <w:rPr>
                <w:rFonts w:hint="eastAsia" w:ascii="仿宋" w:hAnsi="仿宋" w:eastAsia="仿宋" w:cs="仿宋"/>
                <w:sz w:val="21"/>
                <w:szCs w:val="21"/>
              </w:rPr>
              <w:t>（实质性要求）</w:t>
            </w:r>
          </w:p>
        </w:tc>
        <w:tc>
          <w:tcPr>
            <w:tcW w:w="6111" w:type="dxa"/>
            <w:vAlign w:val="center"/>
          </w:tcPr>
          <w:p>
            <w:pPr>
              <w:pStyle w:val="50"/>
              <w:spacing w:line="360" w:lineRule="auto"/>
              <w:ind w:firstLine="210" w:firstLineChars="100"/>
              <w:jc w:val="both"/>
              <w:rPr>
                <w:rFonts w:ascii="仿宋" w:hAnsi="仿宋" w:eastAsia="仿宋" w:cs="仿宋"/>
                <w:bCs/>
                <w:kern w:val="2"/>
                <w:sz w:val="21"/>
                <w:szCs w:val="21"/>
              </w:rPr>
            </w:pPr>
            <w:r>
              <w:rPr>
                <w:rFonts w:hint="eastAsia" w:ascii="仿宋" w:hAnsi="仿宋" w:eastAsia="仿宋" w:cs="仿宋"/>
                <w:bCs/>
                <w:kern w:val="2"/>
                <w:sz w:val="21"/>
                <w:szCs w:val="21"/>
              </w:rPr>
              <w:t>☑本项目不接受合同分包。</w:t>
            </w:r>
          </w:p>
          <w:p>
            <w:pPr>
              <w:pStyle w:val="50"/>
              <w:spacing w:line="360" w:lineRule="auto"/>
              <w:ind w:firstLine="210" w:firstLineChars="100"/>
              <w:jc w:val="both"/>
              <w:rPr>
                <w:rFonts w:ascii="仿宋" w:hAnsi="仿宋" w:eastAsia="仿宋" w:cs="仿宋"/>
                <w:bCs/>
                <w:kern w:val="2"/>
                <w:sz w:val="21"/>
                <w:szCs w:val="21"/>
              </w:rPr>
            </w:pPr>
            <w:r>
              <w:rPr>
                <w:rFonts w:hint="eastAsia" w:ascii="仿宋" w:hAnsi="仿宋" w:eastAsia="仿宋" w:cs="仿宋"/>
                <w:bCs/>
                <w:kern w:val="2"/>
                <w:sz w:val="21"/>
                <w:szCs w:val="21"/>
              </w:rPr>
              <w:t>□本项目接受合同分包，具体要求如下：</w:t>
            </w:r>
          </w:p>
          <w:p>
            <w:pPr>
              <w:pStyle w:val="50"/>
              <w:spacing w:line="360" w:lineRule="auto"/>
              <w:ind w:firstLine="210" w:firstLineChars="100"/>
              <w:jc w:val="both"/>
              <w:rPr>
                <w:rFonts w:ascii="仿宋" w:hAnsi="仿宋" w:eastAsia="仿宋" w:cs="仿宋"/>
                <w:bCs/>
                <w:kern w:val="2"/>
                <w:sz w:val="21"/>
                <w:szCs w:val="21"/>
              </w:rPr>
            </w:pPr>
            <w:r>
              <w:rPr>
                <w:rFonts w:hint="eastAsia" w:ascii="仿宋" w:hAnsi="仿宋" w:eastAsia="仿宋" w:cs="仿宋"/>
                <w:bCs/>
                <w:kern w:val="2"/>
                <w:sz w:val="21"/>
                <w:szCs w:val="21"/>
              </w:rPr>
              <w:t>1.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pPr>
              <w:spacing w:line="340" w:lineRule="exact"/>
              <w:ind w:right="105" w:rightChars="50"/>
              <w:jc w:val="left"/>
              <w:rPr>
                <w:rFonts w:ascii="仿宋" w:hAnsi="仿宋" w:eastAsia="仿宋" w:cs="仿宋"/>
                <w:bCs/>
                <w:szCs w:val="21"/>
              </w:rPr>
            </w:pPr>
            <w:r>
              <w:rPr>
                <w:rFonts w:hint="eastAsia" w:ascii="仿宋" w:hAnsi="仿宋" w:eastAsia="仿宋" w:cs="仿宋"/>
                <w:bCs/>
                <w:szCs w:val="21"/>
              </w:rPr>
              <w:t>2.分包履行合同的部分应当为采购项目的非主体、非关键性工作，不属于中标人的主要合同义务。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50"/>
              <w:ind w:right="264"/>
              <w:jc w:val="center"/>
              <w:rPr>
                <w:rFonts w:ascii="仿宋" w:hAnsi="仿宋" w:eastAsia="仿宋" w:cs="仿宋"/>
                <w:kern w:val="2"/>
                <w:sz w:val="21"/>
                <w:szCs w:val="21"/>
              </w:rPr>
            </w:pPr>
            <w:r>
              <w:rPr>
                <w:rFonts w:hint="eastAsia" w:ascii="仿宋" w:hAnsi="仿宋" w:eastAsia="仿宋" w:cs="仿宋"/>
                <w:kern w:val="2"/>
                <w:sz w:val="21"/>
                <w:szCs w:val="21"/>
              </w:rPr>
              <w:t>10</w:t>
            </w:r>
          </w:p>
        </w:tc>
        <w:tc>
          <w:tcPr>
            <w:tcW w:w="2552" w:type="dxa"/>
            <w:tcBorders>
              <w:top w:val="single" w:color="auto" w:sz="4" w:space="0"/>
              <w:bottom w:val="single" w:color="auto" w:sz="4" w:space="0"/>
            </w:tcBorders>
            <w:vAlign w:val="center"/>
          </w:tcPr>
          <w:p>
            <w:pPr>
              <w:pStyle w:val="50"/>
              <w:jc w:val="center"/>
              <w:rPr>
                <w:rFonts w:ascii="仿宋" w:hAnsi="仿宋" w:eastAsia="仿宋" w:cs="仿宋"/>
                <w:kern w:val="2"/>
                <w:sz w:val="21"/>
                <w:szCs w:val="21"/>
              </w:rPr>
            </w:pPr>
            <w:r>
              <w:rPr>
                <w:rFonts w:hint="eastAsia" w:ascii="仿宋" w:hAnsi="仿宋" w:eastAsia="仿宋" w:cs="仿宋"/>
                <w:kern w:val="2"/>
                <w:sz w:val="21"/>
                <w:szCs w:val="21"/>
              </w:rPr>
              <w:t>采购项目具体事项/采购文件内容咨询</w:t>
            </w:r>
          </w:p>
        </w:tc>
        <w:tc>
          <w:tcPr>
            <w:tcW w:w="6111" w:type="dxa"/>
            <w:tcBorders>
              <w:top w:val="single" w:color="auto" w:sz="4" w:space="0"/>
              <w:bottom w:val="single" w:color="auto" w:sz="4" w:space="0"/>
            </w:tcBorders>
            <w:vAlign w:val="center"/>
          </w:tcPr>
          <w:p>
            <w:pPr>
              <w:spacing w:line="340" w:lineRule="exact"/>
              <w:ind w:right="105" w:rightChars="50"/>
              <w:jc w:val="left"/>
              <w:rPr>
                <w:rFonts w:ascii="仿宋" w:hAnsi="仿宋" w:eastAsia="仿宋" w:cs="仿宋"/>
                <w:szCs w:val="21"/>
              </w:rPr>
            </w:pPr>
            <w:r>
              <w:rPr>
                <w:rFonts w:hint="eastAsia" w:ascii="仿宋" w:hAnsi="仿宋" w:eastAsia="仿宋" w:cs="仿宋"/>
                <w:szCs w:val="21"/>
              </w:rPr>
              <w:t>联系人：陈先生</w:t>
            </w:r>
          </w:p>
          <w:p>
            <w:pPr>
              <w:spacing w:line="340" w:lineRule="exact"/>
              <w:ind w:right="105" w:rightChars="50"/>
              <w:jc w:val="left"/>
              <w:rPr>
                <w:rFonts w:ascii="仿宋" w:hAnsi="仿宋" w:eastAsia="仿宋" w:cs="仿宋"/>
                <w:szCs w:val="21"/>
              </w:rPr>
            </w:pPr>
            <w:r>
              <w:rPr>
                <w:rFonts w:hint="eastAsia" w:ascii="仿宋" w:hAnsi="仿宋" w:eastAsia="仿宋" w:cs="仿宋"/>
                <w:szCs w:val="21"/>
              </w:rPr>
              <w:t>联系电话：028-83377199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838" w:type="dxa"/>
            <w:tcBorders>
              <w:top w:val="single" w:color="auto" w:sz="4" w:space="0"/>
              <w:bottom w:val="single" w:color="auto" w:sz="4" w:space="0"/>
            </w:tcBorders>
            <w:vAlign w:val="center"/>
          </w:tcPr>
          <w:p>
            <w:pPr>
              <w:pStyle w:val="50"/>
              <w:spacing w:before="72" w:after="72"/>
              <w:ind w:right="264"/>
              <w:jc w:val="center"/>
              <w:rPr>
                <w:rFonts w:ascii="仿宋" w:hAnsi="仿宋" w:eastAsia="仿宋" w:cs="仿宋"/>
                <w:kern w:val="2"/>
                <w:sz w:val="21"/>
                <w:szCs w:val="21"/>
              </w:rPr>
            </w:pPr>
            <w:r>
              <w:rPr>
                <w:rFonts w:hint="eastAsia" w:ascii="仿宋" w:hAnsi="仿宋" w:eastAsia="仿宋" w:cs="仿宋"/>
                <w:kern w:val="2"/>
                <w:sz w:val="21"/>
                <w:szCs w:val="21"/>
              </w:rPr>
              <w:t>11</w:t>
            </w:r>
          </w:p>
        </w:tc>
        <w:tc>
          <w:tcPr>
            <w:tcW w:w="2552" w:type="dxa"/>
            <w:tcBorders>
              <w:top w:val="single" w:color="auto" w:sz="4" w:space="0"/>
              <w:bottom w:val="single" w:color="auto" w:sz="4" w:space="0"/>
            </w:tcBorders>
            <w:vAlign w:val="center"/>
          </w:tcPr>
          <w:p>
            <w:pPr>
              <w:pStyle w:val="50"/>
              <w:jc w:val="center"/>
              <w:rPr>
                <w:rFonts w:ascii="仿宋" w:hAnsi="仿宋" w:eastAsia="仿宋" w:cs="仿宋"/>
                <w:kern w:val="2"/>
                <w:sz w:val="21"/>
                <w:szCs w:val="21"/>
              </w:rPr>
            </w:pPr>
            <w:r>
              <w:rPr>
                <w:rFonts w:hint="eastAsia" w:ascii="仿宋" w:hAnsi="仿宋" w:eastAsia="仿宋" w:cs="仿宋"/>
                <w:kern w:val="2"/>
                <w:sz w:val="21"/>
                <w:szCs w:val="21"/>
              </w:rPr>
              <w:t>开标、评标工作咨询</w:t>
            </w:r>
          </w:p>
        </w:tc>
        <w:tc>
          <w:tcPr>
            <w:tcW w:w="6111" w:type="dxa"/>
            <w:tcBorders>
              <w:top w:val="single" w:color="auto" w:sz="4" w:space="0"/>
              <w:bottom w:val="single" w:color="auto" w:sz="4" w:space="0"/>
            </w:tcBorders>
            <w:vAlign w:val="center"/>
          </w:tcPr>
          <w:p>
            <w:pPr>
              <w:spacing w:line="340" w:lineRule="exact"/>
              <w:ind w:right="105" w:rightChars="50"/>
              <w:jc w:val="left"/>
              <w:rPr>
                <w:rFonts w:ascii="仿宋" w:hAnsi="仿宋" w:eastAsia="仿宋" w:cs="仿宋"/>
                <w:szCs w:val="21"/>
              </w:rPr>
            </w:pPr>
            <w:r>
              <w:rPr>
                <w:rFonts w:hint="eastAsia" w:ascii="仿宋" w:hAnsi="仿宋" w:eastAsia="仿宋" w:cs="仿宋"/>
                <w:szCs w:val="21"/>
              </w:rPr>
              <w:t>联系人：陈先生</w:t>
            </w:r>
          </w:p>
          <w:p>
            <w:pPr>
              <w:spacing w:line="340" w:lineRule="exact"/>
              <w:ind w:right="105" w:rightChars="50"/>
              <w:jc w:val="left"/>
              <w:rPr>
                <w:rFonts w:ascii="仿宋" w:hAnsi="仿宋" w:eastAsia="仿宋" w:cs="仿宋"/>
                <w:szCs w:val="21"/>
              </w:rPr>
            </w:pPr>
            <w:r>
              <w:rPr>
                <w:rFonts w:hint="eastAsia" w:ascii="仿宋" w:hAnsi="仿宋" w:eastAsia="仿宋" w:cs="仿宋"/>
                <w:szCs w:val="21"/>
              </w:rPr>
              <w:t>联系电话：028-83377199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50"/>
              <w:ind w:right="264"/>
              <w:jc w:val="center"/>
              <w:rPr>
                <w:rFonts w:ascii="仿宋" w:hAnsi="仿宋" w:eastAsia="仿宋" w:cs="仿宋"/>
                <w:kern w:val="2"/>
                <w:sz w:val="21"/>
                <w:szCs w:val="21"/>
              </w:rPr>
            </w:pPr>
            <w:r>
              <w:rPr>
                <w:rFonts w:hint="eastAsia" w:ascii="仿宋" w:hAnsi="仿宋" w:eastAsia="仿宋" w:cs="仿宋"/>
                <w:kern w:val="2"/>
                <w:sz w:val="21"/>
                <w:szCs w:val="21"/>
              </w:rPr>
              <w:t>12</w:t>
            </w:r>
          </w:p>
        </w:tc>
        <w:tc>
          <w:tcPr>
            <w:tcW w:w="2552" w:type="dxa"/>
            <w:tcBorders>
              <w:top w:val="single" w:color="auto" w:sz="4" w:space="0"/>
            </w:tcBorders>
            <w:vAlign w:val="center"/>
          </w:tcPr>
          <w:p>
            <w:pPr>
              <w:spacing w:line="340" w:lineRule="exact"/>
              <w:ind w:left="105" w:leftChars="50" w:right="105" w:rightChars="50"/>
              <w:jc w:val="center"/>
              <w:rPr>
                <w:rFonts w:ascii="仿宋" w:hAnsi="仿宋" w:eastAsia="仿宋" w:cs="仿宋"/>
                <w:szCs w:val="21"/>
              </w:rPr>
            </w:pPr>
            <w:r>
              <w:rPr>
                <w:rFonts w:hint="eastAsia" w:ascii="仿宋" w:hAnsi="仿宋" w:eastAsia="仿宋" w:cs="仿宋"/>
                <w:szCs w:val="21"/>
              </w:rPr>
              <w:t>中标通知书领取</w:t>
            </w:r>
          </w:p>
        </w:tc>
        <w:tc>
          <w:tcPr>
            <w:tcW w:w="6111" w:type="dxa"/>
            <w:tcBorders>
              <w:top w:val="single" w:color="auto" w:sz="4" w:space="0"/>
            </w:tcBorders>
            <w:vAlign w:val="center"/>
          </w:tcPr>
          <w:p>
            <w:pPr>
              <w:rPr>
                <w:rFonts w:ascii="仿宋" w:hAnsi="仿宋" w:eastAsia="仿宋" w:cs="仿宋"/>
                <w:szCs w:val="21"/>
                <w:lang w:val="zh-CN"/>
              </w:rPr>
            </w:pPr>
            <w:r>
              <w:rPr>
                <w:rFonts w:hint="eastAsia" w:ascii="仿宋" w:hAnsi="仿宋" w:eastAsia="仿宋" w:cs="仿宋"/>
                <w:szCs w:val="21"/>
                <w:lang w:val="zh-CN"/>
              </w:rPr>
              <w:t>采购结果公告在四川政府采购网上发布后，请中标供应商携带单位介绍信原件以及本人身份证复件（查验原件）到招标代理机构领取。</w:t>
            </w:r>
            <w:r>
              <w:rPr>
                <w:rFonts w:hint="eastAsia" w:ascii="仿宋" w:hAnsi="仿宋" w:eastAsia="仿宋" w:cs="仿宋"/>
                <w:szCs w:val="21"/>
              </w:rPr>
              <w:t>地址：成都市锦江区三色路163号A栋1单元14层04号。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3" w:hRule="atLeast"/>
          <w:jc w:val="center"/>
        </w:trPr>
        <w:tc>
          <w:tcPr>
            <w:tcW w:w="838" w:type="dxa"/>
            <w:tcBorders>
              <w:top w:val="single" w:color="auto" w:sz="4" w:space="0"/>
            </w:tcBorders>
            <w:vAlign w:val="center"/>
          </w:tcPr>
          <w:p>
            <w:pPr>
              <w:pStyle w:val="50"/>
              <w:ind w:right="264"/>
              <w:jc w:val="center"/>
              <w:rPr>
                <w:rFonts w:ascii="仿宋" w:hAnsi="仿宋" w:eastAsia="仿宋" w:cs="仿宋"/>
                <w:kern w:val="2"/>
                <w:sz w:val="21"/>
                <w:szCs w:val="21"/>
              </w:rPr>
            </w:pPr>
            <w:r>
              <w:rPr>
                <w:rFonts w:hint="eastAsia" w:ascii="仿宋" w:hAnsi="仿宋" w:eastAsia="仿宋" w:cs="仿宋"/>
                <w:kern w:val="2"/>
                <w:sz w:val="21"/>
                <w:szCs w:val="21"/>
              </w:rPr>
              <w:t>13</w:t>
            </w:r>
          </w:p>
        </w:tc>
        <w:tc>
          <w:tcPr>
            <w:tcW w:w="2552" w:type="dxa"/>
            <w:tcBorders>
              <w:top w:val="single" w:color="auto" w:sz="4" w:space="0"/>
            </w:tcBorders>
            <w:vAlign w:val="center"/>
          </w:tcPr>
          <w:p>
            <w:pPr>
              <w:pStyle w:val="50"/>
              <w:jc w:val="center"/>
              <w:rPr>
                <w:rFonts w:ascii="仿宋" w:hAnsi="仿宋" w:eastAsia="仿宋" w:cs="仿宋"/>
                <w:kern w:val="2"/>
                <w:sz w:val="21"/>
                <w:szCs w:val="21"/>
              </w:rPr>
            </w:pPr>
          </w:p>
          <w:p>
            <w:pPr>
              <w:pStyle w:val="50"/>
              <w:jc w:val="center"/>
              <w:rPr>
                <w:rFonts w:ascii="仿宋" w:hAnsi="仿宋" w:eastAsia="仿宋" w:cs="仿宋"/>
                <w:kern w:val="2"/>
                <w:sz w:val="21"/>
                <w:szCs w:val="21"/>
              </w:rPr>
            </w:pPr>
            <w:r>
              <w:rPr>
                <w:rFonts w:hint="eastAsia" w:ascii="仿宋" w:hAnsi="仿宋" w:eastAsia="仿宋" w:cs="仿宋"/>
                <w:kern w:val="2"/>
                <w:sz w:val="21"/>
                <w:szCs w:val="21"/>
              </w:rPr>
              <w:t>供应商询问</w:t>
            </w:r>
          </w:p>
        </w:tc>
        <w:tc>
          <w:tcPr>
            <w:tcW w:w="6111" w:type="dxa"/>
            <w:tcBorders>
              <w:top w:val="single" w:color="auto" w:sz="4" w:space="0"/>
            </w:tcBorders>
          </w:tcPr>
          <w:p>
            <w:pPr>
              <w:rPr>
                <w:rFonts w:ascii="仿宋" w:hAnsi="仿宋" w:eastAsia="仿宋" w:cs="仿宋"/>
                <w:szCs w:val="21"/>
                <w:lang w:val="zh-CN"/>
              </w:rPr>
            </w:pPr>
            <w:r>
              <w:rPr>
                <w:rFonts w:hint="eastAsia" w:ascii="仿宋" w:hAnsi="仿宋" w:eastAsia="仿宋" w:cs="仿宋"/>
                <w:szCs w:val="21"/>
                <w:lang w:val="zh-CN"/>
              </w:rPr>
              <w:t>对于采购文件、采购过程和采购结果的询问、质疑由采购代理机构负责答复。</w:t>
            </w:r>
          </w:p>
          <w:p>
            <w:pPr>
              <w:rPr>
                <w:rFonts w:ascii="仿宋" w:hAnsi="仿宋" w:eastAsia="仿宋" w:cs="仿宋"/>
                <w:szCs w:val="21"/>
                <w:lang w:val="zh-CN"/>
              </w:rPr>
            </w:pPr>
            <w:r>
              <w:rPr>
                <w:rFonts w:hint="eastAsia" w:ascii="仿宋" w:hAnsi="仿宋" w:eastAsia="仿宋" w:cs="仿宋"/>
                <w:szCs w:val="21"/>
                <w:lang w:val="zh-CN"/>
              </w:rPr>
              <w:t>联系人：</w:t>
            </w:r>
            <w:r>
              <w:rPr>
                <w:rFonts w:hint="eastAsia" w:ascii="仿宋" w:hAnsi="仿宋" w:eastAsia="仿宋" w:cs="仿宋"/>
                <w:szCs w:val="21"/>
              </w:rPr>
              <w:t>陈先生</w:t>
            </w:r>
          </w:p>
          <w:p>
            <w:pPr>
              <w:rPr>
                <w:rFonts w:ascii="仿宋" w:hAnsi="仿宋" w:eastAsia="仿宋" w:cs="仿宋"/>
                <w:szCs w:val="21"/>
                <w:lang w:val="zh-CN"/>
              </w:rPr>
            </w:pPr>
            <w:r>
              <w:rPr>
                <w:rFonts w:hint="eastAsia" w:ascii="仿宋" w:hAnsi="仿宋" w:eastAsia="仿宋" w:cs="仿宋"/>
                <w:szCs w:val="21"/>
                <w:lang w:val="zh-CN"/>
              </w:rPr>
              <w:t>联系电话：028-83377199。</w:t>
            </w:r>
          </w:p>
          <w:p>
            <w:pPr>
              <w:rPr>
                <w:rFonts w:ascii="仿宋" w:hAnsi="仿宋" w:eastAsia="仿宋" w:cs="仿宋"/>
                <w:szCs w:val="21"/>
                <w:lang w:val="zh-CN"/>
              </w:rPr>
            </w:pPr>
            <w:r>
              <w:rPr>
                <w:rFonts w:hint="eastAsia" w:ascii="仿宋" w:hAnsi="仿宋" w:eastAsia="仿宋" w:cs="仿宋"/>
                <w:szCs w:val="21"/>
                <w:lang w:val="zh-CN"/>
              </w:rPr>
              <w:t>地址：成都市锦江区三色路163号A栋1单元14层04号（利阳致诚国际项目管理有限公司）。</w:t>
            </w:r>
          </w:p>
          <w:p>
            <w:pPr>
              <w:rPr>
                <w:rFonts w:ascii="仿宋" w:hAnsi="仿宋" w:eastAsia="仿宋" w:cs="仿宋"/>
                <w:szCs w:val="21"/>
              </w:rPr>
            </w:pPr>
            <w:r>
              <w:rPr>
                <w:rFonts w:hint="eastAsia" w:ascii="仿宋" w:hAnsi="仿宋" w:eastAsia="仿宋" w:cs="仿宋"/>
                <w:szCs w:val="21"/>
                <w:lang w:val="zh-CN"/>
              </w:rPr>
              <w:t>注：根据《中华人民共和国政府采购法》的规定，供应商质疑不得超出采购文件、采购过程、采购结果的范围。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50"/>
              <w:ind w:right="264"/>
              <w:jc w:val="center"/>
              <w:rPr>
                <w:rFonts w:ascii="仿宋" w:hAnsi="仿宋" w:eastAsia="仿宋" w:cs="仿宋"/>
                <w:kern w:val="2"/>
                <w:sz w:val="21"/>
                <w:szCs w:val="21"/>
              </w:rPr>
            </w:pPr>
            <w:r>
              <w:rPr>
                <w:rFonts w:hint="eastAsia" w:ascii="仿宋" w:hAnsi="仿宋" w:eastAsia="仿宋" w:cs="仿宋"/>
                <w:kern w:val="2"/>
                <w:sz w:val="21"/>
                <w:szCs w:val="21"/>
              </w:rPr>
              <w:t>14</w:t>
            </w:r>
          </w:p>
        </w:tc>
        <w:tc>
          <w:tcPr>
            <w:tcW w:w="2552" w:type="dxa"/>
            <w:vAlign w:val="center"/>
          </w:tcPr>
          <w:p>
            <w:pPr>
              <w:pStyle w:val="50"/>
              <w:jc w:val="center"/>
              <w:rPr>
                <w:rFonts w:ascii="仿宋" w:hAnsi="仿宋" w:eastAsia="仿宋" w:cs="仿宋"/>
                <w:kern w:val="2"/>
                <w:sz w:val="21"/>
                <w:szCs w:val="21"/>
              </w:rPr>
            </w:pPr>
            <w:r>
              <w:rPr>
                <w:rFonts w:hint="eastAsia" w:ascii="仿宋" w:hAnsi="仿宋" w:eastAsia="仿宋" w:cs="仿宋"/>
                <w:kern w:val="2"/>
                <w:sz w:val="21"/>
                <w:szCs w:val="21"/>
              </w:rPr>
              <w:t>供应商质疑</w:t>
            </w:r>
          </w:p>
        </w:tc>
        <w:tc>
          <w:tcPr>
            <w:tcW w:w="6111" w:type="dxa"/>
            <w:vAlign w:val="center"/>
          </w:tcPr>
          <w:p>
            <w:pPr>
              <w:spacing w:line="340" w:lineRule="exact"/>
              <w:ind w:right="105" w:rightChars="50"/>
              <w:jc w:val="left"/>
              <w:rPr>
                <w:rFonts w:ascii="仿宋" w:hAnsi="仿宋" w:eastAsia="仿宋" w:cs="仿宋"/>
                <w:szCs w:val="21"/>
              </w:rPr>
            </w:pPr>
            <w:r>
              <w:rPr>
                <w:rFonts w:hint="eastAsia" w:ascii="仿宋" w:hAnsi="仿宋" w:eastAsia="仿宋" w:cs="仿宋"/>
                <w:szCs w:val="21"/>
              </w:rPr>
              <w:t>1.根据委托代理协议约定，对于招标文件(招标文件技术条款和除政府采购法第二十二条之外的其他资格条件、专业商务要求)的质疑由采购人负责答复；对于采购过程由采购代理机构负责答复；对于采购结果由采购代理机构负责答复。</w:t>
            </w:r>
          </w:p>
          <w:p>
            <w:pPr>
              <w:spacing w:line="340" w:lineRule="exact"/>
              <w:ind w:right="105" w:rightChars="50"/>
              <w:jc w:val="left"/>
              <w:rPr>
                <w:rFonts w:ascii="仿宋" w:hAnsi="仿宋" w:eastAsia="仿宋" w:cs="仿宋"/>
                <w:szCs w:val="21"/>
              </w:rPr>
            </w:pPr>
            <w:r>
              <w:rPr>
                <w:rFonts w:hint="eastAsia" w:ascii="仿宋" w:hAnsi="仿宋" w:eastAsia="仿宋" w:cs="仿宋"/>
                <w:szCs w:val="21"/>
              </w:rPr>
              <w:t>2.接收质疑函的方式：投标人在法定时间内以书面形式现场、邮寄或快递提交质疑函(邮寄以寄出的邮戳日期为准，快递以受送达人在签收单上签收之日为准)，逾期提交不予受理。</w:t>
            </w:r>
          </w:p>
          <w:p>
            <w:pPr>
              <w:spacing w:line="340" w:lineRule="exact"/>
              <w:ind w:right="105" w:rightChars="50"/>
              <w:jc w:val="left"/>
              <w:rPr>
                <w:rFonts w:ascii="仿宋" w:hAnsi="仿宋" w:eastAsia="仿宋" w:cs="仿宋"/>
                <w:szCs w:val="21"/>
              </w:rPr>
            </w:pPr>
            <w:r>
              <w:rPr>
                <w:rFonts w:hint="eastAsia" w:ascii="仿宋" w:hAnsi="仿宋" w:eastAsia="仿宋" w:cs="仿宋"/>
                <w:szCs w:val="21"/>
                <w:lang w:val="zh-CN"/>
              </w:rPr>
              <w:t>受理单位：利阳致诚国际项目管理有限公司</w:t>
            </w:r>
          </w:p>
          <w:p>
            <w:pPr>
              <w:spacing w:line="340" w:lineRule="exact"/>
              <w:ind w:right="105" w:rightChars="50"/>
              <w:jc w:val="left"/>
              <w:rPr>
                <w:rFonts w:ascii="仿宋" w:hAnsi="仿宋" w:eastAsia="仿宋" w:cs="仿宋"/>
                <w:szCs w:val="21"/>
                <w:lang w:val="zh-CN"/>
              </w:rPr>
            </w:pPr>
            <w:r>
              <w:rPr>
                <w:rFonts w:hint="eastAsia" w:ascii="仿宋" w:hAnsi="仿宋" w:eastAsia="仿宋" w:cs="仿宋"/>
                <w:szCs w:val="21"/>
                <w:lang w:val="zh-CN"/>
              </w:rPr>
              <w:t>联系人：</w:t>
            </w:r>
            <w:r>
              <w:rPr>
                <w:rFonts w:hint="eastAsia" w:ascii="仿宋" w:hAnsi="仿宋" w:eastAsia="仿宋" w:cs="仿宋"/>
                <w:szCs w:val="21"/>
              </w:rPr>
              <w:t>陈先生</w:t>
            </w:r>
          </w:p>
          <w:p>
            <w:pPr>
              <w:spacing w:line="340" w:lineRule="exact"/>
              <w:ind w:right="105" w:rightChars="50"/>
              <w:jc w:val="left"/>
              <w:rPr>
                <w:rFonts w:ascii="仿宋" w:hAnsi="仿宋" w:eastAsia="仿宋" w:cs="仿宋"/>
                <w:szCs w:val="21"/>
                <w:lang w:val="zh-CN"/>
              </w:rPr>
            </w:pPr>
            <w:r>
              <w:rPr>
                <w:rFonts w:hint="eastAsia" w:ascii="仿宋" w:hAnsi="仿宋" w:eastAsia="仿宋" w:cs="仿宋"/>
                <w:szCs w:val="21"/>
                <w:lang w:val="zh-CN"/>
              </w:rPr>
              <w:t>联系电话：</w:t>
            </w:r>
            <w:r>
              <w:rPr>
                <w:rFonts w:hint="eastAsia" w:ascii="仿宋" w:hAnsi="仿宋" w:eastAsia="仿宋" w:cs="仿宋"/>
                <w:szCs w:val="21"/>
              </w:rPr>
              <w:t>028-83377199</w:t>
            </w:r>
          </w:p>
          <w:p>
            <w:pPr>
              <w:spacing w:line="340" w:lineRule="exact"/>
              <w:ind w:right="105" w:rightChars="50"/>
              <w:jc w:val="left"/>
              <w:rPr>
                <w:rFonts w:ascii="仿宋" w:hAnsi="仿宋" w:eastAsia="仿宋" w:cs="仿宋"/>
                <w:szCs w:val="21"/>
                <w:lang w:val="zh-CN"/>
              </w:rPr>
            </w:pPr>
            <w:r>
              <w:rPr>
                <w:rFonts w:hint="eastAsia" w:ascii="仿宋" w:hAnsi="仿宋" w:eastAsia="仿宋" w:cs="仿宋"/>
                <w:szCs w:val="21"/>
                <w:lang w:val="zh-CN"/>
              </w:rPr>
              <w:t>通讯地址：成都市锦江区三色路163号A栋1单元14层04号</w:t>
            </w:r>
          </w:p>
          <w:p>
            <w:pPr>
              <w:spacing w:line="340" w:lineRule="exact"/>
              <w:ind w:right="105" w:rightChars="50"/>
              <w:jc w:val="left"/>
              <w:rPr>
                <w:rFonts w:ascii="仿宋" w:hAnsi="仿宋" w:eastAsia="仿宋" w:cs="仿宋"/>
                <w:szCs w:val="21"/>
                <w:lang w:val="zh-CN"/>
              </w:rPr>
            </w:pPr>
            <w:r>
              <w:rPr>
                <w:rFonts w:hint="eastAsia" w:ascii="仿宋" w:hAnsi="仿宋" w:eastAsia="仿宋" w:cs="仿宋"/>
                <w:szCs w:val="21"/>
                <w:lang w:val="zh-CN"/>
              </w:rPr>
              <w:t>邮编：610000</w:t>
            </w:r>
          </w:p>
          <w:p>
            <w:pPr>
              <w:spacing w:line="340" w:lineRule="exact"/>
              <w:ind w:right="105" w:rightChars="50"/>
              <w:jc w:val="left"/>
              <w:rPr>
                <w:rFonts w:ascii="仿宋" w:hAnsi="仿宋" w:eastAsia="仿宋" w:cs="仿宋"/>
                <w:szCs w:val="21"/>
              </w:rPr>
            </w:pPr>
            <w:r>
              <w:rPr>
                <w:rFonts w:hint="eastAsia" w:ascii="仿宋" w:hAnsi="仿宋" w:eastAsia="仿宋" w:cs="仿宋"/>
                <w:szCs w:val="21"/>
              </w:rPr>
              <w:t>注：①根据《中华人民共和国政府采购法》等法律法规规定，投标人质疑应当有明确的请求和必要的证明材料，须符合《政府采购质疑和投诉办法》财政部第94号令规定。</w:t>
            </w:r>
          </w:p>
          <w:p>
            <w:pPr>
              <w:spacing w:line="340" w:lineRule="exact"/>
              <w:ind w:right="105" w:rightChars="50"/>
              <w:jc w:val="left"/>
              <w:rPr>
                <w:rFonts w:ascii="仿宋" w:hAnsi="仿宋" w:eastAsia="仿宋" w:cs="仿宋"/>
                <w:szCs w:val="21"/>
              </w:rPr>
            </w:pPr>
            <w:r>
              <w:rPr>
                <w:rFonts w:hint="eastAsia" w:ascii="仿宋" w:hAnsi="仿宋" w:eastAsia="仿宋" w:cs="仿宋"/>
                <w:szCs w:val="21"/>
              </w:rPr>
              <w:t>②投标人应当在法定质疑期内一次性提出针对同一采购程序环节的质疑，否则不予受理。</w:t>
            </w:r>
          </w:p>
          <w:p>
            <w:pPr>
              <w:spacing w:line="340" w:lineRule="exact"/>
              <w:ind w:right="105" w:rightChars="50"/>
              <w:jc w:val="left"/>
              <w:rPr>
                <w:rFonts w:ascii="仿宋" w:hAnsi="仿宋" w:eastAsia="仿宋" w:cs="仿宋"/>
                <w:szCs w:val="21"/>
              </w:rPr>
            </w:pPr>
            <w:r>
              <w:rPr>
                <w:rFonts w:hint="eastAsia" w:ascii="仿宋" w:hAnsi="仿宋" w:eastAsia="仿宋" w:cs="仿宋"/>
                <w:szCs w:val="21"/>
              </w:rPr>
              <w:t>③投标人质疑不得超出招标文件、采购过程、采购结果的范围，不得进行虚假、恶意质疑，不得以质疑为手段获取不当得利、实现非法目的。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jc w:val="center"/>
              <w:rPr>
                <w:rFonts w:ascii="仿宋" w:hAnsi="仿宋" w:eastAsia="仿宋" w:cs="仿宋"/>
                <w:szCs w:val="21"/>
              </w:rPr>
            </w:pPr>
            <w:r>
              <w:rPr>
                <w:rFonts w:hint="eastAsia" w:ascii="仿宋" w:hAnsi="仿宋" w:eastAsia="仿宋" w:cs="仿宋"/>
                <w:szCs w:val="21"/>
              </w:rPr>
              <w:t>15</w:t>
            </w:r>
          </w:p>
        </w:tc>
        <w:tc>
          <w:tcPr>
            <w:tcW w:w="2552" w:type="dxa"/>
            <w:vAlign w:val="center"/>
          </w:tcPr>
          <w:p>
            <w:pPr>
              <w:pStyle w:val="50"/>
              <w:jc w:val="center"/>
              <w:rPr>
                <w:rFonts w:ascii="仿宋" w:hAnsi="仿宋" w:eastAsia="仿宋" w:cs="仿宋"/>
                <w:kern w:val="2"/>
                <w:sz w:val="21"/>
                <w:szCs w:val="21"/>
              </w:rPr>
            </w:pPr>
            <w:r>
              <w:rPr>
                <w:rFonts w:hint="eastAsia" w:ascii="仿宋" w:hAnsi="仿宋" w:eastAsia="仿宋" w:cs="仿宋"/>
                <w:kern w:val="2"/>
                <w:sz w:val="21"/>
                <w:szCs w:val="21"/>
              </w:rPr>
              <w:t>供应商投诉</w:t>
            </w:r>
          </w:p>
        </w:tc>
        <w:tc>
          <w:tcPr>
            <w:tcW w:w="6111" w:type="dxa"/>
          </w:tcPr>
          <w:p>
            <w:pPr>
              <w:spacing w:line="340" w:lineRule="exact"/>
              <w:ind w:right="105" w:rightChars="50"/>
              <w:rPr>
                <w:rFonts w:ascii="仿宋" w:hAnsi="仿宋" w:eastAsia="仿宋" w:cs="仿宋"/>
                <w:szCs w:val="21"/>
                <w:lang w:val="zh-TW" w:eastAsia="zh-TW"/>
              </w:rPr>
            </w:pPr>
            <w:r>
              <w:rPr>
                <w:rFonts w:hint="eastAsia" w:ascii="仿宋" w:hAnsi="仿宋" w:eastAsia="仿宋" w:cs="仿宋"/>
                <w:szCs w:val="21"/>
              </w:rPr>
              <w:t>1.</w:t>
            </w:r>
            <w:r>
              <w:rPr>
                <w:rFonts w:hint="eastAsia" w:ascii="仿宋" w:hAnsi="仿宋" w:eastAsia="仿宋" w:cs="仿宋"/>
                <w:szCs w:val="21"/>
                <w:lang w:val="zh-TW" w:eastAsia="zh-TW"/>
              </w:rPr>
              <w:t>投诉受理单位：本采购项目同级财政部门</w:t>
            </w:r>
            <w:r>
              <w:rPr>
                <w:rFonts w:hint="eastAsia" w:ascii="仿宋" w:hAnsi="仿宋" w:eastAsia="仿宋" w:cs="仿宋"/>
                <w:szCs w:val="21"/>
                <w:lang w:val="zh-TW"/>
              </w:rPr>
              <w:t>。</w:t>
            </w:r>
            <w:r>
              <w:rPr>
                <w:rFonts w:hint="eastAsia" w:ascii="仿宋" w:hAnsi="仿宋" w:eastAsia="仿宋" w:cs="仿宋"/>
                <w:szCs w:val="21"/>
              </w:rPr>
              <w:t>本项目为双流区财政局；监督电话：028-85804726</w:t>
            </w:r>
            <w:r>
              <w:rPr>
                <w:rFonts w:hint="eastAsia" w:ascii="仿宋" w:hAnsi="仿宋" w:eastAsia="仿宋" w:cs="仿宋"/>
                <w:szCs w:val="21"/>
                <w:lang w:val="zh-TW" w:eastAsia="zh-TW"/>
              </w:rPr>
              <w:t>。</w:t>
            </w:r>
          </w:p>
          <w:p>
            <w:pPr>
              <w:spacing w:line="340" w:lineRule="exact"/>
              <w:ind w:right="105" w:rightChars="50"/>
              <w:rPr>
                <w:rFonts w:ascii="仿宋" w:hAnsi="仿宋" w:eastAsia="仿宋" w:cs="仿宋"/>
                <w:szCs w:val="21"/>
              </w:rPr>
            </w:pPr>
            <w:r>
              <w:rPr>
                <w:rFonts w:hint="eastAsia" w:ascii="仿宋" w:hAnsi="仿宋" w:eastAsia="仿宋" w:cs="仿宋"/>
                <w:szCs w:val="21"/>
              </w:rPr>
              <w:t>我公司投诉联系人</w:t>
            </w:r>
            <w:r>
              <w:rPr>
                <w:rFonts w:ascii="仿宋" w:hAnsi="仿宋" w:eastAsia="仿宋" w:cs="仿宋"/>
                <w:szCs w:val="21"/>
                <w:lang w:val="zh-TW" w:eastAsia="zh-TW"/>
              </w:rPr>
              <w:t>：</w:t>
            </w:r>
            <w:r>
              <w:rPr>
                <w:rFonts w:hint="eastAsia" w:ascii="仿宋" w:hAnsi="仿宋" w:eastAsia="仿宋" w:cs="仿宋"/>
                <w:szCs w:val="21"/>
              </w:rPr>
              <w:t>张女士、陈先生</w:t>
            </w:r>
          </w:p>
          <w:p>
            <w:pPr>
              <w:spacing w:line="340" w:lineRule="exact"/>
              <w:ind w:right="105" w:rightChars="50"/>
              <w:rPr>
                <w:rFonts w:ascii="仿宋" w:hAnsi="仿宋" w:eastAsia="仿宋" w:cs="仿宋"/>
                <w:szCs w:val="21"/>
              </w:rPr>
            </w:pPr>
            <w:r>
              <w:rPr>
                <w:rFonts w:ascii="仿宋" w:hAnsi="仿宋" w:eastAsia="仿宋" w:cs="仿宋"/>
                <w:szCs w:val="21"/>
                <w:lang w:val="zh-TW" w:eastAsia="zh-TW"/>
              </w:rPr>
              <w:t>联系电话：</w:t>
            </w:r>
            <w:r>
              <w:rPr>
                <w:rFonts w:hint="eastAsia" w:ascii="仿宋" w:hAnsi="仿宋" w:eastAsia="仿宋" w:cs="仿宋"/>
                <w:szCs w:val="21"/>
                <w:lang w:val="zh-TW" w:eastAsia="zh-TW"/>
              </w:rPr>
              <w:t>028-62013599</w:t>
            </w:r>
          </w:p>
          <w:p>
            <w:pPr>
              <w:spacing w:line="340" w:lineRule="exact"/>
              <w:ind w:right="105" w:rightChars="50"/>
              <w:rPr>
                <w:rFonts w:ascii="仿宋" w:hAnsi="仿宋" w:eastAsia="仿宋" w:cs="仿宋"/>
                <w:szCs w:val="21"/>
                <w:lang w:val="zh-TW"/>
              </w:rPr>
            </w:pPr>
            <w:r>
              <w:rPr>
                <w:rFonts w:hint="eastAsia" w:ascii="仿宋" w:hAnsi="仿宋" w:eastAsia="仿宋" w:cs="仿宋"/>
                <w:szCs w:val="21"/>
              </w:rPr>
              <w:t>2.</w:t>
            </w:r>
            <w:r>
              <w:rPr>
                <w:rFonts w:hint="eastAsia" w:ascii="仿宋" w:hAnsi="仿宋" w:eastAsia="仿宋" w:cs="仿宋"/>
                <w:szCs w:val="21"/>
                <w:lang w:val="zh-TW" w:eastAsia="zh-TW"/>
              </w:rPr>
              <w:t>即省级为四川省财政厅，市州级为各市州财政局，区县为各区县财政局。</w:t>
            </w:r>
          </w:p>
          <w:p>
            <w:pPr>
              <w:spacing w:line="340" w:lineRule="exact"/>
              <w:ind w:right="105" w:rightChars="50"/>
              <w:rPr>
                <w:rFonts w:ascii="仿宋" w:hAnsi="仿宋" w:eastAsia="仿宋" w:cs="仿宋"/>
                <w:szCs w:val="21"/>
              </w:rPr>
            </w:pPr>
            <w:r>
              <w:rPr>
                <w:rFonts w:ascii="仿宋" w:hAnsi="仿宋" w:eastAsia="仿宋" w:cs="仿宋"/>
                <w:szCs w:val="21"/>
                <w:lang w:val="zh-TW" w:eastAsia="zh-TW"/>
              </w:rPr>
              <w:t>注：根据《中华人民共和国政府采购法实施条例》及中华人民共和国财政部令第94号《政府采购质疑和投诉》办法等的规定，供应商投诉事项不得超出已质疑事项的范围。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jc w:val="center"/>
              <w:rPr>
                <w:rFonts w:ascii="仿宋" w:hAnsi="仿宋" w:eastAsia="仿宋" w:cs="仿宋"/>
                <w:szCs w:val="21"/>
              </w:rPr>
            </w:pPr>
            <w:r>
              <w:rPr>
                <w:rFonts w:hint="eastAsia" w:ascii="仿宋" w:hAnsi="仿宋" w:eastAsia="仿宋" w:cs="仿宋"/>
                <w:szCs w:val="21"/>
              </w:rPr>
              <w:t>16</w:t>
            </w:r>
          </w:p>
        </w:tc>
        <w:tc>
          <w:tcPr>
            <w:tcW w:w="2552" w:type="dxa"/>
            <w:tcBorders>
              <w:right w:val="single" w:color="auto" w:sz="4" w:space="0"/>
            </w:tcBorders>
          </w:tcPr>
          <w:p>
            <w:pPr>
              <w:jc w:val="center"/>
              <w:rPr>
                <w:rFonts w:ascii="仿宋" w:hAnsi="仿宋" w:eastAsia="仿宋" w:cs="仿宋"/>
                <w:szCs w:val="21"/>
              </w:rPr>
            </w:pPr>
            <w:r>
              <w:rPr>
                <w:rFonts w:hint="eastAsia" w:ascii="仿宋" w:hAnsi="仿宋" w:eastAsia="仿宋" w:cs="仿宋"/>
                <w:szCs w:val="21"/>
              </w:rPr>
              <w:t>政府采购合同</w:t>
            </w:r>
          </w:p>
          <w:p>
            <w:pPr>
              <w:ind w:firstLine="105" w:firstLineChars="50"/>
              <w:jc w:val="center"/>
              <w:rPr>
                <w:rFonts w:ascii="仿宋" w:hAnsi="仿宋" w:eastAsia="仿宋" w:cs="仿宋"/>
                <w:szCs w:val="21"/>
              </w:rPr>
            </w:pPr>
            <w:r>
              <w:rPr>
                <w:rFonts w:hint="eastAsia" w:ascii="仿宋" w:hAnsi="仿宋" w:eastAsia="仿宋" w:cs="仿宋"/>
                <w:szCs w:val="21"/>
              </w:rPr>
              <w:t>公告备案</w:t>
            </w:r>
          </w:p>
        </w:tc>
        <w:tc>
          <w:tcPr>
            <w:tcW w:w="6111" w:type="dxa"/>
            <w:tcBorders>
              <w:left w:val="single" w:color="auto" w:sz="4" w:space="0"/>
            </w:tcBorders>
          </w:tcPr>
          <w:p>
            <w:pPr>
              <w:rPr>
                <w:rFonts w:ascii="仿宋" w:hAnsi="仿宋" w:eastAsia="仿宋" w:cs="仿宋"/>
                <w:szCs w:val="21"/>
              </w:rPr>
            </w:pPr>
            <w:bookmarkStart w:id="17" w:name="PO_默认文件内容_28"/>
            <w:r>
              <w:rPr>
                <w:rFonts w:hint="eastAsia" w:ascii="仿宋" w:hAnsi="仿宋" w:eastAsia="仿宋" w:cs="仿宋"/>
                <w:szCs w:val="21"/>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cs="仿宋"/>
                <w:szCs w:val="21"/>
                <w:lang w:val="zh-CN"/>
              </w:rPr>
              <w:t>。</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jc w:val="center"/>
              <w:rPr>
                <w:rFonts w:ascii="仿宋" w:hAnsi="仿宋" w:eastAsia="仿宋" w:cs="仿宋"/>
                <w:szCs w:val="21"/>
              </w:rPr>
            </w:pPr>
            <w:r>
              <w:rPr>
                <w:rFonts w:hint="eastAsia" w:ascii="仿宋" w:hAnsi="仿宋" w:eastAsia="仿宋" w:cs="仿宋"/>
                <w:szCs w:val="21"/>
              </w:rPr>
              <w:t>17</w:t>
            </w:r>
          </w:p>
        </w:tc>
        <w:tc>
          <w:tcPr>
            <w:tcW w:w="2552" w:type="dxa"/>
            <w:tcBorders>
              <w:right w:val="single" w:color="auto" w:sz="4" w:space="0"/>
            </w:tcBorders>
            <w:vAlign w:val="center"/>
          </w:tcPr>
          <w:p>
            <w:pPr>
              <w:pStyle w:val="50"/>
              <w:ind w:left="96"/>
              <w:jc w:val="center"/>
              <w:rPr>
                <w:rFonts w:ascii="仿宋" w:hAnsi="仿宋" w:eastAsia="仿宋" w:cs="仿宋"/>
                <w:sz w:val="21"/>
                <w:szCs w:val="21"/>
              </w:rPr>
            </w:pPr>
            <w:r>
              <w:rPr>
                <w:rFonts w:hint="eastAsia" w:ascii="仿宋" w:hAnsi="仿宋" w:eastAsia="仿宋" w:cs="仿宋"/>
                <w:sz w:val="21"/>
                <w:szCs w:val="21"/>
                <w:lang w:val="zh-CN"/>
              </w:rPr>
              <w:t>招标</w:t>
            </w:r>
            <w:r>
              <w:rPr>
                <w:rFonts w:hint="eastAsia" w:ascii="仿宋" w:hAnsi="仿宋" w:eastAsia="仿宋" w:cs="仿宋"/>
                <w:sz w:val="21"/>
                <w:szCs w:val="21"/>
              </w:rPr>
              <w:t>代理</w:t>
            </w:r>
            <w:r>
              <w:rPr>
                <w:rFonts w:hint="eastAsia" w:ascii="仿宋" w:hAnsi="仿宋" w:eastAsia="仿宋" w:cs="仿宋"/>
                <w:sz w:val="21"/>
                <w:szCs w:val="21"/>
                <w:lang w:val="zh-CN"/>
              </w:rPr>
              <w:t>服务费</w:t>
            </w:r>
          </w:p>
        </w:tc>
        <w:tc>
          <w:tcPr>
            <w:tcW w:w="6111" w:type="dxa"/>
            <w:tcBorders>
              <w:left w:val="single" w:color="auto" w:sz="4" w:space="0"/>
            </w:tcBorders>
            <w:vAlign w:val="center"/>
          </w:tcPr>
          <w:p>
            <w:pPr>
              <w:pStyle w:val="50"/>
              <w:rPr>
                <w:rFonts w:ascii="仿宋" w:hAnsi="仿宋" w:eastAsia="仿宋" w:cs="仿宋"/>
                <w:sz w:val="21"/>
                <w:szCs w:val="21"/>
              </w:rPr>
            </w:pPr>
            <w:r>
              <w:rPr>
                <w:rFonts w:hint="eastAsia" w:ascii="仿宋" w:hAnsi="仿宋" w:eastAsia="仿宋" w:cs="仿宋"/>
                <w:sz w:val="21"/>
                <w:szCs w:val="21"/>
              </w:rPr>
              <w:t>以一年的中标总价为基准，依照发改价格〔2015〕299号文件精神，按</w:t>
            </w:r>
            <w:r>
              <w:rPr>
                <w:rFonts w:hint="eastAsia" w:ascii="仿宋" w:hAnsi="仿宋" w:eastAsia="仿宋" w:cs="仿宋"/>
                <w:sz w:val="21"/>
                <w:szCs w:val="21"/>
                <w:lang w:val="en-US" w:eastAsia="zh-CN"/>
              </w:rPr>
              <w:t>0</w:t>
            </w:r>
            <w:r>
              <w:rPr>
                <w:rFonts w:hint="eastAsia" w:ascii="仿宋" w:hAnsi="仿宋" w:eastAsia="仿宋" w:cs="仿宋"/>
                <w:sz w:val="21"/>
                <w:szCs w:val="21"/>
              </w:rPr>
              <w:t>.4%收取。由中标单位在领取中标通知书时，支付至代理机构。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jc w:val="center"/>
              <w:rPr>
                <w:rFonts w:ascii="仿宋" w:hAnsi="仿宋" w:eastAsia="仿宋" w:cs="仿宋"/>
                <w:szCs w:val="21"/>
              </w:rPr>
            </w:pPr>
            <w:r>
              <w:rPr>
                <w:rFonts w:hint="eastAsia" w:ascii="仿宋" w:hAnsi="仿宋" w:eastAsia="仿宋" w:cs="仿宋"/>
                <w:szCs w:val="21"/>
              </w:rPr>
              <w:t>18</w:t>
            </w:r>
          </w:p>
        </w:tc>
        <w:tc>
          <w:tcPr>
            <w:tcW w:w="2552" w:type="dxa"/>
            <w:tcBorders>
              <w:right w:val="single" w:color="auto" w:sz="4" w:space="0"/>
            </w:tcBorders>
            <w:vAlign w:val="center"/>
          </w:tcPr>
          <w:p>
            <w:pPr>
              <w:pStyle w:val="50"/>
              <w:ind w:left="96"/>
              <w:jc w:val="center"/>
              <w:rPr>
                <w:rFonts w:ascii="仿宋" w:hAnsi="仿宋" w:eastAsia="仿宋" w:cs="仿宋"/>
                <w:sz w:val="21"/>
                <w:szCs w:val="21"/>
                <w:lang w:val="zh-CN"/>
              </w:rPr>
            </w:pPr>
            <w:r>
              <w:rPr>
                <w:rFonts w:hint="eastAsia" w:ascii="仿宋" w:hAnsi="仿宋" w:eastAsia="仿宋" w:cs="仿宋"/>
                <w:sz w:val="21"/>
                <w:szCs w:val="21"/>
                <w:lang w:val="zh-CN"/>
              </w:rPr>
              <w:t>送样提醒</w:t>
            </w:r>
          </w:p>
        </w:tc>
        <w:tc>
          <w:tcPr>
            <w:tcW w:w="6111" w:type="dxa"/>
            <w:tcBorders>
              <w:left w:val="single" w:color="auto" w:sz="4" w:space="0"/>
            </w:tcBorders>
            <w:vAlign w:val="center"/>
          </w:tcPr>
          <w:p>
            <w:pPr>
              <w:pStyle w:val="50"/>
              <w:rPr>
                <w:rFonts w:ascii="仿宋" w:hAnsi="仿宋" w:eastAsia="仿宋" w:cs="仿宋"/>
                <w:sz w:val="21"/>
                <w:szCs w:val="21"/>
                <w:lang w:val="zh-CN"/>
              </w:rPr>
            </w:pPr>
            <w:r>
              <w:rPr>
                <w:rFonts w:hint="eastAsia" w:ascii="仿宋" w:hAnsi="仿宋" w:eastAsia="仿宋" w:cs="仿宋"/>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jc w:val="center"/>
              <w:rPr>
                <w:rFonts w:ascii="仿宋" w:hAnsi="仿宋" w:eastAsia="仿宋" w:cs="仿宋"/>
                <w:szCs w:val="21"/>
              </w:rPr>
            </w:pPr>
            <w:r>
              <w:rPr>
                <w:rFonts w:hint="eastAsia" w:ascii="仿宋" w:hAnsi="仿宋" w:eastAsia="仿宋" w:cs="仿宋"/>
                <w:szCs w:val="21"/>
              </w:rPr>
              <w:t>19</w:t>
            </w:r>
          </w:p>
        </w:tc>
        <w:tc>
          <w:tcPr>
            <w:tcW w:w="2552" w:type="dxa"/>
            <w:tcBorders>
              <w:right w:val="single" w:color="auto" w:sz="4" w:space="0"/>
            </w:tcBorders>
            <w:vAlign w:val="center"/>
          </w:tcPr>
          <w:p>
            <w:pPr>
              <w:spacing w:line="360" w:lineRule="auto"/>
              <w:jc w:val="center"/>
              <w:rPr>
                <w:rFonts w:ascii="仿宋" w:hAnsi="仿宋" w:eastAsia="仿宋" w:cs="仿宋"/>
                <w:kern w:val="0"/>
                <w:szCs w:val="21"/>
                <w:lang w:val="zh-CN"/>
              </w:rPr>
            </w:pPr>
            <w:r>
              <w:rPr>
                <w:rFonts w:hint="eastAsia" w:ascii="仿宋" w:hAnsi="仿宋" w:eastAsia="仿宋" w:cs="仿宋"/>
                <w:kern w:val="0"/>
                <w:szCs w:val="21"/>
                <w:lang w:val="zh-CN"/>
              </w:rPr>
              <w:t>应知事项</w:t>
            </w:r>
          </w:p>
        </w:tc>
        <w:tc>
          <w:tcPr>
            <w:tcW w:w="6111" w:type="dxa"/>
            <w:tcBorders>
              <w:left w:val="single" w:color="auto" w:sz="4" w:space="0"/>
            </w:tcBorders>
            <w:vAlign w:val="center"/>
          </w:tcPr>
          <w:p>
            <w:pPr>
              <w:spacing w:line="360" w:lineRule="auto"/>
              <w:jc w:val="left"/>
              <w:rPr>
                <w:rFonts w:ascii="仿宋" w:hAnsi="仿宋" w:eastAsia="仿宋" w:cs="仿宋"/>
                <w:kern w:val="0"/>
                <w:szCs w:val="21"/>
                <w:lang w:val="zh-CN"/>
              </w:rPr>
            </w:pPr>
            <w:r>
              <w:rPr>
                <w:rFonts w:hint="eastAsia" w:ascii="仿宋" w:hAnsi="仿宋" w:eastAsia="仿宋" w:cs="仿宋"/>
                <w:kern w:val="0"/>
                <w:szCs w:val="21"/>
                <w:lang w:val="zh-CN"/>
              </w:rPr>
              <w:t>1、除明确要求须声明或承诺的事项外，投标人可不对未要求声明或承诺的实质性要求进行承诺，只要投标人未明确表示不响应招标文件的要求，即视为投标人完全响应。</w:t>
            </w:r>
          </w:p>
          <w:p>
            <w:pPr>
              <w:spacing w:line="360" w:lineRule="auto"/>
              <w:jc w:val="left"/>
              <w:rPr>
                <w:rFonts w:ascii="仿宋" w:hAnsi="仿宋" w:eastAsia="仿宋" w:cs="仿宋"/>
                <w:kern w:val="0"/>
                <w:szCs w:val="21"/>
                <w:lang w:val="zh-CN"/>
              </w:rPr>
            </w:pPr>
            <w:r>
              <w:rPr>
                <w:rFonts w:hint="eastAsia" w:ascii="仿宋" w:hAnsi="仿宋" w:eastAsia="仿宋" w:cs="仿宋"/>
                <w:kern w:val="0"/>
                <w:szCs w:val="21"/>
                <w:lang w:val="zh-CN"/>
              </w:rPr>
              <w:t>2、如因行业惯例或习惯，在招投标文件中使用了非法定计量单位，不影响招投标文件的有效性和符合性。</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jc w:val="center"/>
              <w:rPr>
                <w:rFonts w:ascii="仿宋" w:hAnsi="仿宋" w:eastAsia="仿宋" w:cs="仿宋"/>
                <w:szCs w:val="21"/>
              </w:rPr>
            </w:pPr>
            <w:r>
              <w:rPr>
                <w:rFonts w:hint="eastAsia" w:ascii="仿宋" w:hAnsi="仿宋" w:eastAsia="仿宋" w:cs="仿宋"/>
                <w:szCs w:val="21"/>
              </w:rPr>
              <w:t>20</w:t>
            </w:r>
          </w:p>
        </w:tc>
        <w:tc>
          <w:tcPr>
            <w:tcW w:w="2552" w:type="dxa"/>
            <w:tcBorders>
              <w:right w:val="single" w:color="auto" w:sz="4" w:space="0"/>
            </w:tcBorders>
            <w:vAlign w:val="center"/>
          </w:tcPr>
          <w:p>
            <w:pPr>
              <w:pStyle w:val="50"/>
              <w:ind w:left="96"/>
              <w:jc w:val="center"/>
              <w:rPr>
                <w:rFonts w:ascii="仿宋" w:hAnsi="仿宋" w:eastAsia="仿宋" w:cs="仿宋"/>
                <w:sz w:val="21"/>
                <w:szCs w:val="21"/>
              </w:rPr>
            </w:pPr>
            <w:r>
              <w:rPr>
                <w:rFonts w:hint="eastAsia" w:ascii="仿宋" w:hAnsi="仿宋" w:eastAsia="仿宋" w:cs="仿宋"/>
                <w:sz w:val="21"/>
                <w:szCs w:val="21"/>
                <w:lang w:val="zh-CN"/>
              </w:rPr>
              <w:t>联合体（实质性要求）</w:t>
            </w:r>
          </w:p>
        </w:tc>
        <w:tc>
          <w:tcPr>
            <w:tcW w:w="6111" w:type="dxa"/>
            <w:tcBorders>
              <w:left w:val="single" w:color="auto" w:sz="4" w:space="0"/>
            </w:tcBorders>
            <w:vAlign w:val="center"/>
          </w:tcPr>
          <w:p>
            <w:pPr>
              <w:pStyle w:val="50"/>
              <w:rPr>
                <w:rFonts w:ascii="仿宋" w:hAnsi="仿宋" w:eastAsia="仿宋" w:cs="仿宋"/>
                <w:bCs/>
                <w:sz w:val="21"/>
                <w:szCs w:val="21"/>
              </w:rPr>
            </w:pPr>
            <w:r>
              <w:rPr>
                <w:rFonts w:hint="eastAsia" w:ascii="仿宋" w:hAnsi="仿宋" w:eastAsia="仿宋" w:cs="仿宋"/>
                <w:bCs/>
                <w:kern w:val="2"/>
                <w:sz w:val="21"/>
                <w:szCs w:val="21"/>
              </w:rPr>
              <w:t>☑</w:t>
            </w:r>
            <w:r>
              <w:rPr>
                <w:rFonts w:hint="eastAsia" w:ascii="仿宋" w:hAnsi="仿宋" w:eastAsia="仿宋" w:cs="仿宋"/>
                <w:bCs/>
                <w:sz w:val="21"/>
                <w:szCs w:val="21"/>
                <w:lang w:val="zh-CN"/>
              </w:rPr>
              <w:t xml:space="preserve">本项目不允许联合体参加    </w:t>
            </w:r>
          </w:p>
          <w:p>
            <w:pPr>
              <w:pStyle w:val="50"/>
              <w:rPr>
                <w:rFonts w:ascii="仿宋" w:hAnsi="仿宋" w:eastAsia="仿宋" w:cs="仿宋"/>
                <w:b/>
                <w:sz w:val="21"/>
                <w:szCs w:val="21"/>
                <w:lang w:val="zh-CN"/>
              </w:rPr>
            </w:pPr>
            <w:r>
              <w:rPr>
                <w:rFonts w:hint="eastAsia" w:ascii="仿宋" w:hAnsi="仿宋" w:eastAsia="仿宋" w:cs="仿宋"/>
                <w:bCs/>
                <w:sz w:val="21"/>
                <w:szCs w:val="21"/>
                <w:lang w:val="zh-CN"/>
              </w:rPr>
              <w:t>□本项目允许联合体参加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462" w:hRule="atLeast"/>
          <w:jc w:val="center"/>
        </w:trPr>
        <w:tc>
          <w:tcPr>
            <w:tcW w:w="838" w:type="dxa"/>
            <w:vAlign w:val="center"/>
          </w:tcPr>
          <w:p>
            <w:pPr>
              <w:ind w:firstLine="105" w:firstLineChars="50"/>
              <w:jc w:val="center"/>
              <w:rPr>
                <w:rFonts w:ascii="仿宋" w:hAnsi="仿宋" w:eastAsia="仿宋" w:cs="仿宋"/>
                <w:kern w:val="0"/>
                <w:szCs w:val="21"/>
              </w:rPr>
            </w:pPr>
            <w:r>
              <w:rPr>
                <w:rFonts w:hint="eastAsia" w:ascii="仿宋" w:hAnsi="仿宋" w:eastAsia="仿宋" w:cs="仿宋"/>
                <w:kern w:val="0"/>
                <w:szCs w:val="21"/>
              </w:rPr>
              <w:t>21</w:t>
            </w:r>
          </w:p>
        </w:tc>
        <w:tc>
          <w:tcPr>
            <w:tcW w:w="2552" w:type="dxa"/>
            <w:tcBorders>
              <w:right w:val="single" w:color="auto" w:sz="4" w:space="0"/>
            </w:tcBorders>
            <w:vAlign w:val="center"/>
          </w:tcPr>
          <w:p>
            <w:pPr>
              <w:pStyle w:val="50"/>
              <w:spacing w:line="360" w:lineRule="auto"/>
              <w:jc w:val="center"/>
              <w:rPr>
                <w:rFonts w:ascii="仿宋" w:hAnsi="仿宋" w:eastAsia="仿宋" w:cs="仿宋"/>
                <w:sz w:val="21"/>
                <w:szCs w:val="21"/>
                <w:lang w:val="zh-CN"/>
              </w:rPr>
            </w:pPr>
            <w:r>
              <w:rPr>
                <w:rFonts w:hint="eastAsia" w:ascii="仿宋" w:hAnsi="仿宋" w:eastAsia="仿宋" w:cs="仿宋"/>
                <w:sz w:val="21"/>
                <w:szCs w:val="21"/>
                <w:lang w:val="zh-CN"/>
              </w:rPr>
              <w:t>中小企业政府采购</w:t>
            </w:r>
          </w:p>
          <w:p>
            <w:pPr>
              <w:pStyle w:val="50"/>
              <w:spacing w:line="360" w:lineRule="auto"/>
              <w:jc w:val="center"/>
              <w:rPr>
                <w:rFonts w:ascii="仿宋" w:hAnsi="仿宋" w:eastAsia="仿宋" w:cs="仿宋"/>
                <w:sz w:val="21"/>
                <w:szCs w:val="21"/>
                <w:lang w:val="zh-CN"/>
              </w:rPr>
            </w:pPr>
            <w:r>
              <w:rPr>
                <w:rFonts w:hint="eastAsia" w:ascii="仿宋" w:hAnsi="仿宋" w:eastAsia="仿宋" w:cs="仿宋"/>
                <w:sz w:val="21"/>
                <w:szCs w:val="21"/>
                <w:lang w:val="zh-CN"/>
              </w:rPr>
              <w:t>信用融资</w:t>
            </w:r>
          </w:p>
        </w:tc>
        <w:tc>
          <w:tcPr>
            <w:tcW w:w="6111" w:type="dxa"/>
            <w:tcBorders>
              <w:left w:val="single" w:color="auto" w:sz="4" w:space="0"/>
            </w:tcBorders>
            <w:vAlign w:val="center"/>
          </w:tcPr>
          <w:p>
            <w:pPr>
              <w:pStyle w:val="50"/>
              <w:spacing w:line="360" w:lineRule="auto"/>
              <w:rPr>
                <w:rFonts w:ascii="仿宋" w:hAnsi="仿宋" w:eastAsia="仿宋" w:cs="仿宋"/>
                <w:sz w:val="21"/>
                <w:szCs w:val="21"/>
                <w:lang w:val="zh-CN"/>
              </w:rPr>
            </w:pPr>
            <w:r>
              <w:rPr>
                <w:rFonts w:hint="eastAsia" w:ascii="仿宋" w:hAnsi="仿宋" w:eastAsia="仿宋" w:cs="仿宋"/>
                <w:sz w:val="21"/>
                <w:szCs w:val="21"/>
                <w:lang w:val="zh-CN"/>
              </w:rPr>
              <w:t>根据《四川省财政厅关于推进四川省政府采购供应商信用融资工作的通知》（川财采[2018]123号）、《成都市中小企业政府采购信用融资暂行办法》（成财采〔2019〕17 号）文件要求。中标人若为中小微企业的，可依据政府采购合同申请政府采购信用融资。双流区另有10家银行机构自愿开展政府采购信用融资业务，并承诺提供“融资利率上浮比例不超过人行同期贷款基准利率30%”的融资服务，银行机构名单如下：成都银行双流支行、中国建设银行双流分行 、交通银行双流分行、中国农业银行双流支行、成都农商银行双流支行、中国银行双流分行、上海银行成都双流支行、浙商银行成都双流支行、中国工商银行成都双流支行、中国邮政储蓄银行成都双流支行。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jc w:val="center"/>
              <w:rPr>
                <w:rFonts w:ascii="仿宋" w:hAnsi="仿宋" w:eastAsia="仿宋" w:cs="仿宋"/>
                <w:kern w:val="0"/>
                <w:szCs w:val="21"/>
              </w:rPr>
            </w:pPr>
            <w:r>
              <w:rPr>
                <w:rFonts w:hint="eastAsia" w:ascii="仿宋" w:hAnsi="仿宋" w:eastAsia="仿宋" w:cs="仿宋"/>
                <w:kern w:val="0"/>
                <w:szCs w:val="21"/>
              </w:rPr>
              <w:t>22</w:t>
            </w:r>
          </w:p>
        </w:tc>
        <w:tc>
          <w:tcPr>
            <w:tcW w:w="2552" w:type="dxa"/>
            <w:tcBorders>
              <w:right w:val="single" w:color="auto" w:sz="4" w:space="0"/>
            </w:tcBorders>
            <w:vAlign w:val="center"/>
          </w:tcPr>
          <w:p>
            <w:pPr>
              <w:spacing w:line="360" w:lineRule="auto"/>
              <w:jc w:val="center"/>
              <w:rPr>
                <w:rFonts w:ascii="仿宋" w:hAnsi="仿宋" w:eastAsia="仿宋" w:cs="仿宋"/>
                <w:kern w:val="0"/>
                <w:szCs w:val="21"/>
                <w:lang w:val="zh-CN"/>
              </w:rPr>
            </w:pPr>
            <w:r>
              <w:rPr>
                <w:rFonts w:hint="eastAsia" w:ascii="仿宋" w:hAnsi="仿宋" w:eastAsia="仿宋" w:cs="仿宋"/>
                <w:kern w:val="0"/>
                <w:szCs w:val="21"/>
                <w:lang w:val="zh-CN"/>
              </w:rPr>
              <w:t>是否专门面向中小企业的项目或专门面向小微企业采购的项目</w:t>
            </w:r>
          </w:p>
        </w:tc>
        <w:tc>
          <w:tcPr>
            <w:tcW w:w="6111" w:type="dxa"/>
            <w:tcBorders>
              <w:left w:val="single" w:color="auto" w:sz="4" w:space="0"/>
            </w:tcBorders>
            <w:vAlign w:val="center"/>
          </w:tcPr>
          <w:p>
            <w:pPr>
              <w:spacing w:line="360" w:lineRule="auto"/>
              <w:jc w:val="left"/>
              <w:rPr>
                <w:rFonts w:ascii="仿宋" w:hAnsi="仿宋" w:eastAsia="仿宋" w:cs="仿宋"/>
                <w:kern w:val="0"/>
                <w:szCs w:val="21"/>
                <w:lang w:val="zh-CN"/>
              </w:rPr>
            </w:pPr>
            <w:r>
              <w:rPr>
                <w:rFonts w:hint="eastAsia" w:ascii="仿宋" w:hAnsi="仿宋" w:eastAsia="仿宋" w:cs="仿宋"/>
                <w:kern w:val="0"/>
                <w:szCs w:val="21"/>
                <w:lang w:val="zh-CN"/>
              </w:rPr>
              <w:t>本项目为非专门面向中小企业采购的项目。</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jc w:val="center"/>
              <w:rPr>
                <w:rFonts w:ascii="仿宋" w:hAnsi="仿宋" w:eastAsia="仿宋" w:cs="仿宋"/>
                <w:kern w:val="0"/>
                <w:szCs w:val="21"/>
              </w:rPr>
            </w:pPr>
            <w:r>
              <w:rPr>
                <w:rFonts w:hint="eastAsia" w:ascii="仿宋" w:hAnsi="仿宋" w:eastAsia="仿宋" w:cs="仿宋"/>
                <w:kern w:val="0"/>
                <w:szCs w:val="21"/>
              </w:rPr>
              <w:t>23</w:t>
            </w:r>
          </w:p>
        </w:tc>
        <w:tc>
          <w:tcPr>
            <w:tcW w:w="2552" w:type="dxa"/>
            <w:tcBorders>
              <w:right w:val="single" w:color="auto" w:sz="4" w:space="0"/>
            </w:tcBorders>
            <w:vAlign w:val="center"/>
          </w:tcPr>
          <w:p>
            <w:pPr>
              <w:spacing w:line="360" w:lineRule="auto"/>
              <w:jc w:val="center"/>
              <w:rPr>
                <w:rFonts w:ascii="仿宋" w:hAnsi="仿宋" w:eastAsia="仿宋" w:cs="仿宋"/>
                <w:kern w:val="0"/>
                <w:szCs w:val="21"/>
              </w:rPr>
            </w:pPr>
            <w:r>
              <w:rPr>
                <w:rFonts w:hint="eastAsia" w:ascii="仿宋" w:hAnsi="仿宋" w:eastAsia="仿宋" w:cs="仿宋"/>
                <w:kern w:val="0"/>
                <w:szCs w:val="21"/>
                <w:lang w:val="zh-CN"/>
              </w:rPr>
              <w:t>所属行业</w:t>
            </w:r>
          </w:p>
        </w:tc>
        <w:tc>
          <w:tcPr>
            <w:tcW w:w="6111" w:type="dxa"/>
            <w:tcBorders>
              <w:left w:val="single" w:color="auto" w:sz="4" w:space="0"/>
            </w:tcBorders>
            <w:vAlign w:val="center"/>
          </w:tcPr>
          <w:p>
            <w:pPr>
              <w:spacing w:line="360" w:lineRule="auto"/>
              <w:jc w:val="left"/>
              <w:rPr>
                <w:rFonts w:ascii="仿宋" w:hAnsi="仿宋" w:eastAsia="仿宋" w:cs="仿宋"/>
                <w:kern w:val="0"/>
                <w:szCs w:val="21"/>
              </w:rPr>
            </w:pPr>
            <w:r>
              <w:rPr>
                <w:rFonts w:hint="eastAsia" w:ascii="仿宋" w:hAnsi="仿宋" w:eastAsia="仿宋" w:cs="仿宋"/>
                <w:kern w:val="0"/>
                <w:szCs w:val="21"/>
              </w:rPr>
              <w:t>其他未列明行业。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jc w:val="center"/>
              <w:rPr>
                <w:rFonts w:ascii="仿宋" w:hAnsi="仿宋" w:eastAsia="仿宋" w:cs="仿宋"/>
                <w:kern w:val="0"/>
                <w:szCs w:val="21"/>
              </w:rPr>
            </w:pPr>
            <w:r>
              <w:rPr>
                <w:rFonts w:hint="eastAsia" w:ascii="仿宋" w:hAnsi="仿宋" w:eastAsia="仿宋" w:cs="仿宋"/>
                <w:kern w:val="0"/>
                <w:szCs w:val="21"/>
              </w:rPr>
              <w:t>24</w:t>
            </w:r>
          </w:p>
        </w:tc>
        <w:tc>
          <w:tcPr>
            <w:tcW w:w="2552" w:type="dxa"/>
            <w:tcBorders>
              <w:right w:val="single" w:color="auto" w:sz="4" w:space="0"/>
            </w:tcBorders>
            <w:vAlign w:val="center"/>
          </w:tcPr>
          <w:p>
            <w:pPr>
              <w:spacing w:line="360" w:lineRule="auto"/>
              <w:jc w:val="center"/>
              <w:rPr>
                <w:rFonts w:ascii="仿宋" w:hAnsi="仿宋" w:eastAsia="仿宋" w:cs="仿宋"/>
                <w:kern w:val="0"/>
                <w:szCs w:val="21"/>
                <w:lang w:val="zh-CN"/>
              </w:rPr>
            </w:pPr>
            <w:r>
              <w:rPr>
                <w:rFonts w:hint="eastAsia" w:ascii="仿宋" w:hAnsi="仿宋" w:eastAsia="仿宋" w:cs="仿宋"/>
                <w:kern w:val="0"/>
                <w:szCs w:val="21"/>
                <w:lang w:val="zh-CN"/>
              </w:rPr>
              <w:t>温馨提示</w:t>
            </w:r>
          </w:p>
        </w:tc>
        <w:tc>
          <w:tcPr>
            <w:tcW w:w="6111" w:type="dxa"/>
            <w:tcBorders>
              <w:left w:val="single" w:color="auto" w:sz="4" w:space="0"/>
            </w:tcBorders>
            <w:vAlign w:val="center"/>
          </w:tcPr>
          <w:p>
            <w:pPr>
              <w:spacing w:line="360" w:lineRule="auto"/>
              <w:jc w:val="left"/>
              <w:rPr>
                <w:rFonts w:ascii="仿宋" w:hAnsi="仿宋" w:eastAsia="仿宋" w:cs="仿宋"/>
                <w:kern w:val="0"/>
                <w:szCs w:val="21"/>
                <w:lang w:val="zh-CN"/>
              </w:rPr>
            </w:pPr>
            <w:r>
              <w:rPr>
                <w:rFonts w:hint="eastAsia" w:ascii="仿宋" w:hAnsi="仿宋" w:eastAsia="仿宋" w:cs="仿宋"/>
                <w:kern w:val="0"/>
                <w:szCs w:val="21"/>
                <w:lang w:val="zh-CN"/>
              </w:rPr>
              <w:t>（</w:t>
            </w:r>
            <w:r>
              <w:rPr>
                <w:rFonts w:hint="eastAsia" w:ascii="仿宋" w:hAnsi="仿宋" w:eastAsia="仿宋" w:cs="仿宋"/>
                <w:kern w:val="0"/>
                <w:szCs w:val="21"/>
              </w:rPr>
              <w:t>1</w:t>
            </w:r>
            <w:r>
              <w:rPr>
                <w:rFonts w:hint="eastAsia" w:ascii="仿宋" w:hAnsi="仿宋" w:eastAsia="仿宋" w:cs="仿宋"/>
                <w:kern w:val="0"/>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p>
            <w:pPr>
              <w:spacing w:line="360" w:lineRule="auto"/>
              <w:jc w:val="left"/>
              <w:rPr>
                <w:rFonts w:ascii="仿宋" w:hAnsi="仿宋" w:eastAsia="仿宋" w:cs="仿宋"/>
                <w:kern w:val="0"/>
                <w:szCs w:val="21"/>
                <w:lang w:val="zh-CN"/>
              </w:rPr>
            </w:pPr>
            <w:r>
              <w:rPr>
                <w:rFonts w:hint="eastAsia" w:ascii="仿宋" w:hAnsi="仿宋" w:eastAsia="仿宋" w:cs="仿宋"/>
                <w:kern w:val="0"/>
                <w:szCs w:val="21"/>
                <w:lang w:val="zh-CN"/>
              </w:rPr>
              <w:t>（</w:t>
            </w:r>
            <w:r>
              <w:rPr>
                <w:rFonts w:hint="eastAsia" w:ascii="仿宋" w:hAnsi="仿宋" w:eastAsia="仿宋" w:cs="仿宋"/>
                <w:kern w:val="0"/>
                <w:szCs w:val="21"/>
              </w:rPr>
              <w:t>2</w:t>
            </w:r>
            <w:r>
              <w:rPr>
                <w:rFonts w:hint="eastAsia" w:ascii="仿宋" w:hAnsi="仿宋" w:eastAsia="仿宋" w:cs="仿宋"/>
                <w:kern w:val="0"/>
                <w:szCs w:val="21"/>
                <w:lang w:val="zh-CN"/>
              </w:rPr>
              <w:t>）政府采购云平台供应商注册地址：</w:t>
            </w:r>
          </w:p>
          <w:p>
            <w:pPr>
              <w:spacing w:line="360" w:lineRule="auto"/>
              <w:jc w:val="left"/>
              <w:rPr>
                <w:rFonts w:ascii="仿宋" w:hAnsi="仿宋" w:eastAsia="仿宋" w:cs="仿宋"/>
                <w:kern w:val="0"/>
                <w:szCs w:val="21"/>
                <w:lang w:val="zh-CN"/>
              </w:rPr>
            </w:pPr>
            <w:r>
              <w:rPr>
                <w:rFonts w:hint="eastAsia" w:ascii="仿宋" w:hAnsi="仿宋" w:eastAsia="仿宋" w:cs="仿宋"/>
                <w:kern w:val="0"/>
                <w:szCs w:val="21"/>
                <w:lang w:val="zh-CN"/>
              </w:rPr>
              <w:t>https://middle.zcygov.cn/v-settle-front/registry?settleCategory=1&amp;entranceType=119&amp;utm=a0017.b1347.cl50.3.c0de9400b91b11eb870ad7da87d69c97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jc w:val="center"/>
              <w:rPr>
                <w:rFonts w:ascii="仿宋" w:hAnsi="仿宋" w:eastAsia="仿宋" w:cs="仿宋"/>
                <w:kern w:val="0"/>
                <w:szCs w:val="21"/>
              </w:rPr>
            </w:pPr>
            <w:r>
              <w:rPr>
                <w:rFonts w:hint="eastAsia" w:ascii="仿宋" w:hAnsi="仿宋" w:eastAsia="仿宋" w:cs="仿宋"/>
                <w:kern w:val="0"/>
                <w:szCs w:val="21"/>
              </w:rPr>
              <w:t>25</w:t>
            </w:r>
          </w:p>
        </w:tc>
        <w:tc>
          <w:tcPr>
            <w:tcW w:w="2552" w:type="dxa"/>
            <w:tcBorders>
              <w:right w:val="single" w:color="auto" w:sz="4" w:space="0"/>
            </w:tcBorders>
            <w:vAlign w:val="center"/>
          </w:tcPr>
          <w:p>
            <w:pPr>
              <w:spacing w:line="360" w:lineRule="auto"/>
              <w:jc w:val="center"/>
              <w:rPr>
                <w:rFonts w:ascii="仿宋" w:hAnsi="仿宋" w:eastAsia="仿宋" w:cs="仿宋"/>
                <w:kern w:val="0"/>
                <w:szCs w:val="21"/>
                <w:lang w:val="zh-CN"/>
              </w:rPr>
            </w:pPr>
            <w:r>
              <w:rPr>
                <w:rFonts w:hint="eastAsia" w:ascii="仿宋" w:hAnsi="仿宋" w:eastAsia="仿宋" w:cs="仿宋"/>
                <w:kern w:val="0"/>
                <w:szCs w:val="21"/>
                <w:lang w:val="zh-CN"/>
              </w:rPr>
              <w:t>禁止参加本次采购活动的供应商</w:t>
            </w:r>
          </w:p>
        </w:tc>
        <w:tc>
          <w:tcPr>
            <w:tcW w:w="6111" w:type="dxa"/>
            <w:tcBorders>
              <w:left w:val="single" w:color="auto" w:sz="4" w:space="0"/>
            </w:tcBorders>
            <w:vAlign w:val="center"/>
          </w:tcPr>
          <w:p>
            <w:pPr>
              <w:spacing w:line="360" w:lineRule="auto"/>
              <w:jc w:val="left"/>
              <w:rPr>
                <w:rFonts w:ascii="仿宋" w:hAnsi="仿宋" w:eastAsia="仿宋" w:cs="仿宋"/>
                <w:kern w:val="0"/>
                <w:szCs w:val="21"/>
                <w:lang w:val="zh-CN"/>
              </w:rPr>
            </w:pPr>
            <w:r>
              <w:rPr>
                <w:rFonts w:hint="eastAsia" w:ascii="仿宋" w:hAnsi="仿宋" w:eastAsia="仿宋" w:cs="仿宋"/>
                <w:kern w:val="0"/>
                <w:szCs w:val="21"/>
                <w:lang w:val="zh-CN"/>
              </w:rPr>
              <w:t>1.根据《关于在政府采购活动中查询及使用信用记录有关问题的通知》（财库〔2016〕125号）的要求，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pPr>
              <w:spacing w:line="360" w:lineRule="auto"/>
              <w:jc w:val="left"/>
              <w:rPr>
                <w:rFonts w:ascii="仿宋" w:hAnsi="仿宋" w:eastAsia="仿宋" w:cs="仿宋"/>
                <w:kern w:val="0"/>
                <w:szCs w:val="21"/>
                <w:lang w:val="zh-CN"/>
              </w:rPr>
            </w:pPr>
            <w:r>
              <w:rPr>
                <w:rFonts w:hint="eastAsia" w:ascii="仿宋" w:hAnsi="仿宋" w:eastAsia="仿宋" w:cs="仿宋"/>
                <w:kern w:val="0"/>
                <w:szCs w:val="21"/>
                <w:lang w:val="zh-CN"/>
              </w:rPr>
              <w:t>2.为采购项目提供整体设计、规范编制或者项目管理、监理、检测等服务的供应商，不得参加本采购项目。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jc w:val="center"/>
              <w:rPr>
                <w:rFonts w:ascii="仿宋" w:hAnsi="仿宋" w:eastAsia="仿宋" w:cs="仿宋"/>
                <w:kern w:val="0"/>
                <w:szCs w:val="21"/>
              </w:rPr>
            </w:pPr>
            <w:r>
              <w:rPr>
                <w:rFonts w:hint="eastAsia" w:ascii="仿宋" w:hAnsi="仿宋" w:eastAsia="仿宋" w:cs="仿宋"/>
                <w:kern w:val="0"/>
                <w:szCs w:val="21"/>
              </w:rPr>
              <w:t>26</w:t>
            </w:r>
          </w:p>
        </w:tc>
        <w:tc>
          <w:tcPr>
            <w:tcW w:w="2552" w:type="dxa"/>
            <w:tcBorders>
              <w:right w:val="single" w:color="auto" w:sz="4" w:space="0"/>
            </w:tcBorders>
            <w:vAlign w:val="center"/>
          </w:tcPr>
          <w:p>
            <w:pPr>
              <w:spacing w:line="360" w:lineRule="auto"/>
              <w:jc w:val="center"/>
              <w:rPr>
                <w:rFonts w:ascii="仿宋" w:hAnsi="仿宋" w:eastAsia="仿宋" w:cs="仿宋"/>
                <w:kern w:val="0"/>
                <w:szCs w:val="21"/>
                <w:lang w:val="zh-CN"/>
              </w:rPr>
            </w:pPr>
            <w:r>
              <w:rPr>
                <w:rFonts w:hint="eastAsia" w:ascii="仿宋" w:hAnsi="仿宋" w:eastAsia="仿宋" w:cs="仿宋"/>
                <w:kern w:val="0"/>
                <w:szCs w:val="21"/>
                <w:lang w:val="zh-CN"/>
              </w:rPr>
              <w:t>备注</w:t>
            </w:r>
          </w:p>
        </w:tc>
        <w:tc>
          <w:tcPr>
            <w:tcW w:w="6111" w:type="dxa"/>
            <w:tcBorders>
              <w:left w:val="single" w:color="auto" w:sz="4" w:space="0"/>
            </w:tcBorders>
            <w:vAlign w:val="center"/>
          </w:tcPr>
          <w:p>
            <w:pPr>
              <w:spacing w:line="360" w:lineRule="auto"/>
              <w:jc w:val="left"/>
              <w:rPr>
                <w:rFonts w:ascii="仿宋" w:hAnsi="仿宋" w:eastAsia="仿宋" w:cs="仿宋"/>
                <w:kern w:val="0"/>
                <w:szCs w:val="21"/>
                <w:lang w:val="zh-CN"/>
              </w:rPr>
            </w:pPr>
            <w:r>
              <w:rPr>
                <w:rFonts w:hint="eastAsia" w:ascii="仿宋" w:hAnsi="仿宋" w:eastAsia="仿宋" w:cs="仿宋"/>
                <w:kern w:val="0"/>
                <w:szCs w:val="21"/>
                <w:lang w:val="zh-CN"/>
              </w:rPr>
              <w:t>若招标文件中其他内容与投标人须知附表内容不一致的，以投标人须知附表为准。</w:t>
            </w:r>
          </w:p>
        </w:tc>
      </w:tr>
    </w:tbl>
    <w:p>
      <w:pPr>
        <w:rPr>
          <w:rFonts w:ascii="仿宋" w:hAnsi="仿宋" w:eastAsia="仿宋" w:cs="仿宋"/>
        </w:rPr>
      </w:pPr>
    </w:p>
    <w:p>
      <w:pPr>
        <w:pStyle w:val="4"/>
        <w:spacing w:line="400" w:lineRule="exact"/>
        <w:jc w:val="center"/>
        <w:rPr>
          <w:rFonts w:ascii="仿宋" w:hAnsi="仿宋" w:eastAsia="仿宋" w:cs="仿宋"/>
          <w:bCs w:val="0"/>
        </w:rPr>
      </w:pPr>
      <w:r>
        <w:rPr>
          <w:rFonts w:hint="eastAsia" w:ascii="仿宋" w:hAnsi="仿宋" w:eastAsia="仿宋" w:cs="仿宋"/>
          <w:bCs w:val="0"/>
        </w:rPr>
        <w:t>二、总  则</w:t>
      </w:r>
    </w:p>
    <w:p>
      <w:pPr>
        <w:pStyle w:val="5"/>
        <w:spacing w:line="400" w:lineRule="exact"/>
        <w:ind w:firstLine="482" w:firstLineChars="200"/>
        <w:rPr>
          <w:rFonts w:ascii="仿宋" w:hAnsi="仿宋" w:eastAsia="仿宋" w:cs="仿宋"/>
          <w:sz w:val="24"/>
          <w:szCs w:val="24"/>
        </w:rPr>
      </w:pPr>
      <w:bookmarkStart w:id="18" w:name="_Toc183682342"/>
      <w:bookmarkStart w:id="19" w:name="_Toc183582205"/>
      <w:bookmarkStart w:id="20" w:name="_Toc217446034"/>
      <w:bookmarkStart w:id="21" w:name="PO_默认文件内容_24"/>
      <w:r>
        <w:rPr>
          <w:rFonts w:hint="eastAsia" w:ascii="仿宋" w:hAnsi="仿宋" w:eastAsia="仿宋" w:cs="仿宋"/>
          <w:sz w:val="24"/>
          <w:szCs w:val="24"/>
        </w:rPr>
        <w:t>1.</w:t>
      </w:r>
      <w:bookmarkEnd w:id="18"/>
      <w:bookmarkEnd w:id="19"/>
      <w:r>
        <w:rPr>
          <w:rFonts w:hint="eastAsia" w:ascii="仿宋" w:hAnsi="仿宋" w:eastAsia="仿宋" w:cs="仿宋"/>
          <w:sz w:val="24"/>
          <w:szCs w:val="24"/>
        </w:rPr>
        <w:t xml:space="preserve"> 适用范围</w:t>
      </w:r>
      <w:bookmarkEnd w:id="20"/>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1.1 本招标文件仅适用于本次招标采购项目。</w:t>
      </w:r>
    </w:p>
    <w:p>
      <w:pPr>
        <w:pStyle w:val="5"/>
        <w:spacing w:line="400" w:lineRule="exact"/>
        <w:ind w:firstLine="482" w:firstLineChars="200"/>
        <w:rPr>
          <w:rFonts w:ascii="仿宋" w:hAnsi="仿宋" w:eastAsia="仿宋" w:cs="仿宋"/>
          <w:sz w:val="24"/>
        </w:rPr>
      </w:pPr>
      <w:bookmarkStart w:id="22" w:name="_Toc183682343"/>
      <w:bookmarkStart w:id="23" w:name="_Toc183582206"/>
      <w:bookmarkStart w:id="24" w:name="_Toc217446035"/>
      <w:r>
        <w:rPr>
          <w:rFonts w:hint="eastAsia" w:ascii="仿宋" w:hAnsi="仿宋" w:eastAsia="仿宋" w:cs="仿宋"/>
          <w:sz w:val="24"/>
        </w:rPr>
        <w:t xml:space="preserve">2. </w:t>
      </w:r>
      <w:bookmarkEnd w:id="22"/>
      <w:bookmarkEnd w:id="23"/>
      <w:r>
        <w:rPr>
          <w:rFonts w:hint="eastAsia" w:ascii="仿宋" w:hAnsi="仿宋" w:eastAsia="仿宋" w:cs="仿宋"/>
          <w:sz w:val="24"/>
        </w:rPr>
        <w:t>有关</w:t>
      </w:r>
      <w:r>
        <w:rPr>
          <w:rFonts w:hint="eastAsia" w:ascii="仿宋" w:hAnsi="仿宋" w:eastAsia="仿宋" w:cs="仿宋"/>
          <w:sz w:val="24"/>
          <w:szCs w:val="24"/>
        </w:rPr>
        <w:t>定义</w:t>
      </w:r>
      <w:bookmarkEnd w:id="24"/>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2.1 “采购人”系指依法进行政府采购的国家机关、事业单位、团体组织。本次招标的采购人是</w:t>
      </w:r>
      <w:bookmarkEnd w:id="21"/>
      <w:r>
        <w:rPr>
          <w:rFonts w:hint="eastAsia" w:ascii="仿宋" w:hAnsi="仿宋" w:eastAsia="仿宋" w:cs="仿宋"/>
          <w:b/>
          <w:bCs/>
          <w:sz w:val="24"/>
          <w:u w:val="single"/>
        </w:rPr>
        <w:t>成都市双流区环境卫生管理所</w:t>
      </w:r>
      <w:r>
        <w:rPr>
          <w:rFonts w:hint="eastAsia" w:ascii="仿宋" w:hAnsi="仿宋" w:eastAsia="仿宋" w:cs="仿宋"/>
          <w:b/>
          <w:bCs/>
          <w:sz w:val="24"/>
        </w:rPr>
        <w:t>。</w:t>
      </w:r>
    </w:p>
    <w:p>
      <w:pPr>
        <w:tabs>
          <w:tab w:val="left" w:pos="7665"/>
        </w:tabs>
        <w:spacing w:line="400" w:lineRule="exact"/>
        <w:ind w:firstLine="480" w:firstLineChars="200"/>
        <w:rPr>
          <w:rFonts w:ascii="仿宋" w:hAnsi="仿宋" w:eastAsia="仿宋" w:cs="仿宋"/>
          <w:sz w:val="24"/>
        </w:rPr>
      </w:pPr>
      <w:bookmarkStart w:id="25" w:name="PO_默认文件内容_35"/>
      <w:r>
        <w:rPr>
          <w:rFonts w:hint="eastAsia" w:ascii="仿宋" w:hAnsi="仿宋" w:eastAsia="仿宋" w:cs="仿宋"/>
          <w:sz w:val="24"/>
        </w:rPr>
        <w:t>2.2 “采购代理机构” 系指根据采购人的委托依法办理招标事宜的采购机构。本次招标的采购代理机构是</w:t>
      </w:r>
      <w:r>
        <w:rPr>
          <w:rFonts w:hint="eastAsia" w:ascii="仿宋" w:hAnsi="仿宋" w:eastAsia="仿宋" w:cs="仿宋"/>
          <w:b/>
          <w:bCs/>
          <w:sz w:val="24"/>
          <w:u w:val="single"/>
        </w:rPr>
        <w:t>利阳致诚国际项目管理有限公司</w:t>
      </w:r>
      <w:r>
        <w:rPr>
          <w:rFonts w:hint="eastAsia" w:ascii="仿宋" w:hAnsi="仿宋" w:eastAsia="仿宋" w:cs="仿宋"/>
          <w:sz w:val="24"/>
        </w:rPr>
        <w:t>。</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2.3 “招标采购单位”系指“采购人”和“采购代理机构”的统称。</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2.4 “投标人”系指购买了招标文件拟参加投标和向采购人提供货物及相应服务的供应商。</w:t>
      </w:r>
    </w:p>
    <w:p>
      <w:pPr>
        <w:pStyle w:val="5"/>
        <w:spacing w:line="400" w:lineRule="exact"/>
        <w:ind w:firstLine="482" w:firstLineChars="200"/>
        <w:rPr>
          <w:rFonts w:ascii="仿宋" w:hAnsi="仿宋" w:eastAsia="仿宋" w:cs="仿宋"/>
          <w:sz w:val="24"/>
        </w:rPr>
      </w:pPr>
      <w:bookmarkStart w:id="26" w:name="_Toc183682344"/>
      <w:bookmarkStart w:id="27" w:name="_Toc217446036"/>
      <w:bookmarkStart w:id="28" w:name="_Toc217390843"/>
      <w:bookmarkStart w:id="29" w:name="_Toc183582207"/>
      <w:r>
        <w:rPr>
          <w:rFonts w:hint="eastAsia" w:ascii="仿宋" w:hAnsi="仿宋" w:eastAsia="仿宋" w:cs="仿宋"/>
          <w:sz w:val="24"/>
        </w:rPr>
        <w:t>3. 合格的投标人</w:t>
      </w:r>
      <w:bookmarkEnd w:id="26"/>
      <w:bookmarkEnd w:id="27"/>
      <w:bookmarkEnd w:id="28"/>
      <w:bookmarkEnd w:id="29"/>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合格的投标人应具备以下条件：</w:t>
      </w:r>
    </w:p>
    <w:p>
      <w:pPr>
        <w:tabs>
          <w:tab w:val="left" w:pos="7665"/>
        </w:tabs>
        <w:spacing w:line="400" w:lineRule="exact"/>
        <w:ind w:firstLine="480" w:firstLineChars="200"/>
        <w:rPr>
          <w:rFonts w:ascii="仿宋" w:hAnsi="仿宋" w:eastAsia="仿宋" w:cs="仿宋"/>
          <w:spacing w:val="-4"/>
          <w:sz w:val="24"/>
        </w:rPr>
      </w:pPr>
      <w:r>
        <w:rPr>
          <w:rFonts w:hint="eastAsia" w:ascii="仿宋" w:hAnsi="仿宋" w:eastAsia="仿宋" w:cs="仿宋"/>
          <w:sz w:val="24"/>
        </w:rPr>
        <w:t>（1）本招标文件规定的供应商资格条件</w:t>
      </w:r>
      <w:r>
        <w:rPr>
          <w:rFonts w:hint="eastAsia" w:ascii="仿宋" w:hAnsi="仿宋" w:eastAsia="仿宋" w:cs="仿宋"/>
          <w:spacing w:val="-4"/>
          <w:sz w:val="24"/>
        </w:rPr>
        <w:t>；</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（2）遵守国家有关的法律、法规、规章和其他政策制度；</w:t>
      </w:r>
    </w:p>
    <w:p>
      <w:pPr>
        <w:tabs>
          <w:tab w:val="left" w:pos="7665"/>
        </w:tabs>
        <w:spacing w:line="400" w:lineRule="exact"/>
        <w:ind w:firstLine="480" w:firstLineChars="200"/>
        <w:rPr>
          <w:rFonts w:ascii="仿宋" w:hAnsi="仿宋" w:eastAsia="仿宋" w:cs="仿宋"/>
          <w:b/>
          <w:spacing w:val="-4"/>
          <w:sz w:val="24"/>
        </w:rPr>
      </w:pPr>
      <w:r>
        <w:rPr>
          <w:rFonts w:hint="eastAsia" w:ascii="仿宋" w:hAnsi="仿宋" w:eastAsia="仿宋" w:cs="仿宋"/>
          <w:sz w:val="24"/>
        </w:rPr>
        <w:t>（3）</w:t>
      </w:r>
      <w:r>
        <w:rPr>
          <w:rFonts w:hint="eastAsia" w:ascii="仿宋" w:hAnsi="仿宋" w:eastAsia="仿宋" w:cs="仿宋"/>
          <w:spacing w:val="-4"/>
          <w:sz w:val="24"/>
        </w:rPr>
        <w:t>按照规定购买了招标文件</w:t>
      </w:r>
      <w:r>
        <w:rPr>
          <w:rFonts w:hint="eastAsia" w:ascii="仿宋" w:hAnsi="仿宋" w:eastAsia="仿宋" w:cs="仿宋"/>
          <w:b/>
          <w:spacing w:val="-4"/>
          <w:sz w:val="24"/>
        </w:rPr>
        <w:t>（实质性要求）</w:t>
      </w:r>
    </w:p>
    <w:p>
      <w:pPr>
        <w:tabs>
          <w:tab w:val="left" w:pos="7665"/>
        </w:tabs>
        <w:spacing w:line="400" w:lineRule="exact"/>
        <w:ind w:firstLine="480" w:firstLineChars="200"/>
        <w:rPr>
          <w:rFonts w:ascii="仿宋" w:hAnsi="仿宋" w:eastAsia="仿宋" w:cs="仿宋"/>
          <w:b/>
          <w:spacing w:val="-4"/>
          <w:sz w:val="24"/>
        </w:rPr>
      </w:pPr>
      <w:r>
        <w:rPr>
          <w:rFonts w:hint="eastAsia" w:ascii="仿宋" w:hAnsi="仿宋" w:eastAsia="仿宋" w:cs="仿宋"/>
          <w:sz w:val="24"/>
        </w:rPr>
        <w:t>由代理机构提供供应商购买招标文件情况的相关证明材料，供应商不用提供证明材料。</w:t>
      </w:r>
    </w:p>
    <w:p>
      <w:pPr>
        <w:pStyle w:val="5"/>
        <w:spacing w:line="400" w:lineRule="exact"/>
        <w:ind w:firstLine="482" w:firstLineChars="200"/>
        <w:rPr>
          <w:rFonts w:ascii="仿宋" w:hAnsi="仿宋" w:eastAsia="仿宋" w:cs="仿宋"/>
          <w:sz w:val="24"/>
        </w:rPr>
      </w:pPr>
      <w:bookmarkStart w:id="30" w:name="_Toc183682345"/>
      <w:bookmarkStart w:id="31" w:name="_Toc217446037"/>
      <w:bookmarkStart w:id="32" w:name="_Toc183582208"/>
      <w:r>
        <w:rPr>
          <w:rFonts w:hint="eastAsia" w:ascii="仿宋" w:hAnsi="仿宋" w:eastAsia="仿宋" w:cs="仿宋"/>
          <w:sz w:val="24"/>
        </w:rPr>
        <w:t>4. 投标费用</w:t>
      </w:r>
      <w:bookmarkEnd w:id="30"/>
      <w:bookmarkEnd w:id="31"/>
      <w:bookmarkEnd w:id="32"/>
      <w:r>
        <w:rPr>
          <w:rFonts w:hint="eastAsia" w:ascii="仿宋" w:hAnsi="仿宋" w:eastAsia="仿宋" w:cs="仿宋"/>
          <w:sz w:val="24"/>
          <w:szCs w:val="24"/>
        </w:rPr>
        <w:t>（实质性要求）</w:t>
      </w:r>
    </w:p>
    <w:p>
      <w:pPr>
        <w:tabs>
          <w:tab w:val="left" w:pos="7665"/>
        </w:tabs>
        <w:spacing w:line="400" w:lineRule="exact"/>
        <w:ind w:firstLine="480"/>
        <w:rPr>
          <w:rFonts w:ascii="仿宋" w:hAnsi="仿宋" w:eastAsia="仿宋" w:cs="仿宋"/>
          <w:sz w:val="24"/>
        </w:rPr>
      </w:pPr>
      <w:r>
        <w:rPr>
          <w:rFonts w:hint="eastAsia" w:ascii="仿宋" w:hAnsi="仿宋" w:eastAsia="仿宋" w:cs="仿宋"/>
          <w:sz w:val="24"/>
        </w:rPr>
        <w:t>投标人参加投标的有关费用由投标人自行承担。</w:t>
      </w:r>
    </w:p>
    <w:p>
      <w:pPr>
        <w:pStyle w:val="5"/>
        <w:spacing w:line="400" w:lineRule="exact"/>
        <w:ind w:firstLine="482" w:firstLineChars="200"/>
        <w:rPr>
          <w:rFonts w:ascii="仿宋" w:hAnsi="仿宋" w:eastAsia="仿宋" w:cs="仿宋"/>
          <w:sz w:val="24"/>
        </w:rPr>
      </w:pPr>
      <w:r>
        <w:rPr>
          <w:rFonts w:hint="eastAsia" w:ascii="仿宋" w:hAnsi="仿宋" w:eastAsia="仿宋" w:cs="仿宋"/>
          <w:sz w:val="24"/>
        </w:rPr>
        <w:t>5. 充分、公平竞争保障措施</w:t>
      </w:r>
      <w:r>
        <w:rPr>
          <w:rFonts w:hint="eastAsia" w:ascii="仿宋" w:hAnsi="仿宋" w:eastAsia="仿宋" w:cs="仿宋"/>
          <w:sz w:val="24"/>
          <w:szCs w:val="24"/>
        </w:rPr>
        <w:t>（实质性要求）</w:t>
      </w:r>
    </w:p>
    <w:p>
      <w:pPr>
        <w:pStyle w:val="51"/>
        <w:spacing w:line="460" w:lineRule="exact"/>
        <w:ind w:left="1" w:firstLine="482" w:firstLineChars="200"/>
        <w:rPr>
          <w:rFonts w:ascii="仿宋" w:hAnsi="仿宋" w:eastAsia="仿宋" w:cs="仿宋"/>
          <w:sz w:val="24"/>
        </w:rPr>
      </w:pPr>
      <w:r>
        <w:rPr>
          <w:rFonts w:hint="eastAsia" w:ascii="仿宋" w:hAnsi="仿宋" w:eastAsia="仿宋" w:cs="仿宋"/>
          <w:b/>
          <w:sz w:val="24"/>
        </w:rPr>
        <w:t>5.1 利害关系供应商处理。</w:t>
      </w:r>
      <w:r>
        <w:rPr>
          <w:rFonts w:hint="eastAsia" w:ascii="仿宋" w:hAnsi="仿宋" w:eastAsia="仿宋" w:cs="仿宋"/>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51"/>
        <w:spacing w:line="460" w:lineRule="exact"/>
        <w:ind w:left="1" w:firstLine="482" w:firstLineChars="200"/>
        <w:rPr>
          <w:rFonts w:ascii="仿宋" w:hAnsi="仿宋" w:eastAsia="仿宋" w:cs="仿宋"/>
          <w:sz w:val="24"/>
        </w:rPr>
      </w:pPr>
      <w:r>
        <w:rPr>
          <w:rFonts w:hint="eastAsia" w:ascii="仿宋" w:hAnsi="仿宋" w:eastAsia="仿宋" w:cs="仿宋"/>
          <w:b/>
          <w:sz w:val="24"/>
        </w:rPr>
        <w:t>5.2 前期参与供应商处理。</w:t>
      </w:r>
      <w:r>
        <w:rPr>
          <w:rFonts w:hint="eastAsia" w:ascii="仿宋" w:hAnsi="仿宋" w:eastAsia="仿宋" w:cs="仿宋"/>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51"/>
        <w:spacing w:line="460" w:lineRule="exact"/>
        <w:ind w:left="1" w:firstLine="482" w:firstLineChars="200"/>
        <w:rPr>
          <w:rFonts w:ascii="仿宋" w:hAnsi="仿宋" w:eastAsia="仿宋" w:cs="仿宋"/>
          <w:sz w:val="24"/>
        </w:rPr>
      </w:pPr>
      <w:r>
        <w:rPr>
          <w:rFonts w:hint="eastAsia" w:ascii="仿宋" w:hAnsi="仿宋" w:eastAsia="仿宋" w:cs="仿宋"/>
          <w:b/>
          <w:sz w:val="24"/>
        </w:rPr>
        <w:t>5.3 利害关系代理人处理。</w:t>
      </w:r>
      <w:r>
        <w:rPr>
          <w:rFonts w:hint="eastAsia" w:ascii="仿宋" w:hAnsi="仿宋" w:eastAsia="仿宋" w:cs="仿宋"/>
          <w:sz w:val="24"/>
        </w:rPr>
        <w:t>2家以上的供应商不得在同一合同项下的采购项目中，同时委托同一个自然人、同一家庭的人员、同一单位的人员作为其代理人，否则，其投标文件作为无效处理。</w:t>
      </w:r>
      <w:bookmarkStart w:id="33" w:name="_Toc217446038"/>
      <w:bookmarkStart w:id="34" w:name="_Toc89075875"/>
      <w:bookmarkStart w:id="35" w:name="_Toc77400779"/>
      <w:bookmarkStart w:id="36" w:name="_Toc183582209"/>
      <w:bookmarkStart w:id="37" w:name="_Toc183682346"/>
    </w:p>
    <w:p>
      <w:pPr>
        <w:pStyle w:val="51"/>
        <w:spacing w:line="460" w:lineRule="exact"/>
        <w:ind w:left="1" w:firstLine="480" w:firstLineChars="200"/>
        <w:rPr>
          <w:rFonts w:ascii="仿宋" w:hAnsi="仿宋" w:eastAsia="仿宋" w:cs="仿宋"/>
          <w:sz w:val="24"/>
        </w:rPr>
      </w:pPr>
      <w:r>
        <w:rPr>
          <w:rFonts w:hint="eastAsia" w:ascii="仿宋" w:hAnsi="仿宋" w:eastAsia="仿宋" w:cs="仿宋"/>
          <w:sz w:val="24"/>
        </w:rPr>
        <w:t>5.4招标人不得向投标人索要或者接受其给予的赠品、回扣或者采购无关的其他商品、服务。其他商品、服务指：投标人为其提供吃住等。</w:t>
      </w:r>
    </w:p>
    <w:p>
      <w:pPr>
        <w:pStyle w:val="51"/>
        <w:spacing w:line="460" w:lineRule="exact"/>
        <w:ind w:left="1" w:firstLine="480" w:firstLineChars="200"/>
        <w:rPr>
          <w:rFonts w:ascii="仿宋" w:hAnsi="仿宋" w:eastAsia="仿宋" w:cs="仿宋"/>
          <w:sz w:val="24"/>
        </w:rPr>
      </w:pPr>
    </w:p>
    <w:p>
      <w:pPr>
        <w:pStyle w:val="4"/>
        <w:spacing w:line="400" w:lineRule="exact"/>
        <w:jc w:val="center"/>
        <w:rPr>
          <w:rFonts w:ascii="仿宋" w:hAnsi="仿宋" w:eastAsia="仿宋" w:cs="仿宋"/>
          <w:bCs w:val="0"/>
        </w:rPr>
      </w:pPr>
      <w:r>
        <w:rPr>
          <w:rFonts w:hint="eastAsia" w:ascii="仿宋" w:hAnsi="仿宋" w:eastAsia="仿宋" w:cs="仿宋"/>
          <w:bCs w:val="0"/>
        </w:rPr>
        <w:t>三、招标文件</w:t>
      </w:r>
      <w:bookmarkEnd w:id="33"/>
      <w:bookmarkEnd w:id="34"/>
      <w:bookmarkEnd w:id="35"/>
      <w:bookmarkEnd w:id="36"/>
      <w:bookmarkEnd w:id="37"/>
    </w:p>
    <w:p>
      <w:pPr>
        <w:pStyle w:val="5"/>
        <w:spacing w:line="400" w:lineRule="exact"/>
        <w:ind w:firstLine="482" w:firstLineChars="200"/>
        <w:rPr>
          <w:rFonts w:ascii="仿宋" w:hAnsi="仿宋" w:eastAsia="仿宋" w:cs="仿宋"/>
          <w:sz w:val="24"/>
        </w:rPr>
      </w:pPr>
      <w:bookmarkStart w:id="38" w:name="_Toc217446039"/>
      <w:bookmarkStart w:id="39" w:name="_Toc183582210"/>
      <w:bookmarkStart w:id="40" w:name="_Toc183682347"/>
      <w:r>
        <w:rPr>
          <w:rFonts w:hint="eastAsia" w:ascii="仿宋" w:hAnsi="仿宋" w:eastAsia="仿宋" w:cs="仿宋"/>
          <w:sz w:val="24"/>
        </w:rPr>
        <w:t>6．招标文件的构成</w:t>
      </w:r>
      <w:bookmarkEnd w:id="38"/>
      <w:bookmarkEnd w:id="39"/>
      <w:bookmarkEnd w:id="40"/>
    </w:p>
    <w:p>
      <w:pPr>
        <w:tabs>
          <w:tab w:val="left" w:pos="7665"/>
        </w:tabs>
        <w:spacing w:line="400" w:lineRule="exact"/>
        <w:ind w:firstLine="480" w:firstLineChars="200"/>
        <w:rPr>
          <w:rFonts w:ascii="仿宋" w:hAnsi="仿宋" w:eastAsia="仿宋" w:cs="仿宋"/>
          <w:kern w:val="0"/>
          <w:sz w:val="24"/>
          <w:szCs w:val="22"/>
        </w:rPr>
      </w:pPr>
      <w:r>
        <w:rPr>
          <w:rFonts w:hint="eastAsia" w:ascii="仿宋" w:hAnsi="仿宋" w:eastAsia="仿宋" w:cs="仿宋"/>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cs="仿宋"/>
          <w:sz w:val="24"/>
        </w:rPr>
      </w:pPr>
      <w:r>
        <w:rPr>
          <w:rFonts w:hint="eastAsia" w:ascii="仿宋" w:hAnsi="仿宋" w:eastAsia="仿宋" w:cs="仿宋"/>
          <w:kern w:val="0"/>
          <w:sz w:val="24"/>
          <w:szCs w:val="22"/>
        </w:rPr>
        <w:t>（一）投标</w:t>
      </w:r>
      <w:r>
        <w:rPr>
          <w:rFonts w:hint="eastAsia" w:ascii="仿宋" w:hAnsi="仿宋" w:eastAsia="仿宋" w:cs="仿宋"/>
          <w:sz w:val="24"/>
        </w:rPr>
        <w:t>邀请；</w:t>
      </w:r>
    </w:p>
    <w:p>
      <w:pPr>
        <w:tabs>
          <w:tab w:val="left" w:pos="720"/>
        </w:tabs>
        <w:spacing w:line="400" w:lineRule="exact"/>
        <w:ind w:firstLine="480" w:firstLineChars="200"/>
        <w:rPr>
          <w:rFonts w:ascii="仿宋" w:hAnsi="仿宋" w:eastAsia="仿宋" w:cs="仿宋"/>
          <w:sz w:val="24"/>
        </w:rPr>
      </w:pPr>
      <w:r>
        <w:rPr>
          <w:rFonts w:hint="eastAsia" w:ascii="仿宋" w:hAnsi="仿宋" w:eastAsia="仿宋" w:cs="仿宋"/>
          <w:sz w:val="24"/>
        </w:rPr>
        <w:t>（二）投标人须知；</w:t>
      </w:r>
    </w:p>
    <w:p>
      <w:pPr>
        <w:tabs>
          <w:tab w:val="left" w:pos="720"/>
        </w:tabs>
        <w:spacing w:line="400" w:lineRule="exact"/>
        <w:ind w:firstLine="480" w:firstLineChars="200"/>
        <w:rPr>
          <w:rFonts w:ascii="仿宋" w:hAnsi="仿宋" w:eastAsia="仿宋" w:cs="仿宋"/>
          <w:sz w:val="24"/>
        </w:rPr>
      </w:pPr>
      <w:r>
        <w:rPr>
          <w:rFonts w:hint="eastAsia" w:ascii="仿宋" w:hAnsi="仿宋" w:eastAsia="仿宋" w:cs="仿宋"/>
          <w:sz w:val="24"/>
        </w:rPr>
        <w:t>（三）投标文件格式；</w:t>
      </w:r>
    </w:p>
    <w:p>
      <w:pPr>
        <w:tabs>
          <w:tab w:val="left" w:pos="720"/>
        </w:tabs>
        <w:spacing w:line="400" w:lineRule="exact"/>
        <w:ind w:firstLine="480" w:firstLineChars="200"/>
        <w:rPr>
          <w:rFonts w:ascii="仿宋" w:hAnsi="仿宋" w:eastAsia="仿宋" w:cs="仿宋"/>
          <w:sz w:val="24"/>
        </w:rPr>
      </w:pPr>
      <w:r>
        <w:rPr>
          <w:rFonts w:hint="eastAsia" w:ascii="仿宋" w:hAnsi="仿宋" w:eastAsia="仿宋" w:cs="仿宋"/>
          <w:sz w:val="24"/>
        </w:rPr>
        <w:t>（四）投标人和投标产品的资格、资质性及其他类似效力要求；</w:t>
      </w:r>
    </w:p>
    <w:p>
      <w:pPr>
        <w:tabs>
          <w:tab w:val="left" w:pos="720"/>
        </w:tabs>
        <w:spacing w:line="400" w:lineRule="exact"/>
        <w:ind w:firstLine="480" w:firstLineChars="200"/>
        <w:rPr>
          <w:rFonts w:ascii="仿宋" w:hAnsi="仿宋" w:eastAsia="仿宋" w:cs="仿宋"/>
          <w:sz w:val="24"/>
        </w:rPr>
      </w:pPr>
      <w:r>
        <w:rPr>
          <w:rFonts w:hint="eastAsia" w:ascii="仿宋" w:hAnsi="仿宋" w:eastAsia="仿宋" w:cs="仿宋"/>
          <w:sz w:val="24"/>
        </w:rPr>
        <w:t>（五）投标人应当提供的资格、资质性及其他类似效力要求的相关证明材料；</w:t>
      </w:r>
    </w:p>
    <w:p>
      <w:pPr>
        <w:tabs>
          <w:tab w:val="left" w:pos="720"/>
        </w:tabs>
        <w:spacing w:line="400" w:lineRule="exact"/>
        <w:ind w:firstLine="480" w:firstLineChars="200"/>
        <w:rPr>
          <w:rFonts w:ascii="仿宋" w:hAnsi="仿宋" w:eastAsia="仿宋" w:cs="仿宋"/>
          <w:sz w:val="24"/>
        </w:rPr>
      </w:pPr>
      <w:r>
        <w:rPr>
          <w:rFonts w:hint="eastAsia" w:ascii="仿宋" w:hAnsi="仿宋" w:eastAsia="仿宋" w:cs="仿宋"/>
          <w:sz w:val="24"/>
        </w:rPr>
        <w:t>（六）招标项目技术、商务及其他要求；</w:t>
      </w:r>
    </w:p>
    <w:p>
      <w:pPr>
        <w:tabs>
          <w:tab w:val="left" w:pos="720"/>
        </w:tabs>
        <w:spacing w:line="400" w:lineRule="exact"/>
        <w:ind w:firstLine="480" w:firstLineChars="200"/>
        <w:rPr>
          <w:rFonts w:ascii="仿宋" w:hAnsi="仿宋" w:eastAsia="仿宋" w:cs="仿宋"/>
          <w:sz w:val="24"/>
        </w:rPr>
      </w:pPr>
      <w:r>
        <w:rPr>
          <w:rFonts w:hint="eastAsia" w:ascii="仿宋" w:hAnsi="仿宋" w:eastAsia="仿宋" w:cs="仿宋"/>
          <w:sz w:val="24"/>
        </w:rPr>
        <w:t>（七）评标办法；</w:t>
      </w:r>
    </w:p>
    <w:p>
      <w:pPr>
        <w:tabs>
          <w:tab w:val="left" w:pos="720"/>
        </w:tabs>
        <w:spacing w:line="400" w:lineRule="exact"/>
        <w:ind w:firstLine="480" w:firstLineChars="200"/>
        <w:rPr>
          <w:rFonts w:ascii="仿宋" w:hAnsi="仿宋" w:eastAsia="仿宋" w:cs="仿宋"/>
          <w:sz w:val="24"/>
        </w:rPr>
      </w:pPr>
      <w:r>
        <w:rPr>
          <w:rFonts w:hint="eastAsia" w:ascii="仿宋" w:hAnsi="仿宋" w:eastAsia="仿宋" w:cs="仿宋"/>
          <w:sz w:val="24"/>
        </w:rPr>
        <w:t>（八）合同主要条款。</w:t>
      </w:r>
    </w:p>
    <w:p>
      <w:pPr>
        <w:pStyle w:val="5"/>
        <w:spacing w:line="400" w:lineRule="exact"/>
        <w:ind w:firstLine="482" w:firstLineChars="200"/>
        <w:rPr>
          <w:rFonts w:ascii="仿宋" w:hAnsi="仿宋" w:eastAsia="仿宋" w:cs="仿宋"/>
          <w:sz w:val="24"/>
        </w:rPr>
      </w:pPr>
      <w:bookmarkStart w:id="41" w:name="_Toc183582211"/>
      <w:bookmarkStart w:id="42" w:name="_Toc183682348"/>
      <w:bookmarkStart w:id="43" w:name="_Toc217446040"/>
      <w:r>
        <w:rPr>
          <w:rFonts w:hint="eastAsia" w:ascii="仿宋" w:hAnsi="仿宋" w:eastAsia="仿宋" w:cs="仿宋"/>
          <w:sz w:val="24"/>
        </w:rPr>
        <w:t>7. 招标文件的澄清</w:t>
      </w:r>
      <w:bookmarkEnd w:id="41"/>
      <w:bookmarkEnd w:id="42"/>
      <w:r>
        <w:rPr>
          <w:rFonts w:hint="eastAsia" w:ascii="仿宋" w:hAnsi="仿宋" w:eastAsia="仿宋" w:cs="仿宋"/>
          <w:sz w:val="24"/>
        </w:rPr>
        <w:t>和修改</w:t>
      </w:r>
      <w:bookmarkEnd w:id="43"/>
    </w:p>
    <w:p>
      <w:pPr>
        <w:pStyle w:val="5"/>
        <w:spacing w:line="400" w:lineRule="exact"/>
        <w:ind w:firstLine="480" w:firstLineChars="200"/>
        <w:rPr>
          <w:rFonts w:ascii="仿宋" w:hAnsi="仿宋" w:eastAsia="仿宋" w:cs="仿宋"/>
          <w:b w:val="0"/>
          <w:bCs w:val="0"/>
          <w:sz w:val="24"/>
        </w:rPr>
      </w:pPr>
      <w:bookmarkStart w:id="44" w:name="_Toc217446041"/>
      <w:bookmarkStart w:id="45" w:name="_Toc208848971"/>
      <w:r>
        <w:rPr>
          <w:rFonts w:hint="eastAsia" w:ascii="仿宋" w:hAnsi="仿宋" w:eastAsia="仿宋" w:cs="仿宋"/>
          <w:b w:val="0"/>
          <w:bCs w:val="0"/>
          <w:sz w:val="24"/>
        </w:rPr>
        <w:t>7.1 招标采购单位可以依法对招标文件进行澄清或者修改。</w:t>
      </w:r>
    </w:p>
    <w:p>
      <w:pPr>
        <w:pStyle w:val="5"/>
        <w:spacing w:line="400" w:lineRule="exact"/>
        <w:ind w:firstLine="480" w:firstLineChars="200"/>
        <w:rPr>
          <w:rFonts w:ascii="仿宋" w:hAnsi="仿宋" w:eastAsia="仿宋" w:cs="仿宋"/>
          <w:b w:val="0"/>
          <w:bCs w:val="0"/>
          <w:sz w:val="24"/>
        </w:rPr>
      </w:pPr>
      <w:r>
        <w:rPr>
          <w:rFonts w:hint="eastAsia" w:ascii="仿宋" w:hAnsi="仿宋" w:eastAsia="仿宋" w:cs="仿宋"/>
          <w:b w:val="0"/>
          <w:bCs w:val="0"/>
          <w:sz w:val="24"/>
        </w:rPr>
        <w:t>7.2澄清或者修改的内容，将在“四川政府采购网”上发布更正公告，同时通过政府采购云平台将澄清或者修改的内容告知所有在系统中成功获取招标文件的潜在投标人（投标人通过账号或CA证书登录云平台查看）。该澄清或者修改的内容为招标文件的组成部分，澄清或者修改的内容可能影响投标文件、资格预审申请文件编制的，采购人或者采购代理机构发布公告并书面通知供应商的时间，应当在投标截止时间至少15日前、提交资格预审申请文件截止时间至少3日前；不足上述时间的，应当顺延提交投标文件、资格预审申请文件的截止时间。</w:t>
      </w:r>
    </w:p>
    <w:p>
      <w:pPr>
        <w:pStyle w:val="5"/>
        <w:spacing w:line="400" w:lineRule="exact"/>
        <w:ind w:firstLine="480" w:firstLineChars="200"/>
        <w:rPr>
          <w:rFonts w:ascii="仿宋" w:hAnsi="仿宋" w:eastAsia="仿宋" w:cs="仿宋"/>
          <w:b w:val="0"/>
          <w:bCs w:val="0"/>
          <w:sz w:val="24"/>
        </w:rPr>
      </w:pPr>
      <w:r>
        <w:rPr>
          <w:rFonts w:hint="eastAsia" w:ascii="仿宋" w:hAnsi="仿宋" w:eastAsia="仿宋" w:cs="仿宋"/>
          <w:b w:val="0"/>
          <w:bCs w:val="0"/>
          <w:sz w:val="24"/>
        </w:rPr>
        <w:t>7.3 投标人认为需要对招标文件进行澄清或者修改的，可以以书面形式向招标采购单位提出申请，但招标采购单位可以决定是否采纳投标人的申请事项。</w:t>
      </w:r>
    </w:p>
    <w:p>
      <w:pPr>
        <w:pStyle w:val="5"/>
        <w:spacing w:line="400" w:lineRule="exact"/>
        <w:ind w:firstLine="482" w:firstLineChars="200"/>
        <w:rPr>
          <w:rFonts w:ascii="仿宋" w:hAnsi="仿宋" w:eastAsia="仿宋" w:cs="仿宋"/>
          <w:sz w:val="24"/>
        </w:rPr>
      </w:pPr>
      <w:r>
        <w:rPr>
          <w:rFonts w:hint="eastAsia" w:ascii="仿宋" w:hAnsi="仿宋" w:eastAsia="仿宋" w:cs="仿宋"/>
          <w:sz w:val="24"/>
        </w:rPr>
        <w:t>8. 答疑会和现场考察</w:t>
      </w:r>
      <w:bookmarkEnd w:id="44"/>
      <w:bookmarkEnd w:id="45"/>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现场考察或标前答疑会时间：本项目不组织。</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现场考察或标前答疑会地点：本项目不组织。</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8.2 供应商考察现场所发生的一切费用由供应商自己承担。</w:t>
      </w:r>
    </w:p>
    <w:p>
      <w:pPr>
        <w:pStyle w:val="4"/>
        <w:spacing w:line="400" w:lineRule="exact"/>
        <w:jc w:val="center"/>
        <w:rPr>
          <w:rFonts w:ascii="仿宋" w:hAnsi="仿宋" w:eastAsia="仿宋" w:cs="仿宋"/>
          <w:bCs w:val="0"/>
        </w:rPr>
      </w:pPr>
      <w:bookmarkStart w:id="46" w:name="_Toc77400780"/>
      <w:bookmarkStart w:id="47" w:name="_Toc183582214"/>
      <w:bookmarkStart w:id="48" w:name="_Toc183682351"/>
      <w:bookmarkStart w:id="49" w:name="_Toc217446042"/>
      <w:bookmarkStart w:id="50" w:name="_Toc89075876"/>
      <w:r>
        <w:rPr>
          <w:rFonts w:hint="eastAsia" w:ascii="仿宋" w:hAnsi="仿宋" w:eastAsia="仿宋" w:cs="仿宋"/>
          <w:bCs w:val="0"/>
        </w:rPr>
        <w:t>四、投标文件</w:t>
      </w:r>
      <w:bookmarkEnd w:id="46"/>
      <w:bookmarkEnd w:id="47"/>
      <w:bookmarkEnd w:id="48"/>
      <w:bookmarkEnd w:id="49"/>
      <w:bookmarkEnd w:id="50"/>
    </w:p>
    <w:p>
      <w:pPr>
        <w:pStyle w:val="5"/>
        <w:spacing w:line="400" w:lineRule="exact"/>
        <w:ind w:firstLine="482" w:firstLineChars="200"/>
        <w:rPr>
          <w:rFonts w:ascii="仿宋" w:hAnsi="仿宋" w:eastAsia="仿宋" w:cs="仿宋"/>
          <w:bCs w:val="0"/>
          <w:sz w:val="24"/>
        </w:rPr>
      </w:pPr>
      <w:bookmarkStart w:id="51" w:name="_Toc183682352"/>
      <w:bookmarkStart w:id="52" w:name="_Toc217446043"/>
      <w:bookmarkStart w:id="53" w:name="_Toc183582215"/>
      <w:r>
        <w:rPr>
          <w:rFonts w:hint="eastAsia" w:ascii="仿宋" w:hAnsi="仿宋" w:eastAsia="仿宋" w:cs="仿宋"/>
          <w:bCs w:val="0"/>
          <w:sz w:val="24"/>
        </w:rPr>
        <w:t>9．投标文件的语言</w:t>
      </w:r>
      <w:bookmarkEnd w:id="51"/>
      <w:bookmarkEnd w:id="52"/>
      <w:bookmarkEnd w:id="53"/>
      <w:r>
        <w:rPr>
          <w:rFonts w:hint="eastAsia" w:ascii="仿宋" w:hAnsi="仿宋" w:eastAsia="仿宋" w:cs="仿宋"/>
          <w:sz w:val="24"/>
          <w:szCs w:val="24"/>
        </w:rPr>
        <w:t>（实质性要求）</w:t>
      </w:r>
      <w:r>
        <w:rPr>
          <w:rFonts w:hint="eastAsia" w:ascii="仿宋" w:hAnsi="仿宋" w:eastAsia="仿宋" w:cs="仿宋"/>
          <w:sz w:val="24"/>
          <w:szCs w:val="24"/>
        </w:rPr>
        <w:tab/>
      </w:r>
    </w:p>
    <w:p>
      <w:pPr>
        <w:tabs>
          <w:tab w:val="left" w:pos="1134"/>
        </w:tabs>
        <w:spacing w:line="360" w:lineRule="auto"/>
        <w:ind w:firstLine="480" w:firstLineChars="200"/>
        <w:jc w:val="left"/>
        <w:rPr>
          <w:rFonts w:ascii="仿宋" w:hAnsi="仿宋" w:eastAsia="仿宋" w:cs="仿宋"/>
          <w:sz w:val="24"/>
        </w:rPr>
      </w:pPr>
      <w:bookmarkStart w:id="54" w:name="_Toc183682353"/>
      <w:bookmarkStart w:id="55" w:name="_Toc217446044"/>
      <w:bookmarkStart w:id="56" w:name="_Toc183582216"/>
      <w:r>
        <w:rPr>
          <w:rFonts w:hint="eastAsia" w:ascii="仿宋" w:hAnsi="仿宋" w:eastAsia="仿宋" w:cs="仿宋"/>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pPr>
        <w:tabs>
          <w:tab w:val="left" w:pos="1134"/>
        </w:tabs>
        <w:spacing w:line="360" w:lineRule="auto"/>
        <w:ind w:firstLine="480" w:firstLineChars="200"/>
        <w:jc w:val="left"/>
        <w:rPr>
          <w:rFonts w:ascii="仿宋" w:hAnsi="仿宋" w:eastAsia="仿宋" w:cs="仿宋"/>
          <w:sz w:val="24"/>
        </w:rPr>
      </w:pPr>
      <w:r>
        <w:rPr>
          <w:rFonts w:hint="eastAsia" w:ascii="仿宋" w:hAnsi="仿宋" w:eastAsia="仿宋" w:cs="仿宋"/>
          <w:sz w:val="24"/>
        </w:rPr>
        <w:t>9.2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仿宋"/>
          <w:sz w:val="24"/>
        </w:rPr>
      </w:pPr>
      <w:r>
        <w:rPr>
          <w:rFonts w:hint="eastAsia" w:ascii="仿宋" w:hAnsi="仿宋" w:eastAsia="仿宋" w:cs="仿宋"/>
          <w:sz w:val="24"/>
        </w:rPr>
        <w:t>9.3 如因未翻译而造成的废标，由投标人承担。</w:t>
      </w:r>
    </w:p>
    <w:p>
      <w:pPr>
        <w:pStyle w:val="5"/>
        <w:spacing w:line="400" w:lineRule="exact"/>
        <w:ind w:firstLine="482" w:firstLineChars="200"/>
        <w:rPr>
          <w:rFonts w:ascii="仿宋" w:hAnsi="仿宋" w:eastAsia="仿宋" w:cs="仿宋"/>
          <w:sz w:val="24"/>
        </w:rPr>
      </w:pPr>
      <w:r>
        <w:rPr>
          <w:rFonts w:hint="eastAsia" w:ascii="仿宋" w:hAnsi="仿宋" w:eastAsia="仿宋" w:cs="仿宋"/>
          <w:sz w:val="24"/>
        </w:rPr>
        <w:t>10．计量单位</w:t>
      </w:r>
      <w:bookmarkEnd w:id="54"/>
      <w:bookmarkEnd w:id="55"/>
      <w:bookmarkEnd w:id="56"/>
      <w:r>
        <w:rPr>
          <w:rFonts w:hint="eastAsia" w:ascii="仿宋" w:hAnsi="仿宋" w:eastAsia="仿宋" w:cs="仿宋"/>
          <w:sz w:val="24"/>
          <w:szCs w:val="24"/>
        </w:rPr>
        <w:t>（实质性要求）</w:t>
      </w:r>
    </w:p>
    <w:p>
      <w:pPr>
        <w:spacing w:line="400" w:lineRule="exact"/>
        <w:ind w:firstLine="470" w:firstLineChars="196"/>
        <w:rPr>
          <w:rFonts w:ascii="仿宋" w:hAnsi="仿宋" w:eastAsia="仿宋" w:cs="仿宋"/>
          <w:sz w:val="24"/>
        </w:rPr>
      </w:pPr>
      <w:r>
        <w:rPr>
          <w:rFonts w:hint="eastAsia" w:ascii="仿宋" w:hAnsi="仿宋" w:eastAsia="仿宋" w:cs="仿宋"/>
          <w:sz w:val="24"/>
        </w:rPr>
        <w:t>除招标文件中另有规定外，本次采购项目所有合同项下的投标均采用国家法定的计量单位。</w:t>
      </w:r>
    </w:p>
    <w:p>
      <w:pPr>
        <w:pStyle w:val="5"/>
        <w:spacing w:line="400" w:lineRule="exact"/>
        <w:ind w:firstLine="482" w:firstLineChars="200"/>
        <w:rPr>
          <w:rFonts w:ascii="仿宋" w:hAnsi="仿宋" w:eastAsia="仿宋" w:cs="仿宋"/>
          <w:sz w:val="24"/>
        </w:rPr>
      </w:pPr>
      <w:bookmarkStart w:id="57" w:name="_Toc217446045"/>
      <w:r>
        <w:rPr>
          <w:rFonts w:hint="eastAsia" w:ascii="仿宋" w:hAnsi="仿宋" w:eastAsia="仿宋" w:cs="仿宋"/>
          <w:sz w:val="24"/>
        </w:rPr>
        <w:t>11. 投标货币</w:t>
      </w:r>
      <w:bookmarkEnd w:id="57"/>
      <w:r>
        <w:rPr>
          <w:rFonts w:hint="eastAsia" w:ascii="仿宋" w:hAnsi="仿宋" w:eastAsia="仿宋" w:cs="仿宋"/>
          <w:sz w:val="24"/>
        </w:rPr>
        <w:t>（实质性要求）</w:t>
      </w:r>
    </w:p>
    <w:p>
      <w:pPr>
        <w:spacing w:line="400" w:lineRule="exact"/>
        <w:ind w:firstLine="470" w:firstLineChars="196"/>
        <w:rPr>
          <w:rFonts w:ascii="仿宋" w:hAnsi="仿宋" w:eastAsia="仿宋" w:cs="仿宋"/>
          <w:sz w:val="24"/>
        </w:rPr>
      </w:pPr>
      <w:r>
        <w:rPr>
          <w:rFonts w:hint="eastAsia" w:ascii="仿宋" w:hAnsi="仿宋" w:eastAsia="仿宋" w:cs="仿宋"/>
          <w:sz w:val="24"/>
        </w:rPr>
        <w:t>本次招标项目的投标均以人民币报价。</w:t>
      </w:r>
    </w:p>
    <w:p>
      <w:pPr>
        <w:pStyle w:val="5"/>
        <w:spacing w:line="400" w:lineRule="exact"/>
        <w:ind w:firstLine="482" w:firstLineChars="200"/>
        <w:rPr>
          <w:rFonts w:ascii="仿宋" w:hAnsi="仿宋" w:eastAsia="仿宋" w:cs="仿宋"/>
          <w:sz w:val="24"/>
        </w:rPr>
      </w:pPr>
      <w:bookmarkStart w:id="58" w:name="_Toc217446046"/>
      <w:bookmarkStart w:id="59" w:name="_Toc217446047"/>
      <w:r>
        <w:rPr>
          <w:rFonts w:hint="eastAsia" w:ascii="仿宋" w:hAnsi="仿宋" w:eastAsia="仿宋" w:cs="仿宋"/>
          <w:sz w:val="24"/>
        </w:rPr>
        <w:t>12. 联合体投标</w:t>
      </w:r>
      <w:bookmarkEnd w:id="58"/>
      <w:r>
        <w:rPr>
          <w:rFonts w:hint="eastAsia" w:ascii="仿宋" w:hAnsi="仿宋" w:eastAsia="仿宋" w:cs="仿宋"/>
          <w:sz w:val="24"/>
        </w:rPr>
        <w:t>（仅适用于允许联合体参与的项目）</w:t>
      </w:r>
    </w:p>
    <w:p>
      <w:pPr>
        <w:spacing w:line="400" w:lineRule="exact"/>
        <w:ind w:firstLine="470" w:firstLineChars="196"/>
        <w:rPr>
          <w:rFonts w:ascii="仿宋" w:hAnsi="仿宋" w:eastAsia="仿宋" w:cs="仿宋"/>
          <w:sz w:val="24"/>
        </w:rPr>
      </w:pPr>
      <w:bookmarkStart w:id="60" w:name="_Toc308164797"/>
      <w:r>
        <w:rPr>
          <w:rFonts w:hint="eastAsia" w:ascii="仿宋" w:hAnsi="仿宋" w:eastAsia="仿宋" w:cs="仿宋"/>
          <w:sz w:val="24"/>
        </w:rPr>
        <w:t>本项目不接受联合体投标。</w:t>
      </w:r>
    </w:p>
    <w:p>
      <w:pPr>
        <w:pStyle w:val="5"/>
        <w:spacing w:line="400" w:lineRule="exact"/>
        <w:ind w:firstLine="482" w:firstLineChars="200"/>
        <w:rPr>
          <w:rFonts w:ascii="仿宋" w:hAnsi="仿宋" w:eastAsia="仿宋" w:cs="仿宋"/>
          <w:sz w:val="24"/>
        </w:rPr>
      </w:pPr>
      <w:r>
        <w:rPr>
          <w:rFonts w:hint="eastAsia" w:ascii="仿宋" w:hAnsi="仿宋" w:eastAsia="仿宋" w:cs="仿宋"/>
          <w:sz w:val="24"/>
        </w:rPr>
        <w:t>13. 知识产权</w:t>
      </w:r>
      <w:bookmarkEnd w:id="59"/>
      <w:bookmarkEnd w:id="60"/>
      <w:r>
        <w:rPr>
          <w:rFonts w:hint="eastAsia" w:ascii="仿宋" w:hAnsi="仿宋" w:eastAsia="仿宋" w:cs="仿宋"/>
          <w:sz w:val="24"/>
        </w:rPr>
        <w:t>（实质性要求）</w:t>
      </w:r>
    </w:p>
    <w:p>
      <w:pPr>
        <w:pStyle w:val="11"/>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1"/>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13.2 采购人享有本项目实施过程中产生的知识成果及知识产权。</w:t>
      </w:r>
    </w:p>
    <w:p>
      <w:pPr>
        <w:spacing w:line="400" w:lineRule="exact"/>
        <w:ind w:firstLine="480" w:firstLineChars="200"/>
        <w:rPr>
          <w:rFonts w:ascii="仿宋" w:hAnsi="仿宋" w:eastAsia="仿宋" w:cs="仿宋"/>
          <w:sz w:val="24"/>
        </w:rPr>
      </w:pPr>
      <w:r>
        <w:rPr>
          <w:rFonts w:hint="eastAsia" w:ascii="仿宋" w:hAnsi="仿宋" w:eastAsia="仿宋" w:cs="仿宋"/>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cs="仿宋"/>
          <w:sz w:val="24"/>
        </w:rPr>
      </w:pPr>
      <w:r>
        <w:rPr>
          <w:rFonts w:hint="eastAsia" w:ascii="仿宋" w:hAnsi="仿宋" w:eastAsia="仿宋" w:cs="仿宋"/>
          <w:sz w:val="24"/>
        </w:rPr>
        <w:t xml:space="preserve">13.4 如采用投标人所不拥有的知识产权，则在投标报价中必须包括合法获取该知识产权的相关费用。 </w:t>
      </w:r>
    </w:p>
    <w:p>
      <w:pPr>
        <w:pStyle w:val="5"/>
        <w:spacing w:line="400" w:lineRule="exact"/>
        <w:ind w:firstLine="482" w:firstLineChars="200"/>
        <w:rPr>
          <w:rFonts w:ascii="仿宋" w:hAnsi="仿宋" w:eastAsia="仿宋" w:cs="仿宋"/>
          <w:sz w:val="24"/>
        </w:rPr>
      </w:pPr>
      <w:bookmarkStart w:id="61" w:name="_Toc183682354"/>
      <w:bookmarkStart w:id="62" w:name="_Toc183582217"/>
      <w:bookmarkStart w:id="63" w:name="_Toc308164798"/>
      <w:bookmarkStart w:id="64" w:name="_Toc217446048"/>
      <w:r>
        <w:rPr>
          <w:rFonts w:hint="eastAsia" w:ascii="仿宋" w:hAnsi="仿宋" w:eastAsia="仿宋" w:cs="仿宋"/>
          <w:sz w:val="24"/>
        </w:rPr>
        <w:t>14．投标文件的组成</w:t>
      </w:r>
      <w:bookmarkEnd w:id="61"/>
      <w:bookmarkEnd w:id="62"/>
      <w:bookmarkEnd w:id="63"/>
      <w:bookmarkEnd w:id="64"/>
    </w:p>
    <w:p>
      <w:pPr>
        <w:pStyle w:val="5"/>
        <w:tabs>
          <w:tab w:val="left" w:pos="3480"/>
        </w:tabs>
        <w:spacing w:line="400" w:lineRule="exact"/>
        <w:ind w:firstLine="480" w:firstLineChars="200"/>
        <w:rPr>
          <w:rFonts w:ascii="仿宋" w:hAnsi="仿宋" w:eastAsia="仿宋" w:cs="仿宋"/>
          <w:b w:val="0"/>
          <w:bCs w:val="0"/>
          <w:sz w:val="24"/>
        </w:rPr>
      </w:pPr>
      <w:bookmarkStart w:id="65" w:name="_Toc308164799"/>
      <w:bookmarkStart w:id="66" w:name="_Toc183582218"/>
      <w:bookmarkStart w:id="67" w:name="_Toc217446049"/>
      <w:bookmarkStart w:id="68" w:name="_Toc183682355"/>
      <w:r>
        <w:rPr>
          <w:rFonts w:hint="eastAsia" w:ascii="仿宋" w:hAnsi="仿宋" w:eastAsia="仿宋" w:cs="仿宋"/>
          <w:b w:val="0"/>
          <w:bCs w:val="0"/>
          <w:sz w:val="24"/>
        </w:rPr>
        <w:t>投标人应按照招标文件的规定和要求编制投标文件。投标人拟在中标后将中标项目的非主体、非关键性工作交由他人分包完成的，应当在投标文件中载明。投标人编写的投标文件应包括下列四部分：</w:t>
      </w:r>
    </w:p>
    <w:p>
      <w:pPr>
        <w:pStyle w:val="5"/>
        <w:tabs>
          <w:tab w:val="left" w:pos="3480"/>
        </w:tabs>
        <w:spacing w:line="400" w:lineRule="exact"/>
        <w:ind w:firstLine="480" w:firstLineChars="200"/>
        <w:rPr>
          <w:rFonts w:ascii="仿宋" w:hAnsi="仿宋" w:eastAsia="仿宋" w:cs="仿宋"/>
          <w:b w:val="0"/>
          <w:bCs w:val="0"/>
          <w:sz w:val="24"/>
        </w:rPr>
      </w:pPr>
      <w:r>
        <w:rPr>
          <w:rFonts w:hint="eastAsia" w:ascii="仿宋" w:hAnsi="仿宋" w:eastAsia="仿宋" w:cs="仿宋"/>
          <w:b w:val="0"/>
          <w:bCs w:val="0"/>
          <w:sz w:val="24"/>
        </w:rPr>
        <w:t>投标人应按照招标文件的规定和要求编制投标文件。投标人拟在中标后将中标项目的非主体、非关键性工作交由他人分包完成的，应当在投标文件中载明。投标人编写的投标文件应包括下列部分：</w:t>
      </w:r>
    </w:p>
    <w:p>
      <w:pPr>
        <w:pStyle w:val="5"/>
        <w:tabs>
          <w:tab w:val="left" w:pos="3480"/>
        </w:tabs>
        <w:spacing w:line="400" w:lineRule="exact"/>
        <w:ind w:firstLine="480" w:firstLineChars="200"/>
        <w:rPr>
          <w:rFonts w:ascii="仿宋" w:hAnsi="仿宋" w:eastAsia="仿宋" w:cs="仿宋"/>
          <w:b w:val="0"/>
          <w:bCs w:val="0"/>
          <w:sz w:val="24"/>
        </w:rPr>
      </w:pPr>
      <w:r>
        <w:rPr>
          <w:rFonts w:hint="eastAsia" w:ascii="仿宋" w:hAnsi="仿宋" w:eastAsia="仿宋" w:cs="仿宋"/>
          <w:b w:val="0"/>
          <w:bCs w:val="0"/>
          <w:sz w:val="24"/>
        </w:rPr>
        <w:t>14.1投标文件封面；</w:t>
      </w:r>
    </w:p>
    <w:p>
      <w:pPr>
        <w:pStyle w:val="5"/>
        <w:tabs>
          <w:tab w:val="left" w:pos="3480"/>
        </w:tabs>
        <w:spacing w:line="400" w:lineRule="exact"/>
        <w:ind w:firstLine="480" w:firstLineChars="200"/>
        <w:rPr>
          <w:rFonts w:ascii="仿宋" w:hAnsi="仿宋" w:eastAsia="仿宋" w:cs="仿宋"/>
          <w:b w:val="0"/>
          <w:bCs w:val="0"/>
          <w:sz w:val="24"/>
        </w:rPr>
      </w:pPr>
      <w:r>
        <w:rPr>
          <w:rFonts w:hint="eastAsia" w:ascii="仿宋" w:hAnsi="仿宋" w:eastAsia="仿宋" w:cs="仿宋"/>
          <w:b w:val="0"/>
          <w:bCs w:val="0"/>
          <w:sz w:val="24"/>
        </w:rPr>
        <w:t>14.2资格性审查部分：投标人应按照招标文件第五章要求集中在此部分提供资格证明材料，未在此部分提供的资格性证明材料在进行资格性审查时不予认可。</w:t>
      </w:r>
    </w:p>
    <w:p>
      <w:pPr>
        <w:pStyle w:val="5"/>
        <w:tabs>
          <w:tab w:val="left" w:pos="3480"/>
        </w:tabs>
        <w:spacing w:line="400" w:lineRule="exact"/>
        <w:ind w:firstLine="480" w:firstLineChars="200"/>
        <w:rPr>
          <w:rFonts w:ascii="仿宋" w:hAnsi="仿宋" w:eastAsia="仿宋" w:cs="仿宋"/>
          <w:b w:val="0"/>
          <w:bCs w:val="0"/>
          <w:sz w:val="24"/>
        </w:rPr>
      </w:pPr>
      <w:r>
        <w:rPr>
          <w:rFonts w:hint="eastAsia" w:ascii="仿宋" w:hAnsi="仿宋" w:eastAsia="仿宋" w:cs="仿宋"/>
          <w:b w:val="0"/>
          <w:bCs w:val="0"/>
          <w:sz w:val="24"/>
        </w:rPr>
        <w:t>14.3服务、商务及其他要求响应部分：投标人根据招标文件要求提供的除资格性审查材料以外的其他一切材料。</w:t>
      </w:r>
      <w:r>
        <w:rPr>
          <w:rFonts w:hint="eastAsia" w:ascii="仿宋" w:hAnsi="仿宋" w:eastAsia="仿宋" w:cs="仿宋"/>
          <w:b w:val="0"/>
          <w:bCs w:val="0"/>
          <w:sz w:val="24"/>
        </w:rPr>
        <w:tab/>
      </w:r>
    </w:p>
    <w:p>
      <w:pPr>
        <w:pStyle w:val="5"/>
        <w:tabs>
          <w:tab w:val="left" w:pos="3480"/>
        </w:tabs>
        <w:spacing w:line="400" w:lineRule="exact"/>
        <w:ind w:firstLine="482" w:firstLineChars="200"/>
        <w:rPr>
          <w:rFonts w:ascii="仿宋" w:hAnsi="仿宋" w:eastAsia="仿宋" w:cs="仿宋"/>
          <w:sz w:val="24"/>
        </w:rPr>
      </w:pPr>
      <w:r>
        <w:rPr>
          <w:rFonts w:hint="eastAsia" w:ascii="仿宋" w:hAnsi="仿宋" w:eastAsia="仿宋" w:cs="仿宋"/>
          <w:sz w:val="24"/>
        </w:rPr>
        <w:t>15．投标文件格式</w:t>
      </w:r>
      <w:bookmarkEnd w:id="65"/>
      <w:bookmarkEnd w:id="66"/>
      <w:bookmarkEnd w:id="67"/>
      <w:bookmarkEnd w:id="68"/>
    </w:p>
    <w:p>
      <w:pPr>
        <w:tabs>
          <w:tab w:val="left" w:pos="7665"/>
        </w:tabs>
        <w:spacing w:line="400" w:lineRule="exact"/>
        <w:ind w:left="13" w:leftChars="6" w:firstLine="480" w:firstLineChars="200"/>
        <w:rPr>
          <w:rFonts w:ascii="仿宋" w:hAnsi="仿宋" w:eastAsia="仿宋" w:cs="仿宋"/>
          <w:sz w:val="24"/>
        </w:rPr>
      </w:pPr>
      <w:r>
        <w:rPr>
          <w:rFonts w:hint="eastAsia" w:ascii="仿宋" w:hAnsi="仿宋" w:eastAsia="仿宋" w:cs="仿宋"/>
          <w:sz w:val="24"/>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cs="仿宋"/>
          <w:sz w:val="24"/>
        </w:rPr>
      </w:pPr>
      <w:r>
        <w:rPr>
          <w:rFonts w:hint="eastAsia" w:ascii="仿宋" w:hAnsi="仿宋" w:eastAsia="仿宋" w:cs="仿宋"/>
          <w:sz w:val="24"/>
        </w:rPr>
        <w:t>15.2 对于没有格式要求的投标文件由投标人自行编写。</w:t>
      </w:r>
    </w:p>
    <w:p>
      <w:pPr>
        <w:pStyle w:val="5"/>
        <w:spacing w:line="400" w:lineRule="exact"/>
        <w:ind w:firstLine="482" w:firstLineChars="200"/>
        <w:rPr>
          <w:rFonts w:ascii="仿宋" w:hAnsi="仿宋" w:eastAsia="仿宋" w:cs="仿宋"/>
          <w:sz w:val="24"/>
        </w:rPr>
      </w:pPr>
      <w:bookmarkStart w:id="69" w:name="_Toc183582223"/>
      <w:bookmarkStart w:id="70" w:name="_Toc217446050"/>
      <w:bookmarkStart w:id="71" w:name="_Toc308164800"/>
      <w:bookmarkStart w:id="72" w:name="_Toc183682360"/>
      <w:r>
        <w:rPr>
          <w:rFonts w:hint="eastAsia" w:ascii="仿宋" w:hAnsi="仿宋" w:eastAsia="仿宋" w:cs="仿宋"/>
          <w:bCs w:val="0"/>
          <w:sz w:val="24"/>
        </w:rPr>
        <w:t>16．投标保证金</w:t>
      </w:r>
      <w:bookmarkEnd w:id="69"/>
      <w:bookmarkEnd w:id="70"/>
      <w:bookmarkEnd w:id="71"/>
      <w:bookmarkEnd w:id="72"/>
      <w:r>
        <w:rPr>
          <w:rFonts w:hint="eastAsia" w:ascii="仿宋" w:hAnsi="仿宋" w:eastAsia="仿宋" w:cs="仿宋"/>
          <w:bCs w:val="0"/>
          <w:sz w:val="24"/>
        </w:rPr>
        <w:t>（本项目不涉及）</w:t>
      </w:r>
    </w:p>
    <w:p>
      <w:pPr>
        <w:spacing w:line="400" w:lineRule="exact"/>
        <w:ind w:firstLine="480" w:firstLineChars="200"/>
        <w:rPr>
          <w:rFonts w:ascii="仿宋" w:hAnsi="仿宋" w:eastAsia="仿宋" w:cs="仿宋"/>
          <w:sz w:val="24"/>
        </w:rPr>
      </w:pPr>
      <w:r>
        <w:rPr>
          <w:rFonts w:hint="eastAsia" w:ascii="仿宋" w:hAnsi="仿宋" w:eastAsia="仿宋" w:cs="仿宋"/>
          <w:sz w:val="24"/>
        </w:rPr>
        <w:t>16.1投标人必须以人民币按招标文件要求足额缴纳投标保证金。</w:t>
      </w:r>
    </w:p>
    <w:p>
      <w:pPr>
        <w:tabs>
          <w:tab w:val="left" w:pos="1134"/>
        </w:tabs>
        <w:spacing w:line="400" w:lineRule="exact"/>
        <w:ind w:firstLine="424" w:firstLineChars="177"/>
        <w:rPr>
          <w:rFonts w:ascii="仿宋" w:hAnsi="仿宋" w:eastAsia="仿宋" w:cs="仿宋"/>
          <w:sz w:val="24"/>
        </w:rPr>
      </w:pPr>
      <w:r>
        <w:rPr>
          <w:rFonts w:hint="eastAsia" w:ascii="仿宋" w:hAnsi="仿宋" w:eastAsia="仿宋" w:cs="仿宋"/>
          <w:sz w:val="24"/>
        </w:rPr>
        <w:t>16.2投标保证金交款方式：详见投标人须知附表。</w:t>
      </w:r>
    </w:p>
    <w:p>
      <w:pPr>
        <w:tabs>
          <w:tab w:val="left" w:pos="1134"/>
        </w:tabs>
        <w:spacing w:line="400" w:lineRule="exact"/>
        <w:ind w:firstLine="424" w:firstLineChars="177"/>
        <w:rPr>
          <w:rFonts w:ascii="仿宋" w:hAnsi="仿宋" w:eastAsia="仿宋" w:cs="仿宋"/>
          <w:sz w:val="24"/>
        </w:rPr>
      </w:pPr>
      <w:r>
        <w:rPr>
          <w:rFonts w:hint="eastAsia" w:ascii="仿宋" w:hAnsi="仿宋" w:eastAsia="仿宋" w:cs="仿宋"/>
          <w:sz w:val="24"/>
        </w:rPr>
        <w:t>16.3未中标人的投标保证金，将在中标通知书发出后5个工作日内全额退还。中标人的投标保证金，在合同签订生效后5个工作日内全额退还</w:t>
      </w:r>
      <w:r>
        <w:rPr>
          <w:rFonts w:hint="eastAsia" w:ascii="仿宋" w:hAnsi="仿宋" w:eastAsia="仿宋" w:cs="仿宋"/>
          <w:bCs/>
          <w:sz w:val="24"/>
        </w:rPr>
        <w:t>（注：</w:t>
      </w:r>
      <w:r>
        <w:rPr>
          <w:rFonts w:hint="eastAsia" w:ascii="仿宋" w:hAnsi="仿宋" w:eastAsia="仿宋" w:cs="仿宋"/>
          <w:bCs/>
          <w:sz w:val="24"/>
        </w:rPr>
        <w:fldChar w:fldCharType="begin"/>
      </w:r>
      <w:r>
        <w:rPr>
          <w:rFonts w:hint="eastAsia" w:ascii="仿宋" w:hAnsi="仿宋" w:eastAsia="仿宋" w:cs="仿宋"/>
          <w:bCs/>
          <w:sz w:val="24"/>
        </w:rPr>
        <w:instrText xml:space="preserve"> = 1 \* GB3 \* MERGEFORMAT </w:instrText>
      </w:r>
      <w:r>
        <w:rPr>
          <w:rFonts w:hint="eastAsia" w:ascii="仿宋" w:hAnsi="仿宋" w:eastAsia="仿宋" w:cs="仿宋"/>
          <w:bCs/>
          <w:sz w:val="24"/>
        </w:rPr>
        <w:fldChar w:fldCharType="separate"/>
      </w:r>
      <w:r>
        <w:rPr>
          <w:rFonts w:hint="eastAsia" w:ascii="仿宋" w:hAnsi="仿宋" w:eastAsia="仿宋" w:cs="仿宋"/>
          <w:bCs/>
          <w:sz w:val="24"/>
        </w:rPr>
        <w:t>①</w:t>
      </w:r>
      <w:r>
        <w:rPr>
          <w:rFonts w:hint="eastAsia" w:ascii="仿宋" w:hAnsi="仿宋" w:eastAsia="仿宋" w:cs="仿宋"/>
          <w:bCs/>
          <w:sz w:val="24"/>
        </w:rPr>
        <w:fldChar w:fldCharType="end"/>
      </w:r>
      <w:r>
        <w:rPr>
          <w:rFonts w:hint="eastAsia" w:ascii="仿宋" w:hAnsi="仿宋" w:eastAsia="仿宋" w:cs="仿宋"/>
          <w:bCs/>
          <w:sz w:val="24"/>
        </w:rPr>
        <w:t>因投标人自身原因造成的保证金延迟退还或者投标人和采购代理机构书面协商可以延迟退还的，采购代理机构不承担相应责任；</w:t>
      </w:r>
      <w:r>
        <w:rPr>
          <w:rFonts w:hint="eastAsia" w:ascii="仿宋" w:hAnsi="仿宋" w:eastAsia="仿宋" w:cs="仿宋"/>
          <w:bCs/>
          <w:sz w:val="24"/>
        </w:rPr>
        <w:fldChar w:fldCharType="begin"/>
      </w:r>
      <w:r>
        <w:rPr>
          <w:rFonts w:hint="eastAsia" w:ascii="仿宋" w:hAnsi="仿宋" w:eastAsia="仿宋" w:cs="仿宋"/>
          <w:bCs/>
          <w:sz w:val="24"/>
        </w:rPr>
        <w:instrText xml:space="preserve"> = 2 \* GB3 \* MERGEFORMAT </w:instrText>
      </w:r>
      <w:r>
        <w:rPr>
          <w:rFonts w:hint="eastAsia" w:ascii="仿宋" w:hAnsi="仿宋" w:eastAsia="仿宋" w:cs="仿宋"/>
          <w:bCs/>
          <w:sz w:val="24"/>
        </w:rPr>
        <w:fldChar w:fldCharType="separate"/>
      </w:r>
      <w:r>
        <w:rPr>
          <w:rFonts w:hint="eastAsia" w:ascii="仿宋" w:hAnsi="仿宋" w:eastAsia="仿宋" w:cs="仿宋"/>
          <w:bCs/>
          <w:sz w:val="24"/>
        </w:rPr>
        <w:t>②</w:t>
      </w:r>
      <w:r>
        <w:rPr>
          <w:rFonts w:hint="eastAsia" w:ascii="仿宋" w:hAnsi="仿宋" w:eastAsia="仿宋" w:cs="仿宋"/>
          <w:bCs/>
          <w:sz w:val="24"/>
        </w:rPr>
        <w:fldChar w:fldCharType="end"/>
      </w:r>
      <w:r>
        <w:rPr>
          <w:rFonts w:hint="eastAsia" w:ascii="仿宋" w:hAnsi="仿宋" w:eastAsia="仿宋" w:cs="仿宋"/>
          <w:bCs/>
          <w:sz w:val="24"/>
        </w:rPr>
        <w:t>供应商因涉嫌违法违规，按照规定应当不予退还保证金的，有关部门处理认定违法违规行为期间不计入退还保证金时限之内。）</w:t>
      </w:r>
      <w:r>
        <w:rPr>
          <w:rFonts w:hint="eastAsia" w:ascii="仿宋" w:hAnsi="仿宋" w:eastAsia="仿宋" w:cs="仿宋"/>
          <w:sz w:val="24"/>
        </w:rPr>
        <w:t>；</w:t>
      </w:r>
    </w:p>
    <w:p>
      <w:pPr>
        <w:spacing w:line="400" w:lineRule="exact"/>
        <w:ind w:firstLine="480" w:firstLineChars="200"/>
        <w:rPr>
          <w:rFonts w:ascii="仿宋" w:hAnsi="仿宋" w:eastAsia="仿宋" w:cs="仿宋"/>
          <w:sz w:val="24"/>
        </w:rPr>
      </w:pPr>
      <w:r>
        <w:rPr>
          <w:rFonts w:hint="eastAsia" w:ascii="仿宋" w:hAnsi="仿宋" w:eastAsia="仿宋" w:cs="仿宋"/>
          <w:sz w:val="24"/>
        </w:rPr>
        <w:t>16.4发生下列情形之一的，采购代理机构可以不予退还投标保证金：</w:t>
      </w:r>
    </w:p>
    <w:p>
      <w:pPr>
        <w:spacing w:line="400" w:lineRule="exact"/>
        <w:ind w:firstLine="470" w:firstLineChars="196"/>
        <w:rPr>
          <w:rFonts w:ascii="仿宋" w:hAnsi="仿宋" w:eastAsia="仿宋" w:cs="仿宋"/>
          <w:sz w:val="24"/>
        </w:rPr>
      </w:pPr>
      <w:r>
        <w:rPr>
          <w:rFonts w:hint="eastAsia" w:ascii="仿宋" w:hAnsi="仿宋" w:eastAsia="仿宋" w:cs="仿宋"/>
          <w:sz w:val="24"/>
        </w:rPr>
        <w:t>（1）在招标文件规定的投标截止时间后撤回投标的；</w:t>
      </w:r>
    </w:p>
    <w:p>
      <w:pPr>
        <w:spacing w:line="400" w:lineRule="exact"/>
        <w:ind w:firstLine="470" w:firstLineChars="196"/>
        <w:rPr>
          <w:rFonts w:ascii="仿宋" w:hAnsi="仿宋" w:eastAsia="仿宋" w:cs="仿宋"/>
          <w:sz w:val="24"/>
        </w:rPr>
      </w:pPr>
      <w:r>
        <w:rPr>
          <w:rFonts w:hint="eastAsia" w:ascii="仿宋" w:hAnsi="仿宋" w:eastAsia="仿宋" w:cs="仿宋"/>
          <w:sz w:val="24"/>
        </w:rPr>
        <w:t>（2）在采购人确定中标人以前放弃中标候选资格的；</w:t>
      </w:r>
    </w:p>
    <w:p>
      <w:pPr>
        <w:spacing w:line="400" w:lineRule="exact"/>
        <w:ind w:firstLine="470" w:firstLineChars="196"/>
        <w:rPr>
          <w:rFonts w:ascii="仿宋" w:hAnsi="仿宋" w:eastAsia="仿宋" w:cs="仿宋"/>
          <w:sz w:val="24"/>
        </w:rPr>
      </w:pPr>
      <w:r>
        <w:rPr>
          <w:rFonts w:hint="eastAsia" w:ascii="仿宋" w:hAnsi="仿宋" w:eastAsia="仿宋" w:cs="仿宋"/>
          <w:sz w:val="24"/>
        </w:rPr>
        <w:t>（3）中标后放弃中标、不领取或者不接收中标通知书的；</w:t>
      </w:r>
    </w:p>
    <w:p>
      <w:pPr>
        <w:spacing w:line="400" w:lineRule="exact"/>
        <w:ind w:firstLine="470" w:firstLineChars="196"/>
        <w:rPr>
          <w:rFonts w:ascii="仿宋" w:hAnsi="仿宋" w:eastAsia="仿宋" w:cs="仿宋"/>
          <w:sz w:val="24"/>
        </w:rPr>
      </w:pPr>
      <w:r>
        <w:rPr>
          <w:rFonts w:hint="eastAsia" w:ascii="仿宋" w:hAnsi="仿宋" w:eastAsia="仿宋" w:cs="仿宋"/>
          <w:sz w:val="24"/>
        </w:rPr>
        <w:t>（4）由于中标人的原因未能按照招标文件的规定与采购人签订合同的；</w:t>
      </w:r>
    </w:p>
    <w:p>
      <w:pPr>
        <w:spacing w:line="400" w:lineRule="exact"/>
        <w:ind w:firstLine="470" w:firstLineChars="196"/>
        <w:rPr>
          <w:rFonts w:ascii="仿宋" w:hAnsi="仿宋" w:eastAsia="仿宋" w:cs="仿宋"/>
          <w:sz w:val="24"/>
        </w:rPr>
      </w:pPr>
      <w:r>
        <w:rPr>
          <w:rFonts w:hint="eastAsia" w:ascii="仿宋" w:hAnsi="仿宋" w:eastAsia="仿宋" w:cs="仿宋"/>
          <w:sz w:val="24"/>
        </w:rPr>
        <w:t>（5）由于中标人的原因未能按照招标文件的规定交纳履约保证金的；</w:t>
      </w:r>
    </w:p>
    <w:p>
      <w:pPr>
        <w:spacing w:line="400" w:lineRule="exact"/>
        <w:ind w:firstLine="470" w:firstLineChars="196"/>
        <w:rPr>
          <w:rFonts w:ascii="仿宋" w:hAnsi="仿宋" w:eastAsia="仿宋" w:cs="仿宋"/>
          <w:sz w:val="24"/>
        </w:rPr>
      </w:pPr>
      <w:r>
        <w:rPr>
          <w:rFonts w:hint="eastAsia" w:ascii="仿宋" w:hAnsi="仿宋" w:eastAsia="仿宋" w:cs="仿宋"/>
          <w:sz w:val="24"/>
        </w:rPr>
        <w:t>（6）投标人提供虚假资料的；</w:t>
      </w:r>
    </w:p>
    <w:p>
      <w:pPr>
        <w:spacing w:line="400" w:lineRule="exact"/>
        <w:ind w:firstLine="470" w:firstLineChars="196"/>
        <w:rPr>
          <w:rFonts w:ascii="仿宋" w:hAnsi="仿宋" w:eastAsia="仿宋" w:cs="仿宋"/>
          <w:sz w:val="24"/>
        </w:rPr>
      </w:pPr>
      <w:r>
        <w:rPr>
          <w:rFonts w:hint="eastAsia" w:ascii="仿宋" w:hAnsi="仿宋" w:eastAsia="仿宋" w:cs="仿宋"/>
          <w:sz w:val="24"/>
        </w:rPr>
        <w:t>（7）投标有效期内，投标人在政府采购活动中有违法、违规、违纪行为。</w:t>
      </w:r>
    </w:p>
    <w:p>
      <w:pPr>
        <w:spacing w:line="400" w:lineRule="exact"/>
        <w:ind w:firstLine="470" w:firstLineChars="196"/>
        <w:rPr>
          <w:rFonts w:ascii="仿宋" w:hAnsi="仿宋" w:eastAsia="仿宋" w:cs="仿宋"/>
          <w:sz w:val="24"/>
        </w:rPr>
      </w:pPr>
      <w:r>
        <w:rPr>
          <w:rFonts w:hint="eastAsia" w:ascii="仿宋" w:hAnsi="仿宋" w:eastAsia="仿宋" w:cs="仿宋"/>
          <w:sz w:val="24"/>
        </w:rPr>
        <w:t>（8）投标有效期内，投标人撤销投标文件的。</w:t>
      </w:r>
    </w:p>
    <w:p>
      <w:pPr>
        <w:pStyle w:val="5"/>
        <w:spacing w:line="400" w:lineRule="exact"/>
        <w:ind w:firstLine="482" w:firstLineChars="200"/>
        <w:rPr>
          <w:rFonts w:ascii="仿宋" w:hAnsi="仿宋" w:eastAsia="仿宋" w:cs="仿宋"/>
          <w:bCs w:val="0"/>
          <w:sz w:val="24"/>
        </w:rPr>
      </w:pPr>
      <w:bookmarkStart w:id="73" w:name="_Toc183582224"/>
      <w:bookmarkStart w:id="74" w:name="_Toc308164801"/>
      <w:bookmarkStart w:id="75" w:name="_Toc183682361"/>
      <w:bookmarkStart w:id="76" w:name="_Toc217446051"/>
      <w:r>
        <w:rPr>
          <w:rFonts w:hint="eastAsia" w:ascii="仿宋" w:hAnsi="仿宋" w:eastAsia="仿宋" w:cs="仿宋"/>
          <w:bCs w:val="0"/>
          <w:sz w:val="24"/>
        </w:rPr>
        <w:t>17．投标有效期</w:t>
      </w:r>
      <w:bookmarkEnd w:id="73"/>
      <w:bookmarkEnd w:id="74"/>
      <w:bookmarkEnd w:id="75"/>
      <w:bookmarkEnd w:id="76"/>
      <w:r>
        <w:rPr>
          <w:rFonts w:hint="eastAsia" w:ascii="仿宋" w:hAnsi="仿宋" w:eastAsia="仿宋" w:cs="仿宋"/>
          <w:sz w:val="24"/>
          <w:szCs w:val="24"/>
        </w:rPr>
        <w:t>（实质性要求）</w:t>
      </w:r>
    </w:p>
    <w:p>
      <w:pPr>
        <w:tabs>
          <w:tab w:val="left" w:pos="7665"/>
        </w:tabs>
        <w:spacing w:line="400" w:lineRule="exact"/>
        <w:ind w:left="13" w:leftChars="6" w:firstLine="480" w:firstLineChars="200"/>
        <w:rPr>
          <w:rFonts w:ascii="仿宋" w:hAnsi="仿宋" w:eastAsia="仿宋" w:cs="仿宋"/>
          <w:sz w:val="24"/>
        </w:rPr>
      </w:pPr>
      <w:r>
        <w:rPr>
          <w:rFonts w:hint="eastAsia" w:ascii="仿宋" w:hAnsi="仿宋" w:eastAsia="仿宋" w:cs="仿宋"/>
          <w:sz w:val="24"/>
        </w:rPr>
        <w:t>17.1 本项目投标有效期为投标截止时间届满后</w:t>
      </w:r>
      <w:r>
        <w:rPr>
          <w:rFonts w:hint="eastAsia" w:ascii="仿宋" w:hAnsi="仿宋" w:eastAsia="仿宋" w:cs="仿宋"/>
          <w:b/>
          <w:bCs/>
          <w:sz w:val="24"/>
        </w:rPr>
        <w:t>90</w:t>
      </w:r>
      <w:r>
        <w:rPr>
          <w:rFonts w:hint="eastAsia" w:ascii="仿宋" w:hAnsi="仿宋" w:eastAsia="仿宋" w:cs="仿宋"/>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480" w:firstLineChars="200"/>
        <w:rPr>
          <w:rFonts w:ascii="仿宋" w:hAnsi="仿宋" w:eastAsia="仿宋" w:cs="仿宋"/>
          <w:sz w:val="24"/>
        </w:rPr>
      </w:pPr>
      <w:r>
        <w:rPr>
          <w:rFonts w:hint="eastAsia" w:ascii="仿宋" w:hAnsi="仿宋" w:eastAsia="仿宋" w:cs="仿宋"/>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480" w:firstLineChars="200"/>
        <w:rPr>
          <w:rFonts w:ascii="仿宋" w:hAnsi="仿宋" w:eastAsia="仿宋" w:cs="仿宋"/>
          <w:sz w:val="24"/>
        </w:rPr>
      </w:pPr>
      <w:r>
        <w:rPr>
          <w:rFonts w:hint="eastAsia" w:ascii="仿宋" w:hAnsi="仿宋" w:eastAsia="仿宋" w:cs="仿宋"/>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
        <w:spacing w:line="400" w:lineRule="exact"/>
        <w:ind w:firstLine="482" w:firstLineChars="200"/>
        <w:rPr>
          <w:rFonts w:ascii="仿宋" w:hAnsi="仿宋" w:eastAsia="仿宋" w:cs="仿宋"/>
          <w:bCs w:val="0"/>
          <w:sz w:val="24"/>
        </w:rPr>
      </w:pPr>
      <w:bookmarkStart w:id="77" w:name="_Toc183682362"/>
      <w:bookmarkStart w:id="78" w:name="_Toc183582225"/>
      <w:bookmarkStart w:id="79" w:name="_Toc308164802"/>
      <w:bookmarkStart w:id="80" w:name="_Toc217446052"/>
      <w:r>
        <w:rPr>
          <w:rFonts w:hint="eastAsia" w:ascii="仿宋" w:hAnsi="仿宋" w:eastAsia="仿宋" w:cs="仿宋"/>
          <w:bCs w:val="0"/>
          <w:sz w:val="24"/>
        </w:rPr>
        <w:t>18．投标文件的印制和签署</w:t>
      </w:r>
      <w:bookmarkEnd w:id="77"/>
      <w:bookmarkEnd w:id="78"/>
      <w:bookmarkEnd w:id="79"/>
      <w:bookmarkEnd w:id="80"/>
    </w:p>
    <w:p>
      <w:pPr>
        <w:pStyle w:val="5"/>
        <w:spacing w:line="400" w:lineRule="exact"/>
        <w:ind w:firstLine="480" w:firstLineChars="200"/>
        <w:rPr>
          <w:rFonts w:ascii="仿宋" w:hAnsi="仿宋" w:eastAsia="仿宋" w:cs="仿宋"/>
          <w:b w:val="0"/>
          <w:sz w:val="24"/>
          <w:szCs w:val="24"/>
        </w:rPr>
      </w:pPr>
      <w:bookmarkStart w:id="81" w:name="_Toc183682363"/>
      <w:bookmarkStart w:id="82" w:name="_Toc308164803"/>
      <w:bookmarkStart w:id="83" w:name="_Toc217446053"/>
      <w:bookmarkStart w:id="84" w:name="_Toc183582226"/>
      <w:bookmarkStart w:id="85" w:name="_Toc89075877"/>
      <w:bookmarkStart w:id="86" w:name="_Toc77400781"/>
      <w:r>
        <w:rPr>
          <w:rFonts w:hint="eastAsia" w:ascii="仿宋" w:hAnsi="仿宋" w:eastAsia="仿宋" w:cs="仿宋"/>
          <w:b w:val="0"/>
          <w:sz w:val="24"/>
          <w:szCs w:val="24"/>
        </w:rPr>
        <w:t>18.1 本项目实行电子投标。投标人应先安装“政采云投标客户端”。（政府采购云平台—CA管理—绑定CA—下载驱动—“政采云投标客户端”立即下载）。投标人应按招标文件要求，通过“政采云投标客户端”制作、加密并提交投标文件。（实质性要求）</w:t>
      </w:r>
    </w:p>
    <w:p>
      <w:pPr>
        <w:pStyle w:val="5"/>
        <w:spacing w:line="400" w:lineRule="exact"/>
        <w:ind w:firstLine="480" w:firstLineChars="200"/>
        <w:rPr>
          <w:rFonts w:ascii="仿宋" w:hAnsi="仿宋" w:eastAsia="仿宋" w:cs="仿宋"/>
          <w:b w:val="0"/>
          <w:sz w:val="24"/>
          <w:szCs w:val="24"/>
        </w:rPr>
      </w:pPr>
      <w:r>
        <w:rPr>
          <w:rFonts w:hint="eastAsia" w:ascii="仿宋" w:hAnsi="仿宋" w:eastAsia="仿宋" w:cs="仿宋"/>
          <w:b w:val="0"/>
          <w:sz w:val="24"/>
          <w:szCs w:val="24"/>
        </w:rPr>
        <w:t>18.2 投标文件每页均应加盖投标人（法定名称）电子签章，不得使用投标人专用章（如经济合同章、投标专用章等）或下属单位印章代替。</w:t>
      </w:r>
    </w:p>
    <w:p>
      <w:pPr>
        <w:pStyle w:val="5"/>
        <w:spacing w:line="400" w:lineRule="exact"/>
        <w:ind w:firstLine="480" w:firstLineChars="200"/>
        <w:rPr>
          <w:rFonts w:ascii="仿宋" w:hAnsi="仿宋" w:eastAsia="仿宋" w:cs="仿宋"/>
          <w:b w:val="0"/>
          <w:sz w:val="24"/>
          <w:szCs w:val="24"/>
        </w:rPr>
      </w:pPr>
      <w:r>
        <w:rPr>
          <w:rFonts w:hint="eastAsia" w:ascii="仿宋" w:hAnsi="仿宋" w:eastAsia="仿宋" w:cs="仿宋"/>
          <w:b w:val="0"/>
          <w:sz w:val="24"/>
          <w:szCs w:val="24"/>
        </w:rPr>
        <w:t>18.3 投标人应使用本企业CA数字证书对投标文件进行加密。（实质性要求）</w:t>
      </w:r>
    </w:p>
    <w:p>
      <w:pPr>
        <w:pStyle w:val="5"/>
        <w:spacing w:line="400" w:lineRule="exact"/>
        <w:ind w:firstLine="480" w:firstLineChars="200"/>
        <w:rPr>
          <w:rFonts w:ascii="仿宋" w:hAnsi="仿宋" w:eastAsia="仿宋" w:cs="仿宋"/>
          <w:b w:val="0"/>
          <w:sz w:val="24"/>
          <w:szCs w:val="24"/>
        </w:rPr>
      </w:pPr>
      <w:r>
        <w:rPr>
          <w:rFonts w:hint="eastAsia" w:ascii="仿宋" w:hAnsi="仿宋" w:eastAsia="仿宋" w:cs="仿宋"/>
          <w:b w:val="0"/>
          <w:sz w:val="24"/>
          <w:szCs w:val="24"/>
        </w:rPr>
        <w:t>18.4 招标文件若有修改，投标人根据修改后的招标文件制作或修改并递交投标文件。</w:t>
      </w:r>
    </w:p>
    <w:p>
      <w:pPr>
        <w:pStyle w:val="5"/>
        <w:spacing w:line="400" w:lineRule="exact"/>
        <w:ind w:firstLine="480" w:firstLineChars="200"/>
        <w:rPr>
          <w:rFonts w:ascii="仿宋" w:hAnsi="仿宋" w:eastAsia="仿宋" w:cs="仿宋"/>
          <w:b w:val="0"/>
          <w:sz w:val="24"/>
          <w:szCs w:val="24"/>
        </w:rPr>
      </w:pPr>
      <w:r>
        <w:rPr>
          <w:rFonts w:hint="eastAsia" w:ascii="仿宋" w:hAnsi="仿宋" w:eastAsia="仿宋" w:cs="仿宋"/>
          <w:b w:val="0"/>
          <w:sz w:val="24"/>
          <w:szCs w:val="24"/>
        </w:rPr>
        <w:t>18.5 使用“政府采购云平台”需要提前申领CA数字证书及电子签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实质性要求）</w:t>
      </w:r>
      <w:bookmarkEnd w:id="81"/>
      <w:bookmarkEnd w:id="82"/>
      <w:bookmarkEnd w:id="83"/>
      <w:bookmarkEnd w:id="84"/>
      <w:bookmarkEnd w:id="85"/>
      <w:bookmarkEnd w:id="86"/>
    </w:p>
    <w:p>
      <w:pPr>
        <w:pStyle w:val="5"/>
        <w:spacing w:line="400" w:lineRule="exact"/>
        <w:ind w:firstLine="482" w:firstLineChars="200"/>
        <w:rPr>
          <w:rFonts w:ascii="仿宋" w:hAnsi="仿宋" w:eastAsia="仿宋" w:cs="仿宋"/>
          <w:bCs w:val="0"/>
          <w:sz w:val="24"/>
          <w:szCs w:val="24"/>
        </w:rPr>
      </w:pPr>
      <w:bookmarkStart w:id="87" w:name="_Toc183682364"/>
      <w:bookmarkStart w:id="88" w:name="_Toc183582227"/>
      <w:bookmarkStart w:id="89" w:name="_Toc308164804"/>
      <w:bookmarkStart w:id="90" w:name="_Toc217446054"/>
      <w:r>
        <w:rPr>
          <w:rFonts w:hint="eastAsia" w:ascii="仿宋" w:hAnsi="仿宋" w:eastAsia="仿宋" w:cs="仿宋"/>
          <w:bCs w:val="0"/>
          <w:sz w:val="24"/>
          <w:szCs w:val="24"/>
        </w:rPr>
        <w:t>19</w:t>
      </w:r>
      <w:r>
        <w:rPr>
          <w:rFonts w:hint="eastAsia" w:ascii="仿宋" w:hAnsi="仿宋" w:eastAsia="仿宋" w:cs="仿宋"/>
          <w:bCs w:val="0"/>
          <w:sz w:val="28"/>
          <w:szCs w:val="28"/>
        </w:rPr>
        <w:t>．</w:t>
      </w:r>
      <w:r>
        <w:rPr>
          <w:rFonts w:hint="eastAsia" w:ascii="仿宋" w:hAnsi="仿宋" w:eastAsia="仿宋" w:cs="仿宋"/>
          <w:bCs w:val="0"/>
          <w:sz w:val="24"/>
          <w:szCs w:val="24"/>
        </w:rPr>
        <w:t>投标文件的</w:t>
      </w:r>
      <w:bookmarkEnd w:id="87"/>
      <w:bookmarkEnd w:id="88"/>
      <w:r>
        <w:rPr>
          <w:rFonts w:hint="eastAsia" w:ascii="仿宋" w:hAnsi="仿宋" w:eastAsia="仿宋" w:cs="仿宋"/>
          <w:bCs w:val="0"/>
          <w:sz w:val="24"/>
          <w:szCs w:val="24"/>
        </w:rPr>
        <w:t>递交</w:t>
      </w:r>
      <w:bookmarkEnd w:id="89"/>
      <w:bookmarkEnd w:id="90"/>
      <w:r>
        <w:rPr>
          <w:rFonts w:hint="eastAsia" w:ascii="仿宋" w:hAnsi="仿宋" w:eastAsia="仿宋" w:cs="仿宋"/>
          <w:bCs w:val="0"/>
          <w:sz w:val="24"/>
          <w:szCs w:val="24"/>
        </w:rPr>
        <w:t>（实质性要求）</w:t>
      </w:r>
    </w:p>
    <w:p>
      <w:pPr>
        <w:pStyle w:val="5"/>
        <w:spacing w:line="400" w:lineRule="exact"/>
        <w:ind w:firstLine="480" w:firstLineChars="200"/>
        <w:rPr>
          <w:rFonts w:ascii="仿宋" w:hAnsi="仿宋" w:eastAsia="仿宋" w:cs="仿宋"/>
          <w:b w:val="0"/>
          <w:sz w:val="24"/>
          <w:szCs w:val="24"/>
        </w:rPr>
      </w:pPr>
      <w:bookmarkStart w:id="91" w:name="_Toc183582228"/>
      <w:bookmarkStart w:id="92" w:name="_Toc183682365"/>
      <w:bookmarkStart w:id="93" w:name="_Toc217446055"/>
      <w:r>
        <w:rPr>
          <w:rFonts w:hint="eastAsia" w:ascii="仿宋" w:hAnsi="仿宋" w:eastAsia="仿宋" w:cs="仿宋"/>
          <w:b w:val="0"/>
          <w:sz w:val="24"/>
          <w:szCs w:val="24"/>
        </w:rPr>
        <w:t>19.1 投标人应当在投标文件递交截止时间前，将生成的已加密的电子投标文件成功递交至“政府采购云平台”。</w:t>
      </w:r>
    </w:p>
    <w:p>
      <w:pPr>
        <w:pStyle w:val="5"/>
        <w:spacing w:line="400" w:lineRule="exact"/>
        <w:ind w:firstLine="480" w:firstLineChars="200"/>
        <w:rPr>
          <w:rFonts w:ascii="仿宋" w:hAnsi="仿宋" w:eastAsia="仿宋" w:cs="仿宋"/>
          <w:b w:val="0"/>
          <w:sz w:val="24"/>
          <w:szCs w:val="24"/>
        </w:rPr>
      </w:pPr>
      <w:r>
        <w:rPr>
          <w:rFonts w:hint="eastAsia" w:ascii="仿宋" w:hAnsi="仿宋" w:eastAsia="仿宋" w:cs="仿宋"/>
          <w:b w:val="0"/>
          <w:sz w:val="24"/>
          <w:szCs w:val="24"/>
        </w:rPr>
        <w:t>19.2投标人应充分考虑递交文件的不可预见因素，在投标截止时间后将无法递交。</w:t>
      </w:r>
    </w:p>
    <w:p>
      <w:pPr>
        <w:pStyle w:val="5"/>
        <w:spacing w:line="400" w:lineRule="exact"/>
        <w:ind w:firstLine="482" w:firstLineChars="200"/>
        <w:rPr>
          <w:rFonts w:ascii="仿宋" w:hAnsi="仿宋" w:eastAsia="仿宋" w:cs="仿宋"/>
          <w:bCs w:val="0"/>
          <w:sz w:val="24"/>
          <w:szCs w:val="24"/>
        </w:rPr>
      </w:pPr>
      <w:r>
        <w:rPr>
          <w:rFonts w:hint="eastAsia" w:ascii="仿宋" w:hAnsi="仿宋" w:eastAsia="仿宋" w:cs="仿宋"/>
          <w:bCs w:val="0"/>
          <w:sz w:val="24"/>
          <w:szCs w:val="24"/>
        </w:rPr>
        <w:t>20．投标文件的补充、修改或撤</w:t>
      </w:r>
      <w:bookmarkEnd w:id="91"/>
      <w:bookmarkEnd w:id="92"/>
      <w:r>
        <w:rPr>
          <w:rFonts w:hint="eastAsia" w:ascii="仿宋" w:hAnsi="仿宋" w:eastAsia="仿宋" w:cs="仿宋"/>
          <w:bCs w:val="0"/>
          <w:sz w:val="24"/>
          <w:szCs w:val="24"/>
        </w:rPr>
        <w:t>回</w:t>
      </w:r>
      <w:bookmarkEnd w:id="93"/>
    </w:p>
    <w:p>
      <w:pPr>
        <w:pStyle w:val="4"/>
        <w:spacing w:line="400" w:lineRule="exact"/>
        <w:ind w:firstLine="480" w:firstLineChars="200"/>
        <w:jc w:val="left"/>
        <w:rPr>
          <w:rFonts w:ascii="仿宋" w:hAnsi="仿宋" w:eastAsia="仿宋" w:cs="仿宋"/>
          <w:b w:val="0"/>
          <w:bCs w:val="0"/>
          <w:sz w:val="24"/>
          <w:szCs w:val="24"/>
        </w:rPr>
      </w:pPr>
      <w:bookmarkStart w:id="94" w:name="_Toc308164805"/>
      <w:bookmarkStart w:id="95" w:name="_Toc77400782"/>
      <w:bookmarkStart w:id="96" w:name="_Toc183682368"/>
      <w:bookmarkStart w:id="97" w:name="_Toc217446056"/>
      <w:bookmarkStart w:id="98" w:name="_Toc89075878"/>
      <w:bookmarkStart w:id="99" w:name="_Toc183582231"/>
      <w:r>
        <w:rPr>
          <w:rFonts w:hint="eastAsia" w:ascii="仿宋" w:hAnsi="仿宋" w:eastAsia="仿宋" w:cs="仿宋"/>
          <w:b w:val="0"/>
          <w:bCs w:val="0"/>
          <w:sz w:val="24"/>
          <w:szCs w:val="24"/>
        </w:rPr>
        <w:t>20.1投标截止时间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pStyle w:val="4"/>
        <w:spacing w:line="400" w:lineRule="exact"/>
        <w:ind w:firstLine="480" w:firstLineChars="200"/>
        <w:jc w:val="left"/>
        <w:rPr>
          <w:rFonts w:ascii="仿宋" w:hAnsi="仿宋" w:eastAsia="仿宋" w:cs="仿宋"/>
          <w:b w:val="0"/>
          <w:bCs w:val="0"/>
          <w:sz w:val="24"/>
          <w:szCs w:val="24"/>
        </w:rPr>
      </w:pPr>
      <w:r>
        <w:rPr>
          <w:rFonts w:hint="eastAsia" w:ascii="仿宋" w:hAnsi="仿宋" w:eastAsia="仿宋" w:cs="仿宋"/>
          <w:b w:val="0"/>
          <w:bCs w:val="0"/>
          <w:sz w:val="24"/>
          <w:szCs w:val="24"/>
        </w:rPr>
        <w:t>20.2投标截止时间后，投标人不得对其递交的投标文件做任何补充、修改。</w:t>
      </w:r>
    </w:p>
    <w:p>
      <w:pPr>
        <w:ind w:firstLine="482" w:firstLineChars="200"/>
      </w:pPr>
      <w:r>
        <w:rPr>
          <w:rFonts w:hint="eastAsia" w:ascii="仿宋" w:hAnsi="仿宋" w:eastAsia="仿宋" w:cs="仿宋"/>
          <w:b/>
          <w:bCs/>
          <w:sz w:val="24"/>
        </w:rPr>
        <w:t>21.投标文件的解密</w:t>
      </w:r>
    </w:p>
    <w:p>
      <w:pPr>
        <w:spacing w:after="0" w:line="360" w:lineRule="auto"/>
        <w:ind w:firstLine="480" w:firstLineChars="200"/>
        <w:rPr>
          <w:rFonts w:ascii="仿宋" w:hAnsi="仿宋" w:eastAsia="仿宋" w:cs="仿宋"/>
          <w:sz w:val="24"/>
        </w:rPr>
      </w:pPr>
      <w:r>
        <w:rPr>
          <w:rFonts w:hint="eastAsia" w:ascii="仿宋" w:hAnsi="仿宋" w:eastAsia="仿宋" w:cs="仿宋"/>
          <w:sz w:val="24"/>
        </w:rPr>
        <w:t>22.1投标人登录政府采购云平台，点击“项目采购—开标评标”模块，进入本项目“开标大厅”，等待代理机构开启解密后，进行线上解密。除因断电、断网、系统故障或其他不可抗力等因素，导致系统无法使用外，投标人在规定的解密时间内，未成功解密的投标文件将视为无效投标文件。</w:t>
      </w:r>
    </w:p>
    <w:p>
      <w:pPr>
        <w:pStyle w:val="2"/>
      </w:pPr>
    </w:p>
    <w:p>
      <w:pPr>
        <w:pStyle w:val="4"/>
        <w:spacing w:line="400" w:lineRule="exact"/>
        <w:jc w:val="center"/>
        <w:rPr>
          <w:rFonts w:ascii="仿宋" w:hAnsi="仿宋" w:eastAsia="仿宋" w:cs="仿宋"/>
        </w:rPr>
      </w:pPr>
      <w:r>
        <w:rPr>
          <w:rFonts w:hint="eastAsia" w:ascii="仿宋" w:hAnsi="仿宋" w:eastAsia="仿宋" w:cs="仿宋"/>
        </w:rPr>
        <w:t>五、开标和中标</w:t>
      </w:r>
      <w:bookmarkEnd w:id="94"/>
      <w:bookmarkEnd w:id="95"/>
      <w:bookmarkEnd w:id="96"/>
      <w:bookmarkEnd w:id="97"/>
      <w:bookmarkEnd w:id="98"/>
      <w:bookmarkEnd w:id="99"/>
    </w:p>
    <w:p>
      <w:pPr>
        <w:pStyle w:val="5"/>
        <w:spacing w:line="400" w:lineRule="exact"/>
        <w:ind w:firstLine="482" w:firstLineChars="200"/>
        <w:rPr>
          <w:rFonts w:ascii="仿宋" w:hAnsi="仿宋" w:eastAsia="仿宋" w:cs="仿宋"/>
          <w:bCs w:val="0"/>
          <w:sz w:val="24"/>
        </w:rPr>
      </w:pPr>
      <w:bookmarkStart w:id="100" w:name="_Toc183682369"/>
      <w:bookmarkStart w:id="101" w:name="_Toc183582232"/>
      <w:bookmarkStart w:id="102" w:name="_Toc217446057"/>
      <w:bookmarkStart w:id="103" w:name="_Toc308164806"/>
      <w:r>
        <w:rPr>
          <w:rFonts w:hint="eastAsia" w:ascii="仿宋" w:hAnsi="仿宋" w:eastAsia="仿宋" w:cs="仿宋"/>
          <w:bCs w:val="0"/>
          <w:sz w:val="24"/>
        </w:rPr>
        <w:t>22．开标</w:t>
      </w:r>
      <w:bookmarkEnd w:id="100"/>
      <w:bookmarkEnd w:id="101"/>
      <w:bookmarkEnd w:id="102"/>
      <w:bookmarkEnd w:id="103"/>
    </w:p>
    <w:p>
      <w:pPr>
        <w:spacing w:line="400" w:lineRule="exact"/>
        <w:ind w:firstLine="480" w:firstLineChars="200"/>
        <w:rPr>
          <w:rFonts w:ascii="仿宋" w:hAnsi="仿宋" w:eastAsia="仿宋" w:cs="仿宋"/>
          <w:sz w:val="24"/>
        </w:rPr>
      </w:pPr>
      <w:bookmarkStart w:id="104" w:name="_Toc217446058"/>
      <w:bookmarkStart w:id="105" w:name="_Toc308164807"/>
      <w:r>
        <w:rPr>
          <w:rFonts w:hint="eastAsia" w:ascii="仿宋" w:hAnsi="仿宋" w:eastAsia="仿宋" w:cs="仿宋"/>
          <w:sz w:val="24"/>
        </w:rPr>
        <w:t>22.1本项目为不见面开标项目。（递交电子投标文件的投标人不足3家的，不予开标。）</w:t>
      </w:r>
    </w:p>
    <w:p>
      <w:pPr>
        <w:spacing w:line="400" w:lineRule="exact"/>
        <w:ind w:firstLine="480" w:firstLineChars="200"/>
        <w:rPr>
          <w:rFonts w:ascii="仿宋" w:hAnsi="仿宋" w:eastAsia="仿宋" w:cs="仿宋"/>
          <w:sz w:val="24"/>
        </w:rPr>
      </w:pPr>
      <w:r>
        <w:rPr>
          <w:rFonts w:hint="eastAsia" w:ascii="仿宋" w:hAnsi="仿宋" w:eastAsia="仿宋" w:cs="仿宋"/>
          <w:sz w:val="24"/>
        </w:rPr>
        <w:t>22.2开标准备工作。投标人需在开标当日、投标截止时间前登录“政府采购云平台”，通过本项目“开标大厅”参与不见面开标。登录政府采购云平台—项目采购—开标评标—开标大厅（确保进入本项目开标大厅）。</w:t>
      </w:r>
    </w:p>
    <w:p>
      <w:pPr>
        <w:spacing w:line="400" w:lineRule="exact"/>
        <w:ind w:firstLine="480" w:firstLineChars="200"/>
        <w:rPr>
          <w:rFonts w:ascii="仿宋" w:hAnsi="仿宋" w:eastAsia="仿宋" w:cs="仿宋"/>
          <w:sz w:val="24"/>
        </w:rPr>
      </w:pPr>
      <w:r>
        <w:rPr>
          <w:rFonts w:hint="eastAsia" w:ascii="仿宋" w:hAnsi="仿宋" w:eastAsia="仿宋" w:cs="仿宋"/>
          <w:sz w:val="24"/>
        </w:rPr>
        <w:t>提示：投标人未按时登录不见面开标系统，错过开标解密时间的，由投标人自行承担不利后果。</w:t>
      </w:r>
    </w:p>
    <w:p>
      <w:pPr>
        <w:spacing w:line="400" w:lineRule="exact"/>
        <w:ind w:firstLine="480" w:firstLineChars="200"/>
        <w:rPr>
          <w:rFonts w:ascii="仿宋" w:hAnsi="仿宋" w:eastAsia="仿宋" w:cs="仿宋"/>
          <w:sz w:val="24"/>
        </w:rPr>
      </w:pPr>
      <w:r>
        <w:rPr>
          <w:rFonts w:hint="eastAsia" w:ascii="仿宋" w:hAnsi="仿宋" w:eastAsia="仿宋" w:cs="仿宋"/>
          <w:sz w:val="24"/>
        </w:rPr>
        <w:t>22.3解密投标文件。等待代理机构开启解密后，投标人进行线上解密。开启解密后，投标人应在60分钟内，使用加密该投标文件的CA数字证书在线完成投标文件的解密。除因断电、断网、系统故障或其他不可抗力等因素，导致系统无法使用外，投标人在规定的解密时间内，未成功解密的投标文件将视为无效投标文件。</w:t>
      </w:r>
    </w:p>
    <w:p>
      <w:pPr>
        <w:spacing w:line="400" w:lineRule="exact"/>
        <w:ind w:firstLine="480" w:firstLineChars="200"/>
        <w:rPr>
          <w:rFonts w:ascii="仿宋" w:hAnsi="仿宋" w:eastAsia="仿宋" w:cs="仿宋"/>
          <w:sz w:val="24"/>
        </w:rPr>
      </w:pPr>
      <w:r>
        <w:rPr>
          <w:rFonts w:hint="eastAsia" w:ascii="仿宋" w:hAnsi="仿宋" w:eastAsia="仿宋" w:cs="仿宋"/>
          <w:sz w:val="24"/>
        </w:rPr>
        <w:t>22.4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spacing w:line="400" w:lineRule="exact"/>
        <w:ind w:firstLine="480" w:firstLineChars="200"/>
        <w:rPr>
          <w:rFonts w:ascii="仿宋" w:hAnsi="仿宋" w:eastAsia="仿宋" w:cs="仿宋"/>
          <w:sz w:val="24"/>
        </w:rPr>
      </w:pPr>
      <w:r>
        <w:rPr>
          <w:rFonts w:hint="eastAsia" w:ascii="仿宋" w:hAnsi="仿宋" w:eastAsia="仿宋" w:cs="仿宋"/>
          <w:sz w:val="24"/>
        </w:rPr>
        <w:t>22.5投标人电脑终端等硬件设备和软件系统配置：投标人电脑终端等硬件设备和软件系统配置应符合电子投标（含不见面开标大厅）投标人电脑终端配置要求并运行正常，投标人承担因未尽职责产生的不利后果。</w:t>
      </w:r>
    </w:p>
    <w:p>
      <w:pPr>
        <w:spacing w:line="400" w:lineRule="exact"/>
        <w:ind w:firstLine="480" w:firstLineChars="200"/>
        <w:rPr>
          <w:rFonts w:ascii="仿宋" w:hAnsi="仿宋" w:eastAsia="仿宋" w:cs="仿宋"/>
          <w:sz w:val="24"/>
        </w:rPr>
      </w:pPr>
      <w:r>
        <w:rPr>
          <w:rFonts w:hint="eastAsia" w:ascii="仿宋" w:hAnsi="仿宋" w:eastAsia="仿宋" w:cs="仿宋"/>
          <w:sz w:val="24"/>
        </w:rPr>
        <w:t>22.6因断电、断网、系统故障或其他不可抗力等因素导致不见面开标系统无法正常运行的，开标活动中止或延迟，待系统恢复正常后继续进行开标活动。</w:t>
      </w:r>
    </w:p>
    <w:p>
      <w:pPr>
        <w:spacing w:line="400" w:lineRule="exact"/>
        <w:ind w:firstLine="480" w:firstLineChars="200"/>
        <w:rPr>
          <w:rFonts w:ascii="仿宋" w:hAnsi="仿宋" w:eastAsia="仿宋" w:cs="仿宋"/>
          <w:sz w:val="24"/>
        </w:rPr>
      </w:pPr>
      <w:r>
        <w:rPr>
          <w:rFonts w:hint="eastAsia" w:ascii="仿宋" w:hAnsi="仿宋" w:eastAsia="仿宋" w:cs="仿宋"/>
          <w:sz w:val="24"/>
        </w:rPr>
        <w:t>22.7不见面开标过程中，各方主体均应遵守互联网有关规定，不得发表与交易活动无关的言论。</w:t>
      </w:r>
    </w:p>
    <w:p>
      <w:pPr>
        <w:pStyle w:val="2"/>
      </w:pPr>
    </w:p>
    <w:p>
      <w:pPr>
        <w:pStyle w:val="5"/>
        <w:spacing w:line="400" w:lineRule="exact"/>
        <w:ind w:firstLine="482" w:firstLineChars="200"/>
        <w:rPr>
          <w:rFonts w:ascii="仿宋" w:hAnsi="仿宋" w:eastAsia="仿宋" w:cs="仿宋"/>
          <w:sz w:val="24"/>
        </w:rPr>
      </w:pPr>
      <w:r>
        <w:rPr>
          <w:rFonts w:hint="eastAsia" w:ascii="仿宋" w:hAnsi="仿宋" w:eastAsia="仿宋" w:cs="仿宋"/>
          <w:sz w:val="24"/>
        </w:rPr>
        <w:t xml:space="preserve">23. </w:t>
      </w:r>
      <w:bookmarkEnd w:id="104"/>
      <w:bookmarkEnd w:id="105"/>
      <w:r>
        <w:rPr>
          <w:rFonts w:hint="eastAsia" w:ascii="仿宋" w:hAnsi="仿宋" w:eastAsia="仿宋" w:cs="仿宋"/>
          <w:sz w:val="24"/>
        </w:rPr>
        <w:t>开评标过程存档</w:t>
      </w:r>
    </w:p>
    <w:p>
      <w:pPr>
        <w:spacing w:line="400" w:lineRule="exact"/>
        <w:ind w:firstLine="480" w:firstLineChars="200"/>
        <w:rPr>
          <w:rFonts w:ascii="仿宋" w:hAnsi="仿宋" w:eastAsia="仿宋" w:cs="仿宋"/>
          <w:sz w:val="24"/>
        </w:rPr>
      </w:pPr>
      <w:r>
        <w:rPr>
          <w:rFonts w:hint="eastAsia" w:ascii="仿宋" w:hAnsi="仿宋" w:eastAsia="仿宋" w:cs="仿宋"/>
          <w:sz w:val="24"/>
        </w:rPr>
        <w:t>23.1 开标和评标过程进行全过程电子监控，并将电子监控资料存储介质留存归档。</w:t>
      </w:r>
    </w:p>
    <w:p>
      <w:pPr>
        <w:pStyle w:val="5"/>
        <w:spacing w:line="400" w:lineRule="exact"/>
        <w:ind w:firstLine="482" w:firstLineChars="200"/>
        <w:rPr>
          <w:rFonts w:ascii="仿宋" w:hAnsi="仿宋" w:eastAsia="仿宋" w:cs="仿宋"/>
          <w:sz w:val="24"/>
        </w:rPr>
      </w:pPr>
      <w:bookmarkStart w:id="106" w:name="_Toc183582238"/>
      <w:bookmarkStart w:id="107" w:name="_Toc183682375"/>
      <w:bookmarkStart w:id="108" w:name="_Toc217446063"/>
      <w:bookmarkStart w:id="109" w:name="_Toc308164809"/>
      <w:r>
        <w:rPr>
          <w:rFonts w:hint="eastAsia" w:ascii="仿宋" w:hAnsi="仿宋" w:eastAsia="仿宋" w:cs="仿宋"/>
          <w:sz w:val="24"/>
        </w:rPr>
        <w:t>24．评标情况公告</w:t>
      </w:r>
    </w:p>
    <w:p>
      <w:pPr>
        <w:spacing w:line="400" w:lineRule="exact"/>
        <w:ind w:firstLine="480" w:firstLineChars="200"/>
        <w:rPr>
          <w:rFonts w:ascii="仿宋" w:hAnsi="仿宋" w:eastAsia="仿宋" w:cs="仿宋"/>
          <w:sz w:val="24"/>
        </w:rPr>
      </w:pPr>
      <w:r>
        <w:rPr>
          <w:rFonts w:hint="eastAsia" w:ascii="仿宋" w:hAnsi="仿宋" w:eastAsia="仿宋" w:cs="仿宋"/>
          <w:sz w:val="24"/>
        </w:rPr>
        <w:t>所有投标人投标文件资格性、符合性检查情况、采用综合评分法时的总得分和分项汇总得分情况、评标结果等将在四川政府采购网上采购结果公告栏中予以公告。</w:t>
      </w:r>
    </w:p>
    <w:p>
      <w:pPr>
        <w:pStyle w:val="5"/>
        <w:spacing w:line="400" w:lineRule="exact"/>
        <w:ind w:firstLine="482" w:firstLineChars="200"/>
        <w:rPr>
          <w:rFonts w:ascii="仿宋" w:hAnsi="仿宋" w:eastAsia="仿宋" w:cs="仿宋"/>
          <w:sz w:val="24"/>
        </w:rPr>
      </w:pPr>
      <w:r>
        <w:rPr>
          <w:rFonts w:hint="eastAsia" w:ascii="仿宋" w:hAnsi="仿宋" w:eastAsia="仿宋" w:cs="仿宋"/>
          <w:sz w:val="24"/>
        </w:rPr>
        <w:t>25.采购人确定中标人过程中，发现中标候选人有下列情形之一的，应当不予确定其为中标人：</w:t>
      </w:r>
    </w:p>
    <w:p>
      <w:pPr>
        <w:spacing w:after="0" w:line="360" w:lineRule="auto"/>
        <w:ind w:firstLine="480" w:firstLineChars="200"/>
        <w:rPr>
          <w:rFonts w:ascii="仿宋" w:hAnsi="仿宋" w:eastAsia="仿宋" w:cs="仿宋"/>
          <w:bCs/>
          <w:sz w:val="24"/>
        </w:rPr>
      </w:pPr>
      <w:r>
        <w:rPr>
          <w:rFonts w:hint="eastAsia" w:ascii="仿宋" w:hAnsi="仿宋" w:eastAsia="仿宋" w:cs="仿宋"/>
          <w:bCs/>
          <w:sz w:val="24"/>
        </w:rPr>
        <w:t>（1）发现中标候选人存在禁止参加本项目采购活动的违法行为的；</w:t>
      </w:r>
    </w:p>
    <w:p>
      <w:pPr>
        <w:spacing w:after="0" w:line="360" w:lineRule="auto"/>
        <w:ind w:firstLine="480" w:firstLineChars="200"/>
        <w:rPr>
          <w:rFonts w:ascii="仿宋" w:hAnsi="仿宋" w:eastAsia="仿宋" w:cs="仿宋"/>
          <w:bCs/>
          <w:sz w:val="24"/>
        </w:rPr>
      </w:pPr>
      <w:r>
        <w:rPr>
          <w:rFonts w:hint="eastAsia" w:ascii="仿宋" w:hAnsi="仿宋" w:eastAsia="仿宋" w:cs="仿宋"/>
          <w:bCs/>
          <w:sz w:val="24"/>
        </w:rPr>
        <w:t>（2）中标候选人因不可抗力，不能继续参加政府采购活动；</w:t>
      </w:r>
    </w:p>
    <w:p>
      <w:pPr>
        <w:spacing w:after="0" w:line="360" w:lineRule="auto"/>
        <w:ind w:firstLine="480" w:firstLineChars="200"/>
        <w:rPr>
          <w:rFonts w:ascii="仿宋" w:hAnsi="仿宋" w:eastAsia="仿宋" w:cs="仿宋"/>
          <w:bCs/>
          <w:sz w:val="24"/>
        </w:rPr>
      </w:pPr>
      <w:r>
        <w:rPr>
          <w:rFonts w:hint="eastAsia" w:ascii="仿宋" w:hAnsi="仿宋" w:eastAsia="仿宋" w:cs="仿宋"/>
          <w:bCs/>
          <w:sz w:val="24"/>
        </w:rPr>
        <w:t>（3）中标候选人无偿赠与或者低于成本价竞争；</w:t>
      </w:r>
    </w:p>
    <w:p>
      <w:pPr>
        <w:spacing w:after="0" w:line="360" w:lineRule="auto"/>
        <w:ind w:firstLine="480" w:firstLineChars="200"/>
        <w:rPr>
          <w:rFonts w:ascii="仿宋" w:hAnsi="仿宋" w:eastAsia="仿宋" w:cs="仿宋"/>
          <w:bCs/>
          <w:sz w:val="24"/>
        </w:rPr>
      </w:pPr>
      <w:r>
        <w:rPr>
          <w:rFonts w:hint="eastAsia" w:ascii="仿宋" w:hAnsi="仿宋" w:eastAsia="仿宋" w:cs="仿宋"/>
          <w:bCs/>
          <w:sz w:val="24"/>
        </w:rPr>
        <w:t>（4）中标候选人提供虚假材料；</w:t>
      </w:r>
    </w:p>
    <w:p>
      <w:pPr>
        <w:spacing w:after="0" w:line="360" w:lineRule="auto"/>
        <w:ind w:firstLine="480" w:firstLineChars="200"/>
        <w:rPr>
          <w:rFonts w:ascii="仿宋" w:hAnsi="仿宋" w:eastAsia="仿宋" w:cs="仿宋"/>
          <w:bCs/>
          <w:sz w:val="24"/>
        </w:rPr>
      </w:pPr>
      <w:r>
        <w:rPr>
          <w:rFonts w:hint="eastAsia" w:ascii="仿宋" w:hAnsi="仿宋" w:eastAsia="仿宋" w:cs="仿宋"/>
          <w:bCs/>
          <w:sz w:val="24"/>
        </w:rPr>
        <w:t>（5）中标候选人恶意串通。</w:t>
      </w:r>
    </w:p>
    <w:p>
      <w:pPr>
        <w:pStyle w:val="5"/>
        <w:spacing w:line="400" w:lineRule="exact"/>
        <w:ind w:firstLine="482" w:firstLineChars="200"/>
        <w:rPr>
          <w:rFonts w:ascii="仿宋" w:hAnsi="仿宋" w:eastAsia="仿宋" w:cs="仿宋"/>
          <w:sz w:val="24"/>
        </w:rPr>
      </w:pPr>
      <w:r>
        <w:rPr>
          <w:rFonts w:hint="eastAsia" w:ascii="仿宋" w:hAnsi="仿宋" w:eastAsia="仿宋" w:cs="仿宋"/>
          <w:sz w:val="24"/>
        </w:rPr>
        <w:t>26．中标通知书</w:t>
      </w:r>
    </w:p>
    <w:p>
      <w:pPr>
        <w:spacing w:after="0" w:line="360" w:lineRule="auto"/>
        <w:ind w:firstLine="480" w:firstLineChars="200"/>
        <w:rPr>
          <w:rFonts w:ascii="仿宋" w:hAnsi="仿宋" w:eastAsia="仿宋" w:cs="仿宋"/>
          <w:bCs/>
          <w:sz w:val="24"/>
        </w:rPr>
      </w:pPr>
      <w:r>
        <w:rPr>
          <w:rFonts w:hint="eastAsia" w:ascii="仿宋" w:hAnsi="仿宋" w:eastAsia="仿宋" w:cs="仿宋"/>
          <w:bCs/>
          <w:sz w:val="24"/>
        </w:rPr>
        <w:t>26.1 中标通知书为签订政府采购合同的依据之一，是合同的有效组成部分。</w:t>
      </w:r>
    </w:p>
    <w:p>
      <w:pPr>
        <w:spacing w:after="0" w:line="360" w:lineRule="auto"/>
        <w:ind w:firstLine="480" w:firstLineChars="200"/>
        <w:rPr>
          <w:rFonts w:ascii="仿宋" w:hAnsi="仿宋" w:eastAsia="仿宋" w:cs="仿宋"/>
          <w:bCs/>
          <w:sz w:val="24"/>
        </w:rPr>
      </w:pPr>
      <w:r>
        <w:rPr>
          <w:rFonts w:hint="eastAsia" w:ascii="仿宋" w:hAnsi="仿宋" w:eastAsia="仿宋" w:cs="仿宋"/>
          <w:bCs/>
          <w:sz w:val="24"/>
        </w:rPr>
        <w:t>26.2 投标人中标后，拒绝领取中标通知书的，招标采购单位将于中标投标人确定之日起两个工作日内采取邮寄、快递方式按照投标人投标文件中的地址发出中标通知书。</w:t>
      </w:r>
    </w:p>
    <w:p>
      <w:pPr>
        <w:spacing w:after="0" w:line="360" w:lineRule="auto"/>
        <w:ind w:firstLine="480" w:firstLineChars="200"/>
        <w:rPr>
          <w:rFonts w:ascii="仿宋" w:hAnsi="仿宋" w:eastAsia="仿宋" w:cs="仿宋"/>
          <w:bCs/>
          <w:sz w:val="24"/>
        </w:rPr>
      </w:pPr>
      <w:r>
        <w:rPr>
          <w:rFonts w:hint="eastAsia" w:ascii="仿宋" w:hAnsi="仿宋" w:eastAsia="仿宋" w:cs="仿宋"/>
          <w:bCs/>
          <w:sz w:val="24"/>
        </w:rPr>
        <w:t>26.3 中标通知书对招标人和中标人均具有法律效力。中标通知书发出后，招标人改变中标结果，或者中标人无正当理由放弃中标的，应当承担相应的法律责任。</w:t>
      </w:r>
    </w:p>
    <w:p>
      <w:pPr>
        <w:spacing w:after="0" w:line="360" w:lineRule="auto"/>
        <w:ind w:firstLine="480" w:firstLineChars="200"/>
        <w:rPr>
          <w:rFonts w:ascii="仿宋" w:hAnsi="仿宋" w:eastAsia="仿宋" w:cs="仿宋"/>
          <w:bCs/>
          <w:sz w:val="24"/>
        </w:rPr>
      </w:pPr>
      <w:r>
        <w:rPr>
          <w:rFonts w:hint="eastAsia" w:ascii="仿宋" w:hAnsi="仿宋" w:eastAsia="仿宋" w:cs="仿宋"/>
          <w:bCs/>
          <w:sz w:val="24"/>
        </w:rPr>
        <w:t>26.4 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spacing w:after="0" w:line="360" w:lineRule="auto"/>
        <w:ind w:firstLine="480" w:firstLineChars="200"/>
        <w:rPr>
          <w:rFonts w:ascii="仿宋" w:hAnsi="仿宋" w:eastAsia="仿宋" w:cs="仿宋"/>
          <w:bCs/>
          <w:sz w:val="24"/>
        </w:rPr>
      </w:pPr>
      <w:r>
        <w:rPr>
          <w:rFonts w:hint="eastAsia" w:ascii="仿宋" w:hAnsi="仿宋" w:eastAsia="仿宋" w:cs="仿宋"/>
          <w:bCs/>
          <w:sz w:val="24"/>
        </w:rPr>
        <w:t>26.5 中标公告发出后，中标投标人自行领取中标通知书的，需凭有效身份证明证件到</w:t>
      </w:r>
      <w:r>
        <w:rPr>
          <w:rFonts w:hint="eastAsia" w:ascii="仿宋" w:hAnsi="仿宋" w:eastAsia="仿宋" w:cs="仿宋"/>
          <w:bCs/>
          <w:sz w:val="24"/>
          <w:lang w:val="zh-CN"/>
        </w:rPr>
        <w:t>利阳致诚国际项目管理有限公司</w:t>
      </w:r>
      <w:r>
        <w:rPr>
          <w:rFonts w:hint="eastAsia" w:ascii="仿宋" w:hAnsi="仿宋" w:eastAsia="仿宋" w:cs="仿宋"/>
          <w:bCs/>
          <w:sz w:val="24"/>
        </w:rPr>
        <w:t>领取中标通知书。联系人：陈先生。联系电话：028-83377199。</w:t>
      </w:r>
    </w:p>
    <w:bookmarkEnd w:id="106"/>
    <w:bookmarkEnd w:id="107"/>
    <w:bookmarkEnd w:id="108"/>
    <w:bookmarkEnd w:id="109"/>
    <w:p/>
    <w:p>
      <w:pPr>
        <w:pStyle w:val="4"/>
        <w:spacing w:line="400" w:lineRule="exact"/>
        <w:jc w:val="center"/>
        <w:rPr>
          <w:rFonts w:ascii="仿宋" w:hAnsi="仿宋" w:eastAsia="仿宋" w:cs="仿宋"/>
          <w:szCs w:val="28"/>
        </w:rPr>
      </w:pPr>
      <w:bookmarkStart w:id="110" w:name="_Toc183582240"/>
      <w:bookmarkStart w:id="111" w:name="_Toc308164810"/>
      <w:bookmarkStart w:id="112" w:name="_Toc183682377"/>
      <w:bookmarkStart w:id="113" w:name="_Toc217446064"/>
      <w:bookmarkStart w:id="114" w:name="_Toc217446083"/>
      <w:r>
        <w:rPr>
          <w:rFonts w:hint="eastAsia" w:ascii="仿宋" w:hAnsi="仿宋" w:eastAsia="仿宋" w:cs="仿宋"/>
          <w:szCs w:val="28"/>
        </w:rPr>
        <w:t>六、签订及履行合同和验收</w:t>
      </w:r>
      <w:bookmarkEnd w:id="110"/>
      <w:bookmarkEnd w:id="111"/>
      <w:bookmarkEnd w:id="112"/>
      <w:bookmarkEnd w:id="113"/>
    </w:p>
    <w:p>
      <w:pPr>
        <w:pStyle w:val="5"/>
        <w:spacing w:line="400" w:lineRule="exact"/>
        <w:ind w:firstLine="482" w:firstLineChars="200"/>
        <w:rPr>
          <w:rFonts w:ascii="仿宋" w:hAnsi="仿宋" w:eastAsia="仿宋" w:cs="仿宋"/>
          <w:sz w:val="24"/>
        </w:rPr>
      </w:pPr>
      <w:bookmarkStart w:id="115" w:name="_Toc4579"/>
      <w:bookmarkStart w:id="116" w:name="_Toc11279"/>
      <w:bookmarkStart w:id="117" w:name="_Toc15863"/>
      <w:bookmarkStart w:id="118" w:name="_Toc308164811"/>
      <w:bookmarkStart w:id="119" w:name="_Toc16307"/>
      <w:bookmarkStart w:id="120" w:name="_Toc217446065"/>
      <w:bookmarkStart w:id="121" w:name="_Toc10716"/>
      <w:bookmarkStart w:id="122" w:name="_Toc308164815"/>
      <w:bookmarkStart w:id="123" w:name="_Toc217446074"/>
      <w:bookmarkStart w:id="124" w:name="_Toc183682380"/>
      <w:bookmarkStart w:id="125" w:name="_Toc183582243"/>
      <w:r>
        <w:rPr>
          <w:rFonts w:hint="eastAsia" w:ascii="仿宋" w:hAnsi="仿宋" w:eastAsia="仿宋" w:cs="仿宋"/>
          <w:sz w:val="24"/>
        </w:rPr>
        <w:t>27．签订合同</w:t>
      </w:r>
      <w:bookmarkEnd w:id="115"/>
      <w:bookmarkEnd w:id="116"/>
      <w:bookmarkEnd w:id="117"/>
      <w:bookmarkEnd w:id="118"/>
      <w:bookmarkEnd w:id="119"/>
      <w:bookmarkEnd w:id="120"/>
      <w:bookmarkEnd w:id="121"/>
    </w:p>
    <w:p>
      <w:pPr>
        <w:tabs>
          <w:tab w:val="left" w:pos="7665"/>
        </w:tabs>
        <w:spacing w:beforeLines="50" w:afterLines="50" w:line="360" w:lineRule="auto"/>
        <w:ind w:firstLine="480" w:firstLineChars="200"/>
        <w:rPr>
          <w:rFonts w:ascii="仿宋" w:hAnsi="仿宋" w:eastAsia="仿宋" w:cs="仿宋"/>
          <w:sz w:val="24"/>
        </w:rPr>
      </w:pPr>
      <w:r>
        <w:rPr>
          <w:rFonts w:hint="eastAsia" w:ascii="仿宋" w:hAnsi="仿宋" w:eastAsia="仿宋" w:cs="仿宋"/>
          <w:sz w:val="24"/>
        </w:rPr>
        <w:t>27.1 中标人应在中标通知书发出之日起三十日内与招标人签订采购合同。由于中标人的原因逾期未与招标人签订采购合同的，将视为放弃中标，取消其中标资格并将按相关规定进行处理。</w:t>
      </w:r>
    </w:p>
    <w:p>
      <w:pPr>
        <w:tabs>
          <w:tab w:val="left" w:pos="7665"/>
        </w:tabs>
        <w:spacing w:beforeLines="50" w:afterLines="50" w:line="360" w:lineRule="auto"/>
        <w:ind w:firstLine="480" w:firstLineChars="200"/>
        <w:rPr>
          <w:rFonts w:ascii="仿宋" w:hAnsi="仿宋" w:eastAsia="仿宋" w:cs="仿宋"/>
          <w:sz w:val="24"/>
        </w:rPr>
      </w:pPr>
      <w:r>
        <w:rPr>
          <w:rFonts w:hint="eastAsia" w:ascii="仿宋" w:hAnsi="仿宋" w:eastAsia="仿宋" w:cs="仿宋"/>
          <w:sz w:val="24"/>
        </w:rPr>
        <w:t>27.2 招标人不得向中标人提出任何不合理的要求，作为签订合同的条件，不得与中标人私下订立背离合同实质性内容的任何协议，所签订的合同不得对招标文件和中标人投标文件确定的事项进行修改。</w:t>
      </w:r>
    </w:p>
    <w:p>
      <w:pPr>
        <w:tabs>
          <w:tab w:val="left" w:pos="7665"/>
        </w:tabs>
        <w:spacing w:beforeLines="50" w:afterLines="50" w:line="360" w:lineRule="auto"/>
        <w:ind w:firstLine="480" w:firstLineChars="200"/>
        <w:rPr>
          <w:rFonts w:ascii="仿宋" w:hAnsi="仿宋" w:eastAsia="仿宋" w:cs="仿宋"/>
          <w:sz w:val="24"/>
        </w:rPr>
      </w:pPr>
      <w:r>
        <w:rPr>
          <w:rFonts w:hint="eastAsia" w:ascii="仿宋" w:hAnsi="仿宋" w:eastAsia="仿宋" w:cs="仿宋"/>
          <w:sz w:val="24"/>
        </w:rPr>
        <w:t>27.3 中标人因不可抗力原因不能履行采购合同或放弃中标的，招标人可以与排在中标人之后第一位的中标候选人签订采购合同，以此类推。</w:t>
      </w:r>
    </w:p>
    <w:p>
      <w:pPr>
        <w:tabs>
          <w:tab w:val="left" w:pos="7665"/>
        </w:tabs>
        <w:spacing w:beforeLines="50" w:afterLines="50" w:line="360" w:lineRule="auto"/>
        <w:ind w:firstLine="480" w:firstLineChars="200"/>
        <w:rPr>
          <w:rFonts w:ascii="仿宋" w:hAnsi="仿宋" w:eastAsia="仿宋" w:cs="仿宋"/>
          <w:sz w:val="24"/>
        </w:rPr>
      </w:pPr>
      <w:r>
        <w:rPr>
          <w:rFonts w:hint="eastAsia" w:ascii="仿宋" w:hAnsi="仿宋" w:eastAsia="仿宋" w:cs="仿宋"/>
          <w:sz w:val="24"/>
        </w:rPr>
        <w:t>27.4中标人在合同签订之后三个工作日内，将签订的合同（壹份）送招标代理机构。中标人应及时到招标代理机构办理。联系人：陈先生。联系电话：028-83377199。</w:t>
      </w:r>
    </w:p>
    <w:p>
      <w:pPr>
        <w:pStyle w:val="5"/>
        <w:spacing w:line="400" w:lineRule="exact"/>
        <w:ind w:firstLine="482" w:firstLineChars="200"/>
        <w:rPr>
          <w:rFonts w:ascii="仿宋" w:hAnsi="仿宋" w:eastAsia="仿宋" w:cs="仿宋"/>
          <w:sz w:val="24"/>
        </w:rPr>
      </w:pPr>
      <w:bookmarkStart w:id="126" w:name="_Toc31730"/>
      <w:bookmarkStart w:id="127" w:name="_Toc23810"/>
      <w:bookmarkStart w:id="128" w:name="_Toc29848"/>
      <w:bookmarkStart w:id="129" w:name="_Toc22898"/>
      <w:bookmarkStart w:id="130" w:name="_Toc20490"/>
      <w:r>
        <w:rPr>
          <w:rFonts w:hint="eastAsia" w:ascii="仿宋" w:hAnsi="仿宋" w:eastAsia="仿宋" w:cs="仿宋"/>
          <w:sz w:val="24"/>
        </w:rPr>
        <w:t>28．合同分包（实质性要求）</w:t>
      </w:r>
      <w:bookmarkEnd w:id="126"/>
      <w:bookmarkEnd w:id="127"/>
      <w:bookmarkEnd w:id="128"/>
      <w:bookmarkEnd w:id="129"/>
      <w:bookmarkEnd w:id="130"/>
    </w:p>
    <w:p>
      <w:pPr>
        <w:tabs>
          <w:tab w:val="left" w:pos="7665"/>
        </w:tabs>
        <w:spacing w:beforeLines="50" w:afterLines="50" w:line="360" w:lineRule="auto"/>
        <w:ind w:firstLine="482" w:firstLineChars="200"/>
        <w:rPr>
          <w:rFonts w:ascii="仿宋" w:hAnsi="仿宋" w:eastAsia="仿宋" w:cs="仿宋"/>
          <w:b/>
          <w:bCs/>
          <w:sz w:val="24"/>
        </w:rPr>
      </w:pPr>
      <w:r>
        <w:rPr>
          <w:rFonts w:hint="eastAsia" w:ascii="仿宋" w:hAnsi="仿宋" w:eastAsia="仿宋" w:cs="仿宋"/>
          <w:b/>
          <w:bCs/>
          <w:sz w:val="24"/>
        </w:rPr>
        <w:t>本采购项目不允许合同分包。</w:t>
      </w:r>
    </w:p>
    <w:p>
      <w:pPr>
        <w:pStyle w:val="5"/>
        <w:spacing w:line="400" w:lineRule="exact"/>
        <w:ind w:firstLine="482" w:firstLineChars="200"/>
        <w:rPr>
          <w:rFonts w:ascii="仿宋" w:hAnsi="仿宋" w:eastAsia="仿宋" w:cs="仿宋"/>
          <w:sz w:val="24"/>
        </w:rPr>
      </w:pPr>
      <w:bookmarkStart w:id="131" w:name="_Toc28704"/>
      <w:bookmarkStart w:id="132" w:name="_Toc9232"/>
      <w:bookmarkStart w:id="133" w:name="_Toc22387"/>
      <w:bookmarkStart w:id="134" w:name="_Toc15806"/>
      <w:bookmarkStart w:id="135" w:name="_Toc16954"/>
      <w:r>
        <w:rPr>
          <w:rFonts w:hint="eastAsia" w:ascii="仿宋" w:hAnsi="仿宋" w:eastAsia="仿宋" w:cs="仿宋"/>
          <w:sz w:val="24"/>
        </w:rPr>
        <w:t>29．合同转包（实质性要求）</w:t>
      </w:r>
      <w:bookmarkEnd w:id="131"/>
      <w:bookmarkEnd w:id="132"/>
      <w:bookmarkEnd w:id="133"/>
      <w:bookmarkEnd w:id="134"/>
      <w:bookmarkEnd w:id="135"/>
    </w:p>
    <w:p>
      <w:pPr>
        <w:tabs>
          <w:tab w:val="left" w:pos="7665"/>
        </w:tabs>
        <w:spacing w:beforeLines="50" w:afterLines="50" w:line="360" w:lineRule="auto"/>
        <w:ind w:firstLine="480" w:firstLineChars="200"/>
        <w:rPr>
          <w:rFonts w:ascii="仿宋" w:hAnsi="仿宋" w:eastAsia="仿宋" w:cs="仿宋"/>
          <w:sz w:val="24"/>
        </w:rPr>
      </w:pPr>
      <w:r>
        <w:rPr>
          <w:rFonts w:hint="eastAsia" w:ascii="仿宋" w:hAnsi="仿宋" w:eastAsia="仿宋" w:cs="仿宋"/>
          <w:sz w:val="24"/>
        </w:rPr>
        <w:t>本采购项目严禁中标人将任何政府采购合同义务转包。本项目所称合同转包，是指中标人将政府采购合同义务转让给第三人，并退出现有政府采购合同当事人双方的权利义务关系，受让人（即第三人）成为政府采购合同的另一方当事人的行为。</w:t>
      </w:r>
    </w:p>
    <w:p>
      <w:pPr>
        <w:tabs>
          <w:tab w:val="left" w:pos="7665"/>
        </w:tabs>
        <w:spacing w:beforeLines="50" w:afterLines="50" w:line="360" w:lineRule="auto"/>
        <w:ind w:firstLine="480" w:firstLineChars="200"/>
        <w:rPr>
          <w:rFonts w:ascii="仿宋" w:hAnsi="仿宋" w:eastAsia="仿宋" w:cs="仿宋"/>
          <w:sz w:val="24"/>
        </w:rPr>
      </w:pPr>
      <w:r>
        <w:rPr>
          <w:rFonts w:hint="eastAsia" w:ascii="仿宋" w:hAnsi="仿宋" w:eastAsia="仿宋" w:cs="仿宋"/>
          <w:sz w:val="24"/>
        </w:rPr>
        <w:t>中标人转包的，视同拒绝履行政府采购合同义务，将依法追究法律责任。</w:t>
      </w:r>
    </w:p>
    <w:p>
      <w:pPr>
        <w:tabs>
          <w:tab w:val="left" w:pos="7665"/>
        </w:tabs>
        <w:spacing w:beforeLines="50" w:afterLines="50" w:line="360" w:lineRule="auto"/>
        <w:ind w:firstLine="482" w:firstLineChars="200"/>
        <w:rPr>
          <w:rFonts w:ascii="仿宋" w:hAnsi="仿宋" w:eastAsia="仿宋" w:cs="仿宋"/>
          <w:b/>
          <w:sz w:val="24"/>
        </w:rPr>
      </w:pPr>
      <w:r>
        <w:rPr>
          <w:rFonts w:hint="eastAsia" w:ascii="仿宋" w:hAnsi="仿宋" w:eastAsia="仿宋" w:cs="仿宋"/>
          <w:b/>
          <w:bCs/>
          <w:sz w:val="24"/>
        </w:rPr>
        <w:t>本采购项目不允许合同</w:t>
      </w:r>
      <w:r>
        <w:rPr>
          <w:rFonts w:hint="eastAsia" w:ascii="仿宋" w:hAnsi="仿宋" w:eastAsia="仿宋" w:cs="仿宋"/>
          <w:b/>
          <w:sz w:val="24"/>
        </w:rPr>
        <w:t>转包。</w:t>
      </w:r>
    </w:p>
    <w:p>
      <w:pPr>
        <w:pStyle w:val="5"/>
        <w:spacing w:line="400" w:lineRule="exact"/>
        <w:ind w:firstLine="482" w:firstLineChars="200"/>
        <w:rPr>
          <w:rFonts w:ascii="仿宋" w:hAnsi="仿宋" w:eastAsia="仿宋" w:cs="仿宋"/>
          <w:sz w:val="24"/>
        </w:rPr>
      </w:pPr>
      <w:bookmarkStart w:id="136" w:name="_Toc217446066"/>
      <w:bookmarkStart w:id="137" w:name="_Toc16721"/>
      <w:bookmarkStart w:id="138" w:name="_Toc11489"/>
      <w:bookmarkStart w:id="139" w:name="_Toc32057"/>
      <w:bookmarkStart w:id="140" w:name="_Toc8029"/>
      <w:bookmarkStart w:id="141" w:name="_Toc27332"/>
      <w:r>
        <w:rPr>
          <w:rFonts w:hint="eastAsia" w:ascii="仿宋" w:hAnsi="仿宋" w:eastAsia="仿宋" w:cs="仿宋"/>
          <w:sz w:val="24"/>
        </w:rPr>
        <w:t>30</w:t>
      </w:r>
      <w:bookmarkEnd w:id="136"/>
      <w:r>
        <w:rPr>
          <w:rFonts w:hint="eastAsia" w:ascii="仿宋" w:hAnsi="仿宋" w:eastAsia="仿宋" w:cs="仿宋"/>
          <w:sz w:val="24"/>
        </w:rPr>
        <w:t>．补充合同</w:t>
      </w:r>
      <w:bookmarkEnd w:id="137"/>
      <w:bookmarkEnd w:id="138"/>
      <w:bookmarkEnd w:id="139"/>
      <w:bookmarkEnd w:id="140"/>
      <w:bookmarkEnd w:id="141"/>
    </w:p>
    <w:p>
      <w:pPr>
        <w:tabs>
          <w:tab w:val="left" w:pos="7665"/>
        </w:tabs>
        <w:spacing w:beforeLines="50" w:afterLines="50" w:line="360" w:lineRule="auto"/>
        <w:ind w:firstLine="480" w:firstLineChars="200"/>
        <w:rPr>
          <w:rFonts w:ascii="仿宋" w:hAnsi="仿宋" w:eastAsia="仿宋" w:cs="仿宋"/>
          <w:sz w:val="24"/>
        </w:rPr>
      </w:pPr>
      <w:r>
        <w:rPr>
          <w:rFonts w:hint="eastAsia" w:ascii="仿宋" w:hAnsi="仿宋" w:eastAsia="仿宋" w:cs="仿宋"/>
          <w:sz w:val="24"/>
        </w:rPr>
        <w:t>采购合同履行过程中，招标人需要追加与合同标的相同的货物或者服务的，在不改变合同其他条款的前提下，可以与中标投标人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400" w:lineRule="exact"/>
        <w:ind w:firstLine="482" w:firstLineChars="200"/>
        <w:rPr>
          <w:rFonts w:ascii="仿宋" w:hAnsi="仿宋" w:eastAsia="仿宋" w:cs="仿宋"/>
          <w:sz w:val="24"/>
        </w:rPr>
      </w:pPr>
      <w:bookmarkStart w:id="142" w:name="_Toc22525"/>
      <w:bookmarkStart w:id="143" w:name="_Toc16256"/>
      <w:bookmarkStart w:id="144" w:name="_Toc29253"/>
      <w:bookmarkStart w:id="145" w:name="_Toc30063"/>
      <w:bookmarkStart w:id="146" w:name="_Toc14136"/>
      <w:bookmarkStart w:id="147" w:name="_Toc217446068"/>
      <w:bookmarkStart w:id="148" w:name="_Toc308164812"/>
      <w:r>
        <w:rPr>
          <w:rFonts w:hint="eastAsia" w:ascii="仿宋" w:hAnsi="仿宋" w:eastAsia="仿宋" w:cs="仿宋"/>
          <w:sz w:val="24"/>
        </w:rPr>
        <w:t>31．履约保证金</w:t>
      </w:r>
      <w:bookmarkEnd w:id="142"/>
      <w:bookmarkEnd w:id="143"/>
      <w:bookmarkEnd w:id="144"/>
      <w:bookmarkEnd w:id="145"/>
      <w:bookmarkEnd w:id="146"/>
      <w:bookmarkEnd w:id="147"/>
      <w:bookmarkEnd w:id="148"/>
    </w:p>
    <w:p>
      <w:pPr>
        <w:tabs>
          <w:tab w:val="left" w:pos="7665"/>
        </w:tabs>
        <w:spacing w:beforeLines="50" w:afterLines="50" w:line="360" w:lineRule="auto"/>
        <w:ind w:firstLine="480" w:firstLineChars="200"/>
        <w:rPr>
          <w:rFonts w:ascii="仿宋" w:hAnsi="仿宋" w:eastAsia="仿宋" w:cs="仿宋"/>
          <w:sz w:val="24"/>
        </w:rPr>
      </w:pPr>
      <w:r>
        <w:rPr>
          <w:rFonts w:hint="eastAsia" w:ascii="仿宋" w:hAnsi="仿宋" w:eastAsia="仿宋" w:cs="仿宋"/>
          <w:sz w:val="24"/>
        </w:rPr>
        <w:t>本项目不要求。</w:t>
      </w:r>
    </w:p>
    <w:p>
      <w:pPr>
        <w:pStyle w:val="5"/>
        <w:spacing w:line="400" w:lineRule="exact"/>
        <w:ind w:firstLine="482" w:firstLineChars="200"/>
        <w:rPr>
          <w:rFonts w:ascii="仿宋" w:hAnsi="仿宋" w:eastAsia="仿宋" w:cs="仿宋"/>
          <w:sz w:val="24"/>
        </w:rPr>
      </w:pPr>
      <w:bookmarkStart w:id="149" w:name="_Toc1073"/>
      <w:bookmarkStart w:id="150" w:name="_Toc15347"/>
      <w:bookmarkStart w:id="151" w:name="_Toc21695"/>
      <w:bookmarkStart w:id="152" w:name="_Toc15509"/>
      <w:bookmarkStart w:id="153" w:name="_Toc1327"/>
      <w:bookmarkStart w:id="154" w:name="_Toc217446069"/>
      <w:bookmarkStart w:id="155" w:name="_Toc308164813"/>
      <w:r>
        <w:rPr>
          <w:rFonts w:hint="eastAsia" w:ascii="仿宋" w:hAnsi="仿宋" w:eastAsia="仿宋" w:cs="仿宋"/>
          <w:sz w:val="24"/>
        </w:rPr>
        <w:t>32．合同公告</w:t>
      </w:r>
      <w:bookmarkEnd w:id="149"/>
      <w:bookmarkEnd w:id="150"/>
      <w:bookmarkEnd w:id="151"/>
      <w:bookmarkEnd w:id="152"/>
      <w:bookmarkEnd w:id="153"/>
    </w:p>
    <w:p>
      <w:pPr>
        <w:tabs>
          <w:tab w:val="left" w:pos="7665"/>
        </w:tabs>
        <w:spacing w:beforeLines="50" w:afterLines="50" w:line="360" w:lineRule="auto"/>
        <w:ind w:firstLine="480" w:firstLineChars="200"/>
        <w:rPr>
          <w:rFonts w:ascii="仿宋" w:hAnsi="仿宋" w:eastAsia="仿宋" w:cs="仿宋"/>
          <w:sz w:val="24"/>
        </w:rPr>
      </w:pPr>
      <w:r>
        <w:rPr>
          <w:rFonts w:hint="eastAsia" w:ascii="仿宋" w:hAnsi="仿宋" w:eastAsia="仿宋" w:cs="仿宋"/>
          <w:sz w:val="24"/>
        </w:rPr>
        <w:t>招标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pStyle w:val="5"/>
        <w:spacing w:line="400" w:lineRule="exact"/>
        <w:ind w:firstLine="482" w:firstLineChars="200"/>
        <w:rPr>
          <w:rFonts w:ascii="仿宋" w:hAnsi="仿宋" w:eastAsia="仿宋" w:cs="仿宋"/>
          <w:sz w:val="24"/>
        </w:rPr>
      </w:pPr>
      <w:bookmarkStart w:id="156" w:name="_Toc27724"/>
      <w:bookmarkStart w:id="157" w:name="_Toc11922"/>
      <w:bookmarkStart w:id="158" w:name="_Toc18125"/>
      <w:bookmarkStart w:id="159" w:name="_Toc14486"/>
      <w:bookmarkStart w:id="160" w:name="_Toc30297"/>
      <w:r>
        <w:rPr>
          <w:rFonts w:hint="eastAsia" w:ascii="仿宋" w:hAnsi="仿宋" w:eastAsia="仿宋" w:cs="仿宋"/>
          <w:sz w:val="24"/>
        </w:rPr>
        <w:t>33．合同备案</w:t>
      </w:r>
      <w:bookmarkEnd w:id="156"/>
      <w:bookmarkEnd w:id="157"/>
      <w:bookmarkEnd w:id="158"/>
      <w:bookmarkEnd w:id="159"/>
      <w:bookmarkEnd w:id="160"/>
    </w:p>
    <w:p>
      <w:pPr>
        <w:tabs>
          <w:tab w:val="left" w:pos="7665"/>
        </w:tabs>
        <w:spacing w:beforeLines="50" w:afterLines="50" w:line="360" w:lineRule="auto"/>
        <w:ind w:firstLine="480" w:firstLineChars="200"/>
        <w:rPr>
          <w:rFonts w:ascii="仿宋" w:hAnsi="仿宋" w:eastAsia="仿宋" w:cs="仿宋"/>
          <w:sz w:val="24"/>
        </w:rPr>
      </w:pPr>
      <w:r>
        <w:rPr>
          <w:rFonts w:hint="eastAsia" w:ascii="仿宋" w:hAnsi="仿宋" w:eastAsia="仿宋" w:cs="仿宋"/>
          <w:sz w:val="24"/>
        </w:rPr>
        <w:t>招标人应当将政府采购合同副本自签订（双方当事人均已签字盖章）之日起七个工作日内通过四川政府采购网报同级财政部门备案。</w:t>
      </w:r>
    </w:p>
    <w:p>
      <w:pPr>
        <w:pStyle w:val="5"/>
        <w:spacing w:line="400" w:lineRule="exact"/>
        <w:ind w:firstLine="482" w:firstLineChars="200"/>
        <w:rPr>
          <w:rFonts w:ascii="仿宋" w:hAnsi="仿宋" w:eastAsia="仿宋" w:cs="仿宋"/>
          <w:sz w:val="24"/>
        </w:rPr>
      </w:pPr>
      <w:bookmarkStart w:id="161" w:name="_Toc22461"/>
      <w:bookmarkStart w:id="162" w:name="_Toc25831"/>
      <w:bookmarkStart w:id="163" w:name="_Toc25154"/>
      <w:bookmarkStart w:id="164" w:name="_Toc23161"/>
      <w:bookmarkStart w:id="165" w:name="_Toc4051"/>
      <w:r>
        <w:rPr>
          <w:rFonts w:hint="eastAsia" w:ascii="仿宋" w:hAnsi="仿宋" w:eastAsia="仿宋" w:cs="仿宋"/>
          <w:sz w:val="24"/>
        </w:rPr>
        <w:t>34．履行合同</w:t>
      </w:r>
      <w:bookmarkEnd w:id="154"/>
      <w:bookmarkEnd w:id="155"/>
      <w:bookmarkEnd w:id="161"/>
      <w:bookmarkEnd w:id="162"/>
      <w:bookmarkEnd w:id="163"/>
      <w:bookmarkEnd w:id="164"/>
      <w:bookmarkEnd w:id="165"/>
    </w:p>
    <w:p>
      <w:pPr>
        <w:tabs>
          <w:tab w:val="left" w:pos="7665"/>
        </w:tabs>
        <w:spacing w:beforeLines="50" w:afterLines="50" w:line="360" w:lineRule="auto"/>
        <w:ind w:firstLine="480" w:firstLineChars="200"/>
        <w:rPr>
          <w:rFonts w:ascii="仿宋" w:hAnsi="仿宋" w:eastAsia="仿宋" w:cs="仿宋"/>
          <w:sz w:val="24"/>
        </w:rPr>
      </w:pPr>
      <w:r>
        <w:rPr>
          <w:rFonts w:hint="eastAsia" w:ascii="仿宋" w:hAnsi="仿宋" w:eastAsia="仿宋" w:cs="仿宋"/>
          <w:sz w:val="24"/>
        </w:rPr>
        <w:t>34.1 中标人与招标人签订合同后，合同双方应严格执行合同条款，履行合同规定的义务，保证合同的顺利完成。</w:t>
      </w:r>
    </w:p>
    <w:p>
      <w:pPr>
        <w:tabs>
          <w:tab w:val="left" w:pos="7665"/>
        </w:tabs>
        <w:spacing w:beforeLines="50" w:afterLines="50" w:line="360" w:lineRule="auto"/>
        <w:ind w:firstLine="480" w:firstLineChars="200"/>
        <w:rPr>
          <w:rFonts w:ascii="仿宋" w:hAnsi="仿宋" w:eastAsia="仿宋" w:cs="仿宋"/>
          <w:sz w:val="24"/>
        </w:rPr>
      </w:pPr>
      <w:r>
        <w:rPr>
          <w:rFonts w:hint="eastAsia" w:ascii="仿宋" w:hAnsi="仿宋" w:eastAsia="仿宋" w:cs="仿宋"/>
          <w:sz w:val="24"/>
        </w:rPr>
        <w:t>34.2 在合同履行过程中，如发生合同纠纷，合同双方应按照《中华人民共和国民法典》的有关规定进行处理。</w:t>
      </w:r>
    </w:p>
    <w:p>
      <w:pPr>
        <w:pStyle w:val="5"/>
        <w:spacing w:line="400" w:lineRule="exact"/>
        <w:ind w:firstLine="482" w:firstLineChars="200"/>
        <w:rPr>
          <w:rFonts w:ascii="仿宋" w:hAnsi="仿宋" w:eastAsia="仿宋" w:cs="仿宋"/>
          <w:sz w:val="24"/>
        </w:rPr>
      </w:pPr>
      <w:bookmarkStart w:id="166" w:name="_Toc29516"/>
      <w:bookmarkStart w:id="167" w:name="_Toc217446070"/>
      <w:bookmarkStart w:id="168" w:name="_Toc19586"/>
      <w:bookmarkStart w:id="169" w:name="_Toc903"/>
      <w:bookmarkStart w:id="170" w:name="_Toc308164814"/>
      <w:bookmarkStart w:id="171" w:name="_Toc21582"/>
      <w:bookmarkStart w:id="172" w:name="_Toc28967"/>
      <w:r>
        <w:rPr>
          <w:rFonts w:hint="eastAsia" w:ascii="仿宋" w:hAnsi="仿宋" w:eastAsia="仿宋" w:cs="仿宋"/>
          <w:sz w:val="24"/>
        </w:rPr>
        <w:t>35．验收</w:t>
      </w:r>
      <w:bookmarkEnd w:id="166"/>
      <w:bookmarkEnd w:id="167"/>
      <w:bookmarkEnd w:id="168"/>
      <w:bookmarkEnd w:id="169"/>
      <w:bookmarkEnd w:id="170"/>
      <w:bookmarkEnd w:id="171"/>
      <w:bookmarkEnd w:id="172"/>
    </w:p>
    <w:p>
      <w:pPr>
        <w:tabs>
          <w:tab w:val="left" w:pos="7665"/>
        </w:tabs>
        <w:spacing w:beforeLines="50" w:afterLines="50" w:line="360" w:lineRule="auto"/>
        <w:ind w:firstLine="480" w:firstLineChars="200"/>
        <w:rPr>
          <w:rFonts w:ascii="仿宋" w:hAnsi="仿宋" w:eastAsia="仿宋" w:cs="仿宋"/>
          <w:sz w:val="24"/>
        </w:rPr>
      </w:pPr>
      <w:r>
        <w:rPr>
          <w:rFonts w:hint="eastAsia" w:ascii="仿宋" w:hAnsi="仿宋" w:eastAsia="仿宋" w:cs="仿宋"/>
          <w:sz w:val="24"/>
        </w:rPr>
        <w:t>35.1本项目招标人及其委托的招标代理机构将严格按照政府采购相关法律法规以及《财政部关于进一步加强政府采购需求和履约验收管理的指导意见》（财库（2016）205号）的要求进行验收。</w:t>
      </w:r>
    </w:p>
    <w:p>
      <w:pPr>
        <w:tabs>
          <w:tab w:val="left" w:pos="7665"/>
        </w:tabs>
        <w:spacing w:beforeLines="50" w:afterLines="50" w:line="360" w:lineRule="auto"/>
        <w:ind w:firstLine="480" w:firstLineChars="200"/>
        <w:rPr>
          <w:rFonts w:ascii="仿宋" w:hAnsi="仿宋" w:eastAsia="仿宋" w:cs="仿宋"/>
          <w:sz w:val="24"/>
        </w:rPr>
      </w:pPr>
      <w:r>
        <w:rPr>
          <w:rFonts w:hint="eastAsia" w:ascii="仿宋" w:hAnsi="仿宋" w:eastAsia="仿宋" w:cs="仿宋"/>
          <w:sz w:val="24"/>
        </w:rPr>
        <w:t>35.2 验收结果合格的，中标人凭项目验收报告到招标人处办理履约保证金的退付手续；验收结果不合格的，履约保证金将不予退还，也将不予支付采购资金，还可能会报告本项目同级财政部门按照政府采购法律法规等有关规定给予行政处罚或者以失信行为记入诚信档案。</w:t>
      </w:r>
      <w:bookmarkStart w:id="173" w:name="_Toc217446071"/>
    </w:p>
    <w:p>
      <w:pPr>
        <w:pStyle w:val="5"/>
        <w:spacing w:line="400" w:lineRule="exact"/>
        <w:ind w:firstLine="482" w:firstLineChars="200"/>
        <w:rPr>
          <w:rFonts w:ascii="仿宋" w:hAnsi="仿宋" w:eastAsia="仿宋" w:cs="仿宋"/>
          <w:sz w:val="24"/>
        </w:rPr>
      </w:pPr>
      <w:bookmarkStart w:id="174" w:name="_Toc3234"/>
      <w:bookmarkStart w:id="175" w:name="_Toc308164818"/>
      <w:bookmarkStart w:id="176" w:name="_Toc23608"/>
      <w:bookmarkStart w:id="177" w:name="_Toc217446077"/>
      <w:bookmarkStart w:id="178" w:name="_Toc28568"/>
      <w:bookmarkStart w:id="179" w:name="_Toc4035"/>
      <w:bookmarkStart w:id="180" w:name="_Toc3995"/>
      <w:r>
        <w:rPr>
          <w:rFonts w:hint="eastAsia" w:ascii="仿宋" w:hAnsi="仿宋" w:eastAsia="仿宋" w:cs="仿宋"/>
          <w:sz w:val="24"/>
        </w:rPr>
        <w:t>36．资金支付</w:t>
      </w:r>
      <w:bookmarkEnd w:id="173"/>
      <w:bookmarkEnd w:id="174"/>
      <w:bookmarkEnd w:id="175"/>
      <w:bookmarkEnd w:id="176"/>
      <w:bookmarkEnd w:id="177"/>
      <w:bookmarkEnd w:id="178"/>
      <w:bookmarkEnd w:id="179"/>
      <w:bookmarkEnd w:id="180"/>
    </w:p>
    <w:p>
      <w:pPr>
        <w:pStyle w:val="4"/>
        <w:spacing w:line="400" w:lineRule="exact"/>
        <w:jc w:val="left"/>
        <w:rPr>
          <w:rFonts w:ascii="仿宋" w:hAnsi="仿宋" w:eastAsia="仿宋" w:cs="仿宋"/>
          <w:b w:val="0"/>
          <w:bCs w:val="0"/>
          <w:sz w:val="24"/>
        </w:rPr>
      </w:pPr>
      <w:r>
        <w:rPr>
          <w:rFonts w:hint="eastAsia" w:ascii="仿宋" w:hAnsi="仿宋" w:eastAsia="仿宋" w:cs="仿宋"/>
          <w:b w:val="0"/>
          <w:bCs w:val="0"/>
          <w:sz w:val="24"/>
        </w:rPr>
        <w:t xml:space="preserve">    36.1招标人将按照政府采购合同规定，及时向中标投标人支付采购资金。本项目采购资金采取授权支付，支付程序为：见第六章商务要求条款</w:t>
      </w:r>
    </w:p>
    <w:p>
      <w:pPr>
        <w:pStyle w:val="4"/>
        <w:spacing w:line="400" w:lineRule="exact"/>
        <w:jc w:val="center"/>
        <w:rPr>
          <w:rFonts w:ascii="仿宋" w:hAnsi="仿宋" w:eastAsia="仿宋" w:cs="仿宋"/>
          <w:szCs w:val="28"/>
        </w:rPr>
      </w:pPr>
      <w:r>
        <w:rPr>
          <w:rFonts w:hint="eastAsia" w:ascii="仿宋" w:hAnsi="仿宋" w:eastAsia="仿宋" w:cs="仿宋"/>
          <w:szCs w:val="28"/>
        </w:rPr>
        <w:t>七、投标纪律要求</w:t>
      </w:r>
      <w:bookmarkEnd w:id="122"/>
      <w:bookmarkEnd w:id="123"/>
    </w:p>
    <w:p>
      <w:pPr>
        <w:pStyle w:val="5"/>
        <w:spacing w:line="400" w:lineRule="exact"/>
        <w:ind w:firstLine="482" w:firstLineChars="200"/>
        <w:rPr>
          <w:rFonts w:ascii="仿宋" w:hAnsi="仿宋" w:eastAsia="仿宋" w:cs="仿宋"/>
          <w:bCs w:val="0"/>
          <w:sz w:val="24"/>
          <w:szCs w:val="24"/>
        </w:rPr>
      </w:pPr>
      <w:bookmarkStart w:id="181" w:name="_Toc308164816"/>
      <w:bookmarkStart w:id="182" w:name="_Toc217446075"/>
      <w:r>
        <w:rPr>
          <w:rFonts w:hint="eastAsia" w:ascii="仿宋" w:hAnsi="仿宋" w:eastAsia="仿宋" w:cs="仿宋"/>
          <w:sz w:val="24"/>
        </w:rPr>
        <w:t xml:space="preserve">37. </w:t>
      </w:r>
      <w:r>
        <w:rPr>
          <w:rFonts w:hint="eastAsia" w:ascii="仿宋" w:hAnsi="仿宋" w:eastAsia="仿宋" w:cs="仿宋"/>
          <w:bCs w:val="0"/>
          <w:sz w:val="24"/>
          <w:szCs w:val="24"/>
        </w:rPr>
        <w:t>投标人</w:t>
      </w:r>
      <w:bookmarkEnd w:id="181"/>
      <w:bookmarkEnd w:id="182"/>
      <w:r>
        <w:rPr>
          <w:rFonts w:hint="eastAsia" w:ascii="仿宋" w:hAnsi="仿宋" w:eastAsia="仿宋" w:cs="仿宋"/>
          <w:bCs w:val="0"/>
          <w:sz w:val="24"/>
          <w:szCs w:val="24"/>
        </w:rPr>
        <w:t>纪律要求</w:t>
      </w:r>
    </w:p>
    <w:p>
      <w:pPr>
        <w:pStyle w:val="8"/>
        <w:spacing w:line="400" w:lineRule="exact"/>
        <w:ind w:firstLine="480"/>
        <w:rPr>
          <w:rFonts w:ascii="仿宋" w:hAnsi="仿宋" w:eastAsia="仿宋" w:cs="仿宋"/>
          <w:sz w:val="24"/>
        </w:rPr>
      </w:pPr>
      <w:r>
        <w:rPr>
          <w:rFonts w:hint="eastAsia" w:ascii="仿宋" w:hAnsi="仿宋" w:eastAsia="仿宋" w:cs="仿宋"/>
          <w:sz w:val="24"/>
        </w:rPr>
        <w:t>投标人应当遵循公平竞争的原则，不得恶意串通，不得妨碍其他投标人的竞争行为，不得损害采购人或者其他投标人的合法权益。</w:t>
      </w:r>
    </w:p>
    <w:p>
      <w:pPr>
        <w:pStyle w:val="8"/>
        <w:spacing w:line="400" w:lineRule="exact"/>
        <w:ind w:firstLine="480"/>
        <w:rPr>
          <w:rFonts w:ascii="仿宋" w:hAnsi="仿宋" w:eastAsia="仿宋" w:cs="仿宋"/>
          <w:sz w:val="24"/>
        </w:rPr>
      </w:pPr>
      <w:r>
        <w:rPr>
          <w:rFonts w:hint="eastAsia" w:ascii="仿宋" w:hAnsi="仿宋" w:eastAsia="仿宋" w:cs="仿宋"/>
          <w:sz w:val="24"/>
        </w:rPr>
        <w:t>在评标过程中发现投标人有上述情形的，评标委员会应当认定其投标无效，并书面报告本级财政部门。</w:t>
      </w:r>
    </w:p>
    <w:p>
      <w:pPr>
        <w:spacing w:line="400" w:lineRule="exact"/>
        <w:ind w:firstLine="480" w:firstLineChars="200"/>
        <w:rPr>
          <w:rFonts w:ascii="仿宋" w:hAnsi="仿宋" w:eastAsia="仿宋" w:cs="仿宋"/>
          <w:sz w:val="24"/>
        </w:rPr>
      </w:pPr>
      <w:r>
        <w:rPr>
          <w:rFonts w:hint="eastAsia" w:ascii="仿宋" w:hAnsi="仿宋" w:eastAsia="仿宋" w:cs="仿宋"/>
          <w:sz w:val="24"/>
        </w:rPr>
        <w:t>37.1 投标人参加本项目投标不得有下列情形：</w:t>
      </w:r>
    </w:p>
    <w:p>
      <w:pPr>
        <w:spacing w:line="400" w:lineRule="exact"/>
        <w:ind w:firstLine="480" w:firstLineChars="200"/>
        <w:rPr>
          <w:rFonts w:ascii="仿宋" w:hAnsi="仿宋" w:eastAsia="仿宋" w:cs="仿宋"/>
          <w:sz w:val="24"/>
        </w:rPr>
      </w:pPr>
      <w:r>
        <w:rPr>
          <w:rFonts w:hint="eastAsia" w:ascii="仿宋" w:hAnsi="仿宋" w:eastAsia="仿宋" w:cs="仿宋"/>
          <w:sz w:val="24"/>
        </w:rPr>
        <w:t>（1）提供虚假材料谋取中标；</w:t>
      </w:r>
    </w:p>
    <w:p>
      <w:pPr>
        <w:spacing w:line="400" w:lineRule="exact"/>
        <w:ind w:firstLine="480" w:firstLineChars="200"/>
        <w:rPr>
          <w:rFonts w:ascii="仿宋" w:hAnsi="仿宋" w:eastAsia="仿宋" w:cs="仿宋"/>
          <w:sz w:val="24"/>
        </w:rPr>
      </w:pPr>
      <w:r>
        <w:rPr>
          <w:rFonts w:hint="eastAsia" w:ascii="仿宋" w:hAnsi="仿宋" w:eastAsia="仿宋" w:cs="仿宋"/>
          <w:sz w:val="24"/>
        </w:rPr>
        <w:t>（2）采取不正当手段诋毁、排挤其他投标人；</w:t>
      </w:r>
    </w:p>
    <w:p>
      <w:pPr>
        <w:spacing w:line="400" w:lineRule="exact"/>
        <w:ind w:firstLine="480" w:firstLineChars="200"/>
        <w:rPr>
          <w:rFonts w:ascii="仿宋" w:hAnsi="仿宋" w:eastAsia="仿宋" w:cs="仿宋"/>
          <w:sz w:val="24"/>
        </w:rPr>
      </w:pPr>
      <w:r>
        <w:rPr>
          <w:rFonts w:hint="eastAsia" w:ascii="仿宋" w:hAnsi="仿宋" w:eastAsia="仿宋" w:cs="仿宋"/>
          <w:sz w:val="24"/>
        </w:rPr>
        <w:t>（3）与招标采购单位、其他投标人恶意串通；</w:t>
      </w:r>
    </w:p>
    <w:p>
      <w:pPr>
        <w:spacing w:line="400" w:lineRule="exact"/>
        <w:ind w:firstLine="480" w:firstLineChars="200"/>
        <w:rPr>
          <w:rFonts w:ascii="仿宋" w:hAnsi="仿宋" w:eastAsia="仿宋" w:cs="仿宋"/>
          <w:sz w:val="24"/>
        </w:rPr>
      </w:pPr>
      <w:r>
        <w:rPr>
          <w:rFonts w:hint="eastAsia" w:ascii="仿宋" w:hAnsi="仿宋" w:eastAsia="仿宋" w:cs="仿宋"/>
          <w:sz w:val="24"/>
        </w:rPr>
        <w:t>（4）向招标采购单位、评标委员会成员行贿或者提供其他不正当利益；</w:t>
      </w:r>
    </w:p>
    <w:p>
      <w:pPr>
        <w:spacing w:line="400" w:lineRule="exact"/>
        <w:ind w:firstLine="480" w:firstLineChars="200"/>
        <w:rPr>
          <w:rFonts w:ascii="仿宋" w:hAnsi="仿宋" w:eastAsia="仿宋" w:cs="仿宋"/>
          <w:sz w:val="24"/>
        </w:rPr>
      </w:pPr>
      <w:r>
        <w:rPr>
          <w:rFonts w:hint="eastAsia" w:ascii="仿宋" w:hAnsi="仿宋" w:eastAsia="仿宋" w:cs="仿宋"/>
          <w:sz w:val="24"/>
        </w:rPr>
        <w:t>（5）在招标过程中与招标采购单位进行协商谈判；</w:t>
      </w:r>
    </w:p>
    <w:p>
      <w:pPr>
        <w:spacing w:line="400" w:lineRule="exact"/>
        <w:ind w:firstLine="480" w:firstLineChars="200"/>
        <w:rPr>
          <w:rFonts w:ascii="仿宋" w:hAnsi="仿宋" w:eastAsia="仿宋" w:cs="仿宋"/>
          <w:sz w:val="24"/>
        </w:rPr>
      </w:pPr>
      <w:r>
        <w:rPr>
          <w:rFonts w:hint="eastAsia" w:ascii="仿宋" w:hAnsi="仿宋" w:eastAsia="仿宋" w:cs="仿宋"/>
          <w:sz w:val="24"/>
        </w:rPr>
        <w:t>（6）中标或者成交后无正当理由拒不与采购人签订政府采购合同；</w:t>
      </w:r>
    </w:p>
    <w:p>
      <w:pPr>
        <w:spacing w:line="400" w:lineRule="exact"/>
        <w:ind w:firstLine="480" w:firstLineChars="200"/>
        <w:rPr>
          <w:rFonts w:ascii="仿宋" w:hAnsi="仿宋" w:eastAsia="仿宋" w:cs="仿宋"/>
          <w:sz w:val="24"/>
        </w:rPr>
      </w:pPr>
      <w:r>
        <w:rPr>
          <w:rFonts w:hint="eastAsia" w:ascii="仿宋" w:hAnsi="仿宋" w:eastAsia="仿宋" w:cs="仿宋"/>
          <w:sz w:val="24"/>
        </w:rPr>
        <w:t>（7）未按照采购文件确定的事项签订政府采购合同；</w:t>
      </w:r>
    </w:p>
    <w:p>
      <w:pPr>
        <w:spacing w:line="400" w:lineRule="exact"/>
        <w:ind w:firstLine="480" w:firstLineChars="200"/>
        <w:rPr>
          <w:rFonts w:ascii="仿宋" w:hAnsi="仿宋" w:eastAsia="仿宋" w:cs="仿宋"/>
          <w:sz w:val="24"/>
        </w:rPr>
      </w:pPr>
      <w:r>
        <w:rPr>
          <w:rFonts w:hint="eastAsia" w:ascii="仿宋" w:hAnsi="仿宋" w:eastAsia="仿宋" w:cs="仿宋"/>
          <w:sz w:val="24"/>
        </w:rPr>
        <w:t>（8）将政府采购合同转包或者违规分包；</w:t>
      </w:r>
    </w:p>
    <w:p>
      <w:pPr>
        <w:spacing w:line="400" w:lineRule="exact"/>
        <w:ind w:firstLine="480" w:firstLineChars="200"/>
        <w:rPr>
          <w:rFonts w:ascii="仿宋" w:hAnsi="仿宋" w:eastAsia="仿宋" w:cs="仿宋"/>
          <w:sz w:val="24"/>
        </w:rPr>
      </w:pPr>
      <w:r>
        <w:rPr>
          <w:rFonts w:hint="eastAsia" w:ascii="仿宋" w:hAnsi="仿宋" w:eastAsia="仿宋" w:cs="仿宋"/>
          <w:sz w:val="24"/>
        </w:rPr>
        <w:t>（9）提供假冒伪劣产品；</w:t>
      </w:r>
    </w:p>
    <w:p>
      <w:pPr>
        <w:spacing w:line="400" w:lineRule="exact"/>
        <w:ind w:firstLine="480" w:firstLineChars="200"/>
        <w:rPr>
          <w:rFonts w:ascii="仿宋" w:hAnsi="仿宋" w:eastAsia="仿宋" w:cs="仿宋"/>
          <w:sz w:val="24"/>
        </w:rPr>
      </w:pPr>
      <w:r>
        <w:rPr>
          <w:rFonts w:hint="eastAsia" w:ascii="仿宋" w:hAnsi="仿宋" w:eastAsia="仿宋" w:cs="仿宋"/>
          <w:sz w:val="24"/>
        </w:rPr>
        <w:t>（10）擅自变更、中止或者终止政府采购合同；</w:t>
      </w:r>
    </w:p>
    <w:p>
      <w:pPr>
        <w:spacing w:line="400" w:lineRule="exact"/>
        <w:ind w:firstLine="480" w:firstLineChars="200"/>
        <w:rPr>
          <w:rFonts w:ascii="仿宋" w:hAnsi="仿宋" w:eastAsia="仿宋" w:cs="仿宋"/>
          <w:sz w:val="24"/>
        </w:rPr>
      </w:pPr>
      <w:r>
        <w:rPr>
          <w:rFonts w:hint="eastAsia" w:ascii="仿宋" w:hAnsi="仿宋" w:eastAsia="仿宋" w:cs="仿宋"/>
          <w:sz w:val="24"/>
        </w:rPr>
        <w:t>（11）拒绝有关部门的监督检查或者向监督检查部门提供虚假情况；</w:t>
      </w:r>
    </w:p>
    <w:p>
      <w:pPr>
        <w:spacing w:line="400" w:lineRule="exact"/>
        <w:ind w:firstLine="480" w:firstLineChars="200"/>
        <w:rPr>
          <w:rFonts w:ascii="仿宋" w:hAnsi="仿宋" w:eastAsia="仿宋" w:cs="仿宋"/>
          <w:sz w:val="24"/>
        </w:rPr>
      </w:pPr>
      <w:r>
        <w:rPr>
          <w:rFonts w:hint="eastAsia" w:ascii="仿宋" w:hAnsi="仿宋" w:eastAsia="仿宋" w:cs="仿宋"/>
          <w:sz w:val="24"/>
        </w:rPr>
        <w:t>（12）法律法规规定的其他情形。</w:t>
      </w:r>
    </w:p>
    <w:p>
      <w:pPr>
        <w:spacing w:line="400" w:lineRule="exact"/>
        <w:ind w:firstLine="480" w:firstLineChars="200"/>
        <w:rPr>
          <w:rFonts w:ascii="仿宋" w:hAnsi="仿宋" w:eastAsia="仿宋" w:cs="仿宋"/>
          <w:sz w:val="24"/>
        </w:rPr>
      </w:pPr>
      <w:r>
        <w:rPr>
          <w:rFonts w:hint="eastAsia" w:ascii="仿宋" w:hAnsi="仿宋" w:eastAsia="仿宋" w:cs="仿宋"/>
          <w:sz w:val="24"/>
        </w:rPr>
        <w:t>投标人有上述情形的，按照规定追究法律责任，具备（1）-（10）条情形之一的，同时将取消中标资格或者认定中标无效。</w:t>
      </w:r>
    </w:p>
    <w:p>
      <w:pPr>
        <w:spacing w:line="400" w:lineRule="exact"/>
        <w:ind w:firstLine="480" w:firstLineChars="200"/>
        <w:rPr>
          <w:rFonts w:ascii="仿宋" w:hAnsi="仿宋" w:eastAsia="仿宋" w:cs="仿宋"/>
          <w:sz w:val="24"/>
        </w:rPr>
      </w:pPr>
      <w:r>
        <w:rPr>
          <w:rFonts w:hint="eastAsia" w:ascii="仿宋" w:hAnsi="仿宋" w:eastAsia="仿宋" w:cs="仿宋"/>
          <w:sz w:val="24"/>
        </w:rPr>
        <w:t>37.2 投标人有下列情形之一的，视为投标人串通投标，其投标无效：</w:t>
      </w:r>
    </w:p>
    <w:p>
      <w:pPr>
        <w:spacing w:line="400" w:lineRule="exact"/>
        <w:ind w:firstLine="480" w:firstLineChars="200"/>
        <w:rPr>
          <w:rFonts w:ascii="仿宋" w:hAnsi="仿宋" w:eastAsia="仿宋" w:cs="仿宋"/>
          <w:sz w:val="24"/>
        </w:rPr>
      </w:pPr>
      <w:r>
        <w:rPr>
          <w:rFonts w:hint="eastAsia" w:ascii="仿宋" w:hAnsi="仿宋" w:eastAsia="仿宋" w:cs="仿宋"/>
          <w:sz w:val="24"/>
        </w:rPr>
        <w:t>（1）不同投标人的投标文件由同一单位或者个人编制；</w:t>
      </w:r>
    </w:p>
    <w:p>
      <w:pPr>
        <w:spacing w:line="400" w:lineRule="exact"/>
        <w:ind w:firstLine="480" w:firstLineChars="200"/>
        <w:rPr>
          <w:rFonts w:ascii="仿宋" w:hAnsi="仿宋" w:eastAsia="仿宋" w:cs="仿宋"/>
          <w:sz w:val="24"/>
        </w:rPr>
      </w:pPr>
      <w:r>
        <w:rPr>
          <w:rFonts w:hint="eastAsia" w:ascii="仿宋" w:hAnsi="仿宋" w:eastAsia="仿宋" w:cs="仿宋"/>
          <w:sz w:val="24"/>
        </w:rPr>
        <w:t>（2）不同投标人委托同一单位或者个人办理投标事宜；</w:t>
      </w:r>
    </w:p>
    <w:p>
      <w:pPr>
        <w:spacing w:line="400" w:lineRule="exact"/>
        <w:ind w:firstLine="480" w:firstLineChars="200"/>
        <w:rPr>
          <w:rFonts w:ascii="仿宋" w:hAnsi="仿宋" w:eastAsia="仿宋" w:cs="仿宋"/>
          <w:sz w:val="24"/>
        </w:rPr>
      </w:pPr>
      <w:r>
        <w:rPr>
          <w:rFonts w:hint="eastAsia" w:ascii="仿宋" w:hAnsi="仿宋" w:eastAsia="仿宋" w:cs="仿宋"/>
          <w:sz w:val="24"/>
        </w:rPr>
        <w:t>（3）不同投标人的投标文件载明的项目管理成员或者联系人员为同一人；</w:t>
      </w:r>
    </w:p>
    <w:p>
      <w:pPr>
        <w:spacing w:line="400" w:lineRule="exact"/>
        <w:ind w:firstLine="480" w:firstLineChars="200"/>
        <w:rPr>
          <w:rFonts w:ascii="仿宋" w:hAnsi="仿宋" w:eastAsia="仿宋" w:cs="仿宋"/>
          <w:sz w:val="24"/>
        </w:rPr>
      </w:pPr>
      <w:r>
        <w:rPr>
          <w:rFonts w:hint="eastAsia" w:ascii="仿宋" w:hAnsi="仿宋" w:eastAsia="仿宋" w:cs="仿宋"/>
          <w:sz w:val="24"/>
        </w:rPr>
        <w:t>（4）不同投标人的投标文件异常一致或者投标报价呈规律性差异；</w:t>
      </w:r>
    </w:p>
    <w:p>
      <w:pPr>
        <w:spacing w:line="400" w:lineRule="exact"/>
        <w:ind w:firstLine="480" w:firstLineChars="200"/>
        <w:rPr>
          <w:rFonts w:ascii="仿宋" w:hAnsi="仿宋" w:eastAsia="仿宋" w:cs="仿宋"/>
          <w:sz w:val="24"/>
        </w:rPr>
      </w:pPr>
      <w:r>
        <w:rPr>
          <w:rFonts w:hint="eastAsia" w:ascii="仿宋" w:hAnsi="仿宋" w:eastAsia="仿宋" w:cs="仿宋"/>
          <w:sz w:val="24"/>
        </w:rPr>
        <w:t>（5）不同投标人的投标文件相互混装；</w:t>
      </w:r>
    </w:p>
    <w:p>
      <w:pPr>
        <w:spacing w:line="400" w:lineRule="exact"/>
        <w:ind w:firstLine="480" w:firstLineChars="200"/>
        <w:rPr>
          <w:rFonts w:ascii="仿宋" w:hAnsi="仿宋" w:eastAsia="仿宋" w:cs="仿宋"/>
          <w:sz w:val="24"/>
        </w:rPr>
      </w:pPr>
      <w:r>
        <w:rPr>
          <w:rFonts w:hint="eastAsia" w:ascii="仿宋" w:hAnsi="仿宋" w:eastAsia="仿宋" w:cs="仿宋"/>
          <w:sz w:val="24"/>
        </w:rPr>
        <w:t>（6）不同投标人的投标保证金从同一单位或者个人的账户转出。</w:t>
      </w:r>
    </w:p>
    <w:p>
      <w:pPr>
        <w:spacing w:line="400" w:lineRule="exact"/>
        <w:ind w:firstLine="480" w:firstLineChars="200"/>
        <w:rPr>
          <w:rFonts w:ascii="仿宋" w:hAnsi="仿宋" w:eastAsia="仿宋" w:cs="仿宋"/>
          <w:sz w:val="24"/>
        </w:rPr>
      </w:pPr>
    </w:p>
    <w:p>
      <w:pPr>
        <w:pStyle w:val="4"/>
        <w:spacing w:line="400" w:lineRule="exact"/>
        <w:jc w:val="center"/>
        <w:rPr>
          <w:rFonts w:ascii="仿宋" w:hAnsi="仿宋" w:eastAsia="仿宋" w:cs="仿宋"/>
          <w:bCs w:val="0"/>
          <w:szCs w:val="28"/>
        </w:rPr>
      </w:pPr>
      <w:bookmarkStart w:id="183" w:name="_Toc217446078"/>
      <w:bookmarkStart w:id="184" w:name="_Toc308164819"/>
      <w:r>
        <w:rPr>
          <w:rFonts w:hint="eastAsia" w:ascii="仿宋" w:hAnsi="仿宋" w:eastAsia="仿宋" w:cs="仿宋"/>
          <w:bCs w:val="0"/>
          <w:szCs w:val="28"/>
        </w:rPr>
        <w:t>八、询问、质疑和投诉</w:t>
      </w:r>
      <w:bookmarkEnd w:id="183"/>
      <w:bookmarkEnd w:id="184"/>
      <w:bookmarkStart w:id="185" w:name="_Toc217446079"/>
      <w:bookmarkEnd w:id="185"/>
    </w:p>
    <w:p>
      <w:pPr>
        <w:widowControl/>
        <w:spacing w:line="360" w:lineRule="atLeast"/>
        <w:ind w:firstLine="472" w:firstLineChars="196"/>
        <w:jc w:val="left"/>
        <w:outlineLvl w:val="1"/>
        <w:rPr>
          <w:rFonts w:ascii="仿宋" w:hAnsi="仿宋" w:eastAsia="仿宋" w:cs="仿宋"/>
          <w:sz w:val="24"/>
        </w:rPr>
      </w:pPr>
      <w:r>
        <w:rPr>
          <w:rFonts w:hint="eastAsia" w:ascii="仿宋" w:hAnsi="仿宋" w:eastAsia="仿宋" w:cs="仿宋"/>
          <w:b/>
          <w:sz w:val="24"/>
        </w:rPr>
        <w:t>3</w:t>
      </w:r>
      <w:bookmarkEnd w:id="124"/>
      <w:bookmarkEnd w:id="125"/>
      <w:r>
        <w:rPr>
          <w:rFonts w:hint="eastAsia" w:ascii="仿宋" w:hAnsi="仿宋" w:eastAsia="仿宋" w:cs="仿宋"/>
          <w:b/>
          <w:sz w:val="24"/>
        </w:rPr>
        <w:t>8．</w:t>
      </w:r>
      <w:r>
        <w:rPr>
          <w:rFonts w:hint="eastAsia" w:ascii="仿宋" w:hAnsi="仿宋" w:eastAsia="仿宋" w:cs="仿宋"/>
          <w:sz w:val="24"/>
        </w:rPr>
        <w:t>询问、质疑、投诉的接收和处理严格按照《中华人民共和国政府采购法》、《中华人民共和国政府采购法实施条例》、《政府采购货物和服务招标投标管理办法》、《</w:t>
      </w:r>
      <w:r>
        <w:rPr>
          <w:rFonts w:hint="eastAsia" w:ascii="仿宋" w:hAnsi="仿宋" w:eastAsia="仿宋" w:cs="仿宋"/>
          <w:bCs/>
          <w:sz w:val="24"/>
        </w:rPr>
        <w:t>政府采购质疑和投诉办法</w:t>
      </w:r>
      <w:r>
        <w:rPr>
          <w:rFonts w:hint="eastAsia" w:ascii="仿宋" w:hAnsi="仿宋" w:eastAsia="仿宋" w:cs="仿宋"/>
          <w:sz w:val="24"/>
        </w:rPr>
        <w:t>》、《财政部关于加强政府采购供应商投诉受理审查工作的通知》和《四川省政府采购供应商投诉处理工作规程》的规定办理（详细规定请在四川政府采购网政策法规模块查询）。</w:t>
      </w:r>
    </w:p>
    <w:p>
      <w:pPr>
        <w:pStyle w:val="4"/>
        <w:spacing w:line="400" w:lineRule="exact"/>
        <w:jc w:val="center"/>
        <w:rPr>
          <w:rFonts w:ascii="仿宋" w:hAnsi="仿宋" w:eastAsia="仿宋" w:cs="仿宋"/>
          <w:bCs w:val="0"/>
          <w:szCs w:val="28"/>
        </w:rPr>
      </w:pPr>
      <w:r>
        <w:rPr>
          <w:rFonts w:hint="eastAsia" w:ascii="仿宋" w:hAnsi="仿宋" w:eastAsia="仿宋" w:cs="仿宋"/>
          <w:bCs w:val="0"/>
          <w:szCs w:val="28"/>
        </w:rPr>
        <w:t>九、其他</w:t>
      </w:r>
    </w:p>
    <w:p>
      <w:pPr>
        <w:widowControl/>
        <w:spacing w:line="360" w:lineRule="atLeast"/>
        <w:ind w:firstLine="482" w:firstLineChars="200"/>
        <w:jc w:val="left"/>
        <w:outlineLvl w:val="1"/>
        <w:rPr>
          <w:rFonts w:ascii="仿宋" w:hAnsi="仿宋" w:eastAsia="仿宋" w:cs="仿宋"/>
          <w:sz w:val="24"/>
        </w:rPr>
      </w:pPr>
      <w:r>
        <w:rPr>
          <w:rFonts w:hint="eastAsia" w:ascii="仿宋" w:hAnsi="仿宋" w:eastAsia="仿宋" w:cs="仿宋"/>
          <w:b/>
          <w:sz w:val="24"/>
        </w:rPr>
        <w:t>39.</w:t>
      </w:r>
      <w:r>
        <w:rPr>
          <w:rFonts w:hint="eastAsia" w:ascii="仿宋" w:hAnsi="仿宋" w:eastAsia="仿宋" w:cs="仿宋"/>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pacing w:line="400" w:lineRule="exact"/>
        <w:ind w:firstLine="482" w:firstLineChars="200"/>
        <w:jc w:val="left"/>
        <w:rPr>
          <w:rFonts w:ascii="仿宋" w:hAnsi="仿宋" w:eastAsia="仿宋" w:cs="仿宋"/>
          <w:kern w:val="0"/>
          <w:sz w:val="24"/>
        </w:rPr>
      </w:pPr>
      <w:r>
        <w:rPr>
          <w:rFonts w:hint="eastAsia" w:ascii="仿宋" w:hAnsi="仿宋" w:eastAsia="仿宋" w:cs="仿宋"/>
          <w:b/>
          <w:sz w:val="24"/>
        </w:rPr>
        <w:t>40.（实质性要求）</w:t>
      </w:r>
      <w:r>
        <w:rPr>
          <w:rFonts w:hint="eastAsia" w:ascii="仿宋" w:hAnsi="仿宋" w:eastAsia="仿宋" w:cs="仿宋"/>
          <w:sz w:val="24"/>
        </w:rPr>
        <w:t>国家或行业主管部门对采购产品的技术标准、质量标准和资格资质条件等有强制性规定的，必须符合其要求。</w:t>
      </w:r>
    </w:p>
    <w:p>
      <w:pPr>
        <w:widowControl/>
        <w:spacing w:after="0" w:line="240" w:lineRule="auto"/>
        <w:jc w:val="left"/>
        <w:rPr>
          <w:rFonts w:ascii="仿宋" w:hAnsi="仿宋" w:eastAsia="仿宋" w:cs="仿宋"/>
          <w:sz w:val="24"/>
        </w:rPr>
      </w:pPr>
      <w:bookmarkStart w:id="186" w:name="_Toc1368"/>
      <w:r>
        <w:rPr>
          <w:rFonts w:hint="eastAsia" w:ascii="仿宋" w:hAnsi="仿宋" w:eastAsia="仿宋" w:cs="仿宋"/>
          <w:b/>
          <w:bCs/>
          <w:sz w:val="24"/>
        </w:rPr>
        <w:br w:type="page"/>
      </w:r>
    </w:p>
    <w:p>
      <w:pPr>
        <w:pStyle w:val="3"/>
        <w:jc w:val="center"/>
        <w:rPr>
          <w:rFonts w:ascii="仿宋" w:hAnsi="仿宋" w:eastAsia="仿宋" w:cs="仿宋"/>
          <w:sz w:val="36"/>
          <w:szCs w:val="36"/>
        </w:rPr>
      </w:pPr>
      <w:bookmarkStart w:id="187" w:name="_Toc27605"/>
      <w:r>
        <w:rPr>
          <w:rFonts w:hint="eastAsia" w:ascii="仿宋" w:hAnsi="仿宋" w:eastAsia="仿宋" w:cs="仿宋"/>
          <w:sz w:val="36"/>
          <w:szCs w:val="36"/>
        </w:rPr>
        <w:t>第三章  投标文件格式</w:t>
      </w:r>
      <w:bookmarkEnd w:id="186"/>
      <w:bookmarkEnd w:id="187"/>
      <w:bookmarkStart w:id="188" w:name="_Toc217446082"/>
      <w:bookmarkStart w:id="189" w:name="_Toc308164821"/>
    </w:p>
    <w:p>
      <w:pPr>
        <w:widowControl/>
        <w:spacing w:line="360" w:lineRule="atLeast"/>
        <w:jc w:val="center"/>
        <w:outlineLvl w:val="1"/>
        <w:rPr>
          <w:rFonts w:ascii="仿宋" w:hAnsi="仿宋" w:eastAsia="仿宋" w:cs="仿宋"/>
          <w:b/>
          <w:sz w:val="24"/>
        </w:rPr>
      </w:pPr>
    </w:p>
    <w:p>
      <w:pPr>
        <w:widowControl/>
        <w:spacing w:line="360" w:lineRule="atLeast"/>
        <w:ind w:firstLine="470" w:firstLineChars="196"/>
        <w:outlineLvl w:val="1"/>
        <w:rPr>
          <w:rFonts w:ascii="仿宋" w:hAnsi="仿宋" w:eastAsia="仿宋" w:cs="仿宋"/>
          <w:sz w:val="24"/>
        </w:rPr>
      </w:pPr>
      <w:r>
        <w:rPr>
          <w:rFonts w:hint="eastAsia" w:ascii="仿宋" w:hAnsi="仿宋" w:eastAsia="仿宋" w:cs="仿宋"/>
          <w:sz w:val="24"/>
        </w:rPr>
        <w:t>一、本章所制投标文件格式，除格式中明确将该格式作为实质性要求的，一律不具有强制性。</w:t>
      </w:r>
    </w:p>
    <w:p>
      <w:pPr>
        <w:widowControl/>
        <w:spacing w:line="360" w:lineRule="atLeast"/>
        <w:ind w:firstLine="470" w:firstLineChars="196"/>
        <w:outlineLvl w:val="1"/>
        <w:rPr>
          <w:rFonts w:ascii="仿宋" w:hAnsi="仿宋" w:eastAsia="仿宋" w:cs="仿宋"/>
          <w:sz w:val="24"/>
        </w:rPr>
      </w:pPr>
      <w:r>
        <w:rPr>
          <w:rFonts w:hint="eastAsia" w:ascii="仿宋" w:hAnsi="仿宋" w:eastAsia="仿宋" w:cs="仿宋"/>
          <w:sz w:val="24"/>
        </w:rPr>
        <w:t>二、本章所制投标文件格式有关表格中的备注栏，由投标人根据自身投标情况作解释性说明，不作为必填项。</w:t>
      </w:r>
    </w:p>
    <w:p>
      <w:pPr>
        <w:widowControl/>
        <w:spacing w:line="360" w:lineRule="atLeast"/>
        <w:ind w:firstLine="470" w:firstLineChars="196"/>
        <w:outlineLvl w:val="1"/>
        <w:rPr>
          <w:rFonts w:ascii="仿宋" w:hAnsi="仿宋" w:eastAsia="仿宋" w:cs="仿宋"/>
          <w:sz w:val="24"/>
        </w:rPr>
      </w:pPr>
      <w:r>
        <w:rPr>
          <w:rFonts w:hint="eastAsia" w:ascii="仿宋" w:hAnsi="仿宋" w:eastAsia="仿宋" w:cs="仿宋"/>
          <w:sz w:val="24"/>
        </w:rPr>
        <w:t>三、本章所制投标文件格式中需要填写的相关内容事项，可能会与本采购项目无关，在不改变投标文件原义、不影响本项目采购需求的情况下，投标人可以不予填写，但应当注明。</w:t>
      </w:r>
    </w:p>
    <w:p>
      <w:pPr>
        <w:tabs>
          <w:tab w:val="left" w:pos="900"/>
        </w:tabs>
        <w:spacing w:line="360" w:lineRule="auto"/>
        <w:jc w:val="center"/>
        <w:rPr>
          <w:rFonts w:ascii="仿宋" w:hAnsi="仿宋" w:eastAsia="仿宋" w:cs="仿宋"/>
          <w:b/>
          <w:sz w:val="32"/>
        </w:rPr>
      </w:pPr>
      <w:r>
        <w:rPr>
          <w:rFonts w:hint="eastAsia" w:ascii="仿宋" w:hAnsi="仿宋" w:eastAsia="仿宋" w:cs="仿宋"/>
          <w:b/>
          <w:sz w:val="32"/>
          <w:szCs w:val="32"/>
        </w:rPr>
        <w:br w:type="page"/>
      </w:r>
      <w:r>
        <w:rPr>
          <w:rFonts w:hint="eastAsia" w:ascii="仿宋" w:hAnsi="仿宋" w:eastAsia="仿宋" w:cs="仿宋"/>
          <w:b/>
          <w:sz w:val="32"/>
        </w:rPr>
        <w:t>第一部分     “资格性投标文件”格式</w:t>
      </w:r>
    </w:p>
    <w:p>
      <w:pPr>
        <w:spacing w:line="360" w:lineRule="auto"/>
        <w:rPr>
          <w:rFonts w:ascii="仿宋" w:hAnsi="仿宋" w:eastAsia="仿宋" w:cs="仿宋"/>
          <w:b/>
          <w:sz w:val="32"/>
          <w:szCs w:val="32"/>
        </w:rPr>
      </w:pPr>
      <w:r>
        <w:rPr>
          <w:rFonts w:hint="eastAsia" w:ascii="仿宋" w:hAnsi="仿宋" w:eastAsia="仿宋" w:cs="仿宋"/>
          <w:b/>
          <w:sz w:val="32"/>
          <w:szCs w:val="32"/>
        </w:rPr>
        <w:t>格式1-1</w:t>
      </w:r>
    </w:p>
    <w:p>
      <w:pPr>
        <w:spacing w:line="360" w:lineRule="auto"/>
        <w:rPr>
          <w:rFonts w:ascii="仿宋" w:hAnsi="仿宋" w:eastAsia="仿宋" w:cs="仿宋"/>
          <w:b/>
          <w:sz w:val="32"/>
          <w:szCs w:val="32"/>
        </w:rPr>
      </w:pPr>
      <w:r>
        <w:rPr>
          <w:rFonts w:hint="eastAsia" w:ascii="仿宋" w:hAnsi="仿宋" w:eastAsia="仿宋" w:cs="仿宋"/>
          <w:b/>
          <w:sz w:val="32"/>
          <w:szCs w:val="32"/>
        </w:rPr>
        <w:t>封面：</w:t>
      </w:r>
    </w:p>
    <w:p>
      <w:pPr>
        <w:spacing w:line="360" w:lineRule="auto"/>
        <w:jc w:val="right"/>
        <w:rPr>
          <w:rFonts w:ascii="仿宋" w:hAnsi="仿宋" w:eastAsia="仿宋" w:cs="仿宋"/>
          <w:b/>
          <w:sz w:val="36"/>
        </w:rPr>
      </w:pPr>
      <w:r>
        <w:rPr>
          <w:rFonts w:hint="eastAsia" w:ascii="仿宋" w:hAnsi="仿宋" w:eastAsia="仿宋" w:cs="仿宋"/>
          <w:b/>
          <w:sz w:val="36"/>
        </w:rPr>
        <w:t>（正本/副本）</w:t>
      </w:r>
    </w:p>
    <w:p>
      <w:pPr>
        <w:spacing w:line="360" w:lineRule="auto"/>
        <w:rPr>
          <w:rFonts w:ascii="仿宋" w:hAnsi="仿宋" w:eastAsia="仿宋" w:cs="仿宋"/>
          <w:b/>
          <w:sz w:val="32"/>
          <w:szCs w:val="32"/>
        </w:rPr>
      </w:pPr>
    </w:p>
    <w:p>
      <w:pPr>
        <w:spacing w:line="360" w:lineRule="auto"/>
        <w:jc w:val="center"/>
        <w:rPr>
          <w:rFonts w:ascii="仿宋" w:hAnsi="仿宋" w:eastAsia="仿宋" w:cs="仿宋"/>
          <w:b/>
          <w:sz w:val="72"/>
        </w:rPr>
      </w:pPr>
      <w:r>
        <w:rPr>
          <w:rFonts w:hint="eastAsia" w:ascii="仿宋" w:hAnsi="仿宋" w:eastAsia="仿宋" w:cs="仿宋"/>
          <w:b/>
          <w:sz w:val="40"/>
          <w:szCs w:val="48"/>
        </w:rPr>
        <w:t>XXXX项目</w:t>
      </w:r>
    </w:p>
    <w:p>
      <w:pPr>
        <w:spacing w:line="360" w:lineRule="auto"/>
        <w:rPr>
          <w:rFonts w:ascii="仿宋" w:hAnsi="仿宋" w:eastAsia="仿宋" w:cs="仿宋"/>
          <w:b/>
          <w:sz w:val="52"/>
          <w:szCs w:val="52"/>
        </w:rPr>
      </w:pPr>
    </w:p>
    <w:p>
      <w:pPr>
        <w:spacing w:line="360" w:lineRule="auto"/>
        <w:jc w:val="center"/>
        <w:rPr>
          <w:rFonts w:ascii="仿宋" w:hAnsi="仿宋" w:eastAsia="仿宋" w:cs="仿宋"/>
          <w:b/>
          <w:sz w:val="32"/>
          <w:szCs w:val="32"/>
        </w:rPr>
      </w:pPr>
      <w:r>
        <w:rPr>
          <w:rFonts w:hint="eastAsia" w:ascii="仿宋" w:hAnsi="仿宋" w:eastAsia="仿宋" w:cs="仿宋"/>
          <w:b/>
          <w:sz w:val="52"/>
          <w:szCs w:val="52"/>
        </w:rPr>
        <w:t>资格性投标文件</w:t>
      </w:r>
    </w:p>
    <w:p>
      <w:pPr>
        <w:spacing w:line="360" w:lineRule="auto"/>
        <w:rPr>
          <w:rFonts w:ascii="仿宋" w:hAnsi="仿宋" w:eastAsia="仿宋" w:cs="仿宋"/>
          <w:b/>
          <w:sz w:val="36"/>
        </w:rPr>
      </w:pPr>
    </w:p>
    <w:p>
      <w:pPr>
        <w:spacing w:line="360" w:lineRule="auto"/>
        <w:rPr>
          <w:rFonts w:ascii="仿宋" w:hAnsi="仿宋" w:eastAsia="仿宋" w:cs="仿宋"/>
          <w:b/>
          <w:sz w:val="36"/>
        </w:rPr>
      </w:pPr>
    </w:p>
    <w:p>
      <w:pPr>
        <w:spacing w:line="360" w:lineRule="auto"/>
        <w:jc w:val="left"/>
        <w:rPr>
          <w:rFonts w:ascii="仿宋" w:hAnsi="仿宋" w:eastAsia="仿宋" w:cs="仿宋"/>
          <w:b/>
          <w:sz w:val="32"/>
          <w:u w:val="single"/>
        </w:rPr>
      </w:pPr>
      <w:r>
        <w:rPr>
          <w:rFonts w:hint="eastAsia" w:ascii="仿宋" w:hAnsi="仿宋" w:eastAsia="仿宋" w:cs="仿宋"/>
          <w:b/>
          <w:sz w:val="32"/>
        </w:rPr>
        <w:t>投 标 人名称：</w:t>
      </w:r>
    </w:p>
    <w:p>
      <w:pPr>
        <w:spacing w:line="360" w:lineRule="auto"/>
        <w:jc w:val="left"/>
        <w:rPr>
          <w:rFonts w:ascii="仿宋" w:hAnsi="仿宋" w:eastAsia="仿宋" w:cs="仿宋"/>
          <w:b/>
          <w:sz w:val="32"/>
          <w:u w:val="single"/>
        </w:rPr>
      </w:pPr>
      <w:r>
        <w:rPr>
          <w:rFonts w:hint="eastAsia" w:ascii="仿宋" w:hAnsi="仿宋" w:eastAsia="仿宋" w:cs="仿宋"/>
          <w:b/>
          <w:sz w:val="32"/>
        </w:rPr>
        <w:t>采购项目编号：</w:t>
      </w:r>
    </w:p>
    <w:p>
      <w:pPr>
        <w:spacing w:line="360" w:lineRule="auto"/>
        <w:ind w:firstLine="790" w:firstLineChars="246"/>
        <w:jc w:val="center"/>
        <w:rPr>
          <w:rFonts w:ascii="仿宋" w:hAnsi="仿宋" w:eastAsia="仿宋" w:cs="仿宋"/>
          <w:b/>
          <w:sz w:val="32"/>
        </w:rPr>
      </w:pPr>
    </w:p>
    <w:p>
      <w:pPr>
        <w:spacing w:line="360" w:lineRule="auto"/>
        <w:ind w:firstLine="790" w:firstLineChars="246"/>
        <w:jc w:val="center"/>
        <w:rPr>
          <w:rFonts w:ascii="仿宋" w:hAnsi="仿宋" w:eastAsia="仿宋" w:cs="仿宋"/>
          <w:b/>
          <w:sz w:val="32"/>
        </w:rPr>
      </w:pPr>
      <w:r>
        <w:rPr>
          <w:rFonts w:hint="eastAsia" w:ascii="仿宋" w:hAnsi="仿宋" w:eastAsia="仿宋" w:cs="仿宋"/>
          <w:b/>
          <w:sz w:val="32"/>
        </w:rPr>
        <w:t>投标时间： 年 月 日</w:t>
      </w:r>
    </w:p>
    <w:p>
      <w:pPr>
        <w:widowControl/>
        <w:spacing w:after="0" w:line="240" w:lineRule="auto"/>
        <w:jc w:val="left"/>
        <w:rPr>
          <w:rFonts w:ascii="仿宋" w:hAnsi="仿宋" w:eastAsia="仿宋" w:cs="仿宋"/>
          <w:b/>
          <w:sz w:val="32"/>
        </w:rPr>
      </w:pPr>
      <w:r>
        <w:rPr>
          <w:rFonts w:hint="eastAsia" w:ascii="仿宋" w:hAnsi="仿宋" w:eastAsia="仿宋" w:cs="仿宋"/>
          <w:b/>
          <w:sz w:val="32"/>
        </w:rPr>
        <w:br w:type="page"/>
      </w:r>
    </w:p>
    <w:p>
      <w:pPr>
        <w:spacing w:line="360" w:lineRule="auto"/>
        <w:rPr>
          <w:rFonts w:ascii="仿宋" w:hAnsi="仿宋" w:eastAsia="仿宋" w:cs="仿宋"/>
          <w:b/>
          <w:sz w:val="32"/>
          <w:szCs w:val="32"/>
        </w:rPr>
      </w:pPr>
      <w:r>
        <w:rPr>
          <w:rFonts w:hint="eastAsia" w:ascii="仿宋" w:hAnsi="仿宋" w:eastAsia="仿宋" w:cs="仿宋"/>
          <w:b/>
          <w:sz w:val="32"/>
          <w:szCs w:val="32"/>
        </w:rPr>
        <w:t>格式1-2</w:t>
      </w:r>
    </w:p>
    <w:p>
      <w:pPr>
        <w:spacing w:line="360" w:lineRule="auto"/>
        <w:ind w:firstLine="790" w:firstLineChars="246"/>
        <w:jc w:val="center"/>
        <w:rPr>
          <w:rFonts w:ascii="仿宋" w:hAnsi="仿宋" w:eastAsia="仿宋" w:cs="仿宋"/>
          <w:b/>
          <w:sz w:val="32"/>
          <w:szCs w:val="32"/>
        </w:rPr>
      </w:pPr>
      <w:r>
        <w:rPr>
          <w:rFonts w:hint="eastAsia" w:ascii="仿宋" w:hAnsi="仿宋" w:eastAsia="仿宋" w:cs="仿宋"/>
          <w:b/>
          <w:sz w:val="32"/>
          <w:szCs w:val="32"/>
        </w:rPr>
        <w:t>一、法定代表人/单位负责人授权书</w:t>
      </w:r>
    </w:p>
    <w:p>
      <w:pPr>
        <w:widowControl/>
        <w:spacing w:line="360" w:lineRule="atLeast"/>
        <w:ind w:firstLine="472" w:firstLineChars="196"/>
        <w:jc w:val="left"/>
        <w:outlineLvl w:val="1"/>
        <w:rPr>
          <w:rFonts w:ascii="仿宋" w:hAnsi="仿宋" w:eastAsia="仿宋" w:cs="仿宋"/>
          <w:b/>
          <w:sz w:val="24"/>
        </w:rPr>
      </w:pPr>
    </w:p>
    <w:p>
      <w:pPr>
        <w:widowControl/>
        <w:spacing w:line="360" w:lineRule="atLeast"/>
        <w:ind w:firstLine="472" w:firstLineChars="196"/>
        <w:jc w:val="left"/>
        <w:outlineLvl w:val="1"/>
        <w:rPr>
          <w:rFonts w:ascii="仿宋" w:hAnsi="仿宋" w:eastAsia="仿宋" w:cs="仿宋"/>
          <w:b/>
          <w:sz w:val="24"/>
        </w:rPr>
      </w:pPr>
    </w:p>
    <w:p>
      <w:pPr>
        <w:widowControl/>
        <w:spacing w:line="360" w:lineRule="atLeast"/>
        <w:jc w:val="left"/>
        <w:outlineLvl w:val="1"/>
        <w:rPr>
          <w:rFonts w:ascii="仿宋" w:hAnsi="仿宋" w:eastAsia="仿宋" w:cs="仿宋"/>
          <w:sz w:val="24"/>
        </w:rPr>
      </w:pPr>
      <w:r>
        <w:rPr>
          <w:rFonts w:hint="eastAsia" w:ascii="仿宋" w:hAnsi="仿宋" w:eastAsia="仿宋" w:cs="仿宋"/>
          <w:sz w:val="24"/>
        </w:rPr>
        <w:t>XXXXXXXX（采购代理机构名称）：</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本授权声明：XXXX XXXX（投标人名称）XXXX（法定代表人/单位负责人姓名、职务）授权XXXX（被授权人姓名、职务）为我方 “XXXXXXXX名称项目（招标编号：XXXX）投标活动的合法代表，以我方名义全权处理该项目有关投标、签订合同以及执行合同等一切事宜。</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特此声明。</w:t>
      </w:r>
    </w:p>
    <w:p>
      <w:pPr>
        <w:widowControl/>
        <w:spacing w:line="360" w:lineRule="atLeast"/>
        <w:ind w:firstLine="470" w:firstLineChars="196"/>
        <w:jc w:val="left"/>
        <w:outlineLvl w:val="1"/>
        <w:rPr>
          <w:rFonts w:ascii="仿宋" w:hAnsi="仿宋" w:eastAsia="仿宋" w:cs="仿宋"/>
          <w:sz w:val="24"/>
        </w:rPr>
      </w:pP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法定代表人/单位负责人（委托人）签字或者加盖个人名章：XXXX。</w:t>
      </w:r>
    </w:p>
    <w:p>
      <w:pPr>
        <w:widowControl/>
        <w:spacing w:line="360" w:lineRule="atLeast"/>
        <w:ind w:firstLine="470" w:firstLineChars="196"/>
        <w:jc w:val="left"/>
        <w:outlineLvl w:val="1"/>
        <w:rPr>
          <w:rFonts w:ascii="仿宋" w:hAnsi="仿宋" w:eastAsia="仿宋" w:cs="仿宋"/>
          <w:sz w:val="24"/>
        </w:rPr>
      </w:pP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授权代表（被授权人）签字：XXXX。</w:t>
      </w:r>
    </w:p>
    <w:p>
      <w:pPr>
        <w:widowControl/>
        <w:spacing w:line="360" w:lineRule="atLeast"/>
        <w:ind w:firstLine="470" w:firstLineChars="196"/>
        <w:jc w:val="left"/>
        <w:outlineLvl w:val="1"/>
        <w:rPr>
          <w:rFonts w:ascii="仿宋" w:hAnsi="仿宋" w:eastAsia="仿宋" w:cs="仿宋"/>
          <w:sz w:val="24"/>
        </w:rPr>
      </w:pP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投标人名称：XXXX（单位盖章）。</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日    期：XXXX。</w:t>
      </w:r>
      <w:bookmarkStart w:id="190" w:name="_Toc217446084"/>
    </w:p>
    <w:p>
      <w:pPr>
        <w:widowControl/>
        <w:spacing w:line="360" w:lineRule="atLeast"/>
        <w:jc w:val="left"/>
        <w:outlineLvl w:val="1"/>
        <w:rPr>
          <w:rFonts w:ascii="仿宋" w:hAnsi="仿宋" w:eastAsia="仿宋" w:cs="仿宋"/>
          <w:b/>
          <w:sz w:val="24"/>
        </w:rPr>
      </w:pPr>
    </w:p>
    <w:p>
      <w:pPr>
        <w:spacing w:line="400" w:lineRule="exact"/>
        <w:ind w:left="840" w:hanging="840" w:hangingChars="350"/>
        <w:jc w:val="left"/>
        <w:rPr>
          <w:rFonts w:ascii="仿宋" w:hAnsi="仿宋" w:eastAsia="仿宋" w:cs="仿宋"/>
          <w:sz w:val="24"/>
        </w:rPr>
      </w:pPr>
      <w:r>
        <w:rPr>
          <w:rFonts w:hint="eastAsia" w:ascii="仿宋" w:hAnsi="仿宋" w:eastAsia="仿宋" w:cs="仿宋"/>
          <w:sz w:val="24"/>
        </w:rPr>
        <w:t>注：</w:t>
      </w:r>
    </w:p>
    <w:p>
      <w:pPr>
        <w:spacing w:line="400" w:lineRule="exact"/>
        <w:ind w:firstLine="480" w:firstLineChars="200"/>
        <w:rPr>
          <w:rFonts w:ascii="仿宋" w:hAnsi="仿宋" w:eastAsia="仿宋" w:cs="仿宋"/>
          <w:sz w:val="24"/>
        </w:rPr>
      </w:pPr>
      <w:r>
        <w:rPr>
          <w:rFonts w:hint="eastAsia" w:ascii="仿宋" w:hAnsi="仿宋" w:eastAsia="仿宋" w:cs="仿宋"/>
          <w:sz w:val="24"/>
        </w:rPr>
        <w:t>1、供应商为法人单位时提供“法定代表人授权书”，供应商为其他组织时提供“单位负责人授权书”，供应商为自然人时提供“自然人身份证明材料”。</w:t>
      </w:r>
    </w:p>
    <w:p>
      <w:pPr>
        <w:spacing w:line="400" w:lineRule="exact"/>
        <w:ind w:firstLine="480" w:firstLineChars="200"/>
        <w:rPr>
          <w:rFonts w:ascii="仿宋" w:hAnsi="仿宋" w:eastAsia="仿宋" w:cs="仿宋"/>
          <w:sz w:val="24"/>
        </w:rPr>
      </w:pPr>
      <w:r>
        <w:rPr>
          <w:rFonts w:hint="eastAsia" w:ascii="仿宋" w:hAnsi="仿宋" w:eastAsia="仿宋" w:cs="仿宋"/>
          <w:sz w:val="24"/>
        </w:rPr>
        <w:t>2、应附法定代表人/单位负责人身份证明材料复印件和授权代表身份证明材料复印件。</w:t>
      </w:r>
    </w:p>
    <w:p>
      <w:pPr>
        <w:spacing w:line="400" w:lineRule="exact"/>
        <w:ind w:firstLine="480" w:firstLineChars="200"/>
        <w:rPr>
          <w:rFonts w:ascii="仿宋" w:hAnsi="仿宋" w:eastAsia="仿宋" w:cs="仿宋"/>
          <w:sz w:val="24"/>
        </w:rPr>
      </w:pPr>
      <w:r>
        <w:rPr>
          <w:rFonts w:hint="eastAsia" w:ascii="仿宋" w:hAnsi="仿宋" w:eastAsia="仿宋" w:cs="仿宋"/>
          <w:sz w:val="24"/>
        </w:rPr>
        <w:t>3、身份证明材料包括居民身份证或户口本或军官证或护照等。</w:t>
      </w:r>
    </w:p>
    <w:p>
      <w:pPr>
        <w:spacing w:line="400" w:lineRule="exact"/>
        <w:ind w:firstLine="480" w:firstLineChars="200"/>
        <w:rPr>
          <w:rFonts w:ascii="仿宋" w:hAnsi="仿宋" w:eastAsia="仿宋" w:cs="仿宋"/>
          <w:sz w:val="24"/>
        </w:rPr>
      </w:pPr>
      <w:r>
        <w:rPr>
          <w:rFonts w:hint="eastAsia" w:ascii="仿宋" w:hAnsi="仿宋" w:eastAsia="仿宋" w:cs="仿宋"/>
          <w:sz w:val="24"/>
        </w:rPr>
        <w:t>4、身份证明材料应同时提供其在有效期的材料，如居民身份证正、反面复印件。</w:t>
      </w:r>
      <w:bookmarkEnd w:id="190"/>
    </w:p>
    <w:p>
      <w:pPr>
        <w:spacing w:line="360" w:lineRule="auto"/>
        <w:rPr>
          <w:rFonts w:ascii="仿宋" w:hAnsi="仿宋" w:eastAsia="仿宋" w:cs="仿宋"/>
          <w:b/>
          <w:sz w:val="32"/>
          <w:szCs w:val="32"/>
        </w:rPr>
      </w:pPr>
      <w:r>
        <w:rPr>
          <w:rFonts w:hint="eastAsia" w:ascii="仿宋" w:hAnsi="仿宋" w:eastAsia="仿宋" w:cs="仿宋"/>
          <w:b/>
          <w:sz w:val="32"/>
          <w:szCs w:val="32"/>
        </w:rPr>
        <w:br w:type="page"/>
      </w:r>
      <w:r>
        <w:rPr>
          <w:rFonts w:hint="eastAsia" w:ascii="仿宋" w:hAnsi="仿宋" w:eastAsia="仿宋" w:cs="仿宋"/>
          <w:b/>
          <w:sz w:val="32"/>
          <w:szCs w:val="32"/>
        </w:rPr>
        <w:t>格式1-3</w:t>
      </w:r>
    </w:p>
    <w:p>
      <w:pPr>
        <w:widowControl/>
        <w:spacing w:line="360" w:lineRule="atLeast"/>
        <w:jc w:val="center"/>
        <w:outlineLvl w:val="1"/>
        <w:rPr>
          <w:rFonts w:ascii="仿宋" w:hAnsi="仿宋" w:eastAsia="仿宋" w:cs="仿宋"/>
          <w:b/>
          <w:sz w:val="32"/>
          <w:szCs w:val="32"/>
        </w:rPr>
      </w:pPr>
      <w:r>
        <w:rPr>
          <w:rFonts w:hint="eastAsia" w:ascii="仿宋" w:hAnsi="仿宋" w:eastAsia="仿宋" w:cs="仿宋"/>
          <w:b/>
          <w:sz w:val="32"/>
          <w:szCs w:val="32"/>
        </w:rPr>
        <w:t>二、承诺函</w:t>
      </w:r>
    </w:p>
    <w:p>
      <w:pPr>
        <w:widowControl/>
        <w:spacing w:line="360" w:lineRule="atLeast"/>
        <w:jc w:val="center"/>
        <w:outlineLvl w:val="1"/>
        <w:rPr>
          <w:rFonts w:ascii="仿宋" w:hAnsi="仿宋" w:eastAsia="仿宋" w:cs="仿宋"/>
          <w:b/>
          <w:sz w:val="24"/>
        </w:rPr>
      </w:pPr>
    </w:p>
    <w:p>
      <w:pPr>
        <w:widowControl/>
        <w:spacing w:line="360" w:lineRule="atLeast"/>
        <w:jc w:val="left"/>
        <w:outlineLvl w:val="1"/>
        <w:rPr>
          <w:rFonts w:ascii="仿宋" w:hAnsi="仿宋" w:eastAsia="仿宋" w:cs="仿宋"/>
          <w:sz w:val="24"/>
        </w:rPr>
      </w:pPr>
      <w:r>
        <w:rPr>
          <w:rFonts w:hint="eastAsia" w:ascii="仿宋" w:hAnsi="仿宋" w:eastAsia="仿宋" w:cs="仿宋"/>
          <w:sz w:val="24"/>
        </w:rPr>
        <w:t>XXXX（采购代理机构名称）：</w:t>
      </w:r>
    </w:p>
    <w:p>
      <w:pPr>
        <w:widowControl/>
        <w:spacing w:line="360" w:lineRule="atLeast"/>
        <w:ind w:firstLine="480" w:firstLineChars="200"/>
        <w:jc w:val="left"/>
        <w:outlineLvl w:val="1"/>
        <w:rPr>
          <w:rFonts w:ascii="仿宋" w:hAnsi="仿宋" w:eastAsia="仿宋" w:cs="仿宋"/>
          <w:sz w:val="24"/>
        </w:rPr>
      </w:pPr>
      <w:r>
        <w:rPr>
          <w:rFonts w:hint="eastAsia" w:ascii="仿宋" w:hAnsi="仿宋" w:eastAsia="仿宋" w:cs="仿宋"/>
          <w:sz w:val="24"/>
        </w:rPr>
        <w:t>我单位作为本次采购项目的投标人，根据招标文件要求，现郑重承诺如下：</w:t>
      </w:r>
    </w:p>
    <w:p>
      <w:pPr>
        <w:widowControl/>
        <w:spacing w:line="360" w:lineRule="atLeast"/>
        <w:ind w:firstLine="480" w:firstLineChars="200"/>
        <w:jc w:val="left"/>
        <w:outlineLvl w:val="1"/>
        <w:rPr>
          <w:rFonts w:ascii="仿宋" w:hAnsi="仿宋" w:eastAsia="仿宋" w:cs="仿宋"/>
          <w:sz w:val="24"/>
        </w:rPr>
      </w:pPr>
      <w:r>
        <w:rPr>
          <w:rFonts w:hint="eastAsia" w:ascii="仿宋" w:hAnsi="仿宋" w:eastAsia="仿宋" w:cs="仿宋"/>
          <w:sz w:val="24"/>
        </w:rPr>
        <w:t>具备《中华人民共和国政府采购法》第二十二条第一款和本项目规定的条件：</w:t>
      </w:r>
    </w:p>
    <w:p>
      <w:pPr>
        <w:widowControl/>
        <w:spacing w:line="360" w:lineRule="atLeast"/>
        <w:ind w:firstLine="480" w:firstLineChars="200"/>
        <w:jc w:val="left"/>
        <w:outlineLvl w:val="1"/>
        <w:rPr>
          <w:rFonts w:ascii="仿宋" w:hAnsi="仿宋" w:eastAsia="仿宋" w:cs="仿宋"/>
          <w:sz w:val="24"/>
        </w:rPr>
      </w:pPr>
      <w:r>
        <w:rPr>
          <w:rFonts w:hint="eastAsia" w:ascii="仿宋" w:hAnsi="仿宋" w:eastAsia="仿宋" w:cs="仿宋"/>
          <w:sz w:val="24"/>
        </w:rPr>
        <w:t>（一）具有独立承担民事责任的能力；</w:t>
      </w:r>
    </w:p>
    <w:p>
      <w:pPr>
        <w:widowControl/>
        <w:spacing w:line="360" w:lineRule="atLeast"/>
        <w:ind w:firstLine="480" w:firstLineChars="200"/>
        <w:jc w:val="left"/>
        <w:outlineLvl w:val="1"/>
        <w:rPr>
          <w:rFonts w:ascii="仿宋" w:hAnsi="仿宋" w:eastAsia="仿宋" w:cs="仿宋"/>
          <w:sz w:val="24"/>
        </w:rPr>
      </w:pPr>
      <w:r>
        <w:rPr>
          <w:rFonts w:hint="eastAsia" w:ascii="仿宋" w:hAnsi="仿宋" w:eastAsia="仿宋" w:cs="仿宋"/>
          <w:sz w:val="24"/>
        </w:rPr>
        <w:t>（二）具有良好的商业信誉和健全的财务会计制度；</w:t>
      </w:r>
    </w:p>
    <w:p>
      <w:pPr>
        <w:widowControl/>
        <w:spacing w:line="360" w:lineRule="atLeast"/>
        <w:ind w:firstLine="480" w:firstLineChars="200"/>
        <w:jc w:val="left"/>
        <w:outlineLvl w:val="1"/>
        <w:rPr>
          <w:rFonts w:ascii="仿宋" w:hAnsi="仿宋" w:eastAsia="仿宋" w:cs="仿宋"/>
          <w:sz w:val="24"/>
        </w:rPr>
      </w:pPr>
      <w:r>
        <w:rPr>
          <w:rFonts w:hint="eastAsia" w:ascii="仿宋" w:hAnsi="仿宋" w:eastAsia="仿宋" w:cs="仿宋"/>
          <w:sz w:val="24"/>
        </w:rPr>
        <w:t>（三）具有履行合同所必需的设备和专业技术能力；</w:t>
      </w:r>
    </w:p>
    <w:p>
      <w:pPr>
        <w:widowControl/>
        <w:spacing w:line="360" w:lineRule="atLeast"/>
        <w:ind w:firstLine="480" w:firstLineChars="200"/>
        <w:jc w:val="left"/>
        <w:outlineLvl w:val="1"/>
        <w:rPr>
          <w:rFonts w:ascii="仿宋" w:hAnsi="仿宋" w:eastAsia="仿宋" w:cs="仿宋"/>
          <w:sz w:val="24"/>
        </w:rPr>
      </w:pPr>
      <w:r>
        <w:rPr>
          <w:rFonts w:hint="eastAsia" w:ascii="仿宋" w:hAnsi="仿宋" w:eastAsia="仿宋" w:cs="仿宋"/>
          <w:sz w:val="24"/>
        </w:rPr>
        <w:t>（四）有依法缴纳税收和社会保障资金的良好记录；</w:t>
      </w:r>
    </w:p>
    <w:p>
      <w:pPr>
        <w:widowControl/>
        <w:spacing w:line="360" w:lineRule="atLeast"/>
        <w:ind w:firstLine="480" w:firstLineChars="200"/>
        <w:jc w:val="left"/>
        <w:outlineLvl w:val="1"/>
        <w:rPr>
          <w:rFonts w:ascii="仿宋" w:hAnsi="仿宋" w:eastAsia="仿宋" w:cs="仿宋"/>
          <w:sz w:val="24"/>
        </w:rPr>
      </w:pPr>
      <w:r>
        <w:rPr>
          <w:rFonts w:hint="eastAsia" w:ascii="仿宋" w:hAnsi="仿宋" w:eastAsia="仿宋" w:cs="仿宋"/>
          <w:sz w:val="24"/>
        </w:rPr>
        <w:t>（五）参加政府采购活动前三年内，在经营活动中没有重大违法记录；</w:t>
      </w:r>
    </w:p>
    <w:p>
      <w:pPr>
        <w:widowControl/>
        <w:spacing w:line="360" w:lineRule="atLeast"/>
        <w:ind w:firstLine="480" w:firstLineChars="200"/>
        <w:jc w:val="left"/>
        <w:outlineLvl w:val="1"/>
        <w:rPr>
          <w:rFonts w:ascii="仿宋" w:hAnsi="仿宋" w:eastAsia="仿宋" w:cs="仿宋"/>
          <w:sz w:val="24"/>
        </w:rPr>
      </w:pPr>
      <w:r>
        <w:rPr>
          <w:rFonts w:hint="eastAsia" w:ascii="仿宋" w:hAnsi="仿宋" w:eastAsia="仿宋" w:cs="仿宋"/>
          <w:sz w:val="24"/>
        </w:rPr>
        <w:t>（六）法律、行政法规规定的其他条件；</w:t>
      </w:r>
    </w:p>
    <w:p>
      <w:pPr>
        <w:widowControl/>
        <w:spacing w:line="360" w:lineRule="atLeast"/>
        <w:ind w:firstLine="480" w:firstLineChars="200"/>
        <w:jc w:val="left"/>
        <w:outlineLvl w:val="1"/>
        <w:rPr>
          <w:rFonts w:ascii="仿宋" w:hAnsi="仿宋" w:eastAsia="仿宋" w:cs="仿宋"/>
          <w:sz w:val="24"/>
        </w:rPr>
      </w:pPr>
      <w:r>
        <w:rPr>
          <w:rFonts w:hint="eastAsia" w:ascii="仿宋" w:hAnsi="仿宋" w:eastAsia="仿宋" w:cs="仿宋"/>
          <w:sz w:val="24"/>
        </w:rPr>
        <w:t>（七）根据采购项目提出的特殊条件。</w:t>
      </w:r>
    </w:p>
    <w:p>
      <w:pPr>
        <w:widowControl/>
        <w:spacing w:line="360" w:lineRule="atLeast"/>
        <w:ind w:firstLine="480" w:firstLineChars="200"/>
        <w:jc w:val="left"/>
        <w:outlineLvl w:val="1"/>
        <w:rPr>
          <w:rFonts w:ascii="仿宋" w:hAnsi="仿宋" w:eastAsia="仿宋" w:cs="仿宋"/>
          <w:sz w:val="24"/>
        </w:rPr>
      </w:pPr>
      <w:r>
        <w:rPr>
          <w:rFonts w:hint="eastAsia" w:ascii="仿宋" w:hAnsi="仿宋" w:eastAsia="仿宋" w:cs="仿宋"/>
          <w:sz w:val="24"/>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outlineLvl w:val="1"/>
        <w:rPr>
          <w:rFonts w:ascii="仿宋" w:hAnsi="仿宋" w:eastAsia="仿宋" w:cs="仿宋"/>
          <w:sz w:val="24"/>
        </w:rPr>
      </w:pP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投标人名称：XXXX（单位公章）。</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日    期：XXXX。</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br w:type="page"/>
      </w:r>
    </w:p>
    <w:p>
      <w:pPr>
        <w:spacing w:line="360" w:lineRule="auto"/>
        <w:rPr>
          <w:rFonts w:ascii="仿宋" w:hAnsi="仿宋" w:eastAsia="仿宋" w:cs="仿宋"/>
          <w:b/>
          <w:sz w:val="32"/>
          <w:szCs w:val="32"/>
        </w:rPr>
      </w:pPr>
      <w:r>
        <w:rPr>
          <w:rFonts w:hint="eastAsia" w:ascii="仿宋" w:hAnsi="仿宋" w:eastAsia="仿宋" w:cs="仿宋"/>
          <w:b/>
          <w:sz w:val="32"/>
          <w:szCs w:val="32"/>
        </w:rPr>
        <w:t>格式1-4</w:t>
      </w:r>
    </w:p>
    <w:p>
      <w:pPr>
        <w:spacing w:line="360" w:lineRule="auto"/>
        <w:ind w:firstLine="790" w:firstLineChars="246"/>
        <w:jc w:val="center"/>
        <w:rPr>
          <w:rFonts w:ascii="仿宋" w:hAnsi="仿宋" w:eastAsia="仿宋" w:cs="仿宋"/>
          <w:b/>
          <w:sz w:val="32"/>
          <w:szCs w:val="32"/>
        </w:rPr>
      </w:pPr>
      <w:r>
        <w:rPr>
          <w:rFonts w:hint="eastAsia" w:ascii="仿宋" w:hAnsi="仿宋" w:eastAsia="仿宋" w:cs="仿宋"/>
          <w:b/>
          <w:sz w:val="32"/>
          <w:szCs w:val="32"/>
        </w:rPr>
        <w:t>投标人和投标产品其他资格、资质性及其他类似效力要求的相关证明材料</w:t>
      </w:r>
    </w:p>
    <w:p>
      <w:pPr>
        <w:spacing w:line="360" w:lineRule="auto"/>
        <w:rPr>
          <w:rFonts w:ascii="仿宋" w:hAnsi="仿宋" w:eastAsia="仿宋" w:cs="仿宋"/>
          <w:bCs/>
          <w:sz w:val="24"/>
        </w:rPr>
      </w:pPr>
      <w:r>
        <w:rPr>
          <w:rFonts w:hint="eastAsia" w:ascii="仿宋" w:hAnsi="仿宋" w:eastAsia="仿宋" w:cs="仿宋"/>
          <w:bCs/>
          <w:sz w:val="24"/>
        </w:rPr>
        <w:t>注：投标人应按招标文件第五章相关要求提供佐证材料，有格式要求的从其要求，无格式要求的格式自拟。</w:t>
      </w:r>
    </w:p>
    <w:p>
      <w:pPr>
        <w:widowControl/>
        <w:spacing w:after="0" w:line="240" w:lineRule="auto"/>
        <w:jc w:val="left"/>
        <w:rPr>
          <w:rFonts w:ascii="仿宋" w:hAnsi="仿宋" w:eastAsia="仿宋" w:cs="仿宋"/>
          <w:bCs/>
          <w:sz w:val="24"/>
        </w:rPr>
      </w:pPr>
      <w:r>
        <w:rPr>
          <w:rFonts w:hint="eastAsia" w:ascii="仿宋" w:hAnsi="仿宋" w:eastAsia="仿宋" w:cs="仿宋"/>
          <w:bCs/>
          <w:sz w:val="24"/>
        </w:rPr>
        <w:br w:type="page"/>
      </w:r>
    </w:p>
    <w:p>
      <w:pPr>
        <w:spacing w:line="360" w:lineRule="auto"/>
        <w:rPr>
          <w:rFonts w:ascii="仿宋" w:hAnsi="仿宋" w:eastAsia="仿宋" w:cs="仿宋"/>
          <w:b/>
          <w:sz w:val="32"/>
          <w:szCs w:val="32"/>
        </w:rPr>
      </w:pPr>
      <w:r>
        <w:rPr>
          <w:rFonts w:hint="eastAsia" w:ascii="仿宋" w:hAnsi="仿宋" w:eastAsia="仿宋" w:cs="仿宋"/>
          <w:b/>
          <w:sz w:val="32"/>
          <w:szCs w:val="32"/>
        </w:rPr>
        <w:t>格式1-5</w:t>
      </w:r>
    </w:p>
    <w:p>
      <w:pPr>
        <w:widowControl/>
        <w:spacing w:line="360" w:lineRule="atLeast"/>
        <w:jc w:val="center"/>
        <w:outlineLvl w:val="1"/>
        <w:rPr>
          <w:rFonts w:ascii="仿宋" w:hAnsi="仿宋" w:eastAsia="仿宋" w:cs="仿宋"/>
          <w:b/>
          <w:sz w:val="32"/>
          <w:szCs w:val="32"/>
        </w:rPr>
      </w:pPr>
      <w:r>
        <w:rPr>
          <w:rFonts w:hint="eastAsia" w:ascii="仿宋" w:hAnsi="仿宋" w:eastAsia="仿宋" w:cs="仿宋"/>
          <w:b/>
          <w:sz w:val="32"/>
          <w:szCs w:val="32"/>
        </w:rPr>
        <w:t>承诺函(如涉及)</w:t>
      </w:r>
    </w:p>
    <w:p>
      <w:pPr>
        <w:widowControl/>
        <w:spacing w:line="360" w:lineRule="atLeast"/>
        <w:jc w:val="center"/>
        <w:outlineLvl w:val="1"/>
        <w:rPr>
          <w:rFonts w:ascii="仿宋" w:hAnsi="仿宋" w:eastAsia="仿宋" w:cs="仿宋"/>
          <w:b/>
          <w:sz w:val="24"/>
        </w:rPr>
      </w:pPr>
    </w:p>
    <w:p>
      <w:pPr>
        <w:spacing w:line="360" w:lineRule="auto"/>
        <w:rPr>
          <w:rFonts w:ascii="仿宋" w:hAnsi="仿宋" w:eastAsia="仿宋" w:cs="仿宋"/>
          <w:bCs/>
          <w:sz w:val="24"/>
        </w:rPr>
      </w:pPr>
      <w:r>
        <w:rPr>
          <w:rFonts w:hint="eastAsia" w:ascii="仿宋" w:hAnsi="仿宋" w:eastAsia="仿宋" w:cs="仿宋"/>
          <w:bCs/>
          <w:sz w:val="24"/>
        </w:rPr>
        <w:t>XXXX（采购代理机构名称）：</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我单位作为本次采购项目的投标人，现郑重承诺如下：</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根据本项目招标文件第四章资格证明要求中第项，我单位应具备（备案、登记、其他证照）。但因我单位所在地已对上述备案、登记、其他证照实行“多证合一”，故在此次采购活动中提供满足资格要求：（营业执照中对该备案、登记、其他证照的描述）的“多证合一”营业执照。</w:t>
      </w:r>
    </w:p>
    <w:p>
      <w:pPr>
        <w:spacing w:line="360" w:lineRule="auto"/>
        <w:rPr>
          <w:rFonts w:ascii="仿宋" w:hAnsi="仿宋" w:eastAsia="仿宋" w:cs="仿宋"/>
          <w:bCs/>
          <w:sz w:val="24"/>
        </w:rPr>
      </w:pPr>
    </w:p>
    <w:p>
      <w:pPr>
        <w:spacing w:line="360" w:lineRule="auto"/>
        <w:ind w:firstLine="480" w:firstLineChars="200"/>
        <w:rPr>
          <w:rFonts w:ascii="仿宋" w:hAnsi="仿宋" w:eastAsia="仿宋" w:cs="仿宋"/>
          <w:bCs/>
          <w:sz w:val="24"/>
        </w:rPr>
      </w:pPr>
      <w:r>
        <w:rPr>
          <w:rFonts w:hint="eastAsia" w:ascii="仿宋" w:hAnsi="仿宋" w:eastAsia="仿宋" w:cs="仿宋"/>
          <w:bCs/>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仿宋"/>
          <w:bCs/>
          <w:sz w:val="24"/>
        </w:rPr>
      </w:pPr>
    </w:p>
    <w:p>
      <w:pPr>
        <w:spacing w:line="360" w:lineRule="auto"/>
        <w:rPr>
          <w:rFonts w:ascii="仿宋" w:hAnsi="仿宋" w:eastAsia="仿宋" w:cs="仿宋"/>
          <w:bCs/>
          <w:sz w:val="24"/>
        </w:rPr>
      </w:pPr>
      <w:r>
        <w:rPr>
          <w:rFonts w:hint="eastAsia" w:ascii="仿宋" w:hAnsi="仿宋" w:eastAsia="仿宋" w:cs="仿宋"/>
          <w:bCs/>
          <w:sz w:val="24"/>
        </w:rPr>
        <w:t>投标人名称：XXXX（单位公章）。</w:t>
      </w:r>
    </w:p>
    <w:p>
      <w:pPr>
        <w:spacing w:line="360" w:lineRule="auto"/>
        <w:rPr>
          <w:rFonts w:ascii="仿宋" w:hAnsi="仿宋" w:eastAsia="仿宋" w:cs="仿宋"/>
          <w:bCs/>
          <w:sz w:val="24"/>
        </w:rPr>
      </w:pPr>
      <w:r>
        <w:rPr>
          <w:rFonts w:hint="eastAsia" w:ascii="仿宋" w:hAnsi="仿宋" w:eastAsia="仿宋" w:cs="仿宋"/>
          <w:bCs/>
          <w:sz w:val="24"/>
        </w:rPr>
        <w:t>法定代表人/单位负责人或授权代表（签字或加盖个人印章）：XXXX。</w:t>
      </w:r>
    </w:p>
    <w:p>
      <w:pPr>
        <w:spacing w:line="360" w:lineRule="auto"/>
        <w:rPr>
          <w:rFonts w:ascii="仿宋" w:hAnsi="仿宋" w:eastAsia="仿宋" w:cs="仿宋"/>
          <w:bCs/>
          <w:sz w:val="24"/>
        </w:rPr>
      </w:pPr>
      <w:r>
        <w:rPr>
          <w:rFonts w:hint="eastAsia" w:ascii="仿宋" w:hAnsi="仿宋" w:eastAsia="仿宋" w:cs="仿宋"/>
          <w:bCs/>
          <w:sz w:val="24"/>
        </w:rPr>
        <w:t>日    期：XXXX。</w:t>
      </w:r>
    </w:p>
    <w:p>
      <w:pPr>
        <w:spacing w:line="360" w:lineRule="auto"/>
        <w:rPr>
          <w:rFonts w:ascii="仿宋" w:hAnsi="仿宋" w:eastAsia="仿宋" w:cs="仿宋"/>
          <w:bCs/>
          <w:sz w:val="24"/>
        </w:rPr>
      </w:pPr>
      <w:r>
        <w:rPr>
          <w:rFonts w:hint="eastAsia" w:ascii="仿宋" w:hAnsi="仿宋" w:eastAsia="仿宋" w:cs="仿宋"/>
          <w:bCs/>
          <w:sz w:val="24"/>
        </w:rPr>
        <w:t>注：1.根据国务院办公厅关于加快推进“多证合一”改革的指导意见（国办发【2017】41号）等政策要求，</w:t>
      </w:r>
      <w:r>
        <w:rPr>
          <w:rFonts w:hint="eastAsia" w:ascii="仿宋" w:hAnsi="仿宋" w:eastAsia="仿宋" w:cs="仿宋"/>
          <w:b/>
          <w:bCs/>
          <w:sz w:val="24"/>
        </w:rPr>
        <w:t>若资格要求涉及的登记、备案等有关事项和各类证照已实行多证合一导致供应商无法提供该类证明材料的</w:t>
      </w:r>
      <w:r>
        <w:rPr>
          <w:rFonts w:hint="eastAsia" w:ascii="仿宋" w:hAnsi="仿宋" w:eastAsia="仿宋" w:cs="仿宋"/>
          <w:bCs/>
          <w:sz w:val="24"/>
        </w:rPr>
        <w:t>，供应商须提供该承诺。</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2.若已提供资格要求涉及的登记、备案等有关事项和各类证照的证明材料，无需提供该承诺。</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3.若本项目资格要求不涉及，无需提供该承诺。</w:t>
      </w:r>
    </w:p>
    <w:p>
      <w:pPr>
        <w:spacing w:line="360" w:lineRule="auto"/>
        <w:ind w:firstLine="360" w:firstLineChars="150"/>
        <w:rPr>
          <w:rFonts w:ascii="仿宋" w:hAnsi="仿宋" w:eastAsia="仿宋" w:cs="仿宋"/>
          <w:bCs/>
          <w:sz w:val="24"/>
        </w:rPr>
      </w:pPr>
    </w:p>
    <w:p>
      <w:pPr>
        <w:tabs>
          <w:tab w:val="left" w:pos="900"/>
        </w:tabs>
        <w:spacing w:line="360" w:lineRule="auto"/>
        <w:jc w:val="center"/>
        <w:rPr>
          <w:rFonts w:ascii="仿宋" w:hAnsi="仿宋" w:eastAsia="仿宋" w:cs="仿宋"/>
          <w:b/>
          <w:sz w:val="32"/>
        </w:rPr>
      </w:pPr>
      <w:r>
        <w:rPr>
          <w:rFonts w:hint="eastAsia" w:ascii="仿宋" w:hAnsi="仿宋" w:eastAsia="仿宋" w:cs="仿宋"/>
          <w:b/>
          <w:sz w:val="32"/>
          <w:szCs w:val="32"/>
        </w:rPr>
        <w:br w:type="page"/>
      </w:r>
      <w:r>
        <w:rPr>
          <w:rFonts w:hint="eastAsia" w:ascii="仿宋" w:hAnsi="仿宋" w:eastAsia="仿宋" w:cs="仿宋"/>
          <w:b/>
          <w:sz w:val="32"/>
        </w:rPr>
        <w:t>第二部分     “其他响应性投标文件”格式</w:t>
      </w:r>
    </w:p>
    <w:p>
      <w:pPr>
        <w:spacing w:line="360" w:lineRule="auto"/>
        <w:rPr>
          <w:rFonts w:ascii="仿宋" w:hAnsi="仿宋" w:eastAsia="仿宋" w:cs="仿宋"/>
          <w:b/>
          <w:sz w:val="32"/>
          <w:szCs w:val="32"/>
        </w:rPr>
      </w:pPr>
      <w:r>
        <w:rPr>
          <w:rFonts w:hint="eastAsia" w:ascii="仿宋" w:hAnsi="仿宋" w:eastAsia="仿宋" w:cs="仿宋"/>
          <w:b/>
          <w:sz w:val="32"/>
          <w:szCs w:val="32"/>
        </w:rPr>
        <w:t>格式2-1</w:t>
      </w:r>
    </w:p>
    <w:p>
      <w:pPr>
        <w:spacing w:line="360" w:lineRule="auto"/>
        <w:rPr>
          <w:rFonts w:ascii="仿宋" w:hAnsi="仿宋" w:eastAsia="仿宋" w:cs="仿宋"/>
          <w:b/>
          <w:sz w:val="32"/>
          <w:szCs w:val="32"/>
        </w:rPr>
      </w:pPr>
      <w:r>
        <w:rPr>
          <w:rFonts w:hint="eastAsia" w:ascii="仿宋" w:hAnsi="仿宋" w:eastAsia="仿宋" w:cs="仿宋"/>
          <w:b/>
          <w:sz w:val="32"/>
          <w:szCs w:val="32"/>
        </w:rPr>
        <w:t>封面：</w:t>
      </w:r>
    </w:p>
    <w:p>
      <w:pPr>
        <w:spacing w:line="360" w:lineRule="auto"/>
        <w:jc w:val="right"/>
        <w:rPr>
          <w:rFonts w:ascii="仿宋" w:hAnsi="仿宋" w:eastAsia="仿宋" w:cs="仿宋"/>
          <w:b/>
          <w:sz w:val="36"/>
        </w:rPr>
      </w:pPr>
      <w:r>
        <w:rPr>
          <w:rFonts w:hint="eastAsia" w:ascii="仿宋" w:hAnsi="仿宋" w:eastAsia="仿宋" w:cs="仿宋"/>
          <w:b/>
          <w:sz w:val="36"/>
        </w:rPr>
        <w:t>（正本/副本）</w:t>
      </w:r>
    </w:p>
    <w:p>
      <w:pPr>
        <w:spacing w:line="360" w:lineRule="auto"/>
        <w:rPr>
          <w:rFonts w:ascii="仿宋" w:hAnsi="仿宋" w:eastAsia="仿宋" w:cs="仿宋"/>
          <w:b/>
          <w:sz w:val="32"/>
          <w:szCs w:val="32"/>
        </w:rPr>
      </w:pPr>
    </w:p>
    <w:p>
      <w:pPr>
        <w:spacing w:line="360" w:lineRule="auto"/>
        <w:jc w:val="center"/>
        <w:rPr>
          <w:rFonts w:ascii="仿宋" w:hAnsi="仿宋" w:eastAsia="仿宋" w:cs="仿宋"/>
          <w:b/>
          <w:sz w:val="72"/>
        </w:rPr>
      </w:pPr>
      <w:r>
        <w:rPr>
          <w:rFonts w:hint="eastAsia" w:ascii="仿宋" w:hAnsi="仿宋" w:eastAsia="仿宋" w:cs="仿宋"/>
          <w:b/>
          <w:sz w:val="40"/>
          <w:szCs w:val="48"/>
        </w:rPr>
        <w:t>XXXX项目</w:t>
      </w:r>
    </w:p>
    <w:p>
      <w:pPr>
        <w:spacing w:line="360" w:lineRule="auto"/>
        <w:rPr>
          <w:rFonts w:ascii="仿宋" w:hAnsi="仿宋" w:eastAsia="仿宋" w:cs="仿宋"/>
          <w:b/>
          <w:sz w:val="52"/>
          <w:szCs w:val="52"/>
        </w:rPr>
      </w:pPr>
    </w:p>
    <w:p>
      <w:pPr>
        <w:spacing w:line="360" w:lineRule="auto"/>
        <w:jc w:val="center"/>
        <w:rPr>
          <w:rFonts w:ascii="仿宋" w:hAnsi="仿宋" w:eastAsia="仿宋" w:cs="仿宋"/>
          <w:b/>
          <w:sz w:val="32"/>
          <w:szCs w:val="32"/>
        </w:rPr>
      </w:pPr>
      <w:r>
        <w:rPr>
          <w:rFonts w:hint="eastAsia" w:ascii="仿宋" w:hAnsi="仿宋" w:eastAsia="仿宋" w:cs="仿宋"/>
          <w:b/>
          <w:sz w:val="52"/>
          <w:szCs w:val="52"/>
        </w:rPr>
        <w:t>其他响应性投标文件</w:t>
      </w:r>
    </w:p>
    <w:p>
      <w:pPr>
        <w:spacing w:line="360" w:lineRule="auto"/>
        <w:rPr>
          <w:rFonts w:ascii="仿宋" w:hAnsi="仿宋" w:eastAsia="仿宋" w:cs="仿宋"/>
          <w:b/>
          <w:sz w:val="36"/>
        </w:rPr>
      </w:pPr>
    </w:p>
    <w:p>
      <w:pPr>
        <w:spacing w:line="360" w:lineRule="auto"/>
        <w:rPr>
          <w:rFonts w:ascii="仿宋" w:hAnsi="仿宋" w:eastAsia="仿宋" w:cs="仿宋"/>
          <w:b/>
          <w:sz w:val="36"/>
        </w:rPr>
      </w:pPr>
    </w:p>
    <w:p>
      <w:pPr>
        <w:spacing w:line="360" w:lineRule="auto"/>
        <w:jc w:val="left"/>
        <w:rPr>
          <w:rFonts w:ascii="仿宋" w:hAnsi="仿宋" w:eastAsia="仿宋" w:cs="仿宋"/>
          <w:b/>
          <w:sz w:val="32"/>
          <w:u w:val="single"/>
        </w:rPr>
      </w:pPr>
      <w:r>
        <w:rPr>
          <w:rFonts w:hint="eastAsia" w:ascii="仿宋" w:hAnsi="仿宋" w:eastAsia="仿宋" w:cs="仿宋"/>
          <w:b/>
          <w:sz w:val="32"/>
        </w:rPr>
        <w:t>投 标 人名称：</w:t>
      </w:r>
    </w:p>
    <w:p>
      <w:pPr>
        <w:spacing w:line="360" w:lineRule="auto"/>
        <w:jc w:val="left"/>
        <w:rPr>
          <w:rFonts w:ascii="仿宋" w:hAnsi="仿宋" w:eastAsia="仿宋" w:cs="仿宋"/>
          <w:b/>
          <w:sz w:val="32"/>
          <w:u w:val="single"/>
        </w:rPr>
      </w:pPr>
      <w:r>
        <w:rPr>
          <w:rFonts w:hint="eastAsia" w:ascii="仿宋" w:hAnsi="仿宋" w:eastAsia="仿宋" w:cs="仿宋"/>
          <w:b/>
          <w:sz w:val="32"/>
        </w:rPr>
        <w:t>采购项目编号：</w:t>
      </w:r>
    </w:p>
    <w:p>
      <w:pPr>
        <w:spacing w:line="360" w:lineRule="auto"/>
        <w:ind w:firstLine="790" w:firstLineChars="246"/>
        <w:jc w:val="center"/>
        <w:rPr>
          <w:rFonts w:ascii="仿宋" w:hAnsi="仿宋" w:eastAsia="仿宋" w:cs="仿宋"/>
          <w:b/>
          <w:sz w:val="32"/>
        </w:rPr>
      </w:pPr>
    </w:p>
    <w:p>
      <w:pPr>
        <w:spacing w:line="360" w:lineRule="auto"/>
        <w:ind w:firstLine="790" w:firstLineChars="246"/>
        <w:jc w:val="center"/>
        <w:rPr>
          <w:rFonts w:ascii="仿宋" w:hAnsi="仿宋" w:eastAsia="仿宋" w:cs="仿宋"/>
          <w:b/>
          <w:sz w:val="32"/>
        </w:rPr>
      </w:pPr>
      <w:r>
        <w:rPr>
          <w:rFonts w:hint="eastAsia" w:ascii="仿宋" w:hAnsi="仿宋" w:eastAsia="仿宋" w:cs="仿宋"/>
          <w:b/>
          <w:sz w:val="32"/>
        </w:rPr>
        <w:t>投标时间： 年 月 日</w:t>
      </w:r>
    </w:p>
    <w:p>
      <w:pPr>
        <w:widowControl/>
        <w:spacing w:after="0" w:line="240" w:lineRule="auto"/>
        <w:jc w:val="left"/>
        <w:rPr>
          <w:rFonts w:ascii="仿宋" w:hAnsi="仿宋" w:eastAsia="仿宋" w:cs="仿宋"/>
          <w:b/>
          <w:sz w:val="32"/>
        </w:rPr>
      </w:pPr>
      <w:r>
        <w:rPr>
          <w:rFonts w:hint="eastAsia" w:ascii="仿宋" w:hAnsi="仿宋" w:eastAsia="仿宋" w:cs="仿宋"/>
          <w:b/>
          <w:sz w:val="32"/>
        </w:rPr>
        <w:br w:type="page"/>
      </w:r>
    </w:p>
    <w:p>
      <w:pPr>
        <w:spacing w:line="360" w:lineRule="auto"/>
        <w:rPr>
          <w:rFonts w:ascii="仿宋" w:hAnsi="仿宋" w:eastAsia="仿宋" w:cs="仿宋"/>
          <w:b/>
          <w:sz w:val="32"/>
          <w:szCs w:val="32"/>
        </w:rPr>
      </w:pPr>
      <w:r>
        <w:rPr>
          <w:rFonts w:hint="eastAsia" w:ascii="仿宋" w:hAnsi="仿宋" w:eastAsia="仿宋" w:cs="仿宋"/>
          <w:b/>
          <w:sz w:val="32"/>
          <w:szCs w:val="32"/>
        </w:rPr>
        <w:t>格式2-2</w:t>
      </w:r>
    </w:p>
    <w:p>
      <w:pPr>
        <w:widowControl/>
        <w:spacing w:line="360" w:lineRule="atLeast"/>
        <w:jc w:val="center"/>
        <w:outlineLvl w:val="1"/>
        <w:rPr>
          <w:rFonts w:ascii="仿宋" w:hAnsi="仿宋" w:eastAsia="仿宋" w:cs="仿宋"/>
          <w:b/>
          <w:sz w:val="32"/>
          <w:szCs w:val="32"/>
        </w:rPr>
      </w:pPr>
      <w:r>
        <w:rPr>
          <w:rFonts w:hint="eastAsia" w:ascii="仿宋" w:hAnsi="仿宋" w:eastAsia="仿宋" w:cs="仿宋"/>
          <w:b/>
          <w:sz w:val="32"/>
          <w:szCs w:val="32"/>
        </w:rPr>
        <w:t>一、投 标 函</w:t>
      </w:r>
      <w:bookmarkEnd w:id="188"/>
      <w:bookmarkEnd w:id="189"/>
    </w:p>
    <w:p>
      <w:pPr>
        <w:widowControl/>
        <w:spacing w:line="360" w:lineRule="atLeast"/>
        <w:jc w:val="center"/>
        <w:outlineLvl w:val="1"/>
        <w:rPr>
          <w:rFonts w:ascii="仿宋" w:hAnsi="仿宋" w:eastAsia="仿宋" w:cs="仿宋"/>
          <w:b/>
          <w:sz w:val="24"/>
        </w:rPr>
      </w:pPr>
    </w:p>
    <w:p>
      <w:pPr>
        <w:widowControl/>
        <w:spacing w:line="360" w:lineRule="atLeast"/>
        <w:jc w:val="left"/>
        <w:outlineLvl w:val="1"/>
        <w:rPr>
          <w:rFonts w:ascii="仿宋" w:hAnsi="仿宋" w:eastAsia="仿宋" w:cs="仿宋"/>
          <w:sz w:val="24"/>
        </w:rPr>
      </w:pPr>
      <w:r>
        <w:rPr>
          <w:rFonts w:hint="eastAsia" w:ascii="仿宋" w:hAnsi="仿宋" w:eastAsia="仿宋" w:cs="仿宋"/>
          <w:sz w:val="24"/>
        </w:rPr>
        <w:t>XXXX（采购代理机构名称）：</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我方全面研究了“</w:t>
      </w:r>
      <w:r>
        <w:rPr>
          <w:rFonts w:hint="eastAsia" w:ascii="仿宋" w:hAnsi="仿宋" w:eastAsia="仿宋" w:cs="仿宋"/>
          <w:sz w:val="24"/>
          <w:u w:val="single"/>
        </w:rPr>
        <w:t>XXXXXXXX</w:t>
      </w:r>
      <w:r>
        <w:rPr>
          <w:rFonts w:hint="eastAsia" w:ascii="仿宋" w:hAnsi="仿宋" w:eastAsia="仿宋" w:cs="仿宋"/>
          <w:sz w:val="24"/>
        </w:rPr>
        <w:t>”项目（招标编号：</w:t>
      </w:r>
      <w:r>
        <w:rPr>
          <w:rFonts w:hint="eastAsia" w:ascii="仿宋" w:hAnsi="仿宋" w:eastAsia="仿宋" w:cs="仿宋"/>
          <w:sz w:val="24"/>
          <w:u w:val="single"/>
        </w:rPr>
        <w:t>XXXX</w:t>
      </w:r>
      <w:r>
        <w:rPr>
          <w:rFonts w:hint="eastAsia" w:ascii="仿宋" w:hAnsi="仿宋" w:eastAsia="仿宋" w:cs="仿宋"/>
          <w:sz w:val="24"/>
        </w:rPr>
        <w:t>）招标文件，决定参加贵单位组织的本项目投标。我方授权</w:t>
      </w:r>
      <w:r>
        <w:rPr>
          <w:rFonts w:hint="eastAsia" w:ascii="仿宋" w:hAnsi="仿宋" w:eastAsia="仿宋" w:cs="仿宋"/>
          <w:sz w:val="24"/>
          <w:u w:val="single"/>
        </w:rPr>
        <w:t>XXXX</w:t>
      </w:r>
      <w:r>
        <w:rPr>
          <w:rFonts w:hint="eastAsia" w:ascii="仿宋" w:hAnsi="仿宋" w:eastAsia="仿宋" w:cs="仿宋"/>
          <w:sz w:val="24"/>
        </w:rPr>
        <w:t>（姓名、职务）代表我方</w:t>
      </w:r>
      <w:r>
        <w:rPr>
          <w:rFonts w:hint="eastAsia" w:ascii="仿宋" w:hAnsi="仿宋" w:eastAsia="仿宋" w:cs="仿宋"/>
          <w:sz w:val="24"/>
          <w:u w:val="single"/>
        </w:rPr>
        <w:t>XXXXXXXX</w:t>
      </w:r>
      <w:r>
        <w:rPr>
          <w:rFonts w:hint="eastAsia" w:ascii="仿宋" w:hAnsi="仿宋" w:eastAsia="仿宋" w:cs="仿宋"/>
          <w:sz w:val="24"/>
        </w:rPr>
        <w:t>（投标单位的名称）全权处理本项目投标的有关事宜。</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一、我方自愿按照招标文件规定的各项要求向采购人提供所需服务。</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二、一旦我方中标，我方将严格履行政府采购合同规定的责任和义务。</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三、我方为本项目提交的投标文件按照招标文件要求。</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四、我方同意本次招标的投标有效期为投标截止时间届满后</w:t>
      </w:r>
      <w:r>
        <w:rPr>
          <w:rFonts w:hint="eastAsia" w:ascii="仿宋" w:hAnsi="仿宋" w:eastAsia="仿宋" w:cs="仿宋"/>
          <w:sz w:val="24"/>
          <w:u w:val="single"/>
        </w:rPr>
        <w:t>XXXX</w:t>
      </w:r>
      <w:r>
        <w:rPr>
          <w:rFonts w:hint="eastAsia" w:ascii="仿宋" w:hAnsi="仿宋" w:eastAsia="仿宋" w:cs="仿宋"/>
          <w:sz w:val="24"/>
        </w:rPr>
        <w:t>天，并同意招标文件中其他关于投标有效期的实质性要求。</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五、我方愿意提供贵单位可能另外要求的，与投标有关的文件资料，并保证我方已提供和将要提供的文件资料是真实、准确的。</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投标人名称：XXXX（单位公章）。</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通讯地址：XXXX。</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邮政编码：XXXX。</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联系电话：XXXX。</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传    真：XXXX。</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日    期：XXXX年XXXX月XXXX日。</w:t>
      </w:r>
    </w:p>
    <w:p>
      <w:pPr>
        <w:spacing w:after="0" w:line="360" w:lineRule="auto"/>
        <w:rPr>
          <w:rFonts w:ascii="仿宋" w:hAnsi="仿宋" w:eastAsia="仿宋" w:cs="仿宋"/>
          <w:b/>
          <w:sz w:val="32"/>
          <w:szCs w:val="32"/>
        </w:rPr>
      </w:pPr>
      <w:bookmarkStart w:id="191" w:name="_Toc308164824"/>
      <w:r>
        <w:rPr>
          <w:rFonts w:hint="eastAsia" w:ascii="仿宋" w:hAnsi="仿宋" w:eastAsia="仿宋" w:cs="仿宋"/>
          <w:b/>
          <w:sz w:val="32"/>
          <w:szCs w:val="32"/>
        </w:rPr>
        <w:br w:type="page"/>
      </w:r>
      <w:r>
        <w:rPr>
          <w:rFonts w:hint="eastAsia" w:ascii="仿宋" w:hAnsi="仿宋" w:eastAsia="仿宋" w:cs="仿宋"/>
          <w:b/>
          <w:sz w:val="32"/>
          <w:szCs w:val="32"/>
        </w:rPr>
        <w:t>格式2-3</w:t>
      </w:r>
    </w:p>
    <w:p>
      <w:pPr>
        <w:widowControl/>
        <w:spacing w:after="0" w:line="240" w:lineRule="auto"/>
        <w:jc w:val="center"/>
        <w:outlineLvl w:val="1"/>
        <w:rPr>
          <w:rFonts w:ascii="仿宋" w:hAnsi="仿宋" w:eastAsia="仿宋" w:cs="仿宋"/>
          <w:b/>
          <w:sz w:val="32"/>
          <w:szCs w:val="32"/>
        </w:rPr>
      </w:pPr>
      <w:r>
        <w:rPr>
          <w:rFonts w:hint="eastAsia" w:ascii="仿宋" w:hAnsi="仿宋" w:eastAsia="仿宋" w:cs="仿宋"/>
          <w:b/>
          <w:sz w:val="32"/>
          <w:szCs w:val="32"/>
        </w:rPr>
        <w:t>二、承诺函</w:t>
      </w:r>
      <w:r>
        <w:rPr>
          <w:rFonts w:hint="eastAsia" w:ascii="仿宋" w:hAnsi="仿宋" w:eastAsia="仿宋" w:cs="仿宋"/>
          <w:sz w:val="32"/>
          <w:szCs w:val="32"/>
        </w:rPr>
        <w:t>（实质性要求）</w:t>
      </w:r>
    </w:p>
    <w:p>
      <w:pPr>
        <w:widowControl/>
        <w:spacing w:after="0" w:line="240" w:lineRule="auto"/>
        <w:jc w:val="center"/>
        <w:outlineLvl w:val="1"/>
        <w:rPr>
          <w:rFonts w:ascii="仿宋" w:hAnsi="仿宋" w:eastAsia="仿宋" w:cs="仿宋"/>
          <w:b/>
          <w:sz w:val="24"/>
        </w:rPr>
      </w:pPr>
    </w:p>
    <w:p>
      <w:pPr>
        <w:widowControl/>
        <w:spacing w:after="0" w:line="240" w:lineRule="auto"/>
        <w:jc w:val="left"/>
        <w:outlineLvl w:val="1"/>
        <w:rPr>
          <w:rFonts w:ascii="仿宋" w:hAnsi="仿宋" w:eastAsia="仿宋" w:cs="仿宋"/>
          <w:sz w:val="24"/>
        </w:rPr>
      </w:pPr>
      <w:r>
        <w:rPr>
          <w:rFonts w:hint="eastAsia" w:ascii="仿宋" w:hAnsi="仿宋" w:eastAsia="仿宋" w:cs="仿宋"/>
          <w:sz w:val="24"/>
        </w:rPr>
        <w:t>XXXX（采购代理机构名称）：</w:t>
      </w:r>
    </w:p>
    <w:p>
      <w:pPr>
        <w:widowControl/>
        <w:spacing w:after="0" w:line="240" w:lineRule="auto"/>
        <w:ind w:firstLine="480" w:firstLineChars="200"/>
        <w:jc w:val="left"/>
        <w:outlineLvl w:val="1"/>
        <w:rPr>
          <w:rFonts w:ascii="仿宋" w:hAnsi="仿宋" w:eastAsia="仿宋" w:cs="仿宋"/>
          <w:sz w:val="24"/>
        </w:rPr>
      </w:pPr>
      <w:r>
        <w:rPr>
          <w:rFonts w:hint="eastAsia" w:ascii="仿宋" w:hAnsi="仿宋" w:eastAsia="仿宋" w:cs="仿宋"/>
          <w:sz w:val="24"/>
        </w:rPr>
        <w:t>我方作为本次采购项目的投标人，根据招标文件要求，现郑重承诺如下：</w:t>
      </w:r>
    </w:p>
    <w:p>
      <w:pPr>
        <w:widowControl/>
        <w:spacing w:after="0" w:line="240" w:lineRule="auto"/>
        <w:ind w:firstLine="480" w:firstLineChars="200"/>
        <w:jc w:val="left"/>
        <w:outlineLvl w:val="1"/>
        <w:rPr>
          <w:rFonts w:ascii="仿宋" w:hAnsi="仿宋" w:eastAsia="仿宋" w:cs="仿宋"/>
          <w:sz w:val="24"/>
        </w:rPr>
      </w:pPr>
      <w:r>
        <w:rPr>
          <w:rFonts w:hint="eastAsia" w:ascii="仿宋" w:hAnsi="仿宋" w:eastAsia="仿宋" w:cs="仿宋"/>
          <w:sz w:val="24"/>
        </w:rPr>
        <w:t>一、我方已认真阅读并接受本项目招标文件第二章的全部实质性要求，如对招标文件有异议，已依法进行维权救济，不存在对招标文件有异议的同时又参加投标以求侥幸中标或者为实现其他非法目的的行为。</w:t>
      </w:r>
    </w:p>
    <w:p>
      <w:pPr>
        <w:widowControl/>
        <w:spacing w:after="0" w:line="240" w:lineRule="auto"/>
        <w:ind w:firstLine="480" w:firstLineChars="200"/>
        <w:jc w:val="left"/>
        <w:outlineLvl w:val="1"/>
        <w:rPr>
          <w:rFonts w:ascii="仿宋" w:hAnsi="仿宋" w:eastAsia="仿宋" w:cs="仿宋"/>
          <w:sz w:val="24"/>
        </w:rPr>
      </w:pPr>
      <w:r>
        <w:rPr>
          <w:rFonts w:hint="eastAsia" w:ascii="仿宋" w:hAnsi="仿宋" w:eastAsia="仿宋" w:cs="仿宋"/>
          <w:sz w:val="24"/>
        </w:rPr>
        <w:t>二、参加本次招标采购活动，不存在与单位负责人为同一人或者存在直接控股、管理关系的其他供应商参与同一合同项下的政府采购活动的行为。</w:t>
      </w:r>
    </w:p>
    <w:p>
      <w:pPr>
        <w:widowControl/>
        <w:spacing w:after="0" w:line="240" w:lineRule="auto"/>
        <w:ind w:firstLine="480" w:firstLineChars="200"/>
        <w:jc w:val="left"/>
        <w:outlineLvl w:val="1"/>
        <w:rPr>
          <w:rFonts w:ascii="仿宋" w:hAnsi="仿宋" w:eastAsia="仿宋" w:cs="仿宋"/>
          <w:sz w:val="24"/>
        </w:rPr>
      </w:pPr>
      <w:r>
        <w:rPr>
          <w:rFonts w:hint="eastAsia" w:ascii="仿宋" w:hAnsi="仿宋" w:eastAsia="仿宋" w:cs="仿宋"/>
          <w:sz w:val="24"/>
        </w:rPr>
        <w:t>三、为采购项目提供整体设计、规范编制或者项目管理、监理、检测等服务的供应商，不得再参加该采购项目的其他采购活动，我方承诺不属于此类禁止参加本项目的供应商。</w:t>
      </w:r>
    </w:p>
    <w:p>
      <w:pPr>
        <w:widowControl/>
        <w:spacing w:after="0" w:line="240" w:lineRule="auto"/>
        <w:ind w:firstLine="480" w:firstLineChars="200"/>
        <w:jc w:val="left"/>
        <w:outlineLvl w:val="1"/>
        <w:rPr>
          <w:rFonts w:ascii="仿宋" w:hAnsi="仿宋" w:eastAsia="仿宋" w:cs="仿宋"/>
          <w:sz w:val="24"/>
        </w:rPr>
      </w:pPr>
      <w:r>
        <w:rPr>
          <w:rFonts w:hint="eastAsia" w:ascii="仿宋" w:hAnsi="仿宋" w:eastAsia="仿宋" w:cs="仿宋"/>
          <w:sz w:val="24"/>
        </w:rPr>
        <w:t>四、参加本次招标采购活动，不存在和其他供应商在同一合同项下的采购项目中，同时委托同一个自然人、同一家庭的人员、同一单位的人员作为代理人的行为。</w:t>
      </w:r>
    </w:p>
    <w:p>
      <w:pPr>
        <w:widowControl/>
        <w:spacing w:after="0" w:line="240" w:lineRule="auto"/>
        <w:ind w:firstLine="480" w:firstLineChars="200"/>
        <w:jc w:val="left"/>
        <w:outlineLvl w:val="1"/>
        <w:rPr>
          <w:rFonts w:ascii="仿宋" w:hAnsi="仿宋" w:eastAsia="仿宋" w:cs="仿宋"/>
          <w:sz w:val="24"/>
        </w:rPr>
      </w:pPr>
      <w:r>
        <w:rPr>
          <w:rFonts w:hint="eastAsia" w:ascii="仿宋" w:hAnsi="仿宋" w:eastAsia="仿宋" w:cs="仿宋"/>
          <w:sz w:val="24"/>
        </w:rPr>
        <w:t>五、投标文件中提供的能够给予我方带来优惠、好处的任何材料资料和技术、服务、商务、响应产品等响应承诺情况都是真实的、有效的、合法的。</w:t>
      </w:r>
    </w:p>
    <w:p>
      <w:pPr>
        <w:widowControl/>
        <w:spacing w:after="0" w:line="240" w:lineRule="auto"/>
        <w:ind w:firstLine="480" w:firstLineChars="200"/>
        <w:jc w:val="left"/>
        <w:outlineLvl w:val="1"/>
        <w:rPr>
          <w:rFonts w:ascii="仿宋" w:hAnsi="仿宋" w:eastAsia="仿宋" w:cs="仿宋"/>
          <w:sz w:val="24"/>
        </w:rPr>
      </w:pPr>
      <w:r>
        <w:rPr>
          <w:rFonts w:hint="eastAsia" w:ascii="仿宋" w:hAnsi="仿宋" w:eastAsia="仿宋" w:cs="仿宋"/>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widowControl/>
        <w:spacing w:after="0" w:line="240" w:lineRule="auto"/>
        <w:ind w:firstLine="480" w:firstLineChars="200"/>
        <w:jc w:val="left"/>
        <w:outlineLvl w:val="1"/>
        <w:rPr>
          <w:rFonts w:ascii="仿宋" w:hAnsi="仿宋" w:eastAsia="仿宋" w:cs="仿宋"/>
          <w:sz w:val="24"/>
        </w:rPr>
      </w:pPr>
      <w:r>
        <w:rPr>
          <w:rFonts w:hint="eastAsia" w:ascii="仿宋" w:hAnsi="仿宋" w:eastAsia="仿宋" w:cs="仿宋"/>
          <w:sz w:val="24"/>
        </w:rPr>
        <w:t>七、国家或行业主管部门对采购产品的技术标准、质量标准和资格资质条件等有强制性规定的，我方承诺符合其要求。</w:t>
      </w:r>
    </w:p>
    <w:p>
      <w:pPr>
        <w:widowControl/>
        <w:spacing w:after="0" w:line="240" w:lineRule="auto"/>
        <w:ind w:firstLine="480" w:firstLineChars="200"/>
        <w:jc w:val="left"/>
        <w:outlineLvl w:val="1"/>
        <w:rPr>
          <w:rFonts w:ascii="仿宋" w:hAnsi="仿宋" w:eastAsia="仿宋" w:cs="仿宋"/>
          <w:sz w:val="24"/>
        </w:rPr>
      </w:pPr>
      <w:r>
        <w:rPr>
          <w:rFonts w:hint="eastAsia" w:ascii="仿宋" w:hAnsi="仿宋" w:eastAsia="仿宋" w:cs="仿宋"/>
          <w:sz w:val="24"/>
        </w:rPr>
        <w:t>八、参加本次招标采购活动，我方完全同意招标文件第二章关于“投标费用”、“合同分包”、“合同转包”、“履约保证金”的实质性要求，并承诺严格按照招标文件要求履行。</w:t>
      </w:r>
    </w:p>
    <w:p>
      <w:pPr>
        <w:widowControl/>
        <w:spacing w:after="0" w:line="240" w:lineRule="auto"/>
        <w:ind w:firstLine="480" w:firstLineChars="200"/>
        <w:jc w:val="left"/>
        <w:outlineLvl w:val="1"/>
        <w:rPr>
          <w:rFonts w:ascii="仿宋" w:hAnsi="仿宋" w:eastAsia="仿宋" w:cs="仿宋"/>
          <w:sz w:val="24"/>
        </w:rPr>
      </w:pPr>
      <w:r>
        <w:rPr>
          <w:rFonts w:hint="eastAsia" w:ascii="仿宋" w:hAnsi="仿宋" w:eastAsia="仿宋" w:cs="仿宋"/>
          <w:sz w:val="24"/>
        </w:rPr>
        <w:t>九、在本次投标之前一周年内，投标人本次投标中对同一品牌同一型号相同配置的产品报价与其在中国境内其他地方的最低报价比例不得高于20%，我方承诺符合该要求。</w:t>
      </w:r>
    </w:p>
    <w:p>
      <w:pPr>
        <w:widowControl/>
        <w:spacing w:after="0" w:line="240" w:lineRule="auto"/>
        <w:ind w:firstLine="480" w:firstLineChars="200"/>
        <w:jc w:val="left"/>
        <w:outlineLvl w:val="1"/>
        <w:rPr>
          <w:rFonts w:ascii="仿宋" w:hAnsi="仿宋" w:eastAsia="仿宋" w:cs="仿宋"/>
          <w:sz w:val="24"/>
        </w:rPr>
      </w:pPr>
      <w:r>
        <w:rPr>
          <w:rFonts w:hint="eastAsia" w:ascii="仿宋" w:hAnsi="仿宋" w:eastAsia="仿宋" w:cs="仿宋"/>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240" w:lineRule="auto"/>
        <w:ind w:firstLine="480" w:firstLineChars="200"/>
        <w:jc w:val="left"/>
        <w:outlineLvl w:val="1"/>
        <w:rPr>
          <w:rFonts w:ascii="仿宋" w:hAnsi="仿宋" w:eastAsia="仿宋" w:cs="仿宋"/>
          <w:sz w:val="24"/>
        </w:rPr>
      </w:pPr>
      <w:r>
        <w:rPr>
          <w:rFonts w:hint="eastAsia" w:ascii="仿宋" w:hAnsi="仿宋" w:eastAsia="仿宋" w:cs="仿宋"/>
          <w:sz w:val="24"/>
        </w:rPr>
        <w:t>十一、与我方存在直接控股关系的单位为：XXX；存在管理关系单位为：XXX</w:t>
      </w:r>
    </w:p>
    <w:p>
      <w:pPr>
        <w:widowControl/>
        <w:spacing w:after="0" w:line="240" w:lineRule="auto"/>
        <w:ind w:firstLine="480" w:firstLineChars="200"/>
        <w:jc w:val="left"/>
        <w:outlineLvl w:val="1"/>
        <w:rPr>
          <w:rFonts w:ascii="仿宋" w:hAnsi="仿宋" w:eastAsia="仿宋" w:cs="仿宋"/>
          <w:sz w:val="24"/>
        </w:rPr>
      </w:pPr>
      <w:r>
        <w:rPr>
          <w:rFonts w:hint="eastAsia" w:ascii="仿宋" w:hAnsi="仿宋" w:eastAsia="仿宋" w:cs="仿宋"/>
          <w:sz w:val="24"/>
        </w:rPr>
        <w:t>我方对上述承诺的内容事项真实性负责。如经查实上述承诺的内容事项存在虚假，我方愿意接受以提供虚假材料谋取中标追究法律责任。</w:t>
      </w:r>
    </w:p>
    <w:p>
      <w:pPr>
        <w:widowControl/>
        <w:spacing w:after="0" w:line="240" w:lineRule="auto"/>
        <w:ind w:firstLine="470" w:firstLineChars="196"/>
        <w:jc w:val="left"/>
        <w:outlineLvl w:val="1"/>
        <w:rPr>
          <w:rFonts w:ascii="仿宋" w:hAnsi="仿宋" w:eastAsia="仿宋" w:cs="仿宋"/>
          <w:sz w:val="24"/>
        </w:rPr>
      </w:pPr>
      <w:r>
        <w:rPr>
          <w:rFonts w:hint="eastAsia" w:ascii="仿宋" w:hAnsi="仿宋" w:eastAsia="仿宋" w:cs="仿宋"/>
          <w:sz w:val="24"/>
        </w:rPr>
        <w:t>投标人名称：XXXX（单位公章）。</w:t>
      </w:r>
    </w:p>
    <w:p>
      <w:pPr>
        <w:widowControl/>
        <w:spacing w:after="0" w:line="240" w:lineRule="auto"/>
        <w:ind w:firstLine="470" w:firstLineChars="196"/>
        <w:jc w:val="left"/>
        <w:outlineLvl w:val="1"/>
        <w:rPr>
          <w:rFonts w:ascii="仿宋" w:hAnsi="仿宋" w:eastAsia="仿宋" w:cs="仿宋"/>
          <w:sz w:val="24"/>
        </w:rPr>
      </w:pPr>
      <w:r>
        <w:rPr>
          <w:rFonts w:hint="eastAsia" w:ascii="仿宋" w:hAnsi="仿宋" w:eastAsia="仿宋" w:cs="仿宋"/>
          <w:sz w:val="24"/>
        </w:rPr>
        <w:t>法定代表人/单位负责人或授权代表（签字或加盖个人名章）：XXXX。</w:t>
      </w:r>
    </w:p>
    <w:p>
      <w:pPr>
        <w:spacing w:after="0" w:line="240" w:lineRule="auto"/>
        <w:rPr>
          <w:rFonts w:ascii="仿宋" w:hAnsi="仿宋" w:eastAsia="仿宋" w:cs="仿宋"/>
          <w:b/>
          <w:sz w:val="32"/>
          <w:szCs w:val="32"/>
        </w:rPr>
      </w:pPr>
      <w:r>
        <w:rPr>
          <w:rFonts w:hint="eastAsia" w:ascii="仿宋" w:hAnsi="仿宋" w:eastAsia="仿宋" w:cs="仿宋"/>
          <w:sz w:val="24"/>
        </w:rPr>
        <w:t xml:space="preserve">    日    期：XXXX。</w:t>
      </w:r>
      <w:r>
        <w:rPr>
          <w:rFonts w:hint="eastAsia" w:ascii="仿宋" w:hAnsi="仿宋" w:eastAsia="仿宋" w:cs="仿宋"/>
          <w:b/>
          <w:sz w:val="32"/>
          <w:szCs w:val="32"/>
        </w:rPr>
        <w:br w:type="page"/>
      </w:r>
      <w:r>
        <w:rPr>
          <w:rFonts w:hint="eastAsia" w:ascii="仿宋" w:hAnsi="仿宋" w:eastAsia="仿宋" w:cs="仿宋"/>
          <w:b/>
          <w:sz w:val="32"/>
          <w:szCs w:val="32"/>
        </w:rPr>
        <w:t>格式2-4</w:t>
      </w:r>
      <w:bookmarkEnd w:id="114"/>
      <w:bookmarkEnd w:id="191"/>
    </w:p>
    <w:p>
      <w:pPr>
        <w:spacing w:line="400" w:lineRule="exact"/>
        <w:ind w:firstLine="643" w:firstLineChars="200"/>
        <w:jc w:val="center"/>
        <w:rPr>
          <w:rFonts w:ascii="仿宋" w:hAnsi="仿宋" w:eastAsia="仿宋" w:cs="仿宋"/>
          <w:b/>
          <w:sz w:val="32"/>
          <w:szCs w:val="32"/>
        </w:rPr>
      </w:pPr>
      <w:bookmarkStart w:id="192" w:name="_Toc217446085"/>
      <w:r>
        <w:rPr>
          <w:rFonts w:hint="eastAsia" w:ascii="仿宋" w:hAnsi="仿宋" w:eastAsia="仿宋" w:cs="仿宋"/>
          <w:b/>
          <w:sz w:val="32"/>
          <w:szCs w:val="32"/>
        </w:rPr>
        <w:t>三、开标一览表</w:t>
      </w:r>
      <w:bookmarkEnd w:id="192"/>
    </w:p>
    <w:p>
      <w:pPr>
        <w:widowControl/>
        <w:snapToGrid w:val="0"/>
        <w:jc w:val="left"/>
        <w:outlineLvl w:val="1"/>
        <w:rPr>
          <w:rFonts w:ascii="仿宋" w:hAnsi="仿宋" w:eastAsia="仿宋"/>
          <w:sz w:val="24"/>
        </w:rPr>
      </w:pPr>
      <w:r>
        <w:rPr>
          <w:rFonts w:hint="eastAsia" w:ascii="仿宋" w:hAnsi="仿宋" w:eastAsia="仿宋"/>
          <w:sz w:val="24"/>
        </w:rPr>
        <w:t>项目编号：</w:t>
      </w:r>
      <w:bookmarkStart w:id="193" w:name="_Hlk495433777"/>
      <w:bookmarkEnd w:id="193"/>
    </w:p>
    <w:tbl>
      <w:tblPr>
        <w:tblStyle w:val="29"/>
        <w:tblW w:w="9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8"/>
        <w:gridCol w:w="2922"/>
        <w:gridCol w:w="4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780" w:type="dxa"/>
            <w:gridSpan w:val="2"/>
            <w:vAlign w:val="center"/>
          </w:tcPr>
          <w:p>
            <w:pPr>
              <w:widowControl/>
              <w:snapToGrid w:val="0"/>
              <w:jc w:val="center"/>
              <w:rPr>
                <w:rFonts w:ascii="仿宋" w:hAnsi="仿宋" w:eastAsia="仿宋"/>
                <w:bCs/>
                <w:sz w:val="24"/>
              </w:rPr>
            </w:pPr>
            <w:bookmarkStart w:id="194" w:name="_Toc469324525"/>
            <w:r>
              <w:rPr>
                <w:rFonts w:hint="eastAsia" w:ascii="仿宋" w:hAnsi="仿宋" w:eastAsia="仿宋"/>
                <w:sz w:val="24"/>
              </w:rPr>
              <w:t>项目名称</w:t>
            </w:r>
            <w:bookmarkEnd w:id="194"/>
          </w:p>
        </w:tc>
        <w:tc>
          <w:tcPr>
            <w:tcW w:w="4440" w:type="dxa"/>
            <w:vAlign w:val="center"/>
          </w:tcPr>
          <w:p>
            <w:pPr>
              <w:snapToGrid w:val="0"/>
              <w:jc w:val="center"/>
              <w:rPr>
                <w:rFonts w:ascii="仿宋" w:hAnsi="仿宋" w:eastAsia="仿宋"/>
                <w:bCs/>
                <w:sz w:val="24"/>
              </w:rPr>
            </w:pPr>
            <w:r>
              <w:rPr>
                <w:rFonts w:ascii="仿宋" w:hAnsi="仿宋" w:eastAsia="仿宋"/>
                <w:bCs/>
                <w:sz w:val="24"/>
              </w:rPr>
              <w:t>服务</w:t>
            </w:r>
            <w:r>
              <w:rPr>
                <w:rFonts w:hint="eastAsia" w:ascii="仿宋" w:hAnsi="仿宋" w:eastAsia="仿宋"/>
                <w:bCs/>
                <w:sz w:val="24"/>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4780" w:type="dxa"/>
            <w:gridSpan w:val="2"/>
            <w:vAlign w:val="center"/>
          </w:tcPr>
          <w:p>
            <w:pPr>
              <w:widowControl/>
              <w:snapToGrid w:val="0"/>
              <w:jc w:val="center"/>
              <w:rPr>
                <w:rFonts w:ascii="仿宋" w:hAnsi="仿宋" w:eastAsia="仿宋"/>
                <w:bCs/>
                <w:sz w:val="24"/>
              </w:rPr>
            </w:pPr>
          </w:p>
        </w:tc>
        <w:tc>
          <w:tcPr>
            <w:tcW w:w="4440" w:type="dxa"/>
            <w:vAlign w:val="center"/>
          </w:tcPr>
          <w:p>
            <w:pPr>
              <w:widowControl/>
              <w:snapToGrid w:val="0"/>
              <w:jc w:val="center"/>
              <w:rPr>
                <w:rFonts w:ascii="仿宋" w:hAnsi="仿宋" w:eastAsia="仿宋"/>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1858" w:type="dxa"/>
            <w:vAlign w:val="center"/>
          </w:tcPr>
          <w:p>
            <w:pPr>
              <w:widowControl/>
              <w:snapToGrid w:val="0"/>
              <w:jc w:val="center"/>
              <w:rPr>
                <w:rFonts w:ascii="仿宋" w:hAnsi="仿宋" w:eastAsia="仿宋"/>
                <w:sz w:val="24"/>
              </w:rPr>
            </w:pPr>
            <w:r>
              <w:rPr>
                <w:rFonts w:ascii="仿宋" w:hAnsi="仿宋" w:eastAsia="仿宋"/>
                <w:sz w:val="24"/>
              </w:rPr>
              <w:t>投标</w:t>
            </w:r>
            <w:r>
              <w:rPr>
                <w:rFonts w:hint="eastAsia" w:ascii="仿宋" w:hAnsi="仿宋" w:eastAsia="仿宋"/>
                <w:sz w:val="24"/>
              </w:rPr>
              <w:t>报价</w:t>
            </w:r>
          </w:p>
        </w:tc>
        <w:tc>
          <w:tcPr>
            <w:tcW w:w="7362" w:type="dxa"/>
            <w:gridSpan w:val="2"/>
            <w:vAlign w:val="center"/>
          </w:tcPr>
          <w:p>
            <w:pPr>
              <w:widowControl/>
              <w:snapToGrid w:val="0"/>
              <w:spacing w:afterLines="50"/>
              <w:rPr>
                <w:rFonts w:ascii="仿宋" w:hAnsi="仿宋" w:eastAsia="仿宋"/>
                <w:sz w:val="24"/>
              </w:rPr>
            </w:pPr>
            <w:r>
              <w:rPr>
                <w:rFonts w:ascii="仿宋" w:hAnsi="仿宋" w:eastAsia="仿宋"/>
                <w:sz w:val="24"/>
              </w:rPr>
              <w:t>人民币小写：元</w:t>
            </w:r>
            <w:r>
              <w:rPr>
                <w:rFonts w:hint="eastAsia" w:ascii="仿宋" w:hAnsi="仿宋" w:eastAsia="仿宋"/>
                <w:sz w:val="24"/>
              </w:rPr>
              <w:t>/吨</w:t>
            </w:r>
          </w:p>
          <w:p>
            <w:pPr>
              <w:widowControl/>
              <w:snapToGrid w:val="0"/>
              <w:spacing w:afterLines="50"/>
              <w:rPr>
                <w:rFonts w:ascii="仿宋" w:hAnsi="仿宋" w:eastAsia="仿宋"/>
                <w:sz w:val="24"/>
              </w:rPr>
            </w:pPr>
            <w:r>
              <w:rPr>
                <w:rFonts w:ascii="仿宋" w:hAnsi="仿宋" w:eastAsia="仿宋"/>
                <w:sz w:val="24"/>
              </w:rPr>
              <w:t>人民币大写：</w:t>
            </w:r>
            <w:r>
              <w:rPr>
                <w:rFonts w:hint="eastAsia" w:ascii="仿宋" w:hAnsi="仿宋" w:eastAsia="仿宋"/>
                <w:sz w:val="24"/>
              </w:rPr>
              <w:t>元/吨</w:t>
            </w:r>
          </w:p>
        </w:tc>
      </w:tr>
    </w:tbl>
    <w:p>
      <w:pPr>
        <w:widowControl/>
        <w:spacing w:line="360" w:lineRule="atLeast"/>
        <w:ind w:firstLine="470" w:firstLineChars="196"/>
        <w:jc w:val="left"/>
        <w:outlineLvl w:val="1"/>
        <w:rPr>
          <w:rFonts w:ascii="仿宋" w:hAnsi="仿宋" w:eastAsia="仿宋" w:cs="仿宋"/>
          <w:sz w:val="24"/>
        </w:rPr>
      </w:pP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 xml:space="preserve">注：1. 报价应是最终用户验收合格后的总价，包括人工、保险、代理、培训、税费等实施本次采购项目的所有费用。 </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2.“开标一览表”为多页的，每页均须加盖投标人印章。</w:t>
      </w:r>
    </w:p>
    <w:p>
      <w:pPr>
        <w:widowControl/>
        <w:spacing w:line="360" w:lineRule="atLeast"/>
        <w:ind w:firstLine="470" w:firstLineChars="196"/>
        <w:jc w:val="left"/>
        <w:outlineLvl w:val="1"/>
        <w:rPr>
          <w:rFonts w:ascii="仿宋" w:hAnsi="仿宋" w:eastAsia="仿宋" w:cs="仿宋"/>
          <w:sz w:val="24"/>
        </w:rPr>
      </w:pP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投标人名称：XXXX（单位公章）。</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cs="仿宋"/>
          <w:b/>
          <w:sz w:val="24"/>
        </w:rPr>
        <w:sectPr>
          <w:pgSz w:w="11907" w:h="16840"/>
          <w:pgMar w:top="1440" w:right="1474" w:bottom="1440" w:left="1474" w:header="851" w:footer="992" w:gutter="0"/>
          <w:cols w:space="720" w:num="1"/>
          <w:docGrid w:linePitch="312" w:charSpace="0"/>
        </w:sectPr>
      </w:pPr>
      <w:r>
        <w:rPr>
          <w:rFonts w:hint="eastAsia" w:ascii="仿宋" w:hAnsi="仿宋" w:eastAsia="仿宋" w:cs="仿宋"/>
          <w:sz w:val="24"/>
        </w:rPr>
        <w:t>投标日期：XXXX。</w:t>
      </w:r>
    </w:p>
    <w:p>
      <w:pPr>
        <w:widowControl/>
        <w:spacing w:line="360" w:lineRule="atLeast"/>
        <w:ind w:firstLine="321" w:firstLineChars="100"/>
        <w:jc w:val="left"/>
        <w:outlineLvl w:val="1"/>
        <w:rPr>
          <w:rFonts w:ascii="仿宋" w:hAnsi="仿宋" w:eastAsia="仿宋" w:cs="仿宋"/>
          <w:b/>
          <w:sz w:val="32"/>
          <w:szCs w:val="32"/>
        </w:rPr>
      </w:pPr>
      <w:bookmarkStart w:id="195" w:name="_Toc217446087"/>
      <w:r>
        <w:rPr>
          <w:rFonts w:hint="eastAsia" w:ascii="仿宋" w:hAnsi="仿宋" w:eastAsia="仿宋" w:cs="仿宋"/>
          <w:b/>
          <w:sz w:val="32"/>
          <w:szCs w:val="32"/>
        </w:rPr>
        <w:t>格式2-5</w:t>
      </w:r>
    </w:p>
    <w:p>
      <w:pPr>
        <w:widowControl/>
        <w:spacing w:line="360" w:lineRule="atLeast"/>
        <w:jc w:val="center"/>
        <w:outlineLvl w:val="1"/>
        <w:rPr>
          <w:rFonts w:ascii="仿宋" w:hAnsi="仿宋" w:eastAsia="仿宋" w:cs="仿宋"/>
          <w:b/>
          <w:sz w:val="32"/>
          <w:szCs w:val="32"/>
        </w:rPr>
      </w:pPr>
      <w:r>
        <w:rPr>
          <w:rFonts w:hint="eastAsia" w:ascii="仿宋" w:hAnsi="仿宋" w:eastAsia="仿宋" w:cs="仿宋"/>
          <w:b/>
          <w:sz w:val="32"/>
          <w:szCs w:val="32"/>
        </w:rPr>
        <w:t>四、商务应答表</w:t>
      </w:r>
      <w:bookmarkEnd w:id="195"/>
    </w:p>
    <w:p>
      <w:pPr>
        <w:widowControl/>
        <w:spacing w:line="360" w:lineRule="atLeast"/>
        <w:ind w:firstLine="472" w:firstLineChars="196"/>
        <w:jc w:val="left"/>
        <w:outlineLvl w:val="1"/>
        <w:rPr>
          <w:rFonts w:ascii="仿宋" w:hAnsi="仿宋" w:eastAsia="仿宋" w:cs="仿宋"/>
          <w:b/>
          <w:sz w:val="24"/>
        </w:rPr>
      </w:pP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招标编号：</w:t>
      </w:r>
    </w:p>
    <w:tbl>
      <w:tblPr>
        <w:tblStyle w:val="29"/>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56" w:type="dxa"/>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序号</w:t>
            </w:r>
          </w:p>
        </w:tc>
        <w:tc>
          <w:tcPr>
            <w:tcW w:w="956" w:type="dxa"/>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包号</w:t>
            </w:r>
          </w:p>
        </w:tc>
        <w:tc>
          <w:tcPr>
            <w:tcW w:w="1516" w:type="dxa"/>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招标要求</w:t>
            </w:r>
          </w:p>
        </w:tc>
        <w:tc>
          <w:tcPr>
            <w:tcW w:w="4852" w:type="dxa"/>
            <w:vAlign w:val="center"/>
          </w:tcPr>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outlineLvl w:val="1"/>
              <w:rPr>
                <w:rFonts w:ascii="仿宋" w:hAnsi="仿宋" w:eastAsia="仿宋" w:cs="仿宋"/>
                <w:sz w:val="24"/>
              </w:rPr>
            </w:pPr>
          </w:p>
        </w:tc>
        <w:tc>
          <w:tcPr>
            <w:tcW w:w="956" w:type="dxa"/>
          </w:tcPr>
          <w:p>
            <w:pPr>
              <w:widowControl/>
              <w:spacing w:line="360" w:lineRule="atLeast"/>
              <w:ind w:firstLine="470" w:firstLineChars="196"/>
              <w:jc w:val="left"/>
              <w:outlineLvl w:val="1"/>
              <w:rPr>
                <w:rFonts w:ascii="仿宋" w:hAnsi="仿宋" w:eastAsia="仿宋" w:cs="仿宋"/>
                <w:sz w:val="24"/>
              </w:rPr>
            </w:pPr>
          </w:p>
        </w:tc>
        <w:tc>
          <w:tcPr>
            <w:tcW w:w="1516" w:type="dxa"/>
          </w:tcPr>
          <w:p>
            <w:pPr>
              <w:widowControl/>
              <w:spacing w:line="360" w:lineRule="atLeast"/>
              <w:ind w:firstLine="470" w:firstLineChars="196"/>
              <w:jc w:val="left"/>
              <w:outlineLvl w:val="1"/>
              <w:rPr>
                <w:rFonts w:ascii="仿宋" w:hAnsi="仿宋" w:eastAsia="仿宋" w:cs="仿宋"/>
                <w:sz w:val="24"/>
              </w:rPr>
            </w:pPr>
          </w:p>
        </w:tc>
        <w:tc>
          <w:tcPr>
            <w:tcW w:w="4852" w:type="dxa"/>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outlineLvl w:val="1"/>
              <w:rPr>
                <w:rFonts w:ascii="仿宋" w:hAnsi="仿宋" w:eastAsia="仿宋" w:cs="仿宋"/>
                <w:sz w:val="24"/>
              </w:rPr>
            </w:pPr>
          </w:p>
        </w:tc>
        <w:tc>
          <w:tcPr>
            <w:tcW w:w="956" w:type="dxa"/>
          </w:tcPr>
          <w:p>
            <w:pPr>
              <w:widowControl/>
              <w:spacing w:line="360" w:lineRule="atLeast"/>
              <w:ind w:firstLine="470" w:firstLineChars="196"/>
              <w:jc w:val="left"/>
              <w:outlineLvl w:val="1"/>
              <w:rPr>
                <w:rFonts w:ascii="仿宋" w:hAnsi="仿宋" w:eastAsia="仿宋" w:cs="仿宋"/>
                <w:sz w:val="24"/>
              </w:rPr>
            </w:pPr>
          </w:p>
        </w:tc>
        <w:tc>
          <w:tcPr>
            <w:tcW w:w="1516" w:type="dxa"/>
          </w:tcPr>
          <w:p>
            <w:pPr>
              <w:widowControl/>
              <w:spacing w:line="360" w:lineRule="atLeast"/>
              <w:ind w:firstLine="470" w:firstLineChars="196"/>
              <w:jc w:val="left"/>
              <w:outlineLvl w:val="1"/>
              <w:rPr>
                <w:rFonts w:ascii="仿宋" w:hAnsi="仿宋" w:eastAsia="仿宋" w:cs="仿宋"/>
                <w:sz w:val="24"/>
              </w:rPr>
            </w:pPr>
          </w:p>
        </w:tc>
        <w:tc>
          <w:tcPr>
            <w:tcW w:w="4852" w:type="dxa"/>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outlineLvl w:val="1"/>
              <w:rPr>
                <w:rFonts w:ascii="仿宋" w:hAnsi="仿宋" w:eastAsia="仿宋" w:cs="仿宋"/>
                <w:sz w:val="24"/>
              </w:rPr>
            </w:pPr>
          </w:p>
        </w:tc>
        <w:tc>
          <w:tcPr>
            <w:tcW w:w="956" w:type="dxa"/>
          </w:tcPr>
          <w:p>
            <w:pPr>
              <w:widowControl/>
              <w:spacing w:line="360" w:lineRule="atLeast"/>
              <w:ind w:firstLine="470" w:firstLineChars="196"/>
              <w:jc w:val="left"/>
              <w:outlineLvl w:val="1"/>
              <w:rPr>
                <w:rFonts w:ascii="仿宋" w:hAnsi="仿宋" w:eastAsia="仿宋" w:cs="仿宋"/>
                <w:sz w:val="24"/>
              </w:rPr>
            </w:pPr>
          </w:p>
        </w:tc>
        <w:tc>
          <w:tcPr>
            <w:tcW w:w="1516" w:type="dxa"/>
          </w:tcPr>
          <w:p>
            <w:pPr>
              <w:widowControl/>
              <w:spacing w:line="360" w:lineRule="atLeast"/>
              <w:ind w:firstLine="470" w:firstLineChars="196"/>
              <w:jc w:val="left"/>
              <w:outlineLvl w:val="1"/>
              <w:rPr>
                <w:rFonts w:ascii="仿宋" w:hAnsi="仿宋" w:eastAsia="仿宋" w:cs="仿宋"/>
                <w:sz w:val="24"/>
              </w:rPr>
            </w:pPr>
          </w:p>
        </w:tc>
        <w:tc>
          <w:tcPr>
            <w:tcW w:w="4852" w:type="dxa"/>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outlineLvl w:val="1"/>
              <w:rPr>
                <w:rFonts w:ascii="仿宋" w:hAnsi="仿宋" w:eastAsia="仿宋" w:cs="仿宋"/>
                <w:sz w:val="24"/>
              </w:rPr>
            </w:pPr>
          </w:p>
        </w:tc>
        <w:tc>
          <w:tcPr>
            <w:tcW w:w="956" w:type="dxa"/>
          </w:tcPr>
          <w:p>
            <w:pPr>
              <w:widowControl/>
              <w:spacing w:line="360" w:lineRule="atLeast"/>
              <w:ind w:firstLine="470" w:firstLineChars="196"/>
              <w:jc w:val="left"/>
              <w:outlineLvl w:val="1"/>
              <w:rPr>
                <w:rFonts w:ascii="仿宋" w:hAnsi="仿宋" w:eastAsia="仿宋" w:cs="仿宋"/>
                <w:sz w:val="24"/>
              </w:rPr>
            </w:pPr>
          </w:p>
        </w:tc>
        <w:tc>
          <w:tcPr>
            <w:tcW w:w="1516" w:type="dxa"/>
          </w:tcPr>
          <w:p>
            <w:pPr>
              <w:widowControl/>
              <w:spacing w:line="360" w:lineRule="atLeast"/>
              <w:ind w:firstLine="470" w:firstLineChars="196"/>
              <w:jc w:val="left"/>
              <w:outlineLvl w:val="1"/>
              <w:rPr>
                <w:rFonts w:ascii="仿宋" w:hAnsi="仿宋" w:eastAsia="仿宋" w:cs="仿宋"/>
                <w:sz w:val="24"/>
              </w:rPr>
            </w:pPr>
          </w:p>
        </w:tc>
        <w:tc>
          <w:tcPr>
            <w:tcW w:w="4852" w:type="dxa"/>
          </w:tcPr>
          <w:p>
            <w:pPr>
              <w:widowControl/>
              <w:spacing w:line="360" w:lineRule="atLeast"/>
              <w:ind w:firstLine="470" w:firstLineChars="196"/>
              <w:jc w:val="left"/>
              <w:outlineLvl w:val="1"/>
              <w:rPr>
                <w:rFonts w:ascii="仿宋" w:hAnsi="仿宋" w:eastAsia="仿宋" w:cs="仿宋"/>
                <w:sz w:val="24"/>
              </w:rPr>
            </w:pPr>
          </w:p>
        </w:tc>
      </w:tr>
    </w:tbl>
    <w:p>
      <w:pPr>
        <w:widowControl/>
        <w:spacing w:line="360" w:lineRule="atLeast"/>
        <w:jc w:val="left"/>
        <w:outlineLvl w:val="1"/>
        <w:rPr>
          <w:rFonts w:ascii="仿宋" w:hAnsi="仿宋" w:eastAsia="仿宋" w:cs="仿宋"/>
          <w:sz w:val="24"/>
        </w:rPr>
      </w:pPr>
      <w:r>
        <w:rPr>
          <w:rFonts w:hint="eastAsia" w:ascii="仿宋" w:hAnsi="仿宋" w:eastAsia="仿宋" w:cs="仿宋"/>
          <w:sz w:val="24"/>
        </w:rPr>
        <w:t>注：1. 供应商必须把招标文件</w:t>
      </w:r>
      <w:r>
        <w:rPr>
          <w:rFonts w:hint="eastAsia" w:ascii="仿宋" w:hAnsi="仿宋" w:eastAsia="仿宋" w:cs="仿宋"/>
          <w:b/>
          <w:bCs/>
          <w:sz w:val="24"/>
        </w:rPr>
        <w:t>第六章全部商务要求</w:t>
      </w:r>
      <w:r>
        <w:rPr>
          <w:rFonts w:hint="eastAsia" w:ascii="仿宋" w:hAnsi="仿宋" w:eastAsia="仿宋" w:cs="仿宋"/>
          <w:sz w:val="24"/>
        </w:rPr>
        <w:t>列入此表。</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2．按照招标项目商务要求的顺序逐条对应填写。</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3．供应商必须据实填写，不得虚假填写，否则将取消其投标或中标资格。</w:t>
      </w:r>
    </w:p>
    <w:p>
      <w:pPr>
        <w:widowControl/>
        <w:spacing w:line="360" w:lineRule="atLeast"/>
        <w:ind w:firstLine="470" w:firstLineChars="196"/>
        <w:jc w:val="left"/>
        <w:outlineLvl w:val="1"/>
        <w:rPr>
          <w:rFonts w:ascii="仿宋" w:hAnsi="仿宋" w:eastAsia="仿宋" w:cs="仿宋"/>
          <w:sz w:val="24"/>
        </w:rPr>
      </w:pP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投标人名称：XXXX（单位盖章）。</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投标日期: XXXX。</w:t>
      </w:r>
    </w:p>
    <w:p>
      <w:pPr>
        <w:spacing w:after="0" w:line="360" w:lineRule="auto"/>
        <w:rPr>
          <w:rFonts w:ascii="仿宋" w:hAnsi="仿宋" w:eastAsia="仿宋" w:cs="仿宋"/>
          <w:b/>
          <w:sz w:val="32"/>
          <w:szCs w:val="32"/>
        </w:rPr>
      </w:pPr>
      <w:r>
        <w:rPr>
          <w:rFonts w:hint="eastAsia" w:ascii="仿宋" w:hAnsi="仿宋" w:eastAsia="仿宋" w:cs="仿宋"/>
          <w:sz w:val="24"/>
        </w:rPr>
        <w:br w:type="page"/>
      </w:r>
    </w:p>
    <w:p>
      <w:pPr>
        <w:spacing w:after="0" w:line="360" w:lineRule="auto"/>
        <w:rPr>
          <w:rFonts w:ascii="仿宋" w:hAnsi="仿宋" w:eastAsia="仿宋" w:cs="仿宋"/>
          <w:b/>
          <w:sz w:val="32"/>
          <w:szCs w:val="32"/>
        </w:rPr>
      </w:pPr>
      <w:bookmarkStart w:id="196" w:name="_Toc217446088"/>
      <w:r>
        <w:rPr>
          <w:rFonts w:hint="eastAsia" w:ascii="仿宋" w:hAnsi="仿宋" w:eastAsia="仿宋" w:cs="仿宋"/>
          <w:b/>
          <w:sz w:val="32"/>
          <w:szCs w:val="32"/>
        </w:rPr>
        <w:t>格式2-6</w:t>
      </w:r>
    </w:p>
    <w:p>
      <w:pPr>
        <w:widowControl/>
        <w:spacing w:after="0" w:line="360" w:lineRule="atLeast"/>
        <w:jc w:val="center"/>
        <w:outlineLvl w:val="1"/>
        <w:rPr>
          <w:rFonts w:ascii="仿宋" w:hAnsi="仿宋" w:eastAsia="仿宋" w:cs="仿宋"/>
          <w:b/>
          <w:sz w:val="32"/>
          <w:szCs w:val="32"/>
        </w:rPr>
      </w:pPr>
      <w:r>
        <w:rPr>
          <w:rFonts w:hint="eastAsia" w:ascii="仿宋" w:hAnsi="仿宋" w:eastAsia="仿宋" w:cs="仿宋"/>
          <w:b/>
          <w:sz w:val="32"/>
          <w:szCs w:val="32"/>
        </w:rPr>
        <w:t>五、投标人基本情况表</w:t>
      </w:r>
      <w:bookmarkEnd w:id="196"/>
    </w:p>
    <w:tbl>
      <w:tblPr>
        <w:tblStyle w:val="29"/>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投标人名称</w:t>
            </w:r>
          </w:p>
        </w:tc>
        <w:tc>
          <w:tcPr>
            <w:tcW w:w="6693" w:type="dxa"/>
            <w:gridSpan w:val="7"/>
            <w:vAlign w:val="center"/>
          </w:tcPr>
          <w:p>
            <w:pPr>
              <w:widowControl/>
              <w:spacing w:after="0" w:line="360" w:lineRule="atLeast"/>
              <w:ind w:firstLine="470" w:firstLineChars="196"/>
              <w:jc w:val="left"/>
              <w:outlineLvl w:val="1"/>
              <w:rPr>
                <w:rFonts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注册地址</w:t>
            </w:r>
          </w:p>
        </w:tc>
        <w:tc>
          <w:tcPr>
            <w:tcW w:w="3443" w:type="dxa"/>
            <w:gridSpan w:val="3"/>
            <w:vAlign w:val="center"/>
          </w:tcPr>
          <w:p>
            <w:pPr>
              <w:widowControl/>
              <w:spacing w:after="0" w:line="360" w:lineRule="atLeast"/>
              <w:ind w:firstLine="470" w:firstLineChars="196"/>
              <w:jc w:val="left"/>
              <w:outlineLvl w:val="1"/>
              <w:rPr>
                <w:rFonts w:ascii="仿宋" w:hAnsi="仿宋" w:eastAsia="仿宋" w:cs="仿宋"/>
                <w:sz w:val="24"/>
              </w:rPr>
            </w:pPr>
          </w:p>
        </w:tc>
        <w:tc>
          <w:tcPr>
            <w:tcW w:w="1320"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邮政编码</w:t>
            </w:r>
          </w:p>
        </w:tc>
        <w:tc>
          <w:tcPr>
            <w:tcW w:w="1930" w:type="dxa"/>
            <w:gridSpan w:val="3"/>
            <w:vAlign w:val="center"/>
          </w:tcPr>
          <w:p>
            <w:pPr>
              <w:widowControl/>
              <w:spacing w:after="0" w:line="360" w:lineRule="atLeast"/>
              <w:ind w:firstLine="470" w:firstLineChars="196"/>
              <w:jc w:val="left"/>
              <w:outlineLvl w:val="1"/>
              <w:rPr>
                <w:rFonts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联系方式</w:t>
            </w:r>
          </w:p>
        </w:tc>
        <w:tc>
          <w:tcPr>
            <w:tcW w:w="957"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联系人</w:t>
            </w:r>
          </w:p>
        </w:tc>
        <w:tc>
          <w:tcPr>
            <w:tcW w:w="2486" w:type="dxa"/>
            <w:gridSpan w:val="2"/>
            <w:vAlign w:val="center"/>
          </w:tcPr>
          <w:p>
            <w:pPr>
              <w:widowControl/>
              <w:spacing w:after="0" w:line="360" w:lineRule="atLeast"/>
              <w:ind w:firstLine="470" w:firstLineChars="196"/>
              <w:jc w:val="left"/>
              <w:outlineLvl w:val="1"/>
              <w:rPr>
                <w:rFonts w:ascii="仿宋" w:hAnsi="仿宋" w:eastAsia="仿宋" w:cs="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电话</w:t>
            </w:r>
          </w:p>
        </w:tc>
        <w:tc>
          <w:tcPr>
            <w:tcW w:w="1930" w:type="dxa"/>
            <w:gridSpan w:val="3"/>
            <w:vAlign w:val="center"/>
          </w:tcPr>
          <w:p>
            <w:pPr>
              <w:widowControl/>
              <w:spacing w:after="0" w:line="360" w:lineRule="atLeast"/>
              <w:ind w:firstLine="470" w:firstLineChars="196"/>
              <w:jc w:val="left"/>
              <w:outlineLvl w:val="1"/>
              <w:rPr>
                <w:rFonts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after="0"/>
              <w:rPr>
                <w:rFonts w:ascii="仿宋" w:hAnsi="仿宋" w:eastAsia="仿宋" w:cs="仿宋"/>
              </w:rPr>
            </w:pPr>
          </w:p>
        </w:tc>
        <w:tc>
          <w:tcPr>
            <w:tcW w:w="957"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传真</w:t>
            </w:r>
          </w:p>
        </w:tc>
        <w:tc>
          <w:tcPr>
            <w:tcW w:w="2486" w:type="dxa"/>
            <w:gridSpan w:val="2"/>
            <w:vAlign w:val="center"/>
          </w:tcPr>
          <w:p>
            <w:pPr>
              <w:widowControl/>
              <w:spacing w:after="0" w:line="360" w:lineRule="atLeast"/>
              <w:ind w:firstLine="470" w:firstLineChars="196"/>
              <w:jc w:val="left"/>
              <w:outlineLvl w:val="1"/>
              <w:rPr>
                <w:rFonts w:ascii="仿宋" w:hAnsi="仿宋" w:eastAsia="仿宋" w:cs="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网址</w:t>
            </w:r>
          </w:p>
        </w:tc>
        <w:tc>
          <w:tcPr>
            <w:tcW w:w="1930" w:type="dxa"/>
            <w:gridSpan w:val="3"/>
            <w:vAlign w:val="center"/>
          </w:tcPr>
          <w:p>
            <w:pPr>
              <w:widowControl/>
              <w:spacing w:after="0" w:line="360" w:lineRule="atLeast"/>
              <w:ind w:firstLine="470" w:firstLineChars="196"/>
              <w:jc w:val="left"/>
              <w:outlineLvl w:val="1"/>
              <w:rPr>
                <w:rFonts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组织结构</w:t>
            </w:r>
          </w:p>
        </w:tc>
        <w:tc>
          <w:tcPr>
            <w:tcW w:w="6693" w:type="dxa"/>
            <w:gridSpan w:val="7"/>
            <w:vAlign w:val="center"/>
          </w:tcPr>
          <w:p>
            <w:pPr>
              <w:widowControl/>
              <w:spacing w:after="0" w:line="360" w:lineRule="atLeast"/>
              <w:ind w:firstLine="470" w:firstLineChars="196"/>
              <w:jc w:val="left"/>
              <w:outlineLvl w:val="1"/>
              <w:rPr>
                <w:rFonts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法定代表人/单位负责人</w:t>
            </w:r>
          </w:p>
        </w:tc>
        <w:tc>
          <w:tcPr>
            <w:tcW w:w="957"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cs="仿宋"/>
                <w:sz w:val="24"/>
              </w:rPr>
            </w:pPr>
          </w:p>
        </w:tc>
        <w:tc>
          <w:tcPr>
            <w:tcW w:w="1247"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cs="仿宋"/>
                <w:sz w:val="24"/>
              </w:rPr>
            </w:pPr>
          </w:p>
        </w:tc>
        <w:tc>
          <w:tcPr>
            <w:tcW w:w="850" w:type="dxa"/>
            <w:gridSpan w:val="2"/>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技术负责人</w:t>
            </w:r>
          </w:p>
        </w:tc>
        <w:tc>
          <w:tcPr>
            <w:tcW w:w="957"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cs="仿宋"/>
                <w:sz w:val="24"/>
              </w:rPr>
            </w:pPr>
          </w:p>
        </w:tc>
        <w:tc>
          <w:tcPr>
            <w:tcW w:w="1247"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cs="仿宋"/>
                <w:sz w:val="24"/>
              </w:rPr>
            </w:pPr>
          </w:p>
        </w:tc>
        <w:tc>
          <w:tcPr>
            <w:tcW w:w="850" w:type="dxa"/>
            <w:gridSpan w:val="2"/>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成立时间</w:t>
            </w:r>
          </w:p>
        </w:tc>
        <w:tc>
          <w:tcPr>
            <w:tcW w:w="2196" w:type="dxa"/>
            <w:gridSpan w:val="2"/>
            <w:vAlign w:val="center"/>
          </w:tcPr>
          <w:p>
            <w:pPr>
              <w:widowControl/>
              <w:spacing w:after="0" w:line="360" w:lineRule="atLeast"/>
              <w:ind w:firstLine="470" w:firstLineChars="196"/>
              <w:jc w:val="left"/>
              <w:outlineLvl w:val="1"/>
              <w:rPr>
                <w:rFonts w:ascii="仿宋" w:hAnsi="仿宋" w:eastAsia="仿宋" w:cs="仿宋"/>
                <w:sz w:val="24"/>
              </w:rPr>
            </w:pPr>
          </w:p>
        </w:tc>
        <w:tc>
          <w:tcPr>
            <w:tcW w:w="4497" w:type="dxa"/>
            <w:gridSpan w:val="5"/>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企业资质等级</w:t>
            </w:r>
          </w:p>
        </w:tc>
        <w:tc>
          <w:tcPr>
            <w:tcW w:w="2196" w:type="dxa"/>
            <w:gridSpan w:val="2"/>
            <w:vAlign w:val="center"/>
          </w:tcPr>
          <w:p>
            <w:pPr>
              <w:widowControl/>
              <w:spacing w:after="0" w:line="360" w:lineRule="atLeast"/>
              <w:ind w:firstLine="470" w:firstLineChars="196"/>
              <w:jc w:val="left"/>
              <w:outlineLvl w:val="1"/>
              <w:rPr>
                <w:rFonts w:ascii="仿宋" w:hAnsi="仿宋" w:eastAsia="仿宋" w:cs="仿宋"/>
                <w:sz w:val="24"/>
              </w:rPr>
            </w:pPr>
          </w:p>
        </w:tc>
        <w:tc>
          <w:tcPr>
            <w:tcW w:w="1247" w:type="dxa"/>
            <w:vMerge w:val="restart"/>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其中</w:t>
            </w:r>
          </w:p>
        </w:tc>
        <w:tc>
          <w:tcPr>
            <w:tcW w:w="1478" w:type="dxa"/>
            <w:gridSpan w:val="2"/>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项目经理</w:t>
            </w:r>
          </w:p>
        </w:tc>
        <w:tc>
          <w:tcPr>
            <w:tcW w:w="1772" w:type="dxa"/>
            <w:gridSpan w:val="2"/>
            <w:vAlign w:val="center"/>
          </w:tcPr>
          <w:p>
            <w:pPr>
              <w:widowControl/>
              <w:spacing w:after="0" w:line="360" w:lineRule="atLeast"/>
              <w:ind w:firstLine="470" w:firstLineChars="196"/>
              <w:jc w:val="left"/>
              <w:outlineLvl w:val="1"/>
              <w:rPr>
                <w:rFonts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营业执照号</w:t>
            </w:r>
          </w:p>
        </w:tc>
        <w:tc>
          <w:tcPr>
            <w:tcW w:w="2196" w:type="dxa"/>
            <w:gridSpan w:val="2"/>
            <w:vAlign w:val="center"/>
          </w:tcPr>
          <w:p>
            <w:pPr>
              <w:widowControl/>
              <w:spacing w:after="0" w:line="360" w:lineRule="atLeast"/>
              <w:ind w:firstLine="470" w:firstLineChars="196"/>
              <w:jc w:val="left"/>
              <w:outlineLvl w:val="1"/>
              <w:rPr>
                <w:rFonts w:ascii="仿宋" w:hAnsi="仿宋" w:eastAsia="仿宋" w:cs="仿宋"/>
                <w:sz w:val="24"/>
              </w:rPr>
            </w:pPr>
          </w:p>
        </w:tc>
        <w:tc>
          <w:tcPr>
            <w:tcW w:w="1247" w:type="dxa"/>
            <w:vMerge w:val="continue"/>
            <w:vAlign w:val="center"/>
          </w:tcPr>
          <w:p>
            <w:pPr>
              <w:spacing w:after="0"/>
              <w:rPr>
                <w:rFonts w:ascii="仿宋" w:hAnsi="仿宋" w:eastAsia="仿宋" w:cs="仿宋"/>
              </w:rPr>
            </w:pPr>
          </w:p>
        </w:tc>
        <w:tc>
          <w:tcPr>
            <w:tcW w:w="1478" w:type="dxa"/>
            <w:gridSpan w:val="2"/>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高级职称人员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注册资金</w:t>
            </w:r>
          </w:p>
        </w:tc>
        <w:tc>
          <w:tcPr>
            <w:tcW w:w="2196" w:type="dxa"/>
            <w:gridSpan w:val="2"/>
            <w:vAlign w:val="center"/>
          </w:tcPr>
          <w:p>
            <w:pPr>
              <w:widowControl/>
              <w:spacing w:after="0" w:line="360" w:lineRule="atLeast"/>
              <w:ind w:firstLine="470" w:firstLineChars="196"/>
              <w:jc w:val="left"/>
              <w:outlineLvl w:val="1"/>
              <w:rPr>
                <w:rFonts w:ascii="仿宋" w:hAnsi="仿宋" w:eastAsia="仿宋" w:cs="仿宋"/>
                <w:sz w:val="24"/>
              </w:rPr>
            </w:pPr>
          </w:p>
        </w:tc>
        <w:tc>
          <w:tcPr>
            <w:tcW w:w="1247" w:type="dxa"/>
            <w:vMerge w:val="continue"/>
            <w:vAlign w:val="center"/>
          </w:tcPr>
          <w:p>
            <w:pPr>
              <w:spacing w:after="0"/>
              <w:rPr>
                <w:rFonts w:ascii="仿宋" w:hAnsi="仿宋" w:eastAsia="仿宋" w:cs="仿宋"/>
              </w:rPr>
            </w:pPr>
          </w:p>
        </w:tc>
        <w:tc>
          <w:tcPr>
            <w:tcW w:w="1478" w:type="dxa"/>
            <w:gridSpan w:val="2"/>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中级职称人员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开户银行</w:t>
            </w:r>
          </w:p>
        </w:tc>
        <w:tc>
          <w:tcPr>
            <w:tcW w:w="2196" w:type="dxa"/>
            <w:gridSpan w:val="2"/>
            <w:vAlign w:val="center"/>
          </w:tcPr>
          <w:p>
            <w:pPr>
              <w:widowControl/>
              <w:spacing w:after="0" w:line="360" w:lineRule="atLeast"/>
              <w:ind w:firstLine="470" w:firstLineChars="196"/>
              <w:jc w:val="left"/>
              <w:outlineLvl w:val="1"/>
              <w:rPr>
                <w:rFonts w:ascii="仿宋" w:hAnsi="仿宋" w:eastAsia="仿宋" w:cs="仿宋"/>
                <w:sz w:val="24"/>
              </w:rPr>
            </w:pPr>
          </w:p>
        </w:tc>
        <w:tc>
          <w:tcPr>
            <w:tcW w:w="1247" w:type="dxa"/>
            <w:vMerge w:val="continue"/>
            <w:vAlign w:val="center"/>
          </w:tcPr>
          <w:p>
            <w:pPr>
              <w:spacing w:after="0"/>
              <w:rPr>
                <w:rFonts w:ascii="仿宋" w:hAnsi="仿宋" w:eastAsia="仿宋" w:cs="仿宋"/>
              </w:rPr>
            </w:pPr>
          </w:p>
        </w:tc>
        <w:tc>
          <w:tcPr>
            <w:tcW w:w="1478" w:type="dxa"/>
            <w:gridSpan w:val="2"/>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初级职称人员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账号</w:t>
            </w:r>
          </w:p>
        </w:tc>
        <w:tc>
          <w:tcPr>
            <w:tcW w:w="2196" w:type="dxa"/>
            <w:gridSpan w:val="2"/>
            <w:vAlign w:val="center"/>
          </w:tcPr>
          <w:p>
            <w:pPr>
              <w:widowControl/>
              <w:spacing w:after="0" w:line="360" w:lineRule="atLeast"/>
              <w:ind w:firstLine="470" w:firstLineChars="196"/>
              <w:jc w:val="left"/>
              <w:outlineLvl w:val="1"/>
              <w:rPr>
                <w:rFonts w:ascii="仿宋" w:hAnsi="仿宋" w:eastAsia="仿宋" w:cs="仿宋"/>
                <w:sz w:val="24"/>
              </w:rPr>
            </w:pPr>
          </w:p>
        </w:tc>
        <w:tc>
          <w:tcPr>
            <w:tcW w:w="1247" w:type="dxa"/>
            <w:vMerge w:val="continue"/>
            <w:vAlign w:val="center"/>
          </w:tcPr>
          <w:p>
            <w:pPr>
              <w:spacing w:after="0"/>
              <w:rPr>
                <w:rFonts w:ascii="仿宋" w:hAnsi="仿宋" w:eastAsia="仿宋" w:cs="仿宋"/>
              </w:rPr>
            </w:pPr>
          </w:p>
        </w:tc>
        <w:tc>
          <w:tcPr>
            <w:tcW w:w="1478" w:type="dxa"/>
            <w:gridSpan w:val="2"/>
            <w:vAlign w:val="center"/>
          </w:tcPr>
          <w:p>
            <w:pPr>
              <w:widowControl/>
              <w:spacing w:after="0"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技工</w:t>
            </w:r>
          </w:p>
        </w:tc>
        <w:tc>
          <w:tcPr>
            <w:tcW w:w="1772" w:type="dxa"/>
            <w:gridSpan w:val="2"/>
            <w:vAlign w:val="center"/>
          </w:tcPr>
          <w:p>
            <w:pPr>
              <w:widowControl/>
              <w:spacing w:after="0" w:line="360" w:lineRule="atLeast"/>
              <w:ind w:firstLine="470" w:firstLineChars="196"/>
              <w:jc w:val="left"/>
              <w:outlineLvl w:val="1"/>
              <w:rPr>
                <w:rFonts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522" w:type="dxa"/>
            <w:vAlign w:val="center"/>
          </w:tcPr>
          <w:p>
            <w:pPr>
              <w:widowControl/>
              <w:spacing w:after="0" w:line="360" w:lineRule="atLeast"/>
              <w:jc w:val="left"/>
              <w:outlineLvl w:val="1"/>
              <w:rPr>
                <w:rFonts w:ascii="仿宋" w:hAnsi="仿宋" w:eastAsia="仿宋" w:cs="仿宋"/>
                <w:sz w:val="24"/>
              </w:rPr>
            </w:pPr>
            <w:r>
              <w:rPr>
                <w:rFonts w:hint="eastAsia" w:ascii="仿宋" w:hAnsi="仿宋" w:eastAsia="仿宋" w:cs="仿宋"/>
                <w:sz w:val="24"/>
              </w:rPr>
              <w:t>经营范围</w:t>
            </w:r>
          </w:p>
        </w:tc>
        <w:tc>
          <w:tcPr>
            <w:tcW w:w="6693" w:type="dxa"/>
            <w:gridSpan w:val="7"/>
            <w:vAlign w:val="center"/>
          </w:tcPr>
          <w:p>
            <w:pPr>
              <w:widowControl/>
              <w:spacing w:after="0" w:line="360" w:lineRule="atLeast"/>
              <w:ind w:firstLine="470" w:firstLineChars="196"/>
              <w:jc w:val="left"/>
              <w:outlineLvl w:val="1"/>
              <w:rPr>
                <w:rFonts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22" w:type="dxa"/>
          </w:tcPr>
          <w:p>
            <w:pPr>
              <w:widowControl/>
              <w:spacing w:after="0"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备注</w:t>
            </w:r>
          </w:p>
        </w:tc>
        <w:tc>
          <w:tcPr>
            <w:tcW w:w="6693" w:type="dxa"/>
            <w:gridSpan w:val="7"/>
          </w:tcPr>
          <w:p>
            <w:pPr>
              <w:widowControl/>
              <w:spacing w:after="0" w:line="360" w:lineRule="atLeast"/>
              <w:ind w:firstLine="470" w:firstLineChars="196"/>
              <w:jc w:val="left"/>
              <w:outlineLvl w:val="1"/>
              <w:rPr>
                <w:rFonts w:ascii="仿宋" w:hAnsi="仿宋" w:eastAsia="仿宋" w:cs="仿宋"/>
                <w:sz w:val="24"/>
              </w:rPr>
            </w:pPr>
          </w:p>
        </w:tc>
      </w:tr>
    </w:tbl>
    <w:p>
      <w:pPr>
        <w:widowControl/>
        <w:spacing w:after="0"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投标人名称：XXXX（单位盖章）。</w:t>
      </w:r>
    </w:p>
    <w:p>
      <w:pPr>
        <w:widowControl/>
        <w:spacing w:after="0"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法定代表人/单位负责人或授权代表（签字或加盖个人名章）：XXXX。</w:t>
      </w:r>
    </w:p>
    <w:p>
      <w:pPr>
        <w:widowControl/>
        <w:spacing w:after="0"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投标日期: XXXX。</w:t>
      </w:r>
    </w:p>
    <w:p>
      <w:pPr>
        <w:spacing w:line="360" w:lineRule="auto"/>
        <w:rPr>
          <w:rFonts w:ascii="仿宋" w:hAnsi="仿宋" w:eastAsia="仿宋" w:cs="仿宋"/>
          <w:b/>
          <w:sz w:val="32"/>
          <w:szCs w:val="32"/>
        </w:rPr>
      </w:pPr>
      <w:bookmarkStart w:id="197" w:name="_Toc217446089"/>
      <w:r>
        <w:rPr>
          <w:rFonts w:hint="eastAsia" w:ascii="仿宋" w:hAnsi="仿宋" w:eastAsia="仿宋" w:cs="仿宋"/>
          <w:b/>
          <w:sz w:val="36"/>
          <w:szCs w:val="36"/>
        </w:rPr>
        <w:br w:type="page"/>
      </w:r>
      <w:r>
        <w:rPr>
          <w:rFonts w:hint="eastAsia" w:ascii="仿宋" w:hAnsi="仿宋" w:eastAsia="仿宋" w:cs="仿宋"/>
          <w:b/>
          <w:sz w:val="32"/>
          <w:szCs w:val="32"/>
        </w:rPr>
        <w:t>格式2-7</w:t>
      </w:r>
    </w:p>
    <w:p>
      <w:pPr>
        <w:widowControl/>
        <w:spacing w:line="360" w:lineRule="atLeast"/>
        <w:jc w:val="center"/>
        <w:outlineLvl w:val="1"/>
        <w:rPr>
          <w:rFonts w:ascii="仿宋" w:hAnsi="仿宋" w:eastAsia="仿宋" w:cs="仿宋"/>
          <w:b/>
          <w:sz w:val="36"/>
          <w:szCs w:val="36"/>
        </w:rPr>
      </w:pPr>
      <w:r>
        <w:rPr>
          <w:rFonts w:hint="eastAsia" w:ascii="仿宋" w:hAnsi="仿宋" w:eastAsia="仿宋" w:cs="仿宋"/>
          <w:b/>
          <w:sz w:val="36"/>
          <w:szCs w:val="36"/>
        </w:rPr>
        <w:t>六、类似项目业绩一览表</w:t>
      </w:r>
      <w:bookmarkEnd w:id="197"/>
    </w:p>
    <w:p>
      <w:pPr>
        <w:widowControl/>
        <w:spacing w:line="360" w:lineRule="atLeast"/>
        <w:ind w:firstLine="472" w:firstLineChars="196"/>
        <w:jc w:val="left"/>
        <w:outlineLvl w:val="1"/>
        <w:rPr>
          <w:rFonts w:ascii="仿宋" w:hAnsi="仿宋" w:eastAsia="仿宋" w:cs="仿宋"/>
          <w:b/>
          <w:sz w:val="24"/>
        </w:rPr>
      </w:pPr>
    </w:p>
    <w:tbl>
      <w:tblPr>
        <w:tblStyle w:val="29"/>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年份</w:t>
            </w:r>
          </w:p>
        </w:tc>
        <w:tc>
          <w:tcPr>
            <w:tcW w:w="1440" w:type="dxa"/>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用户名称</w:t>
            </w:r>
          </w:p>
        </w:tc>
        <w:tc>
          <w:tcPr>
            <w:tcW w:w="1320" w:type="dxa"/>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项目名称</w:t>
            </w:r>
          </w:p>
        </w:tc>
        <w:tc>
          <w:tcPr>
            <w:tcW w:w="1161" w:type="dxa"/>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完成时间</w:t>
            </w:r>
          </w:p>
        </w:tc>
        <w:tc>
          <w:tcPr>
            <w:tcW w:w="1260" w:type="dxa"/>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合同金额</w:t>
            </w:r>
          </w:p>
        </w:tc>
        <w:tc>
          <w:tcPr>
            <w:tcW w:w="1630" w:type="dxa"/>
            <w:gridSpan w:val="2"/>
            <w:tcBorders>
              <w:right w:val="single" w:color="auto" w:sz="4" w:space="0"/>
            </w:tcBorders>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是否通过验收</w:t>
            </w:r>
          </w:p>
        </w:tc>
        <w:tc>
          <w:tcPr>
            <w:tcW w:w="992" w:type="dxa"/>
            <w:tcBorders>
              <w:left w:val="single" w:color="auto" w:sz="4" w:space="0"/>
            </w:tcBorders>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s="仿宋"/>
                <w:sz w:val="24"/>
              </w:rPr>
            </w:pPr>
          </w:p>
        </w:tc>
        <w:tc>
          <w:tcPr>
            <w:tcW w:w="1440" w:type="dxa"/>
            <w:vAlign w:val="center"/>
          </w:tcPr>
          <w:p>
            <w:pPr>
              <w:widowControl/>
              <w:spacing w:line="360" w:lineRule="atLeast"/>
              <w:ind w:firstLine="470" w:firstLineChars="196"/>
              <w:jc w:val="left"/>
              <w:outlineLvl w:val="1"/>
              <w:rPr>
                <w:rFonts w:ascii="仿宋" w:hAnsi="仿宋" w:eastAsia="仿宋" w:cs="仿宋"/>
                <w:sz w:val="24"/>
              </w:rPr>
            </w:pPr>
          </w:p>
        </w:tc>
        <w:tc>
          <w:tcPr>
            <w:tcW w:w="1320" w:type="dxa"/>
            <w:vAlign w:val="center"/>
          </w:tcPr>
          <w:p>
            <w:pPr>
              <w:widowControl/>
              <w:spacing w:line="360" w:lineRule="atLeast"/>
              <w:ind w:firstLine="470" w:firstLineChars="196"/>
              <w:jc w:val="left"/>
              <w:outlineLvl w:val="1"/>
              <w:rPr>
                <w:rFonts w:ascii="仿宋" w:hAnsi="仿宋" w:eastAsia="仿宋" w:cs="仿宋"/>
                <w:sz w:val="24"/>
              </w:rPr>
            </w:pPr>
          </w:p>
        </w:tc>
        <w:tc>
          <w:tcPr>
            <w:tcW w:w="1161" w:type="dxa"/>
            <w:vAlign w:val="center"/>
          </w:tcPr>
          <w:p>
            <w:pPr>
              <w:widowControl/>
              <w:spacing w:line="360" w:lineRule="atLeast"/>
              <w:ind w:firstLine="470" w:firstLineChars="196"/>
              <w:jc w:val="left"/>
              <w:outlineLvl w:val="1"/>
              <w:rPr>
                <w:rFonts w:ascii="仿宋" w:hAnsi="仿宋" w:eastAsia="仿宋" w:cs="仿宋"/>
                <w:sz w:val="24"/>
              </w:rPr>
            </w:pPr>
          </w:p>
        </w:tc>
        <w:tc>
          <w:tcPr>
            <w:tcW w:w="1260" w:type="dxa"/>
            <w:vAlign w:val="center"/>
          </w:tcPr>
          <w:p>
            <w:pPr>
              <w:widowControl/>
              <w:spacing w:line="360" w:lineRule="atLeast"/>
              <w:ind w:firstLine="470" w:firstLineChars="196"/>
              <w:jc w:val="left"/>
              <w:outlineLvl w:val="1"/>
              <w:rPr>
                <w:rFonts w:ascii="仿宋" w:hAnsi="仿宋" w:eastAsia="仿宋" w:cs="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s="仿宋"/>
                <w:sz w:val="24"/>
              </w:rPr>
            </w:pPr>
          </w:p>
        </w:tc>
        <w:tc>
          <w:tcPr>
            <w:tcW w:w="1440" w:type="dxa"/>
            <w:vAlign w:val="center"/>
          </w:tcPr>
          <w:p>
            <w:pPr>
              <w:widowControl/>
              <w:spacing w:line="360" w:lineRule="atLeast"/>
              <w:ind w:firstLine="470" w:firstLineChars="196"/>
              <w:jc w:val="left"/>
              <w:outlineLvl w:val="1"/>
              <w:rPr>
                <w:rFonts w:ascii="仿宋" w:hAnsi="仿宋" w:eastAsia="仿宋" w:cs="仿宋"/>
                <w:sz w:val="24"/>
              </w:rPr>
            </w:pPr>
          </w:p>
        </w:tc>
        <w:tc>
          <w:tcPr>
            <w:tcW w:w="1320" w:type="dxa"/>
            <w:vAlign w:val="center"/>
          </w:tcPr>
          <w:p>
            <w:pPr>
              <w:widowControl/>
              <w:spacing w:line="360" w:lineRule="atLeast"/>
              <w:ind w:firstLine="470" w:firstLineChars="196"/>
              <w:jc w:val="left"/>
              <w:outlineLvl w:val="1"/>
              <w:rPr>
                <w:rFonts w:ascii="仿宋" w:hAnsi="仿宋" w:eastAsia="仿宋" w:cs="仿宋"/>
                <w:sz w:val="24"/>
              </w:rPr>
            </w:pPr>
          </w:p>
        </w:tc>
        <w:tc>
          <w:tcPr>
            <w:tcW w:w="1161" w:type="dxa"/>
            <w:vAlign w:val="center"/>
          </w:tcPr>
          <w:p>
            <w:pPr>
              <w:widowControl/>
              <w:spacing w:line="360" w:lineRule="atLeast"/>
              <w:ind w:firstLine="470" w:firstLineChars="196"/>
              <w:jc w:val="left"/>
              <w:outlineLvl w:val="1"/>
              <w:rPr>
                <w:rFonts w:ascii="仿宋" w:hAnsi="仿宋" w:eastAsia="仿宋" w:cs="仿宋"/>
                <w:sz w:val="24"/>
              </w:rPr>
            </w:pPr>
          </w:p>
        </w:tc>
        <w:tc>
          <w:tcPr>
            <w:tcW w:w="1260" w:type="dxa"/>
            <w:vAlign w:val="center"/>
          </w:tcPr>
          <w:p>
            <w:pPr>
              <w:widowControl/>
              <w:spacing w:line="360" w:lineRule="atLeast"/>
              <w:ind w:firstLine="470" w:firstLineChars="196"/>
              <w:jc w:val="left"/>
              <w:outlineLvl w:val="1"/>
              <w:rPr>
                <w:rFonts w:ascii="仿宋" w:hAnsi="仿宋" w:eastAsia="仿宋" w:cs="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s="仿宋"/>
                <w:sz w:val="24"/>
              </w:rPr>
            </w:pPr>
          </w:p>
        </w:tc>
        <w:tc>
          <w:tcPr>
            <w:tcW w:w="1440" w:type="dxa"/>
            <w:vAlign w:val="center"/>
          </w:tcPr>
          <w:p>
            <w:pPr>
              <w:widowControl/>
              <w:spacing w:line="360" w:lineRule="atLeast"/>
              <w:ind w:firstLine="470" w:firstLineChars="196"/>
              <w:jc w:val="left"/>
              <w:outlineLvl w:val="1"/>
              <w:rPr>
                <w:rFonts w:ascii="仿宋" w:hAnsi="仿宋" w:eastAsia="仿宋" w:cs="仿宋"/>
                <w:sz w:val="24"/>
              </w:rPr>
            </w:pPr>
          </w:p>
        </w:tc>
        <w:tc>
          <w:tcPr>
            <w:tcW w:w="1320" w:type="dxa"/>
            <w:vAlign w:val="center"/>
          </w:tcPr>
          <w:p>
            <w:pPr>
              <w:widowControl/>
              <w:spacing w:line="360" w:lineRule="atLeast"/>
              <w:ind w:firstLine="470" w:firstLineChars="196"/>
              <w:jc w:val="left"/>
              <w:outlineLvl w:val="1"/>
              <w:rPr>
                <w:rFonts w:ascii="仿宋" w:hAnsi="仿宋" w:eastAsia="仿宋" w:cs="仿宋"/>
                <w:sz w:val="24"/>
              </w:rPr>
            </w:pPr>
          </w:p>
        </w:tc>
        <w:tc>
          <w:tcPr>
            <w:tcW w:w="1161" w:type="dxa"/>
            <w:vAlign w:val="center"/>
          </w:tcPr>
          <w:p>
            <w:pPr>
              <w:widowControl/>
              <w:spacing w:line="360" w:lineRule="atLeast"/>
              <w:ind w:firstLine="470" w:firstLineChars="196"/>
              <w:jc w:val="left"/>
              <w:outlineLvl w:val="1"/>
              <w:rPr>
                <w:rFonts w:ascii="仿宋" w:hAnsi="仿宋" w:eastAsia="仿宋" w:cs="仿宋"/>
                <w:sz w:val="24"/>
              </w:rPr>
            </w:pPr>
          </w:p>
        </w:tc>
        <w:tc>
          <w:tcPr>
            <w:tcW w:w="1260" w:type="dxa"/>
            <w:vAlign w:val="center"/>
          </w:tcPr>
          <w:p>
            <w:pPr>
              <w:widowControl/>
              <w:spacing w:line="360" w:lineRule="atLeast"/>
              <w:ind w:firstLine="470" w:firstLineChars="196"/>
              <w:jc w:val="left"/>
              <w:outlineLvl w:val="1"/>
              <w:rPr>
                <w:rFonts w:ascii="仿宋" w:hAnsi="仿宋" w:eastAsia="仿宋" w:cs="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s="仿宋"/>
                <w:sz w:val="24"/>
              </w:rPr>
            </w:pPr>
          </w:p>
        </w:tc>
        <w:tc>
          <w:tcPr>
            <w:tcW w:w="1440" w:type="dxa"/>
            <w:tcBorders>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320"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161" w:type="dxa"/>
            <w:vAlign w:val="center"/>
          </w:tcPr>
          <w:p>
            <w:pPr>
              <w:widowControl/>
              <w:spacing w:line="360" w:lineRule="atLeast"/>
              <w:ind w:firstLine="470" w:firstLineChars="196"/>
              <w:jc w:val="left"/>
              <w:outlineLvl w:val="1"/>
              <w:rPr>
                <w:rFonts w:ascii="仿宋" w:hAnsi="仿宋" w:eastAsia="仿宋" w:cs="仿宋"/>
                <w:sz w:val="24"/>
              </w:rPr>
            </w:pPr>
          </w:p>
        </w:tc>
        <w:tc>
          <w:tcPr>
            <w:tcW w:w="1260" w:type="dxa"/>
            <w:vAlign w:val="center"/>
          </w:tcPr>
          <w:p>
            <w:pPr>
              <w:widowControl/>
              <w:spacing w:line="360" w:lineRule="atLeast"/>
              <w:ind w:firstLine="470" w:firstLineChars="196"/>
              <w:jc w:val="left"/>
              <w:outlineLvl w:val="1"/>
              <w:rPr>
                <w:rFonts w:ascii="仿宋" w:hAnsi="仿宋" w:eastAsia="仿宋" w:cs="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s="仿宋"/>
                <w:sz w:val="24"/>
              </w:rPr>
            </w:pPr>
          </w:p>
        </w:tc>
        <w:tc>
          <w:tcPr>
            <w:tcW w:w="1440" w:type="dxa"/>
            <w:vAlign w:val="center"/>
          </w:tcPr>
          <w:p>
            <w:pPr>
              <w:widowControl/>
              <w:spacing w:line="360" w:lineRule="atLeast"/>
              <w:ind w:firstLine="470" w:firstLineChars="196"/>
              <w:jc w:val="left"/>
              <w:outlineLvl w:val="1"/>
              <w:rPr>
                <w:rFonts w:ascii="仿宋" w:hAnsi="仿宋" w:eastAsia="仿宋" w:cs="仿宋"/>
                <w:sz w:val="24"/>
              </w:rPr>
            </w:pPr>
          </w:p>
        </w:tc>
        <w:tc>
          <w:tcPr>
            <w:tcW w:w="1320" w:type="dxa"/>
            <w:vAlign w:val="center"/>
          </w:tcPr>
          <w:p>
            <w:pPr>
              <w:widowControl/>
              <w:spacing w:line="360" w:lineRule="atLeast"/>
              <w:ind w:firstLine="470" w:firstLineChars="196"/>
              <w:jc w:val="left"/>
              <w:outlineLvl w:val="1"/>
              <w:rPr>
                <w:rFonts w:ascii="仿宋" w:hAnsi="仿宋" w:eastAsia="仿宋" w:cs="仿宋"/>
                <w:sz w:val="24"/>
              </w:rPr>
            </w:pPr>
          </w:p>
        </w:tc>
        <w:tc>
          <w:tcPr>
            <w:tcW w:w="1161" w:type="dxa"/>
            <w:vAlign w:val="center"/>
          </w:tcPr>
          <w:p>
            <w:pPr>
              <w:widowControl/>
              <w:spacing w:line="360" w:lineRule="atLeast"/>
              <w:ind w:firstLine="470" w:firstLineChars="196"/>
              <w:jc w:val="left"/>
              <w:outlineLvl w:val="1"/>
              <w:rPr>
                <w:rFonts w:ascii="仿宋" w:hAnsi="仿宋" w:eastAsia="仿宋" w:cs="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s="仿宋"/>
                <w:sz w:val="24"/>
              </w:rPr>
            </w:pPr>
          </w:p>
        </w:tc>
        <w:tc>
          <w:tcPr>
            <w:tcW w:w="1440" w:type="dxa"/>
            <w:vAlign w:val="center"/>
          </w:tcPr>
          <w:p>
            <w:pPr>
              <w:widowControl/>
              <w:spacing w:line="360" w:lineRule="atLeast"/>
              <w:ind w:firstLine="470" w:firstLineChars="196"/>
              <w:jc w:val="left"/>
              <w:outlineLvl w:val="1"/>
              <w:rPr>
                <w:rFonts w:ascii="仿宋" w:hAnsi="仿宋" w:eastAsia="仿宋" w:cs="仿宋"/>
                <w:sz w:val="24"/>
              </w:rPr>
            </w:pPr>
          </w:p>
        </w:tc>
        <w:tc>
          <w:tcPr>
            <w:tcW w:w="1320" w:type="dxa"/>
            <w:vAlign w:val="center"/>
          </w:tcPr>
          <w:p>
            <w:pPr>
              <w:widowControl/>
              <w:spacing w:line="360" w:lineRule="atLeast"/>
              <w:ind w:firstLine="470" w:firstLineChars="196"/>
              <w:jc w:val="left"/>
              <w:outlineLvl w:val="1"/>
              <w:rPr>
                <w:rFonts w:ascii="仿宋" w:hAnsi="仿宋" w:eastAsia="仿宋" w:cs="仿宋"/>
                <w:sz w:val="24"/>
              </w:rPr>
            </w:pPr>
          </w:p>
        </w:tc>
        <w:tc>
          <w:tcPr>
            <w:tcW w:w="1161" w:type="dxa"/>
            <w:vAlign w:val="center"/>
          </w:tcPr>
          <w:p>
            <w:pPr>
              <w:widowControl/>
              <w:spacing w:line="360" w:lineRule="atLeast"/>
              <w:ind w:firstLine="470" w:firstLineChars="196"/>
              <w:jc w:val="left"/>
              <w:outlineLvl w:val="1"/>
              <w:rPr>
                <w:rFonts w:ascii="仿宋" w:hAnsi="仿宋" w:eastAsia="仿宋" w:cs="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s="仿宋"/>
                <w:sz w:val="24"/>
              </w:rPr>
            </w:pPr>
          </w:p>
        </w:tc>
        <w:tc>
          <w:tcPr>
            <w:tcW w:w="1440" w:type="dxa"/>
            <w:vAlign w:val="center"/>
          </w:tcPr>
          <w:p>
            <w:pPr>
              <w:widowControl/>
              <w:spacing w:line="360" w:lineRule="atLeast"/>
              <w:ind w:firstLine="470" w:firstLineChars="196"/>
              <w:jc w:val="left"/>
              <w:outlineLvl w:val="1"/>
              <w:rPr>
                <w:rFonts w:ascii="仿宋" w:hAnsi="仿宋" w:eastAsia="仿宋" w:cs="仿宋"/>
                <w:sz w:val="24"/>
              </w:rPr>
            </w:pPr>
          </w:p>
        </w:tc>
        <w:tc>
          <w:tcPr>
            <w:tcW w:w="1320" w:type="dxa"/>
            <w:vAlign w:val="center"/>
          </w:tcPr>
          <w:p>
            <w:pPr>
              <w:widowControl/>
              <w:spacing w:line="360" w:lineRule="atLeast"/>
              <w:ind w:firstLine="470" w:firstLineChars="196"/>
              <w:jc w:val="left"/>
              <w:outlineLvl w:val="1"/>
              <w:rPr>
                <w:rFonts w:ascii="仿宋" w:hAnsi="仿宋" w:eastAsia="仿宋" w:cs="仿宋"/>
                <w:sz w:val="24"/>
              </w:rPr>
            </w:pPr>
          </w:p>
        </w:tc>
        <w:tc>
          <w:tcPr>
            <w:tcW w:w="1161" w:type="dxa"/>
            <w:vAlign w:val="center"/>
          </w:tcPr>
          <w:p>
            <w:pPr>
              <w:widowControl/>
              <w:spacing w:line="360" w:lineRule="atLeast"/>
              <w:ind w:firstLine="470" w:firstLineChars="196"/>
              <w:jc w:val="left"/>
              <w:outlineLvl w:val="1"/>
              <w:rPr>
                <w:rFonts w:ascii="仿宋" w:hAnsi="仿宋" w:eastAsia="仿宋" w:cs="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44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32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161"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44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32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161" w:type="dxa"/>
            <w:tcBorders>
              <w:top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outlineLvl w:val="1"/>
              <w:rPr>
                <w:rFonts w:ascii="仿宋" w:hAnsi="仿宋" w:eastAsia="仿宋" w:cs="仿宋"/>
                <w:sz w:val="24"/>
              </w:rPr>
            </w:pPr>
          </w:p>
        </w:tc>
      </w:tr>
    </w:tbl>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注：以上业绩需提供招标文件要求的有关书面证明材料。</w:t>
      </w:r>
    </w:p>
    <w:p>
      <w:pPr>
        <w:widowControl/>
        <w:spacing w:line="360" w:lineRule="atLeast"/>
        <w:ind w:firstLine="470" w:firstLineChars="196"/>
        <w:jc w:val="left"/>
        <w:outlineLvl w:val="1"/>
        <w:rPr>
          <w:rFonts w:ascii="仿宋" w:hAnsi="仿宋" w:eastAsia="仿宋" w:cs="仿宋"/>
          <w:sz w:val="24"/>
        </w:rPr>
      </w:pPr>
    </w:p>
    <w:p>
      <w:pPr>
        <w:widowControl/>
        <w:spacing w:line="360" w:lineRule="atLeast"/>
        <w:ind w:firstLine="470" w:firstLineChars="196"/>
        <w:jc w:val="left"/>
        <w:outlineLvl w:val="1"/>
        <w:rPr>
          <w:rFonts w:ascii="仿宋" w:hAnsi="仿宋" w:eastAsia="仿宋" w:cs="仿宋"/>
          <w:sz w:val="24"/>
        </w:rPr>
      </w:pP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投标人名称：XXXX（单位盖章）。</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cs="仿宋"/>
          <w:b/>
          <w:sz w:val="32"/>
          <w:szCs w:val="32"/>
        </w:rPr>
      </w:pPr>
      <w:r>
        <w:rPr>
          <w:rFonts w:hint="eastAsia" w:ascii="仿宋" w:hAnsi="仿宋" w:eastAsia="仿宋" w:cs="仿宋"/>
          <w:sz w:val="24"/>
        </w:rPr>
        <w:t>投标日期: XXXX。</w:t>
      </w:r>
      <w:bookmarkStart w:id="198" w:name="_Toc217446090"/>
      <w:r>
        <w:rPr>
          <w:rFonts w:hint="eastAsia" w:ascii="仿宋" w:hAnsi="仿宋" w:eastAsia="仿宋" w:cs="仿宋"/>
          <w:b/>
          <w:sz w:val="32"/>
          <w:szCs w:val="32"/>
        </w:rPr>
        <w:br w:type="page"/>
      </w:r>
      <w:r>
        <w:rPr>
          <w:rFonts w:hint="eastAsia" w:ascii="仿宋" w:hAnsi="仿宋" w:eastAsia="仿宋" w:cs="仿宋"/>
          <w:b/>
          <w:sz w:val="32"/>
          <w:szCs w:val="32"/>
        </w:rPr>
        <w:t>格式2-8</w:t>
      </w:r>
    </w:p>
    <w:p>
      <w:pPr>
        <w:widowControl/>
        <w:spacing w:line="360" w:lineRule="atLeast"/>
        <w:jc w:val="center"/>
        <w:outlineLvl w:val="1"/>
        <w:rPr>
          <w:rFonts w:ascii="仿宋" w:hAnsi="仿宋" w:eastAsia="仿宋" w:cs="仿宋"/>
          <w:b/>
          <w:sz w:val="32"/>
          <w:szCs w:val="32"/>
        </w:rPr>
      </w:pPr>
      <w:r>
        <w:rPr>
          <w:rFonts w:hint="eastAsia" w:ascii="仿宋" w:hAnsi="仿宋" w:eastAsia="仿宋" w:cs="仿宋"/>
          <w:b/>
          <w:sz w:val="32"/>
          <w:szCs w:val="32"/>
        </w:rPr>
        <w:t>七、服务应答表</w:t>
      </w:r>
      <w:bookmarkEnd w:id="198"/>
    </w:p>
    <w:p>
      <w:pPr>
        <w:widowControl/>
        <w:spacing w:line="360" w:lineRule="atLeast"/>
        <w:ind w:firstLine="472" w:firstLineChars="196"/>
        <w:jc w:val="left"/>
        <w:outlineLvl w:val="1"/>
        <w:rPr>
          <w:rFonts w:ascii="仿宋" w:hAnsi="仿宋" w:eastAsia="仿宋" w:cs="仿宋"/>
          <w:b/>
          <w:sz w:val="24"/>
        </w:rPr>
      </w:pP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招标编号：</w:t>
      </w:r>
    </w:p>
    <w:tbl>
      <w:tblPr>
        <w:tblStyle w:val="29"/>
        <w:tblW w:w="8363" w:type="dxa"/>
        <w:tblInd w:w="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3060"/>
        <w:gridCol w:w="3210"/>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noWrap/>
            <w:vAlign w:val="center"/>
          </w:tcPr>
          <w:p>
            <w:pPr>
              <w:pStyle w:val="66"/>
              <w:jc w:val="center"/>
              <w:rPr>
                <w:rFonts w:ascii="仿宋" w:hAnsi="仿宋" w:eastAsia="仿宋" w:cs="仿宋"/>
              </w:rPr>
            </w:pPr>
            <w:r>
              <w:rPr>
                <w:rFonts w:hint="eastAsia" w:ascii="仿宋" w:hAnsi="仿宋" w:eastAsia="仿宋" w:cs="仿宋"/>
              </w:rPr>
              <w:t>序号</w:t>
            </w:r>
          </w:p>
        </w:tc>
        <w:tc>
          <w:tcPr>
            <w:tcW w:w="3060" w:type="dxa"/>
            <w:noWrap/>
            <w:vAlign w:val="center"/>
          </w:tcPr>
          <w:p>
            <w:pPr>
              <w:pStyle w:val="66"/>
              <w:ind w:firstLine="240" w:firstLineChars="100"/>
              <w:jc w:val="center"/>
              <w:rPr>
                <w:rFonts w:ascii="仿宋" w:hAnsi="仿宋" w:eastAsia="仿宋" w:cs="仿宋"/>
              </w:rPr>
            </w:pPr>
            <w:r>
              <w:rPr>
                <w:rFonts w:hint="eastAsia" w:ascii="仿宋" w:hAnsi="仿宋" w:eastAsia="仿宋" w:cs="仿宋"/>
              </w:rPr>
              <w:t>招标要求</w:t>
            </w:r>
          </w:p>
        </w:tc>
        <w:tc>
          <w:tcPr>
            <w:tcW w:w="3210" w:type="dxa"/>
            <w:noWrap/>
            <w:vAlign w:val="center"/>
          </w:tcPr>
          <w:p>
            <w:pPr>
              <w:pStyle w:val="66"/>
              <w:jc w:val="center"/>
              <w:rPr>
                <w:rFonts w:ascii="仿宋" w:hAnsi="仿宋" w:eastAsia="仿宋" w:cs="仿宋"/>
              </w:rPr>
            </w:pPr>
            <w:r>
              <w:rPr>
                <w:rFonts w:hint="eastAsia" w:ascii="仿宋" w:hAnsi="仿宋" w:eastAsia="仿宋" w:cs="仿宋"/>
              </w:rPr>
              <w:t>投标应答</w:t>
            </w:r>
          </w:p>
        </w:tc>
        <w:tc>
          <w:tcPr>
            <w:tcW w:w="1245" w:type="dxa"/>
            <w:noWrap/>
            <w:vAlign w:val="center"/>
          </w:tcPr>
          <w:p>
            <w:pPr>
              <w:pStyle w:val="66"/>
              <w:jc w:val="center"/>
              <w:rPr>
                <w:rFonts w:ascii="仿宋" w:hAnsi="仿宋" w:eastAsia="仿宋" w:cs="仿宋"/>
              </w:rPr>
            </w:pPr>
            <w:r>
              <w:rPr>
                <w:rFonts w:hint="eastAsia" w:ascii="仿宋" w:hAnsi="仿宋" w:eastAsia="仿宋" w:cs="仿宋"/>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noWrap/>
            <w:vAlign w:val="center"/>
          </w:tcPr>
          <w:p>
            <w:pPr>
              <w:pStyle w:val="66"/>
              <w:jc w:val="center"/>
              <w:rPr>
                <w:rFonts w:ascii="仿宋" w:hAnsi="仿宋" w:eastAsia="仿宋" w:cs="仿宋"/>
              </w:rPr>
            </w:pPr>
          </w:p>
        </w:tc>
        <w:tc>
          <w:tcPr>
            <w:tcW w:w="3060" w:type="dxa"/>
            <w:noWrap/>
            <w:vAlign w:val="center"/>
          </w:tcPr>
          <w:p>
            <w:pPr>
              <w:pStyle w:val="66"/>
              <w:jc w:val="center"/>
              <w:rPr>
                <w:rFonts w:ascii="仿宋" w:hAnsi="仿宋" w:eastAsia="仿宋" w:cs="仿宋"/>
              </w:rPr>
            </w:pPr>
          </w:p>
        </w:tc>
        <w:tc>
          <w:tcPr>
            <w:tcW w:w="3210" w:type="dxa"/>
            <w:noWrap/>
            <w:vAlign w:val="center"/>
          </w:tcPr>
          <w:p>
            <w:pPr>
              <w:pStyle w:val="66"/>
              <w:jc w:val="center"/>
              <w:rPr>
                <w:rFonts w:ascii="仿宋" w:hAnsi="仿宋" w:eastAsia="仿宋" w:cs="仿宋"/>
              </w:rPr>
            </w:pPr>
          </w:p>
        </w:tc>
        <w:tc>
          <w:tcPr>
            <w:tcW w:w="1245" w:type="dxa"/>
            <w:noWrap/>
            <w:vAlign w:val="center"/>
          </w:tcPr>
          <w:p>
            <w:pPr>
              <w:pStyle w:val="66"/>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noWrap/>
            <w:vAlign w:val="center"/>
          </w:tcPr>
          <w:p>
            <w:pPr>
              <w:pStyle w:val="66"/>
              <w:jc w:val="center"/>
              <w:rPr>
                <w:rFonts w:ascii="仿宋" w:hAnsi="仿宋" w:eastAsia="仿宋" w:cs="仿宋"/>
              </w:rPr>
            </w:pPr>
          </w:p>
        </w:tc>
        <w:tc>
          <w:tcPr>
            <w:tcW w:w="3060" w:type="dxa"/>
            <w:noWrap/>
            <w:vAlign w:val="center"/>
          </w:tcPr>
          <w:p>
            <w:pPr>
              <w:pStyle w:val="66"/>
              <w:jc w:val="center"/>
              <w:rPr>
                <w:rFonts w:ascii="仿宋" w:hAnsi="仿宋" w:eastAsia="仿宋" w:cs="仿宋"/>
              </w:rPr>
            </w:pPr>
          </w:p>
        </w:tc>
        <w:tc>
          <w:tcPr>
            <w:tcW w:w="3210" w:type="dxa"/>
            <w:noWrap/>
            <w:vAlign w:val="center"/>
          </w:tcPr>
          <w:p>
            <w:pPr>
              <w:pStyle w:val="66"/>
              <w:jc w:val="center"/>
              <w:rPr>
                <w:rFonts w:ascii="仿宋" w:hAnsi="仿宋" w:eastAsia="仿宋" w:cs="仿宋"/>
              </w:rPr>
            </w:pPr>
          </w:p>
        </w:tc>
        <w:tc>
          <w:tcPr>
            <w:tcW w:w="1245" w:type="dxa"/>
            <w:noWrap/>
            <w:vAlign w:val="center"/>
          </w:tcPr>
          <w:p>
            <w:pPr>
              <w:pStyle w:val="66"/>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noWrap/>
            <w:vAlign w:val="center"/>
          </w:tcPr>
          <w:p>
            <w:pPr>
              <w:pStyle w:val="66"/>
              <w:jc w:val="center"/>
              <w:rPr>
                <w:rFonts w:ascii="仿宋" w:hAnsi="仿宋" w:eastAsia="仿宋" w:cs="仿宋"/>
              </w:rPr>
            </w:pPr>
          </w:p>
        </w:tc>
        <w:tc>
          <w:tcPr>
            <w:tcW w:w="3060" w:type="dxa"/>
            <w:noWrap/>
            <w:vAlign w:val="center"/>
          </w:tcPr>
          <w:p>
            <w:pPr>
              <w:pStyle w:val="66"/>
              <w:jc w:val="center"/>
              <w:rPr>
                <w:rFonts w:ascii="仿宋" w:hAnsi="仿宋" w:eastAsia="仿宋" w:cs="仿宋"/>
              </w:rPr>
            </w:pPr>
          </w:p>
        </w:tc>
        <w:tc>
          <w:tcPr>
            <w:tcW w:w="3210" w:type="dxa"/>
            <w:noWrap/>
            <w:vAlign w:val="center"/>
          </w:tcPr>
          <w:p>
            <w:pPr>
              <w:pStyle w:val="66"/>
              <w:jc w:val="center"/>
              <w:rPr>
                <w:rFonts w:ascii="仿宋" w:hAnsi="仿宋" w:eastAsia="仿宋" w:cs="仿宋"/>
              </w:rPr>
            </w:pPr>
          </w:p>
        </w:tc>
        <w:tc>
          <w:tcPr>
            <w:tcW w:w="1245" w:type="dxa"/>
            <w:noWrap/>
            <w:vAlign w:val="center"/>
          </w:tcPr>
          <w:p>
            <w:pPr>
              <w:pStyle w:val="66"/>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noWrap/>
            <w:vAlign w:val="center"/>
          </w:tcPr>
          <w:p>
            <w:pPr>
              <w:pStyle w:val="66"/>
              <w:jc w:val="center"/>
              <w:rPr>
                <w:rFonts w:ascii="仿宋" w:hAnsi="仿宋" w:eastAsia="仿宋" w:cs="仿宋"/>
              </w:rPr>
            </w:pPr>
          </w:p>
        </w:tc>
        <w:tc>
          <w:tcPr>
            <w:tcW w:w="3060" w:type="dxa"/>
            <w:noWrap/>
            <w:vAlign w:val="center"/>
          </w:tcPr>
          <w:p>
            <w:pPr>
              <w:pStyle w:val="66"/>
              <w:jc w:val="center"/>
              <w:rPr>
                <w:rFonts w:ascii="仿宋" w:hAnsi="仿宋" w:eastAsia="仿宋" w:cs="仿宋"/>
              </w:rPr>
            </w:pPr>
          </w:p>
        </w:tc>
        <w:tc>
          <w:tcPr>
            <w:tcW w:w="3210" w:type="dxa"/>
            <w:noWrap/>
            <w:vAlign w:val="center"/>
          </w:tcPr>
          <w:p>
            <w:pPr>
              <w:pStyle w:val="66"/>
              <w:jc w:val="center"/>
              <w:rPr>
                <w:rFonts w:ascii="仿宋" w:hAnsi="仿宋" w:eastAsia="仿宋" w:cs="仿宋"/>
              </w:rPr>
            </w:pPr>
          </w:p>
        </w:tc>
        <w:tc>
          <w:tcPr>
            <w:tcW w:w="1245" w:type="dxa"/>
            <w:noWrap/>
            <w:vAlign w:val="center"/>
          </w:tcPr>
          <w:p>
            <w:pPr>
              <w:pStyle w:val="66"/>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noWrap/>
            <w:vAlign w:val="center"/>
          </w:tcPr>
          <w:p>
            <w:pPr>
              <w:pStyle w:val="66"/>
              <w:jc w:val="center"/>
              <w:rPr>
                <w:rFonts w:ascii="仿宋" w:hAnsi="仿宋" w:eastAsia="仿宋" w:cs="仿宋"/>
              </w:rPr>
            </w:pPr>
          </w:p>
        </w:tc>
        <w:tc>
          <w:tcPr>
            <w:tcW w:w="3060" w:type="dxa"/>
            <w:noWrap/>
            <w:vAlign w:val="center"/>
          </w:tcPr>
          <w:p>
            <w:pPr>
              <w:pStyle w:val="66"/>
              <w:jc w:val="center"/>
              <w:rPr>
                <w:rFonts w:ascii="仿宋" w:hAnsi="仿宋" w:eastAsia="仿宋" w:cs="仿宋"/>
              </w:rPr>
            </w:pPr>
          </w:p>
        </w:tc>
        <w:tc>
          <w:tcPr>
            <w:tcW w:w="3210" w:type="dxa"/>
            <w:noWrap/>
            <w:vAlign w:val="center"/>
          </w:tcPr>
          <w:p>
            <w:pPr>
              <w:pStyle w:val="66"/>
              <w:jc w:val="center"/>
              <w:rPr>
                <w:rFonts w:ascii="仿宋" w:hAnsi="仿宋" w:eastAsia="仿宋" w:cs="仿宋"/>
              </w:rPr>
            </w:pPr>
          </w:p>
        </w:tc>
        <w:tc>
          <w:tcPr>
            <w:tcW w:w="1245" w:type="dxa"/>
            <w:noWrap/>
            <w:vAlign w:val="center"/>
          </w:tcPr>
          <w:p>
            <w:pPr>
              <w:pStyle w:val="66"/>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noWrap/>
            <w:vAlign w:val="center"/>
          </w:tcPr>
          <w:p>
            <w:pPr>
              <w:pStyle w:val="66"/>
              <w:jc w:val="center"/>
              <w:rPr>
                <w:rFonts w:ascii="仿宋" w:hAnsi="仿宋" w:eastAsia="仿宋" w:cs="仿宋"/>
              </w:rPr>
            </w:pPr>
          </w:p>
        </w:tc>
        <w:tc>
          <w:tcPr>
            <w:tcW w:w="3060" w:type="dxa"/>
            <w:noWrap/>
            <w:vAlign w:val="center"/>
          </w:tcPr>
          <w:p>
            <w:pPr>
              <w:pStyle w:val="66"/>
              <w:jc w:val="center"/>
              <w:rPr>
                <w:rFonts w:ascii="仿宋" w:hAnsi="仿宋" w:eastAsia="仿宋" w:cs="仿宋"/>
              </w:rPr>
            </w:pPr>
          </w:p>
        </w:tc>
        <w:tc>
          <w:tcPr>
            <w:tcW w:w="3210" w:type="dxa"/>
            <w:noWrap/>
            <w:vAlign w:val="center"/>
          </w:tcPr>
          <w:p>
            <w:pPr>
              <w:pStyle w:val="66"/>
              <w:jc w:val="center"/>
              <w:rPr>
                <w:rFonts w:ascii="仿宋" w:hAnsi="仿宋" w:eastAsia="仿宋" w:cs="仿宋"/>
              </w:rPr>
            </w:pPr>
          </w:p>
        </w:tc>
        <w:tc>
          <w:tcPr>
            <w:tcW w:w="1245" w:type="dxa"/>
            <w:noWrap/>
            <w:vAlign w:val="center"/>
          </w:tcPr>
          <w:p>
            <w:pPr>
              <w:pStyle w:val="66"/>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noWrap/>
            <w:vAlign w:val="center"/>
          </w:tcPr>
          <w:p>
            <w:pPr>
              <w:pStyle w:val="66"/>
              <w:jc w:val="center"/>
              <w:rPr>
                <w:rFonts w:ascii="仿宋" w:hAnsi="仿宋" w:eastAsia="仿宋" w:cs="仿宋"/>
              </w:rPr>
            </w:pPr>
          </w:p>
        </w:tc>
        <w:tc>
          <w:tcPr>
            <w:tcW w:w="3060" w:type="dxa"/>
            <w:noWrap/>
            <w:vAlign w:val="center"/>
          </w:tcPr>
          <w:p>
            <w:pPr>
              <w:pStyle w:val="66"/>
              <w:jc w:val="center"/>
              <w:rPr>
                <w:rFonts w:ascii="仿宋" w:hAnsi="仿宋" w:eastAsia="仿宋" w:cs="仿宋"/>
              </w:rPr>
            </w:pPr>
          </w:p>
        </w:tc>
        <w:tc>
          <w:tcPr>
            <w:tcW w:w="3210" w:type="dxa"/>
            <w:noWrap/>
            <w:vAlign w:val="center"/>
          </w:tcPr>
          <w:p>
            <w:pPr>
              <w:pStyle w:val="66"/>
              <w:jc w:val="center"/>
              <w:rPr>
                <w:rFonts w:ascii="仿宋" w:hAnsi="仿宋" w:eastAsia="仿宋" w:cs="仿宋"/>
              </w:rPr>
            </w:pPr>
          </w:p>
        </w:tc>
        <w:tc>
          <w:tcPr>
            <w:tcW w:w="1245" w:type="dxa"/>
            <w:noWrap/>
            <w:vAlign w:val="center"/>
          </w:tcPr>
          <w:p>
            <w:pPr>
              <w:pStyle w:val="66"/>
              <w:jc w:val="center"/>
              <w:rPr>
                <w:rFonts w:ascii="仿宋" w:hAnsi="仿宋" w:eastAsia="仿宋" w:cs="仿宋"/>
              </w:rPr>
            </w:pPr>
          </w:p>
        </w:tc>
      </w:tr>
    </w:tbl>
    <w:p>
      <w:pPr>
        <w:widowControl/>
        <w:spacing w:line="360" w:lineRule="atLeast"/>
        <w:jc w:val="left"/>
        <w:outlineLvl w:val="1"/>
        <w:rPr>
          <w:rFonts w:ascii="仿宋" w:hAnsi="仿宋" w:eastAsia="仿宋" w:cs="仿宋"/>
          <w:sz w:val="24"/>
        </w:rPr>
      </w:pPr>
      <w:r>
        <w:rPr>
          <w:rFonts w:hint="eastAsia" w:ascii="仿宋" w:hAnsi="仿宋" w:eastAsia="仿宋" w:cs="仿宋"/>
          <w:sz w:val="24"/>
        </w:rPr>
        <w:t>注：1. 供应商必须把招标文件</w:t>
      </w:r>
      <w:r>
        <w:rPr>
          <w:rFonts w:hint="eastAsia" w:ascii="仿宋" w:hAnsi="仿宋" w:eastAsia="仿宋" w:cs="仿宋"/>
          <w:b/>
          <w:bCs/>
          <w:sz w:val="24"/>
        </w:rPr>
        <w:t>第六章技术服务要求全部</w:t>
      </w:r>
      <w:r>
        <w:rPr>
          <w:rFonts w:hint="eastAsia" w:ascii="仿宋" w:hAnsi="仿宋" w:eastAsia="仿宋" w:cs="仿宋"/>
          <w:sz w:val="24"/>
        </w:rPr>
        <w:t>列入此表。</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2．按照招标项目技术要求的顺序逐条对应填写。</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3．供应商必须据实填写，不得虚假填写，否则将取消其投标或中标资格。</w:t>
      </w:r>
    </w:p>
    <w:p>
      <w:pPr>
        <w:widowControl/>
        <w:spacing w:line="360" w:lineRule="atLeast"/>
        <w:ind w:firstLine="470" w:firstLineChars="196"/>
        <w:jc w:val="left"/>
        <w:outlineLvl w:val="1"/>
        <w:rPr>
          <w:rFonts w:ascii="仿宋" w:hAnsi="仿宋" w:eastAsia="仿宋" w:cs="仿宋"/>
          <w:sz w:val="24"/>
        </w:rPr>
      </w:pP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投标人名称：XXXX（单位盖章）。</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投标日期: XXXX。</w:t>
      </w:r>
    </w:p>
    <w:p>
      <w:pPr>
        <w:widowControl/>
        <w:spacing w:line="360" w:lineRule="atLeast"/>
        <w:ind w:firstLine="470" w:firstLineChars="196"/>
        <w:jc w:val="left"/>
        <w:outlineLvl w:val="1"/>
        <w:rPr>
          <w:rFonts w:ascii="仿宋" w:hAnsi="仿宋" w:eastAsia="仿宋" w:cs="仿宋"/>
          <w:sz w:val="24"/>
        </w:rPr>
      </w:pPr>
    </w:p>
    <w:p>
      <w:pPr>
        <w:spacing w:line="360" w:lineRule="auto"/>
        <w:rPr>
          <w:rFonts w:ascii="仿宋" w:hAnsi="仿宋" w:eastAsia="仿宋" w:cs="仿宋"/>
          <w:b/>
          <w:sz w:val="32"/>
          <w:szCs w:val="32"/>
        </w:rPr>
      </w:pPr>
      <w:bookmarkStart w:id="199" w:name="_Toc217446091"/>
      <w:r>
        <w:rPr>
          <w:rFonts w:hint="eastAsia" w:ascii="仿宋" w:hAnsi="仿宋" w:eastAsia="仿宋" w:cs="仿宋"/>
          <w:b/>
          <w:sz w:val="32"/>
          <w:szCs w:val="32"/>
        </w:rPr>
        <w:br w:type="page"/>
      </w:r>
      <w:r>
        <w:rPr>
          <w:rFonts w:hint="eastAsia" w:ascii="仿宋" w:hAnsi="仿宋" w:eastAsia="仿宋" w:cs="仿宋"/>
          <w:b/>
          <w:sz w:val="32"/>
          <w:szCs w:val="32"/>
        </w:rPr>
        <w:t>格式2-9</w:t>
      </w:r>
    </w:p>
    <w:p>
      <w:pPr>
        <w:widowControl/>
        <w:spacing w:line="360" w:lineRule="atLeast"/>
        <w:jc w:val="center"/>
        <w:outlineLvl w:val="1"/>
        <w:rPr>
          <w:rFonts w:ascii="仿宋" w:hAnsi="仿宋" w:eastAsia="仿宋" w:cs="仿宋"/>
          <w:b/>
          <w:sz w:val="32"/>
          <w:szCs w:val="32"/>
        </w:rPr>
      </w:pPr>
      <w:r>
        <w:rPr>
          <w:rFonts w:hint="eastAsia" w:ascii="仿宋" w:hAnsi="仿宋" w:eastAsia="仿宋" w:cs="仿宋"/>
          <w:b/>
          <w:sz w:val="32"/>
          <w:szCs w:val="32"/>
        </w:rPr>
        <w:t>八、投标人本项目管理、技术、服务人员情况表</w:t>
      </w:r>
      <w:bookmarkEnd w:id="199"/>
    </w:p>
    <w:p>
      <w:pPr>
        <w:widowControl/>
        <w:spacing w:line="360" w:lineRule="atLeast"/>
        <w:ind w:firstLine="472" w:firstLineChars="196"/>
        <w:jc w:val="left"/>
        <w:outlineLvl w:val="1"/>
        <w:rPr>
          <w:rFonts w:ascii="仿宋" w:hAnsi="仿宋" w:eastAsia="仿宋" w:cs="仿宋"/>
          <w:b/>
          <w:sz w:val="24"/>
        </w:rPr>
      </w:pP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招标编号：</w:t>
      </w:r>
    </w:p>
    <w:tbl>
      <w:tblPr>
        <w:tblStyle w:val="29"/>
        <w:tblW w:w="7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类别</w:t>
            </w:r>
          </w:p>
        </w:tc>
        <w:tc>
          <w:tcPr>
            <w:tcW w:w="807" w:type="dxa"/>
            <w:vMerge w:val="restart"/>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职务</w:t>
            </w:r>
          </w:p>
        </w:tc>
        <w:tc>
          <w:tcPr>
            <w:tcW w:w="807" w:type="dxa"/>
            <w:vMerge w:val="restart"/>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姓名</w:t>
            </w:r>
          </w:p>
        </w:tc>
        <w:tc>
          <w:tcPr>
            <w:tcW w:w="807" w:type="dxa"/>
            <w:vMerge w:val="restart"/>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职称</w:t>
            </w:r>
          </w:p>
        </w:tc>
        <w:tc>
          <w:tcPr>
            <w:tcW w:w="807" w:type="dxa"/>
            <w:vMerge w:val="restart"/>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常住地</w:t>
            </w:r>
          </w:p>
        </w:tc>
        <w:tc>
          <w:tcPr>
            <w:tcW w:w="3390" w:type="dxa"/>
            <w:gridSpan w:val="4"/>
            <w:vAlign w:val="center"/>
          </w:tcPr>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vAlign w:val="center"/>
          </w:tcPr>
          <w:p>
            <w:pPr>
              <w:rPr>
                <w:rFonts w:ascii="仿宋" w:hAnsi="仿宋" w:eastAsia="仿宋" w:cs="仿宋"/>
              </w:rPr>
            </w:pPr>
          </w:p>
        </w:tc>
        <w:tc>
          <w:tcPr>
            <w:tcW w:w="807" w:type="dxa"/>
            <w:vMerge w:val="continue"/>
            <w:vAlign w:val="center"/>
          </w:tcPr>
          <w:p>
            <w:pPr>
              <w:rPr>
                <w:rFonts w:ascii="仿宋" w:hAnsi="仿宋" w:eastAsia="仿宋" w:cs="仿宋"/>
              </w:rPr>
            </w:pPr>
          </w:p>
        </w:tc>
        <w:tc>
          <w:tcPr>
            <w:tcW w:w="807" w:type="dxa"/>
            <w:vMerge w:val="continue"/>
            <w:vAlign w:val="center"/>
          </w:tcPr>
          <w:p>
            <w:pPr>
              <w:rPr>
                <w:rFonts w:ascii="仿宋" w:hAnsi="仿宋" w:eastAsia="仿宋" w:cs="仿宋"/>
              </w:rPr>
            </w:pPr>
          </w:p>
        </w:tc>
        <w:tc>
          <w:tcPr>
            <w:tcW w:w="807" w:type="dxa"/>
            <w:vMerge w:val="continue"/>
            <w:vAlign w:val="center"/>
          </w:tcPr>
          <w:p>
            <w:pPr>
              <w:rPr>
                <w:rFonts w:ascii="仿宋" w:hAnsi="仿宋" w:eastAsia="仿宋" w:cs="仿宋"/>
              </w:rPr>
            </w:pPr>
          </w:p>
        </w:tc>
        <w:tc>
          <w:tcPr>
            <w:tcW w:w="807" w:type="dxa"/>
            <w:vMerge w:val="continue"/>
            <w:vAlign w:val="center"/>
          </w:tcPr>
          <w:p>
            <w:pPr>
              <w:rPr>
                <w:rFonts w:ascii="仿宋" w:hAnsi="仿宋" w:eastAsia="仿宋" w:cs="仿宋"/>
              </w:rPr>
            </w:pPr>
          </w:p>
        </w:tc>
        <w:tc>
          <w:tcPr>
            <w:tcW w:w="851" w:type="dxa"/>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证书</w:t>
            </w:r>
          </w:p>
          <w:p>
            <w:pPr>
              <w:widowControl/>
              <w:spacing w:line="360" w:lineRule="atLeast"/>
              <w:jc w:val="left"/>
              <w:outlineLvl w:val="1"/>
              <w:rPr>
                <w:rFonts w:ascii="仿宋" w:hAnsi="仿宋" w:eastAsia="仿宋" w:cs="仿宋"/>
                <w:sz w:val="24"/>
              </w:rPr>
            </w:pPr>
            <w:r>
              <w:rPr>
                <w:rFonts w:hint="eastAsia" w:ascii="仿宋" w:hAnsi="仿宋" w:eastAsia="仿宋" w:cs="仿宋"/>
                <w:sz w:val="24"/>
              </w:rPr>
              <w:t>名称</w:t>
            </w:r>
          </w:p>
        </w:tc>
        <w:tc>
          <w:tcPr>
            <w:tcW w:w="960" w:type="dxa"/>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级别</w:t>
            </w:r>
          </w:p>
        </w:tc>
        <w:tc>
          <w:tcPr>
            <w:tcW w:w="847" w:type="dxa"/>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证号</w:t>
            </w:r>
          </w:p>
        </w:tc>
        <w:tc>
          <w:tcPr>
            <w:tcW w:w="732" w:type="dxa"/>
            <w:vAlign w:val="center"/>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管理</w:t>
            </w:r>
          </w:p>
          <w:p>
            <w:pPr>
              <w:widowControl/>
              <w:spacing w:line="360" w:lineRule="atLeast"/>
              <w:jc w:val="left"/>
              <w:outlineLvl w:val="1"/>
              <w:rPr>
                <w:rFonts w:ascii="仿宋" w:hAnsi="仿宋" w:eastAsia="仿宋" w:cs="仿宋"/>
                <w:sz w:val="24"/>
              </w:rPr>
            </w:pPr>
            <w:r>
              <w:rPr>
                <w:rFonts w:hint="eastAsia" w:ascii="仿宋" w:hAnsi="仿宋" w:eastAsia="仿宋" w:cs="仿宋"/>
                <w:sz w:val="24"/>
              </w:rPr>
              <w:t>人员</w:t>
            </w: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51" w:type="dxa"/>
          </w:tcPr>
          <w:p>
            <w:pPr>
              <w:widowControl/>
              <w:spacing w:line="360" w:lineRule="atLeast"/>
              <w:ind w:firstLine="470" w:firstLineChars="196"/>
              <w:jc w:val="left"/>
              <w:outlineLvl w:val="1"/>
              <w:rPr>
                <w:rFonts w:ascii="仿宋" w:hAnsi="仿宋" w:eastAsia="仿宋" w:cs="仿宋"/>
                <w:sz w:val="24"/>
              </w:rPr>
            </w:pPr>
          </w:p>
        </w:tc>
        <w:tc>
          <w:tcPr>
            <w:tcW w:w="960" w:type="dxa"/>
          </w:tcPr>
          <w:p>
            <w:pPr>
              <w:widowControl/>
              <w:spacing w:line="360" w:lineRule="atLeast"/>
              <w:ind w:firstLine="470" w:firstLineChars="196"/>
              <w:jc w:val="left"/>
              <w:outlineLvl w:val="1"/>
              <w:rPr>
                <w:rFonts w:ascii="仿宋" w:hAnsi="仿宋" w:eastAsia="仿宋" w:cs="仿宋"/>
                <w:sz w:val="24"/>
              </w:rPr>
            </w:pPr>
          </w:p>
        </w:tc>
        <w:tc>
          <w:tcPr>
            <w:tcW w:w="847" w:type="dxa"/>
          </w:tcPr>
          <w:p>
            <w:pPr>
              <w:widowControl/>
              <w:spacing w:line="360" w:lineRule="atLeast"/>
              <w:ind w:firstLine="470" w:firstLineChars="196"/>
              <w:jc w:val="left"/>
              <w:outlineLvl w:val="1"/>
              <w:rPr>
                <w:rFonts w:ascii="仿宋" w:hAnsi="仿宋" w:eastAsia="仿宋" w:cs="仿宋"/>
                <w:sz w:val="24"/>
              </w:rPr>
            </w:pPr>
          </w:p>
        </w:tc>
        <w:tc>
          <w:tcPr>
            <w:tcW w:w="732" w:type="dxa"/>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cs="仿宋"/>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51" w:type="dxa"/>
          </w:tcPr>
          <w:p>
            <w:pPr>
              <w:widowControl/>
              <w:spacing w:line="360" w:lineRule="atLeast"/>
              <w:ind w:firstLine="470" w:firstLineChars="196"/>
              <w:jc w:val="left"/>
              <w:outlineLvl w:val="1"/>
              <w:rPr>
                <w:rFonts w:ascii="仿宋" w:hAnsi="仿宋" w:eastAsia="仿宋" w:cs="仿宋"/>
                <w:sz w:val="24"/>
              </w:rPr>
            </w:pPr>
          </w:p>
        </w:tc>
        <w:tc>
          <w:tcPr>
            <w:tcW w:w="960" w:type="dxa"/>
          </w:tcPr>
          <w:p>
            <w:pPr>
              <w:widowControl/>
              <w:spacing w:line="360" w:lineRule="atLeast"/>
              <w:ind w:firstLine="470" w:firstLineChars="196"/>
              <w:jc w:val="left"/>
              <w:outlineLvl w:val="1"/>
              <w:rPr>
                <w:rFonts w:ascii="仿宋" w:hAnsi="仿宋" w:eastAsia="仿宋" w:cs="仿宋"/>
                <w:sz w:val="24"/>
              </w:rPr>
            </w:pPr>
          </w:p>
        </w:tc>
        <w:tc>
          <w:tcPr>
            <w:tcW w:w="847" w:type="dxa"/>
          </w:tcPr>
          <w:p>
            <w:pPr>
              <w:widowControl/>
              <w:spacing w:line="360" w:lineRule="atLeast"/>
              <w:ind w:firstLine="470" w:firstLineChars="196"/>
              <w:jc w:val="left"/>
              <w:outlineLvl w:val="1"/>
              <w:rPr>
                <w:rFonts w:ascii="仿宋" w:hAnsi="仿宋" w:eastAsia="仿宋" w:cs="仿宋"/>
                <w:sz w:val="24"/>
              </w:rPr>
            </w:pPr>
          </w:p>
        </w:tc>
        <w:tc>
          <w:tcPr>
            <w:tcW w:w="732" w:type="dxa"/>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cs="仿宋"/>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51" w:type="dxa"/>
          </w:tcPr>
          <w:p>
            <w:pPr>
              <w:widowControl/>
              <w:spacing w:line="360" w:lineRule="atLeast"/>
              <w:ind w:firstLine="470" w:firstLineChars="196"/>
              <w:jc w:val="left"/>
              <w:outlineLvl w:val="1"/>
              <w:rPr>
                <w:rFonts w:ascii="仿宋" w:hAnsi="仿宋" w:eastAsia="仿宋" w:cs="仿宋"/>
                <w:sz w:val="24"/>
              </w:rPr>
            </w:pPr>
          </w:p>
        </w:tc>
        <w:tc>
          <w:tcPr>
            <w:tcW w:w="960" w:type="dxa"/>
          </w:tcPr>
          <w:p>
            <w:pPr>
              <w:widowControl/>
              <w:spacing w:line="360" w:lineRule="atLeast"/>
              <w:ind w:firstLine="470" w:firstLineChars="196"/>
              <w:jc w:val="left"/>
              <w:outlineLvl w:val="1"/>
              <w:rPr>
                <w:rFonts w:ascii="仿宋" w:hAnsi="仿宋" w:eastAsia="仿宋" w:cs="仿宋"/>
                <w:sz w:val="24"/>
              </w:rPr>
            </w:pPr>
          </w:p>
        </w:tc>
        <w:tc>
          <w:tcPr>
            <w:tcW w:w="847" w:type="dxa"/>
          </w:tcPr>
          <w:p>
            <w:pPr>
              <w:widowControl/>
              <w:spacing w:line="360" w:lineRule="atLeast"/>
              <w:ind w:firstLine="470" w:firstLineChars="196"/>
              <w:jc w:val="left"/>
              <w:outlineLvl w:val="1"/>
              <w:rPr>
                <w:rFonts w:ascii="仿宋" w:hAnsi="仿宋" w:eastAsia="仿宋" w:cs="仿宋"/>
                <w:sz w:val="24"/>
              </w:rPr>
            </w:pPr>
          </w:p>
        </w:tc>
        <w:tc>
          <w:tcPr>
            <w:tcW w:w="732" w:type="dxa"/>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技术</w:t>
            </w:r>
          </w:p>
          <w:p>
            <w:pPr>
              <w:widowControl/>
              <w:spacing w:line="360" w:lineRule="atLeast"/>
              <w:jc w:val="left"/>
              <w:outlineLvl w:val="1"/>
              <w:rPr>
                <w:rFonts w:ascii="仿宋" w:hAnsi="仿宋" w:eastAsia="仿宋" w:cs="仿宋"/>
                <w:sz w:val="24"/>
              </w:rPr>
            </w:pPr>
            <w:r>
              <w:rPr>
                <w:rFonts w:hint="eastAsia" w:ascii="仿宋" w:hAnsi="仿宋" w:eastAsia="仿宋" w:cs="仿宋"/>
                <w:sz w:val="24"/>
              </w:rPr>
              <w:t>人员</w:t>
            </w: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51" w:type="dxa"/>
          </w:tcPr>
          <w:p>
            <w:pPr>
              <w:widowControl/>
              <w:spacing w:line="360" w:lineRule="atLeast"/>
              <w:ind w:firstLine="470" w:firstLineChars="196"/>
              <w:jc w:val="left"/>
              <w:outlineLvl w:val="1"/>
              <w:rPr>
                <w:rFonts w:ascii="仿宋" w:hAnsi="仿宋" w:eastAsia="仿宋" w:cs="仿宋"/>
                <w:sz w:val="24"/>
              </w:rPr>
            </w:pPr>
          </w:p>
        </w:tc>
        <w:tc>
          <w:tcPr>
            <w:tcW w:w="960" w:type="dxa"/>
          </w:tcPr>
          <w:p>
            <w:pPr>
              <w:widowControl/>
              <w:spacing w:line="360" w:lineRule="atLeast"/>
              <w:ind w:firstLine="470" w:firstLineChars="196"/>
              <w:jc w:val="left"/>
              <w:outlineLvl w:val="1"/>
              <w:rPr>
                <w:rFonts w:ascii="仿宋" w:hAnsi="仿宋" w:eastAsia="仿宋" w:cs="仿宋"/>
                <w:sz w:val="24"/>
              </w:rPr>
            </w:pPr>
          </w:p>
        </w:tc>
        <w:tc>
          <w:tcPr>
            <w:tcW w:w="847" w:type="dxa"/>
          </w:tcPr>
          <w:p>
            <w:pPr>
              <w:widowControl/>
              <w:spacing w:line="360" w:lineRule="atLeast"/>
              <w:ind w:firstLine="470" w:firstLineChars="196"/>
              <w:jc w:val="left"/>
              <w:outlineLvl w:val="1"/>
              <w:rPr>
                <w:rFonts w:ascii="仿宋" w:hAnsi="仿宋" w:eastAsia="仿宋" w:cs="仿宋"/>
                <w:sz w:val="24"/>
              </w:rPr>
            </w:pPr>
          </w:p>
        </w:tc>
        <w:tc>
          <w:tcPr>
            <w:tcW w:w="732" w:type="dxa"/>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cs="仿宋"/>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51" w:type="dxa"/>
          </w:tcPr>
          <w:p>
            <w:pPr>
              <w:widowControl/>
              <w:spacing w:line="360" w:lineRule="atLeast"/>
              <w:ind w:firstLine="470" w:firstLineChars="196"/>
              <w:jc w:val="left"/>
              <w:outlineLvl w:val="1"/>
              <w:rPr>
                <w:rFonts w:ascii="仿宋" w:hAnsi="仿宋" w:eastAsia="仿宋" w:cs="仿宋"/>
                <w:sz w:val="24"/>
              </w:rPr>
            </w:pPr>
          </w:p>
        </w:tc>
        <w:tc>
          <w:tcPr>
            <w:tcW w:w="960" w:type="dxa"/>
          </w:tcPr>
          <w:p>
            <w:pPr>
              <w:widowControl/>
              <w:spacing w:line="360" w:lineRule="atLeast"/>
              <w:ind w:firstLine="470" w:firstLineChars="196"/>
              <w:jc w:val="left"/>
              <w:outlineLvl w:val="1"/>
              <w:rPr>
                <w:rFonts w:ascii="仿宋" w:hAnsi="仿宋" w:eastAsia="仿宋" w:cs="仿宋"/>
                <w:sz w:val="24"/>
              </w:rPr>
            </w:pPr>
          </w:p>
        </w:tc>
        <w:tc>
          <w:tcPr>
            <w:tcW w:w="847" w:type="dxa"/>
          </w:tcPr>
          <w:p>
            <w:pPr>
              <w:widowControl/>
              <w:spacing w:line="360" w:lineRule="atLeast"/>
              <w:ind w:firstLine="470" w:firstLineChars="196"/>
              <w:jc w:val="left"/>
              <w:outlineLvl w:val="1"/>
              <w:rPr>
                <w:rFonts w:ascii="仿宋" w:hAnsi="仿宋" w:eastAsia="仿宋" w:cs="仿宋"/>
                <w:sz w:val="24"/>
              </w:rPr>
            </w:pPr>
          </w:p>
        </w:tc>
        <w:tc>
          <w:tcPr>
            <w:tcW w:w="732" w:type="dxa"/>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cs="仿宋"/>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51" w:type="dxa"/>
          </w:tcPr>
          <w:p>
            <w:pPr>
              <w:widowControl/>
              <w:spacing w:line="360" w:lineRule="atLeast"/>
              <w:ind w:firstLine="470" w:firstLineChars="196"/>
              <w:jc w:val="left"/>
              <w:outlineLvl w:val="1"/>
              <w:rPr>
                <w:rFonts w:ascii="仿宋" w:hAnsi="仿宋" w:eastAsia="仿宋" w:cs="仿宋"/>
                <w:sz w:val="24"/>
              </w:rPr>
            </w:pPr>
          </w:p>
        </w:tc>
        <w:tc>
          <w:tcPr>
            <w:tcW w:w="960" w:type="dxa"/>
          </w:tcPr>
          <w:p>
            <w:pPr>
              <w:widowControl/>
              <w:spacing w:line="360" w:lineRule="atLeast"/>
              <w:ind w:firstLine="470" w:firstLineChars="196"/>
              <w:jc w:val="left"/>
              <w:outlineLvl w:val="1"/>
              <w:rPr>
                <w:rFonts w:ascii="仿宋" w:hAnsi="仿宋" w:eastAsia="仿宋" w:cs="仿宋"/>
                <w:sz w:val="24"/>
              </w:rPr>
            </w:pPr>
          </w:p>
        </w:tc>
        <w:tc>
          <w:tcPr>
            <w:tcW w:w="847" w:type="dxa"/>
          </w:tcPr>
          <w:p>
            <w:pPr>
              <w:widowControl/>
              <w:spacing w:line="360" w:lineRule="atLeast"/>
              <w:ind w:firstLine="470" w:firstLineChars="196"/>
              <w:jc w:val="left"/>
              <w:outlineLvl w:val="1"/>
              <w:rPr>
                <w:rFonts w:ascii="仿宋" w:hAnsi="仿宋" w:eastAsia="仿宋" w:cs="仿宋"/>
                <w:sz w:val="24"/>
              </w:rPr>
            </w:pPr>
          </w:p>
        </w:tc>
        <w:tc>
          <w:tcPr>
            <w:tcW w:w="732" w:type="dxa"/>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outlineLvl w:val="1"/>
              <w:rPr>
                <w:rFonts w:ascii="仿宋" w:hAnsi="仿宋" w:eastAsia="仿宋" w:cs="仿宋"/>
                <w:sz w:val="24"/>
              </w:rPr>
            </w:pPr>
            <w:r>
              <w:rPr>
                <w:rFonts w:hint="eastAsia" w:ascii="仿宋" w:hAnsi="仿宋" w:eastAsia="仿宋" w:cs="仿宋"/>
                <w:sz w:val="24"/>
              </w:rPr>
              <w:t>售后服务人员</w:t>
            </w: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51" w:type="dxa"/>
          </w:tcPr>
          <w:p>
            <w:pPr>
              <w:widowControl/>
              <w:spacing w:line="360" w:lineRule="atLeast"/>
              <w:ind w:firstLine="470" w:firstLineChars="196"/>
              <w:jc w:val="left"/>
              <w:outlineLvl w:val="1"/>
              <w:rPr>
                <w:rFonts w:ascii="仿宋" w:hAnsi="仿宋" w:eastAsia="仿宋" w:cs="仿宋"/>
                <w:sz w:val="24"/>
              </w:rPr>
            </w:pPr>
          </w:p>
        </w:tc>
        <w:tc>
          <w:tcPr>
            <w:tcW w:w="960" w:type="dxa"/>
          </w:tcPr>
          <w:p>
            <w:pPr>
              <w:widowControl/>
              <w:spacing w:line="360" w:lineRule="atLeast"/>
              <w:ind w:firstLine="470" w:firstLineChars="196"/>
              <w:jc w:val="left"/>
              <w:outlineLvl w:val="1"/>
              <w:rPr>
                <w:rFonts w:ascii="仿宋" w:hAnsi="仿宋" w:eastAsia="仿宋" w:cs="仿宋"/>
                <w:sz w:val="24"/>
              </w:rPr>
            </w:pPr>
          </w:p>
        </w:tc>
        <w:tc>
          <w:tcPr>
            <w:tcW w:w="847" w:type="dxa"/>
          </w:tcPr>
          <w:p>
            <w:pPr>
              <w:widowControl/>
              <w:spacing w:line="360" w:lineRule="atLeast"/>
              <w:ind w:firstLine="470" w:firstLineChars="196"/>
              <w:jc w:val="left"/>
              <w:outlineLvl w:val="1"/>
              <w:rPr>
                <w:rFonts w:ascii="仿宋" w:hAnsi="仿宋" w:eastAsia="仿宋" w:cs="仿宋"/>
                <w:sz w:val="24"/>
              </w:rPr>
            </w:pPr>
          </w:p>
        </w:tc>
        <w:tc>
          <w:tcPr>
            <w:tcW w:w="732" w:type="dxa"/>
          </w:tcPr>
          <w:p>
            <w:pPr>
              <w:widowControl/>
              <w:spacing w:line="360" w:lineRule="atLeast"/>
              <w:ind w:firstLine="470" w:firstLineChars="196"/>
              <w:jc w:val="left"/>
              <w:outlineLvl w:val="1"/>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Borders>
              <w:bottom w:val="single" w:color="auto" w:sz="4" w:space="0"/>
            </w:tcBorders>
          </w:tcPr>
          <w:p>
            <w:pPr>
              <w:rPr>
                <w:rFonts w:ascii="仿宋" w:hAnsi="仿宋" w:eastAsia="仿宋" w:cs="仿宋"/>
              </w:rPr>
            </w:pPr>
          </w:p>
        </w:tc>
        <w:tc>
          <w:tcPr>
            <w:tcW w:w="807" w:type="dxa"/>
            <w:tcBorders>
              <w:bottom w:val="single" w:color="auto" w:sz="4" w:space="0"/>
            </w:tcBorders>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07" w:type="dxa"/>
          </w:tcPr>
          <w:p>
            <w:pPr>
              <w:widowControl/>
              <w:spacing w:line="360" w:lineRule="atLeast"/>
              <w:ind w:firstLine="470" w:firstLineChars="196"/>
              <w:jc w:val="left"/>
              <w:outlineLvl w:val="1"/>
              <w:rPr>
                <w:rFonts w:ascii="仿宋" w:hAnsi="仿宋" w:eastAsia="仿宋" w:cs="仿宋"/>
                <w:sz w:val="24"/>
              </w:rPr>
            </w:pPr>
          </w:p>
        </w:tc>
        <w:tc>
          <w:tcPr>
            <w:tcW w:w="851" w:type="dxa"/>
          </w:tcPr>
          <w:p>
            <w:pPr>
              <w:widowControl/>
              <w:spacing w:line="360" w:lineRule="atLeast"/>
              <w:ind w:firstLine="470" w:firstLineChars="196"/>
              <w:jc w:val="left"/>
              <w:outlineLvl w:val="1"/>
              <w:rPr>
                <w:rFonts w:ascii="仿宋" w:hAnsi="仿宋" w:eastAsia="仿宋" w:cs="仿宋"/>
                <w:sz w:val="24"/>
              </w:rPr>
            </w:pPr>
          </w:p>
        </w:tc>
        <w:tc>
          <w:tcPr>
            <w:tcW w:w="960" w:type="dxa"/>
          </w:tcPr>
          <w:p>
            <w:pPr>
              <w:widowControl/>
              <w:spacing w:line="360" w:lineRule="atLeast"/>
              <w:ind w:firstLine="470" w:firstLineChars="196"/>
              <w:jc w:val="left"/>
              <w:outlineLvl w:val="1"/>
              <w:rPr>
                <w:rFonts w:ascii="仿宋" w:hAnsi="仿宋" w:eastAsia="仿宋" w:cs="仿宋"/>
                <w:sz w:val="24"/>
              </w:rPr>
            </w:pPr>
          </w:p>
        </w:tc>
        <w:tc>
          <w:tcPr>
            <w:tcW w:w="847" w:type="dxa"/>
          </w:tcPr>
          <w:p>
            <w:pPr>
              <w:widowControl/>
              <w:spacing w:line="360" w:lineRule="atLeast"/>
              <w:ind w:firstLine="470" w:firstLineChars="196"/>
              <w:jc w:val="left"/>
              <w:outlineLvl w:val="1"/>
              <w:rPr>
                <w:rFonts w:ascii="仿宋" w:hAnsi="仿宋" w:eastAsia="仿宋" w:cs="仿宋"/>
                <w:sz w:val="24"/>
              </w:rPr>
            </w:pPr>
          </w:p>
        </w:tc>
        <w:tc>
          <w:tcPr>
            <w:tcW w:w="732" w:type="dxa"/>
          </w:tcPr>
          <w:p>
            <w:pPr>
              <w:widowControl/>
              <w:spacing w:line="360" w:lineRule="atLeast"/>
              <w:ind w:firstLine="470" w:firstLineChars="196"/>
              <w:jc w:val="left"/>
              <w:outlineLvl w:val="1"/>
              <w:rPr>
                <w:rFonts w:ascii="仿宋" w:hAnsi="仿宋" w:eastAsia="仿宋" w:cs="仿宋"/>
                <w:sz w:val="24"/>
              </w:rPr>
            </w:pPr>
          </w:p>
        </w:tc>
      </w:tr>
    </w:tbl>
    <w:p>
      <w:pPr>
        <w:widowControl/>
        <w:spacing w:line="360" w:lineRule="atLeast"/>
        <w:ind w:firstLine="470" w:firstLineChars="196"/>
        <w:jc w:val="left"/>
        <w:outlineLvl w:val="1"/>
        <w:rPr>
          <w:rFonts w:ascii="仿宋" w:hAnsi="仿宋" w:eastAsia="仿宋" w:cs="仿宋"/>
          <w:sz w:val="24"/>
        </w:rPr>
      </w:pP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投标人名称：XXXX（单位盖章）。</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投标日期: XXXX。</w:t>
      </w:r>
    </w:p>
    <w:p>
      <w:pPr>
        <w:widowControl/>
        <w:spacing w:line="360" w:lineRule="atLeast"/>
        <w:ind w:firstLine="470" w:firstLineChars="196"/>
        <w:jc w:val="left"/>
        <w:outlineLvl w:val="1"/>
        <w:rPr>
          <w:rFonts w:ascii="仿宋" w:hAnsi="仿宋" w:eastAsia="仿宋" w:cs="仿宋"/>
          <w:sz w:val="24"/>
        </w:rPr>
      </w:pPr>
      <w:r>
        <w:rPr>
          <w:rFonts w:hint="eastAsia" w:ascii="仿宋" w:hAnsi="仿宋" w:eastAsia="仿宋" w:cs="仿宋"/>
          <w:sz w:val="24"/>
        </w:rPr>
        <w:t>备注：此表填写的管理人员将作为判定87号令第37条依据。</w:t>
      </w:r>
    </w:p>
    <w:p>
      <w:pPr>
        <w:widowControl/>
        <w:spacing w:line="360" w:lineRule="atLeast"/>
        <w:ind w:firstLine="472" w:firstLineChars="196"/>
        <w:jc w:val="left"/>
        <w:outlineLvl w:val="1"/>
        <w:rPr>
          <w:rFonts w:ascii="仿宋" w:hAnsi="仿宋" w:eastAsia="仿宋" w:cs="仿宋"/>
          <w:b/>
          <w:sz w:val="24"/>
        </w:rPr>
      </w:pPr>
    </w:p>
    <w:p>
      <w:pPr>
        <w:spacing w:after="0" w:line="360" w:lineRule="auto"/>
        <w:rPr>
          <w:rFonts w:ascii="仿宋" w:hAnsi="仿宋" w:eastAsia="仿宋" w:cs="仿宋"/>
          <w:b/>
          <w:sz w:val="32"/>
          <w:szCs w:val="32"/>
        </w:rPr>
      </w:pPr>
      <w:r>
        <w:rPr>
          <w:rFonts w:hint="eastAsia" w:ascii="仿宋" w:hAnsi="仿宋" w:eastAsia="仿宋" w:cs="仿宋"/>
          <w:b/>
          <w:sz w:val="24"/>
        </w:rPr>
        <w:br w:type="page"/>
      </w:r>
    </w:p>
    <w:p>
      <w:pPr>
        <w:spacing w:after="0" w:line="360" w:lineRule="auto"/>
        <w:rPr>
          <w:rFonts w:ascii="仿宋" w:hAnsi="仿宋" w:eastAsia="仿宋" w:cs="仿宋"/>
          <w:b/>
          <w:sz w:val="32"/>
          <w:szCs w:val="32"/>
        </w:rPr>
      </w:pPr>
      <w:r>
        <w:rPr>
          <w:rFonts w:hint="eastAsia" w:ascii="仿宋" w:hAnsi="仿宋" w:eastAsia="仿宋" w:cs="仿宋"/>
          <w:b/>
          <w:sz w:val="32"/>
          <w:szCs w:val="32"/>
        </w:rPr>
        <w:t>格式2-10</w:t>
      </w:r>
    </w:p>
    <w:p>
      <w:pPr>
        <w:widowControl/>
        <w:spacing w:after="0" w:line="360" w:lineRule="atLeast"/>
        <w:jc w:val="center"/>
        <w:outlineLvl w:val="1"/>
        <w:rPr>
          <w:rFonts w:ascii="仿宋" w:hAnsi="仿宋" w:eastAsia="仿宋" w:cs="仿宋"/>
          <w:b/>
          <w:sz w:val="32"/>
          <w:szCs w:val="32"/>
        </w:rPr>
      </w:pPr>
      <w:r>
        <w:rPr>
          <w:rFonts w:hint="eastAsia" w:ascii="仿宋" w:hAnsi="仿宋" w:eastAsia="仿宋" w:cs="仿宋"/>
          <w:b/>
          <w:sz w:val="32"/>
          <w:szCs w:val="32"/>
        </w:rPr>
        <w:t>九、中小企业声明函</w:t>
      </w:r>
    </w:p>
    <w:p>
      <w:pPr>
        <w:widowControl/>
        <w:spacing w:after="0" w:line="360" w:lineRule="atLeast"/>
        <w:jc w:val="center"/>
        <w:outlineLvl w:val="1"/>
        <w:rPr>
          <w:rFonts w:ascii="仿宋" w:hAnsi="仿宋" w:eastAsia="仿宋" w:cs="仿宋"/>
          <w:b/>
          <w:sz w:val="32"/>
          <w:szCs w:val="32"/>
        </w:rPr>
      </w:pPr>
    </w:p>
    <w:p>
      <w:pPr>
        <w:spacing w:after="0" w:line="360" w:lineRule="auto"/>
        <w:ind w:firstLine="480" w:firstLineChars="200"/>
        <w:jc w:val="left"/>
        <w:rPr>
          <w:rFonts w:ascii="仿宋" w:hAnsi="仿宋" w:eastAsia="仿宋" w:cs="仿宋"/>
          <w:sz w:val="24"/>
        </w:rPr>
      </w:pPr>
      <w:r>
        <w:rPr>
          <w:rFonts w:hint="eastAsia" w:ascii="仿宋" w:hAnsi="仿宋" w:eastAsia="仿宋" w:cs="仿宋"/>
          <w:sz w:val="24"/>
        </w:rPr>
        <w:t xml:space="preserve">本公司郑重声明，根据《政府采购促进中小企业发展管理办法》（财库〔2020〕46 号）的规定，本公司（联合体）参加 </w:t>
      </w:r>
      <w:r>
        <w:rPr>
          <w:rFonts w:hint="eastAsia" w:ascii="仿宋" w:hAnsi="仿宋" w:eastAsia="仿宋" w:cs="仿宋"/>
          <w:sz w:val="24"/>
          <w:u w:val="single"/>
        </w:rPr>
        <w:t xml:space="preserve">（单位名称） </w:t>
      </w:r>
      <w:r>
        <w:rPr>
          <w:rFonts w:hint="eastAsia" w:ascii="仿宋" w:hAnsi="仿宋" w:eastAsia="仿宋" w:cs="仿宋"/>
          <w:sz w:val="24"/>
        </w:rPr>
        <w:t xml:space="preserve">的 </w:t>
      </w:r>
      <w:r>
        <w:rPr>
          <w:rFonts w:hint="eastAsia" w:ascii="仿宋" w:hAnsi="仿宋" w:eastAsia="仿宋" w:cs="仿宋"/>
          <w:sz w:val="24"/>
          <w:u w:val="single"/>
        </w:rPr>
        <w:t xml:space="preserve">（项目名称）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r>
        <w:rPr>
          <w:rFonts w:hint="eastAsia" w:ascii="仿宋" w:hAnsi="仿宋" w:eastAsia="仿宋" w:cs="仿宋"/>
          <w:sz w:val="24"/>
        </w:rPr>
        <w:br w:type="textWrapping"/>
      </w:r>
      <w:bookmarkStart w:id="200" w:name="_Toc387147344"/>
      <w:bookmarkStart w:id="201" w:name="_Toc387658050"/>
      <w:bookmarkStart w:id="202" w:name="_Toc419811733"/>
      <w:bookmarkStart w:id="203" w:name="_Toc417911732"/>
      <w:bookmarkStart w:id="204" w:name="_Toc413748654"/>
      <w:r>
        <w:rPr>
          <w:rFonts w:hint="eastAsia" w:ascii="仿宋" w:hAnsi="仿宋" w:eastAsia="仿宋" w:cs="仿宋"/>
          <w:sz w:val="24"/>
        </w:rPr>
        <w:t xml:space="preserve">    1. </w:t>
      </w:r>
      <w:r>
        <w:rPr>
          <w:rFonts w:hint="eastAsia" w:ascii="仿宋" w:hAnsi="仿宋" w:eastAsia="仿宋" w:cs="仿宋"/>
          <w:sz w:val="24"/>
          <w:u w:val="single"/>
        </w:rPr>
        <w:t xml:space="preserve">（标的名称） </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 </w:t>
      </w:r>
      <w:r>
        <w:rPr>
          <w:rFonts w:hint="eastAsia" w:ascii="仿宋" w:hAnsi="仿宋" w:eastAsia="仿宋" w:cs="仿宋"/>
          <w:sz w:val="24"/>
        </w:rPr>
        <w:t>；承接企业为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after="0" w:line="360"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 </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 </w:t>
      </w:r>
      <w:r>
        <w:rPr>
          <w:rFonts w:hint="eastAsia" w:ascii="仿宋" w:hAnsi="仿宋" w:eastAsia="仿宋" w:cs="仿宋"/>
          <w:sz w:val="24"/>
        </w:rPr>
        <w:t>；承接企业为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after="0" w:line="360" w:lineRule="auto"/>
        <w:ind w:firstLine="480" w:firstLineChars="200"/>
        <w:jc w:val="left"/>
        <w:rPr>
          <w:rFonts w:ascii="仿宋" w:hAnsi="仿宋" w:eastAsia="仿宋" w:cs="仿宋"/>
          <w:sz w:val="24"/>
        </w:rPr>
      </w:pPr>
      <w:r>
        <w:rPr>
          <w:rFonts w:hint="eastAsia" w:ascii="仿宋" w:hAnsi="仿宋" w:eastAsia="仿宋" w:cs="仿宋"/>
          <w:sz w:val="24"/>
        </w:rPr>
        <w:t>……</w:t>
      </w:r>
    </w:p>
    <w:p>
      <w:pPr>
        <w:spacing w:after="0" w:line="360"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after="0" w:line="360"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after="0" w:line="360" w:lineRule="auto"/>
        <w:jc w:val="center"/>
        <w:rPr>
          <w:rFonts w:ascii="仿宋" w:hAnsi="仿宋" w:eastAsia="仿宋" w:cs="仿宋"/>
          <w:sz w:val="24"/>
        </w:rPr>
      </w:pPr>
      <w:r>
        <w:rPr>
          <w:rFonts w:hint="eastAsia" w:ascii="仿宋" w:hAnsi="仿宋" w:eastAsia="仿宋" w:cs="仿宋"/>
          <w:sz w:val="24"/>
        </w:rPr>
        <w:t xml:space="preserve">                                 企业名称（盖章）：</w:t>
      </w:r>
    </w:p>
    <w:p>
      <w:pPr>
        <w:spacing w:after="0" w:line="360" w:lineRule="auto"/>
        <w:jc w:val="center"/>
        <w:rPr>
          <w:rFonts w:ascii="仿宋" w:hAnsi="仿宋" w:eastAsia="仿宋" w:cs="仿宋"/>
          <w:sz w:val="24"/>
        </w:rPr>
      </w:pPr>
      <w:r>
        <w:rPr>
          <w:rFonts w:hint="eastAsia" w:ascii="仿宋" w:hAnsi="仿宋" w:eastAsia="仿宋" w:cs="仿宋"/>
          <w:sz w:val="24"/>
        </w:rPr>
        <w:t xml:space="preserve">                        日 期：</w:t>
      </w:r>
    </w:p>
    <w:p>
      <w:pPr>
        <w:spacing w:after="0" w:line="360" w:lineRule="auto"/>
        <w:jc w:val="left"/>
        <w:rPr>
          <w:rFonts w:ascii="仿宋" w:hAnsi="仿宋" w:eastAsia="仿宋" w:cs="仿宋"/>
          <w:sz w:val="24"/>
        </w:rPr>
      </w:pPr>
    </w:p>
    <w:p>
      <w:pPr>
        <w:spacing w:after="0" w:line="360" w:lineRule="auto"/>
        <w:jc w:val="left"/>
        <w:rPr>
          <w:rFonts w:ascii="仿宋" w:hAnsi="仿宋" w:eastAsia="仿宋" w:cs="仿宋"/>
          <w:sz w:val="24"/>
        </w:rPr>
      </w:pPr>
      <w:r>
        <w:rPr>
          <w:rFonts w:hint="eastAsia" w:ascii="仿宋" w:hAnsi="仿宋" w:eastAsia="仿宋" w:cs="仿宋"/>
          <w:sz w:val="24"/>
        </w:rPr>
        <w:t>注：</w:t>
      </w:r>
      <w:bookmarkEnd w:id="200"/>
      <w:bookmarkEnd w:id="201"/>
      <w:bookmarkEnd w:id="202"/>
      <w:bookmarkEnd w:id="203"/>
      <w:bookmarkEnd w:id="204"/>
      <w:bookmarkStart w:id="205" w:name="_Toc28495"/>
      <w:r>
        <w:rPr>
          <w:rFonts w:hint="eastAsia" w:ascii="仿宋" w:hAnsi="仿宋" w:eastAsia="仿宋" w:cs="仿宋"/>
          <w:sz w:val="24"/>
        </w:rPr>
        <w:t>从业人员、营业收入、资产总额填报上一年度数据，无上一年度数据的新成立企业可不填报。</w:t>
      </w:r>
    </w:p>
    <w:p>
      <w:pPr>
        <w:spacing w:line="360" w:lineRule="auto"/>
        <w:rPr>
          <w:rFonts w:ascii="仿宋" w:hAnsi="仿宋" w:eastAsia="仿宋" w:cs="仿宋"/>
          <w:b/>
          <w:sz w:val="32"/>
          <w:szCs w:val="32"/>
        </w:rPr>
      </w:pPr>
      <w:r>
        <w:rPr>
          <w:rFonts w:hint="eastAsia" w:ascii="仿宋" w:hAnsi="仿宋" w:eastAsia="仿宋" w:cs="仿宋"/>
          <w:sz w:val="24"/>
        </w:rPr>
        <w:br w:type="page"/>
      </w:r>
      <w:r>
        <w:rPr>
          <w:rFonts w:hint="eastAsia" w:ascii="仿宋" w:hAnsi="仿宋" w:eastAsia="仿宋" w:cs="仿宋"/>
          <w:b/>
          <w:sz w:val="32"/>
          <w:szCs w:val="32"/>
        </w:rPr>
        <w:t>格式2-11</w:t>
      </w:r>
    </w:p>
    <w:p>
      <w:pPr>
        <w:jc w:val="center"/>
        <w:rPr>
          <w:rFonts w:ascii="仿宋" w:hAnsi="仿宋" w:eastAsia="仿宋" w:cs="仿宋"/>
          <w:b/>
          <w:sz w:val="32"/>
          <w:szCs w:val="32"/>
        </w:rPr>
      </w:pPr>
      <w:r>
        <w:rPr>
          <w:rFonts w:hint="eastAsia" w:ascii="仿宋" w:hAnsi="仿宋" w:eastAsia="仿宋" w:cs="仿宋"/>
          <w:b/>
          <w:sz w:val="32"/>
          <w:szCs w:val="32"/>
        </w:rPr>
        <w:t>十、残疾人福利性单位声明函</w:t>
      </w:r>
    </w:p>
    <w:p>
      <w:pPr>
        <w:spacing w:line="588" w:lineRule="exact"/>
        <w:rPr>
          <w:rFonts w:ascii="仿宋" w:hAnsi="仿宋" w:eastAsia="仿宋" w:cs="仿宋"/>
          <w:b/>
          <w:spacing w:val="6"/>
          <w:sz w:val="24"/>
        </w:rPr>
      </w:pPr>
    </w:p>
    <w:p>
      <w:pPr>
        <w:spacing w:line="588" w:lineRule="exact"/>
        <w:ind w:firstLine="504" w:firstLineChars="200"/>
        <w:rPr>
          <w:rFonts w:ascii="仿宋" w:hAnsi="仿宋" w:eastAsia="仿宋" w:cs="仿宋"/>
          <w:spacing w:val="6"/>
          <w:sz w:val="24"/>
        </w:rPr>
      </w:pPr>
      <w:r>
        <w:rPr>
          <w:rFonts w:hint="eastAsia" w:ascii="仿宋" w:hAnsi="仿宋" w:eastAsia="仿宋" w:cs="仿宋"/>
          <w:spacing w:val="6"/>
          <w:sz w:val="24"/>
        </w:rPr>
        <w:t>本单位郑重声明，根据《财政部 民政部 中国残疾人联合会关于促进残疾人就业政府采购政策的通知》（财库</w:t>
      </w:r>
      <w:r>
        <w:rPr>
          <w:rFonts w:hint="eastAsia" w:ascii="仿宋" w:hAnsi="仿宋" w:eastAsia="仿宋" w:cs="仿宋"/>
          <w:sz w:val="24"/>
        </w:rPr>
        <w:t>〔2017〕 141</w:t>
      </w:r>
      <w:r>
        <w:rPr>
          <w:rFonts w:hint="eastAsia" w:ascii="仿宋" w:hAnsi="仿宋" w:eastAsia="仿宋" w:cs="仿宋"/>
          <w:spacing w:val="6"/>
          <w:sz w:val="24"/>
        </w:rPr>
        <w:t>号）的规定，本单位为符合条件的残疾人福利性单位，且本单位参加_</w:t>
      </w:r>
      <w:r>
        <w:rPr>
          <w:rFonts w:hint="eastAsia" w:ascii="仿宋" w:hAnsi="仿宋" w:eastAsia="仿宋" w:cs="仿宋"/>
          <w:sz w:val="24"/>
          <w:u w:val="single"/>
        </w:rPr>
        <w:t>XXXX</w:t>
      </w:r>
      <w:r>
        <w:rPr>
          <w:rFonts w:hint="eastAsia" w:ascii="仿宋" w:hAnsi="仿宋" w:eastAsia="仿宋" w:cs="仿宋"/>
          <w:spacing w:val="6"/>
          <w:sz w:val="24"/>
        </w:rPr>
        <w:t>_单位的</w:t>
      </w:r>
      <w:r>
        <w:rPr>
          <w:rFonts w:hint="eastAsia" w:ascii="仿宋" w:hAnsi="仿宋" w:eastAsia="仿宋" w:cs="仿宋"/>
          <w:sz w:val="24"/>
          <w:u w:val="single"/>
        </w:rPr>
        <w:t>XXXX</w:t>
      </w:r>
      <w:r>
        <w:rPr>
          <w:rFonts w:hint="eastAsia" w:ascii="仿宋" w:hAnsi="仿宋" w:eastAsia="仿宋" w:cs="仿宋"/>
          <w:spacing w:val="6"/>
          <w:sz w:val="24"/>
        </w:rPr>
        <w:t>_项目采购活动提供本单位制造的货物（由本单位承担工程/提供服务），或者提供其他残疾人福利性单位制造的货物（不包括使用非残疾人福利性单位注册商标的货物）。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仿宋"/>
          <w:spacing w:val="6"/>
          <w:sz w:val="24"/>
        </w:rPr>
      </w:pPr>
      <w:r>
        <w:rPr>
          <w:rFonts w:hint="eastAsia" w:ascii="仿宋" w:hAnsi="仿宋" w:eastAsia="仿宋" w:cs="仿宋"/>
          <w:spacing w:val="6"/>
          <w:sz w:val="24"/>
        </w:rPr>
        <w:t>本单位对上述声明的真实性负责。如有虚假，将依法承担相应责任。</w:t>
      </w:r>
    </w:p>
    <w:p>
      <w:pPr>
        <w:spacing w:line="588" w:lineRule="exact"/>
        <w:rPr>
          <w:rFonts w:ascii="仿宋" w:hAnsi="仿宋" w:eastAsia="仿宋" w:cs="仿宋"/>
          <w:spacing w:val="6"/>
          <w:sz w:val="24"/>
        </w:rPr>
      </w:pPr>
    </w:p>
    <w:p>
      <w:pPr>
        <w:spacing w:line="588" w:lineRule="exact"/>
        <w:rPr>
          <w:rFonts w:ascii="仿宋" w:hAnsi="仿宋" w:eastAsia="仿宋" w:cs="仿宋"/>
          <w:spacing w:val="6"/>
          <w:sz w:val="24"/>
        </w:rPr>
      </w:pPr>
    </w:p>
    <w:p>
      <w:pPr>
        <w:tabs>
          <w:tab w:val="left" w:pos="4860"/>
        </w:tabs>
        <w:spacing w:line="588" w:lineRule="exact"/>
        <w:ind w:right="1560"/>
        <w:rPr>
          <w:rFonts w:ascii="仿宋" w:hAnsi="仿宋" w:eastAsia="仿宋" w:cs="仿宋"/>
          <w:spacing w:val="6"/>
          <w:sz w:val="24"/>
        </w:rPr>
      </w:pPr>
      <w:r>
        <w:rPr>
          <w:rFonts w:hint="eastAsia" w:ascii="仿宋" w:hAnsi="仿宋" w:eastAsia="仿宋" w:cs="仿宋"/>
          <w:spacing w:val="6"/>
          <w:sz w:val="24"/>
        </w:rPr>
        <w:t>单位名称（盖章）：</w:t>
      </w:r>
    </w:p>
    <w:p>
      <w:pPr>
        <w:rPr>
          <w:rFonts w:ascii="仿宋" w:hAnsi="仿宋" w:eastAsia="仿宋" w:cs="仿宋"/>
          <w:spacing w:val="6"/>
          <w:sz w:val="24"/>
        </w:rPr>
      </w:pPr>
      <w:r>
        <w:rPr>
          <w:rFonts w:hint="eastAsia" w:ascii="仿宋" w:hAnsi="仿宋" w:eastAsia="仿宋" w:cs="仿宋"/>
          <w:spacing w:val="6"/>
          <w:sz w:val="24"/>
        </w:rPr>
        <w:t>日  期：</w:t>
      </w:r>
    </w:p>
    <w:p>
      <w:pPr>
        <w:spacing w:line="360" w:lineRule="auto"/>
        <w:rPr>
          <w:rFonts w:ascii="仿宋" w:hAnsi="仿宋" w:eastAsia="仿宋" w:cs="仿宋"/>
          <w:sz w:val="24"/>
        </w:rPr>
      </w:pPr>
    </w:p>
    <w:p>
      <w:pPr>
        <w:spacing w:line="360" w:lineRule="auto"/>
        <w:rPr>
          <w:rFonts w:ascii="仿宋" w:hAnsi="仿宋" w:eastAsia="仿宋" w:cs="仿宋"/>
          <w:sz w:val="24"/>
        </w:rPr>
      </w:pPr>
      <w:r>
        <w:rPr>
          <w:rFonts w:hint="eastAsia" w:ascii="仿宋" w:hAnsi="仿宋" w:eastAsia="仿宋" w:cs="仿宋"/>
          <w:sz w:val="24"/>
        </w:rPr>
        <w:t>注：1、残疾人福利性单位视同小型、微型企业，享受预留份额、评审中价格扣除等促进中小企业发展的政府采购政策。残疾人福利性单位属于小型、微型企业的，不重复享受政策。</w:t>
      </w:r>
    </w:p>
    <w:p>
      <w:pPr>
        <w:spacing w:line="360" w:lineRule="auto"/>
        <w:ind w:firstLine="480" w:firstLineChars="200"/>
        <w:rPr>
          <w:rFonts w:ascii="仿宋" w:hAnsi="仿宋" w:eastAsia="仿宋" w:cs="仿宋"/>
          <w:sz w:val="24"/>
        </w:rPr>
      </w:pPr>
      <w:r>
        <w:rPr>
          <w:rFonts w:hint="eastAsia" w:ascii="仿宋" w:hAnsi="仿宋" w:eastAsia="仿宋" w:cs="仿宋"/>
          <w:sz w:val="24"/>
        </w:rPr>
        <w:t>2、投标人为非残疾人福利性单位的，可不提供此声明。</w:t>
      </w:r>
    </w:p>
    <w:p>
      <w:pPr>
        <w:rPr>
          <w:rFonts w:ascii="仿宋" w:hAnsi="仿宋" w:eastAsia="仿宋" w:cs="仿宋"/>
          <w:spacing w:val="6"/>
          <w:sz w:val="24"/>
        </w:rPr>
      </w:pPr>
    </w:p>
    <w:p>
      <w:pPr>
        <w:widowControl/>
        <w:spacing w:after="0" w:line="240" w:lineRule="auto"/>
        <w:jc w:val="left"/>
        <w:rPr>
          <w:rFonts w:ascii="仿宋" w:hAnsi="仿宋" w:eastAsia="仿宋" w:cs="仿宋"/>
          <w:spacing w:val="6"/>
          <w:sz w:val="24"/>
        </w:rPr>
      </w:pPr>
      <w:r>
        <w:rPr>
          <w:rFonts w:hint="eastAsia" w:ascii="仿宋" w:hAnsi="仿宋" w:eastAsia="仿宋" w:cs="仿宋"/>
          <w:spacing w:val="6"/>
          <w:sz w:val="24"/>
        </w:rPr>
        <w:br w:type="page"/>
      </w:r>
    </w:p>
    <w:p>
      <w:pPr>
        <w:spacing w:line="360" w:lineRule="auto"/>
        <w:rPr>
          <w:rFonts w:ascii="仿宋" w:hAnsi="仿宋" w:eastAsia="仿宋" w:cs="仿宋"/>
          <w:b/>
          <w:sz w:val="32"/>
          <w:szCs w:val="32"/>
        </w:rPr>
      </w:pPr>
      <w:r>
        <w:rPr>
          <w:rFonts w:hint="eastAsia" w:ascii="仿宋" w:hAnsi="仿宋" w:eastAsia="仿宋" w:cs="仿宋"/>
          <w:b/>
          <w:sz w:val="32"/>
          <w:szCs w:val="32"/>
        </w:rPr>
        <w:t>格式2-12</w:t>
      </w:r>
    </w:p>
    <w:p>
      <w:pPr>
        <w:jc w:val="center"/>
        <w:rPr>
          <w:rFonts w:ascii="仿宋" w:hAnsi="仿宋" w:eastAsia="仿宋" w:cs="仿宋"/>
          <w:b/>
          <w:sz w:val="32"/>
          <w:szCs w:val="32"/>
        </w:rPr>
      </w:pPr>
      <w:r>
        <w:rPr>
          <w:rFonts w:hint="eastAsia" w:ascii="仿宋" w:hAnsi="仿宋" w:eastAsia="仿宋" w:cs="仿宋"/>
          <w:b/>
          <w:sz w:val="32"/>
          <w:szCs w:val="32"/>
        </w:rPr>
        <w:t>十一、监狱企业</w:t>
      </w:r>
    </w:p>
    <w:p>
      <w:pPr>
        <w:rPr>
          <w:rFonts w:ascii="仿宋" w:hAnsi="仿宋" w:eastAsia="仿宋" w:cs="仿宋"/>
          <w:b/>
          <w:spacing w:val="6"/>
          <w:sz w:val="24"/>
        </w:rPr>
      </w:pPr>
    </w:p>
    <w:p>
      <w:pPr>
        <w:spacing w:after="0" w:line="360" w:lineRule="auto"/>
        <w:ind w:firstLine="480" w:firstLineChars="200"/>
        <w:jc w:val="left"/>
        <w:rPr>
          <w:rFonts w:ascii="仿宋" w:hAnsi="仿宋" w:eastAsia="仿宋" w:cs="仿宋"/>
          <w:sz w:val="24"/>
        </w:rPr>
      </w:pPr>
      <w:r>
        <w:rPr>
          <w:rFonts w:hint="eastAsia" w:ascii="仿宋" w:hAnsi="仿宋" w:eastAsia="仿宋" w:cs="仿宋"/>
          <w:sz w:val="24"/>
        </w:rPr>
        <w:t>根据《政府采购支持监狱企业发展有关问题的通知》（财库〔2014〕68号）的规定监狱企业参加采购活动的，应提供由省级以上监狱管理局、戒毒管理局(含新疆生产建设兵团)出具的属于监狱企业的证明文件。</w:t>
      </w:r>
    </w:p>
    <w:p>
      <w:pPr>
        <w:spacing w:after="0" w:line="360" w:lineRule="auto"/>
        <w:jc w:val="left"/>
        <w:rPr>
          <w:rFonts w:ascii="仿宋" w:hAnsi="仿宋" w:eastAsia="仿宋" w:cs="仿宋"/>
          <w:sz w:val="24"/>
        </w:rPr>
      </w:pPr>
    </w:p>
    <w:p>
      <w:pPr>
        <w:spacing w:after="0" w:line="360" w:lineRule="auto"/>
        <w:jc w:val="left"/>
        <w:rPr>
          <w:rFonts w:ascii="仿宋" w:hAnsi="仿宋" w:eastAsia="仿宋" w:cs="仿宋"/>
          <w:sz w:val="24"/>
        </w:rPr>
      </w:pPr>
      <w:r>
        <w:rPr>
          <w:rFonts w:hint="eastAsia" w:ascii="仿宋" w:hAnsi="仿宋" w:eastAsia="仿宋" w:cs="仿宋"/>
          <w:sz w:val="24"/>
        </w:rPr>
        <w:t>注：1、投标人符合《政府采购支持监狱企业发展有关问题的通知》（财库〔2014〕68号）规定的划分标准为监狱企业适用。</w:t>
      </w:r>
    </w:p>
    <w:p>
      <w:pPr>
        <w:spacing w:line="300" w:lineRule="exact"/>
        <w:ind w:firstLine="480" w:firstLineChars="200"/>
        <w:rPr>
          <w:rFonts w:ascii="仿宋" w:hAnsi="仿宋" w:eastAsia="仿宋" w:cs="仿宋"/>
          <w:sz w:val="24"/>
        </w:rPr>
        <w:sectPr>
          <w:footerReference r:id="rId7" w:type="default"/>
          <w:pgSz w:w="11906" w:h="16838"/>
          <w:pgMar w:top="1440" w:right="1800" w:bottom="1440" w:left="1800" w:header="851" w:footer="992" w:gutter="0"/>
          <w:cols w:space="720" w:num="1"/>
          <w:docGrid w:type="lines" w:linePitch="312" w:charSpace="0"/>
        </w:sectPr>
      </w:pPr>
      <w:r>
        <w:rPr>
          <w:rFonts w:hint="eastAsia" w:ascii="仿宋" w:hAnsi="仿宋" w:eastAsia="仿宋" w:cs="仿宋"/>
          <w:sz w:val="24"/>
        </w:rPr>
        <w:t>2、在政府采购活动中，监狱企业视同小型、微型企业，享受预留份额、评审中价格扣除等政府采购促进中小企业发展的政府采购政策。</w:t>
      </w:r>
    </w:p>
    <w:p>
      <w:pPr>
        <w:rPr>
          <w:rFonts w:ascii="仿宋" w:hAnsi="仿宋" w:eastAsia="仿宋" w:cs="仿宋"/>
          <w:b/>
          <w:sz w:val="32"/>
          <w:szCs w:val="32"/>
        </w:rPr>
      </w:pPr>
      <w:bookmarkStart w:id="206" w:name="_Toc19927"/>
      <w:r>
        <w:rPr>
          <w:rFonts w:hint="eastAsia" w:ascii="仿宋" w:hAnsi="仿宋" w:eastAsia="仿宋" w:cs="仿宋"/>
          <w:b/>
          <w:sz w:val="32"/>
          <w:szCs w:val="32"/>
        </w:rPr>
        <w:t>格式2-13</w:t>
      </w:r>
    </w:p>
    <w:p>
      <w:pPr>
        <w:ind w:firstLine="1928" w:firstLineChars="600"/>
        <w:rPr>
          <w:rFonts w:ascii="仿宋" w:hAnsi="仿宋" w:eastAsia="仿宋" w:cs="仿宋"/>
          <w:b/>
          <w:sz w:val="32"/>
          <w:szCs w:val="32"/>
        </w:rPr>
      </w:pPr>
      <w:r>
        <w:rPr>
          <w:rFonts w:hint="eastAsia" w:ascii="仿宋" w:hAnsi="仿宋" w:eastAsia="仿宋" w:cs="仿宋"/>
          <w:b/>
          <w:sz w:val="32"/>
          <w:szCs w:val="32"/>
        </w:rPr>
        <w:t>七、其他资料及相关说明等</w:t>
      </w:r>
    </w:p>
    <w:p>
      <w:pPr>
        <w:ind w:firstLine="422" w:firstLineChars="200"/>
        <w:rPr>
          <w:rFonts w:ascii="仿宋" w:hAnsi="仿宋" w:eastAsia="仿宋" w:cs="仿宋"/>
          <w:szCs w:val="21"/>
        </w:rPr>
      </w:pPr>
      <w:r>
        <w:rPr>
          <w:rFonts w:hint="eastAsia" w:ascii="仿宋" w:hAnsi="仿宋" w:eastAsia="仿宋" w:cs="仿宋"/>
          <w:b/>
          <w:szCs w:val="21"/>
        </w:rPr>
        <w:t>对照招标文件关于采购需求与评分规则等具体要求应当提供的其他资料、相关说明等，以及投标人认为可以提供的其他证明资料、相关说明等，格式自拟。</w:t>
      </w:r>
    </w:p>
    <w:p>
      <w:pPr>
        <w:rPr>
          <w:rFonts w:ascii="仿宋" w:hAnsi="仿宋" w:eastAsia="仿宋" w:cs="仿宋"/>
          <w:sz w:val="36"/>
          <w:szCs w:val="36"/>
        </w:rPr>
      </w:pPr>
      <w:r>
        <w:rPr>
          <w:rFonts w:hint="eastAsia" w:ascii="仿宋" w:hAnsi="仿宋" w:eastAsia="仿宋" w:cs="仿宋"/>
          <w:sz w:val="36"/>
          <w:szCs w:val="36"/>
        </w:rPr>
        <w:br w:type="page"/>
      </w:r>
    </w:p>
    <w:p>
      <w:pPr>
        <w:pStyle w:val="3"/>
        <w:jc w:val="center"/>
        <w:rPr>
          <w:rFonts w:ascii="仿宋" w:hAnsi="仿宋" w:eastAsia="仿宋" w:cs="仿宋"/>
          <w:sz w:val="36"/>
          <w:szCs w:val="36"/>
        </w:rPr>
      </w:pPr>
      <w:r>
        <w:rPr>
          <w:rFonts w:hint="eastAsia" w:ascii="仿宋" w:hAnsi="仿宋" w:eastAsia="仿宋" w:cs="仿宋"/>
          <w:sz w:val="36"/>
          <w:szCs w:val="36"/>
        </w:rPr>
        <w:t>第四章  投标人和投标产品的资格、资质性及其他类似效力要求</w:t>
      </w:r>
      <w:bookmarkEnd w:id="205"/>
      <w:bookmarkEnd w:id="206"/>
    </w:p>
    <w:p>
      <w:pPr>
        <w:pStyle w:val="4"/>
        <w:spacing w:line="360" w:lineRule="exact"/>
        <w:ind w:firstLine="482" w:firstLineChars="200"/>
        <w:rPr>
          <w:rFonts w:ascii="仿宋" w:hAnsi="仿宋" w:eastAsia="仿宋" w:cs="仿宋"/>
          <w:sz w:val="24"/>
          <w:szCs w:val="24"/>
        </w:rPr>
      </w:pPr>
      <w:r>
        <w:rPr>
          <w:rFonts w:hint="eastAsia" w:ascii="仿宋" w:hAnsi="仿宋" w:eastAsia="仿宋" w:cs="仿宋"/>
          <w:sz w:val="24"/>
          <w:szCs w:val="24"/>
        </w:rPr>
        <w:t>一、投标人资格、资质性及其他类似效力要求</w:t>
      </w:r>
    </w:p>
    <w:p>
      <w:pPr>
        <w:pStyle w:val="48"/>
        <w:spacing w:line="420" w:lineRule="exact"/>
        <w:ind w:firstLine="482"/>
        <w:rPr>
          <w:rFonts w:ascii="仿宋" w:hAnsi="仿宋" w:eastAsia="仿宋" w:cs="仿宋"/>
          <w:b/>
          <w:bCs/>
          <w:sz w:val="24"/>
        </w:rPr>
      </w:pPr>
      <w:r>
        <w:rPr>
          <w:rFonts w:hint="eastAsia" w:ascii="仿宋" w:hAnsi="仿宋" w:eastAsia="仿宋" w:cs="仿宋"/>
          <w:b/>
          <w:bCs/>
          <w:sz w:val="24"/>
        </w:rPr>
        <w:t>（一）资格要求：</w:t>
      </w:r>
    </w:p>
    <w:p>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1、具备《中华人民共和国政府采购法》第二十二条规定的条件：</w:t>
      </w:r>
    </w:p>
    <w:p>
      <w:pPr>
        <w:pStyle w:val="58"/>
        <w:snapToGrid w:val="0"/>
        <w:ind w:firstLine="480"/>
        <w:rPr>
          <w:rFonts w:ascii="仿宋" w:hAnsi="仿宋" w:eastAsia="仿宋" w:cs="仿宋"/>
        </w:rPr>
      </w:pPr>
      <w:r>
        <w:rPr>
          <w:rFonts w:hint="eastAsia" w:ascii="仿宋" w:hAnsi="仿宋" w:eastAsia="仿宋" w:cs="仿宋"/>
        </w:rPr>
        <w:t>（1）具有独立承担民事责任的能力；</w:t>
      </w:r>
    </w:p>
    <w:p>
      <w:pPr>
        <w:pStyle w:val="58"/>
        <w:snapToGrid w:val="0"/>
        <w:ind w:firstLine="480"/>
        <w:rPr>
          <w:rFonts w:ascii="仿宋" w:hAnsi="仿宋" w:eastAsia="仿宋" w:cs="仿宋"/>
        </w:rPr>
      </w:pPr>
      <w:r>
        <w:rPr>
          <w:rFonts w:hint="eastAsia" w:ascii="仿宋" w:hAnsi="仿宋" w:eastAsia="仿宋" w:cs="仿宋"/>
        </w:rPr>
        <w:t>（2）</w:t>
      </w:r>
      <w:bookmarkStart w:id="207" w:name="_Hlk44425389"/>
      <w:r>
        <w:rPr>
          <w:rFonts w:hint="eastAsia" w:ascii="仿宋" w:hAnsi="仿宋" w:eastAsia="仿宋" w:cs="仿宋"/>
        </w:rPr>
        <w:t>具有良好的商业信誉和健全的财务会计制度</w:t>
      </w:r>
      <w:bookmarkEnd w:id="207"/>
      <w:r>
        <w:rPr>
          <w:rFonts w:hint="eastAsia" w:ascii="仿宋" w:hAnsi="仿宋" w:eastAsia="仿宋" w:cs="仿宋"/>
        </w:rPr>
        <w:t>；</w:t>
      </w:r>
    </w:p>
    <w:p>
      <w:pPr>
        <w:pStyle w:val="58"/>
        <w:snapToGrid w:val="0"/>
        <w:ind w:firstLine="480"/>
        <w:rPr>
          <w:rFonts w:ascii="仿宋" w:hAnsi="仿宋" w:eastAsia="仿宋" w:cs="仿宋"/>
        </w:rPr>
      </w:pPr>
      <w:r>
        <w:rPr>
          <w:rFonts w:hint="eastAsia" w:ascii="仿宋" w:hAnsi="仿宋" w:eastAsia="仿宋" w:cs="仿宋"/>
        </w:rPr>
        <w:t>（3）具有履行合同所必需的设备和专业技术能力；</w:t>
      </w:r>
    </w:p>
    <w:p>
      <w:pPr>
        <w:pStyle w:val="58"/>
        <w:snapToGrid w:val="0"/>
        <w:ind w:firstLine="480"/>
        <w:rPr>
          <w:rFonts w:ascii="仿宋" w:hAnsi="仿宋" w:eastAsia="仿宋" w:cs="仿宋"/>
        </w:rPr>
      </w:pPr>
      <w:r>
        <w:rPr>
          <w:rFonts w:hint="eastAsia" w:ascii="仿宋" w:hAnsi="仿宋" w:eastAsia="仿宋" w:cs="仿宋"/>
        </w:rPr>
        <w:t>（4）有依法缴纳税收和社会保障资金的良好记录；</w:t>
      </w:r>
    </w:p>
    <w:p>
      <w:pPr>
        <w:pStyle w:val="58"/>
        <w:snapToGrid w:val="0"/>
        <w:ind w:firstLine="480"/>
        <w:rPr>
          <w:rFonts w:ascii="仿宋" w:hAnsi="仿宋" w:eastAsia="仿宋" w:cs="仿宋"/>
        </w:rPr>
      </w:pPr>
      <w:r>
        <w:rPr>
          <w:rFonts w:hint="eastAsia" w:ascii="仿宋" w:hAnsi="仿宋" w:eastAsia="仿宋" w:cs="仿宋"/>
        </w:rPr>
        <w:t>（5）参加政府采购活动前三年内，在经营活动中没有重大违法记录；</w:t>
      </w:r>
    </w:p>
    <w:p>
      <w:pPr>
        <w:pStyle w:val="58"/>
        <w:snapToGrid w:val="0"/>
        <w:ind w:firstLine="480"/>
        <w:rPr>
          <w:rFonts w:ascii="仿宋" w:hAnsi="仿宋" w:eastAsia="仿宋" w:cs="仿宋"/>
        </w:rPr>
      </w:pPr>
      <w:r>
        <w:rPr>
          <w:rFonts w:hint="eastAsia" w:ascii="仿宋" w:hAnsi="仿宋" w:eastAsia="仿宋" w:cs="仿宋"/>
        </w:rPr>
        <w:t>（6）法律、行政法规规定的其他条件。</w:t>
      </w:r>
    </w:p>
    <w:p>
      <w:pPr>
        <w:tabs>
          <w:tab w:val="left" w:pos="7665"/>
        </w:tabs>
        <w:spacing w:line="400" w:lineRule="exact"/>
        <w:ind w:firstLine="480" w:firstLineChars="200"/>
        <w:rPr>
          <w:rFonts w:ascii="仿宋" w:hAnsi="仿宋" w:eastAsia="仿宋" w:cs="仿宋"/>
          <w:sz w:val="24"/>
        </w:rPr>
      </w:pPr>
      <w:r>
        <w:rPr>
          <w:rFonts w:hint="eastAsia" w:ascii="仿宋" w:hAnsi="仿宋" w:eastAsia="仿宋" w:cs="仿宋"/>
          <w:sz w:val="24"/>
        </w:rPr>
        <w:t>2、落实政府采购政策需满足的资格要求：无</w:t>
      </w:r>
    </w:p>
    <w:p>
      <w:pPr>
        <w:pStyle w:val="48"/>
        <w:spacing w:line="420" w:lineRule="exact"/>
        <w:ind w:firstLine="482"/>
        <w:rPr>
          <w:rFonts w:ascii="仿宋" w:hAnsi="仿宋" w:eastAsia="仿宋" w:cs="仿宋"/>
          <w:b/>
          <w:bCs/>
          <w:sz w:val="24"/>
        </w:rPr>
      </w:pPr>
      <w:r>
        <w:rPr>
          <w:rFonts w:hint="eastAsia" w:ascii="仿宋" w:hAnsi="仿宋" w:eastAsia="仿宋" w:cs="仿宋"/>
          <w:b/>
          <w:bCs/>
          <w:sz w:val="24"/>
        </w:rPr>
        <w:t>（二）资质性要求：无</w:t>
      </w:r>
    </w:p>
    <w:p>
      <w:pPr>
        <w:pStyle w:val="48"/>
        <w:spacing w:line="420" w:lineRule="exact"/>
        <w:ind w:firstLine="482"/>
        <w:rPr>
          <w:rFonts w:ascii="仿宋" w:hAnsi="仿宋" w:eastAsia="仿宋" w:cs="仿宋"/>
          <w:b/>
          <w:bCs/>
          <w:sz w:val="24"/>
        </w:rPr>
      </w:pPr>
      <w:r>
        <w:rPr>
          <w:rFonts w:hint="eastAsia" w:ascii="仿宋" w:hAnsi="仿宋" w:eastAsia="仿宋" w:cs="仿宋"/>
          <w:b/>
          <w:bCs/>
          <w:sz w:val="24"/>
        </w:rPr>
        <w:t>（三）其他类似效力要求：</w:t>
      </w:r>
    </w:p>
    <w:p>
      <w:pPr>
        <w:pStyle w:val="48"/>
        <w:spacing w:line="420" w:lineRule="exact"/>
        <w:ind w:firstLine="480"/>
        <w:rPr>
          <w:rFonts w:ascii="仿宋" w:hAnsi="仿宋" w:eastAsia="仿宋" w:cs="仿宋"/>
          <w:b/>
          <w:sz w:val="24"/>
        </w:rPr>
      </w:pPr>
      <w:r>
        <w:rPr>
          <w:rFonts w:hint="eastAsia" w:ascii="仿宋" w:hAnsi="仿宋" w:eastAsia="仿宋" w:cs="仿宋"/>
          <w:sz w:val="24"/>
        </w:rPr>
        <w:t>（1）授权参加本次投标活动的供应商代表证明材料</w:t>
      </w:r>
    </w:p>
    <w:p>
      <w:pPr>
        <w:pStyle w:val="4"/>
        <w:spacing w:line="360" w:lineRule="exact"/>
        <w:ind w:firstLine="480" w:firstLineChars="200"/>
        <w:rPr>
          <w:rFonts w:ascii="仿宋" w:hAnsi="仿宋" w:eastAsia="仿宋" w:cs="仿宋"/>
          <w:sz w:val="24"/>
          <w:szCs w:val="24"/>
        </w:rPr>
      </w:pPr>
      <w:r>
        <w:rPr>
          <w:rFonts w:hint="eastAsia" w:ascii="仿宋" w:hAnsi="仿宋" w:eastAsia="仿宋" w:cs="仿宋"/>
          <w:b w:val="0"/>
          <w:bCs w:val="0"/>
          <w:sz w:val="24"/>
          <w:szCs w:val="24"/>
        </w:rPr>
        <w:t>二、</w:t>
      </w:r>
      <w:r>
        <w:rPr>
          <w:rFonts w:hint="eastAsia" w:ascii="仿宋" w:hAnsi="仿宋" w:eastAsia="仿宋" w:cs="仿宋"/>
          <w:sz w:val="24"/>
          <w:szCs w:val="24"/>
        </w:rPr>
        <w:t>投标产品的资格、资质性及其他具有类似效力的要求</w:t>
      </w:r>
    </w:p>
    <w:p>
      <w:pPr>
        <w:ind w:firstLine="482" w:firstLineChars="200"/>
        <w:rPr>
          <w:rFonts w:ascii="仿宋" w:hAnsi="仿宋" w:eastAsia="仿宋" w:cs="仿宋"/>
          <w:b/>
          <w:bCs/>
          <w:sz w:val="24"/>
        </w:rPr>
      </w:pPr>
      <w:r>
        <w:rPr>
          <w:rFonts w:hint="eastAsia" w:ascii="仿宋" w:hAnsi="仿宋" w:eastAsia="仿宋" w:cs="仿宋"/>
          <w:b/>
          <w:bCs/>
          <w:sz w:val="24"/>
        </w:rPr>
        <w:t>（一）资格要求：无</w:t>
      </w:r>
    </w:p>
    <w:p>
      <w:pPr>
        <w:ind w:firstLine="482" w:firstLineChars="200"/>
        <w:rPr>
          <w:rFonts w:ascii="仿宋" w:hAnsi="仿宋" w:eastAsia="仿宋" w:cs="仿宋"/>
          <w:b/>
          <w:bCs/>
          <w:sz w:val="24"/>
        </w:rPr>
      </w:pPr>
      <w:r>
        <w:rPr>
          <w:rFonts w:hint="eastAsia" w:ascii="仿宋" w:hAnsi="仿宋" w:eastAsia="仿宋" w:cs="仿宋"/>
          <w:b/>
          <w:bCs/>
          <w:sz w:val="24"/>
        </w:rPr>
        <w:t>（二）资质性要求：无</w:t>
      </w:r>
    </w:p>
    <w:p>
      <w:pPr>
        <w:ind w:firstLine="482" w:firstLineChars="200"/>
        <w:rPr>
          <w:rFonts w:ascii="仿宋" w:hAnsi="仿宋" w:eastAsia="仿宋" w:cs="仿宋"/>
          <w:b/>
          <w:bCs/>
          <w:sz w:val="24"/>
        </w:rPr>
      </w:pPr>
      <w:r>
        <w:rPr>
          <w:rFonts w:hint="eastAsia" w:ascii="仿宋" w:hAnsi="仿宋" w:eastAsia="仿宋" w:cs="仿宋"/>
          <w:b/>
          <w:bCs/>
          <w:sz w:val="24"/>
        </w:rPr>
        <w:t>（三）其他类似效力要求：无</w:t>
      </w:r>
    </w:p>
    <w:p>
      <w:pPr>
        <w:pStyle w:val="48"/>
        <w:spacing w:line="420" w:lineRule="exact"/>
        <w:ind w:firstLine="482"/>
        <w:rPr>
          <w:rFonts w:ascii="仿宋" w:hAnsi="仿宋" w:eastAsia="仿宋" w:cs="仿宋"/>
          <w:b/>
          <w:sz w:val="24"/>
        </w:rPr>
      </w:pPr>
      <w:r>
        <w:rPr>
          <w:rFonts w:hint="eastAsia" w:ascii="仿宋" w:hAnsi="仿宋" w:eastAsia="仿宋" w:cs="仿宋"/>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pStyle w:val="48"/>
        <w:numPr>
          <w:ilvl w:val="0"/>
          <w:numId w:val="2"/>
        </w:numPr>
        <w:spacing w:line="420" w:lineRule="exact"/>
        <w:ind w:firstLine="482"/>
        <w:rPr>
          <w:rFonts w:ascii="仿宋" w:hAnsi="仿宋" w:eastAsia="仿宋" w:cs="仿宋"/>
          <w:b/>
          <w:sz w:val="24"/>
        </w:rPr>
      </w:pPr>
      <w:r>
        <w:rPr>
          <w:rFonts w:hint="eastAsia" w:ascii="仿宋" w:hAnsi="仿宋" w:eastAsia="仿宋" w:cs="仿宋"/>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3"/>
        <w:jc w:val="center"/>
        <w:rPr>
          <w:rFonts w:ascii="仿宋" w:hAnsi="仿宋" w:eastAsia="仿宋" w:cs="仿宋"/>
          <w:sz w:val="36"/>
          <w:szCs w:val="36"/>
        </w:rPr>
      </w:pPr>
      <w:bookmarkStart w:id="208" w:name="_Toc1588"/>
      <w:r>
        <w:rPr>
          <w:rFonts w:hint="eastAsia" w:ascii="仿宋" w:hAnsi="仿宋" w:eastAsia="仿宋" w:cs="仿宋"/>
          <w:sz w:val="36"/>
          <w:szCs w:val="36"/>
        </w:rPr>
        <w:br w:type="page"/>
      </w:r>
      <w:bookmarkStart w:id="209" w:name="_Toc8782"/>
      <w:r>
        <w:rPr>
          <w:rFonts w:hint="eastAsia" w:ascii="仿宋" w:hAnsi="仿宋" w:eastAsia="仿宋" w:cs="仿宋"/>
          <w:sz w:val="36"/>
          <w:szCs w:val="36"/>
        </w:rPr>
        <w:t>第五章  投标人应当提供的资格、资质性及其他类似效力要求的相关证明材料</w:t>
      </w:r>
      <w:bookmarkEnd w:id="208"/>
      <w:bookmarkEnd w:id="209"/>
    </w:p>
    <w:p>
      <w:pPr>
        <w:rPr>
          <w:rFonts w:ascii="仿宋" w:hAnsi="仿宋" w:eastAsia="仿宋" w:cs="仿宋"/>
        </w:rPr>
      </w:pPr>
    </w:p>
    <w:p>
      <w:pPr>
        <w:pStyle w:val="4"/>
        <w:spacing w:line="360" w:lineRule="exact"/>
        <w:ind w:firstLine="482" w:firstLineChars="200"/>
        <w:rPr>
          <w:rFonts w:ascii="仿宋" w:hAnsi="仿宋" w:eastAsia="仿宋" w:cs="仿宋"/>
          <w:sz w:val="24"/>
          <w:szCs w:val="24"/>
        </w:rPr>
      </w:pPr>
      <w:r>
        <w:rPr>
          <w:rFonts w:hint="eastAsia" w:ascii="仿宋" w:hAnsi="仿宋" w:eastAsia="仿宋" w:cs="仿宋"/>
          <w:sz w:val="24"/>
          <w:szCs w:val="24"/>
        </w:rPr>
        <w:t>一、应当提供的投标人资格、资质性及其他类似效力要求的相关证明材料</w:t>
      </w:r>
    </w:p>
    <w:p>
      <w:pPr>
        <w:ind w:firstLine="482" w:firstLineChars="200"/>
        <w:rPr>
          <w:rFonts w:ascii="仿宋" w:hAnsi="仿宋" w:eastAsia="仿宋" w:cs="仿宋"/>
          <w:b/>
          <w:bCs/>
          <w:sz w:val="24"/>
        </w:rPr>
      </w:pPr>
      <w:r>
        <w:rPr>
          <w:rFonts w:hint="eastAsia" w:ascii="仿宋" w:hAnsi="仿宋" w:eastAsia="仿宋" w:cs="仿宋"/>
          <w:b/>
          <w:bCs/>
          <w:sz w:val="24"/>
        </w:rPr>
        <w:t>（一）资格要求相关证明材料：</w:t>
      </w:r>
    </w:p>
    <w:p>
      <w:pPr>
        <w:pStyle w:val="48"/>
        <w:spacing w:line="420" w:lineRule="exact"/>
        <w:ind w:firstLine="480"/>
        <w:rPr>
          <w:rFonts w:ascii="仿宋" w:hAnsi="仿宋" w:eastAsia="仿宋" w:cs="仿宋"/>
          <w:sz w:val="24"/>
        </w:rPr>
      </w:pPr>
      <w:r>
        <w:rPr>
          <w:rFonts w:hint="eastAsia" w:ascii="仿宋" w:hAnsi="仿宋" w:eastAsia="仿宋" w:cs="仿宋"/>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pStyle w:val="48"/>
        <w:spacing w:line="420" w:lineRule="exact"/>
        <w:ind w:firstLine="480"/>
        <w:rPr>
          <w:rFonts w:ascii="仿宋" w:hAnsi="仿宋" w:eastAsia="仿宋" w:cs="仿宋"/>
          <w:sz w:val="24"/>
        </w:rPr>
      </w:pPr>
      <w:r>
        <w:rPr>
          <w:rFonts w:hint="eastAsia" w:ascii="仿宋" w:hAnsi="仿宋" w:eastAsia="仿宋" w:cs="仿宋"/>
          <w:sz w:val="24"/>
        </w:rPr>
        <w:t>2、具备良好商业信誉的证明材料（可提供承诺函，格式详见第三章）；</w:t>
      </w:r>
    </w:p>
    <w:p>
      <w:pPr>
        <w:pStyle w:val="48"/>
        <w:spacing w:line="420" w:lineRule="exact"/>
        <w:ind w:firstLine="480"/>
        <w:rPr>
          <w:rFonts w:ascii="仿宋" w:hAnsi="仿宋" w:eastAsia="仿宋" w:cs="仿宋"/>
          <w:sz w:val="24"/>
        </w:rPr>
      </w:pPr>
      <w:r>
        <w:rPr>
          <w:rFonts w:hint="eastAsia" w:ascii="仿宋" w:hAnsi="仿宋" w:eastAsia="仿宋" w:cs="仿宋"/>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部门印章的公司章程复印件。｝</w:t>
      </w:r>
    </w:p>
    <w:p>
      <w:pPr>
        <w:pStyle w:val="48"/>
        <w:spacing w:line="420" w:lineRule="exact"/>
        <w:ind w:firstLine="480"/>
        <w:rPr>
          <w:rFonts w:ascii="仿宋" w:hAnsi="仿宋" w:eastAsia="仿宋" w:cs="仿宋"/>
          <w:sz w:val="24"/>
        </w:rPr>
      </w:pPr>
      <w:r>
        <w:rPr>
          <w:rFonts w:hint="eastAsia" w:ascii="仿宋" w:hAnsi="仿宋" w:eastAsia="仿宋" w:cs="仿宋"/>
          <w:sz w:val="24"/>
        </w:rPr>
        <w:t>4、具有依法缴纳税收和社会保障资金的良好记录（可提供承诺函，格式详见第三章）；</w:t>
      </w:r>
    </w:p>
    <w:p>
      <w:pPr>
        <w:pStyle w:val="48"/>
        <w:spacing w:line="420" w:lineRule="exact"/>
        <w:ind w:firstLine="480"/>
        <w:rPr>
          <w:rFonts w:ascii="仿宋" w:hAnsi="仿宋" w:eastAsia="仿宋" w:cs="仿宋"/>
          <w:sz w:val="24"/>
        </w:rPr>
      </w:pPr>
      <w:r>
        <w:rPr>
          <w:rFonts w:hint="eastAsia" w:ascii="仿宋" w:hAnsi="仿宋" w:eastAsia="仿宋" w:cs="仿宋"/>
          <w:sz w:val="24"/>
        </w:rPr>
        <w:t>5、具备履行合同所必需的设备和专业技术能力的证明材料（可提供承诺函，格式详见第三章）；</w:t>
      </w:r>
    </w:p>
    <w:p>
      <w:pPr>
        <w:pStyle w:val="48"/>
        <w:spacing w:line="420" w:lineRule="exact"/>
        <w:ind w:firstLine="480"/>
        <w:rPr>
          <w:rFonts w:ascii="仿宋" w:hAnsi="仿宋" w:eastAsia="仿宋" w:cs="仿宋"/>
          <w:sz w:val="24"/>
        </w:rPr>
      </w:pPr>
      <w:r>
        <w:rPr>
          <w:rFonts w:hint="eastAsia" w:ascii="仿宋" w:hAnsi="仿宋" w:eastAsia="仿宋" w:cs="仿宋"/>
          <w:sz w:val="24"/>
        </w:rPr>
        <w:t>6、参加政府采购活动前3年内在经营活动中没有重大违法记录的承诺函（格式详见第三章）；</w:t>
      </w:r>
    </w:p>
    <w:p>
      <w:pPr>
        <w:pStyle w:val="48"/>
        <w:spacing w:line="420" w:lineRule="exact"/>
        <w:ind w:firstLine="480"/>
        <w:rPr>
          <w:rFonts w:ascii="仿宋" w:hAnsi="仿宋" w:eastAsia="仿宋" w:cs="仿宋"/>
          <w:sz w:val="24"/>
        </w:rPr>
      </w:pPr>
      <w:r>
        <w:rPr>
          <w:rFonts w:hint="eastAsia" w:ascii="仿宋" w:hAnsi="仿宋" w:eastAsia="仿宋" w:cs="仿宋"/>
          <w:sz w:val="24"/>
        </w:rPr>
        <w:t>7、具备法律、行政法规规定的其他条件的证明材料（可提供承诺函，格式详见第三章）；</w:t>
      </w:r>
    </w:p>
    <w:p>
      <w:pPr>
        <w:pStyle w:val="48"/>
        <w:spacing w:line="420" w:lineRule="exact"/>
        <w:ind w:firstLine="480"/>
        <w:rPr>
          <w:rFonts w:ascii="仿宋" w:hAnsi="仿宋" w:eastAsia="仿宋" w:cs="仿宋"/>
          <w:sz w:val="24"/>
        </w:rPr>
      </w:pPr>
      <w:r>
        <w:rPr>
          <w:rFonts w:hint="eastAsia" w:ascii="仿宋" w:hAnsi="仿宋" w:eastAsia="仿宋" w:cs="仿宋"/>
          <w:sz w:val="24"/>
        </w:rPr>
        <w:t>8、落实政府采购政策需满足的资格要求：无</w:t>
      </w:r>
    </w:p>
    <w:p>
      <w:pPr>
        <w:pStyle w:val="48"/>
        <w:spacing w:line="420" w:lineRule="exact"/>
        <w:ind w:firstLine="482"/>
        <w:rPr>
          <w:rFonts w:ascii="仿宋" w:hAnsi="仿宋" w:eastAsia="仿宋" w:cs="仿宋"/>
          <w:b/>
          <w:bCs/>
          <w:sz w:val="24"/>
        </w:rPr>
      </w:pPr>
      <w:r>
        <w:rPr>
          <w:rFonts w:hint="eastAsia" w:ascii="仿宋" w:hAnsi="仿宋" w:eastAsia="仿宋" w:cs="仿宋"/>
          <w:b/>
          <w:bCs/>
          <w:sz w:val="24"/>
        </w:rPr>
        <w:t>（二）资质性要求相关证明材料：无</w:t>
      </w:r>
    </w:p>
    <w:p>
      <w:pPr>
        <w:ind w:firstLine="482" w:firstLineChars="200"/>
        <w:rPr>
          <w:rFonts w:ascii="仿宋" w:hAnsi="仿宋" w:eastAsia="仿宋" w:cs="仿宋"/>
          <w:b/>
          <w:bCs/>
          <w:sz w:val="24"/>
        </w:rPr>
      </w:pPr>
      <w:r>
        <w:rPr>
          <w:rFonts w:hint="eastAsia" w:ascii="仿宋" w:hAnsi="仿宋" w:eastAsia="仿宋" w:cs="仿宋"/>
          <w:b/>
          <w:bCs/>
          <w:sz w:val="24"/>
        </w:rPr>
        <w:t>（三）其他类似效力要求相关证明材料：</w:t>
      </w:r>
    </w:p>
    <w:p>
      <w:pPr>
        <w:ind w:firstLine="480" w:firstLineChars="200"/>
        <w:rPr>
          <w:rFonts w:ascii="仿宋" w:hAnsi="仿宋" w:eastAsia="仿宋" w:cs="仿宋"/>
          <w:sz w:val="24"/>
        </w:rPr>
      </w:pPr>
      <w:r>
        <w:rPr>
          <w:rFonts w:hint="eastAsia" w:ascii="仿宋" w:hAnsi="仿宋" w:eastAsia="仿宋" w:cs="仿宋"/>
          <w:sz w:val="24"/>
        </w:rPr>
        <w:t>（1）法定代表人/单位负责人身份证明材料复印件。</w:t>
      </w:r>
    </w:p>
    <w:p>
      <w:pPr>
        <w:ind w:firstLine="480" w:firstLineChars="200"/>
        <w:rPr>
          <w:rFonts w:ascii="仿宋" w:hAnsi="仿宋" w:eastAsia="仿宋" w:cs="仿宋"/>
          <w:sz w:val="24"/>
        </w:rPr>
      </w:pPr>
      <w:r>
        <w:rPr>
          <w:rFonts w:hint="eastAsia" w:ascii="仿宋" w:hAnsi="仿宋" w:eastAsia="仿宋" w:cs="仿宋"/>
          <w:sz w:val="24"/>
        </w:rPr>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pPr>
        <w:pStyle w:val="4"/>
        <w:spacing w:line="360" w:lineRule="exact"/>
        <w:ind w:firstLine="480" w:firstLineChars="200"/>
        <w:rPr>
          <w:rFonts w:ascii="仿宋" w:hAnsi="仿宋" w:eastAsia="仿宋" w:cs="仿宋"/>
          <w:sz w:val="24"/>
          <w:szCs w:val="24"/>
        </w:rPr>
      </w:pPr>
      <w:r>
        <w:rPr>
          <w:rFonts w:hint="eastAsia" w:ascii="仿宋" w:hAnsi="仿宋" w:eastAsia="仿宋" w:cs="仿宋"/>
          <w:b w:val="0"/>
          <w:bCs w:val="0"/>
          <w:sz w:val="24"/>
          <w:szCs w:val="24"/>
        </w:rPr>
        <w:t>二、</w:t>
      </w:r>
      <w:r>
        <w:rPr>
          <w:rFonts w:hint="eastAsia" w:ascii="仿宋" w:hAnsi="仿宋" w:eastAsia="仿宋" w:cs="仿宋"/>
          <w:sz w:val="24"/>
          <w:szCs w:val="24"/>
        </w:rPr>
        <w:t>应当提供的投标产品的资格、资质性及其他具有类似效力的要求的相关证明材料</w:t>
      </w:r>
    </w:p>
    <w:p>
      <w:pPr>
        <w:ind w:firstLine="482" w:firstLineChars="200"/>
        <w:rPr>
          <w:rFonts w:ascii="仿宋" w:hAnsi="仿宋" w:eastAsia="仿宋" w:cs="仿宋"/>
          <w:sz w:val="24"/>
        </w:rPr>
      </w:pPr>
      <w:r>
        <w:rPr>
          <w:rFonts w:hint="eastAsia" w:ascii="仿宋" w:hAnsi="仿宋" w:eastAsia="仿宋" w:cs="仿宋"/>
          <w:b/>
          <w:bCs/>
          <w:sz w:val="24"/>
        </w:rPr>
        <w:t>（一）资格要求相关证明材料：无</w:t>
      </w:r>
    </w:p>
    <w:p>
      <w:pPr>
        <w:ind w:firstLine="482" w:firstLineChars="200"/>
        <w:rPr>
          <w:rFonts w:ascii="仿宋" w:hAnsi="仿宋" w:eastAsia="仿宋" w:cs="仿宋"/>
          <w:b/>
          <w:bCs/>
          <w:sz w:val="24"/>
        </w:rPr>
      </w:pPr>
      <w:r>
        <w:rPr>
          <w:rFonts w:hint="eastAsia" w:ascii="仿宋" w:hAnsi="仿宋" w:eastAsia="仿宋" w:cs="仿宋"/>
          <w:b/>
          <w:bCs/>
          <w:sz w:val="24"/>
        </w:rPr>
        <w:t>（二）资质性要求相关证明材料：无</w:t>
      </w:r>
    </w:p>
    <w:p>
      <w:pPr>
        <w:ind w:firstLine="482" w:firstLineChars="200"/>
        <w:rPr>
          <w:rFonts w:ascii="仿宋" w:hAnsi="仿宋" w:eastAsia="仿宋" w:cs="仿宋"/>
          <w:b/>
          <w:bCs/>
          <w:sz w:val="24"/>
        </w:rPr>
      </w:pPr>
      <w:r>
        <w:rPr>
          <w:rFonts w:hint="eastAsia" w:ascii="仿宋" w:hAnsi="仿宋" w:eastAsia="仿宋" w:cs="仿宋"/>
          <w:b/>
          <w:bCs/>
          <w:sz w:val="24"/>
        </w:rPr>
        <w:t>（三）其他类似效力要求相关证明材料：无</w:t>
      </w:r>
    </w:p>
    <w:p>
      <w:pPr>
        <w:ind w:firstLine="420" w:firstLineChars="200"/>
        <w:rPr>
          <w:rFonts w:ascii="仿宋" w:hAnsi="仿宋" w:eastAsia="仿宋" w:cs="仿宋"/>
        </w:rPr>
      </w:pPr>
    </w:p>
    <w:p>
      <w:pPr>
        <w:spacing w:line="360" w:lineRule="auto"/>
        <w:ind w:firstLine="482" w:firstLineChars="200"/>
        <w:rPr>
          <w:rFonts w:ascii="仿宋" w:hAnsi="仿宋" w:eastAsia="仿宋" w:cs="仿宋"/>
          <w:b/>
          <w:kern w:val="0"/>
          <w:sz w:val="24"/>
        </w:rPr>
      </w:pPr>
      <w:r>
        <w:rPr>
          <w:rFonts w:hint="eastAsia" w:ascii="仿宋" w:hAnsi="仿宋" w:eastAsia="仿宋" w:cs="仿宋"/>
          <w:b/>
          <w:bCs/>
          <w:sz w:val="24"/>
        </w:rPr>
        <w:t>注：</w:t>
      </w:r>
      <w:bookmarkStart w:id="210" w:name="_Toc217446093"/>
      <w:r>
        <w:rPr>
          <w:rFonts w:hint="eastAsia" w:ascii="仿宋" w:hAnsi="仿宋" w:eastAsia="仿宋" w:cs="仿宋"/>
          <w:b/>
          <w:kern w:val="0"/>
          <w:sz w:val="24"/>
        </w:rPr>
        <w:t>1、以上要求的资料复印件均须加盖投标单位的公章（鲜章）。</w:t>
      </w:r>
    </w:p>
    <w:p>
      <w:pPr>
        <w:ind w:firstLine="482" w:firstLineChars="200"/>
        <w:rPr>
          <w:rFonts w:ascii="仿宋" w:hAnsi="仿宋" w:eastAsia="仿宋" w:cs="仿宋"/>
          <w:b/>
          <w:kern w:val="0"/>
          <w:sz w:val="24"/>
        </w:rPr>
      </w:pPr>
      <w:r>
        <w:rPr>
          <w:rFonts w:hint="eastAsia" w:ascii="仿宋" w:hAnsi="仿宋" w:eastAsia="仿宋" w:cs="仿宋"/>
          <w:b/>
          <w:kern w:val="0"/>
          <w:sz w:val="24"/>
        </w:rPr>
        <w:t xml:space="preserve">2、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p>
      <w:pPr>
        <w:spacing w:line="360" w:lineRule="auto"/>
        <w:rPr>
          <w:rFonts w:ascii="仿宋" w:hAnsi="仿宋" w:eastAsia="仿宋" w:cs="仿宋"/>
          <w:sz w:val="36"/>
          <w:szCs w:val="36"/>
        </w:rPr>
        <w:sectPr>
          <w:pgSz w:w="11906" w:h="16838"/>
          <w:pgMar w:top="1440" w:right="1800" w:bottom="1440" w:left="1800" w:header="851" w:footer="992" w:gutter="0"/>
          <w:cols w:space="720" w:num="1"/>
          <w:docGrid w:type="lines" w:linePitch="312" w:charSpace="0"/>
        </w:sectPr>
      </w:pPr>
    </w:p>
    <w:p>
      <w:pPr>
        <w:pStyle w:val="3"/>
        <w:jc w:val="center"/>
        <w:rPr>
          <w:rFonts w:ascii="仿宋" w:hAnsi="仿宋" w:eastAsia="仿宋" w:cs="仿宋"/>
          <w:sz w:val="36"/>
          <w:szCs w:val="36"/>
        </w:rPr>
      </w:pPr>
      <w:bookmarkStart w:id="211" w:name="_Toc23651"/>
      <w:r>
        <w:rPr>
          <w:rFonts w:hint="eastAsia" w:ascii="仿宋" w:hAnsi="仿宋" w:eastAsia="仿宋" w:cs="仿宋"/>
          <w:sz w:val="36"/>
          <w:szCs w:val="36"/>
        </w:rPr>
        <w:t>第六章  招标项目技术、服务、政府采购合同内容条款及其他商务要求</w:t>
      </w:r>
      <w:bookmarkEnd w:id="210"/>
      <w:bookmarkEnd w:id="211"/>
      <w:bookmarkStart w:id="212" w:name="_Toc24786"/>
    </w:p>
    <w:p>
      <w:pPr>
        <w:adjustRightInd w:val="0"/>
        <w:snapToGrid w:val="0"/>
        <w:spacing w:line="360" w:lineRule="auto"/>
        <w:ind w:firstLine="472" w:firstLineChars="196"/>
        <w:rPr>
          <w:rFonts w:ascii="仿宋" w:hAnsi="仿宋" w:eastAsia="仿宋" w:cs="仿宋"/>
          <w:sz w:val="24"/>
        </w:rPr>
      </w:pPr>
      <w:r>
        <w:rPr>
          <w:rFonts w:hint="eastAsia" w:ascii="仿宋" w:hAnsi="仿宋" w:eastAsia="仿宋" w:cs="仿宋"/>
          <w:b/>
          <w:sz w:val="24"/>
        </w:rPr>
        <w:t>一、项目概况</w:t>
      </w:r>
    </w:p>
    <w:p>
      <w:pPr>
        <w:spacing w:line="500" w:lineRule="exact"/>
        <w:ind w:firstLine="480" w:firstLineChars="200"/>
        <w:jc w:val="left"/>
        <w:rPr>
          <w:rFonts w:ascii="仿宋" w:hAnsi="仿宋" w:eastAsia="仿宋" w:cs="仿宋"/>
          <w:bCs/>
          <w:sz w:val="24"/>
        </w:rPr>
      </w:pPr>
      <w:r>
        <w:rPr>
          <w:rFonts w:hint="eastAsia" w:ascii="仿宋" w:hAnsi="仿宋" w:eastAsia="仿宋" w:cs="仿宋"/>
          <w:bCs/>
          <w:sz w:val="24"/>
        </w:rPr>
        <w:t>1、基本概况</w:t>
      </w:r>
    </w:p>
    <w:p>
      <w:pPr>
        <w:spacing w:line="500" w:lineRule="exact"/>
        <w:ind w:firstLine="480" w:firstLineChars="200"/>
        <w:jc w:val="left"/>
        <w:rPr>
          <w:rFonts w:ascii="仿宋" w:hAnsi="仿宋" w:eastAsia="仿宋" w:cs="仿宋"/>
          <w:sz w:val="24"/>
        </w:rPr>
      </w:pPr>
      <w:r>
        <w:rPr>
          <w:rFonts w:hint="eastAsia" w:ascii="仿宋" w:hAnsi="仿宋" w:eastAsia="仿宋" w:cs="仿宋"/>
          <w:sz w:val="24"/>
        </w:rPr>
        <w:t>本次采购项目为成都市双流区环境卫生管理所东升和西航港垃圾压缩站垃圾渗滤液及冲洗废水无害化处理采购项目，服务期限为自签订合同之日起3年。本次采购一个包件。包件内容为东升垃圾压缩站垃圾渗滤液及冲洗废水无害化处理项目，日处理量为100吨；西航港垃圾压缩站垃圾渗滤液及冲洗废水无害化处理项目，日处理量为100吨；合计日处理量为200吨，最低日处理量为120吨。</w:t>
      </w:r>
    </w:p>
    <w:p>
      <w:pPr>
        <w:adjustRightInd w:val="0"/>
        <w:snapToGrid w:val="0"/>
        <w:spacing w:line="500" w:lineRule="exact"/>
        <w:ind w:firstLine="480" w:firstLineChars="200"/>
        <w:rPr>
          <w:rFonts w:ascii="仿宋" w:hAnsi="仿宋" w:eastAsia="仿宋" w:cs="仿宋"/>
          <w:sz w:val="24"/>
        </w:rPr>
      </w:pPr>
      <w:r>
        <w:rPr>
          <w:rFonts w:hint="eastAsia" w:ascii="仿宋" w:hAnsi="仿宋" w:eastAsia="仿宋" w:cs="仿宋"/>
          <w:sz w:val="24"/>
        </w:rPr>
        <w:t>项目地点：东升垃圾压缩站垃圾渗滤液及冲洗废水无害化处理项目位于成都市双流区牧华路一段。西航港垃圾压缩站垃圾渗滤液及冲洗废水无害化处理项目位于成都市双流区怡心街道长顺路二段310号。</w:t>
      </w:r>
    </w:p>
    <w:p>
      <w:pPr>
        <w:spacing w:line="500" w:lineRule="exact"/>
        <w:ind w:firstLine="480" w:firstLineChars="200"/>
        <w:jc w:val="left"/>
        <w:rPr>
          <w:rFonts w:ascii="仿宋" w:hAnsi="仿宋" w:eastAsia="仿宋" w:cs="仿宋"/>
          <w:bCs/>
          <w:sz w:val="24"/>
        </w:rPr>
      </w:pPr>
      <w:r>
        <w:rPr>
          <w:rFonts w:hint="eastAsia" w:ascii="仿宋" w:hAnsi="仿宋" w:eastAsia="仿宋" w:cs="仿宋"/>
          <w:bCs/>
          <w:sz w:val="24"/>
        </w:rPr>
        <w:t>2、项目背景</w:t>
      </w:r>
    </w:p>
    <w:p>
      <w:pPr>
        <w:spacing w:line="500" w:lineRule="exact"/>
        <w:ind w:firstLine="480" w:firstLineChars="200"/>
        <w:jc w:val="left"/>
        <w:rPr>
          <w:rFonts w:ascii="仿宋" w:hAnsi="仿宋" w:eastAsia="仿宋" w:cs="仿宋"/>
          <w:sz w:val="24"/>
        </w:rPr>
      </w:pPr>
      <w:r>
        <w:rPr>
          <w:rFonts w:hint="eastAsia" w:ascii="仿宋" w:hAnsi="仿宋" w:eastAsia="仿宋" w:cs="仿宋"/>
          <w:sz w:val="24"/>
        </w:rPr>
        <w:t>2018年7月成都市双流区环境卫生管理所通过公开招标方式引入第三方服务对东升和西航港压缩站垃圾渗滤液和冲洗废水进行无害化处理达标后外排市政管网，该项目日处理量为120吨，在西航港压缩站建设污水处置设备一套，每天由我所的洒水车将东升压缩站的污水运往西航港压缩站一并处置。该项目服务期即将到期，同时结合工作实际，2020年11月各镇街道的生活垃圾全部运往环卫所进行压缩后在运往终端垃圾焚烧厂，因此压缩站垃圾压缩量增加了两倍，垃圾渗滤液和冲洗废水成倍增长。为了避免运输环节的滴漏风险，我所决定在东升和西航港压缩站各建一套污水处理设备，东升站外无污水管网，因此东升压缩站的污水处理达标后由中标供应商运往西航港垃圾压缩站排入市政管网。</w:t>
      </w:r>
    </w:p>
    <w:p>
      <w:pPr>
        <w:pStyle w:val="4"/>
        <w:keepNext w:val="0"/>
        <w:autoSpaceDE w:val="0"/>
        <w:autoSpaceDN w:val="0"/>
        <w:adjustRightInd w:val="0"/>
        <w:snapToGrid w:val="0"/>
        <w:spacing w:beforeLines="50" w:afterLines="50" w:line="500" w:lineRule="exact"/>
        <w:ind w:firstLine="480" w:firstLineChars="200"/>
        <w:jc w:val="left"/>
        <w:rPr>
          <w:rFonts w:ascii="仿宋" w:hAnsi="仿宋" w:eastAsia="仿宋" w:cs="仿宋"/>
          <w:b w:val="0"/>
          <w:sz w:val="24"/>
          <w:szCs w:val="24"/>
        </w:rPr>
      </w:pPr>
      <w:bookmarkStart w:id="213" w:name="_Toc53428673"/>
      <w:r>
        <w:rPr>
          <w:rFonts w:hint="eastAsia" w:ascii="仿宋" w:hAnsi="仿宋" w:eastAsia="仿宋" w:cs="仿宋"/>
          <w:b w:val="0"/>
          <w:sz w:val="24"/>
          <w:szCs w:val="24"/>
        </w:rPr>
        <w:t>3、污水进水水质</w:t>
      </w:r>
      <w:bookmarkEnd w:id="213"/>
    </w:p>
    <w:p>
      <w:pPr>
        <w:spacing w:line="500" w:lineRule="exact"/>
        <w:ind w:firstLine="480" w:firstLineChars="200"/>
        <w:jc w:val="left"/>
        <w:rPr>
          <w:rFonts w:ascii="仿宋" w:hAnsi="仿宋" w:eastAsia="仿宋" w:cs="仿宋"/>
          <w:sz w:val="24"/>
        </w:rPr>
      </w:pPr>
      <w:r>
        <w:rPr>
          <w:rFonts w:hint="eastAsia" w:ascii="仿宋" w:hAnsi="仿宋" w:eastAsia="仿宋" w:cs="仿宋"/>
          <w:sz w:val="24"/>
        </w:rPr>
        <w:t>经前期监测，压缩站垃圾渗滤液进水浓度为表2-1。</w:t>
      </w:r>
    </w:p>
    <w:p>
      <w:pPr>
        <w:pStyle w:val="61"/>
        <w:rPr>
          <w:rFonts w:ascii="仿宋" w:hAnsi="仿宋" w:eastAsia="仿宋" w:cs="仿宋"/>
          <w:sz w:val="24"/>
        </w:rPr>
      </w:pPr>
      <w:r>
        <w:rPr>
          <w:rFonts w:hint="eastAsia" w:ascii="仿宋" w:hAnsi="仿宋" w:eastAsia="仿宋" w:cs="仿宋"/>
          <w:sz w:val="24"/>
        </w:rPr>
        <w:t>表2-1 进水水质指标</w:t>
      </w:r>
    </w:p>
    <w:tbl>
      <w:tblPr>
        <w:tblStyle w:val="29"/>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910"/>
        <w:gridCol w:w="2612"/>
        <w:gridCol w:w="281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11" w:type="pct"/>
            <w:noWrap/>
            <w:tcMar>
              <w:top w:w="15" w:type="dxa"/>
              <w:left w:w="15" w:type="dxa"/>
              <w:right w:w="15" w:type="dxa"/>
            </w:tcMar>
            <w:vAlign w:val="center"/>
          </w:tcPr>
          <w:p>
            <w:pPr>
              <w:widowControl/>
              <w:jc w:val="center"/>
              <w:textAlignment w:val="center"/>
              <w:rPr>
                <w:rFonts w:ascii="仿宋" w:hAnsi="仿宋" w:eastAsia="仿宋" w:cs="仿宋"/>
                <w:b/>
                <w:sz w:val="24"/>
              </w:rPr>
            </w:pPr>
            <w:r>
              <w:rPr>
                <w:rFonts w:hint="eastAsia" w:ascii="仿宋" w:hAnsi="仿宋" w:eastAsia="仿宋" w:cs="仿宋"/>
                <w:b/>
                <w:kern w:val="0"/>
                <w:sz w:val="24"/>
              </w:rPr>
              <w:t>项目</w:t>
            </w:r>
          </w:p>
        </w:tc>
        <w:tc>
          <w:tcPr>
            <w:tcW w:w="1884" w:type="pct"/>
            <w:noWrap/>
            <w:tcMar>
              <w:top w:w="15" w:type="dxa"/>
              <w:left w:w="15" w:type="dxa"/>
              <w:right w:w="15" w:type="dxa"/>
            </w:tcMar>
            <w:vAlign w:val="center"/>
          </w:tcPr>
          <w:p>
            <w:pPr>
              <w:widowControl/>
              <w:jc w:val="center"/>
              <w:textAlignment w:val="center"/>
              <w:rPr>
                <w:rFonts w:ascii="仿宋" w:hAnsi="仿宋" w:eastAsia="仿宋" w:cs="仿宋"/>
                <w:b/>
                <w:sz w:val="24"/>
              </w:rPr>
            </w:pPr>
            <w:r>
              <w:rPr>
                <w:rFonts w:hint="eastAsia" w:ascii="仿宋" w:hAnsi="仿宋" w:eastAsia="仿宋" w:cs="仿宋"/>
                <w:b/>
                <w:kern w:val="0"/>
                <w:sz w:val="24"/>
              </w:rPr>
              <w:t>指标</w:t>
            </w:r>
          </w:p>
        </w:tc>
        <w:tc>
          <w:tcPr>
            <w:tcW w:w="2003" w:type="pct"/>
            <w:noWrap/>
            <w:tcMar>
              <w:top w:w="15" w:type="dxa"/>
              <w:left w:w="15" w:type="dxa"/>
              <w:right w:w="15" w:type="dxa"/>
            </w:tcMar>
            <w:vAlign w:val="center"/>
          </w:tcPr>
          <w:p>
            <w:pPr>
              <w:widowControl/>
              <w:jc w:val="center"/>
              <w:textAlignment w:val="center"/>
              <w:rPr>
                <w:rFonts w:ascii="仿宋" w:hAnsi="仿宋" w:eastAsia="仿宋" w:cs="仿宋"/>
                <w:b/>
                <w:sz w:val="24"/>
              </w:rPr>
            </w:pPr>
            <w:r>
              <w:rPr>
                <w:rFonts w:hint="eastAsia" w:ascii="仿宋" w:hAnsi="仿宋" w:eastAsia="仿宋" w:cs="仿宋"/>
                <w:b/>
                <w:kern w:val="0"/>
                <w:sz w:val="24"/>
              </w:rPr>
              <w:t>设计进水浓度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11" w:type="pct"/>
            <w:vMerge w:val="restart"/>
            <w:noWrap/>
            <w:tcMar>
              <w:top w:w="15" w:type="dxa"/>
              <w:left w:w="15" w:type="dxa"/>
              <w:right w:w="15" w:type="dxa"/>
            </w:tcMar>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rPr>
              <w:t>中转站垃圾渗滤液处理项目</w:t>
            </w:r>
          </w:p>
        </w:tc>
        <w:tc>
          <w:tcPr>
            <w:tcW w:w="1884" w:type="pct"/>
            <w:noWrap/>
            <w:tcMar>
              <w:top w:w="15" w:type="dxa"/>
              <w:left w:w="15" w:type="dxa"/>
              <w:right w:w="15" w:type="dxa"/>
            </w:tcMar>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rPr>
              <w:t>CODcr(mg/L)</w:t>
            </w:r>
          </w:p>
        </w:tc>
        <w:tc>
          <w:tcPr>
            <w:tcW w:w="2003" w:type="pct"/>
            <w:noWrap/>
            <w:tcMar>
              <w:top w:w="15" w:type="dxa"/>
              <w:left w:w="15" w:type="dxa"/>
              <w:right w:w="15" w:type="dxa"/>
            </w:tcMar>
            <w:vAlign w:val="center"/>
          </w:tcPr>
          <w:p>
            <w:pPr>
              <w:widowControl/>
              <w:jc w:val="center"/>
              <w:textAlignment w:val="center"/>
              <w:rPr>
                <w:rFonts w:ascii="仿宋" w:hAnsi="仿宋" w:eastAsia="仿宋" w:cs="仿宋"/>
                <w:bCs/>
                <w:sz w:val="24"/>
              </w:rPr>
            </w:pPr>
            <w:r>
              <w:rPr>
                <w:rFonts w:hint="eastAsia" w:ascii="仿宋" w:hAnsi="仿宋" w:eastAsia="仿宋" w:cs="仿宋"/>
                <w:bCs/>
                <w:kern w:val="0"/>
                <w:sz w:val="24"/>
              </w:rPr>
              <w:t>≤</w:t>
            </w:r>
            <w:r>
              <w:rPr>
                <w:rStyle w:val="62"/>
                <w:rFonts w:hint="default" w:ascii="仿宋" w:hAnsi="仿宋" w:eastAsia="仿宋" w:cs="仿宋"/>
                <w:bCs/>
                <w:color w:val="auto"/>
                <w:sz w:val="24"/>
                <w:szCs w:val="24"/>
              </w:rPr>
              <w:t>12000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11" w:type="pct"/>
            <w:vMerge w:val="continue"/>
            <w:noWrap/>
            <w:tcMar>
              <w:top w:w="15" w:type="dxa"/>
              <w:left w:w="15" w:type="dxa"/>
              <w:right w:w="15" w:type="dxa"/>
            </w:tcMar>
            <w:vAlign w:val="center"/>
          </w:tcPr>
          <w:p>
            <w:pPr>
              <w:widowControl/>
              <w:jc w:val="center"/>
              <w:rPr>
                <w:rFonts w:ascii="仿宋" w:hAnsi="仿宋" w:eastAsia="仿宋" w:cs="仿宋"/>
                <w:sz w:val="24"/>
              </w:rPr>
            </w:pPr>
          </w:p>
        </w:tc>
        <w:tc>
          <w:tcPr>
            <w:tcW w:w="1884" w:type="pct"/>
            <w:noWrap/>
            <w:tcMar>
              <w:top w:w="15" w:type="dxa"/>
              <w:left w:w="15" w:type="dxa"/>
              <w:right w:w="15" w:type="dxa"/>
            </w:tcMar>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rPr>
              <w:t>BODs(mg/L)</w:t>
            </w:r>
          </w:p>
        </w:tc>
        <w:tc>
          <w:tcPr>
            <w:tcW w:w="2003" w:type="pct"/>
            <w:noWrap/>
            <w:tcMar>
              <w:top w:w="15" w:type="dxa"/>
              <w:left w:w="15" w:type="dxa"/>
              <w:right w:w="15" w:type="dxa"/>
            </w:tcMar>
            <w:vAlign w:val="center"/>
          </w:tcPr>
          <w:p>
            <w:pPr>
              <w:widowControl/>
              <w:jc w:val="center"/>
              <w:textAlignment w:val="center"/>
              <w:rPr>
                <w:rFonts w:ascii="仿宋" w:hAnsi="仿宋" w:eastAsia="仿宋" w:cs="仿宋"/>
                <w:bCs/>
                <w:sz w:val="24"/>
              </w:rPr>
            </w:pPr>
            <w:r>
              <w:rPr>
                <w:rFonts w:hint="eastAsia" w:ascii="仿宋" w:hAnsi="仿宋" w:eastAsia="仿宋" w:cs="仿宋"/>
                <w:bCs/>
                <w:kern w:val="0"/>
                <w:sz w:val="24"/>
              </w:rPr>
              <w:t>≤5100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11" w:type="pct"/>
            <w:vMerge w:val="continue"/>
            <w:noWrap/>
            <w:tcMar>
              <w:top w:w="15" w:type="dxa"/>
              <w:left w:w="15" w:type="dxa"/>
              <w:right w:w="15" w:type="dxa"/>
            </w:tcMar>
            <w:vAlign w:val="center"/>
          </w:tcPr>
          <w:p>
            <w:pPr>
              <w:widowControl/>
              <w:jc w:val="center"/>
              <w:rPr>
                <w:rFonts w:ascii="仿宋" w:hAnsi="仿宋" w:eastAsia="仿宋" w:cs="仿宋"/>
                <w:sz w:val="24"/>
              </w:rPr>
            </w:pPr>
          </w:p>
        </w:tc>
        <w:tc>
          <w:tcPr>
            <w:tcW w:w="1884" w:type="pct"/>
            <w:noWrap/>
            <w:tcMar>
              <w:top w:w="15" w:type="dxa"/>
              <w:left w:w="15" w:type="dxa"/>
              <w:right w:w="15" w:type="dxa"/>
            </w:tcMar>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rPr>
              <w:t>SS(mg/L)</w:t>
            </w:r>
          </w:p>
        </w:tc>
        <w:tc>
          <w:tcPr>
            <w:tcW w:w="2003" w:type="pct"/>
            <w:noWrap/>
            <w:tcMar>
              <w:top w:w="15" w:type="dxa"/>
              <w:left w:w="15" w:type="dxa"/>
              <w:right w:w="15" w:type="dxa"/>
            </w:tcMar>
            <w:vAlign w:val="center"/>
          </w:tcPr>
          <w:p>
            <w:pPr>
              <w:widowControl/>
              <w:jc w:val="center"/>
              <w:textAlignment w:val="center"/>
              <w:rPr>
                <w:rFonts w:ascii="仿宋" w:hAnsi="仿宋" w:eastAsia="仿宋" w:cs="仿宋"/>
                <w:bCs/>
                <w:sz w:val="24"/>
              </w:rPr>
            </w:pPr>
            <w:r>
              <w:rPr>
                <w:rFonts w:hint="eastAsia" w:ascii="仿宋" w:hAnsi="仿宋" w:eastAsia="仿宋" w:cs="仿宋"/>
                <w:bCs/>
                <w:kern w:val="0"/>
                <w:sz w:val="24"/>
              </w:rPr>
              <w:t>≤1200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11" w:type="pct"/>
            <w:vMerge w:val="continue"/>
            <w:noWrap/>
            <w:tcMar>
              <w:top w:w="15" w:type="dxa"/>
              <w:left w:w="15" w:type="dxa"/>
              <w:right w:w="15" w:type="dxa"/>
            </w:tcMar>
            <w:vAlign w:val="center"/>
          </w:tcPr>
          <w:p>
            <w:pPr>
              <w:widowControl/>
              <w:jc w:val="center"/>
              <w:rPr>
                <w:rFonts w:ascii="仿宋" w:hAnsi="仿宋" w:eastAsia="仿宋" w:cs="仿宋"/>
                <w:sz w:val="24"/>
              </w:rPr>
            </w:pPr>
          </w:p>
        </w:tc>
        <w:tc>
          <w:tcPr>
            <w:tcW w:w="1884" w:type="pct"/>
            <w:noWrap/>
            <w:tcMar>
              <w:top w:w="15" w:type="dxa"/>
              <w:left w:w="15" w:type="dxa"/>
              <w:right w:w="15" w:type="dxa"/>
            </w:tcMar>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rPr>
              <w:t>NH</w:t>
            </w:r>
            <w:r>
              <w:rPr>
                <w:rStyle w:val="63"/>
                <w:rFonts w:hint="default" w:ascii="仿宋" w:hAnsi="仿宋" w:eastAsia="仿宋" w:cs="仿宋"/>
                <w:color w:val="auto"/>
              </w:rPr>
              <w:t>3</w:t>
            </w:r>
            <w:r>
              <w:rPr>
                <w:rStyle w:val="64"/>
                <w:rFonts w:hint="eastAsia" w:ascii="仿宋" w:hAnsi="仿宋" w:eastAsia="仿宋" w:cs="仿宋"/>
                <w:color w:val="auto"/>
                <w:sz w:val="24"/>
                <w:szCs w:val="24"/>
              </w:rPr>
              <w:t>-N (mg/L)</w:t>
            </w:r>
          </w:p>
        </w:tc>
        <w:tc>
          <w:tcPr>
            <w:tcW w:w="2003" w:type="pct"/>
            <w:noWrap/>
            <w:tcMar>
              <w:top w:w="15" w:type="dxa"/>
              <w:left w:w="15" w:type="dxa"/>
              <w:right w:w="15" w:type="dxa"/>
            </w:tcMar>
            <w:vAlign w:val="center"/>
          </w:tcPr>
          <w:p>
            <w:pPr>
              <w:widowControl/>
              <w:jc w:val="center"/>
              <w:textAlignment w:val="center"/>
              <w:rPr>
                <w:rFonts w:ascii="仿宋" w:hAnsi="仿宋" w:eastAsia="仿宋" w:cs="仿宋"/>
                <w:bCs/>
                <w:sz w:val="24"/>
              </w:rPr>
            </w:pPr>
            <w:r>
              <w:rPr>
                <w:rFonts w:hint="eastAsia" w:ascii="仿宋" w:hAnsi="仿宋" w:eastAsia="仿宋" w:cs="仿宋"/>
                <w:bCs/>
                <w:kern w:val="0"/>
                <w:sz w:val="24"/>
              </w:rPr>
              <w:t>≤195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11" w:type="pct"/>
            <w:vMerge w:val="continue"/>
            <w:noWrap/>
            <w:tcMar>
              <w:top w:w="15" w:type="dxa"/>
              <w:left w:w="15" w:type="dxa"/>
              <w:right w:w="15" w:type="dxa"/>
            </w:tcMar>
            <w:vAlign w:val="center"/>
          </w:tcPr>
          <w:p>
            <w:pPr>
              <w:widowControl/>
              <w:jc w:val="center"/>
              <w:rPr>
                <w:rFonts w:ascii="仿宋" w:hAnsi="仿宋" w:eastAsia="仿宋" w:cs="仿宋"/>
                <w:sz w:val="24"/>
              </w:rPr>
            </w:pPr>
          </w:p>
        </w:tc>
        <w:tc>
          <w:tcPr>
            <w:tcW w:w="1884" w:type="pct"/>
            <w:noWrap/>
            <w:tcMar>
              <w:top w:w="15" w:type="dxa"/>
              <w:left w:w="15" w:type="dxa"/>
              <w:right w:w="15" w:type="dxa"/>
            </w:tcMar>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rPr>
              <w:t>TN(mg/L)</w:t>
            </w:r>
          </w:p>
        </w:tc>
        <w:tc>
          <w:tcPr>
            <w:tcW w:w="2003" w:type="pct"/>
            <w:noWrap/>
            <w:tcMar>
              <w:top w:w="15" w:type="dxa"/>
              <w:left w:w="15" w:type="dxa"/>
              <w:right w:w="15" w:type="dxa"/>
            </w:tcMar>
            <w:vAlign w:val="center"/>
          </w:tcPr>
          <w:p>
            <w:pPr>
              <w:widowControl/>
              <w:jc w:val="center"/>
              <w:textAlignment w:val="center"/>
              <w:rPr>
                <w:rFonts w:ascii="仿宋" w:hAnsi="仿宋" w:eastAsia="仿宋" w:cs="仿宋"/>
                <w:bCs/>
                <w:sz w:val="24"/>
              </w:rPr>
            </w:pPr>
            <w:r>
              <w:rPr>
                <w:rFonts w:hint="eastAsia" w:ascii="仿宋" w:hAnsi="仿宋" w:eastAsia="仿宋" w:cs="仿宋"/>
                <w:bCs/>
                <w:kern w:val="0"/>
                <w:sz w:val="24"/>
              </w:rPr>
              <w:t>≤607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11" w:type="pct"/>
            <w:vMerge w:val="continue"/>
            <w:noWrap/>
            <w:tcMar>
              <w:top w:w="15" w:type="dxa"/>
              <w:left w:w="15" w:type="dxa"/>
              <w:right w:w="15" w:type="dxa"/>
            </w:tcMar>
            <w:vAlign w:val="center"/>
          </w:tcPr>
          <w:p>
            <w:pPr>
              <w:widowControl/>
              <w:jc w:val="center"/>
              <w:rPr>
                <w:rFonts w:ascii="仿宋" w:hAnsi="仿宋" w:eastAsia="仿宋" w:cs="仿宋"/>
                <w:sz w:val="24"/>
              </w:rPr>
            </w:pPr>
          </w:p>
        </w:tc>
        <w:tc>
          <w:tcPr>
            <w:tcW w:w="1884" w:type="pct"/>
            <w:noWrap/>
            <w:tcMar>
              <w:top w:w="15" w:type="dxa"/>
              <w:left w:w="15" w:type="dxa"/>
              <w:right w:w="15" w:type="dxa"/>
            </w:tcMar>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rPr>
              <w:t>TP(mg/L)</w:t>
            </w:r>
          </w:p>
        </w:tc>
        <w:tc>
          <w:tcPr>
            <w:tcW w:w="2003" w:type="pct"/>
            <w:noWrap/>
            <w:tcMar>
              <w:top w:w="15" w:type="dxa"/>
              <w:left w:w="15" w:type="dxa"/>
              <w:right w:w="15" w:type="dxa"/>
            </w:tcMar>
            <w:vAlign w:val="center"/>
          </w:tcPr>
          <w:p>
            <w:pPr>
              <w:widowControl/>
              <w:jc w:val="center"/>
              <w:textAlignment w:val="center"/>
              <w:rPr>
                <w:rFonts w:ascii="仿宋" w:hAnsi="仿宋" w:eastAsia="仿宋" w:cs="仿宋"/>
                <w:bCs/>
                <w:sz w:val="24"/>
              </w:rPr>
            </w:pPr>
            <w:r>
              <w:rPr>
                <w:rFonts w:hint="eastAsia" w:ascii="仿宋" w:hAnsi="仿宋" w:eastAsia="仿宋" w:cs="仿宋"/>
                <w:bCs/>
                <w:kern w:val="0"/>
                <w:sz w:val="24"/>
              </w:rPr>
              <w:t>≤56</w:t>
            </w:r>
          </w:p>
        </w:tc>
      </w:tr>
    </w:tbl>
    <w:p>
      <w:pPr>
        <w:adjustRightInd w:val="0"/>
        <w:snapToGrid w:val="0"/>
        <w:spacing w:line="360" w:lineRule="auto"/>
        <w:ind w:firstLine="480" w:firstLineChars="200"/>
        <w:rPr>
          <w:rFonts w:ascii="仿宋" w:hAnsi="仿宋" w:eastAsia="仿宋" w:cs="仿宋"/>
          <w:bCs/>
          <w:sz w:val="24"/>
        </w:rPr>
      </w:pPr>
    </w:p>
    <w:p>
      <w:pPr>
        <w:adjustRightInd w:val="0"/>
        <w:snapToGrid w:val="0"/>
        <w:spacing w:line="360" w:lineRule="auto"/>
        <w:ind w:firstLine="472" w:firstLineChars="196"/>
        <w:rPr>
          <w:rFonts w:ascii="仿宋" w:hAnsi="仿宋" w:eastAsia="仿宋" w:cs="仿宋"/>
          <w:b/>
          <w:sz w:val="24"/>
        </w:rPr>
      </w:pPr>
      <w:r>
        <w:rPr>
          <w:rFonts w:hint="eastAsia" w:ascii="仿宋" w:hAnsi="仿宋" w:eastAsia="仿宋" w:cs="仿宋"/>
          <w:b/>
          <w:sz w:val="24"/>
        </w:rPr>
        <w:t>二、技术、服务要求：</w:t>
      </w:r>
    </w:p>
    <w:p>
      <w:pPr>
        <w:pStyle w:val="5"/>
        <w:keepNext w:val="0"/>
        <w:numPr>
          <w:ilvl w:val="2"/>
          <w:numId w:val="0"/>
        </w:numPr>
        <w:autoSpaceDE w:val="0"/>
        <w:autoSpaceDN w:val="0"/>
        <w:adjustRightInd w:val="0"/>
        <w:snapToGrid w:val="0"/>
        <w:spacing w:beforeLines="50" w:afterLines="20" w:line="360" w:lineRule="auto"/>
        <w:ind w:firstLine="482" w:firstLineChars="200"/>
        <w:jc w:val="left"/>
        <w:rPr>
          <w:rFonts w:ascii="仿宋" w:hAnsi="仿宋" w:eastAsia="仿宋" w:cs="仿宋"/>
          <w:b w:val="0"/>
          <w:sz w:val="24"/>
          <w:szCs w:val="24"/>
        </w:rPr>
      </w:pPr>
      <w:r>
        <w:rPr>
          <w:rFonts w:hint="eastAsia" w:ascii="仿宋" w:hAnsi="仿宋" w:eastAsia="仿宋" w:cs="仿宋"/>
          <w:sz w:val="24"/>
        </w:rPr>
        <w:t>★</w:t>
      </w:r>
      <w:r>
        <w:rPr>
          <w:rFonts w:hint="eastAsia" w:ascii="仿宋" w:hAnsi="仿宋" w:eastAsia="仿宋" w:cs="仿宋"/>
          <w:bCs w:val="0"/>
          <w:sz w:val="24"/>
          <w:szCs w:val="24"/>
        </w:rPr>
        <w:t>1、服务范围</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1.1、东升垃圾压缩站垃圾渗滤液及冲洗废水处理项目</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全面负责东升污水处理站的建设及运营管理工作，工作范围从隔油沉砂池起，到渗滤液达标排放口为止（包含将处理达标的污水运往西航港垃圾压缩站排放入市政污水管网），出水达到《污水综合排放标准》（GB8978-1996）三级排放标准、《污水排入城镇下水道水质标准》（GB/T31962-2015）和《成都市环境保护局关于垃圾转运站垃圾渗滤液与冲洗废水处理有关意见的复函》中关于重金属指标的排放标准。全年按照365天计，每月计划1天对设备进行在线维护保养，设备停机大修每年计划用时最多3天，所以年有效运行时间不得低于362天。停机期间，必须负责项目污水的应急处理，不得未经处理排放进市政污水管网。工作范围包括但不限于设施设备建设、日常维修保养、日常水电费、人工费、化验费、清洁卫生费、药剂采购、设备大修、污泥处置、调节池清理、污水密闭清运、在线监测等所有与处理站有关各项工作。</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1.2、西航港垃圾压缩站垃圾渗滤液及冲洗废水处理项目</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全面负责西航港污水处理站的建设及运营管理工作，工作范围从隔油沉砂池起，到渗滤液达标排放口为止，出水达到《污水综合排放标准》（GB8978-1996）三级排放标准、《污水排入城镇下水道水质标准》（GB/T31962-2015）和《成都市环境保护局关于垃圾转运站垃圾渗滤液与冲洗废水处理有关意见的复函》中关于重金属指标的排放标准。同时每天清运1车胜利填埋场的渗滤液到西航港垃圾压缩站进行无害化处理。全年按照365天计，每月计划1天对设备进行在线维护保养，设备停机大修每年计划用时最多3天，所以年有效运行时间不得低于362天。停机期间，必须负责项目污水的应急处理，不得未经处理排放进市政污水管网。工作范围包括但不限于设施设备建设、日常维修保养、人工费、日常水电费、化验费、清洁卫生费、药剂采购、设备大修、污泥处置、调节池清理、污水密闭清运、在线监测等所有与处理站有关各项工作。</w:t>
      </w:r>
    </w:p>
    <w:p>
      <w:pPr>
        <w:spacing w:line="360" w:lineRule="auto"/>
        <w:ind w:firstLine="482" w:firstLineChars="200"/>
        <w:rPr>
          <w:rFonts w:ascii="仿宋" w:hAnsi="仿宋" w:eastAsia="仿宋" w:cs="仿宋"/>
          <w:sz w:val="24"/>
        </w:rPr>
      </w:pPr>
      <w:r>
        <w:rPr>
          <w:rFonts w:hint="eastAsia" w:ascii="仿宋" w:hAnsi="仿宋" w:eastAsia="仿宋" w:cs="仿宋"/>
          <w:b/>
          <w:sz w:val="24"/>
        </w:rPr>
        <w:t>★</w:t>
      </w:r>
      <w:r>
        <w:rPr>
          <w:rFonts w:hint="eastAsia" w:ascii="仿宋" w:hAnsi="仿宋" w:eastAsia="仿宋" w:cs="仿宋"/>
          <w:b/>
          <w:bCs/>
          <w:sz w:val="24"/>
        </w:rPr>
        <w:t>2、出水水质要求</w:t>
      </w:r>
    </w:p>
    <w:p>
      <w:pPr>
        <w:spacing w:line="500" w:lineRule="exact"/>
        <w:ind w:firstLine="480" w:firstLineChars="200"/>
        <w:jc w:val="left"/>
        <w:rPr>
          <w:rFonts w:ascii="仿宋" w:hAnsi="仿宋" w:eastAsia="仿宋" w:cs="仿宋"/>
          <w:sz w:val="24"/>
        </w:rPr>
      </w:pPr>
      <w:r>
        <w:rPr>
          <w:rFonts w:hint="eastAsia" w:ascii="仿宋" w:hAnsi="仿宋" w:eastAsia="仿宋" w:cs="仿宋"/>
          <w:sz w:val="24"/>
        </w:rPr>
        <w:t>本项目系统出水应满足《污水综合排放标准》</w:t>
      </w:r>
      <w:r>
        <w:fldChar w:fldCharType="begin"/>
      </w:r>
      <w:r>
        <w:instrText xml:space="preserve"> HYPERLINK "http://www.baidu.com/link?url=4OHfIE6Wz7NuyXf1q0EIUyADXTU7SXF_BWngNVRViH8l1sqxlwU-i5C93KKnof4rhZcxxkPbNKwxY0bh7Ux1Zes8shSfZ1A9cXqkSgvaBjaC1sgMNhdisWnnI52HAAOc" \t "https://www.baidu.com/_blank" </w:instrText>
      </w:r>
      <w:r>
        <w:fldChar w:fldCharType="separate"/>
      </w:r>
      <w:r>
        <w:rPr>
          <w:rFonts w:hint="eastAsia" w:ascii="仿宋" w:hAnsi="仿宋" w:eastAsia="仿宋" w:cs="仿宋"/>
          <w:sz w:val="24"/>
        </w:rPr>
        <w:t>(GB8978-1996)三</w:t>
      </w:r>
      <w:r>
        <w:rPr>
          <w:rFonts w:hint="eastAsia" w:ascii="仿宋" w:hAnsi="仿宋" w:eastAsia="仿宋" w:cs="仿宋"/>
          <w:sz w:val="24"/>
        </w:rPr>
        <w:fldChar w:fldCharType="end"/>
      </w:r>
      <w:r>
        <w:rPr>
          <w:rFonts w:hint="eastAsia" w:ascii="仿宋" w:hAnsi="仿宋" w:eastAsia="仿宋" w:cs="仿宋"/>
          <w:sz w:val="24"/>
        </w:rPr>
        <w:t>级标准、《污水排入城镇下水道水质标准》（GB/T31962-2015）和《成都市环境保护局关于垃圾转运站垃圾渗滤液与冲洗废水处理有关意见的复函》中关于重金属指标的排放标准后，进入城镇下水道管网。</w:t>
      </w:r>
    </w:p>
    <w:p>
      <w:pPr>
        <w:spacing w:line="500" w:lineRule="exact"/>
        <w:jc w:val="center"/>
        <w:rPr>
          <w:rFonts w:ascii="仿宋" w:hAnsi="仿宋" w:eastAsia="仿宋" w:cs="仿宋"/>
          <w:b/>
          <w:sz w:val="24"/>
        </w:rPr>
      </w:pPr>
      <w:r>
        <w:rPr>
          <w:rFonts w:hint="eastAsia" w:ascii="仿宋" w:hAnsi="仿宋" w:eastAsia="仿宋" w:cs="仿宋"/>
          <w:b/>
          <w:sz w:val="24"/>
        </w:rPr>
        <w:t xml:space="preserve">表3-1 污水站处理出水水质指标 </w:t>
      </w:r>
    </w:p>
    <w:p>
      <w:pPr>
        <w:spacing w:line="500" w:lineRule="exact"/>
        <w:jc w:val="center"/>
        <w:rPr>
          <w:rFonts w:ascii="仿宋" w:hAnsi="仿宋" w:eastAsia="仿宋" w:cs="仿宋"/>
          <w:sz w:val="24"/>
        </w:rPr>
      </w:pPr>
      <w:r>
        <w:rPr>
          <w:rFonts w:hint="eastAsia" w:ascii="仿宋" w:hAnsi="仿宋" w:eastAsia="仿宋" w:cs="仿宋"/>
          <w:sz w:val="24"/>
        </w:rPr>
        <w:t>单位：（mg/L）</w:t>
      </w:r>
    </w:p>
    <w:tbl>
      <w:tblPr>
        <w:tblStyle w:val="29"/>
        <w:tblW w:w="87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94"/>
        <w:gridCol w:w="1037"/>
        <w:gridCol w:w="1200"/>
        <w:gridCol w:w="1165"/>
        <w:gridCol w:w="933"/>
        <w:gridCol w:w="1200"/>
        <w:gridCol w:w="1200"/>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94" w:type="dxa"/>
            <w:noWrap/>
            <w:vAlign w:val="center"/>
          </w:tcPr>
          <w:p>
            <w:pPr>
              <w:widowControl/>
              <w:jc w:val="center"/>
              <w:rPr>
                <w:rFonts w:ascii="仿宋" w:hAnsi="仿宋" w:eastAsia="仿宋" w:cs="仿宋"/>
                <w:sz w:val="24"/>
              </w:rPr>
            </w:pPr>
            <w:r>
              <w:rPr>
                <w:rFonts w:hint="eastAsia" w:ascii="仿宋" w:hAnsi="仿宋" w:eastAsia="仿宋" w:cs="仿宋"/>
                <w:sz w:val="24"/>
              </w:rPr>
              <w:t>名  称</w:t>
            </w:r>
          </w:p>
        </w:tc>
        <w:tc>
          <w:tcPr>
            <w:tcW w:w="1037" w:type="dxa"/>
            <w:noWrap/>
            <w:tcMar>
              <w:top w:w="0" w:type="dxa"/>
              <w:left w:w="105" w:type="dxa"/>
              <w:bottom w:w="0" w:type="dxa"/>
              <w:right w:w="105" w:type="dxa"/>
            </w:tcMar>
            <w:vAlign w:val="center"/>
          </w:tcPr>
          <w:p>
            <w:pPr>
              <w:widowControl/>
              <w:jc w:val="center"/>
              <w:rPr>
                <w:rFonts w:ascii="仿宋" w:hAnsi="仿宋" w:eastAsia="仿宋" w:cs="仿宋"/>
                <w:sz w:val="24"/>
              </w:rPr>
            </w:pPr>
            <w:r>
              <w:rPr>
                <w:rFonts w:hint="eastAsia" w:ascii="仿宋" w:hAnsi="仿宋" w:eastAsia="仿宋" w:cs="仿宋"/>
                <w:sz w:val="24"/>
              </w:rPr>
              <w:t>COD</w:t>
            </w:r>
          </w:p>
        </w:tc>
        <w:tc>
          <w:tcPr>
            <w:tcW w:w="1200" w:type="dxa"/>
            <w:noWrap/>
            <w:tcMar>
              <w:top w:w="0" w:type="dxa"/>
              <w:left w:w="105" w:type="dxa"/>
              <w:bottom w:w="0" w:type="dxa"/>
              <w:right w:w="105" w:type="dxa"/>
            </w:tcMar>
            <w:vAlign w:val="center"/>
          </w:tcPr>
          <w:p>
            <w:pPr>
              <w:widowControl/>
              <w:jc w:val="center"/>
              <w:rPr>
                <w:rFonts w:ascii="仿宋" w:hAnsi="仿宋" w:eastAsia="仿宋" w:cs="仿宋"/>
                <w:sz w:val="24"/>
              </w:rPr>
            </w:pPr>
            <w:r>
              <w:rPr>
                <w:rFonts w:hint="eastAsia" w:ascii="仿宋" w:hAnsi="仿宋" w:eastAsia="仿宋" w:cs="仿宋"/>
                <w:sz w:val="24"/>
              </w:rPr>
              <w:t>BOD</w:t>
            </w:r>
          </w:p>
        </w:tc>
        <w:tc>
          <w:tcPr>
            <w:tcW w:w="1165" w:type="dxa"/>
            <w:noWrap/>
            <w:tcMar>
              <w:top w:w="0" w:type="dxa"/>
              <w:left w:w="105" w:type="dxa"/>
              <w:bottom w:w="0" w:type="dxa"/>
              <w:right w:w="105" w:type="dxa"/>
            </w:tcMar>
            <w:vAlign w:val="center"/>
          </w:tcPr>
          <w:p>
            <w:pPr>
              <w:widowControl/>
              <w:jc w:val="center"/>
              <w:rPr>
                <w:rFonts w:ascii="仿宋" w:hAnsi="仿宋" w:eastAsia="仿宋" w:cs="仿宋"/>
                <w:sz w:val="24"/>
              </w:rPr>
            </w:pPr>
            <w:r>
              <w:rPr>
                <w:rFonts w:hint="eastAsia" w:ascii="仿宋" w:hAnsi="仿宋" w:eastAsia="仿宋" w:cs="仿宋"/>
                <w:sz w:val="24"/>
              </w:rPr>
              <w:t>氨氮</w:t>
            </w:r>
          </w:p>
        </w:tc>
        <w:tc>
          <w:tcPr>
            <w:tcW w:w="933" w:type="dxa"/>
            <w:noWrap/>
            <w:tcMar>
              <w:top w:w="0" w:type="dxa"/>
              <w:left w:w="105" w:type="dxa"/>
              <w:bottom w:w="0" w:type="dxa"/>
              <w:right w:w="105" w:type="dxa"/>
            </w:tcMar>
            <w:vAlign w:val="center"/>
          </w:tcPr>
          <w:p>
            <w:pPr>
              <w:widowControl/>
              <w:jc w:val="center"/>
              <w:rPr>
                <w:rFonts w:ascii="仿宋" w:hAnsi="仿宋" w:eastAsia="仿宋" w:cs="仿宋"/>
                <w:sz w:val="24"/>
              </w:rPr>
            </w:pPr>
            <w:r>
              <w:rPr>
                <w:rFonts w:hint="eastAsia" w:ascii="仿宋" w:hAnsi="仿宋" w:eastAsia="仿宋" w:cs="仿宋"/>
                <w:sz w:val="24"/>
              </w:rPr>
              <w:t>TN</w:t>
            </w:r>
          </w:p>
        </w:tc>
        <w:tc>
          <w:tcPr>
            <w:tcW w:w="1200" w:type="dxa"/>
            <w:noWrap/>
            <w:tcMar>
              <w:top w:w="0" w:type="dxa"/>
              <w:left w:w="105" w:type="dxa"/>
              <w:bottom w:w="0" w:type="dxa"/>
              <w:right w:w="105" w:type="dxa"/>
            </w:tcMar>
            <w:vAlign w:val="center"/>
          </w:tcPr>
          <w:p>
            <w:pPr>
              <w:widowControl/>
              <w:jc w:val="center"/>
              <w:rPr>
                <w:rFonts w:ascii="仿宋" w:hAnsi="仿宋" w:eastAsia="仿宋" w:cs="仿宋"/>
                <w:sz w:val="24"/>
              </w:rPr>
            </w:pPr>
            <w:r>
              <w:rPr>
                <w:rFonts w:hint="eastAsia" w:ascii="仿宋" w:hAnsi="仿宋" w:eastAsia="仿宋" w:cs="仿宋"/>
                <w:sz w:val="24"/>
              </w:rPr>
              <w:t>TP</w:t>
            </w:r>
          </w:p>
        </w:tc>
        <w:tc>
          <w:tcPr>
            <w:tcW w:w="1200" w:type="dxa"/>
            <w:noWrap/>
            <w:tcMar>
              <w:top w:w="0" w:type="dxa"/>
              <w:left w:w="105" w:type="dxa"/>
              <w:bottom w:w="0" w:type="dxa"/>
              <w:right w:w="105" w:type="dxa"/>
            </w:tcMar>
            <w:vAlign w:val="center"/>
          </w:tcPr>
          <w:p>
            <w:pPr>
              <w:widowControl/>
              <w:jc w:val="center"/>
              <w:rPr>
                <w:rFonts w:ascii="仿宋" w:hAnsi="仿宋" w:eastAsia="仿宋" w:cs="仿宋"/>
                <w:sz w:val="24"/>
              </w:rPr>
            </w:pPr>
            <w:r>
              <w:rPr>
                <w:rFonts w:hint="eastAsia" w:ascii="仿宋" w:hAnsi="仿宋" w:eastAsia="仿宋" w:cs="仿宋"/>
                <w:sz w:val="24"/>
              </w:rPr>
              <w:t>SS</w:t>
            </w:r>
          </w:p>
        </w:tc>
        <w:tc>
          <w:tcPr>
            <w:tcW w:w="1200" w:type="dxa"/>
            <w:noWrap/>
            <w:tcMar>
              <w:top w:w="0" w:type="dxa"/>
              <w:left w:w="105" w:type="dxa"/>
              <w:bottom w:w="0" w:type="dxa"/>
              <w:right w:w="105" w:type="dxa"/>
            </w:tcMar>
            <w:vAlign w:val="center"/>
          </w:tcPr>
          <w:p>
            <w:pPr>
              <w:widowControl/>
              <w:jc w:val="center"/>
              <w:rPr>
                <w:rFonts w:ascii="仿宋" w:hAnsi="仿宋" w:eastAsia="仿宋" w:cs="仿宋"/>
                <w:sz w:val="24"/>
              </w:rPr>
            </w:pPr>
            <w:r>
              <w:rPr>
                <w:rFonts w:hint="eastAsia" w:ascii="仿宋" w:hAnsi="仿宋" w:eastAsia="仿宋" w:cs="仿宋"/>
                <w:sz w:val="24"/>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94" w:type="dxa"/>
            <w:noWrap/>
            <w:vAlign w:val="center"/>
          </w:tcPr>
          <w:p>
            <w:pPr>
              <w:widowControl/>
              <w:jc w:val="center"/>
              <w:rPr>
                <w:rFonts w:ascii="仿宋" w:hAnsi="仿宋" w:eastAsia="仿宋" w:cs="仿宋"/>
                <w:sz w:val="24"/>
              </w:rPr>
            </w:pPr>
            <w:r>
              <w:rPr>
                <w:rFonts w:hint="eastAsia" w:ascii="仿宋" w:hAnsi="仿宋" w:eastAsia="仿宋" w:cs="仿宋"/>
                <w:sz w:val="24"/>
              </w:rPr>
              <w:t>指  标</w:t>
            </w:r>
          </w:p>
        </w:tc>
        <w:tc>
          <w:tcPr>
            <w:tcW w:w="1037" w:type="dxa"/>
            <w:noWrap/>
            <w:tcMar>
              <w:top w:w="0" w:type="dxa"/>
              <w:left w:w="105" w:type="dxa"/>
              <w:bottom w:w="0" w:type="dxa"/>
              <w:right w:w="105" w:type="dxa"/>
            </w:tcMar>
            <w:vAlign w:val="center"/>
          </w:tcPr>
          <w:p>
            <w:pPr>
              <w:widowControl/>
              <w:jc w:val="center"/>
              <w:rPr>
                <w:rFonts w:ascii="仿宋" w:hAnsi="仿宋" w:eastAsia="仿宋" w:cs="仿宋"/>
                <w:sz w:val="24"/>
              </w:rPr>
            </w:pPr>
            <w:r>
              <w:rPr>
                <w:rFonts w:hint="eastAsia" w:ascii="仿宋" w:hAnsi="仿宋" w:eastAsia="仿宋" w:cs="仿宋"/>
                <w:sz w:val="24"/>
              </w:rPr>
              <w:t>≤500</w:t>
            </w:r>
          </w:p>
        </w:tc>
        <w:tc>
          <w:tcPr>
            <w:tcW w:w="1200" w:type="dxa"/>
            <w:noWrap/>
            <w:tcMar>
              <w:top w:w="0" w:type="dxa"/>
              <w:left w:w="105" w:type="dxa"/>
              <w:bottom w:w="0" w:type="dxa"/>
              <w:right w:w="105" w:type="dxa"/>
            </w:tcMar>
            <w:vAlign w:val="center"/>
          </w:tcPr>
          <w:p>
            <w:pPr>
              <w:widowControl/>
              <w:jc w:val="center"/>
              <w:rPr>
                <w:rFonts w:ascii="仿宋" w:hAnsi="仿宋" w:eastAsia="仿宋" w:cs="仿宋"/>
                <w:sz w:val="24"/>
              </w:rPr>
            </w:pPr>
            <w:r>
              <w:rPr>
                <w:rFonts w:hint="eastAsia" w:ascii="仿宋" w:hAnsi="仿宋" w:eastAsia="仿宋" w:cs="仿宋"/>
                <w:sz w:val="24"/>
              </w:rPr>
              <w:t>≤300</w:t>
            </w:r>
          </w:p>
        </w:tc>
        <w:tc>
          <w:tcPr>
            <w:tcW w:w="1165" w:type="dxa"/>
            <w:noWrap/>
            <w:tcMar>
              <w:top w:w="0" w:type="dxa"/>
              <w:left w:w="105" w:type="dxa"/>
              <w:bottom w:w="0" w:type="dxa"/>
              <w:right w:w="105" w:type="dxa"/>
            </w:tcMar>
            <w:vAlign w:val="center"/>
          </w:tcPr>
          <w:p>
            <w:pPr>
              <w:widowControl/>
              <w:jc w:val="center"/>
              <w:rPr>
                <w:rFonts w:ascii="仿宋" w:hAnsi="仿宋" w:eastAsia="仿宋" w:cs="仿宋"/>
                <w:sz w:val="24"/>
              </w:rPr>
            </w:pPr>
            <w:r>
              <w:rPr>
                <w:rFonts w:hint="eastAsia" w:ascii="仿宋" w:hAnsi="仿宋" w:eastAsia="仿宋" w:cs="仿宋"/>
                <w:sz w:val="24"/>
              </w:rPr>
              <w:t>≤45</w:t>
            </w:r>
          </w:p>
        </w:tc>
        <w:tc>
          <w:tcPr>
            <w:tcW w:w="933" w:type="dxa"/>
            <w:noWrap/>
            <w:tcMar>
              <w:top w:w="0" w:type="dxa"/>
              <w:left w:w="105" w:type="dxa"/>
              <w:bottom w:w="0" w:type="dxa"/>
              <w:right w:w="105" w:type="dxa"/>
            </w:tcMar>
            <w:vAlign w:val="center"/>
          </w:tcPr>
          <w:p>
            <w:pPr>
              <w:widowControl/>
              <w:jc w:val="center"/>
              <w:rPr>
                <w:rFonts w:ascii="仿宋" w:hAnsi="仿宋" w:eastAsia="仿宋" w:cs="仿宋"/>
                <w:sz w:val="24"/>
              </w:rPr>
            </w:pPr>
            <w:r>
              <w:rPr>
                <w:rFonts w:hint="eastAsia" w:ascii="仿宋" w:hAnsi="仿宋" w:eastAsia="仿宋" w:cs="仿宋"/>
                <w:sz w:val="24"/>
              </w:rPr>
              <w:t>≤70</w:t>
            </w:r>
          </w:p>
        </w:tc>
        <w:tc>
          <w:tcPr>
            <w:tcW w:w="1200" w:type="dxa"/>
            <w:noWrap/>
            <w:tcMar>
              <w:top w:w="0" w:type="dxa"/>
              <w:left w:w="105" w:type="dxa"/>
              <w:bottom w:w="0" w:type="dxa"/>
              <w:right w:w="105" w:type="dxa"/>
            </w:tcMar>
            <w:vAlign w:val="center"/>
          </w:tcPr>
          <w:p>
            <w:pPr>
              <w:widowControl/>
              <w:jc w:val="center"/>
              <w:rPr>
                <w:rFonts w:ascii="仿宋" w:hAnsi="仿宋" w:eastAsia="仿宋" w:cs="仿宋"/>
                <w:sz w:val="24"/>
              </w:rPr>
            </w:pPr>
            <w:r>
              <w:rPr>
                <w:rFonts w:hint="eastAsia" w:ascii="仿宋" w:hAnsi="仿宋" w:eastAsia="仿宋" w:cs="仿宋"/>
                <w:sz w:val="24"/>
              </w:rPr>
              <w:t>≤8</w:t>
            </w:r>
          </w:p>
        </w:tc>
        <w:tc>
          <w:tcPr>
            <w:tcW w:w="1200" w:type="dxa"/>
            <w:noWrap/>
            <w:tcMar>
              <w:top w:w="0" w:type="dxa"/>
              <w:left w:w="105" w:type="dxa"/>
              <w:bottom w:w="0" w:type="dxa"/>
              <w:right w:w="105" w:type="dxa"/>
            </w:tcMar>
            <w:vAlign w:val="center"/>
          </w:tcPr>
          <w:p>
            <w:pPr>
              <w:widowControl/>
              <w:jc w:val="center"/>
              <w:rPr>
                <w:rFonts w:ascii="仿宋" w:hAnsi="仿宋" w:eastAsia="仿宋" w:cs="仿宋"/>
                <w:sz w:val="24"/>
              </w:rPr>
            </w:pPr>
            <w:r>
              <w:rPr>
                <w:rFonts w:hint="eastAsia" w:ascii="仿宋" w:hAnsi="仿宋" w:eastAsia="仿宋" w:cs="仿宋"/>
                <w:sz w:val="24"/>
              </w:rPr>
              <w:t>≤400</w:t>
            </w:r>
          </w:p>
        </w:tc>
        <w:tc>
          <w:tcPr>
            <w:tcW w:w="1200" w:type="dxa"/>
            <w:noWrap/>
            <w:tcMar>
              <w:top w:w="0" w:type="dxa"/>
              <w:left w:w="105" w:type="dxa"/>
              <w:bottom w:w="0" w:type="dxa"/>
              <w:right w:w="105" w:type="dxa"/>
            </w:tcMar>
            <w:vAlign w:val="center"/>
          </w:tcPr>
          <w:p>
            <w:pPr>
              <w:widowControl/>
              <w:jc w:val="center"/>
              <w:rPr>
                <w:rFonts w:ascii="仿宋" w:hAnsi="仿宋" w:eastAsia="仿宋" w:cs="仿宋"/>
                <w:sz w:val="24"/>
              </w:rPr>
            </w:pPr>
            <w:r>
              <w:rPr>
                <w:rFonts w:hint="eastAsia" w:ascii="仿宋" w:hAnsi="仿宋" w:eastAsia="仿宋" w:cs="仿宋"/>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94" w:type="dxa"/>
            <w:noWrap/>
            <w:vAlign w:val="center"/>
          </w:tcPr>
          <w:p>
            <w:pPr>
              <w:widowControl/>
              <w:jc w:val="center"/>
              <w:rPr>
                <w:rFonts w:ascii="仿宋" w:hAnsi="仿宋" w:eastAsia="仿宋" w:cs="仿宋"/>
                <w:sz w:val="24"/>
              </w:rPr>
            </w:pPr>
            <w:r>
              <w:rPr>
                <w:rFonts w:hint="eastAsia" w:ascii="仿宋" w:hAnsi="仿宋" w:eastAsia="仿宋" w:cs="仿宋"/>
                <w:sz w:val="24"/>
              </w:rPr>
              <w:t>名  称</w:t>
            </w:r>
          </w:p>
        </w:tc>
        <w:tc>
          <w:tcPr>
            <w:tcW w:w="1037" w:type="dxa"/>
            <w:noWrap/>
            <w:tcMar>
              <w:top w:w="0" w:type="dxa"/>
              <w:left w:w="105" w:type="dxa"/>
              <w:bottom w:w="0" w:type="dxa"/>
              <w:right w:w="105" w:type="dxa"/>
            </w:tcMar>
            <w:vAlign w:val="center"/>
          </w:tcPr>
          <w:p>
            <w:pPr>
              <w:widowControl/>
              <w:jc w:val="center"/>
              <w:rPr>
                <w:rFonts w:ascii="仿宋" w:hAnsi="仿宋" w:eastAsia="仿宋" w:cs="仿宋"/>
                <w:sz w:val="24"/>
              </w:rPr>
            </w:pPr>
            <w:r>
              <w:rPr>
                <w:rFonts w:hint="eastAsia" w:ascii="仿宋" w:hAnsi="仿宋" w:eastAsia="仿宋" w:cs="仿宋"/>
                <w:sz w:val="24"/>
              </w:rPr>
              <w:t>总汞</w:t>
            </w:r>
          </w:p>
        </w:tc>
        <w:tc>
          <w:tcPr>
            <w:tcW w:w="1200" w:type="dxa"/>
            <w:noWrap/>
            <w:tcMar>
              <w:top w:w="0" w:type="dxa"/>
              <w:left w:w="105" w:type="dxa"/>
              <w:bottom w:w="0" w:type="dxa"/>
              <w:right w:w="105" w:type="dxa"/>
            </w:tcMar>
            <w:vAlign w:val="center"/>
          </w:tcPr>
          <w:p>
            <w:pPr>
              <w:widowControl/>
              <w:jc w:val="center"/>
              <w:rPr>
                <w:rFonts w:ascii="仿宋" w:hAnsi="仿宋" w:eastAsia="仿宋" w:cs="仿宋"/>
                <w:sz w:val="24"/>
              </w:rPr>
            </w:pPr>
            <w:r>
              <w:rPr>
                <w:rFonts w:hint="eastAsia" w:ascii="仿宋" w:hAnsi="仿宋" w:eastAsia="仿宋" w:cs="仿宋"/>
                <w:sz w:val="24"/>
              </w:rPr>
              <w:t>总镉</w:t>
            </w:r>
          </w:p>
        </w:tc>
        <w:tc>
          <w:tcPr>
            <w:tcW w:w="1165" w:type="dxa"/>
            <w:noWrap/>
            <w:tcMar>
              <w:top w:w="0" w:type="dxa"/>
              <w:left w:w="105" w:type="dxa"/>
              <w:bottom w:w="0" w:type="dxa"/>
              <w:right w:w="105" w:type="dxa"/>
            </w:tcMar>
            <w:vAlign w:val="center"/>
          </w:tcPr>
          <w:p>
            <w:pPr>
              <w:widowControl/>
              <w:jc w:val="center"/>
              <w:rPr>
                <w:rFonts w:ascii="仿宋" w:hAnsi="仿宋" w:eastAsia="仿宋" w:cs="仿宋"/>
                <w:sz w:val="24"/>
              </w:rPr>
            </w:pPr>
            <w:r>
              <w:rPr>
                <w:rFonts w:hint="eastAsia" w:ascii="仿宋" w:hAnsi="仿宋" w:eastAsia="仿宋" w:cs="仿宋"/>
                <w:sz w:val="24"/>
              </w:rPr>
              <w:t>总铬</w:t>
            </w:r>
          </w:p>
        </w:tc>
        <w:tc>
          <w:tcPr>
            <w:tcW w:w="933" w:type="dxa"/>
            <w:noWrap/>
            <w:tcMar>
              <w:top w:w="0" w:type="dxa"/>
              <w:left w:w="105" w:type="dxa"/>
              <w:bottom w:w="0" w:type="dxa"/>
              <w:right w:w="105" w:type="dxa"/>
            </w:tcMar>
            <w:vAlign w:val="center"/>
          </w:tcPr>
          <w:p>
            <w:pPr>
              <w:widowControl/>
              <w:jc w:val="center"/>
              <w:rPr>
                <w:rFonts w:ascii="仿宋" w:hAnsi="仿宋" w:eastAsia="仿宋" w:cs="仿宋"/>
                <w:sz w:val="24"/>
              </w:rPr>
            </w:pPr>
            <w:r>
              <w:rPr>
                <w:rFonts w:hint="eastAsia" w:ascii="仿宋" w:hAnsi="仿宋" w:eastAsia="仿宋" w:cs="仿宋"/>
                <w:sz w:val="24"/>
              </w:rPr>
              <w:t>六价铬</w:t>
            </w:r>
          </w:p>
        </w:tc>
        <w:tc>
          <w:tcPr>
            <w:tcW w:w="1200" w:type="dxa"/>
            <w:noWrap/>
            <w:tcMar>
              <w:top w:w="0" w:type="dxa"/>
              <w:left w:w="105" w:type="dxa"/>
              <w:bottom w:w="0" w:type="dxa"/>
              <w:right w:w="105" w:type="dxa"/>
            </w:tcMar>
            <w:vAlign w:val="center"/>
          </w:tcPr>
          <w:p>
            <w:pPr>
              <w:widowControl/>
              <w:jc w:val="center"/>
              <w:rPr>
                <w:rFonts w:ascii="仿宋" w:hAnsi="仿宋" w:eastAsia="仿宋" w:cs="仿宋"/>
                <w:sz w:val="24"/>
              </w:rPr>
            </w:pPr>
            <w:r>
              <w:rPr>
                <w:rFonts w:hint="eastAsia" w:ascii="仿宋" w:hAnsi="仿宋" w:eastAsia="仿宋" w:cs="仿宋"/>
                <w:sz w:val="24"/>
              </w:rPr>
              <w:t>总砷</w:t>
            </w:r>
          </w:p>
        </w:tc>
        <w:tc>
          <w:tcPr>
            <w:tcW w:w="1200" w:type="dxa"/>
            <w:noWrap/>
            <w:tcMar>
              <w:top w:w="0" w:type="dxa"/>
              <w:left w:w="105" w:type="dxa"/>
              <w:bottom w:w="0" w:type="dxa"/>
              <w:right w:w="105" w:type="dxa"/>
            </w:tcMar>
            <w:vAlign w:val="center"/>
          </w:tcPr>
          <w:p>
            <w:pPr>
              <w:widowControl/>
              <w:jc w:val="center"/>
              <w:rPr>
                <w:rFonts w:ascii="仿宋" w:hAnsi="仿宋" w:eastAsia="仿宋" w:cs="仿宋"/>
                <w:sz w:val="24"/>
              </w:rPr>
            </w:pPr>
            <w:r>
              <w:rPr>
                <w:rFonts w:hint="eastAsia" w:ascii="仿宋" w:hAnsi="仿宋" w:eastAsia="仿宋" w:cs="仿宋"/>
                <w:sz w:val="24"/>
              </w:rPr>
              <w:t>总铅</w:t>
            </w:r>
          </w:p>
        </w:tc>
        <w:tc>
          <w:tcPr>
            <w:tcW w:w="1200" w:type="dxa"/>
            <w:noWrap/>
            <w:tcMar>
              <w:top w:w="0" w:type="dxa"/>
              <w:left w:w="105" w:type="dxa"/>
              <w:bottom w:w="0" w:type="dxa"/>
              <w:right w:w="105" w:type="dxa"/>
            </w:tcMar>
            <w:vAlign w:val="center"/>
          </w:tcPr>
          <w:p>
            <w:pPr>
              <w:widowControl/>
              <w:jc w:val="center"/>
              <w:rPr>
                <w:rFonts w:ascii="仿宋" w:hAnsi="仿宋" w:eastAsia="仿宋" w:cs="仿宋"/>
                <w:sz w:val="24"/>
              </w:rPr>
            </w:pPr>
            <w:r>
              <w:rPr>
                <w:rFonts w:hint="eastAsia" w:ascii="仿宋" w:hAnsi="仿宋" w:eastAsia="仿宋" w:cs="仿宋"/>
                <w:sz w:val="24"/>
              </w:rPr>
              <w:t>总余氯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94" w:type="dxa"/>
            <w:noWrap/>
            <w:vAlign w:val="center"/>
          </w:tcPr>
          <w:p>
            <w:pPr>
              <w:widowControl/>
              <w:jc w:val="center"/>
              <w:rPr>
                <w:rFonts w:ascii="仿宋" w:hAnsi="仿宋" w:eastAsia="仿宋" w:cs="仿宋"/>
                <w:sz w:val="24"/>
              </w:rPr>
            </w:pPr>
            <w:r>
              <w:rPr>
                <w:rFonts w:hint="eastAsia" w:ascii="仿宋" w:hAnsi="仿宋" w:eastAsia="仿宋" w:cs="仿宋"/>
                <w:sz w:val="24"/>
              </w:rPr>
              <w:t>指  标</w:t>
            </w:r>
          </w:p>
        </w:tc>
        <w:tc>
          <w:tcPr>
            <w:tcW w:w="1037" w:type="dxa"/>
            <w:noWrap/>
            <w:tcMar>
              <w:top w:w="0" w:type="dxa"/>
              <w:left w:w="105" w:type="dxa"/>
              <w:bottom w:w="0" w:type="dxa"/>
              <w:right w:w="105" w:type="dxa"/>
            </w:tcMar>
            <w:vAlign w:val="center"/>
          </w:tcPr>
          <w:p>
            <w:pPr>
              <w:widowControl/>
              <w:jc w:val="center"/>
              <w:rPr>
                <w:rFonts w:ascii="仿宋" w:hAnsi="仿宋" w:eastAsia="仿宋" w:cs="仿宋"/>
                <w:sz w:val="24"/>
              </w:rPr>
            </w:pPr>
            <w:r>
              <w:rPr>
                <w:rFonts w:hint="eastAsia" w:ascii="仿宋" w:hAnsi="仿宋" w:eastAsia="仿宋" w:cs="仿宋"/>
                <w:sz w:val="24"/>
              </w:rPr>
              <w:t>0.001</w:t>
            </w:r>
          </w:p>
        </w:tc>
        <w:tc>
          <w:tcPr>
            <w:tcW w:w="1200" w:type="dxa"/>
            <w:noWrap/>
            <w:tcMar>
              <w:top w:w="0" w:type="dxa"/>
              <w:left w:w="105" w:type="dxa"/>
              <w:bottom w:w="0" w:type="dxa"/>
              <w:right w:w="105" w:type="dxa"/>
            </w:tcMar>
            <w:vAlign w:val="center"/>
          </w:tcPr>
          <w:p>
            <w:pPr>
              <w:widowControl/>
              <w:jc w:val="center"/>
              <w:rPr>
                <w:rFonts w:ascii="仿宋" w:hAnsi="仿宋" w:eastAsia="仿宋" w:cs="仿宋"/>
                <w:sz w:val="24"/>
              </w:rPr>
            </w:pPr>
            <w:r>
              <w:rPr>
                <w:rFonts w:hint="eastAsia" w:ascii="仿宋" w:hAnsi="仿宋" w:eastAsia="仿宋" w:cs="仿宋"/>
                <w:sz w:val="24"/>
              </w:rPr>
              <w:t>0.01</w:t>
            </w:r>
          </w:p>
        </w:tc>
        <w:tc>
          <w:tcPr>
            <w:tcW w:w="1165" w:type="dxa"/>
            <w:noWrap/>
            <w:tcMar>
              <w:top w:w="0" w:type="dxa"/>
              <w:left w:w="105" w:type="dxa"/>
              <w:bottom w:w="0" w:type="dxa"/>
              <w:right w:w="105" w:type="dxa"/>
            </w:tcMar>
            <w:vAlign w:val="center"/>
          </w:tcPr>
          <w:p>
            <w:pPr>
              <w:widowControl/>
              <w:jc w:val="center"/>
              <w:rPr>
                <w:rFonts w:ascii="仿宋" w:hAnsi="仿宋" w:eastAsia="仿宋" w:cs="仿宋"/>
                <w:sz w:val="24"/>
              </w:rPr>
            </w:pPr>
            <w:r>
              <w:rPr>
                <w:rFonts w:hint="eastAsia" w:ascii="仿宋" w:hAnsi="仿宋" w:eastAsia="仿宋" w:cs="仿宋"/>
                <w:sz w:val="24"/>
              </w:rPr>
              <w:t>0.1</w:t>
            </w:r>
          </w:p>
        </w:tc>
        <w:tc>
          <w:tcPr>
            <w:tcW w:w="933" w:type="dxa"/>
            <w:noWrap/>
            <w:tcMar>
              <w:top w:w="0" w:type="dxa"/>
              <w:left w:w="105" w:type="dxa"/>
              <w:bottom w:w="0" w:type="dxa"/>
              <w:right w:w="105" w:type="dxa"/>
            </w:tcMar>
            <w:vAlign w:val="center"/>
          </w:tcPr>
          <w:p>
            <w:pPr>
              <w:widowControl/>
              <w:jc w:val="center"/>
              <w:rPr>
                <w:rFonts w:ascii="仿宋" w:hAnsi="仿宋" w:eastAsia="仿宋" w:cs="仿宋"/>
                <w:sz w:val="24"/>
              </w:rPr>
            </w:pPr>
            <w:r>
              <w:rPr>
                <w:rFonts w:hint="eastAsia" w:ascii="仿宋" w:hAnsi="仿宋" w:eastAsia="仿宋" w:cs="仿宋"/>
                <w:sz w:val="24"/>
              </w:rPr>
              <w:t>0.05</w:t>
            </w:r>
          </w:p>
        </w:tc>
        <w:tc>
          <w:tcPr>
            <w:tcW w:w="1200" w:type="dxa"/>
            <w:noWrap/>
            <w:tcMar>
              <w:top w:w="0" w:type="dxa"/>
              <w:left w:w="105" w:type="dxa"/>
              <w:bottom w:w="0" w:type="dxa"/>
              <w:right w:w="105" w:type="dxa"/>
            </w:tcMar>
            <w:vAlign w:val="center"/>
          </w:tcPr>
          <w:p>
            <w:pPr>
              <w:widowControl/>
              <w:jc w:val="center"/>
              <w:rPr>
                <w:rFonts w:ascii="仿宋" w:hAnsi="仿宋" w:eastAsia="仿宋" w:cs="仿宋"/>
                <w:sz w:val="24"/>
              </w:rPr>
            </w:pPr>
            <w:r>
              <w:rPr>
                <w:rFonts w:hint="eastAsia" w:ascii="仿宋" w:hAnsi="仿宋" w:eastAsia="仿宋" w:cs="仿宋"/>
                <w:sz w:val="24"/>
              </w:rPr>
              <w:t>0.1</w:t>
            </w:r>
          </w:p>
        </w:tc>
        <w:tc>
          <w:tcPr>
            <w:tcW w:w="1200" w:type="dxa"/>
            <w:noWrap/>
            <w:tcMar>
              <w:top w:w="0" w:type="dxa"/>
              <w:left w:w="105" w:type="dxa"/>
              <w:bottom w:w="0" w:type="dxa"/>
              <w:right w:w="105" w:type="dxa"/>
            </w:tcMar>
            <w:vAlign w:val="center"/>
          </w:tcPr>
          <w:p>
            <w:pPr>
              <w:widowControl/>
              <w:jc w:val="center"/>
              <w:rPr>
                <w:rFonts w:ascii="仿宋" w:hAnsi="仿宋" w:eastAsia="仿宋" w:cs="仿宋"/>
                <w:sz w:val="24"/>
              </w:rPr>
            </w:pPr>
            <w:r>
              <w:rPr>
                <w:rFonts w:hint="eastAsia" w:ascii="仿宋" w:hAnsi="仿宋" w:eastAsia="仿宋" w:cs="仿宋"/>
                <w:sz w:val="24"/>
              </w:rPr>
              <w:t>0.1</w:t>
            </w:r>
          </w:p>
        </w:tc>
        <w:tc>
          <w:tcPr>
            <w:tcW w:w="1200" w:type="dxa"/>
            <w:noWrap/>
            <w:tcMar>
              <w:top w:w="0" w:type="dxa"/>
              <w:left w:w="105" w:type="dxa"/>
              <w:bottom w:w="0" w:type="dxa"/>
              <w:right w:w="105" w:type="dxa"/>
            </w:tcMar>
            <w:vAlign w:val="center"/>
          </w:tcPr>
          <w:p>
            <w:pPr>
              <w:widowControl/>
              <w:jc w:val="center"/>
              <w:rPr>
                <w:rFonts w:ascii="仿宋" w:hAnsi="仿宋" w:eastAsia="仿宋" w:cs="仿宋"/>
                <w:sz w:val="24"/>
              </w:rPr>
            </w:pPr>
            <w:r>
              <w:rPr>
                <w:rFonts w:hint="eastAsia" w:ascii="仿宋" w:hAnsi="仿宋" w:eastAsia="仿宋" w:cs="仿宋"/>
                <w:sz w:val="24"/>
              </w:rPr>
              <w:t>8</w:t>
            </w:r>
          </w:p>
        </w:tc>
      </w:tr>
    </w:tbl>
    <w:p>
      <w:pPr>
        <w:pStyle w:val="4"/>
        <w:keepNext w:val="0"/>
        <w:numPr>
          <w:ilvl w:val="1"/>
          <w:numId w:val="0"/>
        </w:numPr>
        <w:autoSpaceDE w:val="0"/>
        <w:autoSpaceDN w:val="0"/>
        <w:adjustRightInd w:val="0"/>
        <w:snapToGrid w:val="0"/>
        <w:spacing w:beforeLines="50" w:afterLines="50" w:line="500" w:lineRule="exact"/>
        <w:ind w:firstLine="482" w:firstLineChars="200"/>
        <w:jc w:val="left"/>
        <w:rPr>
          <w:rFonts w:ascii="仿宋" w:hAnsi="仿宋" w:eastAsia="仿宋" w:cs="仿宋"/>
          <w:b w:val="0"/>
          <w:sz w:val="24"/>
          <w:szCs w:val="24"/>
        </w:rPr>
      </w:pPr>
      <w:r>
        <w:rPr>
          <w:rFonts w:hint="eastAsia" w:ascii="仿宋" w:hAnsi="仿宋" w:eastAsia="仿宋" w:cs="仿宋"/>
          <w:sz w:val="24"/>
        </w:rPr>
        <w:t>★</w:t>
      </w:r>
      <w:r>
        <w:rPr>
          <w:rFonts w:hint="eastAsia" w:ascii="仿宋" w:hAnsi="仿宋" w:eastAsia="仿宋" w:cs="仿宋"/>
          <w:bCs w:val="0"/>
          <w:sz w:val="24"/>
          <w:szCs w:val="24"/>
        </w:rPr>
        <w:t>3、污水处理工艺</w:t>
      </w:r>
    </w:p>
    <w:p>
      <w:pPr>
        <w:pStyle w:val="5"/>
        <w:keepNext w:val="0"/>
        <w:numPr>
          <w:ilvl w:val="2"/>
          <w:numId w:val="0"/>
        </w:numPr>
        <w:autoSpaceDE w:val="0"/>
        <w:autoSpaceDN w:val="0"/>
        <w:adjustRightInd w:val="0"/>
        <w:snapToGrid w:val="0"/>
        <w:spacing w:beforeLines="50" w:afterLines="20" w:line="500" w:lineRule="exact"/>
        <w:ind w:firstLine="480" w:firstLineChars="200"/>
        <w:jc w:val="left"/>
        <w:rPr>
          <w:rFonts w:ascii="仿宋" w:hAnsi="仿宋" w:eastAsia="仿宋" w:cs="仿宋"/>
          <w:b w:val="0"/>
          <w:bCs w:val="0"/>
          <w:sz w:val="24"/>
          <w:szCs w:val="24"/>
        </w:rPr>
      </w:pPr>
      <w:r>
        <w:rPr>
          <w:rFonts w:hint="eastAsia" w:ascii="仿宋" w:hAnsi="仿宋" w:eastAsia="仿宋" w:cs="仿宋"/>
          <w:b w:val="0"/>
          <w:bCs w:val="0"/>
          <w:sz w:val="24"/>
          <w:szCs w:val="24"/>
        </w:rPr>
        <w:t>根据设计进水浓度和出水水质要求，提供符合要求的处理工艺。</w:t>
      </w:r>
    </w:p>
    <w:p>
      <w:pPr>
        <w:pStyle w:val="5"/>
        <w:keepNext w:val="0"/>
        <w:numPr>
          <w:ilvl w:val="2"/>
          <w:numId w:val="0"/>
        </w:numPr>
        <w:autoSpaceDE w:val="0"/>
        <w:autoSpaceDN w:val="0"/>
        <w:adjustRightInd w:val="0"/>
        <w:snapToGrid w:val="0"/>
        <w:spacing w:beforeLines="50" w:afterLines="20" w:line="500" w:lineRule="exact"/>
        <w:ind w:firstLine="482" w:firstLineChars="200"/>
        <w:jc w:val="left"/>
        <w:rPr>
          <w:rFonts w:ascii="仿宋" w:hAnsi="仿宋" w:eastAsia="仿宋" w:cs="仿宋"/>
          <w:b w:val="0"/>
          <w:sz w:val="24"/>
          <w:szCs w:val="24"/>
        </w:rPr>
      </w:pPr>
      <w:r>
        <w:rPr>
          <w:rFonts w:hint="eastAsia" w:ascii="仿宋" w:hAnsi="仿宋" w:eastAsia="仿宋" w:cs="仿宋"/>
          <w:sz w:val="24"/>
        </w:rPr>
        <w:t>★</w:t>
      </w:r>
      <w:r>
        <w:rPr>
          <w:rFonts w:hint="eastAsia" w:ascii="仿宋" w:hAnsi="仿宋" w:eastAsia="仿宋" w:cs="仿宋"/>
          <w:bCs w:val="0"/>
          <w:sz w:val="24"/>
          <w:szCs w:val="24"/>
        </w:rPr>
        <w:t>4、废水处理综合服务费</w:t>
      </w:r>
    </w:p>
    <w:p>
      <w:pPr>
        <w:spacing w:line="500" w:lineRule="exact"/>
        <w:ind w:firstLine="480" w:firstLineChars="200"/>
        <w:jc w:val="left"/>
        <w:rPr>
          <w:rFonts w:ascii="仿宋" w:hAnsi="仿宋" w:eastAsia="仿宋" w:cs="仿宋"/>
          <w:sz w:val="24"/>
        </w:rPr>
      </w:pPr>
      <w:r>
        <w:rPr>
          <w:rFonts w:hint="eastAsia" w:ascii="仿宋" w:hAnsi="仿宋" w:eastAsia="仿宋" w:cs="仿宋"/>
          <w:sz w:val="24"/>
        </w:rPr>
        <w:t>东升及西航港垃圾压缩站垃圾渗滤液及冲洗废水处理项目吨水单价按现阶段实际最大产水量200吨每天（东升及及西航港垃圾压缩站各100吨每天）测算，废水处理综合服务费单价控制价为109元/吨，保底水量按照现阶段实际最大产水量的60%取值（即东升及西航港压缩站各60吨每天）。废水处理服务费包括设施设备建设费、人工费、水电费、污水运输费、污泥处置相关费、设备维护保养费、设备大修费、24小时在线监测、管理费、税费、利润等产生的费用。</w:t>
      </w:r>
    </w:p>
    <w:p>
      <w:pPr>
        <w:pStyle w:val="5"/>
        <w:keepNext w:val="0"/>
        <w:autoSpaceDE w:val="0"/>
        <w:autoSpaceDN w:val="0"/>
        <w:adjustRightInd w:val="0"/>
        <w:snapToGrid w:val="0"/>
        <w:spacing w:beforeLines="50" w:afterLines="20" w:line="500" w:lineRule="exact"/>
        <w:ind w:firstLine="472" w:firstLineChars="196"/>
        <w:jc w:val="left"/>
        <w:rPr>
          <w:rFonts w:ascii="仿宋" w:hAnsi="仿宋" w:eastAsia="仿宋" w:cs="仿宋"/>
          <w:bCs w:val="0"/>
          <w:sz w:val="24"/>
          <w:szCs w:val="24"/>
        </w:rPr>
      </w:pPr>
      <w:r>
        <w:rPr>
          <w:rFonts w:hint="eastAsia" w:ascii="仿宋" w:hAnsi="仿宋" w:eastAsia="仿宋" w:cs="仿宋"/>
          <w:sz w:val="24"/>
        </w:rPr>
        <w:t>★5、</w:t>
      </w:r>
      <w:r>
        <w:rPr>
          <w:rFonts w:hint="eastAsia" w:ascii="仿宋" w:hAnsi="仿宋" w:eastAsia="仿宋" w:cs="仿宋"/>
          <w:bCs w:val="0"/>
          <w:sz w:val="24"/>
          <w:szCs w:val="24"/>
        </w:rPr>
        <w:t>其他要求</w:t>
      </w:r>
    </w:p>
    <w:p>
      <w:pPr>
        <w:pStyle w:val="65"/>
        <w:spacing w:line="360" w:lineRule="auto"/>
        <w:ind w:left="0" w:firstLine="480" w:firstLineChars="200"/>
        <w:rPr>
          <w:rFonts w:ascii="仿宋" w:hAnsi="仿宋" w:eastAsia="仿宋" w:cs="仿宋"/>
          <w:sz w:val="24"/>
        </w:rPr>
      </w:pPr>
      <w:bookmarkStart w:id="214" w:name="_Toc53428676"/>
      <w:bookmarkStart w:id="215" w:name="_Toc53352623"/>
      <w:r>
        <w:rPr>
          <w:rFonts w:hint="eastAsia" w:ascii="仿宋" w:hAnsi="仿宋" w:eastAsia="仿宋" w:cs="仿宋"/>
          <w:sz w:val="24"/>
        </w:rPr>
        <w:t>5.1、渗滤液处理工程的安全、卫生、防火要符合业主的管理要求，并接受各级监管部门的监督管理，在保证系统运行安全、质量等要求的前提下，避免或减少故障的发生，确保设备和人员的安全，安全隐患整改及时。若发生事故，由此产生的一切连带责任及经济损失由中标公司负责。</w:t>
      </w:r>
    </w:p>
    <w:p>
      <w:pPr>
        <w:pStyle w:val="65"/>
        <w:spacing w:line="360" w:lineRule="auto"/>
        <w:ind w:left="0" w:firstLine="480" w:firstLineChars="200"/>
        <w:rPr>
          <w:rFonts w:ascii="仿宋" w:hAnsi="仿宋" w:eastAsia="仿宋" w:cs="仿宋"/>
          <w:sz w:val="24"/>
        </w:rPr>
      </w:pPr>
      <w:r>
        <w:rPr>
          <w:rFonts w:hint="eastAsia" w:ascii="仿宋" w:hAnsi="仿宋" w:eastAsia="仿宋" w:cs="仿宋"/>
          <w:sz w:val="24"/>
        </w:rPr>
        <w:t>5.2、运行服务范围为从隔油沉砂池至渗滤液处理中清水排放口的系统的运行管理和设备维护。</w:t>
      </w:r>
    </w:p>
    <w:p>
      <w:pPr>
        <w:pStyle w:val="65"/>
        <w:spacing w:line="360" w:lineRule="auto"/>
        <w:ind w:left="0" w:firstLine="480" w:firstLineChars="200"/>
        <w:rPr>
          <w:rFonts w:ascii="仿宋" w:hAnsi="仿宋" w:eastAsia="仿宋" w:cs="仿宋"/>
          <w:sz w:val="24"/>
        </w:rPr>
      </w:pPr>
      <w:r>
        <w:rPr>
          <w:rFonts w:hint="eastAsia" w:ascii="仿宋" w:hAnsi="仿宋" w:eastAsia="仿宋" w:cs="仿宋"/>
          <w:sz w:val="24"/>
        </w:rPr>
        <w:t>5.3、中标公司负责渗滤液处理系统的达标排放，保证各出水指标达标运行，其排水水质执行《污水综合排放标准》（GB8978-1996）三级排放标准、《污水排入城镇下水道水质标准》（GB/T31962-2015）和《成都市环境保护局关于垃圾转运站垃圾渗滤液与冲洗废水处理有关意见的复函》中关于重金属指标的排放标准。</w:t>
      </w:r>
    </w:p>
    <w:p>
      <w:pPr>
        <w:pStyle w:val="65"/>
        <w:spacing w:line="360" w:lineRule="auto"/>
        <w:ind w:left="0" w:firstLine="480" w:firstLineChars="200"/>
        <w:rPr>
          <w:rFonts w:ascii="仿宋" w:hAnsi="仿宋" w:eastAsia="仿宋" w:cs="仿宋"/>
          <w:sz w:val="24"/>
        </w:rPr>
      </w:pPr>
      <w:r>
        <w:rPr>
          <w:rFonts w:hint="eastAsia" w:ascii="仿宋" w:hAnsi="仿宋" w:eastAsia="仿宋" w:cs="仿宋"/>
          <w:sz w:val="24"/>
        </w:rPr>
        <w:t>5.4、渗滤液处理工程人员配备需做到每天24小时运转模式，至少配备厂长兼技术负责人1名、每班配备机械设备修理人员1名、环境污染设施运行人员2名、每年运营天数不得低于362天，用工必须符合劳动法要求，同时设备检修期间必须采取应急处理方式，防止污水直接排入污水管网。管理人员和运行人员必须持证上岗。负责提供管理、运行人员必备的卫生防护设施和管理人员的安全、技术培训。</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5.5、渗滤液处理各环节采用密闭设备，并安装除尘除臭装置，不间断地密闭除臭。同时车间外围、爆氧池配备移动喷淋除臭设备，全天24小时不间断除臭。对固定喷淋除臭消洒不到位的地方进行人工消洒。</w:t>
      </w:r>
    </w:p>
    <w:p>
      <w:pPr>
        <w:pStyle w:val="65"/>
        <w:spacing w:line="360" w:lineRule="auto"/>
        <w:ind w:left="0" w:firstLine="480" w:firstLineChars="200"/>
        <w:rPr>
          <w:rFonts w:ascii="仿宋" w:hAnsi="仿宋" w:eastAsia="仿宋" w:cs="仿宋"/>
          <w:sz w:val="24"/>
        </w:rPr>
      </w:pPr>
      <w:r>
        <w:rPr>
          <w:rFonts w:hint="eastAsia" w:ascii="仿宋" w:hAnsi="仿宋" w:eastAsia="仿宋" w:cs="仿宋"/>
          <w:sz w:val="24"/>
        </w:rPr>
        <w:t>5.6、日常设备维护保养:为保证设施工况正常运转，需制定设备维护保养制度，对相应设备定期做维护保养（更换润滑油、更换配件、维修校正等）。</w:t>
      </w:r>
    </w:p>
    <w:p>
      <w:pPr>
        <w:pStyle w:val="65"/>
        <w:spacing w:line="360" w:lineRule="auto"/>
        <w:ind w:left="0" w:firstLine="480" w:firstLineChars="200"/>
        <w:rPr>
          <w:rFonts w:ascii="仿宋" w:hAnsi="仿宋" w:eastAsia="仿宋" w:cs="仿宋"/>
          <w:sz w:val="24"/>
        </w:rPr>
      </w:pPr>
      <w:r>
        <w:rPr>
          <w:rFonts w:hint="eastAsia" w:ascii="仿宋" w:hAnsi="仿宋" w:eastAsia="仿宋" w:cs="仿宋"/>
          <w:sz w:val="24"/>
        </w:rPr>
        <w:t>5.7、每周排水口化验监测：COD，BOD，SS，动植物油，氨氮，TN,TP。每月对排水口总汞、纵镉、总铬、六价铬、总砷、总铅、总余氯进行监测一次。</w:t>
      </w:r>
    </w:p>
    <w:p>
      <w:pPr>
        <w:pStyle w:val="65"/>
        <w:spacing w:line="360" w:lineRule="auto"/>
        <w:ind w:left="0" w:firstLine="480" w:firstLineChars="200"/>
        <w:rPr>
          <w:rFonts w:ascii="仿宋" w:hAnsi="仿宋" w:eastAsia="仿宋" w:cs="仿宋"/>
          <w:sz w:val="24"/>
        </w:rPr>
      </w:pPr>
      <w:r>
        <w:rPr>
          <w:rFonts w:hint="eastAsia" w:ascii="仿宋" w:hAnsi="仿宋" w:eastAsia="仿宋" w:cs="仿宋"/>
          <w:sz w:val="24"/>
        </w:rPr>
        <w:t>每月进水口化验监测：COD，BOD，SS，动植物油，氨氮，TN,TP，总汞、纵镉、总铬、六价铬、总砷、总铅、总余氯。</w:t>
      </w:r>
    </w:p>
    <w:p>
      <w:pPr>
        <w:pStyle w:val="65"/>
        <w:spacing w:line="360" w:lineRule="auto"/>
        <w:ind w:left="0" w:firstLine="480" w:firstLineChars="200"/>
        <w:rPr>
          <w:rFonts w:ascii="仿宋" w:hAnsi="仿宋" w:eastAsia="仿宋" w:cs="仿宋"/>
          <w:sz w:val="24"/>
        </w:rPr>
      </w:pPr>
      <w:r>
        <w:rPr>
          <w:rFonts w:hint="eastAsia" w:ascii="仿宋" w:hAnsi="仿宋" w:eastAsia="仿宋" w:cs="仿宋"/>
          <w:sz w:val="24"/>
        </w:rPr>
        <w:t>5.8、每日在线监测： COD，TN。</w:t>
      </w:r>
    </w:p>
    <w:p>
      <w:pPr>
        <w:pStyle w:val="65"/>
        <w:spacing w:line="360" w:lineRule="auto"/>
        <w:ind w:left="0" w:firstLine="480" w:firstLineChars="200"/>
        <w:rPr>
          <w:rFonts w:ascii="仿宋" w:hAnsi="仿宋" w:eastAsia="仿宋" w:cs="仿宋"/>
          <w:sz w:val="24"/>
        </w:rPr>
      </w:pPr>
      <w:r>
        <w:rPr>
          <w:rFonts w:hint="eastAsia" w:ascii="仿宋" w:hAnsi="仿宋" w:eastAsia="仿宋" w:cs="仿宋"/>
          <w:sz w:val="24"/>
        </w:rPr>
        <w:t>5.9、现场巡检：定期巡查设备运转参数，有无污水跑、冒、滴、漏等异常现象，根据实际异常情况采取有效措施进行处理并做好相关记录。</w:t>
      </w:r>
    </w:p>
    <w:p>
      <w:pPr>
        <w:pStyle w:val="65"/>
        <w:spacing w:line="360" w:lineRule="auto"/>
        <w:ind w:left="0" w:firstLine="480" w:firstLineChars="200"/>
        <w:rPr>
          <w:rFonts w:ascii="仿宋" w:hAnsi="仿宋" w:eastAsia="仿宋" w:cs="仿宋"/>
          <w:sz w:val="24"/>
        </w:rPr>
      </w:pPr>
      <w:r>
        <w:rPr>
          <w:rFonts w:hint="eastAsia" w:ascii="仿宋" w:hAnsi="仿宋" w:eastAsia="仿宋" w:cs="仿宋"/>
          <w:sz w:val="24"/>
        </w:rPr>
        <w:t>5.10、记录：完成日常运行记录、台账和月报表：每日做好相关报表记录《运行记录表》、《运行日志》、《日报表》、《设备维护保养记录》、《物料消耗记录》、《化验记录表》等。</w:t>
      </w:r>
    </w:p>
    <w:p>
      <w:pPr>
        <w:pStyle w:val="65"/>
        <w:spacing w:line="360" w:lineRule="auto"/>
        <w:ind w:left="0" w:firstLine="480" w:firstLineChars="200"/>
        <w:rPr>
          <w:rFonts w:ascii="仿宋" w:hAnsi="仿宋" w:eastAsia="仿宋" w:cs="仿宋"/>
          <w:sz w:val="24"/>
        </w:rPr>
      </w:pPr>
      <w:r>
        <w:rPr>
          <w:rFonts w:hint="eastAsia" w:ascii="仿宋" w:hAnsi="仿宋" w:eastAsia="仿宋" w:cs="仿宋"/>
          <w:sz w:val="24"/>
        </w:rPr>
        <w:t>5.11、中标公司负责渗滤液处理工程的所有设备的维护、保养（设备小修、润滑，更换耗材等项目）和维修，站内各排水管道的定期清理，以及各储水池的定期清理，并完成计量器具的定期检定等工作。</w:t>
      </w:r>
    </w:p>
    <w:p>
      <w:pPr>
        <w:pStyle w:val="65"/>
        <w:spacing w:line="360" w:lineRule="auto"/>
        <w:ind w:left="0" w:firstLine="480" w:firstLineChars="200"/>
        <w:rPr>
          <w:rFonts w:ascii="仿宋" w:hAnsi="仿宋" w:eastAsia="仿宋" w:cs="仿宋"/>
          <w:sz w:val="24"/>
        </w:rPr>
      </w:pPr>
      <w:r>
        <w:rPr>
          <w:rFonts w:hint="eastAsia" w:ascii="仿宋" w:hAnsi="仿宋" w:eastAsia="仿宋" w:cs="仿宋"/>
          <w:sz w:val="24"/>
        </w:rPr>
        <w:t>5.12、渗滤液处理运行中若产生污泥，污泥脱水处理后（含水率不大于80%）由中标公司负责及时清运至专业处置场地进行无害化处理，相关费用由中标公司承担。</w:t>
      </w:r>
    </w:p>
    <w:p>
      <w:pPr>
        <w:pStyle w:val="65"/>
        <w:spacing w:line="360" w:lineRule="auto"/>
        <w:ind w:left="0" w:firstLine="480" w:firstLineChars="200"/>
        <w:rPr>
          <w:rFonts w:ascii="仿宋" w:hAnsi="仿宋" w:eastAsia="仿宋" w:cs="仿宋"/>
          <w:sz w:val="24"/>
        </w:rPr>
      </w:pPr>
      <w:r>
        <w:rPr>
          <w:rFonts w:hint="eastAsia" w:ascii="仿宋" w:hAnsi="仿宋" w:eastAsia="仿宋" w:cs="仿宋"/>
          <w:sz w:val="24"/>
        </w:rPr>
        <w:t>5.13、中标公司应定时定期对渗滤液处理系统内设置排水口采样点水质进行检测，确保水质稳定，使用安全，每周向业主提交一次第三方出具的水质达标报告。</w:t>
      </w:r>
    </w:p>
    <w:p>
      <w:pPr>
        <w:pStyle w:val="65"/>
        <w:spacing w:line="360" w:lineRule="auto"/>
        <w:ind w:left="0" w:firstLine="480" w:firstLineChars="200"/>
        <w:rPr>
          <w:rFonts w:ascii="仿宋" w:hAnsi="仿宋" w:eastAsia="仿宋" w:cs="仿宋"/>
          <w:sz w:val="24"/>
        </w:rPr>
      </w:pPr>
      <w:r>
        <w:rPr>
          <w:rFonts w:hint="eastAsia" w:ascii="仿宋" w:hAnsi="仿宋" w:eastAsia="仿宋" w:cs="仿宋"/>
          <w:sz w:val="24"/>
        </w:rPr>
        <w:t>5.14、本项目的第三方环境在线监测由中标公司按环保部门的要求委托第三方有资质的单位提供在线监测设备的运行服务工作，相关费用由中标公司负责。</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5.15、本项目合同服务期满后，本项目涉及的土建及主体设施设备，中标公司不得拆除及破坏，无条件保留给业主。</w:t>
      </w:r>
      <w:bookmarkEnd w:id="214"/>
      <w:bookmarkEnd w:id="215"/>
    </w:p>
    <w:p>
      <w:pPr>
        <w:pStyle w:val="35"/>
        <w:ind w:firstLine="480"/>
        <w:rPr>
          <w:rFonts w:ascii="仿宋" w:hAnsi="仿宋" w:eastAsia="仿宋" w:cs="仿宋"/>
          <w:szCs w:val="24"/>
        </w:rPr>
      </w:pPr>
      <w:r>
        <w:rPr>
          <w:rFonts w:hint="eastAsia" w:ascii="仿宋" w:hAnsi="仿宋" w:eastAsia="仿宋" w:cs="仿宋"/>
          <w:szCs w:val="24"/>
        </w:rPr>
        <w:t>5.16、在设备故障及检修期间，供应商须将渗滤液及污水运至应急处置终端（具备接纳本项目渗滤液及污水处置资质能力）进行规范处置，须提供承诺函加盖投标人公章，并在中标后，签订合同前提供相关履约、资质及处置能力的证明材料至采购人核实，否则视作虚假承诺。</w:t>
      </w:r>
    </w:p>
    <w:p>
      <w:pPr>
        <w:pStyle w:val="35"/>
        <w:ind w:firstLine="480"/>
        <w:rPr>
          <w:rFonts w:ascii="仿宋" w:hAnsi="仿宋" w:eastAsia="仿宋" w:cs="仿宋"/>
          <w:szCs w:val="24"/>
        </w:rPr>
      </w:pPr>
      <w:r>
        <w:rPr>
          <w:rFonts w:hint="eastAsia" w:ascii="仿宋" w:hAnsi="仿宋" w:eastAsia="仿宋" w:cs="仿宋"/>
          <w:szCs w:val="24"/>
        </w:rPr>
        <w:t>5.17、</w:t>
      </w:r>
      <w:r>
        <w:rPr>
          <w:rFonts w:hint="eastAsia" w:ascii="仿宋" w:hAnsi="仿宋" w:eastAsia="仿宋" w:cs="仿宋"/>
        </w:rPr>
        <w:t>东升站外无污水管网，因此东升压缩站的污水处理达标后由中标供应商运往西航港垃圾压缩站排入市政管网；中标供应商须每天清运1车胜利填埋场的渗滤液到西航港垃圾压缩站进行无害化处理。供应商须配备密闭罐车不低于3台（密闭罐车核定载重量≥15吨），专项用于东升站及胜利填埋场污水、渗滤液转运工作，密闭罐车需接入采购人GPS监管平台。供应商</w:t>
      </w:r>
      <w:r>
        <w:rPr>
          <w:rFonts w:hint="eastAsia" w:ascii="仿宋" w:hAnsi="仿宋" w:eastAsia="仿宋" w:cs="仿宋"/>
          <w:szCs w:val="24"/>
        </w:rPr>
        <w:t>须提供承诺函加盖投标人公章，并在中标后，签订合同前提供购车或租车等证明材料至采购人核实。</w:t>
      </w:r>
    </w:p>
    <w:p>
      <w:pPr>
        <w:pStyle w:val="2"/>
      </w:pPr>
    </w:p>
    <w:p>
      <w:pPr>
        <w:ind w:firstLine="472" w:firstLineChars="196"/>
        <w:rPr>
          <w:rFonts w:ascii="仿宋" w:hAnsi="仿宋" w:eastAsia="仿宋" w:cs="仿宋"/>
          <w:b/>
          <w:bCs/>
          <w:sz w:val="24"/>
        </w:rPr>
      </w:pPr>
      <w:r>
        <w:rPr>
          <w:rFonts w:hint="eastAsia" w:ascii="仿宋" w:hAnsi="仿宋" w:eastAsia="仿宋" w:cs="仿宋"/>
          <w:b/>
          <w:sz w:val="24"/>
        </w:rPr>
        <w:t>★</w:t>
      </w:r>
      <w:r>
        <w:rPr>
          <w:rFonts w:hint="eastAsia" w:ascii="仿宋" w:hAnsi="仿宋" w:eastAsia="仿宋" w:cs="仿宋"/>
          <w:b/>
          <w:bCs/>
          <w:sz w:val="24"/>
        </w:rPr>
        <w:t>6、考核办法</w:t>
      </w:r>
    </w:p>
    <w:p>
      <w:pPr>
        <w:adjustRightInd w:val="0"/>
        <w:snapToGrid w:val="0"/>
        <w:spacing w:line="570" w:lineRule="exact"/>
        <w:jc w:val="center"/>
        <w:rPr>
          <w:rFonts w:ascii="仿宋" w:hAnsi="仿宋" w:eastAsia="仿宋" w:cs="仿宋"/>
          <w:b/>
          <w:spacing w:val="-10"/>
          <w:sz w:val="24"/>
        </w:rPr>
      </w:pPr>
      <w:r>
        <w:rPr>
          <w:rFonts w:hint="eastAsia" w:ascii="仿宋" w:hAnsi="仿宋" w:eastAsia="仿宋" w:cs="仿宋"/>
          <w:b/>
          <w:spacing w:val="-10"/>
          <w:sz w:val="24"/>
        </w:rPr>
        <w:t>生活垃圾压缩站渗滤液及冲洗废水处理服务项目考核办法</w:t>
      </w:r>
    </w:p>
    <w:p>
      <w:pPr>
        <w:adjustRightInd w:val="0"/>
        <w:snapToGrid w:val="0"/>
        <w:spacing w:line="360" w:lineRule="auto"/>
        <w:jc w:val="left"/>
        <w:rPr>
          <w:rFonts w:ascii="仿宋" w:hAnsi="仿宋" w:eastAsia="仿宋" w:cs="仿宋"/>
          <w:sz w:val="24"/>
        </w:rPr>
      </w:pPr>
    </w:p>
    <w:p>
      <w:pPr>
        <w:snapToGrid w:val="0"/>
        <w:spacing w:line="360" w:lineRule="auto"/>
        <w:jc w:val="center"/>
        <w:rPr>
          <w:rFonts w:ascii="仿宋" w:hAnsi="仿宋" w:eastAsia="仿宋" w:cs="仿宋"/>
          <w:sz w:val="24"/>
        </w:rPr>
      </w:pPr>
      <w:r>
        <w:rPr>
          <w:rFonts w:hint="eastAsia" w:ascii="仿宋" w:hAnsi="仿宋" w:eastAsia="仿宋" w:cs="仿宋"/>
          <w:sz w:val="24"/>
        </w:rPr>
        <w:t>第一章 总则</w:t>
      </w:r>
    </w:p>
    <w:p>
      <w:pPr>
        <w:snapToGrid w:val="0"/>
        <w:spacing w:line="360" w:lineRule="auto"/>
        <w:ind w:firstLine="482" w:firstLineChars="200"/>
        <w:rPr>
          <w:rFonts w:ascii="仿宋" w:hAnsi="仿宋" w:eastAsia="仿宋" w:cs="仿宋"/>
          <w:sz w:val="24"/>
        </w:rPr>
      </w:pPr>
      <w:r>
        <w:rPr>
          <w:rFonts w:hint="eastAsia" w:ascii="仿宋" w:hAnsi="仿宋" w:eastAsia="仿宋" w:cs="仿宋"/>
          <w:b/>
          <w:bCs/>
          <w:sz w:val="24"/>
        </w:rPr>
        <w:t xml:space="preserve">第一条 </w:t>
      </w:r>
      <w:r>
        <w:rPr>
          <w:rFonts w:hint="eastAsia" w:ascii="仿宋" w:hAnsi="仿宋" w:eastAsia="仿宋" w:cs="仿宋"/>
          <w:sz w:val="24"/>
        </w:rPr>
        <w:t>为加强生活垃圾渗滤液安全、环保处置，规范处置工艺流程，提高环境卫生质量，结合双流区实际，特制定本考核办法，以下简称办法。</w:t>
      </w:r>
    </w:p>
    <w:p>
      <w:pPr>
        <w:snapToGrid w:val="0"/>
        <w:spacing w:line="360" w:lineRule="auto"/>
        <w:ind w:firstLine="482" w:firstLineChars="200"/>
        <w:rPr>
          <w:rFonts w:ascii="仿宋" w:hAnsi="仿宋" w:eastAsia="仿宋" w:cs="仿宋"/>
          <w:sz w:val="24"/>
        </w:rPr>
      </w:pPr>
      <w:r>
        <w:rPr>
          <w:rFonts w:hint="eastAsia" w:ascii="仿宋" w:hAnsi="仿宋" w:eastAsia="仿宋" w:cs="仿宋"/>
          <w:b/>
          <w:bCs/>
          <w:sz w:val="24"/>
        </w:rPr>
        <w:t xml:space="preserve">第二条 </w:t>
      </w:r>
      <w:r>
        <w:rPr>
          <w:rFonts w:hint="eastAsia" w:ascii="仿宋" w:hAnsi="仿宋" w:eastAsia="仿宋" w:cs="仿宋"/>
          <w:sz w:val="24"/>
        </w:rPr>
        <w:t>考核对象为成都市双流区垃圾压缩站渗滤液及冲洗废水市场化服务处置单位。</w:t>
      </w:r>
    </w:p>
    <w:p>
      <w:pPr>
        <w:snapToGrid w:val="0"/>
        <w:spacing w:line="360" w:lineRule="auto"/>
        <w:ind w:firstLine="482" w:firstLineChars="200"/>
        <w:rPr>
          <w:rFonts w:ascii="仿宋" w:hAnsi="仿宋" w:eastAsia="仿宋" w:cs="仿宋"/>
          <w:sz w:val="24"/>
        </w:rPr>
      </w:pPr>
      <w:r>
        <w:rPr>
          <w:rFonts w:hint="eastAsia" w:ascii="仿宋" w:hAnsi="仿宋" w:eastAsia="仿宋" w:cs="仿宋"/>
          <w:b/>
          <w:bCs/>
          <w:sz w:val="24"/>
        </w:rPr>
        <w:t xml:space="preserve">第三条 </w:t>
      </w:r>
      <w:r>
        <w:rPr>
          <w:rFonts w:hint="eastAsia" w:ascii="仿宋" w:hAnsi="仿宋" w:eastAsia="仿宋" w:cs="仿宋"/>
          <w:sz w:val="24"/>
        </w:rPr>
        <w:t>考核内容：处置能力、环境卫生、除臭、设施设备管理、安全生产、制度及台账管理、环保要求与政策落实措施、达标排放等内容。</w:t>
      </w:r>
    </w:p>
    <w:p>
      <w:pPr>
        <w:snapToGrid w:val="0"/>
        <w:spacing w:line="360" w:lineRule="auto"/>
        <w:ind w:firstLine="482" w:firstLineChars="200"/>
        <w:rPr>
          <w:rFonts w:ascii="仿宋" w:hAnsi="仿宋" w:eastAsia="仿宋" w:cs="仿宋"/>
          <w:sz w:val="24"/>
        </w:rPr>
      </w:pPr>
      <w:r>
        <w:rPr>
          <w:rFonts w:hint="eastAsia" w:ascii="仿宋" w:hAnsi="仿宋" w:eastAsia="仿宋" w:cs="仿宋"/>
          <w:b/>
          <w:bCs/>
          <w:sz w:val="24"/>
        </w:rPr>
        <w:t xml:space="preserve">第四条 </w:t>
      </w:r>
      <w:r>
        <w:rPr>
          <w:rFonts w:hint="eastAsia" w:ascii="仿宋" w:hAnsi="仿宋" w:eastAsia="仿宋" w:cs="仿宋"/>
          <w:sz w:val="24"/>
        </w:rPr>
        <w:t>成都市双流区环境卫生管理所负责按照考核办法对东升和西航港垃圾压缩站渗滤液及冲洗废水处理项目作业监督、检查、考核、档案资料整理。</w:t>
      </w:r>
    </w:p>
    <w:p>
      <w:pPr>
        <w:snapToGrid w:val="0"/>
        <w:spacing w:line="360" w:lineRule="auto"/>
        <w:ind w:firstLine="482" w:firstLineChars="200"/>
        <w:rPr>
          <w:rFonts w:ascii="仿宋" w:hAnsi="仿宋" w:eastAsia="仿宋" w:cs="仿宋"/>
          <w:sz w:val="24"/>
        </w:rPr>
      </w:pPr>
      <w:r>
        <w:rPr>
          <w:rFonts w:hint="eastAsia" w:ascii="仿宋" w:hAnsi="仿宋" w:eastAsia="仿宋" w:cs="仿宋"/>
          <w:b/>
          <w:bCs/>
          <w:sz w:val="24"/>
        </w:rPr>
        <w:t xml:space="preserve">第五条 </w:t>
      </w:r>
      <w:r>
        <w:rPr>
          <w:rFonts w:hint="eastAsia" w:ascii="仿宋" w:hAnsi="仿宋" w:eastAsia="仿宋" w:cs="仿宋"/>
          <w:sz w:val="24"/>
        </w:rPr>
        <w:t>考核主要采取现场检查、随机性巡查等方式开展，人大政协代表检查、第三方测评、新闻媒体监督、各级领导检查、查证属实的群众投诉等纳入考核评分。</w:t>
      </w:r>
    </w:p>
    <w:p>
      <w:pPr>
        <w:snapToGrid w:val="0"/>
        <w:spacing w:line="360" w:lineRule="auto"/>
        <w:jc w:val="center"/>
        <w:rPr>
          <w:rFonts w:ascii="仿宋" w:hAnsi="仿宋" w:eastAsia="仿宋" w:cs="仿宋"/>
          <w:sz w:val="24"/>
        </w:rPr>
      </w:pPr>
      <w:r>
        <w:rPr>
          <w:rFonts w:hint="eastAsia" w:ascii="仿宋" w:hAnsi="仿宋" w:eastAsia="仿宋" w:cs="仿宋"/>
          <w:sz w:val="24"/>
        </w:rPr>
        <w:t>第二章 生产运行标准</w:t>
      </w:r>
    </w:p>
    <w:p>
      <w:pPr>
        <w:pStyle w:val="65"/>
        <w:adjustRightInd w:val="0"/>
        <w:snapToGrid w:val="0"/>
        <w:spacing w:line="360" w:lineRule="auto"/>
        <w:ind w:left="0" w:firstLine="482" w:firstLineChars="200"/>
        <w:jc w:val="left"/>
        <w:rPr>
          <w:rFonts w:ascii="仿宋" w:hAnsi="仿宋" w:eastAsia="仿宋" w:cs="仿宋"/>
          <w:sz w:val="24"/>
        </w:rPr>
      </w:pPr>
      <w:r>
        <w:rPr>
          <w:rFonts w:hint="eastAsia" w:ascii="仿宋" w:hAnsi="仿宋" w:eastAsia="仿宋" w:cs="仿宋"/>
          <w:b/>
          <w:bCs/>
          <w:sz w:val="24"/>
        </w:rPr>
        <w:t xml:space="preserve">第六条 </w:t>
      </w:r>
      <w:r>
        <w:rPr>
          <w:rFonts w:hint="eastAsia" w:ascii="仿宋" w:hAnsi="仿宋" w:eastAsia="仿宋" w:cs="仿宋"/>
          <w:sz w:val="24"/>
        </w:rPr>
        <w:t>处理工艺</w:t>
      </w:r>
    </w:p>
    <w:p>
      <w:pPr>
        <w:snapToGrid w:val="0"/>
        <w:spacing w:line="360" w:lineRule="auto"/>
        <w:ind w:firstLine="556" w:firstLineChars="232"/>
        <w:rPr>
          <w:rFonts w:ascii="仿宋" w:hAnsi="仿宋" w:eastAsia="仿宋" w:cs="仿宋"/>
          <w:sz w:val="24"/>
        </w:rPr>
      </w:pPr>
      <w:r>
        <w:rPr>
          <w:rFonts w:hint="eastAsia" w:ascii="仿宋" w:hAnsi="仿宋" w:eastAsia="仿宋" w:cs="仿宋"/>
          <w:sz w:val="24"/>
        </w:rPr>
        <w:t>1、东升和西航港垃圾压缩站各配置一个满足100m³（含）以上容量的存储池，采用符合进水浓度和出水水质要求的处理工艺，东升垃圾压缩站日处理量为100吨；西航港垃圾压缩站日处理量为100吨；合计日处理量为200吨，最低日处理量为120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出水水质达标、脱水污泥含水率达标，符合《污水综合排放标准》(GB8978-1996)、《污水排入城镇下水道水质标准》（GB/T31962-2015）和《成都市环境保护局关于垃圾转运站垃圾渗滤液与冲洗废水处理有关意见的复函》中关于重金属指标的排放标准。排放标准限值详见下表：</w:t>
      </w:r>
    </w:p>
    <w:p>
      <w:pPr>
        <w:pStyle w:val="35"/>
        <w:ind w:firstLine="480"/>
        <w:rPr>
          <w:rFonts w:ascii="仿宋" w:hAnsi="仿宋" w:eastAsia="仿宋" w:cs="仿宋"/>
          <w:szCs w:val="24"/>
        </w:rPr>
      </w:pPr>
    </w:p>
    <w:tbl>
      <w:tblPr>
        <w:tblStyle w:val="29"/>
        <w:tblW w:w="8504" w:type="dxa"/>
        <w:jc w:val="center"/>
        <w:tblLayout w:type="fixed"/>
        <w:tblCellMar>
          <w:top w:w="15" w:type="dxa"/>
          <w:left w:w="15" w:type="dxa"/>
          <w:bottom w:w="15" w:type="dxa"/>
          <w:right w:w="15" w:type="dxa"/>
        </w:tblCellMar>
      </w:tblPr>
      <w:tblGrid>
        <w:gridCol w:w="1976"/>
        <w:gridCol w:w="2074"/>
        <w:gridCol w:w="3285"/>
        <w:gridCol w:w="1169"/>
      </w:tblGrid>
      <w:tr>
        <w:tblPrEx>
          <w:tblCellMar>
            <w:top w:w="15" w:type="dxa"/>
            <w:left w:w="15" w:type="dxa"/>
            <w:bottom w:w="15" w:type="dxa"/>
            <w:right w:w="15" w:type="dxa"/>
          </w:tblCellMar>
        </w:tblPrEx>
        <w:trPr>
          <w:trHeight w:val="454" w:hRule="exact"/>
          <w:jc w:val="center"/>
        </w:trPr>
        <w:tc>
          <w:tcPr>
            <w:tcW w:w="19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rPr>
              <w:t>控制项目</w:t>
            </w:r>
          </w:p>
        </w:tc>
        <w:tc>
          <w:tcPr>
            <w:tcW w:w="207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rPr>
              <w:t>排放限值（mg/L）</w:t>
            </w:r>
          </w:p>
        </w:tc>
        <w:tc>
          <w:tcPr>
            <w:tcW w:w="328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排放标准</w:t>
            </w:r>
          </w:p>
        </w:tc>
        <w:tc>
          <w:tcPr>
            <w:tcW w:w="11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备注</w:t>
            </w:r>
          </w:p>
        </w:tc>
      </w:tr>
      <w:tr>
        <w:tblPrEx>
          <w:tblCellMar>
            <w:top w:w="15" w:type="dxa"/>
            <w:left w:w="15" w:type="dxa"/>
            <w:bottom w:w="15" w:type="dxa"/>
            <w:right w:w="15" w:type="dxa"/>
          </w:tblCellMar>
        </w:tblPrEx>
        <w:trPr>
          <w:trHeight w:val="454" w:hRule="exact"/>
          <w:jc w:val="center"/>
        </w:trPr>
        <w:tc>
          <w:tcPr>
            <w:tcW w:w="19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rPr>
              <w:t>化学需氧量（COD）</w:t>
            </w:r>
          </w:p>
        </w:tc>
        <w:tc>
          <w:tcPr>
            <w:tcW w:w="207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sz w:val="24"/>
              </w:rPr>
            </w:pPr>
            <w:r>
              <w:rPr>
                <w:rFonts w:hint="eastAsia" w:ascii="仿宋" w:hAnsi="仿宋" w:eastAsia="仿宋" w:cs="仿宋"/>
                <w:sz w:val="24"/>
              </w:rPr>
              <w:t>500</w:t>
            </w:r>
          </w:p>
        </w:tc>
        <w:tc>
          <w:tcPr>
            <w:tcW w:w="3285"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《污水综合排放标准》(GB8978-1996)</w:t>
            </w:r>
          </w:p>
        </w:tc>
        <w:tc>
          <w:tcPr>
            <w:tcW w:w="11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kern w:val="0"/>
                <w:sz w:val="24"/>
              </w:rPr>
            </w:pPr>
          </w:p>
        </w:tc>
      </w:tr>
      <w:tr>
        <w:tblPrEx>
          <w:tblCellMar>
            <w:top w:w="15" w:type="dxa"/>
            <w:left w:w="15" w:type="dxa"/>
            <w:bottom w:w="15" w:type="dxa"/>
            <w:right w:w="15" w:type="dxa"/>
          </w:tblCellMar>
        </w:tblPrEx>
        <w:trPr>
          <w:trHeight w:val="454" w:hRule="exact"/>
          <w:jc w:val="center"/>
        </w:trPr>
        <w:tc>
          <w:tcPr>
            <w:tcW w:w="19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sz w:val="24"/>
                <w:lang w:eastAsia="zh-TW"/>
              </w:rPr>
            </w:pPr>
            <w:r>
              <w:rPr>
                <w:rFonts w:hint="eastAsia" w:ascii="仿宋" w:hAnsi="仿宋" w:eastAsia="仿宋" w:cs="仿宋"/>
                <w:kern w:val="0"/>
                <w:sz w:val="24"/>
              </w:rPr>
              <w:t>生化需氧量（BOD）</w:t>
            </w:r>
          </w:p>
        </w:tc>
        <w:tc>
          <w:tcPr>
            <w:tcW w:w="207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sz w:val="24"/>
              </w:rPr>
            </w:pPr>
            <w:r>
              <w:rPr>
                <w:rFonts w:hint="eastAsia" w:ascii="仿宋" w:hAnsi="仿宋" w:eastAsia="仿宋" w:cs="仿宋"/>
                <w:sz w:val="24"/>
              </w:rPr>
              <w:t>300</w:t>
            </w:r>
          </w:p>
        </w:tc>
        <w:tc>
          <w:tcPr>
            <w:tcW w:w="3285" w:type="dxa"/>
            <w:vMerge w:val="continue"/>
            <w:tcBorders>
              <w:left w:val="single" w:color="000000" w:sz="4" w:space="0"/>
              <w:right w:val="single" w:color="000000" w:sz="4" w:space="0"/>
            </w:tcBorders>
            <w:noWrap/>
            <w:vAlign w:val="center"/>
          </w:tcPr>
          <w:p>
            <w:pPr>
              <w:widowControl/>
              <w:jc w:val="center"/>
              <w:textAlignment w:val="center"/>
              <w:rPr>
                <w:rFonts w:ascii="仿宋" w:hAnsi="仿宋" w:eastAsia="仿宋" w:cs="仿宋"/>
                <w:kern w:val="0"/>
                <w:sz w:val="24"/>
              </w:rPr>
            </w:pPr>
          </w:p>
        </w:tc>
        <w:tc>
          <w:tcPr>
            <w:tcW w:w="11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kern w:val="0"/>
                <w:sz w:val="24"/>
              </w:rPr>
            </w:pPr>
          </w:p>
        </w:tc>
      </w:tr>
      <w:tr>
        <w:tblPrEx>
          <w:tblCellMar>
            <w:top w:w="15" w:type="dxa"/>
            <w:left w:w="15" w:type="dxa"/>
            <w:bottom w:w="15" w:type="dxa"/>
            <w:right w:w="15" w:type="dxa"/>
          </w:tblCellMar>
        </w:tblPrEx>
        <w:trPr>
          <w:trHeight w:val="454" w:hRule="exact"/>
          <w:jc w:val="center"/>
        </w:trPr>
        <w:tc>
          <w:tcPr>
            <w:tcW w:w="19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sz w:val="24"/>
                <w:lang w:eastAsia="zh-TW"/>
              </w:rPr>
            </w:pPr>
            <w:r>
              <w:rPr>
                <w:rFonts w:hint="eastAsia" w:ascii="仿宋" w:hAnsi="仿宋" w:eastAsia="仿宋" w:cs="仿宋"/>
                <w:kern w:val="0"/>
                <w:sz w:val="24"/>
              </w:rPr>
              <w:t>悬浮物（SS）</w:t>
            </w:r>
          </w:p>
        </w:tc>
        <w:tc>
          <w:tcPr>
            <w:tcW w:w="207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sz w:val="24"/>
              </w:rPr>
            </w:pPr>
            <w:r>
              <w:rPr>
                <w:rFonts w:hint="eastAsia" w:ascii="仿宋" w:hAnsi="仿宋" w:eastAsia="仿宋" w:cs="仿宋"/>
                <w:sz w:val="24"/>
              </w:rPr>
              <w:t>400</w:t>
            </w:r>
          </w:p>
        </w:tc>
        <w:tc>
          <w:tcPr>
            <w:tcW w:w="3285" w:type="dxa"/>
            <w:vMerge w:val="continue"/>
            <w:tcBorders>
              <w:left w:val="single" w:color="000000" w:sz="4" w:space="0"/>
              <w:bottom w:val="single" w:color="auto" w:sz="4" w:space="0"/>
              <w:right w:val="single" w:color="000000" w:sz="4" w:space="0"/>
            </w:tcBorders>
            <w:noWrap/>
            <w:vAlign w:val="center"/>
          </w:tcPr>
          <w:p>
            <w:pPr>
              <w:widowControl/>
              <w:jc w:val="center"/>
              <w:textAlignment w:val="center"/>
              <w:rPr>
                <w:rFonts w:ascii="仿宋" w:hAnsi="仿宋" w:eastAsia="仿宋" w:cs="仿宋"/>
                <w:kern w:val="0"/>
                <w:sz w:val="24"/>
              </w:rPr>
            </w:pPr>
          </w:p>
        </w:tc>
        <w:tc>
          <w:tcPr>
            <w:tcW w:w="11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kern w:val="0"/>
                <w:sz w:val="24"/>
              </w:rPr>
            </w:pPr>
          </w:p>
        </w:tc>
      </w:tr>
      <w:tr>
        <w:tblPrEx>
          <w:tblCellMar>
            <w:top w:w="15" w:type="dxa"/>
            <w:left w:w="15" w:type="dxa"/>
            <w:bottom w:w="15" w:type="dxa"/>
            <w:right w:w="15" w:type="dxa"/>
          </w:tblCellMar>
        </w:tblPrEx>
        <w:trPr>
          <w:trHeight w:val="454" w:hRule="exact"/>
          <w:jc w:val="center"/>
        </w:trPr>
        <w:tc>
          <w:tcPr>
            <w:tcW w:w="19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氨氮</w:t>
            </w:r>
          </w:p>
        </w:tc>
        <w:tc>
          <w:tcPr>
            <w:tcW w:w="207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sz w:val="24"/>
              </w:rPr>
            </w:pPr>
            <w:r>
              <w:rPr>
                <w:rFonts w:hint="eastAsia" w:ascii="仿宋" w:hAnsi="仿宋" w:eastAsia="仿宋" w:cs="仿宋"/>
                <w:sz w:val="24"/>
              </w:rPr>
              <w:t>45</w:t>
            </w:r>
          </w:p>
        </w:tc>
        <w:tc>
          <w:tcPr>
            <w:tcW w:w="3285" w:type="dxa"/>
            <w:vMerge w:val="restart"/>
            <w:tcBorders>
              <w:left w:val="single" w:color="000000" w:sz="4" w:space="0"/>
              <w:right w:val="single" w:color="000000" w:sz="4" w:space="0"/>
            </w:tcBorders>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《污水排入城镇下水道水质标准》（GB/T31962-2015）</w:t>
            </w:r>
          </w:p>
        </w:tc>
        <w:tc>
          <w:tcPr>
            <w:tcW w:w="11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kern w:val="0"/>
                <w:sz w:val="24"/>
              </w:rPr>
            </w:pPr>
          </w:p>
        </w:tc>
      </w:tr>
      <w:tr>
        <w:tblPrEx>
          <w:tblCellMar>
            <w:top w:w="15" w:type="dxa"/>
            <w:left w:w="15" w:type="dxa"/>
            <w:bottom w:w="15" w:type="dxa"/>
            <w:right w:w="15" w:type="dxa"/>
          </w:tblCellMar>
        </w:tblPrEx>
        <w:trPr>
          <w:trHeight w:val="454" w:hRule="exact"/>
          <w:jc w:val="center"/>
        </w:trPr>
        <w:tc>
          <w:tcPr>
            <w:tcW w:w="19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TN</w:t>
            </w:r>
          </w:p>
        </w:tc>
        <w:tc>
          <w:tcPr>
            <w:tcW w:w="207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sz w:val="24"/>
              </w:rPr>
            </w:pPr>
            <w:r>
              <w:rPr>
                <w:rFonts w:hint="eastAsia" w:ascii="仿宋" w:hAnsi="仿宋" w:eastAsia="仿宋" w:cs="仿宋"/>
                <w:sz w:val="24"/>
              </w:rPr>
              <w:t>70</w:t>
            </w:r>
          </w:p>
        </w:tc>
        <w:tc>
          <w:tcPr>
            <w:tcW w:w="3285" w:type="dxa"/>
            <w:vMerge w:val="continue"/>
            <w:tcBorders>
              <w:left w:val="single" w:color="000000" w:sz="4" w:space="0"/>
              <w:right w:val="single" w:color="000000" w:sz="4" w:space="0"/>
            </w:tcBorders>
            <w:noWrap/>
            <w:vAlign w:val="center"/>
          </w:tcPr>
          <w:p>
            <w:pPr>
              <w:widowControl/>
              <w:jc w:val="center"/>
              <w:textAlignment w:val="center"/>
              <w:rPr>
                <w:rFonts w:ascii="仿宋" w:hAnsi="仿宋" w:eastAsia="仿宋" w:cs="仿宋"/>
                <w:kern w:val="0"/>
                <w:sz w:val="24"/>
              </w:rPr>
            </w:pPr>
          </w:p>
        </w:tc>
        <w:tc>
          <w:tcPr>
            <w:tcW w:w="11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kern w:val="0"/>
                <w:sz w:val="24"/>
              </w:rPr>
            </w:pPr>
          </w:p>
        </w:tc>
      </w:tr>
      <w:tr>
        <w:tblPrEx>
          <w:tblCellMar>
            <w:top w:w="15" w:type="dxa"/>
            <w:left w:w="15" w:type="dxa"/>
            <w:bottom w:w="15" w:type="dxa"/>
            <w:right w:w="15" w:type="dxa"/>
          </w:tblCellMar>
        </w:tblPrEx>
        <w:trPr>
          <w:trHeight w:val="454" w:hRule="exact"/>
          <w:jc w:val="center"/>
        </w:trPr>
        <w:tc>
          <w:tcPr>
            <w:tcW w:w="19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TP</w:t>
            </w:r>
          </w:p>
        </w:tc>
        <w:tc>
          <w:tcPr>
            <w:tcW w:w="207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sz w:val="24"/>
              </w:rPr>
            </w:pPr>
            <w:r>
              <w:rPr>
                <w:rFonts w:hint="eastAsia" w:ascii="仿宋" w:hAnsi="仿宋" w:eastAsia="仿宋" w:cs="仿宋"/>
                <w:sz w:val="24"/>
              </w:rPr>
              <w:t>8</w:t>
            </w:r>
          </w:p>
        </w:tc>
        <w:tc>
          <w:tcPr>
            <w:tcW w:w="3285" w:type="dxa"/>
            <w:vMerge w:val="continue"/>
            <w:tcBorders>
              <w:left w:val="single" w:color="000000" w:sz="4" w:space="0"/>
              <w:right w:val="single" w:color="000000" w:sz="4" w:space="0"/>
            </w:tcBorders>
            <w:noWrap/>
            <w:vAlign w:val="center"/>
          </w:tcPr>
          <w:p>
            <w:pPr>
              <w:widowControl/>
              <w:jc w:val="center"/>
              <w:textAlignment w:val="center"/>
              <w:rPr>
                <w:rFonts w:ascii="仿宋" w:hAnsi="仿宋" w:eastAsia="仿宋" w:cs="仿宋"/>
                <w:kern w:val="0"/>
                <w:sz w:val="24"/>
              </w:rPr>
            </w:pPr>
          </w:p>
        </w:tc>
        <w:tc>
          <w:tcPr>
            <w:tcW w:w="11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kern w:val="0"/>
                <w:sz w:val="24"/>
              </w:rPr>
            </w:pPr>
          </w:p>
        </w:tc>
      </w:tr>
      <w:tr>
        <w:tblPrEx>
          <w:tblCellMar>
            <w:top w:w="15" w:type="dxa"/>
            <w:left w:w="15" w:type="dxa"/>
            <w:bottom w:w="15" w:type="dxa"/>
            <w:right w:w="15" w:type="dxa"/>
          </w:tblCellMar>
        </w:tblPrEx>
        <w:trPr>
          <w:trHeight w:val="454" w:hRule="exact"/>
          <w:jc w:val="center"/>
        </w:trPr>
        <w:tc>
          <w:tcPr>
            <w:tcW w:w="19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总余氯</w:t>
            </w:r>
          </w:p>
        </w:tc>
        <w:tc>
          <w:tcPr>
            <w:tcW w:w="207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sz w:val="24"/>
              </w:rPr>
            </w:pPr>
            <w:r>
              <w:rPr>
                <w:rFonts w:hint="eastAsia" w:ascii="仿宋" w:hAnsi="仿宋" w:eastAsia="仿宋" w:cs="仿宋"/>
                <w:sz w:val="24"/>
              </w:rPr>
              <w:t>8</w:t>
            </w:r>
          </w:p>
        </w:tc>
        <w:tc>
          <w:tcPr>
            <w:tcW w:w="3285" w:type="dxa"/>
            <w:vMerge w:val="continue"/>
            <w:tcBorders>
              <w:left w:val="single" w:color="000000" w:sz="4" w:space="0"/>
              <w:bottom w:val="single" w:color="auto" w:sz="4" w:space="0"/>
              <w:right w:val="single" w:color="000000" w:sz="4" w:space="0"/>
            </w:tcBorders>
            <w:noWrap/>
            <w:vAlign w:val="center"/>
          </w:tcPr>
          <w:p>
            <w:pPr>
              <w:widowControl/>
              <w:jc w:val="center"/>
              <w:textAlignment w:val="center"/>
              <w:rPr>
                <w:rFonts w:ascii="仿宋" w:hAnsi="仿宋" w:eastAsia="仿宋" w:cs="仿宋"/>
                <w:kern w:val="0"/>
                <w:sz w:val="24"/>
              </w:rPr>
            </w:pPr>
          </w:p>
        </w:tc>
        <w:tc>
          <w:tcPr>
            <w:tcW w:w="11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kern w:val="0"/>
                <w:sz w:val="24"/>
              </w:rPr>
            </w:pPr>
          </w:p>
        </w:tc>
      </w:tr>
      <w:tr>
        <w:tblPrEx>
          <w:tblCellMar>
            <w:top w:w="15" w:type="dxa"/>
            <w:left w:w="15" w:type="dxa"/>
            <w:bottom w:w="15" w:type="dxa"/>
            <w:right w:w="15" w:type="dxa"/>
          </w:tblCellMar>
        </w:tblPrEx>
        <w:trPr>
          <w:trHeight w:val="454" w:hRule="exact"/>
          <w:jc w:val="center"/>
        </w:trPr>
        <w:tc>
          <w:tcPr>
            <w:tcW w:w="19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kern w:val="0"/>
                <w:sz w:val="24"/>
                <w:lang w:eastAsia="zh-TW"/>
              </w:rPr>
            </w:pPr>
            <w:r>
              <w:rPr>
                <w:rFonts w:hint="eastAsia" w:ascii="仿宋" w:hAnsi="仿宋" w:eastAsia="仿宋" w:cs="仿宋"/>
                <w:kern w:val="0"/>
                <w:sz w:val="24"/>
              </w:rPr>
              <w:t>总汞</w:t>
            </w:r>
          </w:p>
        </w:tc>
        <w:tc>
          <w:tcPr>
            <w:tcW w:w="2074" w:type="dxa"/>
            <w:tcBorders>
              <w:top w:val="single" w:color="000000" w:sz="4" w:space="0"/>
              <w:left w:val="single" w:color="000000" w:sz="4" w:space="0"/>
              <w:bottom w:val="single" w:color="000000" w:sz="4" w:space="0"/>
              <w:right w:val="single" w:color="auto" w:sz="4" w:space="0"/>
            </w:tcBorders>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0.001</w:t>
            </w:r>
          </w:p>
        </w:tc>
        <w:tc>
          <w:tcPr>
            <w:tcW w:w="3285"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《成都市环境保护局关于垃圾转运站垃圾渗滤液与冲洗废水处理有关意见的复函》</w:t>
            </w:r>
          </w:p>
        </w:tc>
        <w:tc>
          <w:tcPr>
            <w:tcW w:w="1169" w:type="dxa"/>
            <w:tcBorders>
              <w:top w:val="single" w:color="000000" w:sz="4" w:space="0"/>
              <w:left w:val="single" w:color="auto" w:sz="4" w:space="0"/>
              <w:bottom w:val="single" w:color="000000" w:sz="4" w:space="0"/>
              <w:right w:val="single" w:color="000000" w:sz="4" w:space="0"/>
            </w:tcBorders>
            <w:noWrap/>
            <w:vAlign w:val="center"/>
          </w:tcPr>
          <w:p>
            <w:pPr>
              <w:widowControl/>
              <w:jc w:val="center"/>
              <w:textAlignment w:val="center"/>
              <w:rPr>
                <w:rFonts w:ascii="仿宋" w:hAnsi="仿宋" w:eastAsia="仿宋" w:cs="仿宋"/>
                <w:kern w:val="0"/>
                <w:sz w:val="24"/>
              </w:rPr>
            </w:pPr>
          </w:p>
        </w:tc>
      </w:tr>
      <w:tr>
        <w:tblPrEx>
          <w:tblCellMar>
            <w:top w:w="15" w:type="dxa"/>
            <w:left w:w="15" w:type="dxa"/>
            <w:bottom w:w="15" w:type="dxa"/>
            <w:right w:w="15" w:type="dxa"/>
          </w:tblCellMar>
        </w:tblPrEx>
        <w:trPr>
          <w:trHeight w:val="454" w:hRule="exact"/>
          <w:jc w:val="center"/>
        </w:trPr>
        <w:tc>
          <w:tcPr>
            <w:tcW w:w="19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kern w:val="0"/>
                <w:sz w:val="24"/>
                <w:lang w:eastAsia="zh-TW"/>
              </w:rPr>
            </w:pPr>
            <w:r>
              <w:rPr>
                <w:rFonts w:hint="eastAsia" w:ascii="仿宋" w:hAnsi="仿宋" w:eastAsia="仿宋" w:cs="仿宋"/>
                <w:kern w:val="0"/>
                <w:sz w:val="24"/>
              </w:rPr>
              <w:t>总镉</w:t>
            </w:r>
          </w:p>
        </w:tc>
        <w:tc>
          <w:tcPr>
            <w:tcW w:w="2074" w:type="dxa"/>
            <w:tcBorders>
              <w:top w:val="single" w:color="000000" w:sz="4" w:space="0"/>
              <w:left w:val="single" w:color="000000" w:sz="4" w:space="0"/>
              <w:bottom w:val="single" w:color="000000" w:sz="4" w:space="0"/>
              <w:right w:val="single" w:color="auto" w:sz="4" w:space="0"/>
            </w:tcBorders>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0.01</w:t>
            </w:r>
          </w:p>
        </w:tc>
        <w:tc>
          <w:tcPr>
            <w:tcW w:w="328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仿宋" w:hAnsi="仿宋" w:eastAsia="仿宋" w:cs="仿宋"/>
                <w:kern w:val="0"/>
                <w:sz w:val="24"/>
              </w:rPr>
            </w:pPr>
          </w:p>
        </w:tc>
        <w:tc>
          <w:tcPr>
            <w:tcW w:w="1169" w:type="dxa"/>
            <w:tcBorders>
              <w:top w:val="single" w:color="000000" w:sz="4" w:space="0"/>
              <w:left w:val="single" w:color="auto" w:sz="4" w:space="0"/>
              <w:bottom w:val="single" w:color="000000" w:sz="4" w:space="0"/>
              <w:right w:val="single" w:color="000000" w:sz="4" w:space="0"/>
            </w:tcBorders>
            <w:noWrap/>
            <w:vAlign w:val="center"/>
          </w:tcPr>
          <w:p>
            <w:pPr>
              <w:widowControl/>
              <w:jc w:val="center"/>
              <w:textAlignment w:val="center"/>
              <w:rPr>
                <w:rFonts w:ascii="仿宋" w:hAnsi="仿宋" w:eastAsia="仿宋" w:cs="仿宋"/>
                <w:kern w:val="0"/>
                <w:sz w:val="24"/>
              </w:rPr>
            </w:pPr>
          </w:p>
        </w:tc>
      </w:tr>
      <w:tr>
        <w:tblPrEx>
          <w:tblCellMar>
            <w:top w:w="15" w:type="dxa"/>
            <w:left w:w="15" w:type="dxa"/>
            <w:bottom w:w="15" w:type="dxa"/>
            <w:right w:w="15" w:type="dxa"/>
          </w:tblCellMar>
        </w:tblPrEx>
        <w:trPr>
          <w:trHeight w:val="454" w:hRule="exact"/>
          <w:jc w:val="center"/>
        </w:trPr>
        <w:tc>
          <w:tcPr>
            <w:tcW w:w="19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kern w:val="0"/>
                <w:sz w:val="24"/>
                <w:lang w:eastAsia="zh-TW"/>
              </w:rPr>
            </w:pPr>
            <w:r>
              <w:rPr>
                <w:rFonts w:hint="eastAsia" w:ascii="仿宋" w:hAnsi="仿宋" w:eastAsia="仿宋" w:cs="仿宋"/>
                <w:kern w:val="0"/>
                <w:sz w:val="24"/>
              </w:rPr>
              <w:t>总铬</w:t>
            </w:r>
          </w:p>
        </w:tc>
        <w:tc>
          <w:tcPr>
            <w:tcW w:w="2074" w:type="dxa"/>
            <w:tcBorders>
              <w:top w:val="single" w:color="000000" w:sz="4" w:space="0"/>
              <w:left w:val="single" w:color="000000" w:sz="4" w:space="0"/>
              <w:bottom w:val="single" w:color="000000" w:sz="4" w:space="0"/>
              <w:right w:val="single" w:color="auto" w:sz="4" w:space="0"/>
            </w:tcBorders>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0.1</w:t>
            </w:r>
          </w:p>
        </w:tc>
        <w:tc>
          <w:tcPr>
            <w:tcW w:w="328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仿宋" w:hAnsi="仿宋" w:eastAsia="仿宋" w:cs="仿宋"/>
                <w:kern w:val="0"/>
                <w:sz w:val="24"/>
              </w:rPr>
            </w:pPr>
          </w:p>
        </w:tc>
        <w:tc>
          <w:tcPr>
            <w:tcW w:w="1169" w:type="dxa"/>
            <w:tcBorders>
              <w:top w:val="single" w:color="000000" w:sz="4" w:space="0"/>
              <w:left w:val="single" w:color="auto" w:sz="4" w:space="0"/>
              <w:bottom w:val="single" w:color="000000" w:sz="4" w:space="0"/>
              <w:right w:val="single" w:color="000000" w:sz="4" w:space="0"/>
            </w:tcBorders>
            <w:noWrap/>
            <w:vAlign w:val="center"/>
          </w:tcPr>
          <w:p>
            <w:pPr>
              <w:widowControl/>
              <w:jc w:val="center"/>
              <w:textAlignment w:val="center"/>
              <w:rPr>
                <w:rFonts w:ascii="仿宋" w:hAnsi="仿宋" w:eastAsia="仿宋" w:cs="仿宋"/>
                <w:kern w:val="0"/>
                <w:sz w:val="24"/>
              </w:rPr>
            </w:pPr>
          </w:p>
        </w:tc>
      </w:tr>
      <w:tr>
        <w:tblPrEx>
          <w:tblCellMar>
            <w:top w:w="15" w:type="dxa"/>
            <w:left w:w="15" w:type="dxa"/>
            <w:bottom w:w="15" w:type="dxa"/>
            <w:right w:w="15" w:type="dxa"/>
          </w:tblCellMar>
        </w:tblPrEx>
        <w:trPr>
          <w:trHeight w:val="454" w:hRule="exact"/>
          <w:jc w:val="center"/>
        </w:trPr>
        <w:tc>
          <w:tcPr>
            <w:tcW w:w="19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kern w:val="0"/>
                <w:sz w:val="24"/>
                <w:lang w:eastAsia="zh-TW"/>
              </w:rPr>
            </w:pPr>
            <w:r>
              <w:rPr>
                <w:rFonts w:hint="eastAsia" w:ascii="仿宋" w:hAnsi="仿宋" w:eastAsia="仿宋" w:cs="仿宋"/>
                <w:kern w:val="0"/>
                <w:sz w:val="24"/>
              </w:rPr>
              <w:t>六价铬</w:t>
            </w:r>
          </w:p>
        </w:tc>
        <w:tc>
          <w:tcPr>
            <w:tcW w:w="2074" w:type="dxa"/>
            <w:tcBorders>
              <w:top w:val="single" w:color="000000" w:sz="4" w:space="0"/>
              <w:left w:val="single" w:color="000000" w:sz="4" w:space="0"/>
              <w:bottom w:val="single" w:color="000000" w:sz="4" w:space="0"/>
              <w:right w:val="single" w:color="auto" w:sz="4" w:space="0"/>
            </w:tcBorders>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0.05</w:t>
            </w:r>
          </w:p>
        </w:tc>
        <w:tc>
          <w:tcPr>
            <w:tcW w:w="328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仿宋" w:hAnsi="仿宋" w:eastAsia="仿宋" w:cs="仿宋"/>
                <w:kern w:val="0"/>
                <w:sz w:val="24"/>
              </w:rPr>
            </w:pPr>
          </w:p>
        </w:tc>
        <w:tc>
          <w:tcPr>
            <w:tcW w:w="1169" w:type="dxa"/>
            <w:tcBorders>
              <w:top w:val="single" w:color="000000" w:sz="4" w:space="0"/>
              <w:left w:val="single" w:color="auto" w:sz="4" w:space="0"/>
              <w:bottom w:val="single" w:color="000000" w:sz="4" w:space="0"/>
              <w:right w:val="single" w:color="000000" w:sz="4" w:space="0"/>
            </w:tcBorders>
            <w:noWrap/>
            <w:vAlign w:val="center"/>
          </w:tcPr>
          <w:p>
            <w:pPr>
              <w:widowControl/>
              <w:jc w:val="center"/>
              <w:textAlignment w:val="center"/>
              <w:rPr>
                <w:rFonts w:ascii="仿宋" w:hAnsi="仿宋" w:eastAsia="仿宋" w:cs="仿宋"/>
                <w:kern w:val="0"/>
                <w:sz w:val="24"/>
              </w:rPr>
            </w:pPr>
          </w:p>
        </w:tc>
      </w:tr>
      <w:tr>
        <w:tblPrEx>
          <w:tblCellMar>
            <w:top w:w="15" w:type="dxa"/>
            <w:left w:w="15" w:type="dxa"/>
            <w:bottom w:w="15" w:type="dxa"/>
            <w:right w:w="15" w:type="dxa"/>
          </w:tblCellMar>
        </w:tblPrEx>
        <w:trPr>
          <w:trHeight w:val="454" w:hRule="exact"/>
          <w:jc w:val="center"/>
        </w:trPr>
        <w:tc>
          <w:tcPr>
            <w:tcW w:w="19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kern w:val="0"/>
                <w:sz w:val="24"/>
                <w:lang w:eastAsia="zh-TW"/>
              </w:rPr>
            </w:pPr>
            <w:r>
              <w:rPr>
                <w:rFonts w:hint="eastAsia" w:ascii="仿宋" w:hAnsi="仿宋" w:eastAsia="仿宋" w:cs="仿宋"/>
                <w:kern w:val="0"/>
                <w:sz w:val="24"/>
              </w:rPr>
              <w:t>总砷</w:t>
            </w:r>
          </w:p>
        </w:tc>
        <w:tc>
          <w:tcPr>
            <w:tcW w:w="2074" w:type="dxa"/>
            <w:tcBorders>
              <w:top w:val="single" w:color="000000" w:sz="4" w:space="0"/>
              <w:left w:val="single" w:color="000000" w:sz="4" w:space="0"/>
              <w:bottom w:val="single" w:color="000000" w:sz="4" w:space="0"/>
              <w:right w:val="single" w:color="auto" w:sz="4" w:space="0"/>
            </w:tcBorders>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0.1</w:t>
            </w:r>
          </w:p>
        </w:tc>
        <w:tc>
          <w:tcPr>
            <w:tcW w:w="328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仿宋" w:hAnsi="仿宋" w:eastAsia="仿宋" w:cs="仿宋"/>
                <w:kern w:val="0"/>
                <w:sz w:val="24"/>
              </w:rPr>
            </w:pPr>
          </w:p>
        </w:tc>
        <w:tc>
          <w:tcPr>
            <w:tcW w:w="1169" w:type="dxa"/>
            <w:tcBorders>
              <w:top w:val="single" w:color="000000" w:sz="4" w:space="0"/>
              <w:left w:val="single" w:color="auto" w:sz="4" w:space="0"/>
              <w:bottom w:val="single" w:color="000000" w:sz="4" w:space="0"/>
              <w:right w:val="single" w:color="000000" w:sz="4" w:space="0"/>
            </w:tcBorders>
            <w:noWrap/>
            <w:vAlign w:val="center"/>
          </w:tcPr>
          <w:p>
            <w:pPr>
              <w:widowControl/>
              <w:jc w:val="center"/>
              <w:textAlignment w:val="center"/>
              <w:rPr>
                <w:rFonts w:ascii="仿宋" w:hAnsi="仿宋" w:eastAsia="仿宋" w:cs="仿宋"/>
                <w:kern w:val="0"/>
                <w:sz w:val="24"/>
              </w:rPr>
            </w:pPr>
          </w:p>
        </w:tc>
      </w:tr>
      <w:tr>
        <w:tblPrEx>
          <w:tblCellMar>
            <w:top w:w="15" w:type="dxa"/>
            <w:left w:w="15" w:type="dxa"/>
            <w:bottom w:w="15" w:type="dxa"/>
            <w:right w:w="15" w:type="dxa"/>
          </w:tblCellMar>
        </w:tblPrEx>
        <w:trPr>
          <w:trHeight w:val="454" w:hRule="exact"/>
          <w:jc w:val="center"/>
        </w:trPr>
        <w:tc>
          <w:tcPr>
            <w:tcW w:w="197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kern w:val="0"/>
                <w:sz w:val="24"/>
                <w:lang w:eastAsia="zh-TW"/>
              </w:rPr>
            </w:pPr>
            <w:r>
              <w:rPr>
                <w:rFonts w:hint="eastAsia" w:ascii="仿宋" w:hAnsi="仿宋" w:eastAsia="仿宋" w:cs="仿宋"/>
                <w:kern w:val="0"/>
                <w:sz w:val="24"/>
              </w:rPr>
              <w:t>总铅</w:t>
            </w:r>
          </w:p>
        </w:tc>
        <w:tc>
          <w:tcPr>
            <w:tcW w:w="2074" w:type="dxa"/>
            <w:tcBorders>
              <w:top w:val="single" w:color="000000" w:sz="4" w:space="0"/>
              <w:left w:val="single" w:color="000000" w:sz="4" w:space="0"/>
              <w:bottom w:val="single" w:color="000000" w:sz="4" w:space="0"/>
              <w:right w:val="single" w:color="auto" w:sz="4" w:space="0"/>
            </w:tcBorders>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0.1</w:t>
            </w:r>
          </w:p>
        </w:tc>
        <w:tc>
          <w:tcPr>
            <w:tcW w:w="328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仿宋" w:hAnsi="仿宋" w:eastAsia="仿宋" w:cs="仿宋"/>
                <w:kern w:val="0"/>
                <w:sz w:val="24"/>
              </w:rPr>
            </w:pPr>
          </w:p>
        </w:tc>
        <w:tc>
          <w:tcPr>
            <w:tcW w:w="1169" w:type="dxa"/>
            <w:tcBorders>
              <w:top w:val="single" w:color="000000" w:sz="4" w:space="0"/>
              <w:left w:val="single" w:color="auto" w:sz="4" w:space="0"/>
              <w:bottom w:val="single" w:color="000000" w:sz="4" w:space="0"/>
              <w:right w:val="single" w:color="000000" w:sz="4" w:space="0"/>
            </w:tcBorders>
            <w:noWrap/>
            <w:vAlign w:val="center"/>
          </w:tcPr>
          <w:p>
            <w:pPr>
              <w:widowControl/>
              <w:jc w:val="center"/>
              <w:textAlignment w:val="center"/>
              <w:rPr>
                <w:rFonts w:ascii="仿宋" w:hAnsi="仿宋" w:eastAsia="仿宋" w:cs="仿宋"/>
                <w:kern w:val="0"/>
                <w:sz w:val="24"/>
              </w:rPr>
            </w:pPr>
          </w:p>
        </w:tc>
      </w:tr>
    </w:tbl>
    <w:p>
      <w:pPr>
        <w:pStyle w:val="65"/>
        <w:adjustRightInd w:val="0"/>
        <w:snapToGrid w:val="0"/>
        <w:spacing w:line="360" w:lineRule="auto"/>
        <w:ind w:firstLine="560"/>
        <w:jc w:val="left"/>
        <w:rPr>
          <w:rFonts w:ascii="仿宋" w:hAnsi="仿宋" w:eastAsia="仿宋" w:cs="仿宋"/>
          <w:sz w:val="24"/>
        </w:rPr>
      </w:pPr>
    </w:p>
    <w:p>
      <w:pPr>
        <w:pStyle w:val="65"/>
        <w:adjustRightInd w:val="0"/>
        <w:snapToGrid w:val="0"/>
        <w:spacing w:line="360" w:lineRule="auto"/>
        <w:ind w:left="0" w:firstLine="720" w:firstLineChars="300"/>
        <w:jc w:val="left"/>
        <w:rPr>
          <w:rFonts w:ascii="仿宋" w:hAnsi="仿宋" w:eastAsia="仿宋" w:cs="仿宋"/>
          <w:sz w:val="24"/>
        </w:rPr>
      </w:pPr>
      <w:r>
        <w:rPr>
          <w:rFonts w:hint="eastAsia" w:ascii="仿宋" w:hAnsi="仿宋" w:eastAsia="仿宋" w:cs="仿宋"/>
          <w:sz w:val="24"/>
        </w:rPr>
        <w:t>3、出水需要满足水质排放标准方可外排，发现水质异常的，应立即上报、即时处理。排水台账需完整记录排水时间、排水量。</w:t>
      </w:r>
    </w:p>
    <w:p>
      <w:pPr>
        <w:adjustRightInd w:val="0"/>
        <w:snapToGrid w:val="0"/>
        <w:spacing w:line="360" w:lineRule="auto"/>
        <w:ind w:firstLine="482" w:firstLineChars="200"/>
        <w:rPr>
          <w:rFonts w:ascii="仿宋" w:hAnsi="仿宋" w:eastAsia="仿宋" w:cs="仿宋"/>
          <w:sz w:val="24"/>
        </w:rPr>
      </w:pPr>
      <w:r>
        <w:rPr>
          <w:rFonts w:hint="eastAsia" w:ascii="仿宋" w:hAnsi="仿宋" w:eastAsia="仿宋" w:cs="仿宋"/>
          <w:b/>
          <w:bCs/>
          <w:sz w:val="24"/>
        </w:rPr>
        <w:t xml:space="preserve">第七条 </w:t>
      </w:r>
      <w:r>
        <w:rPr>
          <w:rFonts w:hint="eastAsia" w:ascii="仿宋" w:hAnsi="仿宋" w:eastAsia="仿宋" w:cs="仿宋"/>
          <w:sz w:val="24"/>
        </w:rPr>
        <w:t>除臭管理</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渗滤液处理各环节采用密闭设备，并安装除尘除臭装置，不间断地密闭除臭。同时车间外围、爆氧池配备移动喷淋除臭设备，全天24小时不间断除臭。对固定喷淋除臭消洒不到位的地方进行人工消洒。</w:t>
      </w:r>
    </w:p>
    <w:p>
      <w:pPr>
        <w:adjustRightInd w:val="0"/>
        <w:snapToGrid w:val="0"/>
        <w:spacing w:line="360" w:lineRule="auto"/>
        <w:ind w:firstLine="482" w:firstLineChars="200"/>
        <w:rPr>
          <w:rFonts w:ascii="仿宋" w:hAnsi="仿宋" w:eastAsia="仿宋" w:cs="仿宋"/>
          <w:sz w:val="24"/>
        </w:rPr>
      </w:pPr>
      <w:r>
        <w:rPr>
          <w:rFonts w:hint="eastAsia" w:ascii="仿宋" w:hAnsi="仿宋" w:eastAsia="仿宋" w:cs="仿宋"/>
          <w:b/>
          <w:bCs/>
          <w:sz w:val="24"/>
        </w:rPr>
        <w:t xml:space="preserve">第八条 </w:t>
      </w:r>
      <w:r>
        <w:rPr>
          <w:rFonts w:hint="eastAsia" w:ascii="仿宋" w:hAnsi="仿宋" w:eastAsia="仿宋" w:cs="仿宋"/>
          <w:sz w:val="24"/>
        </w:rPr>
        <w:t>环境卫生管理</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1、加强卫生管理，污水处理区域内无蚊蝇，无果皮、纸屑、塑膜、泥沙、泥土等废弃物，地面、设备无积垢、积水，保持车间内外干净、整洁，做到以下保洁标准：</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2、“六无”：无臭气、无灰尘悬浮、无污水滴漏、无垃圾滴落、无烟头、无口痰；五净”：不作业时下水篦净、绿化带周边净、路沿石净、场地净、边沟净。</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3、加强卸料口周边保洁冲洗，无污水撒漏、滴漏、无积垢。定期组织卸料口疏掏，防止堵塞。</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4、应组织每天定时消杀，喷洒消毒药水、灭蚊灭蝇，严禁使用剧毒农药。定期开展卫生大扫除，消除死角卫生。</w:t>
      </w:r>
    </w:p>
    <w:p>
      <w:pPr>
        <w:pStyle w:val="65"/>
        <w:adjustRightInd w:val="0"/>
        <w:snapToGrid w:val="0"/>
        <w:spacing w:line="360" w:lineRule="auto"/>
        <w:ind w:left="0" w:firstLine="480" w:firstLineChars="200"/>
        <w:jc w:val="left"/>
        <w:rPr>
          <w:rFonts w:ascii="仿宋" w:hAnsi="仿宋" w:eastAsia="仿宋" w:cs="仿宋"/>
          <w:sz w:val="24"/>
        </w:rPr>
      </w:pPr>
      <w:r>
        <w:rPr>
          <w:rFonts w:hint="eastAsia" w:ascii="仿宋" w:hAnsi="仿宋" w:eastAsia="仿宋" w:cs="仿宋"/>
          <w:sz w:val="24"/>
        </w:rPr>
        <w:t>5、保持污水沟通畅，每周至少对污水沟一次疏掏清理。定期组织对储存池内污泥清掏，控制脱水后的污泥含水率不超过80%。完善污泥处置记录台账，明确污泥去向。</w:t>
      </w:r>
    </w:p>
    <w:p>
      <w:pPr>
        <w:snapToGrid w:val="0"/>
        <w:spacing w:line="360" w:lineRule="auto"/>
        <w:ind w:firstLine="482" w:firstLineChars="200"/>
        <w:rPr>
          <w:rFonts w:ascii="仿宋" w:hAnsi="仿宋" w:eastAsia="仿宋" w:cs="仿宋"/>
          <w:sz w:val="24"/>
        </w:rPr>
      </w:pPr>
      <w:r>
        <w:rPr>
          <w:rFonts w:hint="eastAsia" w:ascii="仿宋" w:hAnsi="仿宋" w:eastAsia="仿宋" w:cs="仿宋"/>
          <w:b/>
          <w:bCs/>
          <w:sz w:val="24"/>
        </w:rPr>
        <w:t>第九条</w:t>
      </w:r>
      <w:r>
        <w:rPr>
          <w:rFonts w:hint="eastAsia" w:ascii="仿宋" w:hAnsi="仿宋" w:eastAsia="仿宋" w:cs="仿宋"/>
          <w:sz w:val="24"/>
        </w:rPr>
        <w:t xml:space="preserve"> 日常运行管理</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1、建立健全内部管理制度，实时对制度修订完善。</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2、人员上班须穿工作服，佩戴安全帽，挂牌上岗作业。</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3、健全设备安全操作规程，杜绝外来人员操作机械设备。特殊工种须取得相关部门颁发的特殊工种上岗证持证上岗。</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4、作业单位应对新上岗人员开展岗前专业培训（职业道德、环保法律法规、作业质量标准、安全及规章制度等）、业务技能培训，培训记录完整。</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5、健全各项标识、标牌、警示牌和各种公示栏、制度栏。</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6、做好生产区、办公区、控制室、门卫室、休息室等区域划分，按要求规范工具设备等物资摆放。</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7、做好每日渗滤液处理车辆进出、重量、时间、车牌号等台账记录。严禁私自接纳处理区外渗滤液和污水。</w:t>
      </w:r>
    </w:p>
    <w:p>
      <w:pPr>
        <w:pStyle w:val="65"/>
        <w:adjustRightInd w:val="0"/>
        <w:snapToGrid w:val="0"/>
        <w:spacing w:line="360" w:lineRule="auto"/>
        <w:ind w:left="0" w:firstLine="482" w:firstLineChars="200"/>
        <w:jc w:val="left"/>
        <w:rPr>
          <w:rFonts w:ascii="仿宋" w:hAnsi="仿宋" w:eastAsia="仿宋" w:cs="仿宋"/>
          <w:sz w:val="24"/>
        </w:rPr>
      </w:pPr>
      <w:r>
        <w:rPr>
          <w:rFonts w:hint="eastAsia" w:ascii="仿宋" w:hAnsi="仿宋" w:eastAsia="仿宋" w:cs="仿宋"/>
          <w:b/>
          <w:bCs/>
          <w:sz w:val="24"/>
        </w:rPr>
        <w:t>第十条</w:t>
      </w:r>
      <w:r>
        <w:rPr>
          <w:rFonts w:hint="eastAsia" w:ascii="仿宋" w:hAnsi="仿宋" w:eastAsia="仿宋" w:cs="仿宋"/>
          <w:sz w:val="24"/>
        </w:rPr>
        <w:t xml:space="preserve"> 设备管理</w:t>
      </w:r>
    </w:p>
    <w:p>
      <w:pPr>
        <w:adjustRightInd w:val="0"/>
        <w:snapToGrid w:val="0"/>
        <w:spacing w:line="360" w:lineRule="auto"/>
        <w:ind w:firstLine="480" w:firstLineChars="200"/>
        <w:rPr>
          <w:rFonts w:ascii="仿宋" w:hAnsi="仿宋" w:eastAsia="仿宋" w:cs="仿宋"/>
          <w:b/>
          <w:bCs/>
          <w:sz w:val="24"/>
        </w:rPr>
      </w:pPr>
      <w:r>
        <w:rPr>
          <w:rFonts w:hint="eastAsia" w:ascii="仿宋" w:hAnsi="仿宋" w:eastAsia="仿宋" w:cs="仿宋"/>
          <w:sz w:val="24"/>
        </w:rPr>
        <w:t>1、配备专业维修作业人员，按规章实施设备维修规范作业，确保设备故障及时处理。维修废油料收集必须设立专用存放点，运输、处置必须合法合规，手续资料完整有效。</w:t>
      </w:r>
    </w:p>
    <w:p>
      <w:pPr>
        <w:adjustRightInd w:val="0"/>
        <w:snapToGrid w:val="0"/>
        <w:spacing w:line="360" w:lineRule="auto"/>
        <w:ind w:firstLine="480" w:firstLineChars="200"/>
        <w:jc w:val="left"/>
        <w:rPr>
          <w:rFonts w:ascii="仿宋" w:hAnsi="仿宋" w:eastAsia="仿宋" w:cs="仿宋"/>
          <w:b/>
          <w:bCs/>
          <w:sz w:val="24"/>
        </w:rPr>
      </w:pPr>
      <w:r>
        <w:rPr>
          <w:rFonts w:hint="eastAsia" w:ascii="仿宋" w:hAnsi="仿宋" w:eastAsia="仿宋" w:cs="仿宋"/>
          <w:sz w:val="24"/>
        </w:rPr>
        <w:t>2、强化设备巡检保养，建立健全设备使用日常保养计划、台帐。</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3、安装质检合格的计量装置，准确核定渗滤液处理量。定期请质检部门对计量装置检验检查，保证计量装置计数准确。</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4、配置备用发电机，做好停电状况下应急正常生产。</w:t>
      </w:r>
    </w:p>
    <w:p>
      <w:pPr>
        <w:snapToGrid w:val="0"/>
        <w:spacing w:line="360" w:lineRule="auto"/>
        <w:ind w:firstLine="482" w:firstLineChars="200"/>
        <w:rPr>
          <w:rFonts w:ascii="仿宋" w:hAnsi="仿宋" w:eastAsia="仿宋" w:cs="仿宋"/>
          <w:sz w:val="24"/>
        </w:rPr>
      </w:pPr>
      <w:r>
        <w:rPr>
          <w:rFonts w:hint="eastAsia" w:ascii="仿宋" w:hAnsi="仿宋" w:eastAsia="仿宋" w:cs="仿宋"/>
          <w:b/>
          <w:bCs/>
          <w:sz w:val="24"/>
        </w:rPr>
        <w:t>第十一条</w:t>
      </w:r>
      <w:r>
        <w:rPr>
          <w:rFonts w:hint="eastAsia" w:ascii="仿宋" w:hAnsi="仿宋" w:eastAsia="仿宋" w:cs="仿宋"/>
          <w:sz w:val="24"/>
        </w:rPr>
        <w:t xml:space="preserve"> 环保管理</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严格执行《中华人民共和国环境保护法》，加强环保设备、工艺、技术投入，按照环保政策要求组织生产。配合抓好大气、水、土壤污染防治，落实污水、臭气、噪音等排放指标常态检测，严格登记持证排污。加强应急体系建设，避免出现渗滤液污染环境重大事件。</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1、按照《生活垃圾渗沥液处理技术规范》（CJJ150）要求，做好存储池、调节池防渗处理，使用防渗混凝土、高分子聚合物材料或其他防水材料，防渗系数不应小于1.0×10-7cm/s。</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2、按照《水污染源在线监测系统运行与考核技术规范》（试行）（HJ/T355）要求，安装污水在线自动监测设施，并与环保部门监控中心联网，实时上传水质监测数据。做好维护和记录工作，发生故障需要维修、停用或者更换的，及时向生态环境主管部门报告。</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3、根据排污许可证要求，每季度开展一次污水、恶臭环境检测并公示检测结果，不合格的检测指标及时整改。</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4、认真执行《排污许可管理条例》，办理排污许可证，持证合法合规排污，每年向环保审批部门上传报送年度排污报告。做好排污许可证到期换证工作。</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5、完善环保制度、标识、标牌公示管理，各类环保资料健全。</w:t>
      </w:r>
    </w:p>
    <w:p>
      <w:pPr>
        <w:adjustRightInd w:val="0"/>
        <w:snapToGrid w:val="0"/>
        <w:spacing w:line="360" w:lineRule="auto"/>
        <w:ind w:firstLine="482" w:firstLineChars="200"/>
        <w:jc w:val="left"/>
        <w:rPr>
          <w:rFonts w:ascii="仿宋" w:hAnsi="仿宋" w:eastAsia="仿宋" w:cs="仿宋"/>
          <w:sz w:val="24"/>
        </w:rPr>
      </w:pPr>
      <w:r>
        <w:rPr>
          <w:rFonts w:hint="eastAsia" w:ascii="仿宋" w:hAnsi="仿宋" w:eastAsia="仿宋" w:cs="仿宋"/>
          <w:b/>
          <w:bCs/>
          <w:sz w:val="24"/>
        </w:rPr>
        <w:t xml:space="preserve">第十二条 </w:t>
      </w:r>
      <w:r>
        <w:rPr>
          <w:rFonts w:hint="eastAsia" w:ascii="仿宋" w:hAnsi="仿宋" w:eastAsia="仿宋" w:cs="仿宋"/>
          <w:sz w:val="24"/>
        </w:rPr>
        <w:t>安全管理</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认真落实企业安全生产主体责任，加强安全教育培训，强化风险隐患排查整改，打牢安全基础。</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1、建立安全管理制度规章，制定安全文明操作规程。定期开展安全培训，有培训记录。每年组织不少于一次安全实操演练。</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2、健全安全责任管理，全面落实“一岗双责”。精细安全常态管理，推进落实安全生产、消防安全管控各项措施，台账齐全、建档规范。</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3、制定安全风险防控措施，定期组织安全隐患排查，及时消除隐患点位。制定落实设施设备维修、保养计划，确保设施设备正常运行。足额配备消防器材设施，规范用电、明火、氧焊维修使用。</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4、配备劳动保护设施和用品，严格安全文明流程作业，杜绝冒险违章作业。</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5、做好防汛、防雷安全工作，按要求修订预案、储备防汛物资、开展防雷设施检测、防汛抢险演练，确保主汛期安全度汛。</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6、完善应急综合预案管理，制定合理高效分工，快速反应和处置渗滤液污染等重大应急事件。</w:t>
      </w:r>
    </w:p>
    <w:p>
      <w:pPr>
        <w:adjustRightInd w:val="0"/>
        <w:snapToGrid w:val="0"/>
        <w:spacing w:line="360" w:lineRule="auto"/>
        <w:ind w:firstLine="482" w:firstLineChars="200"/>
        <w:jc w:val="left"/>
        <w:rPr>
          <w:rFonts w:ascii="仿宋" w:hAnsi="仿宋" w:eastAsia="仿宋" w:cs="仿宋"/>
          <w:sz w:val="24"/>
        </w:rPr>
      </w:pPr>
      <w:r>
        <w:rPr>
          <w:rFonts w:hint="eastAsia" w:ascii="仿宋" w:hAnsi="仿宋" w:eastAsia="仿宋" w:cs="仿宋"/>
          <w:b/>
          <w:bCs/>
          <w:sz w:val="24"/>
        </w:rPr>
        <w:t xml:space="preserve">第十三条 </w:t>
      </w:r>
      <w:r>
        <w:rPr>
          <w:rFonts w:hint="eastAsia" w:ascii="仿宋" w:hAnsi="仿宋" w:eastAsia="仿宋" w:cs="仿宋"/>
          <w:sz w:val="24"/>
        </w:rPr>
        <w:t>内部维稳管理</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1、全面落实员工工资待遇，关心关爱员工，及时做好员工交流与思想疏导，维护和谐稳定劳动关系。</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2、加强员工法制教育，严格依法依规逐级反映利益诉求，不得出现非法越级上访、滞工、罢工事件。</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 xml:space="preserve">3、做好涉稳涉诉隐患矛盾梳理，建立明细台账，强化矛盾调解化解。在重大检查、重大活动、节假日等节点加强涉稳涉诉人员管控。 </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4、制定落实涉稳涉诉应急处置预案，在发生突发状况事件情况下能及时快速有效处置。</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5、强化网络理政有关信访投诉案件处理，按时限要求回复办结。</w:t>
      </w:r>
    </w:p>
    <w:p>
      <w:pPr>
        <w:adjustRightInd w:val="0"/>
        <w:snapToGrid w:val="0"/>
        <w:spacing w:line="360" w:lineRule="auto"/>
        <w:ind w:firstLine="480" w:firstLineChars="200"/>
        <w:jc w:val="left"/>
        <w:rPr>
          <w:rFonts w:ascii="仿宋" w:hAnsi="仿宋" w:eastAsia="仿宋" w:cs="仿宋"/>
          <w:sz w:val="24"/>
        </w:rPr>
      </w:pPr>
    </w:p>
    <w:p>
      <w:pPr>
        <w:snapToGrid w:val="0"/>
        <w:spacing w:line="360" w:lineRule="auto"/>
        <w:jc w:val="center"/>
        <w:rPr>
          <w:rFonts w:ascii="仿宋" w:hAnsi="仿宋" w:eastAsia="仿宋" w:cs="仿宋"/>
          <w:sz w:val="24"/>
        </w:rPr>
      </w:pPr>
      <w:r>
        <w:rPr>
          <w:rFonts w:hint="eastAsia" w:ascii="仿宋" w:hAnsi="仿宋" w:eastAsia="仿宋" w:cs="仿宋"/>
          <w:sz w:val="24"/>
        </w:rPr>
        <w:t>第三章  考核标准与实施细则</w:t>
      </w:r>
    </w:p>
    <w:p>
      <w:pPr>
        <w:adjustRightInd w:val="0"/>
        <w:snapToGrid w:val="0"/>
        <w:spacing w:line="360" w:lineRule="auto"/>
        <w:ind w:firstLine="482" w:firstLineChars="200"/>
        <w:jc w:val="left"/>
        <w:rPr>
          <w:rFonts w:ascii="仿宋" w:hAnsi="仿宋" w:eastAsia="仿宋" w:cs="仿宋"/>
          <w:sz w:val="24"/>
        </w:rPr>
      </w:pPr>
      <w:r>
        <w:rPr>
          <w:rFonts w:hint="eastAsia" w:ascii="仿宋" w:hAnsi="仿宋" w:eastAsia="仿宋" w:cs="仿宋"/>
          <w:b/>
          <w:bCs/>
          <w:sz w:val="24"/>
        </w:rPr>
        <w:t xml:space="preserve">第十四条 </w:t>
      </w:r>
      <w:r>
        <w:rPr>
          <w:rFonts w:hint="eastAsia" w:ascii="仿宋" w:hAnsi="仿宋" w:eastAsia="仿宋" w:cs="仿宋"/>
          <w:sz w:val="24"/>
        </w:rPr>
        <w:t>处置能力与基本保障</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1、东升和西航港垃圾压缩站日处理渗滤液及冲洗废水不低于120吨、且满足高峰期密闭存储200吨/日的能力，未达处理能力标准的扣3分。因处理能力不足出现积压或堵塞，造成恶劣社会影响的扣20分，诫勉一次。</w:t>
      </w:r>
    </w:p>
    <w:p>
      <w:pPr>
        <w:adjustRightInd w:val="0"/>
        <w:snapToGrid w:val="0"/>
        <w:spacing w:line="360" w:lineRule="auto"/>
        <w:ind w:firstLine="480" w:firstLineChars="200"/>
        <w:rPr>
          <w:rFonts w:ascii="仿宋" w:hAnsi="仿宋" w:eastAsia="仿宋" w:cs="仿宋"/>
          <w:b/>
          <w:sz w:val="24"/>
        </w:rPr>
      </w:pPr>
      <w:r>
        <w:rPr>
          <w:rFonts w:hint="eastAsia" w:ascii="仿宋" w:hAnsi="仿宋" w:eastAsia="仿宋" w:cs="仿宋"/>
          <w:sz w:val="24"/>
        </w:rPr>
        <w:t>2、渗滤液积压未及时处理，造成周边环境污染事实的扣3分，造成严重后果或污染被群众举报的扣20分。</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3、喷淋除臭装置未正常运行或臭味浓度较大的每次扣1分/次；人员排班每天四班三运转，每班安排3人以上作业，未按要求配备作业人员的扣1分/人次。</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4、站内外场地未及时清扫保洁、未及时清理污泥、清运途中污泥撒漏（污水滴漏）、车间内外不整洁等现象的按项扣1分，可合并扣分。</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5、未按要求建立设备安全操作规程的扣1分，特殊工种岗位在未取得相关部门颁发的上岗证情况下上岗的扣1分。</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6、未按要求建立设备使用日常保养计划、台帐的扣1分。</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7、未按要求配备专业维修人员的扣1分/人次。</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8、各工种人员岗位职责管理制度缺失的一项扣1分。</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9、未按时配备发放特种劳动保护设施和用品的扣1分/次。</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10、办公区域、控制室、门卫室、休息室等区域未划分明晰，物资凌乱不整、设备工具随易摆放的发现一次扣1分。</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bCs/>
          <w:sz w:val="24"/>
        </w:rPr>
        <w:t>11、</w:t>
      </w:r>
      <w:r>
        <w:rPr>
          <w:rFonts w:hint="eastAsia" w:ascii="仿宋" w:hAnsi="仿宋" w:eastAsia="仿宋" w:cs="仿宋"/>
          <w:sz w:val="24"/>
        </w:rPr>
        <w:t>对新上岗人员开展岗前专业培训（职业道德、环保法律法规、作业质量标准、安全及规章制度等），定期开展安全专项培训，有培训记录。未开展岗前培训的扣3分，无培训记录的扣1分。</w:t>
      </w:r>
    </w:p>
    <w:p>
      <w:pPr>
        <w:adjustRightInd w:val="0"/>
        <w:snapToGrid w:val="0"/>
        <w:spacing w:line="360" w:lineRule="auto"/>
        <w:jc w:val="left"/>
        <w:rPr>
          <w:rFonts w:ascii="仿宋" w:hAnsi="仿宋" w:eastAsia="仿宋" w:cs="仿宋"/>
          <w:sz w:val="24"/>
        </w:rPr>
      </w:pPr>
      <w:r>
        <w:rPr>
          <w:rFonts w:hint="eastAsia" w:ascii="仿宋" w:hAnsi="仿宋" w:eastAsia="仿宋" w:cs="仿宋"/>
          <w:sz w:val="24"/>
        </w:rPr>
        <w:t xml:space="preserve">    12、人员未着工作服、未挂牌上岗的扣1分。</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13、站内未按要求设置警戒线、安全导向等警示标识的扣1分。</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14、转运车辆出现破损、锈迹未及时修复的扣1分，车厢未密闭导致夹挂、污水渗漏、撒漏的扣2分，作业完成后车辆未及时清洗车容车貌不整洁的扣1分。</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15、车间内外地面、设备积垢、积水未及时清理扣1分，不按规定每天定时消杀除臭或消杀除臭记录缺失的一项扣1分。</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16、卸料口、站内外沟渠、阴井积沙、积尘垃圾未定期疏掏导致堵塞的扣1分。</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17、保洁质量达到“六无”（即：在上述部位的3m以外无臭气、无灰尘悬浮、无污水滴漏、无垃圾滴落、无烟头、无口痰）；五净”（即：不作业时下水篦净、绿带周边净、路沿石净、场地净、边沟净）；站内无果皮、纸屑、塑膜、泥沙、尘土等其他废弃物。未达到上述标准的扣1分。</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18、定期对外墙开展清洗作业，保持建筑物外观干净整洁。未开展的扣1分。</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19、受到省、市、区级媒体负面报道造成较大社会影响的每次扣20分，（或扣其渗滤液处置费50000元-200000元。）造成极其恶劣影响，后果极其严重的终止合同。</w:t>
      </w:r>
    </w:p>
    <w:p>
      <w:pPr>
        <w:adjustRightInd w:val="0"/>
        <w:snapToGrid w:val="0"/>
        <w:spacing w:line="360" w:lineRule="auto"/>
        <w:ind w:firstLine="482" w:firstLineChars="200"/>
        <w:jc w:val="left"/>
        <w:rPr>
          <w:rFonts w:ascii="仿宋" w:hAnsi="仿宋" w:eastAsia="仿宋" w:cs="仿宋"/>
          <w:sz w:val="24"/>
        </w:rPr>
      </w:pPr>
      <w:r>
        <w:rPr>
          <w:rFonts w:hint="eastAsia" w:ascii="仿宋" w:hAnsi="仿宋" w:eastAsia="仿宋" w:cs="仿宋"/>
          <w:b/>
          <w:bCs/>
          <w:sz w:val="24"/>
        </w:rPr>
        <w:t>第十五条</w:t>
      </w:r>
      <w:r>
        <w:rPr>
          <w:rFonts w:hint="eastAsia" w:ascii="仿宋" w:hAnsi="仿宋" w:eastAsia="仿宋" w:cs="仿宋"/>
          <w:sz w:val="24"/>
        </w:rPr>
        <w:t xml:space="preserve"> 环保排污要求</w:t>
      </w:r>
    </w:p>
    <w:p>
      <w:pPr>
        <w:tabs>
          <w:tab w:val="left" w:pos="1701"/>
        </w:tabs>
        <w:spacing w:line="360" w:lineRule="auto"/>
        <w:ind w:firstLine="528" w:firstLineChars="220"/>
        <w:rPr>
          <w:rFonts w:ascii="仿宋" w:hAnsi="仿宋" w:eastAsia="仿宋" w:cs="仿宋"/>
          <w:sz w:val="24"/>
        </w:rPr>
      </w:pPr>
      <w:r>
        <w:rPr>
          <w:rFonts w:hint="eastAsia" w:ascii="仿宋" w:hAnsi="仿宋" w:eastAsia="仿宋" w:cs="仿宋"/>
          <w:sz w:val="24"/>
        </w:rPr>
        <w:t>1、污水出水水质经环保部门在线监测系统预警或第三方检测不达标，造成超标排放的，扣40分/次。发现2次及以上类似行为的终止合同。</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2、未按照《生活垃圾渗沥液处理技术规范》（CJJ150）要求，对存储池、调节池防渗修复加固，造成污水或渗滤液渗漏的，扣20分。</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3、环保制度、标识、标牌公示管理不完善，各类环保资料缺失的，每一项扣1分，累计扣分不超过10分。</w:t>
      </w:r>
    </w:p>
    <w:p>
      <w:pPr>
        <w:adjustRightInd w:val="0"/>
        <w:snapToGrid w:val="0"/>
        <w:spacing w:line="360" w:lineRule="auto"/>
        <w:ind w:firstLine="482" w:firstLineChars="200"/>
        <w:jc w:val="left"/>
        <w:rPr>
          <w:rFonts w:ascii="仿宋" w:hAnsi="仿宋" w:eastAsia="仿宋" w:cs="仿宋"/>
          <w:sz w:val="24"/>
        </w:rPr>
      </w:pPr>
      <w:r>
        <w:rPr>
          <w:rFonts w:hint="eastAsia" w:ascii="仿宋" w:hAnsi="仿宋" w:eastAsia="仿宋" w:cs="仿宋"/>
          <w:b/>
          <w:bCs/>
          <w:sz w:val="24"/>
        </w:rPr>
        <w:t>第十六条</w:t>
      </w:r>
      <w:r>
        <w:rPr>
          <w:rFonts w:hint="eastAsia" w:ascii="仿宋" w:hAnsi="仿宋" w:eastAsia="仿宋" w:cs="仿宋"/>
          <w:sz w:val="24"/>
        </w:rPr>
        <w:t xml:space="preserve">  安全生产、消防安全</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1、建立健全各项安全管理规定、安全操作规程，未建立或缺失的一项扣3分。</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2、每月一次安全学习未完成的扣3分，学习记录不完整扣3分。</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3、定期开展安全隐患排查，制定隐患整改措施，完善整改台账，未落实的扣5分。</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4、未配备专职安全管理人员的扣5分，安全管理措施未有效开展的扣3分/次，日常安全管理台帐没有记录扣1分/次、未按要求规整建档的扣1分/次。</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5、建立和完善安全、防洪预案，制定渗滤液应急处置专项预案等，适时开展应急演练。未建立的按缺失一项扣3分，可合并扣分。</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6、站内各项标识、标牌、警示牌和各种公示栏、操作规程、制度栏缺失的扣1分。</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7、场地及设施设备用电不规范，私拉乱接电线或在站内使用明火、使用煤气、吸烟等易引发消防安全隐患行为的扣3分。</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8、发生一般安全事故（生产安全、交通安全、消防安全）未上报的一次扣10分；发生重大安全事故，扣20分。</w:t>
      </w:r>
    </w:p>
    <w:p>
      <w:pPr>
        <w:adjustRightInd w:val="0"/>
        <w:snapToGrid w:val="0"/>
        <w:spacing w:line="360" w:lineRule="auto"/>
        <w:ind w:firstLine="482" w:firstLineChars="200"/>
        <w:jc w:val="left"/>
        <w:rPr>
          <w:rFonts w:ascii="仿宋" w:hAnsi="仿宋" w:eastAsia="仿宋" w:cs="仿宋"/>
          <w:sz w:val="24"/>
        </w:rPr>
      </w:pPr>
      <w:r>
        <w:rPr>
          <w:rFonts w:hint="eastAsia" w:ascii="仿宋" w:hAnsi="仿宋" w:eastAsia="仿宋" w:cs="仿宋"/>
          <w:b/>
          <w:bCs/>
          <w:sz w:val="24"/>
        </w:rPr>
        <w:t>第十七条</w:t>
      </w:r>
      <w:r>
        <w:rPr>
          <w:rFonts w:hint="eastAsia" w:ascii="仿宋" w:hAnsi="仿宋" w:eastAsia="仿宋" w:cs="仿宋"/>
          <w:sz w:val="24"/>
        </w:rPr>
        <w:t xml:space="preserve">  系统管理</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1、未按要求安装实时在线监测设备、设备不能正常运行、未与环保部门联网的扣3分。</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2、因系统故障未及时上报，造成数据丢失的扣5分。</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3、每日渗滤液处理车辆进出、重量、时间、车牌号等台账记录登记不完整的扣3分/次。</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4、私自修改、录入渗滤液和污水吨位，发现一次扣10分。</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5、区外渗滤液和污水进入我区处理的扣20分/次。</w:t>
      </w:r>
    </w:p>
    <w:p>
      <w:pPr>
        <w:adjustRightInd w:val="0"/>
        <w:snapToGrid w:val="0"/>
        <w:spacing w:line="360" w:lineRule="auto"/>
        <w:ind w:firstLine="482" w:firstLineChars="200"/>
        <w:jc w:val="left"/>
        <w:rPr>
          <w:rFonts w:ascii="仿宋" w:hAnsi="仿宋" w:eastAsia="仿宋" w:cs="仿宋"/>
          <w:sz w:val="24"/>
        </w:rPr>
      </w:pPr>
      <w:r>
        <w:rPr>
          <w:rFonts w:hint="eastAsia" w:ascii="仿宋" w:hAnsi="仿宋" w:eastAsia="仿宋" w:cs="仿宋"/>
          <w:b/>
          <w:bCs/>
          <w:sz w:val="24"/>
        </w:rPr>
        <w:t>第十八条</w:t>
      </w:r>
      <w:r>
        <w:rPr>
          <w:rFonts w:hint="eastAsia" w:ascii="仿宋" w:hAnsi="仿宋" w:eastAsia="仿宋" w:cs="仿宋"/>
          <w:sz w:val="24"/>
        </w:rPr>
        <w:t xml:space="preserve"> 维修管理</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1、按照设备、维修标准设定相应的工种，并配备相关的维修工具，各类维修台账完整。未落实的扣1分。</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2、使用氧电焊作业应先安全检查，管道清洁无损、无漏气现象。氧气、乙炔瓶分别直立摆放、保持规定的距离并作固定，操作过程中未佩戴“安全帽”，违反规定的扣2分/次。</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3、维修车辆、设备须做好安全防护措施，严禁野蛮违规操作，冒险违章操作的扣2分。</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4、站内未配置消防砂池、消防灭火器或消防灭火器超过有效期未及时更换影响正常使用的扣1分/次。</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5、渗滤液处理、废油料收集必须设立专用存放点，运输、处置必须按要求完善手续，提供相应单据。未按规定落实的扣3分。</w:t>
      </w:r>
    </w:p>
    <w:p>
      <w:pPr>
        <w:adjustRightInd w:val="0"/>
        <w:snapToGrid w:val="0"/>
        <w:spacing w:line="360" w:lineRule="auto"/>
        <w:ind w:firstLine="482" w:firstLineChars="200"/>
        <w:jc w:val="left"/>
        <w:rPr>
          <w:rFonts w:ascii="仿宋" w:hAnsi="仿宋" w:eastAsia="仿宋" w:cs="仿宋"/>
          <w:sz w:val="24"/>
        </w:rPr>
      </w:pPr>
      <w:r>
        <w:rPr>
          <w:rFonts w:hint="eastAsia" w:ascii="仿宋" w:hAnsi="仿宋" w:eastAsia="仿宋" w:cs="仿宋"/>
          <w:b/>
          <w:bCs/>
          <w:sz w:val="24"/>
        </w:rPr>
        <w:t xml:space="preserve">第十九条 </w:t>
      </w:r>
      <w:r>
        <w:rPr>
          <w:rFonts w:hint="eastAsia" w:ascii="仿宋" w:hAnsi="仿宋" w:eastAsia="仿宋" w:cs="仿宋"/>
          <w:sz w:val="24"/>
        </w:rPr>
        <w:t>维稳内部管理</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1、建立建全公司内部合法的组织机构（如：工会、职代会等），管理机构，做到分工明确，责任到人。建立定期召开工作联系例会、安全教育培训会、业务工作、职业道德教育培训会等制度。未建立的扣1分。</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2、认真落实本单位治安安全、人身财产安全责任管理，无人员伤害社会治安、财产盗窃发生，未落实或有治安、盗窃案件发生的扣2分。</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3、认真受理各类信访举报投诉案件，做到及时回复处理，并完善电话、照片、视频等取证材料保管，未落实的扣1分。</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4、加强信访、维稳工作梳理排查，建立台账清单和管控措施，未落实的扣2分。</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5、制定落实应急处置专项预案及措施，未制定的扣1分；涉稳涉诉突发事件未及时报告、应急置措施不得当造成罢工、非法越级上访等影响生产秩序和社会稳定案件发生的扣5分；影响非常恶劣的（被新闻媒体曝光、被通报批评）扣10分，谈话诫勉一次。</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6、社会综治工作未纳入常态管理、相关的管理制度规章缺失的扣2分。</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7、制定职工学习教育计划，把法制规章教育纳入日常教育计划，教育和引导职工严格依法依规办事，未认真开展该项工作的扣1分。</w:t>
      </w:r>
    </w:p>
    <w:p>
      <w:pPr>
        <w:adjustRightInd w:val="0"/>
        <w:snapToGrid w:val="0"/>
        <w:spacing w:line="360" w:lineRule="auto"/>
        <w:ind w:firstLine="482" w:firstLineChars="200"/>
        <w:jc w:val="left"/>
        <w:rPr>
          <w:rFonts w:ascii="仿宋" w:hAnsi="仿宋" w:eastAsia="仿宋" w:cs="仿宋"/>
          <w:sz w:val="24"/>
        </w:rPr>
      </w:pPr>
      <w:r>
        <w:rPr>
          <w:rFonts w:hint="eastAsia" w:ascii="仿宋" w:hAnsi="仿宋" w:eastAsia="仿宋" w:cs="仿宋"/>
          <w:b/>
          <w:bCs/>
          <w:sz w:val="24"/>
        </w:rPr>
        <w:t>第二十条</w:t>
      </w:r>
      <w:r>
        <w:rPr>
          <w:rFonts w:hint="eastAsia" w:ascii="仿宋" w:hAnsi="仿宋" w:eastAsia="仿宋" w:cs="仿宋"/>
          <w:sz w:val="24"/>
        </w:rPr>
        <w:t xml:space="preserve"> 考核办法</w:t>
      </w:r>
    </w:p>
    <w:p>
      <w:pPr>
        <w:snapToGrid w:val="0"/>
        <w:spacing w:line="360" w:lineRule="auto"/>
        <w:ind w:firstLine="439" w:firstLineChars="183"/>
        <w:rPr>
          <w:rFonts w:ascii="仿宋" w:hAnsi="仿宋" w:eastAsia="仿宋" w:cs="仿宋"/>
          <w:sz w:val="24"/>
        </w:rPr>
      </w:pPr>
      <w:r>
        <w:rPr>
          <w:rFonts w:hint="eastAsia" w:ascii="仿宋" w:hAnsi="仿宋" w:eastAsia="仿宋" w:cs="仿宋"/>
          <w:sz w:val="24"/>
        </w:rPr>
        <w:t>（一）每月考核按照日常考核占60%，专项考核占40%进行综合评分，评分采取倒扣分制，考核结果每月通报一次。</w:t>
      </w:r>
    </w:p>
    <w:p>
      <w:pPr>
        <w:tabs>
          <w:tab w:val="left" w:pos="1701"/>
        </w:tabs>
        <w:snapToGrid w:val="0"/>
        <w:spacing w:line="360" w:lineRule="auto"/>
        <w:ind w:firstLine="398" w:firstLineChars="166"/>
        <w:rPr>
          <w:rFonts w:ascii="仿宋" w:hAnsi="仿宋" w:eastAsia="仿宋" w:cs="仿宋"/>
          <w:sz w:val="24"/>
        </w:rPr>
      </w:pPr>
      <w:r>
        <w:rPr>
          <w:rFonts w:hint="eastAsia" w:ascii="仿宋" w:hAnsi="仿宋" w:eastAsia="仿宋" w:cs="仿宋"/>
          <w:sz w:val="24"/>
        </w:rPr>
        <w:t>月考核得分=100－（日常考核扣分累计数×60%＋专项检查扣分累计数×40%）-其他扣分。</w:t>
      </w:r>
    </w:p>
    <w:p>
      <w:pPr>
        <w:numPr>
          <w:ilvl w:val="0"/>
          <w:numId w:val="3"/>
        </w:numPr>
        <w:tabs>
          <w:tab w:val="left" w:pos="1701"/>
        </w:tabs>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每月考核得分情况与处置费挂钩。</w:t>
      </w:r>
    </w:p>
    <w:p>
      <w:pPr>
        <w:snapToGrid w:val="0"/>
        <w:spacing w:line="360" w:lineRule="auto"/>
        <w:ind w:firstLine="439" w:firstLineChars="183"/>
        <w:rPr>
          <w:rFonts w:ascii="仿宋" w:hAnsi="仿宋" w:eastAsia="仿宋" w:cs="仿宋"/>
          <w:sz w:val="24"/>
        </w:rPr>
      </w:pPr>
      <w:r>
        <w:rPr>
          <w:rFonts w:hint="eastAsia" w:ascii="仿宋" w:hAnsi="仿宋" w:eastAsia="仿宋" w:cs="仿宋"/>
          <w:sz w:val="24"/>
        </w:rPr>
        <w:t>1、考核得分总分在90分（含90分）以上按照300元/分扣款。</w:t>
      </w:r>
    </w:p>
    <w:p>
      <w:pPr>
        <w:snapToGrid w:val="0"/>
        <w:spacing w:line="360" w:lineRule="auto"/>
        <w:ind w:firstLine="439" w:firstLineChars="183"/>
        <w:rPr>
          <w:rFonts w:ascii="仿宋" w:hAnsi="仿宋" w:eastAsia="仿宋" w:cs="仿宋"/>
          <w:sz w:val="24"/>
        </w:rPr>
      </w:pPr>
      <w:r>
        <w:rPr>
          <w:rFonts w:hint="eastAsia" w:ascii="仿宋" w:hAnsi="仿宋" w:eastAsia="仿宋" w:cs="仿宋"/>
          <w:sz w:val="24"/>
        </w:rPr>
        <w:t>2、考核得分总分在90分以下按500元/分扣款；得分80分以下按1000元/分扣款，得分70分以下按2000元/分并加扣当月5%处置费，并通报批评一次；得分60分以下视为不合格，扣当月10%处置费并诫免一次。经整改后测评仍在60分以下的，取消投资营运资格。</w:t>
      </w:r>
    </w:p>
    <w:p>
      <w:pPr>
        <w:snapToGrid w:val="0"/>
        <w:spacing w:line="360" w:lineRule="auto"/>
        <w:ind w:firstLine="439" w:firstLineChars="183"/>
        <w:rPr>
          <w:rFonts w:ascii="仿宋" w:hAnsi="仿宋" w:eastAsia="仿宋" w:cs="仿宋"/>
          <w:sz w:val="24"/>
        </w:rPr>
      </w:pPr>
      <w:r>
        <w:rPr>
          <w:rFonts w:hint="eastAsia" w:ascii="仿宋" w:hAnsi="仿宋" w:eastAsia="仿宋" w:cs="仿宋"/>
          <w:sz w:val="24"/>
        </w:rPr>
        <w:t>3、排放水质经第三方检测没有达到排放标准或未经处理排放直接排放，经查证属实扣100000元，并诫免一次；发现2次及以上类似行为的取消中标营运资格。</w:t>
      </w:r>
    </w:p>
    <w:p>
      <w:pPr>
        <w:snapToGrid w:val="0"/>
        <w:spacing w:line="360" w:lineRule="auto"/>
        <w:ind w:firstLine="439" w:firstLineChars="183"/>
        <w:rPr>
          <w:rFonts w:ascii="仿宋" w:hAnsi="仿宋" w:eastAsia="仿宋" w:cs="仿宋"/>
          <w:sz w:val="24"/>
        </w:rPr>
      </w:pPr>
      <w:r>
        <w:rPr>
          <w:rFonts w:hint="eastAsia" w:ascii="仿宋" w:hAnsi="仿宋" w:eastAsia="仿宋" w:cs="仿宋"/>
          <w:sz w:val="24"/>
        </w:rPr>
        <w:t>4、因工人私自收集外区垃圾渗滤液进入我区处理的，经查证属实扣20000元，并诫免一次；发现2次及以上类似行为的取消中标营运资格。</w:t>
      </w:r>
    </w:p>
    <w:p>
      <w:pPr>
        <w:snapToGrid w:val="0"/>
        <w:spacing w:line="360" w:lineRule="auto"/>
        <w:ind w:firstLine="439" w:firstLineChars="183"/>
        <w:rPr>
          <w:rFonts w:ascii="仿宋" w:hAnsi="仿宋" w:eastAsia="仿宋" w:cs="仿宋"/>
          <w:sz w:val="24"/>
        </w:rPr>
      </w:pPr>
      <w:r>
        <w:rPr>
          <w:rFonts w:hint="eastAsia" w:ascii="仿宋" w:hAnsi="仿宋" w:eastAsia="仿宋" w:cs="仿宋"/>
          <w:sz w:val="24"/>
        </w:rPr>
        <w:t>5、未按照作业标准和投标承诺配置工人的第1次按2000元/人次进行扣款，第2次按5000元/人次进行扣款并进行通报批评， 3次及以上按8000元/人次进行扣款，并进行诫勉。</w:t>
      </w:r>
    </w:p>
    <w:p>
      <w:pPr>
        <w:snapToGrid w:val="0"/>
        <w:spacing w:line="360" w:lineRule="auto"/>
        <w:ind w:firstLine="439" w:firstLineChars="183"/>
        <w:rPr>
          <w:rFonts w:ascii="仿宋" w:hAnsi="仿宋" w:eastAsia="仿宋" w:cs="仿宋"/>
          <w:sz w:val="24"/>
        </w:rPr>
      </w:pPr>
      <w:r>
        <w:rPr>
          <w:rFonts w:hint="eastAsia" w:ascii="仿宋" w:hAnsi="仿宋" w:eastAsia="仿宋" w:cs="仿宋"/>
          <w:sz w:val="24"/>
        </w:rPr>
        <w:t>6、凡不按时和按标准发放工人工资的，发现1次扣款10000元，第2次扣款20000元并通报批评一次，造成负面影响较大，取消中标营运资格，同时中止合同。</w:t>
      </w:r>
    </w:p>
    <w:p>
      <w:pPr>
        <w:snapToGrid w:val="0"/>
        <w:spacing w:line="360" w:lineRule="auto"/>
        <w:ind w:firstLine="439" w:firstLineChars="183"/>
        <w:rPr>
          <w:rFonts w:ascii="仿宋" w:hAnsi="仿宋" w:eastAsia="仿宋" w:cs="仿宋"/>
          <w:sz w:val="24"/>
        </w:rPr>
      </w:pPr>
      <w:r>
        <w:rPr>
          <w:rFonts w:hint="eastAsia" w:ascii="仿宋" w:hAnsi="仿宋" w:eastAsia="仿宋" w:cs="仿宋"/>
          <w:sz w:val="24"/>
        </w:rPr>
        <w:t>7、发生信访、举报投诉等未及时受理回复的1次扣款2000元，因处置不当对社会造成恶劣影响的1次扣款20000元，并诫勉一次。造成严重后果1次扣款50000元以上。造成恶劣后果取消投资标营运资格。</w:t>
      </w:r>
    </w:p>
    <w:p>
      <w:pPr>
        <w:snapToGrid w:val="0"/>
        <w:spacing w:line="360" w:lineRule="auto"/>
        <w:ind w:firstLine="439" w:firstLineChars="183"/>
        <w:rPr>
          <w:rFonts w:ascii="仿宋" w:hAnsi="仿宋" w:eastAsia="仿宋" w:cs="仿宋"/>
          <w:sz w:val="24"/>
        </w:rPr>
      </w:pPr>
      <w:r>
        <w:rPr>
          <w:rFonts w:hint="eastAsia" w:ascii="仿宋" w:hAnsi="仿宋" w:eastAsia="仿宋" w:cs="仿宋"/>
          <w:sz w:val="24"/>
        </w:rPr>
        <w:t>8、凡违规套取市、区专项资金（寒冬酷暑补贴、设备补贴、工资调整）发现1次扣款10000元，并通报批评一次，若再次发生或造成负面影响较大，取消中标营运资格，并中止合同。</w:t>
      </w:r>
    </w:p>
    <w:p>
      <w:pPr>
        <w:snapToGrid w:val="0"/>
        <w:spacing w:line="360" w:lineRule="auto"/>
        <w:ind w:firstLine="439" w:firstLineChars="183"/>
        <w:rPr>
          <w:rFonts w:ascii="仿宋" w:hAnsi="仿宋" w:eastAsia="仿宋" w:cs="仿宋"/>
          <w:sz w:val="24"/>
        </w:rPr>
      </w:pPr>
      <w:r>
        <w:rPr>
          <w:rFonts w:hint="eastAsia" w:ascii="仿宋" w:hAnsi="仿宋" w:eastAsia="仿宋" w:cs="仿宋"/>
          <w:sz w:val="24"/>
        </w:rPr>
        <w:t>9、一年被通报3次以上或诫勉2次以上，取消中标营运资格，中止合同。</w:t>
      </w:r>
    </w:p>
    <w:p>
      <w:pPr>
        <w:snapToGrid w:val="0"/>
        <w:spacing w:line="360" w:lineRule="auto"/>
        <w:ind w:firstLine="439" w:firstLineChars="183"/>
        <w:rPr>
          <w:rFonts w:ascii="仿宋" w:hAnsi="仿宋" w:eastAsia="仿宋" w:cs="仿宋"/>
          <w:sz w:val="24"/>
        </w:rPr>
      </w:pPr>
      <w:r>
        <w:rPr>
          <w:rFonts w:hint="eastAsia" w:ascii="仿宋" w:hAnsi="仿宋" w:eastAsia="仿宋" w:cs="仿宋"/>
          <w:sz w:val="24"/>
        </w:rPr>
        <w:t>10、发生场内安全责任事故（生产、消防、交通）一般事故1次扣款1000元，重大事故1次扣款20000元，特大事故1次扣款50000元。造成恶劣影响或严重后果的将终止合同，同时接受安全生产监管单位的一切处理决定。</w:t>
      </w:r>
    </w:p>
    <w:p>
      <w:pPr>
        <w:snapToGrid w:val="0"/>
        <w:spacing w:line="360" w:lineRule="auto"/>
        <w:ind w:firstLine="441" w:firstLineChars="183"/>
        <w:rPr>
          <w:rFonts w:ascii="仿宋" w:hAnsi="仿宋" w:eastAsia="仿宋" w:cs="仿宋"/>
          <w:sz w:val="24"/>
        </w:rPr>
      </w:pPr>
      <w:r>
        <w:rPr>
          <w:rFonts w:hint="eastAsia" w:ascii="仿宋" w:hAnsi="仿宋" w:eastAsia="仿宋" w:cs="仿宋"/>
          <w:b/>
          <w:bCs/>
          <w:sz w:val="24"/>
        </w:rPr>
        <w:t xml:space="preserve">第二十一条 </w:t>
      </w:r>
      <w:r>
        <w:rPr>
          <w:rFonts w:hint="eastAsia" w:ascii="仿宋" w:hAnsi="仿宋" w:eastAsia="仿宋" w:cs="仿宋"/>
          <w:sz w:val="24"/>
        </w:rPr>
        <w:t>区环卫所组织环境卫生和场地秩序检查考核时，工作人员在2人以上参加，详细记录考核时间、地点和考核情况（或拍照存档），若存在严重问题，被考核单位有关人员必须到场签字，立即整改。</w:t>
      </w:r>
    </w:p>
    <w:p>
      <w:pPr>
        <w:snapToGrid w:val="0"/>
        <w:spacing w:line="360" w:lineRule="auto"/>
        <w:ind w:firstLine="441" w:firstLineChars="183"/>
        <w:rPr>
          <w:rFonts w:ascii="仿宋" w:hAnsi="仿宋" w:eastAsia="仿宋" w:cs="仿宋"/>
          <w:sz w:val="24"/>
        </w:rPr>
      </w:pPr>
      <w:r>
        <w:rPr>
          <w:rFonts w:hint="eastAsia" w:ascii="仿宋" w:hAnsi="仿宋" w:eastAsia="仿宋" w:cs="仿宋"/>
          <w:b/>
          <w:bCs/>
          <w:sz w:val="24"/>
        </w:rPr>
        <w:t xml:space="preserve">第二十二条 </w:t>
      </w:r>
      <w:r>
        <w:rPr>
          <w:rFonts w:hint="eastAsia" w:ascii="仿宋" w:hAnsi="仿宋" w:eastAsia="仿宋" w:cs="仿宋"/>
          <w:sz w:val="24"/>
        </w:rPr>
        <w:t>被考核单位不得以任何理由拒绝检查考核，否则按违反本管理办法处理。</w:t>
      </w:r>
    </w:p>
    <w:p>
      <w:pPr>
        <w:snapToGrid w:val="0"/>
        <w:spacing w:line="360" w:lineRule="auto"/>
        <w:ind w:firstLine="441" w:firstLineChars="183"/>
        <w:rPr>
          <w:rFonts w:ascii="仿宋" w:hAnsi="仿宋" w:eastAsia="仿宋" w:cs="仿宋"/>
          <w:sz w:val="24"/>
        </w:rPr>
      </w:pPr>
      <w:r>
        <w:rPr>
          <w:rFonts w:hint="eastAsia" w:ascii="仿宋" w:hAnsi="仿宋" w:eastAsia="仿宋" w:cs="仿宋"/>
          <w:b/>
          <w:bCs/>
          <w:sz w:val="24"/>
        </w:rPr>
        <w:t xml:space="preserve">第二十三条 </w:t>
      </w:r>
      <w:r>
        <w:rPr>
          <w:rFonts w:hint="eastAsia" w:ascii="仿宋" w:hAnsi="仿宋" w:eastAsia="仿宋" w:cs="仿宋"/>
          <w:sz w:val="24"/>
        </w:rPr>
        <w:t>被考核单位认为考核有误可以向区环卫所进行申诉，区环卫所据实调查复核，做出复核通知书，复核只进行一次。</w:t>
      </w:r>
    </w:p>
    <w:p>
      <w:pPr>
        <w:snapToGrid w:val="0"/>
        <w:spacing w:line="360" w:lineRule="auto"/>
        <w:ind w:firstLine="441" w:firstLineChars="183"/>
        <w:rPr>
          <w:rFonts w:ascii="仿宋" w:hAnsi="仿宋" w:eastAsia="仿宋" w:cs="仿宋"/>
          <w:sz w:val="24"/>
        </w:rPr>
      </w:pPr>
      <w:r>
        <w:rPr>
          <w:rFonts w:hint="eastAsia" w:ascii="仿宋" w:hAnsi="仿宋" w:eastAsia="仿宋" w:cs="仿宋"/>
          <w:b/>
          <w:bCs/>
          <w:sz w:val="24"/>
        </w:rPr>
        <w:t>第二十四条</w:t>
      </w:r>
      <w:r>
        <w:rPr>
          <w:rFonts w:hint="eastAsia" w:ascii="仿宋" w:hAnsi="仿宋" w:eastAsia="仿宋" w:cs="仿宋"/>
          <w:sz w:val="24"/>
        </w:rPr>
        <w:t xml:space="preserve"> 本考核办法自下发之日起正式生效执行，有效期至新的考核办法修订或印发止。</w:t>
      </w:r>
    </w:p>
    <w:p>
      <w:pPr>
        <w:spacing w:line="360" w:lineRule="auto"/>
        <w:ind w:firstLine="482" w:firstLineChars="200"/>
        <w:jc w:val="left"/>
        <w:rPr>
          <w:rFonts w:ascii="仿宋" w:hAnsi="仿宋" w:eastAsia="仿宋" w:cs="仿宋"/>
          <w:kern w:val="0"/>
          <w:sz w:val="24"/>
        </w:rPr>
      </w:pPr>
      <w:r>
        <w:rPr>
          <w:rFonts w:hint="eastAsia" w:ascii="仿宋" w:hAnsi="仿宋" w:eastAsia="仿宋" w:cs="仿宋"/>
          <w:b/>
          <w:bCs/>
          <w:sz w:val="24"/>
        </w:rPr>
        <w:t xml:space="preserve">第二十五条 </w:t>
      </w:r>
      <w:r>
        <w:rPr>
          <w:rFonts w:hint="eastAsia" w:ascii="仿宋" w:hAnsi="仿宋" w:eastAsia="仿宋" w:cs="仿宋"/>
          <w:sz w:val="24"/>
        </w:rPr>
        <w:t>本办法的解释权归区环卫所。</w:t>
      </w:r>
    </w:p>
    <w:p>
      <w:pPr>
        <w:pStyle w:val="37"/>
        <w:spacing w:line="360" w:lineRule="auto"/>
        <w:ind w:firstLine="472" w:firstLineChars="196"/>
        <w:rPr>
          <w:rFonts w:ascii="仿宋" w:hAnsi="仿宋" w:eastAsia="仿宋" w:cs="仿宋"/>
          <w:b/>
          <w:bCs/>
          <w:sz w:val="24"/>
          <w:szCs w:val="24"/>
        </w:rPr>
      </w:pPr>
    </w:p>
    <w:p>
      <w:pPr>
        <w:pStyle w:val="37"/>
        <w:spacing w:line="360" w:lineRule="auto"/>
        <w:ind w:firstLine="472" w:firstLineChars="196"/>
        <w:rPr>
          <w:rFonts w:ascii="仿宋" w:hAnsi="仿宋" w:eastAsia="仿宋" w:cs="仿宋"/>
          <w:sz w:val="36"/>
          <w:szCs w:val="36"/>
        </w:rPr>
      </w:pPr>
      <w:r>
        <w:rPr>
          <w:rFonts w:hint="eastAsia" w:ascii="仿宋" w:hAnsi="仿宋" w:eastAsia="仿宋" w:cs="仿宋"/>
          <w:b/>
          <w:bCs/>
          <w:sz w:val="24"/>
          <w:szCs w:val="24"/>
        </w:rPr>
        <w:t>三、商务要求：</w:t>
      </w:r>
    </w:p>
    <w:p>
      <w:pPr>
        <w:pStyle w:val="37"/>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rPr>
        <w:t>★1、服务期限：</w:t>
      </w:r>
      <w:r>
        <w:rPr>
          <w:rFonts w:hint="eastAsia" w:ascii="仿宋" w:hAnsi="仿宋" w:eastAsia="仿宋" w:cs="仿宋"/>
          <w:sz w:val="24"/>
          <w:szCs w:val="24"/>
        </w:rPr>
        <w:t>本次招标运营服务年限为三年（因项目有建设期，因此运营服务期限以双方合同约定的服务期限为准），合同一年一签。</w:t>
      </w:r>
    </w:p>
    <w:p>
      <w:pPr>
        <w:pStyle w:val="37"/>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★2、履约验收方式和标准：</w:t>
      </w:r>
    </w:p>
    <w:p>
      <w:pPr>
        <w:pStyle w:val="37"/>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2.1、供应商与采购人应严格按照财政部关于进一步加强政府采购需求和履约验收管理的指导意见“财库〔2016〕205号文”的要求及其他相关法律法规进行验收；</w:t>
      </w:r>
    </w:p>
    <w:p>
      <w:pPr>
        <w:pStyle w:val="37"/>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2.2、按国家有关规定以及本项目采购文件的质量要求和技术指标或者中标供应商的投标文件及承诺等进行验收。</w:t>
      </w:r>
    </w:p>
    <w:p>
      <w:pPr>
        <w:pStyle w:val="37"/>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2.3、采购人每月按照《生活垃圾压缩站渗滤液及冲洗废水处理服务项目考核办法》对中标供应商服务情况进行考核验收。</w:t>
      </w:r>
    </w:p>
    <w:p>
      <w:pPr>
        <w:pStyle w:val="37"/>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★3、付款方式及要求：</w:t>
      </w:r>
    </w:p>
    <w:p>
      <w:pPr>
        <w:pStyle w:val="37"/>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3.1、合同签订后5个工作日内支付单年合同总金额的30%作为预付款。待预付款抵扣完后，再按中标价每月支付。最终结算价根据实际处理量*中标单价据实结算，但年结算价不超过本项目年预算金额。</w:t>
      </w:r>
    </w:p>
    <w:p>
      <w:pPr>
        <w:pStyle w:val="37"/>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3.2、报价应是最终用户验收合格后的总价，包括建设费、设备费、药剂费、人工费、水电费、污泥处置运输费、设备维护保养费、设备大修费、在线监测、污水清运费、管理费、税费、利润等产生的费用。</w:t>
      </w:r>
    </w:p>
    <w:p>
      <w:pPr>
        <w:pStyle w:val="37"/>
        <w:spacing w:line="360" w:lineRule="auto"/>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3.3、在每个服务年度周期的最后一个月结算后，以年度结算总量/365日=该年度平均每日处理量，如该年度平均每日处理量低于保底结算量，则按（每日保底结算量-该年度平均每日处理量）*365日*中标单价补至保底结算费用。</w:t>
      </w:r>
    </w:p>
    <w:p>
      <w:pPr>
        <w:pStyle w:val="37"/>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rPr>
        <w:t>★4、其他要求：</w:t>
      </w:r>
      <w:r>
        <w:rPr>
          <w:rFonts w:hint="eastAsia" w:ascii="仿宋" w:hAnsi="仿宋" w:eastAsia="仿宋" w:cs="仿宋"/>
          <w:sz w:val="24"/>
          <w:szCs w:val="24"/>
        </w:rPr>
        <w:t>可按照《中华人民共和国政府采购法》第四十九条“政府采购合同履行中，采购人需追加与合同标的相同的货物、工程或者服务的，在不改变合同其他条款的前提下，可以与供应商协商签订补充合同，但所有补充合同的采购金额不得超过原合同采购金额的百分之十”执行，服务期间按照本合同约定标准执行。</w:t>
      </w:r>
    </w:p>
    <w:p>
      <w:pPr>
        <w:pStyle w:val="37"/>
        <w:spacing w:line="360" w:lineRule="auto"/>
        <w:rPr>
          <w:rFonts w:ascii="仿宋" w:hAnsi="仿宋" w:eastAsia="仿宋" w:cs="仿宋"/>
          <w:sz w:val="36"/>
          <w:szCs w:val="36"/>
        </w:rPr>
      </w:pPr>
    </w:p>
    <w:p>
      <w:pPr>
        <w:pStyle w:val="37"/>
        <w:rPr>
          <w:rFonts w:ascii="仿宋" w:hAnsi="仿宋" w:eastAsia="仿宋" w:cs="仿宋"/>
          <w:b/>
          <w:bCs/>
          <w:sz w:val="24"/>
          <w:szCs w:val="24"/>
        </w:rPr>
      </w:pPr>
      <w:r>
        <w:rPr>
          <w:rFonts w:ascii="仿宋" w:hAnsi="仿宋" w:eastAsia="仿宋" w:cs="仿宋"/>
          <w:b/>
          <w:bCs/>
          <w:sz w:val="24"/>
          <w:szCs w:val="24"/>
        </w:rPr>
        <w:t>注：加</w:t>
      </w:r>
      <w:r>
        <w:rPr>
          <w:rFonts w:hint="eastAsia" w:ascii="仿宋" w:hAnsi="仿宋" w:eastAsia="仿宋" w:cs="仿宋"/>
          <w:b/>
          <w:bCs/>
          <w:sz w:val="24"/>
          <w:szCs w:val="24"/>
        </w:rPr>
        <w:t>★的条款为实质性要求条款，不得有负偏离，否则符合性审查不通过，作无效投标处理。</w:t>
      </w:r>
    </w:p>
    <w:p>
      <w:pPr>
        <w:pStyle w:val="37"/>
        <w:rPr>
          <w:rFonts w:ascii="仿宋" w:hAnsi="仿宋" w:eastAsia="仿宋" w:cs="仿宋"/>
          <w:sz w:val="36"/>
          <w:szCs w:val="36"/>
        </w:rPr>
      </w:pPr>
    </w:p>
    <w:p>
      <w:pPr>
        <w:pStyle w:val="37"/>
        <w:rPr>
          <w:rFonts w:ascii="仿宋" w:hAnsi="仿宋" w:eastAsia="仿宋" w:cs="仿宋"/>
          <w:sz w:val="36"/>
          <w:szCs w:val="36"/>
        </w:rPr>
      </w:pPr>
    </w:p>
    <w:p>
      <w:pPr>
        <w:pStyle w:val="37"/>
        <w:rPr>
          <w:rFonts w:ascii="仿宋" w:hAnsi="仿宋" w:eastAsia="仿宋" w:cs="仿宋"/>
          <w:sz w:val="36"/>
          <w:szCs w:val="36"/>
        </w:rPr>
      </w:pPr>
    </w:p>
    <w:p>
      <w:pPr>
        <w:pStyle w:val="37"/>
        <w:rPr>
          <w:rFonts w:ascii="仿宋" w:hAnsi="仿宋" w:eastAsia="仿宋" w:cs="仿宋"/>
          <w:sz w:val="36"/>
          <w:szCs w:val="36"/>
        </w:rPr>
      </w:pPr>
    </w:p>
    <w:p>
      <w:pPr>
        <w:pStyle w:val="37"/>
        <w:rPr>
          <w:rFonts w:ascii="仿宋" w:hAnsi="仿宋" w:eastAsia="仿宋" w:cs="仿宋"/>
          <w:sz w:val="36"/>
          <w:szCs w:val="36"/>
        </w:rPr>
      </w:pPr>
    </w:p>
    <w:p>
      <w:pPr>
        <w:pStyle w:val="37"/>
        <w:rPr>
          <w:rFonts w:ascii="仿宋" w:hAnsi="仿宋" w:eastAsia="仿宋" w:cs="仿宋"/>
          <w:sz w:val="36"/>
          <w:szCs w:val="36"/>
        </w:rPr>
      </w:pPr>
    </w:p>
    <w:p>
      <w:pPr>
        <w:pStyle w:val="3"/>
        <w:spacing w:line="400" w:lineRule="exact"/>
        <w:jc w:val="center"/>
        <w:rPr>
          <w:rFonts w:ascii="仿宋" w:hAnsi="仿宋" w:eastAsia="仿宋" w:cs="仿宋"/>
          <w:sz w:val="36"/>
          <w:szCs w:val="36"/>
        </w:rPr>
        <w:sectPr>
          <w:pgSz w:w="11906" w:h="16838"/>
          <w:pgMar w:top="1440" w:right="1800" w:bottom="1440" w:left="1800" w:header="851" w:footer="992" w:gutter="0"/>
          <w:cols w:space="720" w:num="1"/>
          <w:docGrid w:type="lines" w:linePitch="312" w:charSpace="0"/>
        </w:sectPr>
      </w:pPr>
      <w:bookmarkStart w:id="216" w:name="_Toc21224"/>
    </w:p>
    <w:p>
      <w:pPr>
        <w:pStyle w:val="3"/>
        <w:spacing w:line="400" w:lineRule="exact"/>
        <w:jc w:val="center"/>
        <w:rPr>
          <w:rFonts w:ascii="仿宋" w:hAnsi="仿宋" w:eastAsia="仿宋" w:cs="仿宋"/>
          <w:sz w:val="36"/>
          <w:szCs w:val="36"/>
        </w:rPr>
      </w:pPr>
      <w:r>
        <w:rPr>
          <w:rFonts w:hint="eastAsia" w:ascii="仿宋" w:hAnsi="仿宋" w:eastAsia="仿宋" w:cs="仿宋"/>
          <w:sz w:val="36"/>
          <w:szCs w:val="36"/>
        </w:rPr>
        <w:t>第七章  评标办法</w:t>
      </w:r>
      <w:bookmarkEnd w:id="212"/>
      <w:bookmarkEnd w:id="216"/>
      <w:bookmarkStart w:id="217" w:name="_Hlt101846155"/>
      <w:bookmarkEnd w:id="217"/>
      <w:bookmarkStart w:id="218" w:name="_Toc217446097"/>
      <w:bookmarkStart w:id="219" w:name="_Toc208849007"/>
      <w:bookmarkStart w:id="220" w:name="_Toc183582280"/>
      <w:bookmarkStart w:id="221" w:name="_Toc183682415"/>
    </w:p>
    <w:p>
      <w:pPr>
        <w:pStyle w:val="4"/>
        <w:rPr>
          <w:rFonts w:ascii="仿宋" w:hAnsi="仿宋" w:eastAsia="仿宋" w:cs="仿宋"/>
          <w:sz w:val="24"/>
          <w:szCs w:val="24"/>
        </w:rPr>
      </w:pPr>
      <w:r>
        <w:rPr>
          <w:rFonts w:hint="eastAsia" w:ascii="仿宋" w:hAnsi="仿宋" w:eastAsia="仿宋" w:cs="仿宋"/>
          <w:sz w:val="24"/>
          <w:szCs w:val="24"/>
        </w:rPr>
        <w:t>1. 总则</w:t>
      </w:r>
      <w:bookmarkEnd w:id="218"/>
      <w:bookmarkEnd w:id="219"/>
      <w:bookmarkEnd w:id="220"/>
      <w:bookmarkEnd w:id="221"/>
    </w:p>
    <w:p>
      <w:pPr>
        <w:spacing w:line="400" w:lineRule="exact"/>
        <w:ind w:firstLine="480" w:firstLineChars="200"/>
        <w:rPr>
          <w:rFonts w:ascii="仿宋" w:hAnsi="仿宋" w:eastAsia="仿宋" w:cs="仿宋"/>
          <w:sz w:val="24"/>
        </w:rPr>
      </w:pPr>
      <w:r>
        <w:rPr>
          <w:rFonts w:hint="eastAsia" w:ascii="仿宋" w:hAnsi="仿宋" w:eastAsia="仿宋" w:cs="仿宋"/>
          <w:sz w:val="24"/>
        </w:rPr>
        <w:t>1.1、根据《中华人民共和国政府采购法》、《中华人民共和国政府采购法实施条例》、《政府采购货物和服务招标投标管理办法》等法律制度，结合采购项目特点制定本评标办法。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cs="仿宋"/>
          <w:sz w:val="24"/>
        </w:rPr>
      </w:pPr>
      <w:r>
        <w:rPr>
          <w:rFonts w:hint="eastAsia" w:ascii="仿宋" w:hAnsi="仿宋" w:eastAsia="仿宋" w:cs="仿宋"/>
          <w:sz w:val="24"/>
        </w:rPr>
        <w:t>1.2、公开招标采购项目开标结束后，采购人或者采购代理机构应当依法对投标人的资格进行审查。依据法律法规和本招标文件的规定，对投标文件是否按照规定要求提供资格性证明材料、是否按照规定交纳投标保证金等进行审查，以确定投标供应商是否具备投标资格。</w:t>
      </w:r>
    </w:p>
    <w:p>
      <w:pPr>
        <w:spacing w:line="400" w:lineRule="exact"/>
        <w:ind w:firstLine="480" w:firstLineChars="200"/>
        <w:rPr>
          <w:rFonts w:ascii="仿宋" w:hAnsi="仿宋" w:eastAsia="仿宋" w:cs="仿宋"/>
          <w:sz w:val="24"/>
        </w:rPr>
      </w:pPr>
      <w:r>
        <w:rPr>
          <w:rFonts w:hint="eastAsia" w:ascii="仿宋" w:hAnsi="仿宋" w:eastAsia="仿宋" w:cs="仿宋"/>
          <w:sz w:val="24"/>
        </w:rPr>
        <w:t>合格投标人不足三家的，不得评标。</w:t>
      </w:r>
    </w:p>
    <w:p>
      <w:pPr>
        <w:spacing w:line="400" w:lineRule="exact"/>
        <w:ind w:firstLine="480" w:firstLineChars="200"/>
        <w:rPr>
          <w:rFonts w:ascii="仿宋" w:hAnsi="仿宋" w:eastAsia="仿宋" w:cs="仿宋"/>
          <w:sz w:val="24"/>
        </w:rPr>
      </w:pPr>
      <w:r>
        <w:rPr>
          <w:rFonts w:hint="eastAsia" w:ascii="仿宋" w:hAnsi="仿宋" w:eastAsia="仿宋" w:cs="仿宋"/>
          <w:sz w:val="24"/>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cs="仿宋"/>
          <w:sz w:val="24"/>
        </w:rPr>
      </w:pPr>
      <w:r>
        <w:rPr>
          <w:rFonts w:hint="eastAsia" w:ascii="仿宋" w:hAnsi="仿宋" w:eastAsia="仿宋" w:cs="仿宋"/>
          <w:sz w:val="24"/>
        </w:rPr>
        <w:t>1.3、评标工作应遵循公平、公正、科学及择优的原则，并以相同的评标程序和标准对待所有的投标人。</w:t>
      </w:r>
    </w:p>
    <w:p>
      <w:pPr>
        <w:spacing w:line="400" w:lineRule="exact"/>
        <w:ind w:firstLine="480" w:firstLineChars="200"/>
        <w:rPr>
          <w:rFonts w:ascii="仿宋" w:hAnsi="仿宋" w:eastAsia="仿宋" w:cs="仿宋"/>
          <w:sz w:val="24"/>
        </w:rPr>
      </w:pPr>
      <w:r>
        <w:rPr>
          <w:rFonts w:hint="eastAsia" w:ascii="仿宋" w:hAnsi="仿宋" w:eastAsia="仿宋" w:cs="仿宋"/>
          <w:sz w:val="24"/>
        </w:rPr>
        <w:t>1.4、评标委员会按照招标文件规定的评标方法和标准进行评标，并独立履行下列职责：</w:t>
      </w:r>
    </w:p>
    <w:p>
      <w:pPr>
        <w:spacing w:line="400" w:lineRule="exact"/>
        <w:ind w:firstLine="480" w:firstLineChars="200"/>
        <w:rPr>
          <w:rFonts w:ascii="仿宋" w:hAnsi="仿宋" w:eastAsia="仿宋" w:cs="仿宋"/>
          <w:sz w:val="24"/>
        </w:rPr>
      </w:pPr>
      <w:bookmarkStart w:id="222" w:name="_Toc217446098"/>
      <w:r>
        <w:rPr>
          <w:rFonts w:hint="eastAsia" w:ascii="仿宋" w:hAnsi="仿宋" w:eastAsia="仿宋" w:cs="仿宋"/>
          <w:sz w:val="24"/>
        </w:rPr>
        <w:t>（一）熟悉和理解招标文件；</w:t>
      </w:r>
    </w:p>
    <w:p>
      <w:pPr>
        <w:spacing w:line="400" w:lineRule="exact"/>
        <w:ind w:firstLine="480" w:firstLineChars="200"/>
        <w:rPr>
          <w:rFonts w:ascii="仿宋" w:hAnsi="仿宋" w:eastAsia="仿宋" w:cs="仿宋"/>
          <w:sz w:val="24"/>
        </w:rPr>
      </w:pPr>
      <w:r>
        <w:rPr>
          <w:rFonts w:hint="eastAsia" w:ascii="仿宋" w:hAnsi="仿宋" w:eastAsia="仿宋" w:cs="仿宋"/>
          <w:sz w:val="24"/>
        </w:rPr>
        <w:t>（二）审查供应商（已通过资格审查）的投标文件是否满足招标文件要求，并作出评价；</w:t>
      </w:r>
    </w:p>
    <w:p>
      <w:pPr>
        <w:spacing w:line="400" w:lineRule="exact"/>
        <w:ind w:firstLine="480" w:firstLineChars="200"/>
        <w:rPr>
          <w:rFonts w:ascii="仿宋" w:hAnsi="仿宋" w:eastAsia="仿宋" w:cs="仿宋"/>
          <w:sz w:val="24"/>
        </w:rPr>
      </w:pPr>
      <w:r>
        <w:rPr>
          <w:rFonts w:hint="eastAsia" w:ascii="仿宋" w:hAnsi="仿宋" w:eastAsia="仿宋" w:cs="仿宋"/>
          <w:sz w:val="24"/>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cs="仿宋"/>
          <w:sz w:val="24"/>
        </w:rPr>
      </w:pPr>
      <w:r>
        <w:rPr>
          <w:rFonts w:hint="eastAsia" w:ascii="仿宋" w:hAnsi="仿宋" w:eastAsia="仿宋" w:cs="仿宋"/>
          <w:sz w:val="24"/>
        </w:rPr>
        <w:t>（四）推荐中标候选供应商，或者受采购人委托确定中标供应商；</w:t>
      </w:r>
    </w:p>
    <w:p>
      <w:pPr>
        <w:spacing w:line="400" w:lineRule="exact"/>
        <w:ind w:firstLine="480" w:firstLineChars="200"/>
        <w:rPr>
          <w:rFonts w:ascii="仿宋" w:hAnsi="仿宋" w:eastAsia="仿宋" w:cs="仿宋"/>
          <w:sz w:val="24"/>
        </w:rPr>
      </w:pPr>
      <w:r>
        <w:rPr>
          <w:rFonts w:hint="eastAsia" w:ascii="仿宋" w:hAnsi="仿宋" w:eastAsia="仿宋" w:cs="仿宋"/>
          <w:sz w:val="24"/>
        </w:rPr>
        <w:t>（五）起草评标报告并进行签署；</w:t>
      </w:r>
    </w:p>
    <w:p>
      <w:pPr>
        <w:spacing w:line="400" w:lineRule="exact"/>
        <w:ind w:firstLine="480" w:firstLineChars="200"/>
        <w:rPr>
          <w:rFonts w:ascii="仿宋" w:hAnsi="仿宋" w:eastAsia="仿宋" w:cs="仿宋"/>
          <w:sz w:val="24"/>
        </w:rPr>
      </w:pPr>
      <w:r>
        <w:rPr>
          <w:rFonts w:hint="eastAsia" w:ascii="仿宋" w:hAnsi="仿宋" w:eastAsia="仿宋" w:cs="仿宋"/>
          <w:sz w:val="24"/>
        </w:rPr>
        <w:t>（六）向招标采购单位、财政部门或者其他监督部门报告非法干预评标工作的行为；</w:t>
      </w:r>
    </w:p>
    <w:p>
      <w:pPr>
        <w:spacing w:line="400" w:lineRule="exact"/>
        <w:ind w:firstLine="480" w:firstLineChars="200"/>
        <w:rPr>
          <w:rFonts w:ascii="仿宋" w:hAnsi="仿宋" w:eastAsia="仿宋" w:cs="仿宋"/>
          <w:sz w:val="24"/>
        </w:rPr>
      </w:pPr>
      <w:r>
        <w:rPr>
          <w:rFonts w:hint="eastAsia" w:ascii="仿宋" w:hAnsi="仿宋" w:eastAsia="仿宋" w:cs="仿宋"/>
          <w:sz w:val="24"/>
        </w:rPr>
        <w:t>（七）法律、法规和规章规定的其他职责。</w:t>
      </w:r>
    </w:p>
    <w:p>
      <w:pPr>
        <w:spacing w:line="400" w:lineRule="exact"/>
        <w:ind w:firstLine="480" w:firstLineChars="200"/>
        <w:rPr>
          <w:rFonts w:ascii="仿宋" w:hAnsi="仿宋" w:eastAsia="仿宋" w:cs="仿宋"/>
          <w:sz w:val="24"/>
        </w:rPr>
      </w:pPr>
      <w:r>
        <w:rPr>
          <w:rFonts w:hint="eastAsia" w:ascii="仿宋" w:hAnsi="仿宋" w:eastAsia="仿宋" w:cs="仿宋"/>
          <w:sz w:val="24"/>
        </w:rPr>
        <w:t>1.5、评标过程独立、保密。投标人非法干预评标过程的行为将导致其投标文件作为无效处理。</w:t>
      </w:r>
    </w:p>
    <w:p>
      <w:pPr>
        <w:spacing w:line="400" w:lineRule="exact"/>
        <w:ind w:firstLine="480" w:firstLineChars="200"/>
        <w:rPr>
          <w:rFonts w:ascii="仿宋" w:hAnsi="仿宋" w:eastAsia="仿宋" w:cs="仿宋"/>
          <w:sz w:val="24"/>
        </w:rPr>
      </w:pPr>
      <w:r>
        <w:rPr>
          <w:rFonts w:hint="eastAsia" w:ascii="仿宋" w:hAnsi="仿宋" w:eastAsia="仿宋" w:cs="仿宋"/>
          <w:sz w:val="24"/>
        </w:rPr>
        <w:t>1.6、评标委员会评价投标文件的响应性，对于投标人而言，除评标委员会要求其澄清、说明或者更正而提供的资料外，仅依据投标文件本身的内容，不寻求其他外部证据。</w:t>
      </w:r>
    </w:p>
    <w:p>
      <w:pPr>
        <w:pStyle w:val="4"/>
        <w:rPr>
          <w:rFonts w:ascii="仿宋" w:hAnsi="仿宋" w:eastAsia="仿宋" w:cs="仿宋"/>
          <w:sz w:val="24"/>
          <w:szCs w:val="24"/>
        </w:rPr>
      </w:pPr>
      <w:r>
        <w:rPr>
          <w:rFonts w:hint="eastAsia" w:ascii="仿宋" w:hAnsi="仿宋" w:eastAsia="仿宋" w:cs="仿宋"/>
          <w:sz w:val="24"/>
          <w:szCs w:val="24"/>
        </w:rPr>
        <w:t>2、 评标</w:t>
      </w:r>
      <w:bookmarkEnd w:id="222"/>
      <w:r>
        <w:rPr>
          <w:rFonts w:hint="eastAsia" w:ascii="仿宋" w:hAnsi="仿宋" w:eastAsia="仿宋" w:cs="仿宋"/>
          <w:sz w:val="24"/>
          <w:szCs w:val="24"/>
        </w:rPr>
        <w:t>方法</w:t>
      </w:r>
    </w:p>
    <w:p>
      <w:pPr>
        <w:spacing w:line="360" w:lineRule="auto"/>
        <w:ind w:firstLine="480" w:firstLineChars="200"/>
        <w:rPr>
          <w:rFonts w:ascii="仿宋" w:hAnsi="仿宋" w:eastAsia="仿宋" w:cs="仿宋"/>
          <w:sz w:val="24"/>
        </w:rPr>
      </w:pPr>
      <w:bookmarkStart w:id="223" w:name="_Toc217446103"/>
      <w:bookmarkStart w:id="224" w:name="_Toc217446099"/>
      <w:r>
        <w:rPr>
          <w:rFonts w:hint="eastAsia" w:ascii="仿宋" w:hAnsi="仿宋" w:eastAsia="仿宋" w:cs="仿宋"/>
          <w:sz w:val="24"/>
        </w:rPr>
        <w:t>2.1、本项目评标方法为：</w:t>
      </w:r>
      <w:r>
        <w:rPr>
          <w:rFonts w:hint="eastAsia" w:ascii="仿宋" w:hAnsi="仿宋" w:eastAsia="仿宋" w:cs="仿宋"/>
          <w:b/>
          <w:bCs/>
          <w:sz w:val="24"/>
        </w:rPr>
        <w:t>综合评分法</w:t>
      </w:r>
      <w:r>
        <w:rPr>
          <w:rFonts w:hint="eastAsia" w:ascii="仿宋" w:hAnsi="仿宋" w:eastAsia="仿宋" w:cs="仿宋"/>
          <w:sz w:val="24"/>
        </w:rPr>
        <w:t>。</w:t>
      </w:r>
    </w:p>
    <w:p>
      <w:pPr>
        <w:pStyle w:val="4"/>
        <w:rPr>
          <w:rFonts w:ascii="仿宋" w:hAnsi="仿宋" w:eastAsia="仿宋" w:cs="仿宋"/>
          <w:sz w:val="24"/>
          <w:szCs w:val="24"/>
        </w:rPr>
      </w:pPr>
      <w:r>
        <w:rPr>
          <w:rFonts w:hint="eastAsia" w:ascii="仿宋" w:hAnsi="仿宋" w:eastAsia="仿宋" w:cs="仿宋"/>
          <w:sz w:val="24"/>
          <w:szCs w:val="24"/>
        </w:rPr>
        <w:t>3、 评标程序</w:t>
      </w:r>
    </w:p>
    <w:p>
      <w:pPr>
        <w:spacing w:line="400" w:lineRule="exact"/>
        <w:ind w:firstLine="480" w:firstLineChars="200"/>
        <w:rPr>
          <w:rFonts w:ascii="仿宋" w:hAnsi="仿宋" w:eastAsia="仿宋" w:cs="仿宋"/>
          <w:sz w:val="24"/>
        </w:rPr>
      </w:pPr>
      <w:r>
        <w:rPr>
          <w:rFonts w:hint="eastAsia" w:ascii="仿宋" w:hAnsi="仿宋" w:eastAsia="仿宋" w:cs="仿宋"/>
          <w:sz w:val="24"/>
        </w:rPr>
        <w:t>3.1、熟悉和理解招标文件和停止评标。</w:t>
      </w:r>
    </w:p>
    <w:p>
      <w:pPr>
        <w:spacing w:line="400" w:lineRule="exact"/>
        <w:ind w:firstLine="480" w:firstLineChars="200"/>
        <w:rPr>
          <w:rFonts w:ascii="仿宋" w:hAnsi="仿宋" w:eastAsia="仿宋" w:cs="仿宋"/>
          <w:sz w:val="24"/>
        </w:rPr>
      </w:pPr>
      <w:r>
        <w:rPr>
          <w:rFonts w:hint="eastAsia" w:ascii="仿宋" w:hAnsi="仿宋" w:eastAsia="仿宋" w:cs="仿宋"/>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cs="仿宋"/>
          <w:sz w:val="24"/>
        </w:rPr>
      </w:pPr>
      <w:r>
        <w:rPr>
          <w:rFonts w:hint="eastAsia" w:ascii="仿宋" w:hAnsi="仿宋" w:eastAsia="仿宋" w:cs="仿宋"/>
          <w:sz w:val="24"/>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cs="仿宋"/>
          <w:sz w:val="24"/>
        </w:rPr>
      </w:pPr>
      <w:r>
        <w:rPr>
          <w:rFonts w:hint="eastAsia" w:ascii="仿宋" w:hAnsi="仿宋" w:eastAsia="仿宋" w:cs="仿宋"/>
          <w:sz w:val="24"/>
        </w:rPr>
        <w:t>（1）招标文件的规定存在歧义、重大缺陷的；</w:t>
      </w:r>
    </w:p>
    <w:p>
      <w:pPr>
        <w:spacing w:line="400" w:lineRule="exact"/>
        <w:ind w:firstLine="480" w:firstLineChars="200"/>
        <w:rPr>
          <w:rFonts w:ascii="仿宋" w:hAnsi="仿宋" w:eastAsia="仿宋" w:cs="仿宋"/>
          <w:sz w:val="24"/>
        </w:rPr>
      </w:pPr>
      <w:r>
        <w:rPr>
          <w:rFonts w:hint="eastAsia" w:ascii="仿宋" w:hAnsi="仿宋" w:eastAsia="仿宋" w:cs="仿宋"/>
          <w:sz w:val="24"/>
        </w:rPr>
        <w:t>（2）招标文件明显以不合理条件对供应商实行差别待遇或者歧视待遇的；</w:t>
      </w:r>
    </w:p>
    <w:p>
      <w:pPr>
        <w:spacing w:line="400" w:lineRule="exact"/>
        <w:ind w:firstLine="480" w:firstLineChars="200"/>
        <w:rPr>
          <w:rFonts w:ascii="仿宋" w:hAnsi="仿宋" w:eastAsia="仿宋" w:cs="仿宋"/>
          <w:sz w:val="24"/>
        </w:rPr>
      </w:pPr>
      <w:r>
        <w:rPr>
          <w:rFonts w:hint="eastAsia" w:ascii="仿宋" w:hAnsi="仿宋" w:eastAsia="仿宋" w:cs="仿宋"/>
          <w:sz w:val="24"/>
        </w:rPr>
        <w:t>（3）采购项目属于国家规定的优先、强制采购范围，但是招标文件未依法体现优先、强制采购相关规定的；</w:t>
      </w:r>
    </w:p>
    <w:p>
      <w:pPr>
        <w:spacing w:line="400" w:lineRule="exact"/>
        <w:ind w:firstLine="480" w:firstLineChars="200"/>
        <w:rPr>
          <w:rFonts w:ascii="仿宋" w:hAnsi="仿宋" w:eastAsia="仿宋" w:cs="仿宋"/>
          <w:sz w:val="24"/>
        </w:rPr>
      </w:pPr>
      <w:r>
        <w:rPr>
          <w:rFonts w:hint="eastAsia" w:ascii="仿宋" w:hAnsi="仿宋" w:eastAsia="仿宋" w:cs="仿宋"/>
          <w:sz w:val="24"/>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cs="仿宋"/>
          <w:sz w:val="24"/>
        </w:rPr>
      </w:pPr>
      <w:r>
        <w:rPr>
          <w:rFonts w:hint="eastAsia" w:ascii="仿宋" w:hAnsi="仿宋" w:eastAsia="仿宋" w:cs="仿宋"/>
          <w:sz w:val="24"/>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eastAsia="仿宋" w:cs="仿宋"/>
          <w:sz w:val="24"/>
        </w:rPr>
      </w:pPr>
      <w:r>
        <w:rPr>
          <w:rFonts w:hint="eastAsia" w:ascii="仿宋" w:hAnsi="仿宋" w:eastAsia="仿宋" w:cs="仿宋"/>
          <w:sz w:val="24"/>
        </w:rPr>
        <w:t>（6）招标文件将投标人的资格条件列为评分因素的；</w:t>
      </w:r>
    </w:p>
    <w:p>
      <w:pPr>
        <w:spacing w:line="400" w:lineRule="exact"/>
        <w:ind w:firstLine="480" w:firstLineChars="200"/>
        <w:rPr>
          <w:rFonts w:ascii="仿宋" w:hAnsi="仿宋" w:eastAsia="仿宋" w:cs="仿宋"/>
          <w:sz w:val="24"/>
        </w:rPr>
      </w:pPr>
      <w:r>
        <w:rPr>
          <w:rFonts w:hint="eastAsia" w:ascii="仿宋" w:hAnsi="仿宋" w:eastAsia="仿宋" w:cs="仿宋"/>
          <w:sz w:val="24"/>
        </w:rPr>
        <w:t>（7）招标文件有违反国家其他有关强制性规定的情形。</w:t>
      </w:r>
    </w:p>
    <w:p>
      <w:pPr>
        <w:spacing w:line="400" w:lineRule="exact"/>
        <w:ind w:firstLine="480" w:firstLineChars="200"/>
        <w:rPr>
          <w:rFonts w:ascii="仿宋" w:hAnsi="仿宋" w:eastAsia="仿宋" w:cs="仿宋"/>
          <w:sz w:val="24"/>
        </w:rPr>
      </w:pPr>
      <w:r>
        <w:rPr>
          <w:rFonts w:hint="eastAsia" w:ascii="仿宋" w:hAnsi="仿宋" w:eastAsia="仿宋" w:cs="仿宋"/>
          <w:sz w:val="24"/>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eastAsia="仿宋" w:cs="仿宋"/>
          <w:sz w:val="24"/>
        </w:rPr>
      </w:pPr>
      <w:r>
        <w:rPr>
          <w:rFonts w:hint="eastAsia" w:ascii="仿宋" w:hAnsi="仿宋" w:eastAsia="仿宋" w:cs="仿宋"/>
          <w:sz w:val="24"/>
        </w:rPr>
        <w:t>3.2、符合性检查。</w:t>
      </w:r>
    </w:p>
    <w:p>
      <w:pPr>
        <w:spacing w:line="400" w:lineRule="exact"/>
        <w:ind w:firstLine="480" w:firstLineChars="200"/>
        <w:rPr>
          <w:rFonts w:ascii="仿宋" w:hAnsi="仿宋" w:eastAsia="仿宋" w:cs="仿宋"/>
          <w:sz w:val="24"/>
        </w:rPr>
      </w:pPr>
      <w:r>
        <w:rPr>
          <w:rFonts w:hint="eastAsia" w:ascii="仿宋" w:hAnsi="仿宋" w:eastAsia="仿宋" w:cs="仿宋"/>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400" w:lineRule="exact"/>
        <w:ind w:firstLine="480" w:firstLineChars="200"/>
        <w:rPr>
          <w:rFonts w:ascii="仿宋" w:hAnsi="仿宋" w:eastAsia="仿宋" w:cs="仿宋"/>
          <w:sz w:val="24"/>
        </w:rPr>
      </w:pPr>
      <w:r>
        <w:rPr>
          <w:rFonts w:hint="eastAsia" w:ascii="仿宋" w:hAnsi="仿宋" w:eastAsia="仿宋" w:cs="仿宋"/>
          <w:sz w:val="24"/>
        </w:rPr>
        <w:t>3.2.2、投标文件有下列情形的，本项目不作为实质性要求进行规定，即不作为符合性审查事项，不得作为无效投标处理：</w:t>
      </w:r>
    </w:p>
    <w:p>
      <w:pPr>
        <w:spacing w:line="400" w:lineRule="exact"/>
        <w:ind w:firstLine="480" w:firstLineChars="200"/>
        <w:rPr>
          <w:rFonts w:ascii="仿宋" w:hAnsi="仿宋" w:eastAsia="仿宋" w:cs="仿宋"/>
          <w:sz w:val="24"/>
        </w:rPr>
      </w:pPr>
      <w:r>
        <w:rPr>
          <w:rFonts w:hint="eastAsia" w:ascii="仿宋" w:hAnsi="仿宋" w:eastAsia="仿宋" w:cs="仿宋"/>
          <w:sz w:val="24"/>
        </w:rPr>
        <w:t>（一）存在个别地方（不超过2个）没有法定代表人/单位负责人签字，但有法定代表人/单位负责人的私人印章或者有效授权代理人签字的；</w:t>
      </w:r>
    </w:p>
    <w:p>
      <w:pPr>
        <w:spacing w:line="400" w:lineRule="exact"/>
        <w:ind w:firstLine="480" w:firstLineChars="200"/>
        <w:rPr>
          <w:rFonts w:ascii="仿宋" w:hAnsi="仿宋" w:eastAsia="仿宋" w:cs="仿宋"/>
          <w:sz w:val="24"/>
        </w:rPr>
      </w:pPr>
      <w:r>
        <w:rPr>
          <w:rFonts w:hint="eastAsia" w:ascii="仿宋" w:hAnsi="仿宋" w:eastAsia="仿宋" w:cs="仿宋"/>
          <w:sz w:val="24"/>
        </w:rPr>
        <w:t>（二）除招标文件明确要求加盖单位(法人)公章的以外，其他地方以相关专用章加盖的；</w:t>
      </w:r>
    </w:p>
    <w:p>
      <w:pPr>
        <w:spacing w:line="400" w:lineRule="exact"/>
        <w:ind w:firstLine="480" w:firstLineChars="200"/>
        <w:rPr>
          <w:rFonts w:ascii="仿宋" w:hAnsi="仿宋" w:eastAsia="仿宋" w:cs="仿宋"/>
          <w:sz w:val="24"/>
        </w:rPr>
      </w:pPr>
      <w:r>
        <w:rPr>
          <w:rFonts w:hint="eastAsia" w:ascii="仿宋" w:hAnsi="仿宋" w:eastAsia="仿宋" w:cs="仿宋"/>
          <w:sz w:val="24"/>
        </w:rPr>
        <w:t>（三）其他不影响采购项目实质性要求的情形。</w:t>
      </w:r>
    </w:p>
    <w:p>
      <w:pPr>
        <w:spacing w:line="400" w:lineRule="exact"/>
        <w:ind w:firstLine="480" w:firstLineChars="200"/>
        <w:rPr>
          <w:rFonts w:ascii="仿宋" w:hAnsi="仿宋" w:eastAsia="仿宋" w:cs="仿宋"/>
          <w:sz w:val="24"/>
        </w:rPr>
      </w:pPr>
      <w:r>
        <w:rPr>
          <w:rFonts w:hint="eastAsia" w:ascii="仿宋" w:hAnsi="仿宋" w:eastAsia="仿宋" w:cs="仿宋"/>
          <w:sz w:val="24"/>
        </w:rPr>
        <w:t>3.2.3、除政府采购法律制度规定的情形外，本项目投标人或者其投标文件有下列情形之一的，作为无效投标处理：</w:t>
      </w:r>
    </w:p>
    <w:p>
      <w:pPr>
        <w:spacing w:line="400" w:lineRule="exact"/>
        <w:ind w:firstLine="480" w:firstLineChars="200"/>
        <w:rPr>
          <w:rFonts w:ascii="仿宋" w:hAnsi="仿宋" w:eastAsia="仿宋" w:cs="仿宋"/>
          <w:sz w:val="24"/>
        </w:rPr>
      </w:pPr>
      <w:r>
        <w:rPr>
          <w:rFonts w:hint="eastAsia" w:ascii="仿宋" w:hAnsi="仿宋" w:eastAsia="仿宋" w:cs="仿宋"/>
          <w:sz w:val="24"/>
        </w:rPr>
        <w:t>（一）投标文件组成明显不符合招标文件的规定要求，影响评标委员会评判的；</w:t>
      </w:r>
    </w:p>
    <w:p>
      <w:pPr>
        <w:spacing w:line="400" w:lineRule="exact"/>
        <w:ind w:firstLine="480" w:firstLineChars="200"/>
        <w:rPr>
          <w:rFonts w:ascii="仿宋" w:hAnsi="仿宋" w:eastAsia="仿宋" w:cs="仿宋"/>
          <w:sz w:val="24"/>
        </w:rPr>
      </w:pPr>
      <w:r>
        <w:rPr>
          <w:rFonts w:hint="eastAsia" w:ascii="仿宋" w:hAnsi="仿宋" w:eastAsia="仿宋" w:cs="仿宋"/>
          <w:sz w:val="24"/>
        </w:rPr>
        <w:t>（二）投标文件的语言、计量单位、报价货币、知识产权、投标有效期等不符合招标文件的规定，影响评标委员会评判的；</w:t>
      </w:r>
    </w:p>
    <w:p>
      <w:pPr>
        <w:spacing w:line="400" w:lineRule="exact"/>
        <w:ind w:firstLine="480" w:firstLineChars="200"/>
        <w:rPr>
          <w:rFonts w:ascii="仿宋" w:hAnsi="仿宋" w:eastAsia="仿宋" w:cs="仿宋"/>
          <w:sz w:val="24"/>
        </w:rPr>
      </w:pPr>
      <w:r>
        <w:rPr>
          <w:rFonts w:hint="eastAsia" w:ascii="仿宋" w:hAnsi="仿宋" w:eastAsia="仿宋" w:cs="仿宋"/>
          <w:sz w:val="24"/>
        </w:rPr>
        <w:t>（三）投标报价不符合招标文件规定的采购预算或限价或其他报价规定的；</w:t>
      </w:r>
    </w:p>
    <w:p>
      <w:pPr>
        <w:spacing w:line="400" w:lineRule="exact"/>
        <w:ind w:firstLine="480" w:firstLineChars="200"/>
        <w:rPr>
          <w:rFonts w:ascii="仿宋" w:hAnsi="仿宋" w:eastAsia="仿宋" w:cs="仿宋"/>
          <w:sz w:val="24"/>
        </w:rPr>
      </w:pPr>
      <w:r>
        <w:rPr>
          <w:rFonts w:hint="eastAsia" w:ascii="仿宋" w:hAnsi="仿宋" w:eastAsia="仿宋" w:cs="仿宋"/>
          <w:sz w:val="24"/>
        </w:rPr>
        <w:t>（四）商务、技术、服务应答内容没有完全响应招标文件的实质性要求的；</w:t>
      </w:r>
    </w:p>
    <w:p>
      <w:pPr>
        <w:spacing w:line="400" w:lineRule="exact"/>
        <w:ind w:firstLine="480" w:firstLineChars="200"/>
        <w:rPr>
          <w:rFonts w:ascii="仿宋" w:hAnsi="仿宋" w:eastAsia="仿宋" w:cs="仿宋"/>
          <w:sz w:val="24"/>
        </w:rPr>
      </w:pPr>
      <w:r>
        <w:rPr>
          <w:rFonts w:hint="eastAsia" w:ascii="仿宋" w:hAnsi="仿宋" w:eastAsia="仿宋" w:cs="仿宋"/>
          <w:sz w:val="24"/>
        </w:rPr>
        <w:t>（五）未载明或者载明的招标项目履约时间、方式、数量及其他政府采购合同实质性内容与招标文件要求不一致，且招标采购单位无法接受的；</w:t>
      </w:r>
    </w:p>
    <w:p>
      <w:pPr>
        <w:spacing w:line="400" w:lineRule="exact"/>
        <w:ind w:firstLine="480" w:firstLineChars="200"/>
        <w:rPr>
          <w:rFonts w:ascii="仿宋" w:hAnsi="仿宋" w:eastAsia="仿宋" w:cs="仿宋"/>
          <w:sz w:val="24"/>
        </w:rPr>
      </w:pPr>
      <w:r>
        <w:rPr>
          <w:rFonts w:hint="eastAsia" w:ascii="仿宋" w:hAnsi="仿宋" w:eastAsia="仿宋" w:cs="仿宋"/>
          <w:sz w:val="24"/>
        </w:rPr>
        <w:t>（六）投标文件未按招标文件要求签署、盖章的（本章3.2.2规定的例外情形除外）；</w:t>
      </w:r>
    </w:p>
    <w:p>
      <w:pPr>
        <w:spacing w:line="400" w:lineRule="exact"/>
        <w:ind w:firstLine="480" w:firstLineChars="200"/>
        <w:rPr>
          <w:rFonts w:ascii="仿宋" w:hAnsi="仿宋" w:eastAsia="仿宋" w:cs="仿宋"/>
          <w:sz w:val="24"/>
        </w:rPr>
      </w:pPr>
      <w:r>
        <w:rPr>
          <w:rFonts w:hint="eastAsia" w:ascii="仿宋" w:hAnsi="仿宋" w:eastAsia="仿宋" w:cs="仿宋"/>
          <w:sz w:val="24"/>
        </w:rPr>
        <w:t>（七）没有完全响应招标文件的其他实质性要求或属于招标文件中投标无效情形的。</w:t>
      </w:r>
    </w:p>
    <w:p>
      <w:pPr>
        <w:spacing w:line="400" w:lineRule="exact"/>
        <w:ind w:firstLine="480" w:firstLineChars="200"/>
        <w:rPr>
          <w:rFonts w:ascii="仿宋" w:hAnsi="仿宋" w:eastAsia="仿宋" w:cs="仿宋"/>
          <w:sz w:val="24"/>
        </w:rPr>
      </w:pPr>
      <w:r>
        <w:rPr>
          <w:rFonts w:hint="eastAsia" w:ascii="仿宋" w:hAnsi="仿宋" w:eastAsia="仿宋" w:cs="仿宋"/>
          <w:sz w:val="24"/>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cs="仿宋"/>
          <w:sz w:val="24"/>
        </w:rPr>
      </w:pPr>
      <w:r>
        <w:rPr>
          <w:rFonts w:hint="eastAsia" w:ascii="仿宋" w:hAnsi="仿宋" w:eastAsia="仿宋" w:cs="仿宋"/>
          <w:sz w:val="24"/>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sz w:val="24"/>
        </w:rPr>
      </w:pPr>
      <w:r>
        <w:rPr>
          <w:rFonts w:hint="eastAsia" w:ascii="仿宋" w:hAnsi="仿宋" w:eastAsia="仿宋" w:cs="仿宋"/>
          <w:sz w:val="24"/>
        </w:rPr>
        <w:t>3.5、推荐中标候选供应商。中标候选供应商应当排序。本项目采用综合评分法，评标结果按评审后得分由高到低顺序排列。得分相同的，按投标报价由低到高顺序排列</w:t>
      </w:r>
      <w:r>
        <w:rPr>
          <w:rFonts w:hint="eastAsia" w:ascii="仿宋" w:hAnsi="仿宋" w:eastAsia="仿宋"/>
          <w:sz w:val="24"/>
        </w:rPr>
        <w:t>；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cs="仿宋"/>
          <w:sz w:val="24"/>
        </w:rPr>
      </w:pPr>
      <w:r>
        <w:rPr>
          <w:rFonts w:hint="eastAsia" w:ascii="仿宋" w:hAnsi="仿宋" w:eastAsia="仿宋" w:cs="仿宋"/>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cs="仿宋"/>
          <w:sz w:val="24"/>
        </w:rPr>
      </w:pPr>
      <w:r>
        <w:rPr>
          <w:rFonts w:hint="eastAsia" w:ascii="仿宋" w:hAnsi="仿宋" w:eastAsia="仿宋" w:cs="仿宋"/>
          <w:sz w:val="24"/>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cs="仿宋"/>
          <w:sz w:val="24"/>
        </w:rPr>
      </w:pPr>
      <w:r>
        <w:rPr>
          <w:rFonts w:hint="eastAsia" w:ascii="仿宋" w:hAnsi="仿宋" w:eastAsia="仿宋" w:cs="仿宋"/>
          <w:sz w:val="24"/>
        </w:rPr>
        <w:t>（一）招标公告刊登的媒体名称、开标日期和地点；</w:t>
      </w:r>
    </w:p>
    <w:p>
      <w:pPr>
        <w:spacing w:line="400" w:lineRule="exact"/>
        <w:ind w:firstLine="480" w:firstLineChars="200"/>
        <w:rPr>
          <w:rFonts w:ascii="仿宋" w:hAnsi="仿宋" w:eastAsia="仿宋" w:cs="仿宋"/>
          <w:sz w:val="24"/>
        </w:rPr>
      </w:pPr>
      <w:r>
        <w:rPr>
          <w:rFonts w:hint="eastAsia" w:ascii="仿宋" w:hAnsi="仿宋" w:eastAsia="仿宋" w:cs="仿宋"/>
          <w:sz w:val="24"/>
        </w:rPr>
        <w:t>（二）获取招标文件的投标人名单和评标委员会成员名单；</w:t>
      </w:r>
    </w:p>
    <w:p>
      <w:pPr>
        <w:spacing w:line="400" w:lineRule="exact"/>
        <w:ind w:firstLine="480" w:firstLineChars="200"/>
        <w:rPr>
          <w:rFonts w:ascii="仿宋" w:hAnsi="仿宋" w:eastAsia="仿宋" w:cs="仿宋"/>
          <w:sz w:val="24"/>
        </w:rPr>
      </w:pPr>
      <w:r>
        <w:rPr>
          <w:rFonts w:hint="eastAsia" w:ascii="仿宋" w:hAnsi="仿宋" w:eastAsia="仿宋" w:cs="仿宋"/>
          <w:sz w:val="24"/>
        </w:rPr>
        <w:t>（三）评标方法和标准；</w:t>
      </w:r>
    </w:p>
    <w:p>
      <w:pPr>
        <w:spacing w:line="400" w:lineRule="exact"/>
        <w:ind w:firstLine="480" w:firstLineChars="200"/>
        <w:rPr>
          <w:rFonts w:ascii="仿宋" w:hAnsi="仿宋" w:eastAsia="仿宋" w:cs="仿宋"/>
          <w:sz w:val="24"/>
        </w:rPr>
      </w:pPr>
      <w:r>
        <w:rPr>
          <w:rFonts w:hint="eastAsia" w:ascii="仿宋" w:hAnsi="仿宋" w:eastAsia="仿宋" w:cs="仿宋"/>
          <w:sz w:val="24"/>
        </w:rPr>
        <w:t>（四）开标记录和评标情况及说明，包括无效投标人名单及原因；</w:t>
      </w:r>
    </w:p>
    <w:p>
      <w:pPr>
        <w:spacing w:line="400" w:lineRule="exact"/>
        <w:ind w:firstLine="480" w:firstLineChars="200"/>
        <w:rPr>
          <w:rFonts w:ascii="仿宋" w:hAnsi="仿宋" w:eastAsia="仿宋" w:cs="仿宋"/>
          <w:sz w:val="24"/>
        </w:rPr>
      </w:pPr>
      <w:r>
        <w:rPr>
          <w:rFonts w:hint="eastAsia" w:ascii="仿宋" w:hAnsi="仿宋" w:eastAsia="仿宋" w:cs="仿宋"/>
          <w:sz w:val="24"/>
        </w:rPr>
        <w:t>（五）评标结果和中标候选供应商排序表；</w:t>
      </w:r>
    </w:p>
    <w:p>
      <w:pPr>
        <w:spacing w:line="400" w:lineRule="exact"/>
        <w:ind w:firstLine="480" w:firstLineChars="200"/>
        <w:rPr>
          <w:rFonts w:ascii="仿宋" w:hAnsi="仿宋" w:eastAsia="仿宋" w:cs="仿宋"/>
          <w:sz w:val="24"/>
        </w:rPr>
      </w:pPr>
      <w:r>
        <w:rPr>
          <w:rFonts w:hint="eastAsia" w:ascii="仿宋" w:hAnsi="仿宋" w:eastAsia="仿宋" w:cs="仿宋"/>
          <w:sz w:val="24"/>
        </w:rPr>
        <w:t>（六）评标委员会授标建议；</w:t>
      </w:r>
    </w:p>
    <w:p>
      <w:pPr>
        <w:spacing w:line="400" w:lineRule="exact"/>
        <w:ind w:firstLine="480" w:firstLineChars="200"/>
        <w:rPr>
          <w:rFonts w:ascii="仿宋" w:hAnsi="仿宋" w:eastAsia="仿宋" w:cs="仿宋"/>
          <w:sz w:val="24"/>
        </w:rPr>
      </w:pPr>
      <w:r>
        <w:rPr>
          <w:rFonts w:hint="eastAsia" w:ascii="仿宋" w:hAnsi="仿宋" w:eastAsia="仿宋" w:cs="仿宋"/>
          <w:sz w:val="24"/>
        </w:rPr>
        <w:t>（七）报价最高的投标人为中标候选人的，评标委员会应当对其报价的合理性予以特别说明。</w:t>
      </w:r>
    </w:p>
    <w:p>
      <w:pPr>
        <w:spacing w:line="400" w:lineRule="exact"/>
        <w:ind w:firstLine="480" w:firstLineChars="200"/>
        <w:rPr>
          <w:rFonts w:ascii="仿宋" w:hAnsi="仿宋" w:eastAsia="仿宋" w:cs="仿宋"/>
          <w:sz w:val="24"/>
        </w:rPr>
      </w:pPr>
      <w:r>
        <w:rPr>
          <w:rFonts w:hint="eastAsia" w:ascii="仿宋" w:hAnsi="仿宋" w:eastAsia="仿宋" w:cs="仿宋"/>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cs="仿宋"/>
          <w:sz w:val="24"/>
        </w:rPr>
      </w:pPr>
      <w:r>
        <w:rPr>
          <w:rFonts w:hint="eastAsia" w:ascii="仿宋" w:hAnsi="仿宋" w:eastAsia="仿宋" w:cs="仿宋"/>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cs="仿宋"/>
          <w:sz w:val="24"/>
        </w:rPr>
      </w:pPr>
      <w:r>
        <w:rPr>
          <w:rFonts w:hint="eastAsia" w:ascii="仿宋" w:hAnsi="仿宋" w:eastAsia="仿宋" w:cs="仿宋"/>
          <w:sz w:val="24"/>
        </w:rPr>
        <w:t>3.8、供应商应当书面澄清、说明或者更正。</w:t>
      </w:r>
    </w:p>
    <w:p>
      <w:pPr>
        <w:spacing w:line="400" w:lineRule="exact"/>
        <w:ind w:firstLine="480" w:firstLineChars="200"/>
        <w:rPr>
          <w:rFonts w:ascii="仿宋" w:hAnsi="仿宋" w:eastAsia="仿宋" w:cs="仿宋"/>
          <w:sz w:val="24"/>
        </w:rPr>
      </w:pPr>
      <w:r>
        <w:rPr>
          <w:rFonts w:hint="eastAsia" w:ascii="仿宋" w:hAnsi="仿宋" w:eastAsia="仿宋" w:cs="仿宋"/>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cs="仿宋"/>
          <w:sz w:val="24"/>
        </w:rPr>
      </w:pPr>
      <w:r>
        <w:rPr>
          <w:rFonts w:hint="eastAsia" w:ascii="仿宋" w:hAnsi="仿宋" w:eastAsia="仿宋" w:cs="仿宋"/>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pPr>
        <w:spacing w:line="400" w:lineRule="exact"/>
        <w:ind w:firstLine="480" w:firstLineChars="200"/>
        <w:rPr>
          <w:rFonts w:ascii="仿宋" w:hAnsi="仿宋" w:eastAsia="仿宋" w:cs="仿宋"/>
          <w:sz w:val="24"/>
        </w:rPr>
      </w:pPr>
      <w:r>
        <w:rPr>
          <w:rFonts w:hint="eastAsia" w:ascii="仿宋" w:hAnsi="仿宋" w:eastAsia="仿宋" w:cs="仿宋"/>
          <w:sz w:val="24"/>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cs="仿宋"/>
          <w:sz w:val="24"/>
        </w:rPr>
      </w:pPr>
      <w:r>
        <w:rPr>
          <w:rFonts w:hint="eastAsia" w:ascii="仿宋" w:hAnsi="仿宋" w:eastAsia="仿宋" w:cs="仿宋"/>
          <w:sz w:val="24"/>
        </w:rPr>
        <w:t>（一）按财政部规定应当在评标时不予承认的投标文件内容事项；</w:t>
      </w:r>
    </w:p>
    <w:p>
      <w:pPr>
        <w:spacing w:line="400" w:lineRule="exact"/>
        <w:ind w:firstLine="480" w:firstLineChars="200"/>
        <w:rPr>
          <w:rFonts w:ascii="仿宋" w:hAnsi="仿宋" w:eastAsia="仿宋" w:cs="仿宋"/>
          <w:sz w:val="24"/>
        </w:rPr>
      </w:pPr>
      <w:r>
        <w:rPr>
          <w:rFonts w:hint="eastAsia" w:ascii="仿宋" w:hAnsi="仿宋" w:eastAsia="仿宋" w:cs="仿宋"/>
          <w:sz w:val="24"/>
        </w:rPr>
        <w:t>（二）投标文件中已经明确的内容事项；</w:t>
      </w:r>
    </w:p>
    <w:p>
      <w:pPr>
        <w:spacing w:line="400" w:lineRule="exact"/>
        <w:ind w:firstLine="480" w:firstLineChars="200"/>
        <w:rPr>
          <w:rFonts w:ascii="仿宋" w:hAnsi="仿宋" w:eastAsia="仿宋" w:cs="仿宋"/>
          <w:sz w:val="24"/>
        </w:rPr>
      </w:pPr>
      <w:r>
        <w:rPr>
          <w:rFonts w:hint="eastAsia" w:ascii="仿宋" w:hAnsi="仿宋" w:eastAsia="仿宋" w:cs="仿宋"/>
          <w:sz w:val="24"/>
        </w:rPr>
        <w:t>3.8.4、本项目采购过程中，投标文件报价出现前后不一致的，按照下列规定修正：</w:t>
      </w:r>
    </w:p>
    <w:p>
      <w:pPr>
        <w:spacing w:line="400" w:lineRule="exact"/>
        <w:ind w:firstLine="480" w:firstLineChars="200"/>
        <w:rPr>
          <w:rFonts w:ascii="仿宋" w:hAnsi="仿宋" w:eastAsia="仿宋" w:cs="仿宋"/>
          <w:sz w:val="24"/>
        </w:rPr>
      </w:pPr>
      <w:r>
        <w:rPr>
          <w:rFonts w:hint="eastAsia" w:ascii="仿宋" w:hAnsi="仿宋" w:eastAsia="仿宋" w:cs="仿宋"/>
          <w:sz w:val="24"/>
        </w:rPr>
        <w:t>（一）投标文件中开标一览表（报价表）内容与投标文件中相应内容不一致的，以开标一览表（报价表）为准；</w:t>
      </w:r>
    </w:p>
    <w:p>
      <w:pPr>
        <w:spacing w:line="400" w:lineRule="exact"/>
        <w:ind w:firstLine="480" w:firstLineChars="200"/>
        <w:rPr>
          <w:rFonts w:ascii="仿宋" w:hAnsi="仿宋" w:eastAsia="仿宋" w:cs="仿宋"/>
          <w:sz w:val="24"/>
        </w:rPr>
      </w:pPr>
      <w:r>
        <w:rPr>
          <w:rFonts w:hint="eastAsia" w:ascii="仿宋" w:hAnsi="仿宋" w:eastAsia="仿宋" w:cs="仿宋"/>
          <w:sz w:val="24"/>
        </w:rPr>
        <w:t>（二）大写金额和小写金额不一致的，以大写金额为准；</w:t>
      </w:r>
    </w:p>
    <w:p>
      <w:pPr>
        <w:spacing w:line="400" w:lineRule="exact"/>
        <w:ind w:firstLine="480" w:firstLineChars="200"/>
        <w:rPr>
          <w:rFonts w:ascii="仿宋" w:hAnsi="仿宋" w:eastAsia="仿宋" w:cs="仿宋"/>
          <w:sz w:val="24"/>
        </w:rPr>
      </w:pPr>
      <w:r>
        <w:rPr>
          <w:rFonts w:hint="eastAsia" w:ascii="仿宋" w:hAnsi="仿宋" w:eastAsia="仿宋" w:cs="仿宋"/>
          <w:sz w:val="24"/>
        </w:rPr>
        <w:t>（三）单价金额小数点或者百分比有明显错位的，以开标一览表的总价为准，并修改单价；</w:t>
      </w:r>
    </w:p>
    <w:p>
      <w:pPr>
        <w:spacing w:line="400" w:lineRule="exact"/>
        <w:ind w:firstLine="480" w:firstLineChars="200"/>
        <w:rPr>
          <w:rFonts w:ascii="仿宋" w:hAnsi="仿宋" w:eastAsia="仿宋" w:cs="仿宋"/>
          <w:sz w:val="24"/>
        </w:rPr>
      </w:pPr>
      <w:r>
        <w:rPr>
          <w:rFonts w:hint="eastAsia" w:ascii="仿宋" w:hAnsi="仿宋" w:eastAsia="仿宋" w:cs="仿宋"/>
          <w:sz w:val="24"/>
        </w:rPr>
        <w:t>（四）总价金额与按单价汇总金额不一致的，以单价金额计算结果为准。</w:t>
      </w:r>
    </w:p>
    <w:p>
      <w:pPr>
        <w:spacing w:line="400" w:lineRule="exact"/>
        <w:ind w:firstLine="480" w:firstLineChars="200"/>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同时出现两种以上不一致的，按照前款规定的顺序修正。修正后的报价按照本章3.8.1-3.8.3的规定经投标人确认后产生约束力，投标人不确认的，其投标无效。</w:t>
      </w:r>
    </w:p>
    <w:p>
      <w:pPr>
        <w:spacing w:line="400" w:lineRule="exact"/>
        <w:ind w:firstLine="482" w:firstLineChars="200"/>
        <w:rPr>
          <w:rFonts w:ascii="仿宋" w:hAnsi="仿宋" w:eastAsia="仿宋" w:cs="仿宋"/>
          <w:b/>
          <w:sz w:val="24"/>
        </w:rPr>
      </w:pPr>
      <w:r>
        <w:rPr>
          <w:rFonts w:hint="eastAsia" w:ascii="仿宋" w:hAnsi="仿宋" w:eastAsia="仿宋" w:cs="仿宋"/>
          <w:b/>
          <w:sz w:val="24"/>
        </w:rPr>
        <w:t>注：评标委员会当积极履行澄清、说明或者更正的职责，不得滥用权力。供应商的投标文件应当要求澄清、说明或者更正的，不得未经澄清、说明或者更正而直接作无效投标处理。</w:t>
      </w:r>
    </w:p>
    <w:p>
      <w:pPr>
        <w:pStyle w:val="50"/>
        <w:ind w:firstLine="480" w:firstLineChars="200"/>
        <w:jc w:val="both"/>
        <w:rPr>
          <w:rFonts w:ascii="仿宋" w:hAnsi="仿宋" w:eastAsia="仿宋" w:cs="仿宋"/>
        </w:rPr>
      </w:pPr>
      <w:r>
        <w:rPr>
          <w:rFonts w:hint="eastAsia" w:ascii="仿宋" w:hAnsi="仿宋" w:eastAsia="仿宋" w:cs="仿宋"/>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50"/>
        <w:ind w:firstLine="480" w:firstLineChars="200"/>
        <w:jc w:val="both"/>
        <w:rPr>
          <w:rFonts w:ascii="仿宋" w:hAnsi="仿宋" w:eastAsia="仿宋" w:cs="仿宋"/>
        </w:rPr>
      </w:pPr>
      <w:r>
        <w:rPr>
          <w:rFonts w:hint="eastAsia" w:ascii="仿宋" w:hAnsi="仿宋" w:eastAsia="仿宋" w:cs="仿宋"/>
        </w:rPr>
        <w:t>3.10、招标采购单位现场复核评标结果。</w:t>
      </w:r>
    </w:p>
    <w:p>
      <w:pPr>
        <w:pStyle w:val="50"/>
        <w:ind w:firstLine="480" w:firstLineChars="200"/>
        <w:jc w:val="both"/>
        <w:rPr>
          <w:rFonts w:ascii="仿宋" w:hAnsi="仿宋" w:eastAsia="仿宋" w:cs="仿宋"/>
        </w:rPr>
      </w:pPr>
      <w:r>
        <w:rPr>
          <w:rFonts w:hint="eastAsia" w:ascii="仿宋" w:hAnsi="仿宋" w:eastAsia="仿宋" w:cs="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50"/>
        <w:ind w:firstLine="480" w:firstLineChars="200"/>
        <w:jc w:val="both"/>
        <w:rPr>
          <w:rFonts w:ascii="仿宋" w:hAnsi="仿宋" w:eastAsia="仿宋" w:cs="仿宋"/>
        </w:rPr>
      </w:pPr>
      <w:r>
        <w:rPr>
          <w:rFonts w:hint="eastAsia" w:ascii="仿宋" w:hAnsi="仿宋" w:eastAsia="仿宋" w:cs="仿宋"/>
        </w:rPr>
        <w:t>（一）分值汇总计算错误的；</w:t>
      </w:r>
    </w:p>
    <w:p>
      <w:pPr>
        <w:pStyle w:val="50"/>
        <w:ind w:firstLine="480" w:firstLineChars="200"/>
        <w:jc w:val="both"/>
        <w:rPr>
          <w:rFonts w:ascii="仿宋" w:hAnsi="仿宋" w:eastAsia="仿宋" w:cs="仿宋"/>
        </w:rPr>
      </w:pPr>
      <w:r>
        <w:rPr>
          <w:rFonts w:hint="eastAsia" w:ascii="仿宋" w:hAnsi="仿宋" w:eastAsia="仿宋" w:cs="仿宋"/>
        </w:rPr>
        <w:t>（二）分项评分超出评分标准范围的；</w:t>
      </w:r>
    </w:p>
    <w:p>
      <w:pPr>
        <w:pStyle w:val="50"/>
        <w:ind w:firstLine="480" w:firstLineChars="200"/>
        <w:jc w:val="both"/>
        <w:rPr>
          <w:rFonts w:ascii="仿宋" w:hAnsi="仿宋" w:eastAsia="仿宋" w:cs="仿宋"/>
        </w:rPr>
      </w:pPr>
      <w:r>
        <w:rPr>
          <w:rFonts w:hint="eastAsia" w:ascii="仿宋" w:hAnsi="仿宋" w:eastAsia="仿宋" w:cs="仿宋"/>
        </w:rPr>
        <w:t>（三）客观评分不一致的；</w:t>
      </w:r>
    </w:p>
    <w:p>
      <w:pPr>
        <w:pStyle w:val="50"/>
        <w:ind w:firstLine="480" w:firstLineChars="200"/>
        <w:jc w:val="both"/>
        <w:rPr>
          <w:rFonts w:ascii="仿宋" w:hAnsi="仿宋" w:eastAsia="仿宋" w:cs="仿宋"/>
        </w:rPr>
      </w:pPr>
      <w:r>
        <w:rPr>
          <w:rFonts w:hint="eastAsia" w:ascii="仿宋" w:hAnsi="仿宋" w:eastAsia="仿宋" w:cs="仿宋"/>
        </w:rPr>
        <w:t>（四）经评标委员会认定评分畸高畸低的。</w:t>
      </w:r>
    </w:p>
    <w:p>
      <w:pPr>
        <w:pStyle w:val="50"/>
        <w:ind w:firstLine="480" w:firstLineChars="200"/>
        <w:jc w:val="both"/>
        <w:rPr>
          <w:rFonts w:ascii="仿宋" w:hAnsi="仿宋" w:eastAsia="仿宋" w:cs="仿宋"/>
        </w:rPr>
      </w:pPr>
      <w:r>
        <w:rPr>
          <w:rFonts w:hint="eastAsia" w:ascii="仿宋" w:hAnsi="仿宋" w:eastAsia="仿宋" w:cs="仿宋"/>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50"/>
        <w:ind w:firstLine="480" w:firstLineChars="200"/>
        <w:jc w:val="both"/>
        <w:rPr>
          <w:rFonts w:ascii="仿宋" w:hAnsi="仿宋" w:eastAsia="仿宋" w:cs="仿宋"/>
        </w:rPr>
      </w:pPr>
      <w:r>
        <w:rPr>
          <w:rFonts w:hint="eastAsia" w:ascii="仿宋" w:hAnsi="仿宋" w:eastAsia="仿宋" w:cs="仿宋"/>
        </w:rPr>
        <w:t>3.10.2、有下列情形之一的，不得修改评标结果或者重新评审：</w:t>
      </w:r>
    </w:p>
    <w:p>
      <w:pPr>
        <w:pStyle w:val="50"/>
        <w:ind w:firstLine="480" w:firstLineChars="200"/>
        <w:jc w:val="both"/>
        <w:rPr>
          <w:rFonts w:ascii="仿宋" w:hAnsi="仿宋" w:eastAsia="仿宋" w:cs="仿宋"/>
        </w:rPr>
      </w:pPr>
      <w:r>
        <w:rPr>
          <w:rFonts w:hint="eastAsia" w:ascii="仿宋" w:hAnsi="仿宋" w:eastAsia="仿宋" w:cs="仿宋"/>
        </w:rPr>
        <w:t>（一）招标采购单位现场复核时，复核工作人员数量不足的；</w:t>
      </w:r>
    </w:p>
    <w:p>
      <w:pPr>
        <w:pStyle w:val="50"/>
        <w:ind w:firstLine="480" w:firstLineChars="200"/>
        <w:jc w:val="both"/>
        <w:rPr>
          <w:rFonts w:ascii="仿宋" w:hAnsi="仿宋" w:eastAsia="仿宋" w:cs="仿宋"/>
        </w:rPr>
      </w:pPr>
      <w:r>
        <w:rPr>
          <w:rFonts w:hint="eastAsia" w:ascii="仿宋" w:hAnsi="仿宋" w:eastAsia="仿宋" w:cs="仿宋"/>
        </w:rPr>
        <w:t>（二）招标采购单位现场复核时，没有采购监督人员现场监督的；</w:t>
      </w:r>
    </w:p>
    <w:p>
      <w:pPr>
        <w:pStyle w:val="50"/>
        <w:ind w:firstLine="480" w:firstLineChars="200"/>
        <w:jc w:val="both"/>
        <w:rPr>
          <w:rFonts w:ascii="仿宋" w:hAnsi="仿宋" w:eastAsia="仿宋" w:cs="仿宋"/>
        </w:rPr>
      </w:pPr>
      <w:r>
        <w:rPr>
          <w:rFonts w:hint="eastAsia" w:ascii="仿宋" w:hAnsi="仿宋" w:eastAsia="仿宋" w:cs="仿宋"/>
        </w:rPr>
        <w:t>（三）招标采购单位现场复核内容超出规定范围的；</w:t>
      </w:r>
    </w:p>
    <w:p>
      <w:pPr>
        <w:pStyle w:val="50"/>
        <w:ind w:firstLine="480" w:firstLineChars="200"/>
        <w:jc w:val="both"/>
        <w:rPr>
          <w:rFonts w:ascii="仿宋" w:hAnsi="仿宋" w:eastAsia="仿宋" w:cs="仿宋"/>
        </w:rPr>
      </w:pPr>
      <w:r>
        <w:rPr>
          <w:rFonts w:hint="eastAsia" w:ascii="仿宋" w:hAnsi="仿宋" w:eastAsia="仿宋" w:cs="仿宋"/>
        </w:rPr>
        <w:t>（四）招标采购单位未提供书面建议的。</w:t>
      </w:r>
    </w:p>
    <w:p>
      <w:pPr>
        <w:pStyle w:val="4"/>
        <w:rPr>
          <w:rFonts w:ascii="仿宋" w:hAnsi="仿宋" w:eastAsia="仿宋" w:cs="仿宋"/>
          <w:sz w:val="24"/>
          <w:szCs w:val="24"/>
        </w:rPr>
      </w:pPr>
      <w:r>
        <w:rPr>
          <w:rFonts w:hint="eastAsia" w:ascii="仿宋" w:hAnsi="仿宋" w:eastAsia="仿宋" w:cs="仿宋"/>
          <w:sz w:val="24"/>
          <w:szCs w:val="24"/>
        </w:rPr>
        <w:t>4. 评标细则及标准</w:t>
      </w:r>
      <w:bookmarkEnd w:id="223"/>
    </w:p>
    <w:p>
      <w:pPr>
        <w:spacing w:line="400" w:lineRule="exact"/>
        <w:ind w:firstLine="480" w:firstLineChars="200"/>
        <w:rPr>
          <w:rFonts w:ascii="仿宋" w:hAnsi="仿宋" w:eastAsia="仿宋" w:cs="仿宋"/>
          <w:sz w:val="24"/>
        </w:rPr>
      </w:pPr>
      <w:r>
        <w:rPr>
          <w:rFonts w:hint="eastAsia" w:ascii="仿宋" w:hAnsi="仿宋" w:eastAsia="仿宋" w:cs="仿宋"/>
          <w:sz w:val="24"/>
        </w:rPr>
        <w:t>4.1、本项目采用综合评分法，评分因素详见综合评分明细表。</w:t>
      </w:r>
    </w:p>
    <w:p>
      <w:pPr>
        <w:pStyle w:val="50"/>
        <w:ind w:firstLine="480" w:firstLineChars="200"/>
        <w:jc w:val="both"/>
        <w:rPr>
          <w:rFonts w:ascii="仿宋" w:hAnsi="仿宋" w:eastAsia="仿宋" w:cs="仿宋"/>
        </w:rPr>
      </w:pPr>
      <w:r>
        <w:rPr>
          <w:rFonts w:hint="eastAsia" w:ascii="仿宋" w:hAnsi="仿宋" w:eastAsia="仿宋" w:cs="仿宋"/>
        </w:rPr>
        <w:t>4.2、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1"/>
        <w:tabs>
          <w:tab w:val="left" w:pos="600"/>
        </w:tabs>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4.3、综合评分明细表</w:t>
      </w:r>
    </w:p>
    <w:p>
      <w:pPr>
        <w:pStyle w:val="11"/>
        <w:tabs>
          <w:tab w:val="left" w:pos="600"/>
        </w:tabs>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4.3.1、综合评分明细表的制定以科学合理、降低评委会自由裁量权为原则。</w:t>
      </w:r>
    </w:p>
    <w:p>
      <w:pPr>
        <w:widowControl/>
        <w:ind w:firstLine="480" w:firstLineChars="200"/>
        <w:jc w:val="left"/>
        <w:rPr>
          <w:rFonts w:ascii="仿宋" w:hAnsi="仿宋" w:eastAsia="仿宋" w:cs="仿宋"/>
          <w:sz w:val="24"/>
        </w:rPr>
      </w:pPr>
      <w:r>
        <w:rPr>
          <w:rFonts w:hint="eastAsia" w:ascii="仿宋" w:hAnsi="仿宋" w:eastAsia="仿宋" w:cs="仿宋"/>
          <w:sz w:val="24"/>
        </w:rPr>
        <w:t>4.3.2、综合评分明细表按须知表中的相关要求进行价格调整，再参与价格分评审。</w:t>
      </w:r>
    </w:p>
    <w:p>
      <w:pPr>
        <w:pStyle w:val="11"/>
        <w:tabs>
          <w:tab w:val="left" w:pos="600"/>
        </w:tabs>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4.3.3、综合评分明细表</w:t>
      </w:r>
    </w:p>
    <w:tbl>
      <w:tblPr>
        <w:tblStyle w:val="29"/>
        <w:tblW w:w="10103" w:type="dxa"/>
        <w:tblInd w:w="-4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190"/>
        <w:gridCol w:w="866"/>
        <w:gridCol w:w="5340"/>
        <w:gridCol w:w="2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691" w:type="dxa"/>
            <w:noWrap/>
            <w:vAlign w:val="center"/>
          </w:tcPr>
          <w:p>
            <w:pPr>
              <w:spacing w:line="360" w:lineRule="auto"/>
              <w:ind w:firstLine="28"/>
              <w:jc w:val="center"/>
              <w:rPr>
                <w:rFonts w:ascii="仿宋" w:hAnsi="仿宋" w:eastAsia="仿宋" w:cs="仿宋"/>
                <w:szCs w:val="21"/>
              </w:rPr>
            </w:pPr>
            <w:r>
              <w:rPr>
                <w:rFonts w:hint="eastAsia" w:ascii="仿宋" w:hAnsi="仿宋" w:eastAsia="仿宋" w:cs="仿宋"/>
                <w:szCs w:val="21"/>
              </w:rPr>
              <w:t>序号</w:t>
            </w:r>
          </w:p>
        </w:tc>
        <w:tc>
          <w:tcPr>
            <w:tcW w:w="1190" w:type="dxa"/>
            <w:noWrap/>
            <w:vAlign w:val="center"/>
          </w:tcPr>
          <w:p>
            <w:pPr>
              <w:spacing w:line="360" w:lineRule="auto"/>
              <w:ind w:firstLine="28"/>
              <w:jc w:val="center"/>
              <w:rPr>
                <w:rFonts w:ascii="仿宋" w:hAnsi="仿宋" w:eastAsia="仿宋" w:cs="仿宋"/>
                <w:szCs w:val="21"/>
              </w:rPr>
            </w:pPr>
            <w:r>
              <w:rPr>
                <w:rFonts w:hint="eastAsia" w:ascii="仿宋" w:hAnsi="仿宋" w:eastAsia="仿宋" w:cs="仿宋"/>
                <w:szCs w:val="21"/>
              </w:rPr>
              <w:t>评分因素</w:t>
            </w:r>
          </w:p>
          <w:p>
            <w:pPr>
              <w:spacing w:line="360" w:lineRule="auto"/>
              <w:ind w:firstLine="28"/>
              <w:jc w:val="center"/>
              <w:rPr>
                <w:rFonts w:ascii="仿宋" w:hAnsi="仿宋" w:eastAsia="仿宋" w:cs="仿宋"/>
                <w:szCs w:val="21"/>
              </w:rPr>
            </w:pPr>
            <w:r>
              <w:rPr>
                <w:rFonts w:hint="eastAsia" w:ascii="仿宋" w:hAnsi="仿宋" w:eastAsia="仿宋" w:cs="仿宋"/>
                <w:szCs w:val="21"/>
              </w:rPr>
              <w:t>及权重</w:t>
            </w:r>
          </w:p>
        </w:tc>
        <w:tc>
          <w:tcPr>
            <w:tcW w:w="866" w:type="dxa"/>
            <w:noWrap/>
            <w:vAlign w:val="center"/>
          </w:tcPr>
          <w:p>
            <w:pPr>
              <w:spacing w:line="360" w:lineRule="auto"/>
              <w:ind w:firstLine="28"/>
              <w:jc w:val="center"/>
              <w:rPr>
                <w:rFonts w:ascii="仿宋" w:hAnsi="仿宋" w:eastAsia="仿宋" w:cs="仿宋"/>
                <w:szCs w:val="21"/>
              </w:rPr>
            </w:pPr>
            <w:r>
              <w:rPr>
                <w:rFonts w:hint="eastAsia" w:ascii="仿宋" w:hAnsi="仿宋" w:eastAsia="仿宋" w:cs="仿宋"/>
                <w:szCs w:val="21"/>
              </w:rPr>
              <w:t>分值</w:t>
            </w:r>
          </w:p>
        </w:tc>
        <w:tc>
          <w:tcPr>
            <w:tcW w:w="5340" w:type="dxa"/>
            <w:noWrap/>
            <w:vAlign w:val="center"/>
          </w:tcPr>
          <w:p>
            <w:pPr>
              <w:spacing w:line="360" w:lineRule="auto"/>
              <w:ind w:firstLine="28"/>
              <w:jc w:val="center"/>
              <w:rPr>
                <w:rFonts w:ascii="仿宋" w:hAnsi="仿宋" w:eastAsia="仿宋" w:cs="仿宋"/>
                <w:szCs w:val="21"/>
              </w:rPr>
            </w:pPr>
            <w:r>
              <w:rPr>
                <w:rFonts w:hint="eastAsia" w:ascii="仿宋" w:hAnsi="仿宋" w:eastAsia="仿宋" w:cs="仿宋"/>
                <w:szCs w:val="21"/>
              </w:rPr>
              <w:t>评分标准</w:t>
            </w:r>
          </w:p>
        </w:tc>
        <w:tc>
          <w:tcPr>
            <w:tcW w:w="2016" w:type="dxa"/>
            <w:noWrap/>
            <w:vAlign w:val="center"/>
          </w:tcPr>
          <w:p>
            <w:pPr>
              <w:spacing w:line="360" w:lineRule="auto"/>
              <w:ind w:firstLine="28"/>
              <w:jc w:val="center"/>
              <w:rPr>
                <w:rFonts w:ascii="仿宋" w:hAnsi="仿宋" w:eastAsia="仿宋" w:cs="仿宋"/>
                <w:szCs w:val="21"/>
              </w:rPr>
            </w:pPr>
            <w:r>
              <w:rPr>
                <w:rFonts w:hint="eastAsia" w:ascii="仿宋" w:hAnsi="仿宋" w:eastAsia="仿宋" w:cs="仿宋"/>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10103" w:type="dxa"/>
            <w:gridSpan w:val="5"/>
            <w:noWrap/>
            <w:vAlign w:val="center"/>
          </w:tcPr>
          <w:p>
            <w:pPr>
              <w:spacing w:line="360" w:lineRule="auto"/>
              <w:ind w:firstLine="28"/>
              <w:jc w:val="center"/>
              <w:rPr>
                <w:rFonts w:ascii="仿宋" w:hAnsi="仿宋" w:eastAsia="仿宋" w:cs="仿宋"/>
                <w:szCs w:val="21"/>
              </w:rPr>
            </w:pPr>
            <w:r>
              <w:rPr>
                <w:rFonts w:hint="eastAsia" w:ascii="仿宋" w:hAnsi="仿宋" w:eastAsia="仿宋" w:cs="仿宋"/>
                <w:szCs w:val="21"/>
              </w:rPr>
              <w:t>报价部分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691" w:type="dxa"/>
            <w:noWrap/>
            <w:vAlign w:val="center"/>
          </w:tcPr>
          <w:p>
            <w:pPr>
              <w:spacing w:line="360" w:lineRule="auto"/>
              <w:ind w:firstLine="28"/>
              <w:jc w:val="center"/>
              <w:rPr>
                <w:rFonts w:ascii="仿宋" w:hAnsi="仿宋" w:eastAsia="仿宋" w:cs="仿宋"/>
                <w:szCs w:val="21"/>
              </w:rPr>
            </w:pPr>
            <w:r>
              <w:rPr>
                <w:rFonts w:hint="eastAsia" w:ascii="仿宋" w:hAnsi="仿宋" w:eastAsia="仿宋" w:cs="仿宋"/>
                <w:szCs w:val="21"/>
              </w:rPr>
              <w:t>1</w:t>
            </w:r>
          </w:p>
        </w:tc>
        <w:tc>
          <w:tcPr>
            <w:tcW w:w="1190" w:type="dxa"/>
            <w:noWrap/>
            <w:vAlign w:val="center"/>
          </w:tcPr>
          <w:p>
            <w:pPr>
              <w:spacing w:line="360" w:lineRule="auto"/>
              <w:ind w:firstLine="28"/>
              <w:jc w:val="center"/>
              <w:rPr>
                <w:rFonts w:ascii="仿宋" w:hAnsi="仿宋" w:eastAsia="仿宋" w:cs="仿宋"/>
                <w:szCs w:val="21"/>
              </w:rPr>
            </w:pPr>
            <w:r>
              <w:rPr>
                <w:rFonts w:hint="eastAsia" w:ascii="仿宋" w:hAnsi="仿宋" w:eastAsia="仿宋" w:cs="仿宋"/>
                <w:szCs w:val="21"/>
              </w:rPr>
              <w:t>报价18%</w:t>
            </w:r>
          </w:p>
        </w:tc>
        <w:tc>
          <w:tcPr>
            <w:tcW w:w="866" w:type="dxa"/>
            <w:noWrap/>
            <w:vAlign w:val="center"/>
          </w:tcPr>
          <w:p>
            <w:pPr>
              <w:spacing w:line="360" w:lineRule="auto"/>
              <w:ind w:firstLine="28"/>
              <w:jc w:val="center"/>
              <w:rPr>
                <w:rFonts w:ascii="仿宋" w:hAnsi="仿宋" w:eastAsia="仿宋" w:cs="仿宋"/>
                <w:szCs w:val="21"/>
              </w:rPr>
            </w:pPr>
            <w:r>
              <w:rPr>
                <w:rFonts w:hint="eastAsia" w:ascii="仿宋" w:hAnsi="仿宋" w:eastAsia="仿宋" w:cs="仿宋"/>
                <w:szCs w:val="21"/>
              </w:rPr>
              <w:t>18分</w:t>
            </w:r>
          </w:p>
        </w:tc>
        <w:tc>
          <w:tcPr>
            <w:tcW w:w="5340" w:type="dxa"/>
            <w:noWrap/>
            <w:vAlign w:val="center"/>
          </w:tcPr>
          <w:p>
            <w:pPr>
              <w:spacing w:line="360" w:lineRule="auto"/>
              <w:rPr>
                <w:rFonts w:ascii="仿宋" w:hAnsi="仿宋" w:eastAsia="仿宋" w:cs="仿宋"/>
                <w:szCs w:val="21"/>
              </w:rPr>
            </w:pPr>
            <w:r>
              <w:rPr>
                <w:rFonts w:hint="eastAsia" w:ascii="仿宋" w:hAnsi="仿宋" w:eastAsia="仿宋" w:cs="仿宋"/>
                <w:szCs w:val="21"/>
              </w:rPr>
              <w:t>以本次有效的最低投标报价为基准价，报价得分=(基准价／投标报价) ×18。</w:t>
            </w:r>
          </w:p>
        </w:tc>
        <w:tc>
          <w:tcPr>
            <w:tcW w:w="2016" w:type="dxa"/>
            <w:noWrap/>
            <w:vAlign w:val="center"/>
          </w:tcPr>
          <w:p>
            <w:pPr>
              <w:spacing w:line="360" w:lineRule="auto"/>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10103" w:type="dxa"/>
            <w:gridSpan w:val="5"/>
            <w:noWrap/>
            <w:vAlign w:val="center"/>
          </w:tcPr>
          <w:p>
            <w:pPr>
              <w:spacing w:line="360" w:lineRule="auto"/>
              <w:jc w:val="center"/>
              <w:rPr>
                <w:rFonts w:ascii="仿宋" w:hAnsi="仿宋" w:eastAsia="仿宋" w:cs="仿宋"/>
                <w:szCs w:val="21"/>
              </w:rPr>
            </w:pPr>
            <w:r>
              <w:rPr>
                <w:rFonts w:hint="eastAsia" w:ascii="仿宋" w:hAnsi="仿宋" w:eastAsia="仿宋" w:cs="仿宋"/>
                <w:szCs w:val="21"/>
              </w:rPr>
              <w:t>技术部分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atLeast"/>
        </w:trPr>
        <w:tc>
          <w:tcPr>
            <w:tcW w:w="691" w:type="dxa"/>
            <w:noWrap/>
            <w:vAlign w:val="center"/>
          </w:tcPr>
          <w:p>
            <w:pPr>
              <w:spacing w:line="360" w:lineRule="auto"/>
              <w:ind w:firstLine="210" w:firstLineChars="100"/>
              <w:rPr>
                <w:rFonts w:ascii="仿宋" w:hAnsi="仿宋" w:eastAsia="仿宋" w:cs="仿宋"/>
                <w:szCs w:val="21"/>
              </w:rPr>
            </w:pPr>
            <w:r>
              <w:rPr>
                <w:rFonts w:hint="eastAsia" w:ascii="仿宋" w:hAnsi="仿宋" w:eastAsia="仿宋" w:cs="仿宋"/>
                <w:szCs w:val="21"/>
              </w:rPr>
              <w:t>2</w:t>
            </w:r>
          </w:p>
        </w:tc>
        <w:tc>
          <w:tcPr>
            <w:tcW w:w="1190" w:type="dxa"/>
            <w:noWrap/>
            <w:vAlign w:val="center"/>
          </w:tcPr>
          <w:p>
            <w:pPr>
              <w:spacing w:line="240" w:lineRule="auto"/>
              <w:ind w:firstLine="28"/>
              <w:jc w:val="center"/>
              <w:rPr>
                <w:rFonts w:ascii="仿宋" w:hAnsi="仿宋" w:eastAsia="仿宋" w:cs="仿宋"/>
                <w:szCs w:val="21"/>
              </w:rPr>
            </w:pPr>
            <w:r>
              <w:rPr>
                <w:rFonts w:hint="eastAsia" w:ascii="仿宋" w:hAnsi="仿宋" w:eastAsia="仿宋" w:cs="仿宋"/>
                <w:szCs w:val="21"/>
              </w:rPr>
              <w:t>技术服务实施方案30%</w:t>
            </w:r>
          </w:p>
        </w:tc>
        <w:tc>
          <w:tcPr>
            <w:tcW w:w="866" w:type="dxa"/>
            <w:noWrap/>
            <w:vAlign w:val="center"/>
          </w:tcPr>
          <w:p>
            <w:pPr>
              <w:spacing w:line="360" w:lineRule="auto"/>
              <w:ind w:firstLine="28"/>
              <w:jc w:val="center"/>
              <w:rPr>
                <w:rFonts w:ascii="仿宋" w:hAnsi="仿宋" w:eastAsia="仿宋" w:cs="仿宋"/>
                <w:szCs w:val="21"/>
              </w:rPr>
            </w:pPr>
            <w:r>
              <w:rPr>
                <w:rFonts w:hint="eastAsia" w:ascii="仿宋" w:hAnsi="仿宋" w:eastAsia="仿宋" w:cs="仿宋"/>
                <w:szCs w:val="21"/>
              </w:rPr>
              <w:t>30分</w:t>
            </w:r>
          </w:p>
        </w:tc>
        <w:tc>
          <w:tcPr>
            <w:tcW w:w="5340" w:type="dxa"/>
            <w:noWrap/>
            <w:vAlign w:val="center"/>
          </w:tcPr>
          <w:p>
            <w:pPr>
              <w:spacing w:line="360" w:lineRule="auto"/>
              <w:rPr>
                <w:rFonts w:ascii="仿宋" w:hAnsi="仿宋" w:eastAsia="仿宋" w:cs="仿宋"/>
                <w:szCs w:val="21"/>
              </w:rPr>
            </w:pPr>
            <w:r>
              <w:rPr>
                <w:rFonts w:hint="eastAsia" w:ascii="仿宋" w:hAnsi="仿宋" w:eastAsia="仿宋" w:cs="仿宋"/>
                <w:kern w:val="0"/>
                <w:szCs w:val="21"/>
              </w:rPr>
              <w:t>根据投标人提供的服务实施方案进行评审；包含整体设计方案、</w:t>
            </w:r>
            <w:r>
              <w:rPr>
                <w:rFonts w:hint="eastAsia" w:ascii="仿宋" w:hAnsi="仿宋" w:eastAsia="仿宋" w:cs="仿宋"/>
                <w:szCs w:val="21"/>
              </w:rPr>
              <w:t>设施安装方案、水质检测方案、运营管理方案、维护方案</w:t>
            </w:r>
            <w:r>
              <w:rPr>
                <w:rFonts w:hint="eastAsia" w:ascii="仿宋" w:hAnsi="仿宋" w:eastAsia="仿宋" w:cs="仿宋"/>
                <w:kern w:val="0"/>
                <w:szCs w:val="21"/>
              </w:rPr>
              <w:t>等。每具有一项得5分，最多得25分；在此基础上，方案中存在缺陷或不足，不利于项目实施或无法实现预期目标的，每有一处扣3分</w:t>
            </w:r>
            <w:r>
              <w:rPr>
                <w:rFonts w:hint="eastAsia" w:ascii="仿宋" w:hAnsi="仿宋" w:eastAsia="仿宋" w:cs="仿宋"/>
                <w:szCs w:val="21"/>
              </w:rPr>
              <w:t>。</w:t>
            </w:r>
            <w:r>
              <w:rPr>
                <w:rFonts w:hint="eastAsia" w:ascii="仿宋" w:hAnsi="仿宋" w:eastAsia="仿宋" w:cs="仿宋"/>
                <w:kern w:val="0"/>
                <w:szCs w:val="21"/>
              </w:rPr>
              <w:t>方案中含有以上要求内容且有利于项目实施的，每一项加1分，最多加5分。</w:t>
            </w:r>
          </w:p>
        </w:tc>
        <w:tc>
          <w:tcPr>
            <w:tcW w:w="2016" w:type="dxa"/>
            <w:noWrap/>
            <w:vAlign w:val="center"/>
          </w:tcPr>
          <w:p>
            <w:pPr>
              <w:spacing w:line="360" w:lineRule="auto"/>
              <w:ind w:left="360" w:firstLine="420" w:firstLineChars="200"/>
              <w:jc w:val="left"/>
              <w:rPr>
                <w:rFonts w:ascii="仿宋" w:hAnsi="仿宋" w:eastAsia="仿宋" w:cs="仿宋"/>
                <w:szCs w:val="21"/>
              </w:rPr>
            </w:pPr>
          </w:p>
          <w:p>
            <w:pPr>
              <w:spacing w:line="360" w:lineRule="auto"/>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atLeast"/>
        </w:trPr>
        <w:tc>
          <w:tcPr>
            <w:tcW w:w="691" w:type="dxa"/>
            <w:noWrap/>
            <w:vAlign w:val="center"/>
          </w:tcPr>
          <w:p>
            <w:pPr>
              <w:spacing w:line="360" w:lineRule="auto"/>
              <w:jc w:val="center"/>
              <w:rPr>
                <w:rFonts w:ascii="仿宋" w:hAnsi="仿宋" w:eastAsia="仿宋" w:cs="仿宋"/>
                <w:szCs w:val="21"/>
              </w:rPr>
            </w:pPr>
            <w:r>
              <w:rPr>
                <w:rFonts w:hint="eastAsia" w:ascii="仿宋" w:hAnsi="仿宋" w:eastAsia="仿宋" w:cs="仿宋"/>
                <w:szCs w:val="21"/>
              </w:rPr>
              <w:t>3</w:t>
            </w:r>
          </w:p>
        </w:tc>
        <w:tc>
          <w:tcPr>
            <w:tcW w:w="1190" w:type="dxa"/>
            <w:noWrap/>
            <w:vAlign w:val="center"/>
          </w:tcPr>
          <w:p>
            <w:pPr>
              <w:spacing w:line="240" w:lineRule="auto"/>
              <w:rPr>
                <w:rFonts w:ascii="仿宋" w:hAnsi="仿宋" w:eastAsia="仿宋" w:cs="仿宋"/>
                <w:szCs w:val="21"/>
              </w:rPr>
            </w:pPr>
            <w:r>
              <w:rPr>
                <w:rFonts w:hint="eastAsia" w:ascii="仿宋" w:hAnsi="仿宋" w:eastAsia="仿宋" w:cs="仿宋"/>
                <w:szCs w:val="21"/>
              </w:rPr>
              <w:t>安全、应急防控方案</w:t>
            </w:r>
          </w:p>
          <w:p>
            <w:pPr>
              <w:spacing w:line="240" w:lineRule="auto"/>
              <w:ind w:firstLine="28"/>
              <w:jc w:val="center"/>
              <w:rPr>
                <w:rFonts w:ascii="仿宋" w:hAnsi="仿宋" w:eastAsia="仿宋" w:cs="仿宋"/>
                <w:szCs w:val="21"/>
              </w:rPr>
            </w:pPr>
            <w:r>
              <w:rPr>
                <w:rFonts w:hint="eastAsia" w:ascii="仿宋" w:hAnsi="仿宋" w:eastAsia="仿宋" w:cs="仿宋"/>
                <w:szCs w:val="21"/>
              </w:rPr>
              <w:t>10%</w:t>
            </w:r>
          </w:p>
        </w:tc>
        <w:tc>
          <w:tcPr>
            <w:tcW w:w="866" w:type="dxa"/>
            <w:noWrap/>
            <w:vAlign w:val="center"/>
          </w:tcPr>
          <w:p>
            <w:pPr>
              <w:spacing w:line="360" w:lineRule="auto"/>
              <w:jc w:val="center"/>
              <w:rPr>
                <w:rFonts w:ascii="仿宋" w:hAnsi="仿宋" w:eastAsia="仿宋" w:cs="仿宋"/>
                <w:szCs w:val="21"/>
              </w:rPr>
            </w:pPr>
            <w:r>
              <w:rPr>
                <w:rFonts w:hint="eastAsia" w:ascii="仿宋" w:hAnsi="仿宋" w:eastAsia="仿宋" w:cs="仿宋"/>
                <w:szCs w:val="21"/>
              </w:rPr>
              <w:t>10分</w:t>
            </w:r>
          </w:p>
        </w:tc>
        <w:tc>
          <w:tcPr>
            <w:tcW w:w="5340" w:type="dxa"/>
            <w:noWrap/>
            <w:vAlign w:val="center"/>
          </w:tcPr>
          <w:p>
            <w:pPr>
              <w:pStyle w:val="36"/>
              <w:numPr>
                <w:ilvl w:val="0"/>
                <w:numId w:val="0"/>
              </w:numPr>
              <w:spacing w:line="360" w:lineRule="auto"/>
              <w:rPr>
                <w:rFonts w:ascii="仿宋" w:hAnsi="仿宋" w:eastAsia="仿宋" w:cs="仿宋"/>
                <w:b w:val="0"/>
                <w:bCs/>
                <w:sz w:val="21"/>
                <w:szCs w:val="21"/>
              </w:rPr>
            </w:pPr>
            <w:r>
              <w:rPr>
                <w:rFonts w:hint="eastAsia" w:ascii="仿宋" w:hAnsi="仿宋" w:eastAsia="仿宋" w:cs="仿宋"/>
                <w:b w:val="0"/>
                <w:bCs/>
                <w:sz w:val="21"/>
                <w:szCs w:val="21"/>
              </w:rPr>
              <w:t>根据投标人提供的安全、应急防控方案进行评审；方案包含安全应急组织体系与职能分配、安全事故预案、极端天气应急预案、环境污染事故预案、污水处置应急预案等。每具有一项得2分，最多得10分；在此基础上，方案中存在缺陷或不足，不利于项目实施或无法实现预期目标的，每有一处扣1分。</w:t>
            </w:r>
          </w:p>
        </w:tc>
        <w:tc>
          <w:tcPr>
            <w:tcW w:w="2016" w:type="dxa"/>
            <w:noWrap/>
            <w:vAlign w:val="center"/>
          </w:tcPr>
          <w:p>
            <w:pPr>
              <w:spacing w:line="360" w:lineRule="auto"/>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atLeast"/>
        </w:trPr>
        <w:tc>
          <w:tcPr>
            <w:tcW w:w="691" w:type="dxa"/>
            <w:noWrap/>
            <w:vAlign w:val="center"/>
          </w:tcPr>
          <w:p>
            <w:pPr>
              <w:spacing w:line="360" w:lineRule="auto"/>
              <w:jc w:val="center"/>
              <w:rPr>
                <w:rFonts w:ascii="仿宋" w:hAnsi="仿宋" w:eastAsia="仿宋" w:cs="仿宋"/>
                <w:szCs w:val="21"/>
              </w:rPr>
            </w:pPr>
            <w:r>
              <w:rPr>
                <w:rFonts w:hint="eastAsia" w:ascii="仿宋" w:hAnsi="仿宋" w:eastAsia="仿宋" w:cs="仿宋"/>
                <w:szCs w:val="21"/>
              </w:rPr>
              <w:t>4</w:t>
            </w:r>
          </w:p>
        </w:tc>
        <w:tc>
          <w:tcPr>
            <w:tcW w:w="1190" w:type="dxa"/>
            <w:noWrap/>
            <w:vAlign w:val="center"/>
          </w:tcPr>
          <w:p>
            <w:pPr>
              <w:spacing w:line="240" w:lineRule="auto"/>
              <w:ind w:firstLine="28"/>
              <w:jc w:val="center"/>
              <w:rPr>
                <w:rFonts w:ascii="仿宋" w:hAnsi="仿宋" w:eastAsia="仿宋" w:cs="仿宋"/>
                <w:szCs w:val="21"/>
              </w:rPr>
            </w:pPr>
            <w:r>
              <w:rPr>
                <w:rFonts w:hint="eastAsia" w:ascii="仿宋" w:hAnsi="仿宋" w:eastAsia="仿宋" w:cs="仿宋"/>
                <w:szCs w:val="21"/>
              </w:rPr>
              <w:t>管理制度20%</w:t>
            </w:r>
          </w:p>
        </w:tc>
        <w:tc>
          <w:tcPr>
            <w:tcW w:w="866" w:type="dxa"/>
            <w:noWrap/>
            <w:vAlign w:val="center"/>
          </w:tcPr>
          <w:p>
            <w:pPr>
              <w:spacing w:line="360" w:lineRule="auto"/>
              <w:jc w:val="center"/>
              <w:rPr>
                <w:rFonts w:ascii="仿宋" w:hAnsi="仿宋" w:eastAsia="仿宋" w:cs="仿宋"/>
                <w:szCs w:val="21"/>
              </w:rPr>
            </w:pPr>
            <w:r>
              <w:rPr>
                <w:rFonts w:hint="eastAsia" w:ascii="仿宋" w:hAnsi="仿宋" w:eastAsia="仿宋" w:cs="仿宋"/>
                <w:szCs w:val="21"/>
              </w:rPr>
              <w:t>20分</w:t>
            </w:r>
          </w:p>
        </w:tc>
        <w:tc>
          <w:tcPr>
            <w:tcW w:w="5340" w:type="dxa"/>
            <w:noWrap/>
            <w:vAlign w:val="center"/>
          </w:tcPr>
          <w:p>
            <w:pPr>
              <w:spacing w:line="360" w:lineRule="auto"/>
              <w:rPr>
                <w:rFonts w:ascii="仿宋" w:hAnsi="仿宋" w:eastAsia="仿宋" w:cs="仿宋"/>
                <w:szCs w:val="21"/>
              </w:rPr>
            </w:pPr>
            <w:r>
              <w:rPr>
                <w:rFonts w:hint="eastAsia" w:ascii="仿宋" w:hAnsi="仿宋" w:eastAsia="仿宋" w:cs="仿宋"/>
                <w:kern w:val="0"/>
                <w:szCs w:val="21"/>
              </w:rPr>
              <w:t>根据投标人提供的管理制度进行评审；内容包含质量管理办法、监督考核办法、员工管理制度、从业人员培训管理制度、</w:t>
            </w:r>
            <w:r>
              <w:rPr>
                <w:rFonts w:hint="eastAsia" w:ascii="仿宋" w:hAnsi="仿宋" w:eastAsia="仿宋" w:cs="仿宋"/>
                <w:szCs w:val="21"/>
              </w:rPr>
              <w:t>设备维护管理制度</w:t>
            </w:r>
            <w:r>
              <w:rPr>
                <w:rFonts w:hint="eastAsia" w:ascii="仿宋" w:hAnsi="仿宋" w:eastAsia="仿宋" w:cs="仿宋"/>
                <w:kern w:val="0"/>
                <w:szCs w:val="21"/>
              </w:rPr>
              <w:t>等。每具有一项得3分，最多得15分；在此基础上，方案中存在缺陷或不足，不利于项目实施的，每有一处扣2分。方案中含有以上要求内容且有利于项目实施的，每一项加1分，最多加5分。</w:t>
            </w:r>
          </w:p>
        </w:tc>
        <w:tc>
          <w:tcPr>
            <w:tcW w:w="2016" w:type="dxa"/>
            <w:noWrap/>
            <w:vAlign w:val="center"/>
          </w:tcPr>
          <w:p>
            <w:pPr>
              <w:spacing w:line="360" w:lineRule="auto"/>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trPr>
        <w:tc>
          <w:tcPr>
            <w:tcW w:w="10103" w:type="dxa"/>
            <w:gridSpan w:val="5"/>
            <w:noWrap/>
            <w:vAlign w:val="center"/>
          </w:tcPr>
          <w:p>
            <w:pPr>
              <w:spacing w:line="360" w:lineRule="auto"/>
              <w:jc w:val="center"/>
              <w:rPr>
                <w:rFonts w:ascii="仿宋" w:hAnsi="仿宋" w:eastAsia="仿宋" w:cs="仿宋"/>
                <w:szCs w:val="21"/>
              </w:rPr>
            </w:pPr>
            <w:r>
              <w:rPr>
                <w:rFonts w:hint="eastAsia" w:ascii="仿宋" w:hAnsi="仿宋" w:eastAsia="仿宋" w:cs="仿宋"/>
                <w:szCs w:val="21"/>
              </w:rPr>
              <w:t>商务部分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1" w:hRule="atLeast"/>
        </w:trPr>
        <w:tc>
          <w:tcPr>
            <w:tcW w:w="691"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28"/>
              <w:jc w:val="center"/>
              <w:rPr>
                <w:rFonts w:ascii="仿宋" w:hAnsi="仿宋" w:eastAsia="仿宋" w:cs="仿宋"/>
                <w:szCs w:val="21"/>
              </w:rPr>
            </w:pPr>
            <w:r>
              <w:rPr>
                <w:rFonts w:hint="eastAsia" w:ascii="仿宋" w:hAnsi="仿宋" w:eastAsia="仿宋" w:cs="仿宋"/>
                <w:szCs w:val="21"/>
              </w:rPr>
              <w:t>5</w:t>
            </w:r>
          </w:p>
        </w:tc>
        <w:tc>
          <w:tcPr>
            <w:tcW w:w="1190"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szCs w:val="21"/>
              </w:rPr>
            </w:pPr>
            <w:r>
              <w:rPr>
                <w:rFonts w:hint="eastAsia" w:ascii="仿宋" w:hAnsi="仿宋" w:eastAsia="仿宋" w:cs="仿宋"/>
                <w:szCs w:val="21"/>
              </w:rPr>
              <w:t>企业实力5%</w:t>
            </w:r>
          </w:p>
        </w:tc>
        <w:tc>
          <w:tcPr>
            <w:tcW w:w="866"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28"/>
              <w:jc w:val="center"/>
              <w:rPr>
                <w:rFonts w:ascii="仿宋" w:hAnsi="仿宋" w:eastAsia="仿宋" w:cs="仿宋"/>
                <w:szCs w:val="21"/>
              </w:rPr>
            </w:pPr>
            <w:r>
              <w:rPr>
                <w:rFonts w:hint="eastAsia" w:ascii="仿宋" w:hAnsi="仿宋" w:eastAsia="仿宋" w:cs="仿宋"/>
                <w:szCs w:val="21"/>
              </w:rPr>
              <w:t>5分</w:t>
            </w:r>
          </w:p>
        </w:tc>
        <w:tc>
          <w:tcPr>
            <w:tcW w:w="5340"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仿宋" w:hAnsi="仿宋" w:eastAsia="仿宋" w:cs="仿宋"/>
                <w:szCs w:val="21"/>
              </w:rPr>
            </w:pPr>
            <w:r>
              <w:rPr>
                <w:rFonts w:hint="eastAsia" w:ascii="仿宋" w:hAnsi="仿宋" w:eastAsia="仿宋" w:cs="仿宋"/>
                <w:szCs w:val="21"/>
              </w:rPr>
              <w:t>1、投标人具有环保工程专业承包资质三级及以上的得3分；</w:t>
            </w:r>
          </w:p>
          <w:p>
            <w:pPr>
              <w:pStyle w:val="35"/>
              <w:ind w:firstLine="0" w:firstLineChars="0"/>
              <w:rPr>
                <w:rFonts w:ascii="仿宋" w:hAnsi="仿宋" w:eastAsia="仿宋" w:cs="仿宋"/>
                <w:sz w:val="21"/>
                <w:szCs w:val="21"/>
              </w:rPr>
            </w:pPr>
            <w:r>
              <w:rPr>
                <w:rFonts w:hint="eastAsia" w:ascii="仿宋" w:hAnsi="仿宋" w:eastAsia="仿宋" w:cs="仿宋"/>
                <w:sz w:val="21"/>
                <w:szCs w:val="21"/>
              </w:rPr>
              <w:t>2、投标人具有符合《信息化和工业化融合管理体系要求》（GB/T 23001-2017）的两化融合管理体系评定证书的得2分。</w:t>
            </w:r>
          </w:p>
        </w:tc>
        <w:tc>
          <w:tcPr>
            <w:tcW w:w="2016"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28"/>
              <w:jc w:val="left"/>
              <w:rPr>
                <w:rFonts w:ascii="仿宋" w:hAnsi="仿宋" w:eastAsia="仿宋" w:cs="仿宋"/>
                <w:szCs w:val="21"/>
              </w:rPr>
            </w:pPr>
            <w:r>
              <w:rPr>
                <w:rFonts w:hint="eastAsia" w:ascii="仿宋" w:hAnsi="仿宋" w:eastAsia="仿宋" w:cs="仿宋"/>
                <w:szCs w:val="21"/>
              </w:rPr>
              <w:t>提供相应证书复印件加盖供应商公章，未提供不得分。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1" w:hRule="atLeast"/>
        </w:trPr>
        <w:tc>
          <w:tcPr>
            <w:tcW w:w="691"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28"/>
              <w:jc w:val="center"/>
              <w:rPr>
                <w:rFonts w:ascii="仿宋" w:hAnsi="仿宋" w:eastAsia="仿宋" w:cs="仿宋"/>
                <w:szCs w:val="21"/>
              </w:rPr>
            </w:pPr>
            <w:r>
              <w:rPr>
                <w:rFonts w:hint="eastAsia" w:ascii="仿宋" w:hAnsi="仿宋" w:eastAsia="仿宋" w:cs="仿宋"/>
                <w:szCs w:val="21"/>
              </w:rPr>
              <w:t>6</w:t>
            </w:r>
          </w:p>
        </w:tc>
        <w:tc>
          <w:tcPr>
            <w:tcW w:w="1190" w:type="dxa"/>
            <w:tcBorders>
              <w:top w:val="single" w:color="auto" w:sz="4" w:space="0"/>
              <w:left w:val="single" w:color="auto" w:sz="4" w:space="0"/>
              <w:bottom w:val="single" w:color="auto" w:sz="4" w:space="0"/>
              <w:right w:val="single" w:color="auto" w:sz="4" w:space="0"/>
            </w:tcBorders>
            <w:noWrap/>
            <w:vAlign w:val="center"/>
          </w:tcPr>
          <w:p>
            <w:pPr>
              <w:spacing w:line="360" w:lineRule="auto"/>
              <w:jc w:val="left"/>
              <w:rPr>
                <w:rFonts w:ascii="仿宋" w:hAnsi="仿宋" w:eastAsia="仿宋" w:cs="仿宋"/>
                <w:szCs w:val="21"/>
              </w:rPr>
            </w:pPr>
            <w:r>
              <w:rPr>
                <w:rFonts w:hint="eastAsia" w:ascii="仿宋" w:hAnsi="仿宋" w:eastAsia="仿宋" w:cs="仿宋"/>
                <w:szCs w:val="21"/>
              </w:rPr>
              <w:t>业绩4%</w:t>
            </w:r>
          </w:p>
        </w:tc>
        <w:tc>
          <w:tcPr>
            <w:tcW w:w="866"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28"/>
              <w:jc w:val="center"/>
              <w:rPr>
                <w:rFonts w:ascii="仿宋" w:hAnsi="仿宋" w:eastAsia="仿宋" w:cs="仿宋"/>
                <w:szCs w:val="21"/>
              </w:rPr>
            </w:pPr>
            <w:r>
              <w:rPr>
                <w:rFonts w:hint="eastAsia" w:ascii="仿宋" w:hAnsi="仿宋" w:eastAsia="仿宋" w:cs="仿宋"/>
                <w:szCs w:val="21"/>
              </w:rPr>
              <w:t>4分</w:t>
            </w:r>
          </w:p>
        </w:tc>
        <w:tc>
          <w:tcPr>
            <w:tcW w:w="5340" w:type="dxa"/>
            <w:tcBorders>
              <w:top w:val="single" w:color="auto" w:sz="4" w:space="0"/>
              <w:left w:val="single" w:color="auto" w:sz="4" w:space="0"/>
              <w:bottom w:val="single" w:color="auto" w:sz="4" w:space="0"/>
              <w:right w:val="single" w:color="auto" w:sz="4" w:space="0"/>
            </w:tcBorders>
            <w:noWrap/>
            <w:vAlign w:val="center"/>
          </w:tcPr>
          <w:p>
            <w:pPr>
              <w:pStyle w:val="35"/>
              <w:ind w:firstLine="0" w:firstLineChars="0"/>
              <w:rPr>
                <w:rFonts w:ascii="仿宋" w:hAnsi="仿宋" w:eastAsia="仿宋" w:cs="仿宋"/>
                <w:sz w:val="21"/>
                <w:szCs w:val="21"/>
              </w:rPr>
            </w:pPr>
            <w:r>
              <w:rPr>
                <w:rFonts w:ascii="仿宋" w:hAnsi="仿宋" w:eastAsia="仿宋" w:cs="仿宋"/>
                <w:sz w:val="21"/>
                <w:szCs w:val="21"/>
              </w:rPr>
              <w:t>供应商自2018年1月1日（含）以来具有类似项目业绩的，每有一个得</w:t>
            </w:r>
            <w:r>
              <w:rPr>
                <w:rFonts w:hint="eastAsia" w:ascii="仿宋" w:hAnsi="仿宋" w:eastAsia="仿宋" w:cs="仿宋"/>
                <w:sz w:val="21"/>
                <w:szCs w:val="21"/>
              </w:rPr>
              <w:t>2</w:t>
            </w:r>
            <w:r>
              <w:rPr>
                <w:rFonts w:ascii="仿宋" w:hAnsi="仿宋" w:eastAsia="仿宋" w:cs="仿宋"/>
                <w:sz w:val="21"/>
                <w:szCs w:val="21"/>
              </w:rPr>
              <w:t>分，本项最高得</w:t>
            </w:r>
            <w:r>
              <w:rPr>
                <w:rFonts w:hint="eastAsia" w:ascii="仿宋" w:hAnsi="仿宋" w:eastAsia="仿宋" w:cs="仿宋"/>
                <w:sz w:val="21"/>
                <w:szCs w:val="21"/>
              </w:rPr>
              <w:t>4</w:t>
            </w:r>
            <w:r>
              <w:rPr>
                <w:rFonts w:ascii="仿宋" w:hAnsi="仿宋" w:eastAsia="仿宋" w:cs="仿宋"/>
                <w:sz w:val="21"/>
                <w:szCs w:val="21"/>
              </w:rPr>
              <w:t>分。</w:t>
            </w:r>
          </w:p>
        </w:tc>
        <w:tc>
          <w:tcPr>
            <w:tcW w:w="2016" w:type="dxa"/>
            <w:tcBorders>
              <w:top w:val="single" w:color="auto" w:sz="4" w:space="0"/>
              <w:left w:val="single" w:color="auto" w:sz="4" w:space="0"/>
              <w:bottom w:val="single" w:color="auto" w:sz="4" w:space="0"/>
              <w:right w:val="single" w:color="auto" w:sz="4" w:space="0"/>
            </w:tcBorders>
            <w:noWrap/>
            <w:vAlign w:val="center"/>
          </w:tcPr>
          <w:p>
            <w:pPr>
              <w:pStyle w:val="35"/>
              <w:ind w:firstLine="0" w:firstLineChars="0"/>
              <w:rPr>
                <w:rFonts w:ascii="仿宋" w:hAnsi="仿宋" w:eastAsia="仿宋" w:cs="仿宋"/>
                <w:sz w:val="21"/>
                <w:szCs w:val="21"/>
              </w:rPr>
            </w:pPr>
            <w:r>
              <w:rPr>
                <w:rFonts w:hint="eastAsia" w:ascii="仿宋" w:hAnsi="仿宋" w:eastAsia="仿宋" w:cs="仿宋"/>
                <w:sz w:val="21"/>
                <w:szCs w:val="21"/>
              </w:rPr>
              <w:t>提供中标或成交通知书或合同复印件并加盖供应商公章。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1" w:hRule="atLeast"/>
        </w:trPr>
        <w:tc>
          <w:tcPr>
            <w:tcW w:w="691"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28"/>
              <w:jc w:val="center"/>
              <w:rPr>
                <w:rFonts w:ascii="仿宋" w:hAnsi="仿宋" w:eastAsia="仿宋" w:cs="仿宋"/>
                <w:szCs w:val="21"/>
              </w:rPr>
            </w:pPr>
            <w:r>
              <w:rPr>
                <w:rFonts w:hint="eastAsia" w:ascii="仿宋" w:hAnsi="仿宋" w:eastAsia="仿宋" w:cs="仿宋"/>
                <w:szCs w:val="21"/>
              </w:rPr>
              <w:t>7</w:t>
            </w:r>
          </w:p>
        </w:tc>
        <w:tc>
          <w:tcPr>
            <w:tcW w:w="1190" w:type="dxa"/>
            <w:tcBorders>
              <w:top w:val="single" w:color="auto" w:sz="4" w:space="0"/>
              <w:left w:val="single" w:color="auto" w:sz="4" w:space="0"/>
              <w:bottom w:val="single" w:color="auto" w:sz="4" w:space="0"/>
              <w:right w:val="single" w:color="auto" w:sz="4" w:space="0"/>
            </w:tcBorders>
            <w:noWrap/>
            <w:vAlign w:val="center"/>
          </w:tcPr>
          <w:p>
            <w:pPr>
              <w:spacing w:line="360" w:lineRule="auto"/>
              <w:jc w:val="left"/>
              <w:rPr>
                <w:rFonts w:ascii="仿宋" w:hAnsi="仿宋" w:eastAsia="仿宋" w:cs="仿宋"/>
                <w:szCs w:val="21"/>
              </w:rPr>
            </w:pPr>
            <w:r>
              <w:rPr>
                <w:rFonts w:hint="eastAsia" w:ascii="仿宋" w:hAnsi="仿宋" w:eastAsia="仿宋" w:cs="仿宋"/>
                <w:szCs w:val="21"/>
              </w:rPr>
              <w:t>人员13%</w:t>
            </w:r>
          </w:p>
        </w:tc>
        <w:tc>
          <w:tcPr>
            <w:tcW w:w="866"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28"/>
              <w:jc w:val="center"/>
              <w:rPr>
                <w:rFonts w:ascii="仿宋" w:hAnsi="仿宋" w:eastAsia="仿宋" w:cs="仿宋"/>
                <w:szCs w:val="21"/>
              </w:rPr>
            </w:pPr>
            <w:r>
              <w:rPr>
                <w:rFonts w:hint="eastAsia" w:ascii="仿宋" w:hAnsi="仿宋" w:eastAsia="仿宋" w:cs="仿宋"/>
                <w:szCs w:val="21"/>
              </w:rPr>
              <w:t>13分</w:t>
            </w:r>
          </w:p>
        </w:tc>
        <w:tc>
          <w:tcPr>
            <w:tcW w:w="5340" w:type="dxa"/>
            <w:tcBorders>
              <w:top w:val="single" w:color="auto" w:sz="4" w:space="0"/>
              <w:left w:val="single" w:color="auto" w:sz="4" w:space="0"/>
              <w:bottom w:val="single" w:color="auto" w:sz="4" w:space="0"/>
              <w:right w:val="single" w:color="auto" w:sz="4" w:space="0"/>
            </w:tcBorders>
            <w:noWrap/>
            <w:vAlign w:val="center"/>
          </w:tcPr>
          <w:p>
            <w:pPr>
              <w:pStyle w:val="35"/>
              <w:ind w:firstLine="0" w:firstLineChars="0"/>
              <w:rPr>
                <w:rFonts w:ascii="仿宋" w:hAnsi="仿宋" w:eastAsia="仿宋" w:cs="仿宋"/>
                <w:sz w:val="21"/>
                <w:szCs w:val="21"/>
              </w:rPr>
            </w:pPr>
            <w:r>
              <w:rPr>
                <w:rFonts w:hint="eastAsia" w:ascii="仿宋" w:hAnsi="仿宋" w:eastAsia="仿宋" w:cs="仿宋"/>
                <w:sz w:val="21"/>
                <w:szCs w:val="21"/>
              </w:rPr>
              <w:t>1、为本项目配备的项目负责人具有市政工程或环保工程中级及以上职称得3分；</w:t>
            </w:r>
          </w:p>
          <w:p>
            <w:pPr>
              <w:pStyle w:val="35"/>
              <w:ind w:firstLine="0" w:firstLineChars="0"/>
              <w:rPr>
                <w:rFonts w:ascii="仿宋" w:hAnsi="仿宋" w:eastAsia="仿宋" w:cs="仿宋"/>
                <w:sz w:val="21"/>
                <w:szCs w:val="21"/>
              </w:rPr>
            </w:pPr>
            <w:r>
              <w:rPr>
                <w:rFonts w:hint="eastAsia" w:ascii="仿宋" w:hAnsi="仿宋" w:eastAsia="仿宋" w:cs="仿宋"/>
                <w:sz w:val="21"/>
                <w:szCs w:val="21"/>
              </w:rPr>
              <w:t>2、为本项目配备的技术负责人具有给排水专业中级及以上职称得3分；</w:t>
            </w:r>
          </w:p>
          <w:p>
            <w:pPr>
              <w:spacing w:line="360" w:lineRule="auto"/>
              <w:rPr>
                <w:rFonts w:ascii="仿宋" w:hAnsi="仿宋" w:eastAsia="仿宋" w:cs="仿宋"/>
                <w:szCs w:val="21"/>
              </w:rPr>
            </w:pPr>
            <w:r>
              <w:rPr>
                <w:rFonts w:hint="eastAsia" w:ascii="仿宋" w:hAnsi="仿宋" w:eastAsia="仿宋" w:cs="仿宋"/>
                <w:szCs w:val="21"/>
              </w:rPr>
              <w:t>3、投标人能为本项目配备安全岗位人员，具备注册安全工程师（其他安全）的，每配备一人得1.5分，最多得3分；每配备一名安全员得1分，最多得2分。本项最多得5分。</w:t>
            </w:r>
          </w:p>
          <w:p>
            <w:pPr>
              <w:pStyle w:val="35"/>
              <w:ind w:firstLine="0" w:firstLineChars="0"/>
            </w:pPr>
            <w:r>
              <w:rPr>
                <w:rFonts w:hint="eastAsia" w:ascii="仿宋" w:hAnsi="仿宋" w:eastAsia="仿宋" w:cs="仿宋"/>
                <w:sz w:val="21"/>
                <w:szCs w:val="21"/>
              </w:rPr>
              <w:t>4、为本项目配备的操作维保服务人员中，每有一名具备电工证的得1分，最多得2分。</w:t>
            </w:r>
          </w:p>
        </w:tc>
        <w:tc>
          <w:tcPr>
            <w:tcW w:w="2016"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28"/>
              <w:jc w:val="left"/>
              <w:rPr>
                <w:rFonts w:ascii="仿宋" w:hAnsi="仿宋" w:eastAsia="仿宋" w:cs="仿宋"/>
                <w:szCs w:val="21"/>
              </w:rPr>
            </w:pPr>
            <w:r>
              <w:rPr>
                <w:rFonts w:hint="eastAsia" w:ascii="仿宋" w:hAnsi="仿宋" w:eastAsia="仿宋" w:cs="仿宋"/>
                <w:szCs w:val="21"/>
              </w:rPr>
              <w:t>提供人员相应证书与劳动合同复印件加盖供应商公章，未提供不得分。</w:t>
            </w:r>
          </w:p>
        </w:tc>
      </w:tr>
    </w:tbl>
    <w:p>
      <w:pPr>
        <w:ind w:firstLine="360" w:firstLineChars="150"/>
        <w:rPr>
          <w:rFonts w:ascii="仿宋" w:hAnsi="仿宋" w:eastAsia="仿宋" w:cs="仿宋"/>
          <w:sz w:val="24"/>
        </w:rPr>
      </w:pPr>
      <w:r>
        <w:rPr>
          <w:rFonts w:hint="eastAsia" w:ascii="仿宋" w:hAnsi="仿宋" w:eastAsia="仿宋" w:cs="仿宋"/>
          <w:sz w:val="24"/>
        </w:rPr>
        <w:t>注： 评分的取值按四舍五入法，保留小数点后两位。</w:t>
      </w:r>
    </w:p>
    <w:p>
      <w:pPr>
        <w:pStyle w:val="10"/>
        <w:ind w:firstLine="420" w:firstLineChars="175"/>
        <w:rPr>
          <w:rFonts w:ascii="仿宋" w:hAnsi="仿宋" w:eastAsia="仿宋" w:cs="仿宋"/>
          <w:sz w:val="24"/>
        </w:rPr>
      </w:pPr>
      <w:bookmarkStart w:id="225" w:name="_Toc217446059"/>
      <w:r>
        <w:rPr>
          <w:rFonts w:hint="eastAsia" w:ascii="仿宋" w:hAnsi="仿宋" w:eastAsia="仿宋" w:cs="仿宋"/>
          <w:sz w:val="24"/>
        </w:rPr>
        <w:t xml:space="preserve">4.3.4、本次综合评分法由评标委员会各成员独立对通过初审（资格检查和符合性检查）的投标人的投标文件进行评审和打分，    </w:t>
      </w:r>
    </w:p>
    <w:p>
      <w:pPr>
        <w:pStyle w:val="10"/>
        <w:rPr>
          <w:rFonts w:ascii="仿宋" w:hAnsi="仿宋" w:eastAsia="仿宋" w:cs="仿宋"/>
          <w:sz w:val="24"/>
        </w:rPr>
      </w:pPr>
      <w:r>
        <w:rPr>
          <w:rFonts w:hint="eastAsia" w:ascii="仿宋" w:hAnsi="仿宋" w:eastAsia="仿宋" w:cs="仿宋"/>
          <w:sz w:val="24"/>
        </w:rPr>
        <w:t>评标得分＝（A1＋A2＋……＋An）/N</w:t>
      </w:r>
      <w:r>
        <w:rPr>
          <w:rFonts w:hint="eastAsia" w:ascii="仿宋" w:hAnsi="仿宋" w:eastAsia="仿宋" w:cs="仿宋"/>
          <w:sz w:val="24"/>
          <w:vertAlign w:val="subscript"/>
        </w:rPr>
        <w:t>A</w:t>
      </w:r>
      <w:r>
        <w:rPr>
          <w:rFonts w:hint="eastAsia" w:ascii="仿宋" w:hAnsi="仿宋" w:eastAsia="仿宋" w:cs="仿宋"/>
          <w:sz w:val="24"/>
        </w:rPr>
        <w:t>＋（B1＋B2＋……＋Bn）/ N</w:t>
      </w:r>
      <w:r>
        <w:rPr>
          <w:rFonts w:hint="eastAsia" w:ascii="仿宋" w:hAnsi="仿宋" w:eastAsia="仿宋" w:cs="仿宋"/>
          <w:sz w:val="24"/>
          <w:vertAlign w:val="subscript"/>
        </w:rPr>
        <w:t>B</w:t>
      </w:r>
      <w:r>
        <w:rPr>
          <w:rFonts w:hint="eastAsia" w:ascii="仿宋" w:hAnsi="仿宋" w:eastAsia="仿宋" w:cs="仿宋"/>
          <w:sz w:val="24"/>
        </w:rPr>
        <w:t>＋（C1＋C2＋……＋Cn）/ N</w:t>
      </w:r>
      <w:r>
        <w:rPr>
          <w:rFonts w:hint="eastAsia" w:ascii="仿宋" w:hAnsi="仿宋" w:eastAsia="仿宋" w:cs="仿宋"/>
          <w:sz w:val="24"/>
          <w:vertAlign w:val="subscript"/>
        </w:rPr>
        <w:t>C</w:t>
      </w:r>
      <w:r>
        <w:rPr>
          <w:rFonts w:hint="eastAsia" w:ascii="仿宋" w:hAnsi="仿宋" w:eastAsia="仿宋" w:cs="仿宋"/>
          <w:sz w:val="24"/>
        </w:rPr>
        <w:t>＋（D1＋D2＋……＋Dn）/ N</w:t>
      </w:r>
      <w:r>
        <w:rPr>
          <w:rFonts w:hint="eastAsia" w:ascii="仿宋" w:hAnsi="仿宋" w:eastAsia="仿宋" w:cs="仿宋"/>
          <w:sz w:val="24"/>
          <w:vertAlign w:val="subscript"/>
        </w:rPr>
        <w:t>D</w:t>
      </w:r>
    </w:p>
    <w:p>
      <w:pPr>
        <w:pStyle w:val="10"/>
        <w:rPr>
          <w:rFonts w:ascii="仿宋" w:hAnsi="仿宋" w:eastAsia="仿宋" w:cs="仿宋"/>
          <w:bCs/>
          <w:sz w:val="24"/>
        </w:rPr>
      </w:pPr>
      <w:r>
        <w:rPr>
          <w:rFonts w:hint="eastAsia" w:ascii="仿宋" w:hAnsi="仿宋" w:eastAsia="仿宋" w:cs="仿宋"/>
          <w:sz w:val="24"/>
        </w:rPr>
        <w:t>A1、A2……An分别为每个经济类评委（经济类专家）的打分，N</w:t>
      </w:r>
      <w:r>
        <w:rPr>
          <w:rFonts w:hint="eastAsia" w:ascii="仿宋" w:hAnsi="仿宋" w:eastAsia="仿宋" w:cs="仿宋"/>
          <w:sz w:val="24"/>
          <w:vertAlign w:val="subscript"/>
        </w:rPr>
        <w:t>A</w:t>
      </w:r>
      <w:r>
        <w:rPr>
          <w:rFonts w:hint="eastAsia" w:ascii="仿宋" w:hAnsi="仿宋" w:eastAsia="仿宋" w:cs="仿宋"/>
          <w:sz w:val="24"/>
        </w:rPr>
        <w:t>为经济类评委（经济类专家）人数；B1、B2＋……Bn 分别为每个技术类评委（技术类专家和采购人代表）的打分，N</w:t>
      </w:r>
      <w:r>
        <w:rPr>
          <w:rFonts w:hint="eastAsia" w:ascii="仿宋" w:hAnsi="仿宋" w:eastAsia="仿宋" w:cs="仿宋"/>
          <w:sz w:val="24"/>
          <w:vertAlign w:val="subscript"/>
        </w:rPr>
        <w:t>B</w:t>
      </w:r>
      <w:r>
        <w:rPr>
          <w:rFonts w:hint="eastAsia" w:ascii="仿宋" w:hAnsi="仿宋" w:eastAsia="仿宋" w:cs="仿宋"/>
          <w:sz w:val="24"/>
        </w:rPr>
        <w:t>为技术类评委（技术类专家和采购人代表）人数；C1、C2……Cn 分别为每个政策合同类评委（法律类专家）的打分，N</w:t>
      </w:r>
      <w:r>
        <w:rPr>
          <w:rFonts w:hint="eastAsia" w:ascii="仿宋" w:hAnsi="仿宋" w:eastAsia="仿宋" w:cs="仿宋"/>
          <w:sz w:val="24"/>
          <w:vertAlign w:val="subscript"/>
        </w:rPr>
        <w:t>C</w:t>
      </w:r>
      <w:r>
        <w:rPr>
          <w:rFonts w:hint="eastAsia" w:ascii="仿宋" w:hAnsi="仿宋" w:eastAsia="仿宋" w:cs="仿宋"/>
          <w:sz w:val="24"/>
        </w:rPr>
        <w:t>为政策合同类评委（法律类专家）人数；D1、D2……Dn 分别为评审委员会每个成员的打分（共同评分类），N</w:t>
      </w:r>
      <w:r>
        <w:rPr>
          <w:rFonts w:hint="eastAsia" w:ascii="仿宋" w:hAnsi="仿宋" w:eastAsia="仿宋" w:cs="仿宋"/>
          <w:sz w:val="24"/>
          <w:vertAlign w:val="subscript"/>
        </w:rPr>
        <w:t>D</w:t>
      </w:r>
      <w:r>
        <w:rPr>
          <w:rFonts w:hint="eastAsia" w:ascii="仿宋" w:hAnsi="仿宋" w:eastAsia="仿宋" w:cs="仿宋"/>
          <w:sz w:val="24"/>
        </w:rPr>
        <w:t>为评标委员会人</w:t>
      </w:r>
      <w:r>
        <w:rPr>
          <w:rFonts w:hint="eastAsia" w:ascii="仿宋" w:hAnsi="仿宋" w:eastAsia="仿宋" w:cs="仿宋"/>
          <w:bCs/>
          <w:sz w:val="24"/>
        </w:rPr>
        <w:t>数。</w:t>
      </w:r>
      <w:bookmarkEnd w:id="225"/>
    </w:p>
    <w:p>
      <w:pPr>
        <w:pStyle w:val="4"/>
        <w:spacing w:line="400" w:lineRule="exact"/>
        <w:ind w:firstLine="472" w:firstLineChars="196"/>
        <w:rPr>
          <w:rFonts w:ascii="仿宋" w:hAnsi="仿宋" w:eastAsia="仿宋" w:cs="仿宋"/>
          <w:sz w:val="24"/>
          <w:szCs w:val="24"/>
        </w:rPr>
      </w:pPr>
      <w:bookmarkStart w:id="226" w:name="_Toc217446060"/>
      <w:r>
        <w:rPr>
          <w:rFonts w:hint="eastAsia" w:ascii="仿宋" w:hAnsi="仿宋" w:eastAsia="仿宋" w:cs="仿宋"/>
          <w:sz w:val="24"/>
          <w:szCs w:val="24"/>
        </w:rPr>
        <w:t>5、 废 标</w:t>
      </w:r>
    </w:p>
    <w:p>
      <w:pPr>
        <w:spacing w:line="400" w:lineRule="exact"/>
        <w:ind w:firstLine="480" w:firstLineChars="200"/>
        <w:rPr>
          <w:rFonts w:ascii="仿宋" w:hAnsi="仿宋" w:eastAsia="仿宋" w:cs="仿宋"/>
          <w:sz w:val="24"/>
        </w:rPr>
      </w:pPr>
      <w:r>
        <w:rPr>
          <w:rFonts w:hint="eastAsia" w:ascii="仿宋" w:hAnsi="仿宋" w:eastAsia="仿宋" w:cs="仿宋"/>
          <w:sz w:val="24"/>
        </w:rPr>
        <w:t>5.1、本次政府采购活动中，出现下列情形之一的，予以废标：</w:t>
      </w:r>
    </w:p>
    <w:p>
      <w:pPr>
        <w:spacing w:line="400" w:lineRule="exact"/>
        <w:ind w:firstLine="480" w:firstLineChars="200"/>
        <w:rPr>
          <w:rFonts w:ascii="仿宋" w:hAnsi="仿宋" w:eastAsia="仿宋" w:cs="仿宋"/>
          <w:sz w:val="24"/>
        </w:rPr>
      </w:pPr>
      <w:r>
        <w:rPr>
          <w:rFonts w:hint="eastAsia" w:ascii="仿宋" w:hAnsi="仿宋" w:eastAsia="仿宋" w:cs="仿宋"/>
          <w:sz w:val="24"/>
        </w:rPr>
        <w:t>（1）符合专业条件的供应商或者对招标文件作实质响应的供应商不足三家的；</w:t>
      </w:r>
    </w:p>
    <w:p>
      <w:pPr>
        <w:spacing w:line="400" w:lineRule="exact"/>
        <w:ind w:firstLine="480" w:firstLineChars="200"/>
        <w:rPr>
          <w:rFonts w:ascii="仿宋" w:hAnsi="仿宋" w:eastAsia="仿宋" w:cs="仿宋"/>
          <w:sz w:val="24"/>
        </w:rPr>
      </w:pPr>
      <w:r>
        <w:rPr>
          <w:rFonts w:hint="eastAsia" w:ascii="仿宋" w:hAnsi="仿宋" w:eastAsia="仿宋" w:cs="仿宋"/>
          <w:sz w:val="24"/>
        </w:rPr>
        <w:t>（2）出现影响采购公正的违法、违规行为的；</w:t>
      </w:r>
    </w:p>
    <w:p>
      <w:pPr>
        <w:spacing w:line="400" w:lineRule="exact"/>
        <w:ind w:firstLine="480" w:firstLineChars="200"/>
        <w:rPr>
          <w:rFonts w:ascii="仿宋" w:hAnsi="仿宋" w:eastAsia="仿宋" w:cs="仿宋"/>
          <w:sz w:val="24"/>
        </w:rPr>
      </w:pPr>
      <w:r>
        <w:rPr>
          <w:rFonts w:hint="eastAsia" w:ascii="仿宋" w:hAnsi="仿宋" w:eastAsia="仿宋" w:cs="仿宋"/>
          <w:sz w:val="24"/>
        </w:rPr>
        <w:t>（3）投标人的报价均超过了采购预算，采购人不能支付的；</w:t>
      </w:r>
    </w:p>
    <w:p>
      <w:pPr>
        <w:spacing w:line="400" w:lineRule="exact"/>
        <w:ind w:firstLine="480" w:firstLineChars="200"/>
        <w:rPr>
          <w:rFonts w:ascii="仿宋" w:hAnsi="仿宋" w:eastAsia="仿宋" w:cs="仿宋"/>
          <w:sz w:val="24"/>
        </w:rPr>
      </w:pPr>
      <w:r>
        <w:rPr>
          <w:rFonts w:hint="eastAsia" w:ascii="仿宋" w:hAnsi="仿宋" w:eastAsia="仿宋" w:cs="仿宋"/>
          <w:sz w:val="24"/>
        </w:rPr>
        <w:t>（4）因重大变故，采购任务取消的。</w:t>
      </w:r>
    </w:p>
    <w:p>
      <w:pPr>
        <w:spacing w:line="400" w:lineRule="exact"/>
        <w:ind w:firstLine="480" w:firstLineChars="200"/>
        <w:rPr>
          <w:rFonts w:ascii="仿宋" w:hAnsi="仿宋" w:eastAsia="仿宋" w:cs="仿宋"/>
          <w:sz w:val="24"/>
        </w:rPr>
      </w:pPr>
      <w:r>
        <w:rPr>
          <w:rFonts w:hint="eastAsia" w:ascii="仿宋" w:hAnsi="仿宋" w:eastAsia="仿宋" w:cs="仿宋"/>
          <w:sz w:val="24"/>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cs="仿宋"/>
          <w:sz w:val="24"/>
        </w:rPr>
      </w:pPr>
      <w:r>
        <w:rPr>
          <w:rFonts w:hint="eastAsia" w:ascii="仿宋" w:hAnsi="仿宋" w:eastAsia="仿宋" w:cs="仿宋"/>
          <w:sz w:val="24"/>
        </w:rPr>
        <w:t>5.2、对于评标过程中废标的采购项目，评标委员会应当对招标文件是否存在倾向性和歧视性、是否存在不合理条款进行论证，并出具书面论证意见。</w:t>
      </w:r>
    </w:p>
    <w:p>
      <w:pPr>
        <w:pStyle w:val="4"/>
        <w:spacing w:line="400" w:lineRule="exact"/>
        <w:ind w:firstLine="472" w:firstLineChars="196"/>
        <w:rPr>
          <w:rFonts w:ascii="仿宋" w:hAnsi="仿宋" w:eastAsia="仿宋" w:cs="仿宋"/>
          <w:sz w:val="24"/>
          <w:szCs w:val="24"/>
        </w:rPr>
      </w:pPr>
      <w:r>
        <w:rPr>
          <w:rFonts w:hint="eastAsia" w:ascii="仿宋" w:hAnsi="仿宋" w:eastAsia="仿宋" w:cs="仿宋"/>
          <w:sz w:val="24"/>
          <w:szCs w:val="24"/>
        </w:rPr>
        <w:t>6、定标</w:t>
      </w:r>
      <w:bookmarkEnd w:id="226"/>
      <w:bookmarkStart w:id="227" w:name="_Toc217446061"/>
    </w:p>
    <w:p>
      <w:pPr>
        <w:spacing w:line="400" w:lineRule="exact"/>
        <w:ind w:firstLine="480" w:firstLineChars="200"/>
        <w:rPr>
          <w:rFonts w:ascii="仿宋" w:hAnsi="仿宋" w:eastAsia="仿宋" w:cs="仿宋"/>
          <w:sz w:val="24"/>
        </w:rPr>
      </w:pPr>
      <w:r>
        <w:rPr>
          <w:rFonts w:hint="eastAsia" w:ascii="仿宋" w:hAnsi="仿宋" w:eastAsia="仿宋" w:cs="仿宋"/>
          <w:sz w:val="24"/>
        </w:rPr>
        <w:t>6.1、定标原则</w:t>
      </w:r>
      <w:bookmarkEnd w:id="227"/>
      <w:r>
        <w:rPr>
          <w:rFonts w:hint="eastAsia" w:ascii="仿宋" w:hAnsi="仿宋" w:eastAsia="仿宋" w:cs="仿宋"/>
          <w:sz w:val="24"/>
        </w:rPr>
        <w:t>：本项目根据评标委员会推荐的中标候选供应商名单，按顺序确定中标供应商。</w:t>
      </w:r>
    </w:p>
    <w:p>
      <w:pPr>
        <w:spacing w:line="400" w:lineRule="exact"/>
        <w:ind w:firstLine="480" w:firstLineChars="200"/>
        <w:rPr>
          <w:rFonts w:ascii="仿宋" w:hAnsi="仿宋" w:eastAsia="仿宋" w:cs="仿宋"/>
          <w:sz w:val="24"/>
        </w:rPr>
      </w:pPr>
      <w:bookmarkStart w:id="228" w:name="_Toc217446062"/>
      <w:r>
        <w:rPr>
          <w:rFonts w:hint="eastAsia" w:ascii="仿宋" w:hAnsi="仿宋" w:eastAsia="仿宋" w:cs="仿宋"/>
          <w:sz w:val="24"/>
        </w:rPr>
        <w:t>6.2、定标程序</w:t>
      </w:r>
      <w:bookmarkEnd w:id="228"/>
    </w:p>
    <w:p>
      <w:pPr>
        <w:spacing w:line="400" w:lineRule="exact"/>
        <w:ind w:firstLine="480" w:firstLineChars="200"/>
        <w:rPr>
          <w:rFonts w:ascii="仿宋" w:hAnsi="仿宋" w:eastAsia="仿宋" w:cs="仿宋"/>
          <w:sz w:val="24"/>
        </w:rPr>
      </w:pPr>
      <w:r>
        <w:rPr>
          <w:rFonts w:hint="eastAsia" w:ascii="仿宋" w:hAnsi="仿宋" w:eastAsia="仿宋" w:cs="仿宋"/>
          <w:sz w:val="24"/>
        </w:rPr>
        <w:t>6.2.1、评标委员会将评标情况写出书面报告，推荐中标候选供应商。</w:t>
      </w:r>
    </w:p>
    <w:p>
      <w:pPr>
        <w:spacing w:line="400" w:lineRule="exact"/>
        <w:ind w:firstLine="480" w:firstLineChars="200"/>
        <w:rPr>
          <w:rFonts w:ascii="仿宋" w:hAnsi="仿宋" w:eastAsia="仿宋" w:cs="仿宋"/>
          <w:sz w:val="24"/>
        </w:rPr>
      </w:pPr>
      <w:r>
        <w:rPr>
          <w:rFonts w:hint="eastAsia" w:ascii="仿宋" w:hAnsi="仿宋" w:eastAsia="仿宋" w:cs="仿宋"/>
          <w:sz w:val="24"/>
        </w:rPr>
        <w:t>6.2.2、采购代理机构在评标结束后2个工作日内将评标报告送采购人。</w:t>
      </w:r>
    </w:p>
    <w:p>
      <w:pPr>
        <w:spacing w:line="400" w:lineRule="exact"/>
        <w:ind w:firstLine="480" w:firstLineChars="200"/>
        <w:rPr>
          <w:rFonts w:ascii="仿宋" w:hAnsi="仿宋" w:eastAsia="仿宋" w:cs="仿宋"/>
          <w:sz w:val="24"/>
        </w:rPr>
      </w:pPr>
      <w:r>
        <w:rPr>
          <w:rFonts w:hint="eastAsia" w:ascii="仿宋" w:hAnsi="仿宋" w:eastAsia="仿宋" w:cs="仿宋"/>
          <w:sz w:val="24"/>
        </w:rPr>
        <w:t>6.2.3、采购人在收到评标报告后5个工作日内，按照评标报告中推荐的中标候选供应商顺序确定中标供应商。中标候选供应商并列的，由采购人自主采取公平、择优的方式选择中标供应商。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cs="仿宋"/>
          <w:sz w:val="24"/>
        </w:rPr>
      </w:pPr>
      <w:r>
        <w:rPr>
          <w:rFonts w:hint="eastAsia" w:ascii="仿宋" w:hAnsi="仿宋" w:eastAsia="仿宋" w:cs="仿宋"/>
          <w:sz w:val="24"/>
        </w:rPr>
        <w:t>6.2.4、根据采购人确定的中标供应商，采购代理机构在四川政府采购网上发布中标公告，并自采购人确定中标之日起2个工作日内向中标供应商发出中标通知书。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cs="仿宋"/>
          <w:sz w:val="24"/>
        </w:rPr>
      </w:pPr>
      <w:r>
        <w:rPr>
          <w:rFonts w:hint="eastAsia" w:ascii="仿宋" w:hAnsi="仿宋" w:eastAsia="仿宋" w:cs="仿宋"/>
          <w:sz w:val="24"/>
        </w:rPr>
        <w:t>6.2.5、招标采购单位不退回投标人投标文件和其他投标资料。</w:t>
      </w:r>
      <w:bookmarkEnd w:id="224"/>
    </w:p>
    <w:p>
      <w:pPr>
        <w:pStyle w:val="4"/>
        <w:spacing w:line="400" w:lineRule="exact"/>
        <w:ind w:firstLine="482" w:firstLineChars="200"/>
        <w:rPr>
          <w:rFonts w:ascii="仿宋" w:hAnsi="仿宋" w:eastAsia="仿宋" w:cs="仿宋"/>
          <w:bCs w:val="0"/>
          <w:sz w:val="24"/>
          <w:szCs w:val="24"/>
        </w:rPr>
      </w:pPr>
      <w:bookmarkStart w:id="229" w:name="_Toc183682432"/>
      <w:bookmarkStart w:id="230" w:name="_Toc183582297"/>
      <w:bookmarkStart w:id="231" w:name="_Toc217446105"/>
      <w:bookmarkStart w:id="232" w:name="_Toc208849022"/>
      <w:r>
        <w:rPr>
          <w:rFonts w:hint="eastAsia" w:ascii="仿宋" w:hAnsi="仿宋" w:eastAsia="仿宋" w:cs="仿宋"/>
          <w:bCs w:val="0"/>
          <w:sz w:val="24"/>
          <w:szCs w:val="24"/>
        </w:rPr>
        <w:t>7</w:t>
      </w:r>
      <w:bookmarkEnd w:id="229"/>
      <w:bookmarkEnd w:id="230"/>
      <w:bookmarkEnd w:id="231"/>
      <w:bookmarkEnd w:id="232"/>
      <w:r>
        <w:rPr>
          <w:rFonts w:hint="eastAsia" w:ascii="仿宋" w:hAnsi="仿宋" w:eastAsia="仿宋" w:cs="仿宋"/>
          <w:bCs w:val="0"/>
          <w:sz w:val="24"/>
          <w:szCs w:val="24"/>
        </w:rPr>
        <w:t>.</w:t>
      </w:r>
      <w:r>
        <w:rPr>
          <w:rFonts w:hint="eastAsia" w:ascii="仿宋" w:hAnsi="仿宋" w:eastAsia="仿宋" w:cs="仿宋"/>
          <w:sz w:val="24"/>
          <w:szCs w:val="24"/>
        </w:rPr>
        <w:t>评标专家在</w:t>
      </w:r>
      <w:r>
        <w:rPr>
          <w:rFonts w:hint="eastAsia" w:ascii="仿宋" w:hAnsi="仿宋" w:eastAsia="仿宋" w:cs="仿宋"/>
          <w:sz w:val="24"/>
        </w:rPr>
        <w:t>政府采购活动</w:t>
      </w:r>
      <w:r>
        <w:rPr>
          <w:rFonts w:hint="eastAsia" w:ascii="仿宋" w:hAnsi="仿宋" w:eastAsia="仿宋" w:cs="仿宋"/>
          <w:sz w:val="24"/>
          <w:szCs w:val="24"/>
        </w:rPr>
        <w:t>中承担以下义务：</w:t>
      </w:r>
    </w:p>
    <w:p>
      <w:pPr>
        <w:spacing w:line="400" w:lineRule="exact"/>
        <w:ind w:firstLine="480" w:firstLineChars="200"/>
        <w:rPr>
          <w:rFonts w:ascii="仿宋" w:hAnsi="仿宋" w:eastAsia="仿宋" w:cs="仿宋"/>
          <w:sz w:val="24"/>
        </w:rPr>
      </w:pPr>
      <w:r>
        <w:rPr>
          <w:rFonts w:hint="eastAsia" w:ascii="仿宋" w:hAnsi="仿宋" w:eastAsia="仿宋" w:cs="仿宋"/>
          <w:sz w:val="24"/>
        </w:rPr>
        <w:t xml:space="preserve">7.1、遵守评审工作纪律； </w:t>
      </w:r>
    </w:p>
    <w:p>
      <w:pPr>
        <w:spacing w:line="400" w:lineRule="exact"/>
        <w:ind w:firstLine="480" w:firstLineChars="200"/>
        <w:rPr>
          <w:rFonts w:ascii="仿宋" w:hAnsi="仿宋" w:eastAsia="仿宋" w:cs="仿宋"/>
          <w:sz w:val="24"/>
        </w:rPr>
      </w:pPr>
      <w:r>
        <w:rPr>
          <w:rFonts w:hint="eastAsia" w:ascii="仿宋" w:hAnsi="仿宋" w:eastAsia="仿宋" w:cs="仿宋"/>
          <w:sz w:val="24"/>
        </w:rPr>
        <w:t>7.2、按照客观、公正、审慎的原则，根据采购文件规定的评审程序、评审方法和评审标准进行独立评审；</w:t>
      </w:r>
    </w:p>
    <w:p>
      <w:pPr>
        <w:spacing w:line="400" w:lineRule="exact"/>
        <w:ind w:firstLine="480" w:firstLineChars="200"/>
        <w:rPr>
          <w:rFonts w:ascii="仿宋" w:hAnsi="仿宋" w:eastAsia="仿宋" w:cs="仿宋"/>
          <w:sz w:val="24"/>
        </w:rPr>
      </w:pPr>
      <w:r>
        <w:rPr>
          <w:rFonts w:hint="eastAsia" w:ascii="仿宋" w:hAnsi="仿宋" w:eastAsia="仿宋" w:cs="仿宋"/>
          <w:sz w:val="24"/>
        </w:rPr>
        <w:t>7.3、不得泄露评审文件、评审情况和在评审过程中获悉的商业秘密；</w:t>
      </w:r>
    </w:p>
    <w:p>
      <w:pPr>
        <w:spacing w:line="400" w:lineRule="exact"/>
        <w:ind w:firstLine="480" w:firstLineChars="200"/>
        <w:rPr>
          <w:rFonts w:ascii="仿宋" w:hAnsi="仿宋" w:eastAsia="仿宋" w:cs="仿宋"/>
          <w:sz w:val="24"/>
        </w:rPr>
      </w:pPr>
      <w:r>
        <w:rPr>
          <w:rFonts w:hint="eastAsia" w:ascii="仿宋" w:hAnsi="仿宋" w:eastAsia="仿宋" w:cs="仿宋"/>
          <w:sz w:val="24"/>
        </w:rPr>
        <w:t>7.4、及时向监督部门报告评审过程中采购组织单位向评审专家做倾向性、误导性的解释或者说明，供应商行贿、提供虚假材料或者串通、受到的非法干预情况等违法违规行为；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rFonts w:ascii="仿宋" w:hAnsi="仿宋" w:eastAsia="仿宋" w:cs="仿宋"/>
          <w:sz w:val="24"/>
        </w:rPr>
      </w:pPr>
      <w:r>
        <w:rPr>
          <w:rFonts w:hint="eastAsia" w:ascii="仿宋" w:hAnsi="仿宋" w:eastAsia="仿宋" w:cs="仿宋"/>
          <w:sz w:val="24"/>
        </w:rPr>
        <w:t>7.5、发现采购文件内容违反国家有关强制性规定或者存在歧义、重大缺陷导致评审工作无法进行时，停止评审并向采购组织单位书面说明情况；</w:t>
      </w:r>
    </w:p>
    <w:p>
      <w:pPr>
        <w:spacing w:line="400" w:lineRule="exact"/>
        <w:ind w:firstLine="480" w:firstLineChars="200"/>
        <w:rPr>
          <w:rFonts w:ascii="仿宋" w:hAnsi="仿宋" w:eastAsia="仿宋" w:cs="仿宋"/>
          <w:sz w:val="24"/>
        </w:rPr>
      </w:pPr>
      <w:r>
        <w:rPr>
          <w:rFonts w:hint="eastAsia" w:ascii="仿宋" w:hAnsi="仿宋" w:eastAsia="仿宋" w:cs="仿宋"/>
          <w:sz w:val="24"/>
        </w:rPr>
        <w:t>7.6、配合答复处理供应商的询问、质疑和投诉等事项；</w:t>
      </w:r>
    </w:p>
    <w:p>
      <w:pPr>
        <w:spacing w:line="400" w:lineRule="exact"/>
        <w:ind w:firstLine="480" w:firstLineChars="200"/>
        <w:rPr>
          <w:rFonts w:ascii="仿宋" w:hAnsi="仿宋" w:eastAsia="仿宋" w:cs="仿宋"/>
          <w:sz w:val="24"/>
        </w:rPr>
      </w:pPr>
      <w:r>
        <w:rPr>
          <w:rFonts w:hint="eastAsia" w:ascii="仿宋" w:hAnsi="仿宋" w:eastAsia="仿宋" w:cs="仿宋"/>
          <w:sz w:val="24"/>
        </w:rPr>
        <w:t>7.7、法律、法规和规章规定的其他义务。</w:t>
      </w:r>
    </w:p>
    <w:p>
      <w:pPr>
        <w:pStyle w:val="4"/>
        <w:spacing w:line="400" w:lineRule="exact"/>
        <w:ind w:firstLine="482" w:firstLineChars="200"/>
        <w:rPr>
          <w:rFonts w:ascii="仿宋" w:hAnsi="仿宋" w:eastAsia="仿宋" w:cs="仿宋"/>
          <w:bCs w:val="0"/>
          <w:sz w:val="24"/>
          <w:szCs w:val="24"/>
        </w:rPr>
      </w:pPr>
      <w:r>
        <w:rPr>
          <w:rFonts w:hint="eastAsia" w:ascii="仿宋" w:hAnsi="仿宋" w:eastAsia="仿宋" w:cs="仿宋"/>
          <w:bCs w:val="0"/>
          <w:sz w:val="24"/>
          <w:szCs w:val="24"/>
        </w:rPr>
        <w:t>8.评标专家在政府采购活动中应当遵守以下工作纪律：</w:t>
      </w:r>
    </w:p>
    <w:p>
      <w:pPr>
        <w:spacing w:line="400" w:lineRule="exact"/>
        <w:ind w:firstLine="480" w:firstLineChars="200"/>
        <w:rPr>
          <w:rFonts w:ascii="仿宋" w:hAnsi="仿宋" w:eastAsia="仿宋" w:cs="仿宋"/>
          <w:sz w:val="24"/>
        </w:rPr>
      </w:pPr>
      <w:r>
        <w:rPr>
          <w:rFonts w:hint="eastAsia" w:ascii="仿宋" w:hAnsi="仿宋" w:eastAsia="仿宋" w:cs="仿宋"/>
          <w:sz w:val="24"/>
        </w:rPr>
        <w:t>8.1、遵行《政府采购法》第十二条和《政府采购法实施条例》第九条及财政部关于回避的规定。</w:t>
      </w:r>
    </w:p>
    <w:p>
      <w:pPr>
        <w:spacing w:line="400" w:lineRule="exact"/>
        <w:ind w:firstLine="480" w:firstLineChars="200"/>
        <w:rPr>
          <w:rFonts w:ascii="仿宋" w:hAnsi="仿宋" w:eastAsia="仿宋" w:cs="仿宋"/>
          <w:sz w:val="24"/>
        </w:rPr>
      </w:pPr>
      <w:r>
        <w:rPr>
          <w:rFonts w:hint="eastAsia" w:ascii="仿宋" w:hAnsi="仿宋" w:eastAsia="仿宋" w:cs="仿宋"/>
          <w:sz w:val="24"/>
        </w:rPr>
        <w:t>8.2、评标前，应当将通讯工具或者相关电子设备交由招标采购单位统一保管。</w:t>
      </w:r>
    </w:p>
    <w:p>
      <w:pPr>
        <w:spacing w:line="400" w:lineRule="exact"/>
        <w:ind w:firstLine="480" w:firstLineChars="200"/>
        <w:rPr>
          <w:rFonts w:ascii="仿宋" w:hAnsi="仿宋" w:eastAsia="仿宋" w:cs="仿宋"/>
          <w:sz w:val="24"/>
        </w:rPr>
      </w:pPr>
      <w:r>
        <w:rPr>
          <w:rFonts w:hint="eastAsia" w:ascii="仿宋" w:hAnsi="仿宋" w:eastAsia="仿宋" w:cs="仿宋"/>
          <w:sz w:val="24"/>
        </w:rPr>
        <w:t>8.3、评标过程中，不得与外界联系，因发生不可预见情况，确实需要与外界联系的，应当在监督人员监督之下办理。</w:t>
      </w:r>
    </w:p>
    <w:p>
      <w:pPr>
        <w:spacing w:line="400" w:lineRule="exact"/>
        <w:ind w:firstLine="480" w:firstLineChars="200"/>
        <w:rPr>
          <w:rFonts w:ascii="仿宋" w:hAnsi="仿宋" w:eastAsia="仿宋" w:cs="仿宋"/>
          <w:sz w:val="24"/>
        </w:rPr>
      </w:pPr>
      <w:r>
        <w:rPr>
          <w:rFonts w:hint="eastAsia" w:ascii="仿宋" w:hAnsi="仿宋" w:eastAsia="仿宋" w:cs="仿宋"/>
          <w:sz w:val="24"/>
        </w:rPr>
        <w:t>8.4、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eastAsia="仿宋" w:cs="仿宋"/>
          <w:sz w:val="24"/>
        </w:rPr>
      </w:pPr>
      <w:r>
        <w:rPr>
          <w:rFonts w:hint="eastAsia" w:ascii="仿宋" w:hAnsi="仿宋" w:eastAsia="仿宋" w:cs="仿宋"/>
          <w:sz w:val="24"/>
        </w:rPr>
        <w:t>8.5、在评标过程中和评标结束后，不得记录、复制或带走任何评标资料，除因规定的义务外，不得向外界透露评标内容。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cs="仿宋"/>
          <w:sz w:val="24"/>
        </w:rPr>
      </w:pPr>
      <w:r>
        <w:rPr>
          <w:rFonts w:hint="eastAsia" w:ascii="仿宋" w:hAnsi="仿宋" w:eastAsia="仿宋" w:cs="仿宋"/>
          <w:sz w:val="24"/>
        </w:rPr>
        <w:t>8.6、服从评标现场招标采购单位的现场秩序管理，接受评标现场监督人员的合法监督。</w:t>
      </w:r>
    </w:p>
    <w:p>
      <w:pPr>
        <w:spacing w:line="400" w:lineRule="exact"/>
        <w:ind w:firstLine="480" w:firstLineChars="200"/>
        <w:rPr>
          <w:rFonts w:ascii="仿宋" w:hAnsi="仿宋" w:eastAsia="仿宋" w:cs="仿宋"/>
          <w:sz w:val="24"/>
        </w:rPr>
      </w:pPr>
      <w:r>
        <w:rPr>
          <w:rFonts w:hint="eastAsia" w:ascii="仿宋" w:hAnsi="仿宋" w:eastAsia="仿宋" w:cs="仿宋"/>
          <w:sz w:val="24"/>
        </w:rPr>
        <w:t>8.7、遵守有关廉洁自律规定，不得私下接触供应商，不得收受供应商及有关业务单位和个人的财物或好处，不得接受采购组织单位的请托。</w:t>
      </w:r>
    </w:p>
    <w:p>
      <w:pPr>
        <w:pStyle w:val="3"/>
        <w:spacing w:line="400" w:lineRule="exact"/>
        <w:jc w:val="center"/>
        <w:rPr>
          <w:rFonts w:ascii="仿宋" w:hAnsi="仿宋" w:eastAsia="仿宋" w:cs="仿宋"/>
          <w:sz w:val="36"/>
          <w:szCs w:val="36"/>
        </w:rPr>
      </w:pPr>
      <w:bookmarkStart w:id="233" w:name="_Toc23042"/>
      <w:r>
        <w:rPr>
          <w:rFonts w:hint="eastAsia" w:ascii="仿宋" w:hAnsi="仿宋" w:eastAsia="仿宋" w:cs="仿宋"/>
          <w:sz w:val="36"/>
          <w:szCs w:val="36"/>
        </w:rPr>
        <w:br w:type="page"/>
      </w:r>
      <w:bookmarkStart w:id="234" w:name="_Toc24443"/>
      <w:r>
        <w:rPr>
          <w:rFonts w:hint="eastAsia" w:ascii="仿宋" w:hAnsi="仿宋" w:eastAsia="仿宋" w:cs="仿宋"/>
          <w:sz w:val="36"/>
          <w:szCs w:val="36"/>
        </w:rPr>
        <w:t>第八章  政府</w:t>
      </w:r>
      <w:bookmarkEnd w:id="233"/>
      <w:bookmarkEnd w:id="234"/>
      <w:r>
        <w:rPr>
          <w:rFonts w:hint="eastAsia" w:ascii="仿宋" w:hAnsi="仿宋" w:eastAsia="仿宋" w:cs="仿宋"/>
          <w:sz w:val="36"/>
          <w:szCs w:val="36"/>
        </w:rPr>
        <w:t>采购合同（范本）</w:t>
      </w:r>
    </w:p>
    <w:p>
      <w:pPr>
        <w:spacing w:line="400" w:lineRule="exact"/>
        <w:rPr>
          <w:rFonts w:ascii="仿宋" w:hAnsi="仿宋" w:eastAsia="仿宋" w:cs="仿宋"/>
        </w:rPr>
      </w:pPr>
    </w:p>
    <w:p>
      <w:pPr>
        <w:spacing w:line="560" w:lineRule="exact"/>
        <w:jc w:val="center"/>
        <w:rPr>
          <w:rFonts w:ascii="方正小标宋简体" w:hAnsi="黑体" w:eastAsia="方正小标宋简体" w:cs="黑体"/>
          <w:bCs/>
          <w:sz w:val="44"/>
          <w:szCs w:val="44"/>
        </w:rPr>
      </w:pPr>
      <w:r>
        <w:rPr>
          <w:rFonts w:hint="eastAsia" w:ascii="仿宋" w:hAnsi="仿宋" w:eastAsia="仿宋" w:cs="仿宋"/>
          <w:b/>
          <w:sz w:val="30"/>
          <w:szCs w:val="30"/>
        </w:rPr>
        <w:t>双流区生活垃圾压缩站渗滤液及冲洗废水无害化处理服务项目合同（模板）</w:t>
      </w:r>
    </w:p>
    <w:p>
      <w:pPr>
        <w:spacing w:line="560" w:lineRule="exact"/>
        <w:ind w:firstLine="480" w:firstLineChars="200"/>
        <w:rPr>
          <w:rFonts w:hAnsi="宋体"/>
          <w:sz w:val="24"/>
        </w:rPr>
      </w:pPr>
    </w:p>
    <w:p>
      <w:pPr>
        <w:spacing w:after="0" w:line="440" w:lineRule="exact"/>
        <w:rPr>
          <w:rFonts w:ascii="仿宋" w:hAnsi="仿宋" w:eastAsia="仿宋" w:cs="仿宋"/>
          <w:bCs/>
          <w:sz w:val="24"/>
        </w:rPr>
      </w:pPr>
      <w:r>
        <w:rPr>
          <w:rFonts w:hint="eastAsia" w:ascii="仿宋" w:hAnsi="仿宋" w:eastAsia="仿宋" w:cs="仿宋"/>
          <w:sz w:val="24"/>
        </w:rPr>
        <w:t>合同编号：</w:t>
      </w:r>
    </w:p>
    <w:p>
      <w:pPr>
        <w:tabs>
          <w:tab w:val="left" w:pos="0"/>
        </w:tabs>
        <w:spacing w:after="0" w:line="440" w:lineRule="exact"/>
        <w:rPr>
          <w:rFonts w:ascii="仿宋" w:hAnsi="仿宋" w:eastAsia="仿宋" w:cs="仿宋"/>
          <w:bCs/>
          <w:sz w:val="24"/>
        </w:rPr>
      </w:pPr>
      <w:r>
        <w:rPr>
          <w:rFonts w:hint="eastAsia" w:ascii="仿宋" w:hAnsi="仿宋" w:eastAsia="仿宋" w:cs="仿宋"/>
          <w:sz w:val="24"/>
        </w:rPr>
        <w:t>甲方：</w:t>
      </w:r>
    </w:p>
    <w:p>
      <w:pPr>
        <w:spacing w:after="0" w:line="440" w:lineRule="exact"/>
        <w:rPr>
          <w:rFonts w:ascii="仿宋" w:hAnsi="仿宋" w:eastAsia="仿宋" w:cs="仿宋"/>
          <w:sz w:val="24"/>
        </w:rPr>
      </w:pPr>
      <w:r>
        <w:rPr>
          <w:rFonts w:hint="eastAsia" w:ascii="仿宋" w:hAnsi="仿宋" w:eastAsia="仿宋" w:cs="仿宋"/>
          <w:sz w:val="24"/>
        </w:rPr>
        <w:t>乙方：</w:t>
      </w:r>
    </w:p>
    <w:p>
      <w:pPr>
        <w:spacing w:after="0" w:line="440" w:lineRule="exact"/>
        <w:ind w:firstLine="480" w:firstLineChars="200"/>
        <w:rPr>
          <w:rFonts w:ascii="仿宋" w:hAnsi="仿宋" w:eastAsia="仿宋" w:cs="仿宋"/>
          <w:sz w:val="24"/>
        </w:rPr>
      </w:pPr>
    </w:p>
    <w:p>
      <w:pPr>
        <w:widowControl/>
        <w:spacing w:after="0" w:line="440" w:lineRule="exact"/>
        <w:ind w:firstLine="480" w:firstLineChars="200"/>
        <w:jc w:val="left"/>
        <w:rPr>
          <w:rFonts w:ascii="仿宋" w:hAnsi="仿宋" w:eastAsia="仿宋" w:cs="仿宋"/>
          <w:sz w:val="24"/>
        </w:rPr>
      </w:pPr>
      <w:r>
        <w:rPr>
          <w:rFonts w:hint="eastAsia" w:ascii="仿宋" w:hAnsi="仿宋" w:eastAsia="仿宋" w:cs="仿宋"/>
          <w:sz w:val="24"/>
        </w:rPr>
        <w:t>根据《中华人民共和国政府采购法》、《中华人民共和国民法典》及采购项目（项目编号：      ）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tabs>
          <w:tab w:val="left" w:pos="1521"/>
        </w:tabs>
        <w:spacing w:after="0" w:line="440" w:lineRule="exact"/>
        <w:ind w:firstLine="472" w:firstLineChars="196"/>
        <w:rPr>
          <w:rFonts w:ascii="仿宋" w:hAnsi="仿宋" w:eastAsia="仿宋" w:cs="仿宋"/>
          <w:sz w:val="24"/>
        </w:rPr>
      </w:pPr>
      <w:r>
        <w:rPr>
          <w:rFonts w:hint="eastAsia" w:ascii="仿宋" w:hAnsi="仿宋" w:eastAsia="仿宋" w:cs="仿宋"/>
          <w:b/>
          <w:bCs/>
          <w:sz w:val="24"/>
        </w:rPr>
        <w:t>一、项目基本情况</w:t>
      </w:r>
    </w:p>
    <w:p>
      <w:pPr>
        <w:widowControl/>
        <w:spacing w:after="0" w:line="440" w:lineRule="exact"/>
        <w:ind w:firstLine="480" w:firstLineChars="200"/>
        <w:jc w:val="left"/>
        <w:rPr>
          <w:rFonts w:ascii="仿宋" w:hAnsi="仿宋" w:eastAsia="仿宋" w:cs="仿宋"/>
          <w:sz w:val="24"/>
        </w:rPr>
      </w:pPr>
      <w:r>
        <w:rPr>
          <w:rFonts w:hint="eastAsia" w:ascii="仿宋" w:hAnsi="仿宋" w:eastAsia="仿宋" w:cs="仿宋"/>
          <w:sz w:val="24"/>
        </w:rPr>
        <w:t>项目地点：东升和西航港生活垃圾压缩站。</w:t>
      </w:r>
    </w:p>
    <w:p>
      <w:pPr>
        <w:spacing w:after="0" w:line="440" w:lineRule="exact"/>
        <w:ind w:firstLine="480" w:firstLineChars="200"/>
        <w:rPr>
          <w:rFonts w:ascii="仿宋" w:hAnsi="仿宋" w:eastAsia="仿宋" w:cs="仿宋"/>
          <w:spacing w:val="-4"/>
          <w:sz w:val="24"/>
        </w:rPr>
      </w:pPr>
      <w:r>
        <w:rPr>
          <w:rFonts w:hint="eastAsia" w:ascii="仿宋" w:hAnsi="仿宋" w:eastAsia="仿宋" w:cs="仿宋"/>
          <w:sz w:val="24"/>
        </w:rPr>
        <w:t>项目内容：</w:t>
      </w:r>
      <w:r>
        <w:rPr>
          <w:rFonts w:hint="eastAsia" w:ascii="仿宋" w:hAnsi="仿宋" w:eastAsia="仿宋" w:cs="仿宋"/>
          <w:kern w:val="0"/>
          <w:sz w:val="24"/>
        </w:rPr>
        <w:t>本项目为成都市双流区东升和西航港垃圾压缩站（地址：黄水镇云华社区三组160号/成都市双流区协和街道办事处）各设计一套垃圾渗滤液及冲洗废水处理方案并实施，完成双流区东升和西航港垃圾压缩站的垃圾渗滤液和冲洗废水处理工作，日最大处理量达到200吨/天，最低处理量120吨/天。</w:t>
      </w:r>
    </w:p>
    <w:p>
      <w:pPr>
        <w:spacing w:after="0" w:line="440" w:lineRule="exact"/>
        <w:ind w:firstLine="466" w:firstLineChars="200"/>
        <w:rPr>
          <w:rFonts w:ascii="仿宋" w:hAnsi="仿宋" w:eastAsia="仿宋" w:cs="仿宋"/>
          <w:sz w:val="24"/>
        </w:rPr>
      </w:pPr>
      <w:r>
        <w:rPr>
          <w:rFonts w:hint="eastAsia" w:ascii="仿宋" w:hAnsi="仿宋" w:eastAsia="仿宋" w:cs="仿宋"/>
          <w:b/>
          <w:bCs/>
          <w:spacing w:val="-4"/>
          <w:sz w:val="24"/>
        </w:rPr>
        <w:t>二、</w:t>
      </w:r>
      <w:r>
        <w:rPr>
          <w:rFonts w:hint="eastAsia" w:ascii="仿宋" w:hAnsi="仿宋" w:eastAsia="仿宋" w:cs="仿宋"/>
          <w:b/>
          <w:bCs/>
          <w:sz w:val="24"/>
        </w:rPr>
        <w:t>合同期限</w:t>
      </w:r>
    </w:p>
    <w:p>
      <w:pPr>
        <w:spacing w:after="0" w:line="440" w:lineRule="exact"/>
        <w:ind w:firstLine="480" w:firstLineChars="200"/>
        <w:jc w:val="left"/>
        <w:rPr>
          <w:rFonts w:ascii="仿宋" w:hAnsi="仿宋" w:eastAsia="仿宋" w:cs="仿宋"/>
          <w:sz w:val="24"/>
        </w:rPr>
      </w:pPr>
      <w:r>
        <w:rPr>
          <w:rFonts w:hint="eastAsia" w:ascii="仿宋" w:hAnsi="仿宋" w:eastAsia="仿宋" w:cs="仿宋"/>
          <w:kern w:val="0"/>
          <w:sz w:val="24"/>
        </w:rPr>
        <w:t>中标人应在合同签订并接到入场通知书的</w:t>
      </w:r>
      <w:r>
        <w:rPr>
          <w:rFonts w:hint="eastAsia" w:ascii="仿宋" w:hAnsi="仿宋" w:eastAsia="仿宋" w:cs="仿宋"/>
          <w:kern w:val="0"/>
          <w:sz w:val="24"/>
          <w:u w:val="single"/>
        </w:rPr>
        <w:t>60</w:t>
      </w:r>
      <w:r>
        <w:rPr>
          <w:rFonts w:hint="eastAsia" w:ascii="仿宋" w:hAnsi="仿宋" w:eastAsia="仿宋" w:cs="仿宋"/>
          <w:kern w:val="0"/>
          <w:sz w:val="24"/>
        </w:rPr>
        <w:t>日内完成垃圾渗滤液处理方案的设计与项目的具体实施，项目运营服务期,从完成垃圾渗滤液处理方案的设计与项目建设之日起(以双方确认开始运营服务期为准)。</w:t>
      </w:r>
    </w:p>
    <w:p>
      <w:pPr>
        <w:spacing w:after="0" w:line="440" w:lineRule="exact"/>
        <w:ind w:firstLine="480" w:firstLineChars="200"/>
        <w:jc w:val="left"/>
        <w:rPr>
          <w:rFonts w:ascii="仿宋" w:hAnsi="仿宋" w:eastAsia="仿宋" w:cs="仿宋"/>
          <w:sz w:val="24"/>
        </w:rPr>
      </w:pPr>
      <w:bookmarkStart w:id="235" w:name="_Toc237145406"/>
      <w:bookmarkStart w:id="236" w:name="_Toc211911348"/>
      <w:bookmarkStart w:id="237" w:name="_Toc211854449"/>
      <w:bookmarkStart w:id="238" w:name="_Toc212019594"/>
      <w:bookmarkStart w:id="239" w:name="_Toc239568418"/>
      <w:bookmarkStart w:id="240" w:name="_Toc282696226"/>
      <w:bookmarkStart w:id="241" w:name="_Toc251768862"/>
      <w:bookmarkStart w:id="242" w:name="_Toc239233914"/>
      <w:bookmarkStart w:id="243" w:name="_Toc238984975"/>
      <w:bookmarkStart w:id="244" w:name="_Toc185395249"/>
      <w:bookmarkStart w:id="245" w:name="_Toc286993786"/>
      <w:bookmarkStart w:id="246" w:name="_Toc283019214"/>
      <w:bookmarkStart w:id="247" w:name="_Toc241833903"/>
      <w:bookmarkStart w:id="248" w:name="_Toc225670751"/>
      <w:bookmarkStart w:id="249" w:name="_Toc225244852"/>
      <w:bookmarkStart w:id="250" w:name="_Toc232492928"/>
      <w:bookmarkStart w:id="251" w:name="_Toc225654644"/>
      <w:bookmarkStart w:id="252" w:name="_Toc247334841"/>
      <w:r>
        <w:rPr>
          <w:rFonts w:hint="eastAsia" w:ascii="仿宋" w:hAnsi="仿宋" w:eastAsia="仿宋" w:cs="仿宋"/>
          <w:kern w:val="0"/>
          <w:sz w:val="24"/>
        </w:rPr>
        <w:t>项目运营服务期：3年</w:t>
      </w:r>
      <w:r>
        <w:rPr>
          <w:rFonts w:hint="eastAsia" w:ascii="仿宋" w:hAnsi="仿宋" w:eastAsia="仿宋" w:cs="仿宋"/>
          <w:sz w:val="24"/>
        </w:rPr>
        <w:t>，合同每年一签，第一年合同期满，供应商无违约情况，双方可续签第二年合同，第二年合同期满后供应商无违约情况，双方可续签第三年合同。</w:t>
      </w:r>
    </w:p>
    <w:p>
      <w:pPr>
        <w:spacing w:after="0" w:line="440" w:lineRule="exact"/>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highlight w:val="none"/>
        </w:rPr>
        <w:t>.本项目服务期限</w:t>
      </w:r>
      <w:r>
        <w:rPr>
          <w:rFonts w:hint="eastAsia" w:ascii="仿宋" w:hAnsi="仿宋" w:eastAsia="仿宋" w:cs="仿宋"/>
          <w:sz w:val="24"/>
        </w:rPr>
        <w:t>为2021年  月  日至2024年  月  日。</w:t>
      </w:r>
    </w:p>
    <w:p>
      <w:pPr>
        <w:spacing w:after="0" w:line="440" w:lineRule="exact"/>
        <w:ind w:firstLine="480" w:firstLineChars="200"/>
        <w:jc w:val="left"/>
        <w:rPr>
          <w:rFonts w:ascii="仿宋" w:hAnsi="仿宋" w:eastAsia="仿宋" w:cs="仿宋"/>
          <w:sz w:val="24"/>
        </w:rPr>
      </w:pPr>
      <w:r>
        <w:rPr>
          <w:rFonts w:hint="eastAsia" w:ascii="仿宋" w:hAnsi="仿宋" w:eastAsia="仿宋" w:cs="仿宋"/>
          <w:sz w:val="24"/>
        </w:rPr>
        <w:t>2.本合同有效期自2021年  月  日至2022年  月  日止。</w:t>
      </w:r>
    </w:p>
    <w:p>
      <w:pPr>
        <w:pStyle w:val="35"/>
        <w:spacing w:after="0" w:line="440" w:lineRule="exact"/>
        <w:ind w:firstLine="480"/>
        <w:rPr>
          <w:rFonts w:ascii="仿宋" w:hAnsi="仿宋" w:eastAsia="仿宋" w:cs="仿宋"/>
          <w:szCs w:val="24"/>
        </w:rPr>
      </w:pPr>
      <w:r>
        <w:rPr>
          <w:rFonts w:hint="eastAsia" w:ascii="仿宋" w:hAnsi="仿宋" w:eastAsia="仿宋" w:cs="仿宋"/>
          <w:szCs w:val="24"/>
        </w:rPr>
        <w:t>3.</w:t>
      </w:r>
      <w:r>
        <w:rPr>
          <w:rFonts w:hint="eastAsia" w:ascii="仿宋" w:hAnsi="仿宋" w:eastAsia="仿宋" w:cs="仿宋"/>
          <w:kern w:val="0"/>
          <w:szCs w:val="24"/>
        </w:rPr>
        <w:t>项目运营服务期届满之后，甲方项目尚未与第三方签订运营服务合同,甲方如继续要求乙方提供运营服务,可按照《中华人民共和国政府采购法》第四十九条“政府采购合同履行中，采购人需追加与合同标的相同的货物、工程或者服务的，在不改变合同其他条款的前提下，可以与供应商协商签订补充合同，但所有补充合同的采购金额不得超过原合同采购金额的百分之十”执行，服务期间按照本合同约定标准执行。</w:t>
      </w:r>
    </w:p>
    <w:p>
      <w:pPr>
        <w:spacing w:after="0" w:line="440" w:lineRule="exact"/>
        <w:ind w:firstLine="472" w:firstLineChars="196"/>
        <w:rPr>
          <w:rFonts w:ascii="仿宋" w:hAnsi="仿宋" w:eastAsia="仿宋" w:cs="仿宋"/>
          <w:sz w:val="24"/>
        </w:rPr>
      </w:pPr>
      <w:r>
        <w:rPr>
          <w:rFonts w:hint="eastAsia" w:ascii="仿宋" w:hAnsi="仿宋" w:eastAsia="仿宋" w:cs="仿宋"/>
          <w:b/>
          <w:bCs/>
          <w:sz w:val="24"/>
        </w:rPr>
        <w:t>三、服务内容与质量标准</w:t>
      </w:r>
    </w:p>
    <w:p>
      <w:pPr>
        <w:spacing w:after="0" w:line="440" w:lineRule="exact"/>
        <w:ind w:firstLine="480" w:firstLineChars="200"/>
        <w:jc w:val="left"/>
        <w:rPr>
          <w:rFonts w:ascii="仿宋" w:hAnsi="仿宋" w:eastAsia="仿宋" w:cs="仿宋"/>
          <w:sz w:val="24"/>
        </w:rPr>
      </w:pPr>
      <w:r>
        <w:rPr>
          <w:rFonts w:hint="eastAsia" w:ascii="仿宋" w:hAnsi="仿宋" w:eastAsia="仿宋" w:cs="仿宋"/>
          <w:sz w:val="24"/>
        </w:rPr>
        <w:t>1、东升垃圾压缩站垃圾渗滤液及冲洗废水处理项目</w:t>
      </w:r>
    </w:p>
    <w:p>
      <w:pPr>
        <w:spacing w:after="0" w:line="440" w:lineRule="exact"/>
        <w:ind w:firstLine="480" w:firstLineChars="200"/>
        <w:jc w:val="left"/>
        <w:rPr>
          <w:rFonts w:ascii="仿宋" w:hAnsi="仿宋" w:eastAsia="仿宋" w:cs="仿宋"/>
          <w:sz w:val="24"/>
        </w:rPr>
      </w:pPr>
      <w:r>
        <w:rPr>
          <w:rFonts w:hint="eastAsia" w:ascii="仿宋" w:hAnsi="仿宋" w:eastAsia="仿宋" w:cs="仿宋"/>
          <w:sz w:val="24"/>
        </w:rPr>
        <w:t>全面负责东升污水处理站的建设及运营管理工作，工作范围从隔油沉砂池起，到渗滤液达标排放口为止（包含将处理达标的污水运往西航港垃圾压缩站排放入市政污水管网），出水达到《污水综合排放标准》（GB8978-1996）三级排放标准、《污水排入城镇下水道水质标准》（GB/T31962-2015）和《成都市环境保护局关于垃圾转运站垃圾渗滤液与冲洗废水处理有关意见的复函》中关于重金属指标的排放标准。全年按照365天计，每月计划1天对设备进行在线维护保养，设备停机大修每年计划用时最多3天，所以年有效运行时间不得低于362天。停机期间，必须负责项目污水的应急处理，不得未经处理排放进市政污水管网。工作范围包括但不限于设施设备建设、日常维修保养、日常化验和按环评规定委托第三方全水质对比化验、清洁卫生费、外加碳源采购、药剂采购、设备大修、污泥处置、MBR膜的维护清洗、调节池清理、污水密闭清运、在线监测等所有与处理站有关各项工作。</w:t>
      </w:r>
    </w:p>
    <w:p>
      <w:pPr>
        <w:spacing w:after="0" w:line="440" w:lineRule="exact"/>
        <w:ind w:firstLine="480" w:firstLineChars="200"/>
        <w:jc w:val="left"/>
        <w:rPr>
          <w:rFonts w:ascii="仿宋" w:hAnsi="仿宋" w:eastAsia="仿宋" w:cs="仿宋"/>
          <w:sz w:val="24"/>
        </w:rPr>
      </w:pPr>
      <w:r>
        <w:rPr>
          <w:rFonts w:hint="eastAsia" w:ascii="仿宋" w:hAnsi="仿宋" w:eastAsia="仿宋" w:cs="仿宋"/>
          <w:sz w:val="24"/>
        </w:rPr>
        <w:t>2、西航港垃圾压缩站垃圾渗滤液及冲洗废水处理项目</w:t>
      </w:r>
    </w:p>
    <w:p>
      <w:pPr>
        <w:pStyle w:val="2"/>
        <w:spacing w:after="0" w:line="440" w:lineRule="exact"/>
        <w:ind w:firstLine="480" w:firstLineChars="200"/>
        <w:jc w:val="left"/>
        <w:rPr>
          <w:rFonts w:ascii="仿宋" w:hAnsi="仿宋" w:eastAsia="仿宋" w:cs="仿宋"/>
          <w:sz w:val="24"/>
        </w:rPr>
      </w:pPr>
      <w:r>
        <w:rPr>
          <w:rFonts w:hint="eastAsia" w:ascii="仿宋" w:hAnsi="仿宋" w:eastAsia="仿宋" w:cs="仿宋"/>
          <w:sz w:val="24"/>
        </w:rPr>
        <w:t>全面负责西航港污水处理站的建设及运营管理工作，工作范围从隔油沉砂池起，到渗滤液达标排放口为止，出水达到《污水综合排放标准》（GB8978-1996）三级排放标准、《污水排入城镇下水道水质标准》（GB/T31962-2015）和《成都市环境保护局关于垃圾转运站垃圾渗滤液与冲洗废水处理有关意见的复函》中关于重金属指标的排放标准。同时每天清运一车胜利填埋场的渗滤液到西航港垃圾压缩站进行无害化处理。全年按照365天计，每月计划1天对设备进行在线维护保养，设备停机大修每年计划用时最多3天，所以年有效运行时间不得低于362天。停机期间，必须负责项目污水的应急处理，不得未经处理排放进市政污水管网。工作范围包括但不限于设施设备建设、日常维修保养、日常化验和按环评规定委托第三方全水质对比化验、清洁卫生费、外加碳源采购、药剂采购、设备大修、污泥处置、MBR膜的维护清洗、调节池清理、污水清运、在线监测等所有与处理站有关各项工作。</w:t>
      </w:r>
    </w:p>
    <w:p>
      <w:pPr>
        <w:pStyle w:val="2"/>
        <w:spacing w:after="0" w:line="440" w:lineRule="exact"/>
        <w:ind w:firstLine="480" w:firstLineChars="200"/>
        <w:jc w:val="left"/>
        <w:rPr>
          <w:rFonts w:ascii="仿宋" w:hAnsi="仿宋" w:eastAsia="仿宋" w:cs="仿宋"/>
          <w:sz w:val="24"/>
        </w:rPr>
      </w:pPr>
      <w:r>
        <w:rPr>
          <w:rFonts w:hint="eastAsia" w:ascii="仿宋" w:hAnsi="仿宋" w:eastAsia="仿宋" w:cs="仿宋"/>
          <w:sz w:val="24"/>
        </w:rPr>
        <w:t>3、服务标准</w:t>
      </w:r>
    </w:p>
    <w:p>
      <w:pPr>
        <w:pStyle w:val="2"/>
        <w:spacing w:after="0"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中标公司负责渗滤液处理系统的达标排放，保证各出水指标达标运行，其排水水质执行《污水综合排放标准》（GB8978-1996）三级排放标准、《污水排入城镇下水道水质标准》（GB/T31962-2015）和《成都市环境保护局关于垃圾转运站垃圾渗滤液与冲洗废水处理有关意见的复函》中关于重金属指标的排放标准。</w:t>
      </w:r>
    </w:p>
    <w:p>
      <w:pPr>
        <w:spacing w:after="0" w:line="440" w:lineRule="exact"/>
        <w:rPr>
          <w:rFonts w:ascii="仿宋" w:hAnsi="仿宋" w:eastAsia="仿宋" w:cs="仿宋"/>
          <w:sz w:val="24"/>
          <w:highlight w:val="none"/>
        </w:rPr>
      </w:pPr>
      <w:r>
        <w:rPr>
          <w:rFonts w:hint="eastAsia" w:ascii="仿宋" w:hAnsi="仿宋" w:eastAsia="仿宋" w:cs="仿宋"/>
          <w:b/>
          <w:bCs/>
          <w:sz w:val="24"/>
          <w:highlight w:val="none"/>
        </w:rPr>
        <w:t xml:space="preserve">    四、服务费用及支付方式</w:t>
      </w:r>
    </w:p>
    <w:p>
      <w:pPr>
        <w:spacing w:after="0" w:line="440" w:lineRule="exact"/>
        <w:ind w:firstLine="470" w:firstLineChars="196"/>
        <w:rPr>
          <w:rFonts w:ascii="仿宋" w:hAnsi="仿宋" w:eastAsia="仿宋" w:cs="仿宋"/>
          <w:b/>
          <w:sz w:val="24"/>
          <w:highlight w:val="none"/>
        </w:rPr>
      </w:pPr>
      <w:r>
        <w:rPr>
          <w:rFonts w:hint="eastAsia" w:ascii="仿宋" w:hAnsi="仿宋" w:eastAsia="仿宋" w:cs="仿宋"/>
          <w:sz w:val="24"/>
          <w:highlight w:val="none"/>
        </w:rPr>
        <w:t>（一）本项目服务费用：</w:t>
      </w:r>
    </w:p>
    <w:p>
      <w:pPr>
        <w:widowControl/>
        <w:adjustRightInd w:val="0"/>
        <w:snapToGrid w:val="0"/>
        <w:spacing w:after="0" w:line="440" w:lineRule="exact"/>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1、乙方按本合同约定及甲方要求完成提供污水处理服务后，甲方负责按期足额支付给乙方污水处理服务费。</w:t>
      </w:r>
    </w:p>
    <w:p>
      <w:pPr>
        <w:widowControl/>
        <w:adjustRightInd w:val="0"/>
        <w:snapToGrid w:val="0"/>
        <w:spacing w:after="0" w:line="440" w:lineRule="exact"/>
        <w:jc w:val="left"/>
        <w:rPr>
          <w:rFonts w:ascii="仿宋" w:hAnsi="仿宋" w:eastAsia="仿宋" w:cs="仿宋"/>
          <w:kern w:val="0"/>
          <w:sz w:val="24"/>
          <w:highlight w:val="none"/>
        </w:rPr>
      </w:pPr>
      <w:r>
        <w:rPr>
          <w:rFonts w:hint="eastAsia" w:ascii="仿宋" w:hAnsi="仿宋" w:eastAsia="仿宋" w:cs="仿宋"/>
          <w:kern w:val="0"/>
          <w:sz w:val="24"/>
          <w:highlight w:val="none"/>
        </w:rPr>
        <w:t xml:space="preserve">    2、污水处理服务价格：垃圾中转压缩站垃圾压缩渗滤液处理服务价格为元/吨。</w:t>
      </w:r>
    </w:p>
    <w:p>
      <w:pPr>
        <w:widowControl/>
        <w:adjustRightInd w:val="0"/>
        <w:snapToGrid w:val="0"/>
        <w:spacing w:after="0" w:line="440" w:lineRule="exact"/>
        <w:ind w:firstLine="434" w:firstLineChars="181"/>
        <w:jc w:val="left"/>
        <w:rPr>
          <w:rFonts w:ascii="仿宋" w:hAnsi="仿宋" w:eastAsia="仿宋" w:cs="仿宋"/>
          <w:kern w:val="0"/>
          <w:sz w:val="24"/>
        </w:rPr>
      </w:pPr>
      <w:r>
        <w:rPr>
          <w:rFonts w:hint="eastAsia" w:ascii="仿宋" w:hAnsi="仿宋" w:eastAsia="仿宋" w:cs="仿宋"/>
          <w:kern w:val="0"/>
          <w:sz w:val="24"/>
          <w:highlight w:val="none"/>
        </w:rPr>
        <w:t>上述单价应是完成本项目所有费用，包括但不限于处理设施建设费、设施使用费、水电费、药剂费、污泥处置相关费用、人工</w:t>
      </w:r>
      <w:r>
        <w:rPr>
          <w:rFonts w:hint="eastAsia" w:ascii="仿宋" w:hAnsi="仿宋" w:eastAsia="仿宋" w:cs="仿宋"/>
          <w:kern w:val="0"/>
          <w:sz w:val="24"/>
        </w:rPr>
        <w:t xml:space="preserve">费、劳保费、维护和检修费、污水清运费、在线监测费、运行服务管理费、税金、企业管理费法律法规和招标文件规定的其他费用。 </w:t>
      </w:r>
    </w:p>
    <w:p>
      <w:pPr>
        <w:widowControl/>
        <w:adjustRightInd w:val="0"/>
        <w:snapToGrid w:val="0"/>
        <w:spacing w:after="0" w:line="440" w:lineRule="exact"/>
        <w:ind w:firstLine="560"/>
        <w:jc w:val="left"/>
        <w:rPr>
          <w:rFonts w:ascii="仿宋" w:hAnsi="仿宋" w:eastAsia="仿宋" w:cs="仿宋"/>
          <w:kern w:val="0"/>
          <w:sz w:val="24"/>
        </w:rPr>
      </w:pPr>
      <w:r>
        <w:rPr>
          <w:rFonts w:hint="eastAsia" w:ascii="仿宋" w:hAnsi="仿宋" w:eastAsia="仿宋" w:cs="仿宋"/>
          <w:kern w:val="0"/>
          <w:sz w:val="24"/>
        </w:rPr>
        <w:t>3、污水处理服务保底水量：日均保底量 120吨，日均最高结算量200吨。在每个服务年度周期的最后一个月结算后，以年度结算总量/365日=该年度平均每日处理量，如该年度平均每日处理量低于保底结算量，则按（每日保底结算量-该年度平均每日处理量）*365日*中标单价补至保底结算费用。</w:t>
      </w:r>
    </w:p>
    <w:p>
      <w:pPr>
        <w:widowControl/>
        <w:adjustRightInd w:val="0"/>
        <w:snapToGrid w:val="0"/>
        <w:spacing w:after="0"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4、污水处理量计量：甲乙双方约定在处理设施出水管道上必须安装经专业鉴定机构校验后的电磁流量计对污水处理水量进行计量，计量采用每日共同抄表，按月汇总，由双方授权的经办人员共同签字确认，作为后续支付污水处理服务费的依据。</w:t>
      </w:r>
    </w:p>
    <w:p>
      <w:pPr>
        <w:widowControl/>
        <w:adjustRightInd w:val="0"/>
        <w:snapToGrid w:val="0"/>
        <w:spacing w:after="0"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5、服务费计算公式：</w:t>
      </w:r>
    </w:p>
    <w:p>
      <w:pPr>
        <w:widowControl/>
        <w:spacing w:after="0" w:line="440" w:lineRule="exact"/>
        <w:ind w:firstLine="480" w:firstLineChars="200"/>
        <w:jc w:val="left"/>
        <w:rPr>
          <w:rFonts w:ascii="仿宋" w:hAnsi="仿宋" w:eastAsia="仿宋" w:cs="仿宋"/>
          <w:sz w:val="24"/>
        </w:rPr>
      </w:pPr>
      <w:r>
        <w:rPr>
          <w:rFonts w:hint="eastAsia" w:ascii="仿宋" w:hAnsi="仿宋" w:eastAsia="仿宋" w:cs="仿宋"/>
          <w:kern w:val="0"/>
          <w:sz w:val="24"/>
        </w:rPr>
        <w:t>月污水处理服务费=经双方签字确认的污水处理水量×中标单价-经双方签字确认的自来水用水量×中标单价-考核扣款。</w:t>
      </w:r>
    </w:p>
    <w:p>
      <w:pPr>
        <w:tabs>
          <w:tab w:val="left" w:pos="780"/>
        </w:tabs>
        <w:spacing w:after="0" w:line="440" w:lineRule="exact"/>
        <w:ind w:left="567"/>
        <w:rPr>
          <w:rFonts w:ascii="仿宋" w:hAnsi="仿宋" w:eastAsia="仿宋" w:cs="仿宋"/>
          <w:sz w:val="24"/>
        </w:rPr>
      </w:pPr>
      <w:r>
        <w:rPr>
          <w:rFonts w:hint="eastAsia" w:ascii="仿宋" w:hAnsi="仿宋" w:eastAsia="仿宋" w:cs="仿宋"/>
          <w:sz w:val="24"/>
        </w:rPr>
        <w:t>（二）服务费支付时间：</w:t>
      </w:r>
    </w:p>
    <w:p>
      <w:pPr>
        <w:spacing w:after="0" w:line="440" w:lineRule="exact"/>
        <w:ind w:firstLine="480" w:firstLineChars="200"/>
        <w:rPr>
          <w:rFonts w:ascii="仿宋" w:hAnsi="仿宋" w:eastAsia="仿宋" w:cs="仿宋"/>
          <w:sz w:val="24"/>
        </w:rPr>
      </w:pPr>
      <w:r>
        <w:rPr>
          <w:rFonts w:hint="eastAsia" w:ascii="仿宋" w:hAnsi="仿宋" w:eastAsia="仿宋" w:cs="仿宋"/>
          <w:sz w:val="24"/>
        </w:rPr>
        <w:t>按月支付，经甲方组织或甲方委托的第三方考核合格后，甲方支付服务费。</w:t>
      </w:r>
    </w:p>
    <w:p>
      <w:pPr>
        <w:tabs>
          <w:tab w:val="left" w:pos="780"/>
        </w:tabs>
        <w:spacing w:after="0" w:line="440" w:lineRule="exact"/>
        <w:ind w:left="567"/>
        <w:rPr>
          <w:rFonts w:ascii="仿宋" w:hAnsi="仿宋" w:eastAsia="仿宋" w:cs="仿宋"/>
          <w:sz w:val="24"/>
        </w:rPr>
      </w:pPr>
      <w:r>
        <w:rPr>
          <w:rFonts w:hint="eastAsia" w:ascii="仿宋" w:hAnsi="仿宋" w:eastAsia="仿宋" w:cs="仿宋"/>
          <w:sz w:val="24"/>
        </w:rPr>
        <w:t>（三）服务费支付方式：</w:t>
      </w:r>
    </w:p>
    <w:p>
      <w:pPr>
        <w:widowControl/>
        <w:adjustRightInd w:val="0"/>
        <w:snapToGrid w:val="0"/>
        <w:spacing w:after="0" w:line="440" w:lineRule="exact"/>
        <w:ind w:firstLine="480" w:firstLineChars="200"/>
        <w:jc w:val="left"/>
        <w:rPr>
          <w:rFonts w:ascii="仿宋" w:hAnsi="仿宋" w:eastAsia="仿宋" w:cs="仿宋"/>
          <w:kern w:val="0"/>
          <w:sz w:val="24"/>
          <w:highlight w:val="red"/>
        </w:rPr>
      </w:pPr>
      <w:r>
        <w:rPr>
          <w:rFonts w:hint="eastAsia" w:ascii="仿宋" w:hAnsi="仿宋" w:eastAsia="仿宋" w:cs="仿宋"/>
          <w:kern w:val="0"/>
          <w:sz w:val="24"/>
        </w:rPr>
        <w:t>1、付款方式：采用银行转账方式支付。</w:t>
      </w:r>
    </w:p>
    <w:p>
      <w:pPr>
        <w:spacing w:after="0" w:line="440" w:lineRule="exact"/>
        <w:ind w:firstLine="480" w:firstLineChars="200"/>
        <w:rPr>
          <w:rFonts w:ascii="仿宋" w:hAnsi="仿宋" w:eastAsia="仿宋" w:cs="仿宋"/>
          <w:kern w:val="0"/>
          <w:sz w:val="24"/>
        </w:rPr>
      </w:pPr>
      <w:r>
        <w:rPr>
          <w:rFonts w:hint="eastAsia" w:ascii="仿宋" w:hAnsi="仿宋" w:eastAsia="仿宋" w:cs="仿宋"/>
          <w:kern w:val="0"/>
          <w:sz w:val="24"/>
        </w:rPr>
        <w:t>2、支付方式：</w:t>
      </w:r>
      <w:r>
        <w:rPr>
          <w:rFonts w:hint="eastAsia" w:ascii="仿宋" w:hAnsi="仿宋" w:eastAsia="仿宋" w:cs="仿宋"/>
          <w:sz w:val="24"/>
        </w:rPr>
        <w:t>合同签订后5个工作日内支付单年合同总金额的30%作为预付款。待预付款抵扣完后，再按中标价每月支付。最终结算价根据实际处理量×中标单价据实结算，但年结算价不超过本项目年预算金额。</w:t>
      </w:r>
      <w:r>
        <w:rPr>
          <w:rFonts w:hint="eastAsia" w:ascii="仿宋" w:hAnsi="仿宋" w:eastAsia="仿宋" w:cs="仿宋"/>
          <w:kern w:val="0"/>
          <w:sz w:val="24"/>
        </w:rPr>
        <w:t>从完成垃圾渗滤液处理方案的设计与项目建设之日起(以双方确认开始运营服务期为准)开始计算，至次月该日为一个结算周期（节假日顺延至节后第一天），乙方应根据当月《月度报告》中的水量数据和考核结果，向甲方书面提交“月度处理服务费付款申请书”及具有检测资质的检测单位出具的达标检测报告，在线监测报告，列明上个月度处理服务费的计算结果和费用构成。乙方应提供必要的证明资料以便甲方核实。甲方对“月度处理服务费付款申请书”无异议的，应当在收到该申请书后五个工作日内书面确认处理水量；如有异议，甲方应在收到该申请书后五个工作日内书面通知乙方。甲方有异议的，乙方应提供更多证明资料，并配合甲方核实。乙方应将无异议部分金额的等额发票递交甲方。如甲方未在前述约定期限内书面确认处理水量，也未提出书面异议的,视为甲方书面确认乙方提交的当月《月度报告》中的水量数据,并作为付款依据。甲方应在收到相应发票后五个工作日（节假日顺延）内向乙方支付无异议部分金额。甲乙双方对水量记录结果存在分歧时，以双方共同确定的有资质的第三方的检验结果为准。</w:t>
      </w:r>
    </w:p>
    <w:p>
      <w:pPr>
        <w:widowControl/>
        <w:adjustRightInd w:val="0"/>
        <w:snapToGrid w:val="0"/>
        <w:spacing w:after="0" w:line="440" w:lineRule="exact"/>
        <w:ind w:firstLine="482" w:firstLineChars="200"/>
        <w:jc w:val="left"/>
        <w:rPr>
          <w:rFonts w:ascii="仿宋" w:hAnsi="仿宋" w:eastAsia="仿宋" w:cs="仿宋"/>
          <w:sz w:val="24"/>
        </w:rPr>
      </w:pPr>
      <w:r>
        <w:rPr>
          <w:rFonts w:hint="eastAsia" w:ascii="仿宋" w:hAnsi="仿宋" w:eastAsia="仿宋" w:cs="仿宋"/>
          <w:b/>
          <w:bCs/>
          <w:sz w:val="24"/>
        </w:rPr>
        <w:t>五、知识产权</w:t>
      </w:r>
    </w:p>
    <w:p>
      <w:pPr>
        <w:tabs>
          <w:tab w:val="left" w:pos="1440"/>
        </w:tabs>
        <w:spacing w:after="0" w:line="440" w:lineRule="exact"/>
        <w:ind w:firstLine="480" w:firstLineChars="200"/>
        <w:jc w:val="left"/>
        <w:rPr>
          <w:rFonts w:ascii="仿宋" w:hAnsi="仿宋" w:eastAsia="仿宋" w:cs="仿宋"/>
          <w:sz w:val="24"/>
        </w:rPr>
      </w:pPr>
      <w:r>
        <w:rPr>
          <w:rFonts w:hint="eastAsia" w:ascii="仿宋" w:hAnsi="仿宋" w:eastAsia="仿宋" w:cs="仿宋"/>
          <w:sz w:val="24"/>
        </w:rPr>
        <w:t>乙方应保证所提供的服务或其任何一部分均不会侵犯任何第三方的专利权、商标权或著作权。</w:t>
      </w:r>
    </w:p>
    <w:p>
      <w:pPr>
        <w:spacing w:after="0" w:line="440" w:lineRule="exact"/>
        <w:ind w:left="426" w:leftChars="203" w:firstLine="118" w:firstLineChars="49"/>
        <w:jc w:val="left"/>
        <w:rPr>
          <w:rFonts w:ascii="仿宋" w:hAnsi="仿宋" w:eastAsia="仿宋" w:cs="仿宋"/>
          <w:sz w:val="24"/>
        </w:rPr>
      </w:pPr>
      <w:r>
        <w:rPr>
          <w:rFonts w:hint="eastAsia" w:ascii="仿宋" w:hAnsi="仿宋" w:eastAsia="仿宋" w:cs="仿宋"/>
          <w:b/>
          <w:bCs/>
          <w:sz w:val="24"/>
        </w:rPr>
        <w:t>六、无产权瑕疵条款</w:t>
      </w:r>
    </w:p>
    <w:p>
      <w:pPr>
        <w:tabs>
          <w:tab w:val="left" w:pos="1440"/>
        </w:tabs>
        <w:spacing w:after="0" w:line="440" w:lineRule="exact"/>
        <w:ind w:firstLine="480" w:firstLineChars="200"/>
        <w:jc w:val="left"/>
        <w:rPr>
          <w:rFonts w:ascii="仿宋" w:hAnsi="仿宋" w:eastAsia="仿宋" w:cs="仿宋"/>
          <w:sz w:val="24"/>
        </w:rPr>
      </w:pPr>
      <w:r>
        <w:rPr>
          <w:rFonts w:hint="eastAsia" w:ascii="仿宋" w:hAnsi="仿宋" w:eastAsia="仿宋" w:cs="仿宋"/>
          <w:sz w:val="24"/>
        </w:rPr>
        <w:t>乙方保证所提供的服务的所有权完全属于乙方且无任何抵押、查封等产权瑕疵。如有产权瑕疵的，视为乙方违约。乙方应负担由此而产生的一切损失。</w:t>
      </w:r>
    </w:p>
    <w:p>
      <w:pPr>
        <w:spacing w:after="0" w:line="440" w:lineRule="exact"/>
        <w:ind w:firstLine="472" w:firstLineChars="196"/>
        <w:rPr>
          <w:rFonts w:ascii="仿宋" w:hAnsi="仿宋" w:eastAsia="仿宋" w:cs="仿宋"/>
          <w:sz w:val="24"/>
        </w:rPr>
      </w:pPr>
      <w:r>
        <w:rPr>
          <w:rFonts w:hint="eastAsia" w:ascii="仿宋" w:hAnsi="仿宋" w:eastAsia="仿宋" w:cs="仿宋"/>
          <w:b/>
          <w:bCs/>
          <w:sz w:val="24"/>
        </w:rPr>
        <w:t>七、甲方的权利和义务</w:t>
      </w:r>
    </w:p>
    <w:p>
      <w:pPr>
        <w:adjustRightInd w:val="0"/>
        <w:spacing w:after="0" w:line="440" w:lineRule="exact"/>
        <w:ind w:firstLine="480" w:firstLineChars="200"/>
        <w:jc w:val="left"/>
        <w:textAlignment w:val="baseline"/>
        <w:rPr>
          <w:rFonts w:ascii="仿宋" w:hAnsi="仿宋" w:eastAsia="仿宋" w:cs="仿宋"/>
          <w:bCs/>
          <w:sz w:val="24"/>
        </w:rPr>
      </w:pPr>
      <w:r>
        <w:rPr>
          <w:rFonts w:hint="eastAsia" w:ascii="仿宋" w:hAnsi="仿宋" w:eastAsia="仿宋" w:cs="仿宋"/>
          <w:bCs/>
          <w:sz w:val="24"/>
        </w:rPr>
        <w:t>（一）甲方有权对合同规定范围内乙方的服务行为进行监督和检查，拥有监管权。有权定期核对乙方提供服务所配备的人员数量。对甲方认为不合理的部分有权下达整改通知书，并要求乙方限期整改。</w:t>
      </w:r>
    </w:p>
    <w:p>
      <w:pPr>
        <w:adjustRightInd w:val="0"/>
        <w:spacing w:after="0" w:line="440" w:lineRule="exact"/>
        <w:ind w:firstLine="480" w:firstLineChars="200"/>
        <w:jc w:val="left"/>
        <w:textAlignment w:val="baseline"/>
        <w:rPr>
          <w:rFonts w:ascii="仿宋" w:hAnsi="仿宋" w:eastAsia="仿宋" w:cs="仿宋"/>
          <w:bCs/>
          <w:sz w:val="24"/>
        </w:rPr>
      </w:pPr>
      <w:r>
        <w:rPr>
          <w:rFonts w:hint="eastAsia" w:ascii="仿宋" w:hAnsi="仿宋" w:eastAsia="仿宋" w:cs="仿宋"/>
          <w:bCs/>
          <w:sz w:val="24"/>
        </w:rPr>
        <w:t>（二）甲方有权依据合同约定的服务标准对乙方提供的服务进行随机考核，考核结果纳入每月经费支付；发现污水排放未达到环保和水务部门相关要求，甲方有权单方面终止合同，并且由乙方承担一切法律后果。</w:t>
      </w:r>
    </w:p>
    <w:p>
      <w:pPr>
        <w:adjustRightInd w:val="0"/>
        <w:spacing w:after="0" w:line="440" w:lineRule="exact"/>
        <w:ind w:firstLine="480" w:firstLineChars="200"/>
        <w:jc w:val="left"/>
        <w:textAlignment w:val="baseline"/>
        <w:rPr>
          <w:rFonts w:ascii="仿宋" w:hAnsi="仿宋" w:eastAsia="仿宋" w:cs="仿宋"/>
          <w:bCs/>
          <w:sz w:val="24"/>
        </w:rPr>
      </w:pPr>
      <w:r>
        <w:rPr>
          <w:rFonts w:hint="eastAsia" w:ascii="仿宋" w:hAnsi="仿宋" w:eastAsia="仿宋" w:cs="仿宋"/>
          <w:bCs/>
          <w:sz w:val="24"/>
        </w:rPr>
        <w:t>（三）甲方负责向乙方提供压缩站产生的污水，并检查监督乙方管理工作的实施及制度的执行情况。</w:t>
      </w:r>
    </w:p>
    <w:p>
      <w:pPr>
        <w:pStyle w:val="65"/>
        <w:adjustRightInd w:val="0"/>
        <w:spacing w:after="0" w:line="440" w:lineRule="exact"/>
        <w:ind w:left="0" w:firstLine="480" w:firstLineChars="200"/>
        <w:jc w:val="left"/>
        <w:textAlignment w:val="baseline"/>
        <w:rPr>
          <w:rFonts w:ascii="仿宋" w:hAnsi="仿宋" w:eastAsia="仿宋" w:cs="仿宋"/>
          <w:bCs/>
          <w:sz w:val="24"/>
        </w:rPr>
      </w:pPr>
      <w:r>
        <w:rPr>
          <w:rFonts w:hint="eastAsia" w:ascii="仿宋" w:hAnsi="仿宋" w:eastAsia="仿宋" w:cs="仿宋"/>
          <w:bCs/>
          <w:sz w:val="24"/>
        </w:rPr>
        <w:t>（四）根据本合同规定，按时向乙方支付服务费用。</w:t>
      </w:r>
    </w:p>
    <w:p>
      <w:pPr>
        <w:pStyle w:val="65"/>
        <w:adjustRightInd w:val="0"/>
        <w:spacing w:after="0" w:line="440" w:lineRule="exact"/>
        <w:ind w:left="0" w:firstLine="480" w:firstLineChars="200"/>
        <w:jc w:val="left"/>
        <w:textAlignment w:val="baseline"/>
        <w:rPr>
          <w:rFonts w:ascii="仿宋" w:hAnsi="仿宋" w:eastAsia="仿宋" w:cs="仿宋"/>
          <w:bCs/>
          <w:sz w:val="24"/>
        </w:rPr>
      </w:pPr>
      <w:r>
        <w:rPr>
          <w:rFonts w:hint="eastAsia" w:ascii="仿宋" w:hAnsi="仿宋" w:eastAsia="仿宋" w:cs="仿宋"/>
          <w:bCs/>
          <w:sz w:val="24"/>
        </w:rPr>
        <w:t>（五）国家法律、法规所规定由甲方承担的其它责任。</w:t>
      </w:r>
    </w:p>
    <w:p>
      <w:pPr>
        <w:tabs>
          <w:tab w:val="left" w:pos="804"/>
        </w:tabs>
        <w:spacing w:after="0" w:line="440" w:lineRule="exact"/>
        <w:ind w:firstLine="482" w:firstLineChars="200"/>
        <w:rPr>
          <w:rFonts w:ascii="仿宋" w:hAnsi="仿宋" w:eastAsia="仿宋" w:cs="仿宋"/>
          <w:b/>
          <w:sz w:val="24"/>
        </w:rPr>
      </w:pPr>
      <w:r>
        <w:rPr>
          <w:rFonts w:hint="eastAsia" w:ascii="仿宋" w:hAnsi="仿宋" w:eastAsia="仿宋" w:cs="仿宋"/>
          <w:b/>
          <w:sz w:val="24"/>
        </w:rPr>
        <w:t>八、乙方的权利和义务</w:t>
      </w:r>
    </w:p>
    <w:p>
      <w:pPr>
        <w:adjustRightInd w:val="0"/>
        <w:spacing w:after="0" w:line="440" w:lineRule="exact"/>
        <w:ind w:firstLine="480" w:firstLineChars="200"/>
        <w:jc w:val="left"/>
        <w:textAlignment w:val="baseline"/>
        <w:rPr>
          <w:rFonts w:ascii="仿宋" w:hAnsi="仿宋" w:eastAsia="仿宋" w:cs="仿宋"/>
          <w:bCs/>
          <w:sz w:val="24"/>
        </w:rPr>
      </w:pPr>
      <w:r>
        <w:rPr>
          <w:rFonts w:hint="eastAsia" w:ascii="仿宋" w:hAnsi="仿宋" w:eastAsia="仿宋" w:cs="仿宋"/>
          <w:sz w:val="24"/>
        </w:rPr>
        <w:t>（一）</w:t>
      </w:r>
      <w:r>
        <w:rPr>
          <w:rFonts w:hint="eastAsia" w:ascii="仿宋" w:hAnsi="仿宋" w:eastAsia="仿宋" w:cs="仿宋"/>
          <w:bCs/>
          <w:sz w:val="24"/>
        </w:rPr>
        <w:t>对本合同规定的委托服务范围内的项目享有管理权及服务义务，并按质按量提供好处理垃圾压缩站污水的服务。</w:t>
      </w:r>
    </w:p>
    <w:p>
      <w:pPr>
        <w:adjustRightInd w:val="0"/>
        <w:spacing w:after="0" w:line="440" w:lineRule="exact"/>
        <w:ind w:firstLine="480" w:firstLineChars="200"/>
        <w:jc w:val="left"/>
        <w:textAlignment w:val="baseline"/>
        <w:rPr>
          <w:rFonts w:ascii="仿宋" w:hAnsi="仿宋" w:eastAsia="仿宋" w:cs="仿宋"/>
          <w:bCs/>
          <w:sz w:val="24"/>
        </w:rPr>
      </w:pPr>
      <w:r>
        <w:rPr>
          <w:rFonts w:hint="eastAsia" w:ascii="仿宋" w:hAnsi="仿宋" w:eastAsia="仿宋" w:cs="仿宋"/>
          <w:bCs/>
          <w:sz w:val="24"/>
        </w:rPr>
        <w:t>（二）根据本合同的规定向甲方收取相关服务费用，并有权在本项目管理范围内管理及合理使用。</w:t>
      </w:r>
    </w:p>
    <w:p>
      <w:pPr>
        <w:adjustRightInd w:val="0"/>
        <w:spacing w:after="0" w:line="440" w:lineRule="exact"/>
        <w:ind w:firstLine="480" w:firstLineChars="200"/>
        <w:jc w:val="left"/>
        <w:textAlignment w:val="baseline"/>
        <w:rPr>
          <w:rFonts w:ascii="仿宋" w:hAnsi="仿宋" w:eastAsia="仿宋" w:cs="仿宋"/>
          <w:sz w:val="24"/>
        </w:rPr>
      </w:pPr>
      <w:r>
        <w:rPr>
          <w:rFonts w:hint="eastAsia" w:ascii="仿宋" w:hAnsi="仿宋" w:eastAsia="仿宋" w:cs="仿宋"/>
          <w:sz w:val="24"/>
        </w:rPr>
        <w:t>（三）及时向甲方通告本项目服务范围内有关服务的重大事项，及时配合处理投诉。</w:t>
      </w:r>
    </w:p>
    <w:p>
      <w:pPr>
        <w:pStyle w:val="2"/>
        <w:spacing w:after="0" w:line="440" w:lineRule="exact"/>
        <w:ind w:firstLine="480" w:firstLineChars="200"/>
        <w:rPr>
          <w:rFonts w:ascii="仿宋" w:hAnsi="仿宋" w:eastAsia="仿宋" w:cs="仿宋"/>
          <w:sz w:val="24"/>
        </w:rPr>
      </w:pPr>
      <w:r>
        <w:rPr>
          <w:rFonts w:hint="eastAsia" w:ascii="仿宋" w:hAnsi="仿宋" w:eastAsia="仿宋" w:cs="仿宋"/>
          <w:sz w:val="24"/>
        </w:rPr>
        <w:t>（四）乙方负责办理该项目的相关建设报批手续。</w:t>
      </w:r>
    </w:p>
    <w:p>
      <w:pPr>
        <w:adjustRightInd w:val="0"/>
        <w:spacing w:after="0" w:line="440" w:lineRule="exact"/>
        <w:ind w:firstLine="480" w:firstLineChars="200"/>
        <w:jc w:val="left"/>
        <w:textAlignment w:val="baseline"/>
        <w:rPr>
          <w:rFonts w:ascii="仿宋" w:hAnsi="仿宋" w:eastAsia="仿宋" w:cs="仿宋"/>
          <w:sz w:val="24"/>
        </w:rPr>
      </w:pPr>
      <w:r>
        <w:rPr>
          <w:rFonts w:hint="eastAsia" w:ascii="仿宋" w:hAnsi="仿宋" w:eastAsia="仿宋" w:cs="仿宋"/>
          <w:sz w:val="24"/>
        </w:rPr>
        <w:t>（五）乙方在合同签订后3个工作日内入场，在规定期限内进行规范及按期施工。</w:t>
      </w:r>
    </w:p>
    <w:p>
      <w:pPr>
        <w:adjustRightInd w:val="0"/>
        <w:spacing w:after="0" w:line="440" w:lineRule="exact"/>
        <w:ind w:firstLine="480" w:firstLineChars="200"/>
        <w:jc w:val="left"/>
        <w:textAlignment w:val="baseline"/>
        <w:rPr>
          <w:rFonts w:ascii="仿宋" w:hAnsi="仿宋" w:eastAsia="仿宋" w:cs="仿宋"/>
          <w:sz w:val="24"/>
        </w:rPr>
      </w:pPr>
      <w:r>
        <w:rPr>
          <w:rFonts w:hint="eastAsia" w:ascii="仿宋" w:hAnsi="仿宋" w:eastAsia="仿宋" w:cs="仿宋"/>
          <w:sz w:val="24"/>
        </w:rPr>
        <w:t>（六）乙方应保证服务期间的人员安全，因乙方的管理、操作或者经营不善导致的人员安全事故、环境安全事故等一系列安全事故均由乙方自行承担。</w:t>
      </w:r>
    </w:p>
    <w:p>
      <w:pPr>
        <w:adjustRightInd w:val="0"/>
        <w:spacing w:after="0" w:line="440" w:lineRule="exact"/>
        <w:ind w:firstLine="480" w:firstLineChars="200"/>
        <w:jc w:val="left"/>
        <w:textAlignment w:val="baseline"/>
        <w:rPr>
          <w:rFonts w:ascii="仿宋" w:hAnsi="仿宋" w:eastAsia="仿宋" w:cs="仿宋"/>
          <w:bCs/>
          <w:sz w:val="24"/>
        </w:rPr>
      </w:pPr>
      <w:r>
        <w:rPr>
          <w:rFonts w:hint="eastAsia" w:ascii="仿宋" w:hAnsi="仿宋" w:eastAsia="仿宋" w:cs="仿宋"/>
          <w:bCs/>
          <w:sz w:val="24"/>
        </w:rPr>
        <w:t>（七）接受项目行业管理部门及政府有关部门的指导和监督。</w:t>
      </w:r>
    </w:p>
    <w:p>
      <w:pPr>
        <w:pStyle w:val="2"/>
        <w:spacing w:after="0" w:line="440" w:lineRule="exact"/>
        <w:ind w:firstLine="480" w:firstLineChars="200"/>
        <w:rPr>
          <w:rFonts w:ascii="仿宋" w:hAnsi="仿宋" w:eastAsia="仿宋" w:cs="仿宋"/>
          <w:bCs/>
          <w:sz w:val="24"/>
        </w:rPr>
      </w:pPr>
      <w:r>
        <w:rPr>
          <w:rFonts w:hint="eastAsia" w:ascii="仿宋" w:hAnsi="仿宋" w:eastAsia="仿宋" w:cs="仿宋"/>
          <w:bCs/>
          <w:sz w:val="24"/>
        </w:rPr>
        <w:t>（八）乙方应严格履行投标文件中响应的人员方案、技术方案、运营方案和应急方案，如出现不履约的情况，甲方有权终止合同。</w:t>
      </w:r>
    </w:p>
    <w:p>
      <w:pPr>
        <w:adjustRightInd w:val="0"/>
        <w:spacing w:after="0" w:line="440" w:lineRule="exact"/>
        <w:ind w:firstLine="480" w:firstLineChars="200"/>
        <w:jc w:val="left"/>
        <w:textAlignment w:val="baseline"/>
        <w:rPr>
          <w:rFonts w:ascii="仿宋" w:hAnsi="仿宋" w:eastAsia="仿宋" w:cs="仿宋"/>
          <w:bCs/>
          <w:sz w:val="24"/>
        </w:rPr>
      </w:pPr>
      <w:r>
        <w:rPr>
          <w:rFonts w:hint="eastAsia" w:ascii="仿宋" w:hAnsi="仿宋" w:eastAsia="仿宋" w:cs="仿宋"/>
          <w:bCs/>
          <w:sz w:val="24"/>
        </w:rPr>
        <w:t>（八）国家法律、法规所规定由乙方承担的其它责任。</w:t>
      </w:r>
    </w:p>
    <w:p>
      <w:pPr>
        <w:spacing w:after="0" w:line="440" w:lineRule="exact"/>
        <w:ind w:firstLine="480" w:firstLineChars="200"/>
        <w:rPr>
          <w:rFonts w:ascii="仿宋" w:hAnsi="仿宋" w:eastAsia="仿宋" w:cs="仿宋"/>
          <w:sz w:val="24"/>
        </w:rPr>
      </w:pPr>
      <w:r>
        <w:rPr>
          <w:rFonts w:hint="eastAsia" w:ascii="仿宋" w:hAnsi="仿宋" w:eastAsia="仿宋" w:cs="仿宋"/>
          <w:sz w:val="24"/>
        </w:rPr>
        <w:t>（九）乙方指定为项目负责人，联系电话，乙方负责人变更，应至少提前5个工作日书面告知甲方原因，且需甲方同意。</w:t>
      </w:r>
    </w:p>
    <w:p>
      <w:pPr>
        <w:spacing w:after="0" w:line="440" w:lineRule="exact"/>
        <w:ind w:firstLine="480" w:firstLineChars="200"/>
        <w:rPr>
          <w:rFonts w:ascii="仿宋" w:hAnsi="仿宋" w:eastAsia="仿宋" w:cs="仿宋"/>
          <w:sz w:val="24"/>
        </w:rPr>
      </w:pPr>
      <w:r>
        <w:rPr>
          <w:rFonts w:hint="eastAsia" w:ascii="仿宋" w:hAnsi="仿宋" w:eastAsia="仿宋" w:cs="仿宋"/>
          <w:sz w:val="24"/>
        </w:rPr>
        <w:t>（十）乙方配备运营管理技术人员人，所配人员须有污水处理技术资格证（达到招标文件规定的要求），并按照规定负责劳动报酬、社保待遇、安全责任等，同时发放统一工作服及劳动保护物品，并保持工作服装的整洁完好。</w:t>
      </w:r>
    </w:p>
    <w:p>
      <w:pPr>
        <w:pStyle w:val="65"/>
        <w:spacing w:after="0" w:line="440" w:lineRule="exact"/>
        <w:ind w:left="0" w:firstLine="480" w:firstLineChars="200"/>
        <w:rPr>
          <w:rFonts w:ascii="仿宋" w:hAnsi="仿宋" w:eastAsia="仿宋" w:cs="仿宋"/>
          <w:sz w:val="24"/>
        </w:rPr>
      </w:pPr>
      <w:r>
        <w:rPr>
          <w:rFonts w:hint="eastAsia" w:ascii="仿宋" w:hAnsi="仿宋" w:eastAsia="仿宋" w:cs="仿宋"/>
          <w:sz w:val="24"/>
        </w:rPr>
        <w:t>（十一）本项目合同服务期满后，本项目涉及的土建及主体设施设备，乙方不得拆除及破坏，无条件保留给业主。</w:t>
      </w:r>
    </w:p>
    <w:p>
      <w:pPr>
        <w:spacing w:after="0" w:line="440" w:lineRule="exact"/>
        <w:ind w:firstLine="482" w:firstLineChars="200"/>
        <w:rPr>
          <w:rFonts w:ascii="仿宋" w:hAnsi="仿宋" w:eastAsia="仿宋" w:cs="仿宋"/>
          <w:sz w:val="24"/>
        </w:rPr>
      </w:pPr>
      <w:r>
        <w:rPr>
          <w:rFonts w:hint="eastAsia" w:ascii="仿宋" w:hAnsi="仿宋" w:eastAsia="仿宋" w:cs="仿宋"/>
          <w:b/>
          <w:sz w:val="24"/>
        </w:rPr>
        <w:t>九、违约责任</w:t>
      </w:r>
    </w:p>
    <w:p>
      <w:pPr>
        <w:tabs>
          <w:tab w:val="left" w:pos="0"/>
        </w:tabs>
        <w:spacing w:after="0" w:line="440" w:lineRule="exact"/>
        <w:ind w:firstLine="480" w:firstLineChars="200"/>
        <w:jc w:val="left"/>
        <w:rPr>
          <w:rFonts w:ascii="仿宋" w:hAnsi="仿宋" w:eastAsia="仿宋" w:cs="仿宋"/>
          <w:sz w:val="24"/>
        </w:rPr>
      </w:pPr>
      <w:r>
        <w:rPr>
          <w:rFonts w:hint="eastAsia" w:ascii="仿宋" w:hAnsi="仿宋" w:eastAsia="仿宋" w:cs="仿宋"/>
          <w:sz w:val="24"/>
        </w:rPr>
        <w:t>（一）</w:t>
      </w:r>
      <w:r>
        <w:rPr>
          <w:rFonts w:hint="eastAsia" w:ascii="仿宋" w:hAnsi="仿宋" w:eastAsia="仿宋" w:cs="仿宋"/>
          <w:bCs/>
          <w:sz w:val="24"/>
        </w:rPr>
        <w:t>甲乙双方必须遵守本合同并执行合同中的各项规定，保证本合同的正常履行。</w:t>
      </w:r>
      <w:r>
        <w:rPr>
          <w:rFonts w:hint="eastAsia" w:ascii="仿宋" w:hAnsi="仿宋" w:eastAsia="仿宋" w:cs="仿宋"/>
          <w:sz w:val="24"/>
        </w:rPr>
        <w:t>如单方无故解除合同，违约方向守约方支付合同中标总价的0.2%的违约金和赔偿由此给对方造成的包括可期待利益的损失。</w:t>
      </w:r>
    </w:p>
    <w:p>
      <w:pPr>
        <w:tabs>
          <w:tab w:val="left" w:pos="0"/>
        </w:tabs>
        <w:spacing w:after="0" w:line="440" w:lineRule="exact"/>
        <w:ind w:firstLine="480" w:firstLineChars="200"/>
        <w:jc w:val="left"/>
        <w:rPr>
          <w:rFonts w:ascii="仿宋" w:hAnsi="仿宋" w:eastAsia="仿宋" w:cs="仿宋"/>
          <w:sz w:val="24"/>
        </w:rPr>
      </w:pPr>
      <w:r>
        <w:rPr>
          <w:rFonts w:hint="eastAsia" w:ascii="仿宋" w:hAnsi="仿宋" w:eastAsia="仿宋" w:cs="仿宋"/>
          <w:sz w:val="24"/>
        </w:rPr>
        <w:t>（二）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spacing w:after="0" w:line="440" w:lineRule="exact"/>
        <w:ind w:firstLine="480" w:firstLineChars="200"/>
        <w:rPr>
          <w:rFonts w:ascii="仿宋" w:hAnsi="仿宋" w:eastAsia="仿宋" w:cs="仿宋"/>
          <w:sz w:val="24"/>
        </w:rPr>
      </w:pPr>
      <w:r>
        <w:rPr>
          <w:rFonts w:hint="eastAsia" w:ascii="仿宋" w:hAnsi="仿宋" w:eastAsia="仿宋" w:cs="仿宋"/>
          <w:sz w:val="24"/>
        </w:rPr>
        <w:t>（三）甲方未按照约定支付处理服务费的，每逾期一天，甲方应向乙方支付万分之五的违约金，逾期超过一个月的，乙方同时有权暂定处理服务，由此造成损失和责任由甲方承担。</w:t>
      </w:r>
    </w:p>
    <w:p>
      <w:pPr>
        <w:spacing w:after="0" w:line="440" w:lineRule="exact"/>
        <w:ind w:firstLine="480" w:firstLineChars="200"/>
        <w:rPr>
          <w:rFonts w:ascii="仿宋" w:hAnsi="仿宋" w:eastAsia="仿宋" w:cs="仿宋"/>
          <w:sz w:val="24"/>
        </w:rPr>
      </w:pPr>
      <w:r>
        <w:rPr>
          <w:rFonts w:hint="eastAsia" w:ascii="仿宋" w:hAnsi="仿宋" w:eastAsia="仿宋" w:cs="仿宋"/>
          <w:sz w:val="24"/>
        </w:rPr>
        <w:t>（四）甲方（或委托第三方）每月度对乙方进行量化考评，每年累计两次考核得分在60分以下的，甲方有权终止合同。</w:t>
      </w:r>
    </w:p>
    <w:p>
      <w:pPr>
        <w:spacing w:after="0" w:line="440" w:lineRule="exact"/>
        <w:ind w:firstLine="480" w:firstLineChars="200"/>
        <w:rPr>
          <w:rFonts w:ascii="仿宋" w:hAnsi="仿宋" w:eastAsia="仿宋" w:cs="仿宋"/>
          <w:sz w:val="24"/>
        </w:rPr>
      </w:pPr>
      <w:r>
        <w:rPr>
          <w:rFonts w:hint="eastAsia" w:ascii="仿宋" w:hAnsi="仿宋" w:eastAsia="仿宋" w:cs="仿宋"/>
          <w:sz w:val="24"/>
        </w:rPr>
        <w:t>（五）乙方违反本合同的约定，严重损害甲方名誉的，甲方有权终止合同；造成经济损失的，乙方应给予甲方经济赔偿。</w:t>
      </w:r>
    </w:p>
    <w:p>
      <w:pPr>
        <w:spacing w:after="0"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（六）甲方因乙方违约所产生的包括但不限于律师费、诉讼费、保全费、公告费、公证费、评估费、鉴定费等维权费用由乙方承担。</w:t>
      </w:r>
    </w:p>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Pr>
        <w:spacing w:after="0" w:line="440" w:lineRule="exact"/>
        <w:ind w:firstLine="482" w:firstLineChars="200"/>
        <w:rPr>
          <w:rFonts w:ascii="仿宋" w:hAnsi="仿宋" w:eastAsia="仿宋" w:cs="仿宋"/>
          <w:sz w:val="24"/>
          <w:highlight w:val="none"/>
        </w:rPr>
      </w:pPr>
      <w:bookmarkStart w:id="253" w:name="_Toc237145411"/>
      <w:bookmarkStart w:id="254" w:name="_Toc211854454"/>
      <w:bookmarkStart w:id="255" w:name="_Toc225654649"/>
      <w:bookmarkStart w:id="256" w:name="_Toc212019599"/>
      <w:bookmarkStart w:id="257" w:name="_Toc239568423"/>
      <w:bookmarkStart w:id="258" w:name="_Toc185395254"/>
      <w:bookmarkStart w:id="259" w:name="_Toc247334846"/>
      <w:bookmarkStart w:id="260" w:name="_Toc251768867"/>
      <w:bookmarkStart w:id="261" w:name="_Toc239233919"/>
      <w:bookmarkStart w:id="262" w:name="_Toc211911353"/>
      <w:bookmarkStart w:id="263" w:name="_Toc241833908"/>
      <w:bookmarkStart w:id="264" w:name="_Toc238984980"/>
      <w:bookmarkStart w:id="265" w:name="_Toc225244857"/>
      <w:bookmarkStart w:id="266" w:name="_Toc225670756"/>
      <w:bookmarkStart w:id="267" w:name="_Toc286993792"/>
      <w:bookmarkStart w:id="268" w:name="_Toc232492933"/>
      <w:r>
        <w:rPr>
          <w:rFonts w:hint="eastAsia" w:ascii="仿宋" w:hAnsi="仿宋" w:eastAsia="仿宋" w:cs="仿宋"/>
          <w:b/>
          <w:bCs/>
          <w:sz w:val="24"/>
          <w:highlight w:val="none"/>
        </w:rPr>
        <w:t>十、不可抗力事件处理</w:t>
      </w:r>
    </w:p>
    <w:p>
      <w:pPr>
        <w:spacing w:after="0" w:line="440" w:lineRule="exact"/>
        <w:ind w:left="6" w:firstLine="480" w:firstLineChars="200"/>
        <w:rPr>
          <w:rFonts w:ascii="仿宋" w:hAnsi="仿宋" w:eastAsia="仿宋" w:cs="仿宋"/>
          <w:sz w:val="24"/>
        </w:rPr>
      </w:pPr>
      <w:r>
        <w:rPr>
          <w:rFonts w:hint="eastAsia" w:ascii="仿宋" w:hAnsi="仿宋" w:eastAsia="仿宋" w:cs="仿宋"/>
          <w:sz w:val="24"/>
        </w:rPr>
        <w:t>本合同执行期间，如遇地震、风暴或政府禁令、政策性因素、法规调整等不可抗力因素，致使合同无法履行时，双方应按有关法律规定处理。</w:t>
      </w:r>
    </w:p>
    <w:p>
      <w:pPr>
        <w:spacing w:after="0" w:line="440" w:lineRule="exact"/>
        <w:ind w:left="426"/>
        <w:rPr>
          <w:rFonts w:ascii="仿宋" w:hAnsi="仿宋" w:eastAsia="仿宋" w:cs="仿宋"/>
          <w:sz w:val="24"/>
        </w:rPr>
      </w:pPr>
      <w:r>
        <w:rPr>
          <w:rFonts w:hint="eastAsia" w:ascii="仿宋" w:hAnsi="仿宋" w:eastAsia="仿宋" w:cs="仿宋"/>
          <w:b/>
          <w:bCs/>
          <w:sz w:val="24"/>
        </w:rPr>
        <w:t>十一、解决合同纠纷的方式</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pPr>
        <w:spacing w:after="0" w:line="440" w:lineRule="exact"/>
        <w:ind w:left="6" w:firstLine="360" w:firstLineChars="150"/>
        <w:rPr>
          <w:rFonts w:ascii="仿宋" w:hAnsi="仿宋" w:eastAsia="仿宋" w:cs="仿宋"/>
          <w:sz w:val="24"/>
        </w:rPr>
      </w:pPr>
      <w:r>
        <w:rPr>
          <w:rFonts w:hint="eastAsia" w:ascii="仿宋" w:hAnsi="仿宋" w:eastAsia="仿宋" w:cs="仿宋"/>
          <w:sz w:val="24"/>
        </w:rPr>
        <w:t>本合同在履行中发生争议，由双方当事人协商解决，协商未果依法向甲方所在地人民法院起诉。</w:t>
      </w:r>
    </w:p>
    <w:p>
      <w:pPr>
        <w:spacing w:after="0" w:line="440" w:lineRule="exact"/>
        <w:ind w:left="426"/>
        <w:rPr>
          <w:rFonts w:ascii="仿宋" w:hAnsi="仿宋" w:eastAsia="仿宋" w:cs="仿宋"/>
          <w:b/>
          <w:sz w:val="24"/>
        </w:rPr>
      </w:pPr>
      <w:bookmarkStart w:id="269" w:name="_Toc238984981"/>
      <w:bookmarkStart w:id="270" w:name="_Toc286993793"/>
      <w:bookmarkStart w:id="271" w:name="_Toc239568424"/>
      <w:bookmarkStart w:id="272" w:name="_Toc251768868"/>
      <w:bookmarkStart w:id="273" w:name="_Toc237145412"/>
      <w:bookmarkStart w:id="274" w:name="_Toc247334847"/>
      <w:bookmarkStart w:id="275" w:name="_Toc185395255"/>
      <w:bookmarkStart w:id="276" w:name="_Toc239233920"/>
      <w:bookmarkStart w:id="277" w:name="_Toc225670757"/>
      <w:bookmarkStart w:id="278" w:name="_Toc211854455"/>
      <w:bookmarkStart w:id="279" w:name="_Toc241833909"/>
      <w:bookmarkStart w:id="280" w:name="_Toc225654650"/>
      <w:bookmarkStart w:id="281" w:name="_Toc232492934"/>
      <w:bookmarkStart w:id="282" w:name="_Toc225244858"/>
      <w:bookmarkStart w:id="283" w:name="_Toc212019600"/>
      <w:bookmarkStart w:id="284" w:name="_Toc282696231"/>
      <w:bookmarkStart w:id="285" w:name="_Toc211911354"/>
      <w:bookmarkStart w:id="286" w:name="_Toc283019219"/>
      <w:r>
        <w:rPr>
          <w:rFonts w:hint="eastAsia" w:ascii="仿宋" w:hAnsi="仿宋" w:eastAsia="仿宋" w:cs="仿宋"/>
          <w:b/>
          <w:sz w:val="24"/>
        </w:rPr>
        <w:t>十二、合同</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Pr>
          <w:rFonts w:hint="eastAsia" w:ascii="仿宋" w:hAnsi="仿宋" w:eastAsia="仿宋" w:cs="仿宋"/>
          <w:b/>
          <w:sz w:val="24"/>
        </w:rPr>
        <w:t>生效及其他</w:t>
      </w:r>
    </w:p>
    <w:p>
      <w:pPr>
        <w:spacing w:after="0" w:line="440" w:lineRule="exact"/>
        <w:ind w:firstLine="480" w:firstLineChars="200"/>
        <w:rPr>
          <w:rFonts w:ascii="仿宋" w:hAnsi="仿宋" w:eastAsia="仿宋" w:cs="仿宋"/>
          <w:sz w:val="24"/>
        </w:rPr>
      </w:pPr>
      <w:r>
        <w:rPr>
          <w:rFonts w:hint="eastAsia" w:ascii="仿宋" w:hAnsi="仿宋" w:eastAsia="仿宋" w:cs="仿宋"/>
          <w:sz w:val="24"/>
        </w:rPr>
        <w:t>（一）合同经双方法定代表人或授权委托代理人签字并加盖单位公章后生效。</w:t>
      </w:r>
    </w:p>
    <w:p>
      <w:pPr>
        <w:spacing w:after="0" w:line="440" w:lineRule="exact"/>
        <w:ind w:firstLine="480" w:firstLineChars="200"/>
        <w:rPr>
          <w:rFonts w:ascii="仿宋" w:hAnsi="仿宋" w:eastAsia="仿宋" w:cs="仿宋"/>
          <w:sz w:val="24"/>
        </w:rPr>
      </w:pPr>
      <w:r>
        <w:rPr>
          <w:rFonts w:hint="eastAsia" w:ascii="仿宋" w:hAnsi="仿宋" w:eastAsia="仿宋" w:cs="仿宋"/>
          <w:sz w:val="24"/>
        </w:rPr>
        <w:t>（二）甲乙双方协商签订的补充协议与本合同具有同等法律效力；本合同之附件均为合同有效组成部分。本合同及其附件内容，空格部分填写的文字与印刷文字具有同等法律效力。</w:t>
      </w:r>
    </w:p>
    <w:p>
      <w:pPr>
        <w:shd w:val="clear" w:color="auto" w:fill="FFFFFF"/>
        <w:spacing w:after="0" w:line="440" w:lineRule="exact"/>
        <w:ind w:firstLine="484" w:firstLineChars="202"/>
        <w:jc w:val="left"/>
        <w:rPr>
          <w:rFonts w:ascii="仿宋" w:hAnsi="仿宋" w:eastAsia="仿宋" w:cs="仿宋"/>
          <w:sz w:val="24"/>
        </w:rPr>
      </w:pPr>
      <w:r>
        <w:rPr>
          <w:rFonts w:hint="eastAsia" w:ascii="仿宋" w:hAnsi="仿宋" w:eastAsia="仿宋" w:cs="仿宋"/>
          <w:sz w:val="24"/>
        </w:rPr>
        <w:t>（三）本合同及其附件和补充协议中未规定的事宜，均遵照中华人民共和国有关法律、法规和规章执行。</w:t>
      </w:r>
    </w:p>
    <w:p>
      <w:pPr>
        <w:shd w:val="clear" w:color="auto" w:fill="FFFFFF"/>
        <w:spacing w:after="0" w:line="440" w:lineRule="exact"/>
        <w:ind w:firstLine="484" w:firstLineChars="202"/>
        <w:jc w:val="left"/>
        <w:rPr>
          <w:rFonts w:ascii="仿宋" w:hAnsi="仿宋" w:eastAsia="仿宋" w:cs="宋体"/>
          <w:color w:val="333333"/>
          <w:kern w:val="0"/>
          <w:sz w:val="24"/>
          <w:highlight w:val="none"/>
        </w:rPr>
      </w:pPr>
      <w:r>
        <w:rPr>
          <w:rFonts w:ascii="仿宋" w:hAnsi="仿宋" w:eastAsia="仿宋"/>
          <w:sz w:val="24"/>
          <w:highlight w:val="none"/>
        </w:rPr>
        <w:t>（四）</w:t>
      </w:r>
      <w:r>
        <w:rPr>
          <w:rFonts w:ascii="仿宋" w:hAnsi="仿宋" w:eastAsia="仿宋" w:cs="宋体"/>
          <w:color w:val="333333"/>
          <w:kern w:val="0"/>
          <w:sz w:val="24"/>
          <w:highlight w:val="none"/>
        </w:rPr>
        <w:t>通讯地址和联系方式：</w:t>
      </w:r>
    </w:p>
    <w:p>
      <w:pPr>
        <w:shd w:val="clear" w:color="auto" w:fill="FFFFFF"/>
        <w:spacing w:after="0" w:line="440" w:lineRule="exact"/>
        <w:ind w:firstLine="484" w:firstLineChars="202"/>
        <w:jc w:val="left"/>
        <w:rPr>
          <w:rFonts w:ascii="仿宋" w:hAnsi="仿宋" w:eastAsia="仿宋" w:cs="宋体"/>
          <w:color w:val="333333"/>
          <w:kern w:val="0"/>
          <w:sz w:val="24"/>
          <w:highlight w:val="none"/>
        </w:rPr>
      </w:pPr>
      <w:r>
        <w:rPr>
          <w:rFonts w:hint="eastAsia" w:ascii="仿宋" w:hAnsi="仿宋" w:eastAsia="仿宋" w:cs="宋体"/>
          <w:color w:val="333333"/>
          <w:kern w:val="0"/>
          <w:sz w:val="24"/>
          <w:highlight w:val="none"/>
        </w:rPr>
        <w:t>1、</w:t>
      </w:r>
      <w:r>
        <w:rPr>
          <w:rFonts w:ascii="仿宋" w:hAnsi="仿宋" w:eastAsia="仿宋" w:cs="宋体"/>
          <w:color w:val="333333"/>
          <w:kern w:val="0"/>
          <w:sz w:val="24"/>
          <w:highlight w:val="none"/>
        </w:rPr>
        <w:t>合同各方一致确认以下通讯地址和联系方式为各方履行合同、解决合同争议时向接收其他方商业文件信函或司法机关(法院、仲裁机构)诉讼、仲裁文书的送达地址和联系方式。</w:t>
      </w:r>
    </w:p>
    <w:p>
      <w:pPr>
        <w:shd w:val="clear" w:color="auto" w:fill="FFFFFF"/>
        <w:spacing w:after="0" w:line="440" w:lineRule="exact"/>
        <w:ind w:firstLine="480" w:firstLineChars="200"/>
        <w:jc w:val="left"/>
        <w:rPr>
          <w:rFonts w:ascii="仿宋" w:hAnsi="仿宋" w:eastAsia="仿宋" w:cs="宋体"/>
          <w:color w:val="333333"/>
          <w:kern w:val="0"/>
          <w:sz w:val="24"/>
          <w:highlight w:val="none"/>
        </w:rPr>
      </w:pPr>
      <w:r>
        <w:rPr>
          <w:rFonts w:hint="eastAsia" w:ascii="仿宋" w:hAnsi="仿宋" w:eastAsia="仿宋" w:cs="宋体"/>
          <w:color w:val="333333"/>
          <w:kern w:val="0"/>
          <w:sz w:val="24"/>
          <w:highlight w:val="none"/>
        </w:rPr>
        <w:t>2、</w:t>
      </w:r>
      <w:r>
        <w:rPr>
          <w:rFonts w:ascii="仿宋" w:hAnsi="仿宋" w:eastAsia="仿宋" w:cs="宋体"/>
          <w:color w:val="333333"/>
          <w:kern w:val="0"/>
          <w:sz w:val="24"/>
          <w:highlight w:val="none"/>
        </w:rPr>
        <w:t>甲方送达地址和联系方式为：</w:t>
      </w:r>
    </w:p>
    <w:p>
      <w:pPr>
        <w:shd w:val="clear" w:color="auto" w:fill="FFFFFF"/>
        <w:spacing w:after="0" w:line="440" w:lineRule="exact"/>
        <w:ind w:firstLine="480" w:firstLineChars="200"/>
        <w:jc w:val="left"/>
        <w:rPr>
          <w:rFonts w:ascii="仿宋" w:hAnsi="仿宋" w:eastAsia="仿宋" w:cs="宋体"/>
          <w:color w:val="333333"/>
          <w:kern w:val="0"/>
          <w:sz w:val="24"/>
          <w:highlight w:val="none"/>
        </w:rPr>
      </w:pPr>
      <w:r>
        <w:rPr>
          <w:rFonts w:hint="eastAsia" w:ascii="仿宋" w:hAnsi="仿宋" w:eastAsia="仿宋" w:cs="宋体"/>
          <w:color w:val="333333"/>
          <w:kern w:val="0"/>
          <w:sz w:val="24"/>
          <w:highlight w:val="none"/>
        </w:rPr>
        <w:t>3、</w:t>
      </w:r>
      <w:r>
        <w:rPr>
          <w:rFonts w:ascii="仿宋" w:hAnsi="仿宋" w:eastAsia="仿宋" w:cs="宋体"/>
          <w:color w:val="333333"/>
          <w:kern w:val="0"/>
          <w:sz w:val="24"/>
          <w:highlight w:val="none"/>
        </w:rPr>
        <w:t>乙方送达地址和联系方式为：</w:t>
      </w:r>
    </w:p>
    <w:p>
      <w:pPr>
        <w:shd w:val="clear" w:color="auto" w:fill="FFFFFF"/>
        <w:spacing w:after="0" w:line="440" w:lineRule="exact"/>
        <w:ind w:firstLine="480" w:firstLineChars="200"/>
        <w:jc w:val="left"/>
        <w:rPr>
          <w:rFonts w:ascii="仿宋" w:hAnsi="仿宋" w:eastAsia="仿宋" w:cs="宋体"/>
          <w:color w:val="333333"/>
          <w:kern w:val="0"/>
          <w:sz w:val="24"/>
          <w:highlight w:val="none"/>
        </w:rPr>
      </w:pPr>
      <w:r>
        <w:rPr>
          <w:rFonts w:hint="eastAsia" w:ascii="仿宋" w:hAnsi="仿宋" w:eastAsia="仿宋" w:cs="宋体"/>
          <w:color w:val="333333"/>
          <w:kern w:val="0"/>
          <w:sz w:val="24"/>
          <w:highlight w:val="none"/>
        </w:rPr>
        <w:t>4、</w:t>
      </w:r>
      <w:r>
        <w:rPr>
          <w:rFonts w:ascii="仿宋" w:hAnsi="仿宋" w:eastAsia="仿宋" w:cs="宋体"/>
          <w:color w:val="333333"/>
          <w:kern w:val="0"/>
          <w:sz w:val="24"/>
          <w:highlight w:val="none"/>
        </w:rPr>
        <w:t>通讯地址和联系方式适用期间。上述通讯地址和联系方式适用至本合同履行完毕或争议经过一审、二审至案件执行终结时止，除非各方依下款告知变更。</w:t>
      </w:r>
    </w:p>
    <w:p>
      <w:pPr>
        <w:shd w:val="clear" w:color="auto" w:fill="FFFFFF"/>
        <w:spacing w:after="0" w:line="440" w:lineRule="exact"/>
        <w:ind w:firstLine="480" w:firstLineChars="200"/>
        <w:jc w:val="left"/>
        <w:rPr>
          <w:rFonts w:ascii="仿宋" w:hAnsi="仿宋" w:eastAsia="仿宋" w:cs="宋体"/>
          <w:color w:val="333333"/>
          <w:kern w:val="0"/>
          <w:sz w:val="24"/>
          <w:highlight w:val="none"/>
        </w:rPr>
      </w:pPr>
      <w:r>
        <w:rPr>
          <w:rFonts w:hint="eastAsia" w:ascii="仿宋" w:hAnsi="仿宋" w:eastAsia="仿宋" w:cs="宋体"/>
          <w:color w:val="333333"/>
          <w:kern w:val="0"/>
          <w:sz w:val="24"/>
          <w:highlight w:val="none"/>
        </w:rPr>
        <w:t>5、</w:t>
      </w:r>
      <w:r>
        <w:rPr>
          <w:rFonts w:ascii="仿宋" w:hAnsi="仿宋" w:eastAsia="仿宋" w:cs="宋体"/>
          <w:color w:val="333333"/>
          <w:kern w:val="0"/>
          <w:sz w:val="24"/>
          <w:highlight w:val="none"/>
        </w:rPr>
        <w:t>通讯地址和联系方式的变更。任何一方通讯地址和联系方式需要变更的，应提前五个工作日向合同其他方和司法机关送交书面变更告知书(若争议已经进入司法程序解决)。</w:t>
      </w:r>
    </w:p>
    <w:p>
      <w:pPr>
        <w:shd w:val="clear" w:color="auto" w:fill="FFFFFF"/>
        <w:spacing w:after="0" w:line="440" w:lineRule="exact"/>
        <w:ind w:firstLine="480" w:firstLineChars="200"/>
        <w:jc w:val="left"/>
        <w:rPr>
          <w:rFonts w:ascii="仿宋" w:hAnsi="仿宋" w:eastAsia="仿宋" w:cs="宋体"/>
          <w:color w:val="333333"/>
          <w:kern w:val="0"/>
          <w:sz w:val="24"/>
          <w:highlight w:val="none"/>
        </w:rPr>
      </w:pPr>
      <w:r>
        <w:rPr>
          <w:rFonts w:hint="eastAsia" w:ascii="仿宋" w:hAnsi="仿宋" w:eastAsia="仿宋" w:cs="宋体"/>
          <w:color w:val="333333"/>
          <w:kern w:val="0"/>
          <w:sz w:val="24"/>
          <w:highlight w:val="none"/>
        </w:rPr>
        <w:t>6、</w:t>
      </w:r>
      <w:r>
        <w:rPr>
          <w:rFonts w:ascii="仿宋" w:hAnsi="仿宋" w:eastAsia="仿宋" w:cs="宋体"/>
          <w:color w:val="333333"/>
          <w:kern w:val="0"/>
          <w:sz w:val="24"/>
          <w:highlight w:val="none"/>
        </w:rPr>
        <w:t>合同各方均承诺：上述确认的通讯地址和联系方式真实有效，如有错误，导致的商业信函和诉讼文书送达不能的法律后果由自己承担。</w:t>
      </w:r>
    </w:p>
    <w:p>
      <w:pPr>
        <w:shd w:val="clear" w:color="auto" w:fill="FFFFFF"/>
        <w:spacing w:after="0" w:line="440" w:lineRule="exact"/>
        <w:ind w:firstLine="480" w:firstLineChars="200"/>
        <w:jc w:val="left"/>
        <w:rPr>
          <w:rFonts w:ascii="仿宋" w:hAnsi="仿宋" w:eastAsia="仿宋" w:cs="宋体"/>
          <w:color w:val="333333"/>
          <w:kern w:val="0"/>
          <w:sz w:val="24"/>
          <w:highlight w:val="none"/>
        </w:rPr>
      </w:pPr>
      <w:r>
        <w:rPr>
          <w:rFonts w:hint="eastAsia" w:ascii="仿宋" w:hAnsi="仿宋" w:eastAsia="仿宋" w:cs="宋体"/>
          <w:color w:val="333333"/>
          <w:kern w:val="0"/>
          <w:sz w:val="24"/>
          <w:highlight w:val="none"/>
        </w:rPr>
        <w:t>7、</w:t>
      </w:r>
      <w:r>
        <w:rPr>
          <w:rFonts w:ascii="仿宋" w:hAnsi="仿宋" w:eastAsia="仿宋" w:cs="宋体"/>
          <w:color w:val="333333"/>
          <w:kern w:val="0"/>
          <w:sz w:val="24"/>
          <w:highlight w:val="none"/>
        </w:rPr>
        <w:t>风险提示。合同各方均明知：因各方提供或者确认的送达地址和联系方式不准确、 或者送达地址变更后未及时依程序告知对方和司法机关、或者当事人和指定接收人拒绝签收等原因，导致诉讼文书未能被当事人实际接收，邮寄送达的，以文书退回之日视为送达之日；直接送达的，送达人当场在送达回证上记明情况之日视为送达之日。</w:t>
      </w:r>
    </w:p>
    <w:p>
      <w:pPr>
        <w:spacing w:after="0" w:line="440" w:lineRule="exact"/>
        <w:ind w:firstLine="480" w:firstLineChars="200"/>
        <w:rPr>
          <w:rFonts w:ascii="仿宋" w:hAnsi="仿宋" w:eastAsia="仿宋" w:cs="仿宋"/>
          <w:sz w:val="24"/>
        </w:rPr>
      </w:pPr>
      <w:r>
        <w:rPr>
          <w:rFonts w:hint="eastAsia" w:ascii="仿宋" w:hAnsi="仿宋" w:eastAsia="仿宋" w:cs="仿宋"/>
          <w:sz w:val="24"/>
          <w:highlight w:val="none"/>
        </w:rPr>
        <w:t>（五）本合同壹式陆份，甲方执叁份，乙方执贰</w:t>
      </w:r>
      <w:r>
        <w:rPr>
          <w:rFonts w:hint="eastAsia" w:ascii="仿宋" w:hAnsi="仿宋" w:eastAsia="仿宋" w:cs="仿宋"/>
          <w:sz w:val="24"/>
        </w:rPr>
        <w:t>份，代理机构执壹份，具有同等法律效力。</w:t>
      </w:r>
    </w:p>
    <w:p>
      <w:pPr>
        <w:pStyle w:val="2"/>
        <w:spacing w:after="0" w:line="440" w:lineRule="exact"/>
        <w:rPr>
          <w:rFonts w:ascii="仿宋" w:hAnsi="仿宋" w:eastAsia="仿宋" w:cs="仿宋"/>
          <w:sz w:val="24"/>
        </w:rPr>
      </w:pPr>
    </w:p>
    <w:p>
      <w:pPr>
        <w:pStyle w:val="2"/>
        <w:spacing w:after="0" w:line="440" w:lineRule="exact"/>
        <w:ind w:left="1455" w:leftChars="350" w:hanging="720" w:hangingChars="300"/>
        <w:rPr>
          <w:rFonts w:ascii="仿宋" w:hAnsi="仿宋" w:eastAsia="仿宋" w:cs="仿宋"/>
          <w:sz w:val="24"/>
        </w:rPr>
      </w:pPr>
      <w:r>
        <w:rPr>
          <w:rFonts w:hint="eastAsia" w:ascii="仿宋" w:hAnsi="仿宋" w:eastAsia="仿宋" w:cs="仿宋"/>
          <w:sz w:val="24"/>
        </w:rPr>
        <w:t>附件：生活垃圾压缩站渗滤液及冲洗废水处理服务项目考核办法</w:t>
      </w:r>
    </w:p>
    <w:p>
      <w:pPr>
        <w:pStyle w:val="2"/>
        <w:spacing w:line="560" w:lineRule="exact"/>
        <w:ind w:firstLine="630"/>
        <w:rPr>
          <w:rFonts w:ascii="仿宋" w:hAnsi="仿宋" w:eastAsia="仿宋" w:cs="仿宋"/>
          <w:szCs w:val="21"/>
        </w:rPr>
      </w:pPr>
    </w:p>
    <w:p>
      <w:pPr>
        <w:spacing w:line="560" w:lineRule="exact"/>
        <w:rPr>
          <w:rFonts w:ascii="仿宋" w:hAnsi="仿宋" w:eastAsia="仿宋" w:cs="仿宋"/>
          <w:szCs w:val="21"/>
        </w:rPr>
      </w:pPr>
      <w:r>
        <w:rPr>
          <w:rFonts w:hint="eastAsia" w:ascii="仿宋" w:hAnsi="仿宋" w:eastAsia="仿宋" w:cs="仿宋"/>
          <w:szCs w:val="21"/>
        </w:rPr>
        <w:t xml:space="preserve">甲方：（盖章）                  乙方： </w:t>
      </w:r>
    </w:p>
    <w:p>
      <w:pPr>
        <w:spacing w:line="560" w:lineRule="exact"/>
        <w:rPr>
          <w:rFonts w:ascii="仿宋" w:hAnsi="仿宋" w:eastAsia="仿宋" w:cs="仿宋"/>
          <w:szCs w:val="21"/>
        </w:rPr>
      </w:pPr>
      <w:r>
        <w:rPr>
          <w:rFonts w:hint="eastAsia" w:ascii="仿宋" w:hAnsi="仿宋" w:eastAsia="仿宋" w:cs="仿宋"/>
          <w:szCs w:val="21"/>
        </w:rPr>
        <w:t>法定代表人（授权代表）：        法定代表人（授权代表）：</w:t>
      </w:r>
    </w:p>
    <w:p>
      <w:pPr>
        <w:spacing w:line="560" w:lineRule="exact"/>
        <w:rPr>
          <w:rFonts w:ascii="仿宋" w:hAnsi="仿宋" w:eastAsia="仿宋" w:cs="仿宋"/>
          <w:szCs w:val="21"/>
        </w:rPr>
      </w:pPr>
      <w:r>
        <w:rPr>
          <w:rFonts w:hint="eastAsia" w:ascii="仿宋" w:hAnsi="仿宋" w:eastAsia="仿宋" w:cs="仿宋"/>
          <w:szCs w:val="21"/>
        </w:rPr>
        <w:t>经办人：                       经办人：</w:t>
      </w:r>
    </w:p>
    <w:p>
      <w:pPr>
        <w:spacing w:line="560" w:lineRule="exact"/>
        <w:rPr>
          <w:rFonts w:ascii="仿宋" w:hAnsi="仿宋" w:eastAsia="仿宋" w:cs="仿宋"/>
          <w:szCs w:val="21"/>
        </w:rPr>
      </w:pPr>
      <w:r>
        <w:rPr>
          <w:rFonts w:hint="eastAsia" w:ascii="仿宋" w:hAnsi="仿宋" w:eastAsia="仿宋" w:cs="仿宋"/>
          <w:szCs w:val="21"/>
        </w:rPr>
        <w:t xml:space="preserve">开户银行：                     开户银行： </w:t>
      </w:r>
    </w:p>
    <w:p>
      <w:pPr>
        <w:spacing w:line="560" w:lineRule="exact"/>
        <w:rPr>
          <w:rFonts w:ascii="仿宋" w:hAnsi="仿宋" w:eastAsia="仿宋" w:cs="仿宋"/>
          <w:szCs w:val="21"/>
        </w:rPr>
      </w:pPr>
      <w:r>
        <w:rPr>
          <w:rFonts w:hint="eastAsia" w:ascii="仿宋" w:hAnsi="仿宋" w:eastAsia="仿宋" w:cs="仿宋"/>
          <w:szCs w:val="21"/>
        </w:rPr>
        <w:t>账号：                         账号：</w:t>
      </w:r>
    </w:p>
    <w:p>
      <w:pPr>
        <w:spacing w:line="560" w:lineRule="exact"/>
        <w:rPr>
          <w:rFonts w:ascii="仿宋" w:hAnsi="仿宋" w:eastAsia="仿宋" w:cs="仿宋"/>
          <w:szCs w:val="21"/>
        </w:rPr>
      </w:pPr>
      <w:r>
        <w:rPr>
          <w:rFonts w:hint="eastAsia" w:ascii="仿宋" w:hAnsi="仿宋" w:eastAsia="仿宋" w:cs="仿宋"/>
          <w:szCs w:val="21"/>
        </w:rPr>
        <w:t>电话：                         电话：</w:t>
      </w:r>
    </w:p>
    <w:p>
      <w:pPr>
        <w:pStyle w:val="35"/>
        <w:spacing w:line="560" w:lineRule="exact"/>
        <w:ind w:firstLine="420"/>
        <w:rPr>
          <w:rFonts w:ascii="仿宋" w:hAnsi="仿宋" w:eastAsia="仿宋" w:cs="仿宋"/>
          <w:sz w:val="21"/>
          <w:szCs w:val="21"/>
        </w:rPr>
      </w:pPr>
    </w:p>
    <w:p>
      <w:pPr>
        <w:spacing w:line="400" w:lineRule="exact"/>
        <w:jc w:val="left"/>
        <w:rPr>
          <w:rFonts w:ascii="仿宋" w:hAnsi="仿宋" w:eastAsia="仿宋" w:cs="仿宋"/>
          <w:szCs w:val="21"/>
        </w:rPr>
      </w:pPr>
      <w:r>
        <w:rPr>
          <w:rFonts w:hint="eastAsia" w:ascii="仿宋" w:hAnsi="仿宋" w:eastAsia="仿宋" w:cs="仿宋"/>
          <w:szCs w:val="21"/>
        </w:rPr>
        <w:t>签约日期：</w:t>
      </w:r>
    </w:p>
    <w:p>
      <w:pPr>
        <w:spacing w:line="360" w:lineRule="auto"/>
        <w:ind w:left="239" w:leftChars="114"/>
        <w:rPr>
          <w:rFonts w:ascii="仿宋" w:hAnsi="仿宋" w:eastAsia="仿宋" w:cs="仿宋"/>
          <w:sz w:val="24"/>
        </w:rPr>
        <w:sectPr>
          <w:pgSz w:w="11906" w:h="16838"/>
          <w:pgMar w:top="1440" w:right="1800" w:bottom="1440" w:left="1800" w:header="851" w:footer="992" w:gutter="0"/>
          <w:cols w:space="720" w:num="1"/>
          <w:docGrid w:type="lines" w:linePitch="312" w:charSpace="0"/>
        </w:sectPr>
      </w:pPr>
      <w:r>
        <w:rPr>
          <w:rFonts w:hint="eastAsia" w:ascii="仿宋" w:hAnsi="仿宋" w:eastAsia="仿宋" w:cs="仿宋"/>
          <w:szCs w:val="21"/>
        </w:rPr>
        <w:br w:type="page"/>
      </w:r>
      <w:bookmarkEnd w:id="25"/>
    </w:p>
    <w:p>
      <w:pPr>
        <w:rPr>
          <w:rFonts w:ascii="仿宋" w:hAnsi="仿宋" w:eastAsia="仿宋" w:cs="仿宋"/>
        </w:rPr>
      </w:pPr>
      <w:r>
        <w:rPr>
          <w:rFonts w:hint="eastAsia" w:ascii="仿宋" w:hAnsi="仿宋" w:eastAsia="仿宋" w:cs="仿宋"/>
        </w:rPr>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pPr>
        <w:widowControl/>
        <w:jc w:val="left"/>
        <w:rPr>
          <w:rFonts w:ascii="仿宋" w:hAnsi="仿宋" w:eastAsia="仿宋" w:cs="仿宋"/>
        </w:rPr>
      </w:pPr>
      <w:r>
        <w:rPr>
          <w:rFonts w:hint="eastAsia" w:ascii="仿宋" w:hAnsi="仿宋" w:eastAsia="仿宋" w:cs="仿宋"/>
        </w:rPr>
        <w:br w:type="page"/>
      </w:r>
    </w:p>
    <w:p>
      <w:pPr>
        <w:rPr>
          <w:rFonts w:ascii="仿宋" w:hAnsi="仿宋" w:eastAsia="仿宋" w:cs="仿宋"/>
        </w:rPr>
      </w:pPr>
      <w:r>
        <w:rPr>
          <w:rFonts w:hint="eastAsia" w:ascii="仿宋" w:hAnsi="仿宋" w:eastAsia="仿宋" w:cs="仿宋"/>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drawing>
          <wp:inline distT="0" distB="0" distL="0" distR="0">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drawing>
          <wp:inline distT="0" distB="0" distL="0" distR="0">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drawing>
          <wp:inline distT="0" distB="0" distL="0" distR="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drawing>
          <wp:inline distT="0" distB="0" distL="0" distR="0">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drawing>
          <wp:inline distT="0" distB="0" distL="0" distR="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drawing>
          <wp:inline distT="0" distB="0" distL="0" distR="0">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Pr>
          <w:rFonts w:hint="eastAsia" w:ascii="仿宋" w:hAnsi="仿宋" w:eastAsia="仿宋" w:cs="仿宋"/>
        </w:rPr>
        <w:drawing>
          <wp:inline distT="0" distB="0" distL="0" distR="0">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p>
    <w:p>
      <w:pPr>
        <w:spacing w:line="400" w:lineRule="exact"/>
        <w:rPr>
          <w:rFonts w:ascii="仿宋" w:hAnsi="仿宋" w:eastAsia="仿宋" w:cs="仿宋"/>
          <w:b/>
          <w:sz w:val="30"/>
          <w:szCs w:val="30"/>
        </w:rPr>
      </w:pPr>
    </w:p>
    <w:p>
      <w:pPr>
        <w:rPr>
          <w:rFonts w:ascii="仿宋" w:hAnsi="仿宋" w:eastAsia="仿宋" w:cs="仿宋"/>
        </w:rPr>
      </w:pPr>
      <w:r>
        <w:rPr>
          <w:rFonts w:hint="eastAsia" w:ascii="仿宋" w:hAnsi="仿宋" w:eastAsia="仿宋" w:cs="仿宋"/>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ascii="仿宋" w:hAnsi="仿宋" w:eastAsia="仿宋" w:cs="仿宋"/>
        </w:rPr>
      </w:pP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spacing w:line="360" w:lineRule="auto"/>
        <w:rPr>
          <w:rFonts w:ascii="仿宋" w:hAnsi="仿宋" w:eastAsia="仿宋" w:cs="仿宋"/>
          <w:sz w:val="24"/>
        </w:rPr>
      </w:pPr>
    </w:p>
    <w:sectPr>
      <w:footerReference r:id="rId8" w:type="default"/>
      <w:footerReference r:id="rId9" w:type="even"/>
      <w:pgSz w:w="11906" w:h="16838"/>
      <w:pgMar w:top="720" w:right="1274" w:bottom="720" w:left="1276" w:header="851" w:footer="992" w:gutter="0"/>
      <w:cols w:space="720"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Eʩ">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2010601030101010101"/>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path/>
          <v:fill on="f" focussize="0,0"/>
          <v:stroke on="f" weight="0.5pt" joinstyle="miter"/>
          <v:imagedata o:title=""/>
          <o:lock v:ext="edit"/>
          <v:textbox inset="0mm,0mm,0mm,0mm" style="mso-fit-shape-to-text:t;">
            <w:txbxContent>
              <w:p>
                <w:pPr>
                  <w:pStyle w:val="17"/>
                </w:pPr>
                <w:r>
                  <w:fldChar w:fldCharType="begin"/>
                </w:r>
                <w:r>
                  <w:instrText xml:space="preserve"> PAGE  \* MERGEFORMAT </w:instrText>
                </w:r>
                <w:r>
                  <w:fldChar w:fldCharType="separate"/>
                </w:r>
                <w:r>
                  <w:t>31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shape id="_x0000_s1030" o:spid="_x0000_s1030"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path/>
          <v:fill on="f" focussize="0,0"/>
          <v:stroke on="f" weight="0.5pt" joinstyle="miter"/>
          <v:imagedata o:title=""/>
          <o:lock v:ext="edit"/>
          <v:textbox inset="0mm,0mm,0mm,0mm" style="mso-fit-shape-to-text:t;">
            <w:txbxContent>
              <w:p>
                <w:pPr>
                  <w:pStyle w:val="17"/>
                </w:pPr>
                <w:r>
                  <w:fldChar w:fldCharType="begin"/>
                </w:r>
                <w:r>
                  <w:instrText xml:space="preserve"> PAGE  \* MERGEFORMAT </w:instrText>
                </w:r>
                <w:r>
                  <w:fldChar w:fldCharType="separate"/>
                </w:r>
                <w:r>
                  <w:t>80</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shape id="_x0000_s1029" o:spid="_x0000_s1029"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path/>
          <v:fill on="f" focussize="0,0"/>
          <v:stroke on="f" weight="0.5pt" joinstyle="miter"/>
          <v:imagedata o:title=""/>
          <o:lock v:ext="edit"/>
          <v:textbox inset="0mm,0mm,0mm,0mm" style="mso-fit-shape-to-text:t;">
            <w:txbxContent>
              <w:p>
                <w:pPr>
                  <w:pStyle w:val="17"/>
                </w:pPr>
                <w:r>
                  <w:fldChar w:fldCharType="begin"/>
                </w:r>
                <w:r>
                  <w:instrText xml:space="preserve"> PAGE  \* MERGEFORMAT </w:instrText>
                </w:r>
                <w:r>
                  <w:fldChar w:fldCharType="separate"/>
                </w:r>
                <w:r>
                  <w:t>81</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1028" o:spid="_x0000_s1028"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path/>
          <v:fill on="f" focussize="0,0"/>
          <v:stroke on="f" weight="0.5pt" joinstyle="miter"/>
          <v:imagedata o:title=""/>
          <o:lock v:ext="edit"/>
          <v:textbox inset="0mm,0mm,0mm,0mm" style="mso-fit-shape-to-text:t;">
            <w:txbxContent>
              <w:p>
                <w:pPr>
                  <w:pStyle w:val="17"/>
                </w:pPr>
                <w:r>
                  <w:fldChar w:fldCharType="begin"/>
                </w:r>
                <w:r>
                  <w:instrText xml:space="preserve"> PAGE  \* MERGEFORMAT </w:instrText>
                </w:r>
                <w:r>
                  <w:fldChar w:fldCharType="separate"/>
                </w:r>
                <w:r>
                  <w:t>107</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pPr>
    <w:r>
      <w:pict>
        <v:shape id="_x0000_s1027" o:spid="_x0000_s1027"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path/>
          <v:fill on="f" focussize="0,0"/>
          <v:stroke on="f" weight="0.5pt" joinstyle="miter"/>
          <v:imagedata o:title=""/>
          <o:lock v:ext="edit"/>
          <v:textbox inset="0mm,0mm,0mm,0mm" style="mso-fit-shape-to-text:t;">
            <w:txbxContent>
              <w:p>
                <w:pPr>
                  <w:pStyle w:val="17"/>
                </w:pPr>
                <w:r>
                  <w:fldChar w:fldCharType="begin"/>
                </w:r>
                <w:r>
                  <w:instrText xml:space="preserve"> PAGE  \* MERGEFORMAT </w:instrText>
                </w:r>
                <w:r>
                  <w:fldChar w:fldCharType="separate"/>
                </w:r>
                <w:r>
                  <w:t>108</w:t>
                </w:r>
                <w:r>
                  <w:fldChar w:fldCharType="end"/>
                </w:r>
              </w:p>
            </w:txbxContent>
          </v:textbox>
        </v:shape>
      </w:pict>
    </w:r>
  </w:p>
  <w:p/>
  <w:p/>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multilevel"/>
    <w:tmpl w:val="00000006"/>
    <w:lvl w:ilvl="0" w:tentative="0">
      <w:start w:val="1"/>
      <w:numFmt w:val="decimal"/>
      <w:suff w:val="nothing"/>
      <w:lvlText w:val="%1."/>
      <w:lvlJc w:val="left"/>
      <w:pPr>
        <w:ind w:left="986" w:hanging="420"/>
      </w:pPr>
      <w:rPr>
        <w:rFonts w:hint="eastAsia"/>
      </w:rPr>
    </w:lvl>
    <w:lvl w:ilvl="1" w:tentative="0">
      <w:start w:val="1"/>
      <w:numFmt w:val="lowerLetter"/>
      <w:lvlText w:val="%2)"/>
      <w:lvlJc w:val="left"/>
      <w:pPr>
        <w:ind w:left="1596" w:hanging="420"/>
      </w:pPr>
    </w:lvl>
    <w:lvl w:ilvl="2" w:tentative="0">
      <w:start w:val="1"/>
      <w:numFmt w:val="lowerRoman"/>
      <w:lvlText w:val="%3."/>
      <w:lvlJc w:val="right"/>
      <w:pPr>
        <w:ind w:left="2016" w:hanging="420"/>
      </w:pPr>
    </w:lvl>
    <w:lvl w:ilvl="3" w:tentative="0">
      <w:start w:val="1"/>
      <w:numFmt w:val="decimal"/>
      <w:lvlText w:val="%4."/>
      <w:lvlJc w:val="left"/>
      <w:pPr>
        <w:ind w:left="2436" w:hanging="420"/>
      </w:pPr>
    </w:lvl>
    <w:lvl w:ilvl="4" w:tentative="0">
      <w:start w:val="1"/>
      <w:numFmt w:val="lowerLetter"/>
      <w:pStyle w:val="36"/>
      <w:lvlText w:val="%5)"/>
      <w:lvlJc w:val="left"/>
      <w:pPr>
        <w:ind w:left="2856" w:hanging="420"/>
      </w:pPr>
    </w:lvl>
    <w:lvl w:ilvl="5" w:tentative="0">
      <w:start w:val="1"/>
      <w:numFmt w:val="lowerRoman"/>
      <w:lvlText w:val="%6."/>
      <w:lvlJc w:val="right"/>
      <w:pPr>
        <w:ind w:left="3276" w:hanging="420"/>
      </w:pPr>
    </w:lvl>
    <w:lvl w:ilvl="6" w:tentative="0">
      <w:start w:val="1"/>
      <w:numFmt w:val="decimal"/>
      <w:lvlText w:val="%7."/>
      <w:lvlJc w:val="left"/>
      <w:pPr>
        <w:ind w:left="3696" w:hanging="420"/>
      </w:pPr>
    </w:lvl>
    <w:lvl w:ilvl="7" w:tentative="0">
      <w:start w:val="1"/>
      <w:numFmt w:val="lowerLetter"/>
      <w:lvlText w:val="%8)"/>
      <w:lvlJc w:val="left"/>
      <w:pPr>
        <w:ind w:left="4116" w:hanging="420"/>
      </w:pPr>
    </w:lvl>
    <w:lvl w:ilvl="8" w:tentative="0">
      <w:start w:val="1"/>
      <w:numFmt w:val="lowerRoman"/>
      <w:lvlText w:val="%9."/>
      <w:lvlJc w:val="right"/>
      <w:pPr>
        <w:ind w:left="4536" w:hanging="420"/>
      </w:pPr>
    </w:lvl>
  </w:abstractNum>
  <w:abstractNum w:abstractNumId="1">
    <w:nsid w:val="58EC9FF9"/>
    <w:multiLevelType w:val="singleLevel"/>
    <w:tmpl w:val="58EC9FF9"/>
    <w:lvl w:ilvl="0" w:tentative="0">
      <w:start w:val="2"/>
      <w:numFmt w:val="decimal"/>
      <w:suff w:val="nothing"/>
      <w:lvlText w:val="%1、"/>
      <w:lvlJc w:val="left"/>
    </w:lvl>
  </w:abstractNum>
  <w:abstractNum w:abstractNumId="2">
    <w:nsid w:val="591AB71D"/>
    <w:multiLevelType w:val="singleLevel"/>
    <w:tmpl w:val="591AB71D"/>
    <w:lvl w:ilvl="0" w:tentative="0">
      <w:start w:val="2"/>
      <w:numFmt w:val="chineseCounting"/>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evenAndOddHeaders w:val="1"/>
  <w:drawingGridHorizontalSpacing w:val="105"/>
  <w:drawingGridVerticalSpacing w:val="319"/>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A683D"/>
    <w:rsid w:val="00002C84"/>
    <w:rsid w:val="00004B77"/>
    <w:rsid w:val="00005DD3"/>
    <w:rsid w:val="00006C3B"/>
    <w:rsid w:val="00012AD0"/>
    <w:rsid w:val="00013ADD"/>
    <w:rsid w:val="00020B5C"/>
    <w:rsid w:val="0003159C"/>
    <w:rsid w:val="0003174E"/>
    <w:rsid w:val="0003636B"/>
    <w:rsid w:val="00036EEF"/>
    <w:rsid w:val="0003748E"/>
    <w:rsid w:val="000504B2"/>
    <w:rsid w:val="000557FD"/>
    <w:rsid w:val="00056EB2"/>
    <w:rsid w:val="000608CE"/>
    <w:rsid w:val="00062DAC"/>
    <w:rsid w:val="00067FFA"/>
    <w:rsid w:val="0007248A"/>
    <w:rsid w:val="00080C10"/>
    <w:rsid w:val="00082BFC"/>
    <w:rsid w:val="00082DF2"/>
    <w:rsid w:val="00084443"/>
    <w:rsid w:val="00084ED2"/>
    <w:rsid w:val="000860FB"/>
    <w:rsid w:val="000964BE"/>
    <w:rsid w:val="00097F7C"/>
    <w:rsid w:val="000A138A"/>
    <w:rsid w:val="000A1718"/>
    <w:rsid w:val="000A246A"/>
    <w:rsid w:val="000A6E82"/>
    <w:rsid w:val="000A70F2"/>
    <w:rsid w:val="000B20FB"/>
    <w:rsid w:val="000B493D"/>
    <w:rsid w:val="000B6577"/>
    <w:rsid w:val="000C209D"/>
    <w:rsid w:val="000C223E"/>
    <w:rsid w:val="000C297C"/>
    <w:rsid w:val="000C6FE5"/>
    <w:rsid w:val="000D147D"/>
    <w:rsid w:val="000D22E0"/>
    <w:rsid w:val="000D611D"/>
    <w:rsid w:val="000D717B"/>
    <w:rsid w:val="000E21F8"/>
    <w:rsid w:val="000E515F"/>
    <w:rsid w:val="000F2BED"/>
    <w:rsid w:val="000F3201"/>
    <w:rsid w:val="000F7242"/>
    <w:rsid w:val="000F789C"/>
    <w:rsid w:val="00101EDC"/>
    <w:rsid w:val="00101FA6"/>
    <w:rsid w:val="00103B64"/>
    <w:rsid w:val="00106212"/>
    <w:rsid w:val="001068FD"/>
    <w:rsid w:val="001117A8"/>
    <w:rsid w:val="00114138"/>
    <w:rsid w:val="001149A8"/>
    <w:rsid w:val="00120F20"/>
    <w:rsid w:val="001300AD"/>
    <w:rsid w:val="001324D0"/>
    <w:rsid w:val="00132EA0"/>
    <w:rsid w:val="001428A0"/>
    <w:rsid w:val="001442A1"/>
    <w:rsid w:val="00151E37"/>
    <w:rsid w:val="00155AAC"/>
    <w:rsid w:val="00165513"/>
    <w:rsid w:val="00175D34"/>
    <w:rsid w:val="001833F5"/>
    <w:rsid w:val="00190CE4"/>
    <w:rsid w:val="00196774"/>
    <w:rsid w:val="001976B7"/>
    <w:rsid w:val="001A34F3"/>
    <w:rsid w:val="001A5C03"/>
    <w:rsid w:val="001A6131"/>
    <w:rsid w:val="001B1735"/>
    <w:rsid w:val="001B3D1C"/>
    <w:rsid w:val="001B4294"/>
    <w:rsid w:val="001B6171"/>
    <w:rsid w:val="001C03A0"/>
    <w:rsid w:val="001C2181"/>
    <w:rsid w:val="001C32CC"/>
    <w:rsid w:val="001C6ECA"/>
    <w:rsid w:val="001D4690"/>
    <w:rsid w:val="001D4B8D"/>
    <w:rsid w:val="001E1ED1"/>
    <w:rsid w:val="001E714D"/>
    <w:rsid w:val="001E755B"/>
    <w:rsid w:val="001E7DDD"/>
    <w:rsid w:val="001F1371"/>
    <w:rsid w:val="001F18EB"/>
    <w:rsid w:val="001F1972"/>
    <w:rsid w:val="001F28BA"/>
    <w:rsid w:val="00204A0D"/>
    <w:rsid w:val="002120E1"/>
    <w:rsid w:val="002129B6"/>
    <w:rsid w:val="00213E1D"/>
    <w:rsid w:val="00215550"/>
    <w:rsid w:val="002219F1"/>
    <w:rsid w:val="00223F63"/>
    <w:rsid w:val="00227111"/>
    <w:rsid w:val="0023234A"/>
    <w:rsid w:val="002324E4"/>
    <w:rsid w:val="002345B5"/>
    <w:rsid w:val="00235C5D"/>
    <w:rsid w:val="0024052C"/>
    <w:rsid w:val="00243F3F"/>
    <w:rsid w:val="00245839"/>
    <w:rsid w:val="002504CA"/>
    <w:rsid w:val="00251408"/>
    <w:rsid w:val="00255293"/>
    <w:rsid w:val="00261B14"/>
    <w:rsid w:val="002636ED"/>
    <w:rsid w:val="002678E1"/>
    <w:rsid w:val="002703ED"/>
    <w:rsid w:val="00272A05"/>
    <w:rsid w:val="00280DAE"/>
    <w:rsid w:val="00282423"/>
    <w:rsid w:val="00285CF5"/>
    <w:rsid w:val="00286A2D"/>
    <w:rsid w:val="002A44C8"/>
    <w:rsid w:val="002B2897"/>
    <w:rsid w:val="002B3F90"/>
    <w:rsid w:val="002B5934"/>
    <w:rsid w:val="002B6198"/>
    <w:rsid w:val="002B734E"/>
    <w:rsid w:val="002C0599"/>
    <w:rsid w:val="002C1197"/>
    <w:rsid w:val="002D2655"/>
    <w:rsid w:val="002D7775"/>
    <w:rsid w:val="002E2A8B"/>
    <w:rsid w:val="002E5B6F"/>
    <w:rsid w:val="002E7BF5"/>
    <w:rsid w:val="002F2C9B"/>
    <w:rsid w:val="002F56EB"/>
    <w:rsid w:val="002F5B9B"/>
    <w:rsid w:val="00301AC0"/>
    <w:rsid w:val="00303552"/>
    <w:rsid w:val="00303E08"/>
    <w:rsid w:val="00314A71"/>
    <w:rsid w:val="0031619E"/>
    <w:rsid w:val="0033181B"/>
    <w:rsid w:val="00340DA5"/>
    <w:rsid w:val="00341228"/>
    <w:rsid w:val="0034212B"/>
    <w:rsid w:val="00347D96"/>
    <w:rsid w:val="00347E3A"/>
    <w:rsid w:val="003523E4"/>
    <w:rsid w:val="00353219"/>
    <w:rsid w:val="00357EC1"/>
    <w:rsid w:val="00363398"/>
    <w:rsid w:val="003651A1"/>
    <w:rsid w:val="003738E0"/>
    <w:rsid w:val="00374D58"/>
    <w:rsid w:val="0038006F"/>
    <w:rsid w:val="00381DA3"/>
    <w:rsid w:val="003A0382"/>
    <w:rsid w:val="003A1953"/>
    <w:rsid w:val="003A377C"/>
    <w:rsid w:val="003B2DCF"/>
    <w:rsid w:val="003C18FF"/>
    <w:rsid w:val="003C2287"/>
    <w:rsid w:val="003C6143"/>
    <w:rsid w:val="003C6641"/>
    <w:rsid w:val="003D2A93"/>
    <w:rsid w:val="003E01B3"/>
    <w:rsid w:val="003E1ABC"/>
    <w:rsid w:val="003E207C"/>
    <w:rsid w:val="003E77F8"/>
    <w:rsid w:val="003E7E7A"/>
    <w:rsid w:val="003F0AB3"/>
    <w:rsid w:val="003F5469"/>
    <w:rsid w:val="003F5605"/>
    <w:rsid w:val="003F5BCC"/>
    <w:rsid w:val="00400DA8"/>
    <w:rsid w:val="0040504D"/>
    <w:rsid w:val="00406398"/>
    <w:rsid w:val="004065FA"/>
    <w:rsid w:val="00410564"/>
    <w:rsid w:val="00412BD8"/>
    <w:rsid w:val="00414296"/>
    <w:rsid w:val="00422803"/>
    <w:rsid w:val="00440990"/>
    <w:rsid w:val="00445E84"/>
    <w:rsid w:val="00446C3A"/>
    <w:rsid w:val="00447D55"/>
    <w:rsid w:val="00450099"/>
    <w:rsid w:val="0045072B"/>
    <w:rsid w:val="00460537"/>
    <w:rsid w:val="004669AB"/>
    <w:rsid w:val="004711CE"/>
    <w:rsid w:val="00475D4E"/>
    <w:rsid w:val="00476799"/>
    <w:rsid w:val="0047730B"/>
    <w:rsid w:val="00482EF1"/>
    <w:rsid w:val="004941BE"/>
    <w:rsid w:val="0049543E"/>
    <w:rsid w:val="004A0EA6"/>
    <w:rsid w:val="004B0037"/>
    <w:rsid w:val="004B0E46"/>
    <w:rsid w:val="004D104E"/>
    <w:rsid w:val="004D1906"/>
    <w:rsid w:val="004F18F5"/>
    <w:rsid w:val="004F7496"/>
    <w:rsid w:val="00516420"/>
    <w:rsid w:val="00517396"/>
    <w:rsid w:val="00521311"/>
    <w:rsid w:val="00522DAA"/>
    <w:rsid w:val="00522F78"/>
    <w:rsid w:val="00523645"/>
    <w:rsid w:val="00523B39"/>
    <w:rsid w:val="00532F79"/>
    <w:rsid w:val="00534F73"/>
    <w:rsid w:val="005429F1"/>
    <w:rsid w:val="00550AED"/>
    <w:rsid w:val="005548CD"/>
    <w:rsid w:val="00563B72"/>
    <w:rsid w:val="00565297"/>
    <w:rsid w:val="005662BB"/>
    <w:rsid w:val="005673D6"/>
    <w:rsid w:val="005717CE"/>
    <w:rsid w:val="005772D0"/>
    <w:rsid w:val="00592FA0"/>
    <w:rsid w:val="0059525C"/>
    <w:rsid w:val="005A3B30"/>
    <w:rsid w:val="005A7342"/>
    <w:rsid w:val="005C16A1"/>
    <w:rsid w:val="005C29DA"/>
    <w:rsid w:val="005C5E35"/>
    <w:rsid w:val="005C5F85"/>
    <w:rsid w:val="005C7CD0"/>
    <w:rsid w:val="005D1E46"/>
    <w:rsid w:val="005D4480"/>
    <w:rsid w:val="005D4FD3"/>
    <w:rsid w:val="005D67AE"/>
    <w:rsid w:val="005D7984"/>
    <w:rsid w:val="005E18A4"/>
    <w:rsid w:val="005E2C23"/>
    <w:rsid w:val="005E3C6A"/>
    <w:rsid w:val="005E4968"/>
    <w:rsid w:val="005E6D76"/>
    <w:rsid w:val="005F0168"/>
    <w:rsid w:val="005F5D17"/>
    <w:rsid w:val="00600D64"/>
    <w:rsid w:val="006026E5"/>
    <w:rsid w:val="00607062"/>
    <w:rsid w:val="006200BC"/>
    <w:rsid w:val="00621179"/>
    <w:rsid w:val="006243C6"/>
    <w:rsid w:val="00626DF7"/>
    <w:rsid w:val="00632F78"/>
    <w:rsid w:val="00635EF8"/>
    <w:rsid w:val="006418EF"/>
    <w:rsid w:val="0064389F"/>
    <w:rsid w:val="00646C87"/>
    <w:rsid w:val="00662E2F"/>
    <w:rsid w:val="0067387B"/>
    <w:rsid w:val="00675DFF"/>
    <w:rsid w:val="00681856"/>
    <w:rsid w:val="00683A41"/>
    <w:rsid w:val="006853DD"/>
    <w:rsid w:val="006A1067"/>
    <w:rsid w:val="006A5C53"/>
    <w:rsid w:val="006C0888"/>
    <w:rsid w:val="006C287B"/>
    <w:rsid w:val="006C770A"/>
    <w:rsid w:val="006D5B77"/>
    <w:rsid w:val="006D68EE"/>
    <w:rsid w:val="006E0AC8"/>
    <w:rsid w:val="006F1ACB"/>
    <w:rsid w:val="006F2FC8"/>
    <w:rsid w:val="006F518F"/>
    <w:rsid w:val="006F6DD0"/>
    <w:rsid w:val="007014F1"/>
    <w:rsid w:val="00707412"/>
    <w:rsid w:val="0071016D"/>
    <w:rsid w:val="00712E8B"/>
    <w:rsid w:val="0072289E"/>
    <w:rsid w:val="007244E6"/>
    <w:rsid w:val="00727576"/>
    <w:rsid w:val="00734D0A"/>
    <w:rsid w:val="00737D7E"/>
    <w:rsid w:val="007452BC"/>
    <w:rsid w:val="00752227"/>
    <w:rsid w:val="007548A1"/>
    <w:rsid w:val="0076081B"/>
    <w:rsid w:val="00760B81"/>
    <w:rsid w:val="00761BF0"/>
    <w:rsid w:val="00767880"/>
    <w:rsid w:val="007710FF"/>
    <w:rsid w:val="007722C3"/>
    <w:rsid w:val="00780725"/>
    <w:rsid w:val="0078713E"/>
    <w:rsid w:val="00791C59"/>
    <w:rsid w:val="00797DAD"/>
    <w:rsid w:val="007A06CA"/>
    <w:rsid w:val="007A21C4"/>
    <w:rsid w:val="007A4232"/>
    <w:rsid w:val="007A5395"/>
    <w:rsid w:val="007A683D"/>
    <w:rsid w:val="007A6B90"/>
    <w:rsid w:val="007C0E57"/>
    <w:rsid w:val="007C2AB7"/>
    <w:rsid w:val="007C2E13"/>
    <w:rsid w:val="007C3C4A"/>
    <w:rsid w:val="007C4463"/>
    <w:rsid w:val="007D0EDC"/>
    <w:rsid w:val="007D1567"/>
    <w:rsid w:val="007D60B4"/>
    <w:rsid w:val="007E0BFA"/>
    <w:rsid w:val="007E5E1D"/>
    <w:rsid w:val="007F3288"/>
    <w:rsid w:val="00800A51"/>
    <w:rsid w:val="00802EA2"/>
    <w:rsid w:val="00804993"/>
    <w:rsid w:val="00807AA2"/>
    <w:rsid w:val="00810496"/>
    <w:rsid w:val="008120D6"/>
    <w:rsid w:val="00812F02"/>
    <w:rsid w:val="00813725"/>
    <w:rsid w:val="00814FCC"/>
    <w:rsid w:val="00822F80"/>
    <w:rsid w:val="00827C4C"/>
    <w:rsid w:val="00831363"/>
    <w:rsid w:val="008355DC"/>
    <w:rsid w:val="00835F45"/>
    <w:rsid w:val="0083602E"/>
    <w:rsid w:val="00840854"/>
    <w:rsid w:val="00843143"/>
    <w:rsid w:val="00846872"/>
    <w:rsid w:val="008547C1"/>
    <w:rsid w:val="00860823"/>
    <w:rsid w:val="00860A8B"/>
    <w:rsid w:val="00864303"/>
    <w:rsid w:val="00864F1F"/>
    <w:rsid w:val="0086618E"/>
    <w:rsid w:val="00871592"/>
    <w:rsid w:val="00874357"/>
    <w:rsid w:val="00880309"/>
    <w:rsid w:val="008803C4"/>
    <w:rsid w:val="0088150C"/>
    <w:rsid w:val="00882228"/>
    <w:rsid w:val="00884F0B"/>
    <w:rsid w:val="0088578D"/>
    <w:rsid w:val="00893DAE"/>
    <w:rsid w:val="00893E4C"/>
    <w:rsid w:val="008A5D26"/>
    <w:rsid w:val="008B3181"/>
    <w:rsid w:val="008B4EEB"/>
    <w:rsid w:val="008C3587"/>
    <w:rsid w:val="008C3996"/>
    <w:rsid w:val="008C3E93"/>
    <w:rsid w:val="008D5047"/>
    <w:rsid w:val="008E05E2"/>
    <w:rsid w:val="008E4F83"/>
    <w:rsid w:val="008F1AF9"/>
    <w:rsid w:val="008F415B"/>
    <w:rsid w:val="00901A1B"/>
    <w:rsid w:val="00902161"/>
    <w:rsid w:val="00904A04"/>
    <w:rsid w:val="009069BA"/>
    <w:rsid w:val="00906E67"/>
    <w:rsid w:val="0090786D"/>
    <w:rsid w:val="00907E27"/>
    <w:rsid w:val="009103E6"/>
    <w:rsid w:val="009135B4"/>
    <w:rsid w:val="009168D9"/>
    <w:rsid w:val="00916F97"/>
    <w:rsid w:val="00921344"/>
    <w:rsid w:val="0092443B"/>
    <w:rsid w:val="00937F10"/>
    <w:rsid w:val="009458C9"/>
    <w:rsid w:val="00960995"/>
    <w:rsid w:val="00967537"/>
    <w:rsid w:val="00976578"/>
    <w:rsid w:val="00980665"/>
    <w:rsid w:val="0098738F"/>
    <w:rsid w:val="00992DFA"/>
    <w:rsid w:val="00996F31"/>
    <w:rsid w:val="009979FD"/>
    <w:rsid w:val="009A55F3"/>
    <w:rsid w:val="009B10BE"/>
    <w:rsid w:val="009B6B78"/>
    <w:rsid w:val="009B78C2"/>
    <w:rsid w:val="009C075A"/>
    <w:rsid w:val="009C29A3"/>
    <w:rsid w:val="009C517C"/>
    <w:rsid w:val="009C5643"/>
    <w:rsid w:val="009C6678"/>
    <w:rsid w:val="009C6DAD"/>
    <w:rsid w:val="009C7AF2"/>
    <w:rsid w:val="009D39E2"/>
    <w:rsid w:val="009D5343"/>
    <w:rsid w:val="009D55C4"/>
    <w:rsid w:val="009E0073"/>
    <w:rsid w:val="009E0530"/>
    <w:rsid w:val="009E49C7"/>
    <w:rsid w:val="009E7598"/>
    <w:rsid w:val="009F2F4A"/>
    <w:rsid w:val="009F4CCF"/>
    <w:rsid w:val="00A03844"/>
    <w:rsid w:val="00A14601"/>
    <w:rsid w:val="00A20E85"/>
    <w:rsid w:val="00A23AD7"/>
    <w:rsid w:val="00A323EC"/>
    <w:rsid w:val="00A3599D"/>
    <w:rsid w:val="00A403CB"/>
    <w:rsid w:val="00A42BDC"/>
    <w:rsid w:val="00A44B42"/>
    <w:rsid w:val="00A52C1D"/>
    <w:rsid w:val="00A53715"/>
    <w:rsid w:val="00A55A7F"/>
    <w:rsid w:val="00A5752F"/>
    <w:rsid w:val="00A63064"/>
    <w:rsid w:val="00A63261"/>
    <w:rsid w:val="00A64D4F"/>
    <w:rsid w:val="00A70669"/>
    <w:rsid w:val="00A70B9E"/>
    <w:rsid w:val="00A82AF2"/>
    <w:rsid w:val="00A977EC"/>
    <w:rsid w:val="00A97A6F"/>
    <w:rsid w:val="00AA52B9"/>
    <w:rsid w:val="00AB049B"/>
    <w:rsid w:val="00AB131C"/>
    <w:rsid w:val="00AC1677"/>
    <w:rsid w:val="00AC42B7"/>
    <w:rsid w:val="00AC5B81"/>
    <w:rsid w:val="00AD0386"/>
    <w:rsid w:val="00AD36EA"/>
    <w:rsid w:val="00AD75FF"/>
    <w:rsid w:val="00AE10E1"/>
    <w:rsid w:val="00AE28E6"/>
    <w:rsid w:val="00AE4605"/>
    <w:rsid w:val="00AE74A4"/>
    <w:rsid w:val="00AF0D6C"/>
    <w:rsid w:val="00AF3848"/>
    <w:rsid w:val="00AF60F9"/>
    <w:rsid w:val="00B0193A"/>
    <w:rsid w:val="00B04EE9"/>
    <w:rsid w:val="00B0680F"/>
    <w:rsid w:val="00B07FA0"/>
    <w:rsid w:val="00B10039"/>
    <w:rsid w:val="00B115E1"/>
    <w:rsid w:val="00B11CB3"/>
    <w:rsid w:val="00B2007F"/>
    <w:rsid w:val="00B219E5"/>
    <w:rsid w:val="00B27568"/>
    <w:rsid w:val="00B27E55"/>
    <w:rsid w:val="00B30932"/>
    <w:rsid w:val="00B45F68"/>
    <w:rsid w:val="00B5023B"/>
    <w:rsid w:val="00B53500"/>
    <w:rsid w:val="00B54455"/>
    <w:rsid w:val="00B54EE8"/>
    <w:rsid w:val="00B6404E"/>
    <w:rsid w:val="00B80536"/>
    <w:rsid w:val="00B86B9E"/>
    <w:rsid w:val="00B960A9"/>
    <w:rsid w:val="00B97136"/>
    <w:rsid w:val="00BA0384"/>
    <w:rsid w:val="00BA0A8B"/>
    <w:rsid w:val="00BB0F71"/>
    <w:rsid w:val="00BB314A"/>
    <w:rsid w:val="00BC1157"/>
    <w:rsid w:val="00BC1700"/>
    <w:rsid w:val="00BC3165"/>
    <w:rsid w:val="00BC58A7"/>
    <w:rsid w:val="00BC7B90"/>
    <w:rsid w:val="00BD28C9"/>
    <w:rsid w:val="00BD7B86"/>
    <w:rsid w:val="00BE414D"/>
    <w:rsid w:val="00BE547C"/>
    <w:rsid w:val="00C017FE"/>
    <w:rsid w:val="00C049EB"/>
    <w:rsid w:val="00C06829"/>
    <w:rsid w:val="00C11623"/>
    <w:rsid w:val="00C1271E"/>
    <w:rsid w:val="00C37D4D"/>
    <w:rsid w:val="00C421B6"/>
    <w:rsid w:val="00C508C1"/>
    <w:rsid w:val="00C54267"/>
    <w:rsid w:val="00C603AA"/>
    <w:rsid w:val="00C6242C"/>
    <w:rsid w:val="00C64121"/>
    <w:rsid w:val="00C64E97"/>
    <w:rsid w:val="00C66A78"/>
    <w:rsid w:val="00C73030"/>
    <w:rsid w:val="00C758E2"/>
    <w:rsid w:val="00C77FD2"/>
    <w:rsid w:val="00C817E8"/>
    <w:rsid w:val="00C832B1"/>
    <w:rsid w:val="00C90E3A"/>
    <w:rsid w:val="00C92C88"/>
    <w:rsid w:val="00C9305B"/>
    <w:rsid w:val="00C96206"/>
    <w:rsid w:val="00C967AF"/>
    <w:rsid w:val="00C96930"/>
    <w:rsid w:val="00CD2E71"/>
    <w:rsid w:val="00CE0665"/>
    <w:rsid w:val="00CE4310"/>
    <w:rsid w:val="00CE4D4F"/>
    <w:rsid w:val="00CE4D93"/>
    <w:rsid w:val="00CE7D39"/>
    <w:rsid w:val="00CF27A1"/>
    <w:rsid w:val="00D05321"/>
    <w:rsid w:val="00D144B4"/>
    <w:rsid w:val="00D14F4B"/>
    <w:rsid w:val="00D23A6E"/>
    <w:rsid w:val="00D24346"/>
    <w:rsid w:val="00D25B44"/>
    <w:rsid w:val="00D27FD8"/>
    <w:rsid w:val="00D332D5"/>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524"/>
    <w:rsid w:val="00D87B80"/>
    <w:rsid w:val="00D91963"/>
    <w:rsid w:val="00D91D3F"/>
    <w:rsid w:val="00D91FF1"/>
    <w:rsid w:val="00D94BCD"/>
    <w:rsid w:val="00DA4A29"/>
    <w:rsid w:val="00DA51BA"/>
    <w:rsid w:val="00DA61CE"/>
    <w:rsid w:val="00DC05AA"/>
    <w:rsid w:val="00DC18EA"/>
    <w:rsid w:val="00DC1A76"/>
    <w:rsid w:val="00DD3E62"/>
    <w:rsid w:val="00DD4C4F"/>
    <w:rsid w:val="00DD4E02"/>
    <w:rsid w:val="00DE238E"/>
    <w:rsid w:val="00DE3801"/>
    <w:rsid w:val="00DF1201"/>
    <w:rsid w:val="00DF59FE"/>
    <w:rsid w:val="00E01326"/>
    <w:rsid w:val="00E04F85"/>
    <w:rsid w:val="00E13C91"/>
    <w:rsid w:val="00E13D86"/>
    <w:rsid w:val="00E171F8"/>
    <w:rsid w:val="00E21FCF"/>
    <w:rsid w:val="00E22201"/>
    <w:rsid w:val="00E249CD"/>
    <w:rsid w:val="00E32B91"/>
    <w:rsid w:val="00E46283"/>
    <w:rsid w:val="00E51536"/>
    <w:rsid w:val="00E5235C"/>
    <w:rsid w:val="00E527B7"/>
    <w:rsid w:val="00E52F39"/>
    <w:rsid w:val="00E54656"/>
    <w:rsid w:val="00E55CA7"/>
    <w:rsid w:val="00E607B3"/>
    <w:rsid w:val="00E60A0E"/>
    <w:rsid w:val="00E610B4"/>
    <w:rsid w:val="00E6226C"/>
    <w:rsid w:val="00E64F68"/>
    <w:rsid w:val="00E66512"/>
    <w:rsid w:val="00E71C7D"/>
    <w:rsid w:val="00E72359"/>
    <w:rsid w:val="00E74A68"/>
    <w:rsid w:val="00E75D42"/>
    <w:rsid w:val="00E76366"/>
    <w:rsid w:val="00E7681A"/>
    <w:rsid w:val="00E83AF9"/>
    <w:rsid w:val="00E8533C"/>
    <w:rsid w:val="00E87531"/>
    <w:rsid w:val="00E909EF"/>
    <w:rsid w:val="00E912EA"/>
    <w:rsid w:val="00E93DEE"/>
    <w:rsid w:val="00E94233"/>
    <w:rsid w:val="00E96FBC"/>
    <w:rsid w:val="00EB1EB0"/>
    <w:rsid w:val="00EB6243"/>
    <w:rsid w:val="00EB6A49"/>
    <w:rsid w:val="00EC1E41"/>
    <w:rsid w:val="00EC334D"/>
    <w:rsid w:val="00EC7C8E"/>
    <w:rsid w:val="00ED203C"/>
    <w:rsid w:val="00ED2A8D"/>
    <w:rsid w:val="00EE1732"/>
    <w:rsid w:val="00EE2721"/>
    <w:rsid w:val="00EE2B3C"/>
    <w:rsid w:val="00EE6220"/>
    <w:rsid w:val="00EE6A26"/>
    <w:rsid w:val="00EF4E77"/>
    <w:rsid w:val="00EF5F4B"/>
    <w:rsid w:val="00F1700E"/>
    <w:rsid w:val="00F2082F"/>
    <w:rsid w:val="00F24042"/>
    <w:rsid w:val="00F24E51"/>
    <w:rsid w:val="00F26FBC"/>
    <w:rsid w:val="00F311EF"/>
    <w:rsid w:val="00F34FBA"/>
    <w:rsid w:val="00F35789"/>
    <w:rsid w:val="00F4497B"/>
    <w:rsid w:val="00F46674"/>
    <w:rsid w:val="00F51745"/>
    <w:rsid w:val="00F523B9"/>
    <w:rsid w:val="00F56A92"/>
    <w:rsid w:val="00F67E3B"/>
    <w:rsid w:val="00F75689"/>
    <w:rsid w:val="00F81053"/>
    <w:rsid w:val="00F8175F"/>
    <w:rsid w:val="00F82C8A"/>
    <w:rsid w:val="00F84E58"/>
    <w:rsid w:val="00F86F59"/>
    <w:rsid w:val="00F9364C"/>
    <w:rsid w:val="00F94662"/>
    <w:rsid w:val="00F94F06"/>
    <w:rsid w:val="00F956B7"/>
    <w:rsid w:val="00FA7284"/>
    <w:rsid w:val="00FA7BC0"/>
    <w:rsid w:val="00FB4292"/>
    <w:rsid w:val="00FB4799"/>
    <w:rsid w:val="00FB4884"/>
    <w:rsid w:val="00FC1314"/>
    <w:rsid w:val="00FC1319"/>
    <w:rsid w:val="00FC2F6B"/>
    <w:rsid w:val="00FC4688"/>
    <w:rsid w:val="00FC5AC5"/>
    <w:rsid w:val="00FC7AD4"/>
    <w:rsid w:val="00FD1CB6"/>
    <w:rsid w:val="00FD56BE"/>
    <w:rsid w:val="00FD56EB"/>
    <w:rsid w:val="00FD71F1"/>
    <w:rsid w:val="00FE12AA"/>
    <w:rsid w:val="00FE31E8"/>
    <w:rsid w:val="00FE7650"/>
    <w:rsid w:val="00FF33C4"/>
    <w:rsid w:val="01526812"/>
    <w:rsid w:val="016B3CA6"/>
    <w:rsid w:val="01CD7511"/>
    <w:rsid w:val="023F69BA"/>
    <w:rsid w:val="02430B2B"/>
    <w:rsid w:val="03366EC4"/>
    <w:rsid w:val="03386882"/>
    <w:rsid w:val="03CF276F"/>
    <w:rsid w:val="03E4059C"/>
    <w:rsid w:val="040041F2"/>
    <w:rsid w:val="04417648"/>
    <w:rsid w:val="05052E25"/>
    <w:rsid w:val="05C01831"/>
    <w:rsid w:val="0662250D"/>
    <w:rsid w:val="069756C9"/>
    <w:rsid w:val="06EA41D2"/>
    <w:rsid w:val="06F82B78"/>
    <w:rsid w:val="072E42E3"/>
    <w:rsid w:val="08110D3B"/>
    <w:rsid w:val="08866B3C"/>
    <w:rsid w:val="08D3679E"/>
    <w:rsid w:val="0968446C"/>
    <w:rsid w:val="0980296C"/>
    <w:rsid w:val="09880AD8"/>
    <w:rsid w:val="09BC67F5"/>
    <w:rsid w:val="0AA5328F"/>
    <w:rsid w:val="0B134589"/>
    <w:rsid w:val="0B7E48FD"/>
    <w:rsid w:val="0BFB0153"/>
    <w:rsid w:val="0C46022D"/>
    <w:rsid w:val="0C512B9B"/>
    <w:rsid w:val="0CF92C66"/>
    <w:rsid w:val="0CFC2EE8"/>
    <w:rsid w:val="0D082333"/>
    <w:rsid w:val="0D145694"/>
    <w:rsid w:val="0D417D41"/>
    <w:rsid w:val="0D9F0F57"/>
    <w:rsid w:val="0E0E72EC"/>
    <w:rsid w:val="0E545AFA"/>
    <w:rsid w:val="0E7D198F"/>
    <w:rsid w:val="0EF068D9"/>
    <w:rsid w:val="0F456C19"/>
    <w:rsid w:val="0F4628FA"/>
    <w:rsid w:val="0F594D76"/>
    <w:rsid w:val="0FB34829"/>
    <w:rsid w:val="104602F5"/>
    <w:rsid w:val="105B51DC"/>
    <w:rsid w:val="105D0054"/>
    <w:rsid w:val="10B02E63"/>
    <w:rsid w:val="10B164C8"/>
    <w:rsid w:val="10C14D02"/>
    <w:rsid w:val="10D46CCD"/>
    <w:rsid w:val="110D64AB"/>
    <w:rsid w:val="11240E1D"/>
    <w:rsid w:val="11C22947"/>
    <w:rsid w:val="11C96F3F"/>
    <w:rsid w:val="12402F6E"/>
    <w:rsid w:val="1268239A"/>
    <w:rsid w:val="126A5F2F"/>
    <w:rsid w:val="1308440F"/>
    <w:rsid w:val="13404493"/>
    <w:rsid w:val="135607B7"/>
    <w:rsid w:val="14071DAB"/>
    <w:rsid w:val="14537884"/>
    <w:rsid w:val="14593BBF"/>
    <w:rsid w:val="14A85A74"/>
    <w:rsid w:val="14D56C28"/>
    <w:rsid w:val="14F75FD0"/>
    <w:rsid w:val="151C338A"/>
    <w:rsid w:val="1565002B"/>
    <w:rsid w:val="164973BC"/>
    <w:rsid w:val="165B60F7"/>
    <w:rsid w:val="16990AAA"/>
    <w:rsid w:val="172F4C4E"/>
    <w:rsid w:val="173D66F2"/>
    <w:rsid w:val="17430389"/>
    <w:rsid w:val="175C0959"/>
    <w:rsid w:val="177941D0"/>
    <w:rsid w:val="17DC532F"/>
    <w:rsid w:val="18800267"/>
    <w:rsid w:val="18C11E5D"/>
    <w:rsid w:val="192A2923"/>
    <w:rsid w:val="19731B79"/>
    <w:rsid w:val="1A024AC4"/>
    <w:rsid w:val="1A532ADC"/>
    <w:rsid w:val="1AA57B5F"/>
    <w:rsid w:val="1B093F61"/>
    <w:rsid w:val="1B260840"/>
    <w:rsid w:val="1B3860DA"/>
    <w:rsid w:val="1BE3189B"/>
    <w:rsid w:val="1C2407D2"/>
    <w:rsid w:val="1C392717"/>
    <w:rsid w:val="1CAF5838"/>
    <w:rsid w:val="1D314742"/>
    <w:rsid w:val="1D947067"/>
    <w:rsid w:val="1DC8549F"/>
    <w:rsid w:val="1DF308CB"/>
    <w:rsid w:val="1E5006DD"/>
    <w:rsid w:val="1E626810"/>
    <w:rsid w:val="1E7C1444"/>
    <w:rsid w:val="1EAD7881"/>
    <w:rsid w:val="1EE44777"/>
    <w:rsid w:val="1F3544E8"/>
    <w:rsid w:val="1F3A1F0D"/>
    <w:rsid w:val="1F515A41"/>
    <w:rsid w:val="1FC557FC"/>
    <w:rsid w:val="20DE6E18"/>
    <w:rsid w:val="20EB0802"/>
    <w:rsid w:val="2119443A"/>
    <w:rsid w:val="211F432D"/>
    <w:rsid w:val="21432F64"/>
    <w:rsid w:val="21D218F6"/>
    <w:rsid w:val="21E74EF7"/>
    <w:rsid w:val="21EE38EF"/>
    <w:rsid w:val="220F5A87"/>
    <w:rsid w:val="22126F4C"/>
    <w:rsid w:val="224A72AF"/>
    <w:rsid w:val="22547760"/>
    <w:rsid w:val="22723839"/>
    <w:rsid w:val="228B601B"/>
    <w:rsid w:val="22BC30AB"/>
    <w:rsid w:val="22DF0B6B"/>
    <w:rsid w:val="23803E10"/>
    <w:rsid w:val="23C823BC"/>
    <w:rsid w:val="24057464"/>
    <w:rsid w:val="24262B6B"/>
    <w:rsid w:val="24A42D4D"/>
    <w:rsid w:val="24CA3FB5"/>
    <w:rsid w:val="24F46692"/>
    <w:rsid w:val="24FE0C04"/>
    <w:rsid w:val="25557F8E"/>
    <w:rsid w:val="25E67698"/>
    <w:rsid w:val="264609DC"/>
    <w:rsid w:val="26D60601"/>
    <w:rsid w:val="26E51EF5"/>
    <w:rsid w:val="26FE01DA"/>
    <w:rsid w:val="27D05EE8"/>
    <w:rsid w:val="28012834"/>
    <w:rsid w:val="28017784"/>
    <w:rsid w:val="28204F3A"/>
    <w:rsid w:val="287F157E"/>
    <w:rsid w:val="28DD78F7"/>
    <w:rsid w:val="29531F53"/>
    <w:rsid w:val="2967217B"/>
    <w:rsid w:val="29F55CD7"/>
    <w:rsid w:val="2B1D1247"/>
    <w:rsid w:val="2B5768B7"/>
    <w:rsid w:val="2B5D024A"/>
    <w:rsid w:val="2B672CAB"/>
    <w:rsid w:val="2B7A199A"/>
    <w:rsid w:val="2BB97180"/>
    <w:rsid w:val="2C0315C8"/>
    <w:rsid w:val="2C5300D5"/>
    <w:rsid w:val="2C566448"/>
    <w:rsid w:val="2C710396"/>
    <w:rsid w:val="2CB43190"/>
    <w:rsid w:val="2D2864D4"/>
    <w:rsid w:val="2D6405B3"/>
    <w:rsid w:val="2DAA40C0"/>
    <w:rsid w:val="2DD24CCF"/>
    <w:rsid w:val="2DD32383"/>
    <w:rsid w:val="2DE50909"/>
    <w:rsid w:val="2EA14594"/>
    <w:rsid w:val="2EB1759E"/>
    <w:rsid w:val="2EE72320"/>
    <w:rsid w:val="2EE8455C"/>
    <w:rsid w:val="2F2211E7"/>
    <w:rsid w:val="2F7C3139"/>
    <w:rsid w:val="2FC414F3"/>
    <w:rsid w:val="2FE60929"/>
    <w:rsid w:val="306C0558"/>
    <w:rsid w:val="307C6258"/>
    <w:rsid w:val="30D70117"/>
    <w:rsid w:val="31274B61"/>
    <w:rsid w:val="3143781F"/>
    <w:rsid w:val="31470E2A"/>
    <w:rsid w:val="314B29C9"/>
    <w:rsid w:val="31986FB8"/>
    <w:rsid w:val="31CD0432"/>
    <w:rsid w:val="32A81084"/>
    <w:rsid w:val="32D70991"/>
    <w:rsid w:val="33645868"/>
    <w:rsid w:val="33DC14FA"/>
    <w:rsid w:val="347A618F"/>
    <w:rsid w:val="348B5409"/>
    <w:rsid w:val="34CB6890"/>
    <w:rsid w:val="34F34C56"/>
    <w:rsid w:val="357A5788"/>
    <w:rsid w:val="35D366DD"/>
    <w:rsid w:val="36102FAE"/>
    <w:rsid w:val="3635505B"/>
    <w:rsid w:val="36530971"/>
    <w:rsid w:val="36561BAE"/>
    <w:rsid w:val="36610C56"/>
    <w:rsid w:val="366B24CA"/>
    <w:rsid w:val="376916D4"/>
    <w:rsid w:val="38095396"/>
    <w:rsid w:val="38446EC0"/>
    <w:rsid w:val="385666E5"/>
    <w:rsid w:val="38DB70E7"/>
    <w:rsid w:val="3A006510"/>
    <w:rsid w:val="3A0562C0"/>
    <w:rsid w:val="3A0878C1"/>
    <w:rsid w:val="3A0B3AA1"/>
    <w:rsid w:val="3A952395"/>
    <w:rsid w:val="3AD16F1E"/>
    <w:rsid w:val="3AED0F65"/>
    <w:rsid w:val="3B146091"/>
    <w:rsid w:val="3B192EFF"/>
    <w:rsid w:val="3B787D9D"/>
    <w:rsid w:val="3BCE25E6"/>
    <w:rsid w:val="3BEB2204"/>
    <w:rsid w:val="3C076327"/>
    <w:rsid w:val="3C1222BB"/>
    <w:rsid w:val="3C1B106D"/>
    <w:rsid w:val="3C3D0825"/>
    <w:rsid w:val="3CA34D4F"/>
    <w:rsid w:val="3CEA2ACF"/>
    <w:rsid w:val="3D0C77C5"/>
    <w:rsid w:val="3D7811AB"/>
    <w:rsid w:val="3EA7753D"/>
    <w:rsid w:val="3EAE72F5"/>
    <w:rsid w:val="3EDB26BB"/>
    <w:rsid w:val="3F3618F0"/>
    <w:rsid w:val="3F833DD0"/>
    <w:rsid w:val="3FC14E74"/>
    <w:rsid w:val="3FCD466E"/>
    <w:rsid w:val="3FFF4400"/>
    <w:rsid w:val="40275E65"/>
    <w:rsid w:val="404560D6"/>
    <w:rsid w:val="404A6865"/>
    <w:rsid w:val="40BD25B1"/>
    <w:rsid w:val="40F07254"/>
    <w:rsid w:val="411F5B46"/>
    <w:rsid w:val="416776D1"/>
    <w:rsid w:val="41805267"/>
    <w:rsid w:val="41BC1F10"/>
    <w:rsid w:val="424B3AFB"/>
    <w:rsid w:val="426A0D4A"/>
    <w:rsid w:val="42E250CC"/>
    <w:rsid w:val="42E6415B"/>
    <w:rsid w:val="43765341"/>
    <w:rsid w:val="441224AF"/>
    <w:rsid w:val="44296E26"/>
    <w:rsid w:val="44A91DD9"/>
    <w:rsid w:val="459851E5"/>
    <w:rsid w:val="45E60474"/>
    <w:rsid w:val="468364F4"/>
    <w:rsid w:val="46886E13"/>
    <w:rsid w:val="469277F9"/>
    <w:rsid w:val="46CE0949"/>
    <w:rsid w:val="47080310"/>
    <w:rsid w:val="476756F9"/>
    <w:rsid w:val="47756B56"/>
    <w:rsid w:val="478F3EA7"/>
    <w:rsid w:val="480039A2"/>
    <w:rsid w:val="482B5C12"/>
    <w:rsid w:val="48342A00"/>
    <w:rsid w:val="489E2C81"/>
    <w:rsid w:val="492C3528"/>
    <w:rsid w:val="49A17919"/>
    <w:rsid w:val="49B4651F"/>
    <w:rsid w:val="49E329B9"/>
    <w:rsid w:val="4A0F5B05"/>
    <w:rsid w:val="4A31249C"/>
    <w:rsid w:val="4A9C1DE8"/>
    <w:rsid w:val="4AA012C3"/>
    <w:rsid w:val="4BDF7CFC"/>
    <w:rsid w:val="4C59760A"/>
    <w:rsid w:val="4CE6400E"/>
    <w:rsid w:val="4CE94A50"/>
    <w:rsid w:val="4CEB5887"/>
    <w:rsid w:val="4CF23E0F"/>
    <w:rsid w:val="4CF906E8"/>
    <w:rsid w:val="4D24345F"/>
    <w:rsid w:val="4D2F2259"/>
    <w:rsid w:val="4D5670A7"/>
    <w:rsid w:val="4D5D1F52"/>
    <w:rsid w:val="4E390E43"/>
    <w:rsid w:val="4E540763"/>
    <w:rsid w:val="4E5B02D5"/>
    <w:rsid w:val="4EB0364A"/>
    <w:rsid w:val="4F461AB0"/>
    <w:rsid w:val="4F5D7111"/>
    <w:rsid w:val="4F8E36B5"/>
    <w:rsid w:val="4F9E4DA9"/>
    <w:rsid w:val="4FA45F82"/>
    <w:rsid w:val="4FBC42F9"/>
    <w:rsid w:val="4FC20AA7"/>
    <w:rsid w:val="4FE80B78"/>
    <w:rsid w:val="5042102A"/>
    <w:rsid w:val="505F1EFD"/>
    <w:rsid w:val="50B70587"/>
    <w:rsid w:val="50F4133A"/>
    <w:rsid w:val="51214E64"/>
    <w:rsid w:val="513D1102"/>
    <w:rsid w:val="519A03E7"/>
    <w:rsid w:val="51BC07BA"/>
    <w:rsid w:val="520C2ADF"/>
    <w:rsid w:val="523978C1"/>
    <w:rsid w:val="52D544D8"/>
    <w:rsid w:val="52EC7E76"/>
    <w:rsid w:val="53B034DF"/>
    <w:rsid w:val="54DE0F4F"/>
    <w:rsid w:val="54E53259"/>
    <w:rsid w:val="54EE0E0D"/>
    <w:rsid w:val="557D0D47"/>
    <w:rsid w:val="55B769EE"/>
    <w:rsid w:val="55DB386D"/>
    <w:rsid w:val="560B1770"/>
    <w:rsid w:val="563D07A6"/>
    <w:rsid w:val="566A6429"/>
    <w:rsid w:val="568B360E"/>
    <w:rsid w:val="569C1CB1"/>
    <w:rsid w:val="57787D9B"/>
    <w:rsid w:val="577C1E80"/>
    <w:rsid w:val="58092B9E"/>
    <w:rsid w:val="58F05AD9"/>
    <w:rsid w:val="596F13A7"/>
    <w:rsid w:val="5A443F9B"/>
    <w:rsid w:val="5A812E59"/>
    <w:rsid w:val="5AAD3C7D"/>
    <w:rsid w:val="5ABA0D1F"/>
    <w:rsid w:val="5ABA7460"/>
    <w:rsid w:val="5AF779F8"/>
    <w:rsid w:val="5B9C24F1"/>
    <w:rsid w:val="5BB46CAC"/>
    <w:rsid w:val="5BF37197"/>
    <w:rsid w:val="5BF709E8"/>
    <w:rsid w:val="5CB607B3"/>
    <w:rsid w:val="5CFA1CEF"/>
    <w:rsid w:val="5D2635A3"/>
    <w:rsid w:val="5D2C49EA"/>
    <w:rsid w:val="5DB73653"/>
    <w:rsid w:val="5DE44F8E"/>
    <w:rsid w:val="5E1E0FE7"/>
    <w:rsid w:val="5E2F576D"/>
    <w:rsid w:val="5E42154B"/>
    <w:rsid w:val="5E4274C8"/>
    <w:rsid w:val="5F230F76"/>
    <w:rsid w:val="5F2447E2"/>
    <w:rsid w:val="5FA37D76"/>
    <w:rsid w:val="602A170A"/>
    <w:rsid w:val="602E6168"/>
    <w:rsid w:val="605855B2"/>
    <w:rsid w:val="605A28BD"/>
    <w:rsid w:val="60D969BE"/>
    <w:rsid w:val="610B183C"/>
    <w:rsid w:val="6132204B"/>
    <w:rsid w:val="613C10BA"/>
    <w:rsid w:val="61613AC5"/>
    <w:rsid w:val="616410B5"/>
    <w:rsid w:val="61B60280"/>
    <w:rsid w:val="61D640C8"/>
    <w:rsid w:val="621D5FD0"/>
    <w:rsid w:val="62553A9B"/>
    <w:rsid w:val="62A954D2"/>
    <w:rsid w:val="637F00B2"/>
    <w:rsid w:val="63925B80"/>
    <w:rsid w:val="6445786C"/>
    <w:rsid w:val="64552D70"/>
    <w:rsid w:val="647734A0"/>
    <w:rsid w:val="6567607D"/>
    <w:rsid w:val="6590338B"/>
    <w:rsid w:val="65C02314"/>
    <w:rsid w:val="65F126EE"/>
    <w:rsid w:val="66425E5C"/>
    <w:rsid w:val="66533E04"/>
    <w:rsid w:val="666527DA"/>
    <w:rsid w:val="666653A9"/>
    <w:rsid w:val="6685543F"/>
    <w:rsid w:val="672C12FB"/>
    <w:rsid w:val="6758124E"/>
    <w:rsid w:val="67AC14B0"/>
    <w:rsid w:val="682964E8"/>
    <w:rsid w:val="68567627"/>
    <w:rsid w:val="69247457"/>
    <w:rsid w:val="69297F33"/>
    <w:rsid w:val="695E5261"/>
    <w:rsid w:val="698A4060"/>
    <w:rsid w:val="69906D0D"/>
    <w:rsid w:val="69E14866"/>
    <w:rsid w:val="6AB94D48"/>
    <w:rsid w:val="6B1242F8"/>
    <w:rsid w:val="6B12741A"/>
    <w:rsid w:val="6B9F76A9"/>
    <w:rsid w:val="6BA90006"/>
    <w:rsid w:val="6BFEF410"/>
    <w:rsid w:val="6C161E18"/>
    <w:rsid w:val="6CB4453A"/>
    <w:rsid w:val="6CBB08C6"/>
    <w:rsid w:val="6D2A351D"/>
    <w:rsid w:val="6D2C5AA6"/>
    <w:rsid w:val="6D5C37E3"/>
    <w:rsid w:val="6E3431D3"/>
    <w:rsid w:val="6E815E20"/>
    <w:rsid w:val="6F791840"/>
    <w:rsid w:val="6F827E1F"/>
    <w:rsid w:val="6FAD3150"/>
    <w:rsid w:val="6FBE33DD"/>
    <w:rsid w:val="6FDC7530"/>
    <w:rsid w:val="702D59C5"/>
    <w:rsid w:val="70340B6B"/>
    <w:rsid w:val="70695629"/>
    <w:rsid w:val="70B51586"/>
    <w:rsid w:val="714A5787"/>
    <w:rsid w:val="71C9438B"/>
    <w:rsid w:val="71EB232F"/>
    <w:rsid w:val="71F22395"/>
    <w:rsid w:val="72182FA2"/>
    <w:rsid w:val="732F3A9D"/>
    <w:rsid w:val="736A4FE1"/>
    <w:rsid w:val="736E713E"/>
    <w:rsid w:val="73785D89"/>
    <w:rsid w:val="73821076"/>
    <w:rsid w:val="73AA2969"/>
    <w:rsid w:val="73B22405"/>
    <w:rsid w:val="73CF1F2D"/>
    <w:rsid w:val="73E26CFA"/>
    <w:rsid w:val="73EE1C4E"/>
    <w:rsid w:val="73FC1BEE"/>
    <w:rsid w:val="74822716"/>
    <w:rsid w:val="74A77D79"/>
    <w:rsid w:val="74BB2C8C"/>
    <w:rsid w:val="74EE2280"/>
    <w:rsid w:val="750D3D28"/>
    <w:rsid w:val="75200823"/>
    <w:rsid w:val="756176A1"/>
    <w:rsid w:val="76471064"/>
    <w:rsid w:val="76661DD9"/>
    <w:rsid w:val="76AE46DC"/>
    <w:rsid w:val="76BB77F1"/>
    <w:rsid w:val="76D45B66"/>
    <w:rsid w:val="76DF3E93"/>
    <w:rsid w:val="76E57C27"/>
    <w:rsid w:val="76FE2417"/>
    <w:rsid w:val="771E653D"/>
    <w:rsid w:val="77A66BB3"/>
    <w:rsid w:val="77E43F55"/>
    <w:rsid w:val="78322180"/>
    <w:rsid w:val="784A7184"/>
    <w:rsid w:val="788E700F"/>
    <w:rsid w:val="78A44D2E"/>
    <w:rsid w:val="79533F73"/>
    <w:rsid w:val="79D85CE8"/>
    <w:rsid w:val="7A1E0BB7"/>
    <w:rsid w:val="7A322C02"/>
    <w:rsid w:val="7A7B24FD"/>
    <w:rsid w:val="7AB451B9"/>
    <w:rsid w:val="7AC33E5C"/>
    <w:rsid w:val="7AF65F04"/>
    <w:rsid w:val="7B072853"/>
    <w:rsid w:val="7B126C70"/>
    <w:rsid w:val="7BA10F88"/>
    <w:rsid w:val="7CA44252"/>
    <w:rsid w:val="7CFC520A"/>
    <w:rsid w:val="7D2846D4"/>
    <w:rsid w:val="7DAF7BA5"/>
    <w:rsid w:val="7DB479EE"/>
    <w:rsid w:val="7DCD6635"/>
    <w:rsid w:val="7E23254E"/>
    <w:rsid w:val="7ECFEBFD"/>
    <w:rsid w:val="7EE36967"/>
    <w:rsid w:val="7EE671C7"/>
    <w:rsid w:val="7F4108E0"/>
    <w:rsid w:val="7F9663C3"/>
    <w:rsid w:val="7FA345E5"/>
    <w:rsid w:val="7FBE0FFC"/>
    <w:rsid w:val="F46EDA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qFormat="1" w:unhideWhenUsed="0" w:uiPriority="99" w:semiHidden="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3">
    <w:name w:val="heading 1"/>
    <w:basedOn w:val="1"/>
    <w:next w:val="1"/>
    <w:link w:val="40"/>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5" w:lineRule="auto"/>
      <w:outlineLvl w:val="2"/>
    </w:pPr>
    <w:rPr>
      <w:b/>
      <w:bCs/>
      <w:sz w:val="32"/>
      <w:szCs w:val="32"/>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Times New Roman"/>
    </w:rPr>
  </w:style>
  <w:style w:type="paragraph" w:styleId="6">
    <w:name w:val="toc 7"/>
    <w:basedOn w:val="1"/>
    <w:next w:val="1"/>
    <w:qFormat/>
    <w:uiPriority w:val="0"/>
    <w:pPr>
      <w:ind w:left="2520" w:leftChars="1200"/>
    </w:pPr>
  </w:style>
  <w:style w:type="paragraph" w:styleId="7">
    <w:name w:val="index 8"/>
    <w:basedOn w:val="1"/>
    <w:next w:val="1"/>
    <w:qFormat/>
    <w:uiPriority w:val="99"/>
    <w:pPr>
      <w:jc w:val="center"/>
    </w:pPr>
    <w:rPr>
      <w:rFonts w:eastAsia="Times New Roman"/>
      <w:color w:val="000000"/>
      <w:sz w:val="32"/>
    </w:rPr>
  </w:style>
  <w:style w:type="paragraph" w:styleId="8">
    <w:name w:val="Normal Indent"/>
    <w:basedOn w:val="1"/>
    <w:qFormat/>
    <w:uiPriority w:val="0"/>
    <w:pPr>
      <w:ind w:firstLine="200" w:firstLineChars="200"/>
    </w:pPr>
  </w:style>
  <w:style w:type="paragraph" w:styleId="9">
    <w:name w:val="Document Map"/>
    <w:basedOn w:val="1"/>
    <w:link w:val="43"/>
    <w:qFormat/>
    <w:uiPriority w:val="0"/>
    <w:rPr>
      <w:rFonts w:ascii="宋体"/>
      <w:sz w:val="18"/>
      <w:szCs w:val="18"/>
    </w:rPr>
  </w:style>
  <w:style w:type="paragraph" w:styleId="10">
    <w:name w:val="annotation text"/>
    <w:basedOn w:val="1"/>
    <w:link w:val="46"/>
    <w:qFormat/>
    <w:uiPriority w:val="0"/>
    <w:pPr>
      <w:jc w:val="left"/>
    </w:pPr>
  </w:style>
  <w:style w:type="paragraph" w:styleId="11">
    <w:name w:val="Body Text Indent"/>
    <w:basedOn w:val="1"/>
    <w:link w:val="57"/>
    <w:qFormat/>
    <w:uiPriority w:val="0"/>
    <w:pPr>
      <w:ind w:firstLine="630"/>
    </w:pPr>
    <w:rPr>
      <w:sz w:val="32"/>
      <w:szCs w:val="20"/>
    </w:rPr>
  </w:style>
  <w:style w:type="paragraph" w:styleId="12">
    <w:name w:val="toc 5"/>
    <w:basedOn w:val="1"/>
    <w:next w:val="1"/>
    <w:qFormat/>
    <w:uiPriority w:val="0"/>
    <w:pPr>
      <w:ind w:left="1680" w:leftChars="800"/>
    </w:pPr>
  </w:style>
  <w:style w:type="paragraph" w:styleId="13">
    <w:name w:val="toc 3"/>
    <w:basedOn w:val="1"/>
    <w:next w:val="1"/>
    <w:qFormat/>
    <w:uiPriority w:val="0"/>
    <w:pPr>
      <w:ind w:left="840" w:leftChars="400"/>
    </w:pPr>
  </w:style>
  <w:style w:type="paragraph" w:styleId="14">
    <w:name w:val="Plain Text"/>
    <w:basedOn w:val="1"/>
    <w:qFormat/>
    <w:uiPriority w:val="0"/>
    <w:rPr>
      <w:rFonts w:ascii="宋体" w:hAnsi="Courier New"/>
    </w:rPr>
  </w:style>
  <w:style w:type="paragraph" w:styleId="15">
    <w:name w:val="toc 8"/>
    <w:basedOn w:val="1"/>
    <w:next w:val="1"/>
    <w:qFormat/>
    <w:uiPriority w:val="0"/>
    <w:pPr>
      <w:ind w:left="2940" w:leftChars="1400"/>
    </w:pPr>
  </w:style>
  <w:style w:type="paragraph" w:styleId="16">
    <w:name w:val="Balloon Text"/>
    <w:basedOn w:val="1"/>
    <w:link w:val="45"/>
    <w:qFormat/>
    <w:uiPriority w:val="0"/>
    <w:rPr>
      <w:sz w:val="18"/>
      <w:szCs w:val="18"/>
    </w:rPr>
  </w:style>
  <w:style w:type="paragraph" w:styleId="17">
    <w:name w:val="footer"/>
    <w:basedOn w:val="1"/>
    <w:link w:val="53"/>
    <w:qFormat/>
    <w:uiPriority w:val="99"/>
    <w:pPr>
      <w:tabs>
        <w:tab w:val="center" w:pos="4153"/>
        <w:tab w:val="right" w:pos="8306"/>
      </w:tabs>
      <w:snapToGrid w:val="0"/>
      <w:jc w:val="left"/>
    </w:pPr>
    <w:rPr>
      <w:sz w:val="18"/>
      <w:szCs w:val="20"/>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9">
    <w:name w:val="toc 1"/>
    <w:basedOn w:val="1"/>
    <w:next w:val="1"/>
    <w:qFormat/>
    <w:uiPriority w:val="0"/>
  </w:style>
  <w:style w:type="paragraph" w:styleId="20">
    <w:name w:val="toc 4"/>
    <w:basedOn w:val="1"/>
    <w:next w:val="1"/>
    <w:qFormat/>
    <w:uiPriority w:val="0"/>
    <w:pPr>
      <w:ind w:left="1260" w:leftChars="600"/>
    </w:pPr>
  </w:style>
  <w:style w:type="paragraph" w:styleId="21">
    <w:name w:val="Subtitle"/>
    <w:basedOn w:val="1"/>
    <w:next w:val="1"/>
    <w:qFormat/>
    <w:uiPriority w:val="0"/>
    <w:pPr>
      <w:spacing w:line="312" w:lineRule="auto"/>
      <w:jc w:val="left"/>
      <w:outlineLvl w:val="1"/>
    </w:pPr>
    <w:rPr>
      <w:rFonts w:ascii="Cambria" w:hAnsi="Cambria"/>
      <w:b/>
      <w:bCs/>
      <w:kern w:val="28"/>
      <w:szCs w:val="32"/>
    </w:rPr>
  </w:style>
  <w:style w:type="paragraph" w:styleId="22">
    <w:name w:val="toc 6"/>
    <w:basedOn w:val="1"/>
    <w:next w:val="1"/>
    <w:qFormat/>
    <w:uiPriority w:val="0"/>
    <w:pPr>
      <w:ind w:left="2100" w:leftChars="1000"/>
    </w:pPr>
  </w:style>
  <w:style w:type="paragraph" w:styleId="23">
    <w:name w:val="toc 2"/>
    <w:basedOn w:val="1"/>
    <w:next w:val="1"/>
    <w:qFormat/>
    <w:uiPriority w:val="0"/>
    <w:pPr>
      <w:ind w:left="420" w:leftChars="200"/>
    </w:pPr>
  </w:style>
  <w:style w:type="paragraph" w:styleId="24">
    <w:name w:val="toc 9"/>
    <w:basedOn w:val="1"/>
    <w:next w:val="1"/>
    <w:qFormat/>
    <w:uiPriority w:val="0"/>
    <w:pPr>
      <w:ind w:left="3360" w:leftChars="1600"/>
    </w:pPr>
  </w:style>
  <w:style w:type="paragraph" w:styleId="25">
    <w:name w:val="Body Text 2"/>
    <w:qFormat/>
    <w:uiPriority w:val="0"/>
    <w:pPr>
      <w:spacing w:after="120" w:line="480" w:lineRule="auto"/>
    </w:pPr>
    <w:rPr>
      <w:rFonts w:ascii="Times New Roman" w:hAnsi="Times New Roman" w:eastAsia="Arial Unicode MS" w:cs="Arial Unicode MS"/>
      <w:color w:val="000000"/>
      <w:kern w:val="2"/>
      <w:sz w:val="21"/>
      <w:szCs w:val="21"/>
      <w:lang w:val="en-US" w:eastAsia="zh-CN" w:bidi="ar-SA"/>
    </w:rPr>
  </w:style>
  <w:style w:type="paragraph" w:styleId="26">
    <w:name w:val="Normal (Web)"/>
    <w:basedOn w:val="1"/>
    <w:qFormat/>
    <w:uiPriority w:val="0"/>
    <w:pPr>
      <w:widowControl/>
      <w:spacing w:before="100" w:beforeAutospacing="1" w:after="100" w:afterAutospacing="1"/>
      <w:jc w:val="left"/>
    </w:pPr>
    <w:rPr>
      <w:rFonts w:ascii="宋体"/>
      <w:kern w:val="0"/>
      <w:sz w:val="18"/>
      <w:szCs w:val="18"/>
    </w:rPr>
  </w:style>
  <w:style w:type="paragraph" w:styleId="27">
    <w:name w:val="annotation subject"/>
    <w:basedOn w:val="10"/>
    <w:next w:val="10"/>
    <w:link w:val="39"/>
    <w:qFormat/>
    <w:uiPriority w:val="0"/>
    <w:rPr>
      <w:b/>
      <w:bCs/>
    </w:rPr>
  </w:style>
  <w:style w:type="paragraph" w:styleId="28">
    <w:name w:val="Body Text First Indent"/>
    <w:basedOn w:val="2"/>
    <w:unhideWhenUsed/>
    <w:qFormat/>
    <w:uiPriority w:val="99"/>
    <w:pPr>
      <w:ind w:firstLine="420" w:firstLineChars="100"/>
    </w:pPr>
  </w:style>
  <w:style w:type="table" w:styleId="30">
    <w:name w:val="Table Grid"/>
    <w:basedOn w:val="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page number"/>
    <w:qFormat/>
    <w:uiPriority w:val="0"/>
  </w:style>
  <w:style w:type="character" w:styleId="33">
    <w:name w:val="Hyperlink"/>
    <w:basedOn w:val="31"/>
    <w:unhideWhenUsed/>
    <w:qFormat/>
    <w:uiPriority w:val="99"/>
    <w:rPr>
      <w:color w:val="0563C1" w:themeColor="hyperlink"/>
      <w:u w:val="single"/>
    </w:rPr>
  </w:style>
  <w:style w:type="character" w:styleId="34">
    <w:name w:val="annotation reference"/>
    <w:qFormat/>
    <w:uiPriority w:val="99"/>
    <w:rPr>
      <w:sz w:val="21"/>
      <w:szCs w:val="21"/>
    </w:rPr>
  </w:style>
  <w:style w:type="paragraph" w:customStyle="1" w:styleId="35">
    <w:name w:val="正文 首行缩进:  2 字符"/>
    <w:basedOn w:val="1"/>
    <w:qFormat/>
    <w:uiPriority w:val="0"/>
    <w:pPr>
      <w:spacing w:line="360" w:lineRule="auto"/>
      <w:ind w:firstLine="579" w:firstLineChars="200"/>
    </w:pPr>
    <w:rPr>
      <w:rFonts w:ascii="Times New Roman" w:hAnsi="Times New Roman" w:cs="宋体"/>
      <w:sz w:val="24"/>
      <w:szCs w:val="20"/>
    </w:rPr>
  </w:style>
  <w:style w:type="paragraph" w:customStyle="1" w:styleId="36">
    <w:name w:val="标题 5（有编号）（绿盟科技）"/>
    <w:basedOn w:val="1"/>
    <w:next w:val="37"/>
    <w:qFormat/>
    <w:uiPriority w:val="0"/>
    <w:pPr>
      <w:keepNext/>
      <w:keepLines/>
      <w:numPr>
        <w:ilvl w:val="4"/>
        <w:numId w:val="1"/>
      </w:numPr>
      <w:tabs>
        <w:tab w:val="left" w:pos="0"/>
      </w:tabs>
      <w:spacing w:before="280" w:after="156" w:line="377" w:lineRule="auto"/>
      <w:jc w:val="left"/>
      <w:outlineLvl w:val="4"/>
    </w:pPr>
    <w:rPr>
      <w:rFonts w:ascii="Arial" w:hAnsi="Arial" w:eastAsia="黑体"/>
      <w:b/>
      <w:sz w:val="24"/>
      <w:szCs w:val="28"/>
    </w:rPr>
  </w:style>
  <w:style w:type="paragraph" w:customStyle="1" w:styleId="37">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38">
    <w:name w:val="font101"/>
    <w:qFormat/>
    <w:uiPriority w:val="0"/>
    <w:rPr>
      <w:rFonts w:hint="eastAsia" w:ascii="宋体" w:hAnsi="宋体" w:eastAsia="宋体" w:cs="宋体"/>
      <w:color w:val="000000"/>
      <w:sz w:val="21"/>
      <w:szCs w:val="21"/>
      <w:u w:val="single"/>
    </w:rPr>
  </w:style>
  <w:style w:type="character" w:customStyle="1" w:styleId="39">
    <w:name w:val="批注主题 Char"/>
    <w:link w:val="27"/>
    <w:qFormat/>
    <w:uiPriority w:val="0"/>
    <w:rPr>
      <w:b/>
      <w:bCs/>
      <w:kern w:val="2"/>
      <w:sz w:val="21"/>
      <w:szCs w:val="24"/>
    </w:rPr>
  </w:style>
  <w:style w:type="character" w:customStyle="1" w:styleId="40">
    <w:name w:val="标题 1 Char"/>
    <w:link w:val="3"/>
    <w:qFormat/>
    <w:uiPriority w:val="99"/>
    <w:rPr>
      <w:b/>
      <w:bCs/>
      <w:kern w:val="44"/>
      <w:sz w:val="44"/>
      <w:szCs w:val="44"/>
    </w:rPr>
  </w:style>
  <w:style w:type="character" w:customStyle="1" w:styleId="41">
    <w:name w:val="font31"/>
    <w:qFormat/>
    <w:uiPriority w:val="0"/>
    <w:rPr>
      <w:rFonts w:hint="eastAsia" w:ascii="宋体" w:hAnsi="宋体" w:eastAsia="宋体" w:cs="宋体"/>
      <w:color w:val="000000"/>
      <w:sz w:val="21"/>
      <w:szCs w:val="21"/>
      <w:u w:val="none"/>
    </w:rPr>
  </w:style>
  <w:style w:type="character" w:customStyle="1" w:styleId="42">
    <w:name w:val="font111"/>
    <w:qFormat/>
    <w:uiPriority w:val="0"/>
    <w:rPr>
      <w:rFonts w:hint="default" w:ascii="Eʩ" w:hAnsi="Eʩ" w:eastAsia="Eʩ" w:cs="Eʩ"/>
      <w:color w:val="000000"/>
      <w:sz w:val="21"/>
      <w:szCs w:val="21"/>
      <w:u w:val="single"/>
    </w:rPr>
  </w:style>
  <w:style w:type="character" w:customStyle="1" w:styleId="43">
    <w:name w:val="文档结构图 Char"/>
    <w:link w:val="9"/>
    <w:qFormat/>
    <w:uiPriority w:val="0"/>
    <w:rPr>
      <w:rFonts w:ascii="宋体"/>
      <w:kern w:val="2"/>
      <w:sz w:val="18"/>
      <w:szCs w:val="18"/>
    </w:rPr>
  </w:style>
  <w:style w:type="character" w:customStyle="1" w:styleId="44">
    <w:name w:val="font91"/>
    <w:qFormat/>
    <w:uiPriority w:val="0"/>
    <w:rPr>
      <w:rFonts w:hint="eastAsia" w:ascii="宋体" w:hAnsi="宋体" w:eastAsia="宋体" w:cs="宋体"/>
      <w:color w:val="FF0000"/>
      <w:sz w:val="21"/>
      <w:szCs w:val="21"/>
      <w:u w:val="single"/>
    </w:rPr>
  </w:style>
  <w:style w:type="character" w:customStyle="1" w:styleId="45">
    <w:name w:val="批注框文本 Char"/>
    <w:link w:val="16"/>
    <w:qFormat/>
    <w:uiPriority w:val="0"/>
    <w:rPr>
      <w:kern w:val="2"/>
      <w:sz w:val="18"/>
      <w:szCs w:val="18"/>
    </w:rPr>
  </w:style>
  <w:style w:type="character" w:customStyle="1" w:styleId="46">
    <w:name w:val="批注文字 Char"/>
    <w:link w:val="10"/>
    <w:qFormat/>
    <w:uiPriority w:val="0"/>
    <w:rPr>
      <w:kern w:val="2"/>
      <w:sz w:val="21"/>
      <w:szCs w:val="24"/>
    </w:rPr>
  </w:style>
  <w:style w:type="paragraph" w:customStyle="1" w:styleId="47">
    <w:name w:val="_Style 2"/>
    <w:basedOn w:val="1"/>
    <w:qFormat/>
    <w:uiPriority w:val="0"/>
    <w:pPr>
      <w:ind w:firstLine="420" w:firstLineChars="200"/>
    </w:pPr>
    <w:rPr>
      <w:sz w:val="18"/>
      <w:szCs w:val="18"/>
    </w:rPr>
  </w:style>
  <w:style w:type="paragraph" w:customStyle="1" w:styleId="48">
    <w:name w:val="正文首行缩进两字符"/>
    <w:basedOn w:val="1"/>
    <w:link w:val="60"/>
    <w:qFormat/>
    <w:uiPriority w:val="0"/>
    <w:pPr>
      <w:spacing w:line="360" w:lineRule="auto"/>
      <w:ind w:firstLine="200" w:firstLineChars="200"/>
    </w:pPr>
  </w:style>
  <w:style w:type="paragraph" w:customStyle="1" w:styleId="49">
    <w:name w:val="样式 首行缩进:  2 字符"/>
    <w:basedOn w:val="1"/>
    <w:qFormat/>
    <w:uiPriority w:val="0"/>
    <w:pPr>
      <w:spacing w:line="400" w:lineRule="exact"/>
      <w:ind w:firstLine="200" w:firstLineChars="200"/>
    </w:pPr>
    <w:rPr>
      <w:rFonts w:cs="宋体"/>
      <w:sz w:val="24"/>
    </w:rPr>
  </w:style>
  <w:style w:type="paragraph" w:customStyle="1" w:styleId="50">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51">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52">
    <w:name w:val="列出段落1"/>
    <w:basedOn w:val="1"/>
    <w:unhideWhenUsed/>
    <w:qFormat/>
    <w:uiPriority w:val="99"/>
    <w:pPr>
      <w:ind w:firstLine="420" w:firstLineChars="200"/>
    </w:pPr>
  </w:style>
  <w:style w:type="character" w:customStyle="1" w:styleId="53">
    <w:name w:val="页脚 Char"/>
    <w:link w:val="17"/>
    <w:qFormat/>
    <w:uiPriority w:val="99"/>
    <w:rPr>
      <w:kern w:val="2"/>
      <w:sz w:val="18"/>
    </w:rPr>
  </w:style>
  <w:style w:type="character" w:customStyle="1" w:styleId="54">
    <w:name w:val="批注文字 Char1"/>
    <w:basedOn w:val="31"/>
    <w:qFormat/>
    <w:uiPriority w:val="0"/>
    <w:rPr>
      <w:rFonts w:ascii="Times New Roman" w:hAnsi="Times New Roman" w:eastAsia="宋体" w:cs="Times New Roman"/>
      <w:szCs w:val="24"/>
    </w:rPr>
  </w:style>
  <w:style w:type="paragraph" w:customStyle="1" w:styleId="55">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56">
    <w:name w:val="封面标准号2"/>
    <w:basedOn w:val="1"/>
    <w:qFormat/>
    <w:uiPriority w:val="99"/>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57">
    <w:name w:val="正文文本缩进 Char"/>
    <w:basedOn w:val="31"/>
    <w:link w:val="11"/>
    <w:qFormat/>
    <w:uiPriority w:val="0"/>
    <w:rPr>
      <w:kern w:val="2"/>
      <w:sz w:val="32"/>
    </w:rPr>
  </w:style>
  <w:style w:type="paragraph" w:customStyle="1" w:styleId="58">
    <w:name w:val="GW-正文"/>
    <w:basedOn w:val="1"/>
    <w:qFormat/>
    <w:uiPriority w:val="0"/>
    <w:pPr>
      <w:spacing w:line="360" w:lineRule="auto"/>
      <w:ind w:firstLine="200" w:firstLineChars="200"/>
    </w:pPr>
    <w:rPr>
      <w:rFonts w:eastAsia="仿宋_GB2312"/>
      <w:sz w:val="24"/>
    </w:rPr>
  </w:style>
  <w:style w:type="paragraph" w:customStyle="1" w:styleId="59">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60">
    <w:name w:val="正文首行缩进两字符 Char"/>
    <w:link w:val="48"/>
    <w:qFormat/>
    <w:uiPriority w:val="0"/>
    <w:rPr>
      <w:rFonts w:ascii="Calibri" w:hAnsi="Calibri"/>
      <w:kern w:val="2"/>
      <w:sz w:val="21"/>
      <w:szCs w:val="24"/>
    </w:rPr>
  </w:style>
  <w:style w:type="paragraph" w:customStyle="1" w:styleId="61">
    <w:name w:val="表格标题"/>
    <w:basedOn w:val="1"/>
    <w:next w:val="1"/>
    <w:qFormat/>
    <w:uiPriority w:val="0"/>
    <w:pPr>
      <w:jc w:val="center"/>
    </w:pPr>
    <w:rPr>
      <w:b/>
      <w:bCs/>
    </w:rPr>
  </w:style>
  <w:style w:type="character" w:customStyle="1" w:styleId="62">
    <w:name w:val="font21"/>
    <w:basedOn w:val="31"/>
    <w:qFormat/>
    <w:uiPriority w:val="0"/>
    <w:rPr>
      <w:rFonts w:hint="eastAsia" w:ascii="宋体" w:hAnsi="宋体" w:eastAsia="宋体" w:cs="宋体"/>
      <w:color w:val="000000"/>
      <w:sz w:val="12"/>
      <w:szCs w:val="12"/>
      <w:u w:val="none"/>
    </w:rPr>
  </w:style>
  <w:style w:type="character" w:customStyle="1" w:styleId="63">
    <w:name w:val="font41"/>
    <w:basedOn w:val="31"/>
    <w:qFormat/>
    <w:uiPriority w:val="0"/>
    <w:rPr>
      <w:rFonts w:hint="eastAsia" w:ascii="宋体" w:hAnsi="宋体" w:eastAsia="宋体" w:cs="宋体"/>
      <w:color w:val="000000"/>
      <w:sz w:val="24"/>
      <w:szCs w:val="24"/>
      <w:u w:val="none"/>
    </w:rPr>
  </w:style>
  <w:style w:type="character" w:customStyle="1" w:styleId="64">
    <w:name w:val="font51"/>
    <w:basedOn w:val="31"/>
    <w:qFormat/>
    <w:uiPriority w:val="0"/>
    <w:rPr>
      <w:rFonts w:hint="default" w:ascii="Arial" w:hAnsi="Arial" w:cs="Arial"/>
      <w:color w:val="000000"/>
      <w:sz w:val="20"/>
      <w:szCs w:val="20"/>
      <w:u w:val="none"/>
    </w:rPr>
  </w:style>
  <w:style w:type="paragraph" w:customStyle="1" w:styleId="65">
    <w:name w:val="列出段落2"/>
    <w:basedOn w:val="1"/>
    <w:qFormat/>
    <w:uiPriority w:val="34"/>
    <w:pPr>
      <w:ind w:left="720"/>
      <w:contextualSpacing/>
    </w:pPr>
  </w:style>
  <w:style w:type="paragraph" w:customStyle="1" w:styleId="66">
    <w:name w:val="表格"/>
    <w:basedOn w:val="1"/>
    <w:qFormat/>
    <w:uiPriority w:val="0"/>
    <w:pPr>
      <w:spacing w:line="400" w:lineRule="exact"/>
    </w:pPr>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110</Pages>
  <Words>7203</Words>
  <Characters>41063</Characters>
  <Lines>342</Lines>
  <Paragraphs>96</Paragraphs>
  <TotalTime>65</TotalTime>
  <ScaleCrop>false</ScaleCrop>
  <LinksUpToDate>false</LinksUpToDate>
  <CharactersWithSpaces>48170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2021-09-24T02:41:00Z</dcterms:created>
  <dc:creator>s</dc:creator>
  <cp:lastModifiedBy>任俊颖</cp:lastModifiedBy>
  <cp:lastPrinted>2021-09-13T00:36:00Z</cp:lastPrinted>
  <dcterms:modified xsi:type="dcterms:W3CDTF">2021-11-02T01:22:40Z</dcterms:modified>
  <dc:title>招标编号：xxxx [xxxx] xx号</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39833BB5F69D4DF1A05127B49EC7B8E5</vt:lpwstr>
  </property>
</Properties>
</file>