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color w:val="auto"/>
          <w:sz w:val="30"/>
          <w:szCs w:val="30"/>
          <w:highlight w:val="none"/>
        </w:rPr>
      </w:pPr>
      <w:bookmarkStart w:id="0" w:name="_Hlt101233737"/>
      <w:bookmarkEnd w:id="0"/>
      <w:bookmarkStart w:id="1" w:name="_Hlt101843627"/>
      <w:bookmarkEnd w:id="1"/>
      <w:r>
        <w:rPr>
          <w:rFonts w:hint="eastAsia" w:ascii="宋体" w:hAnsi="宋体"/>
          <w:b/>
          <w:color w:val="auto"/>
          <w:sz w:val="30"/>
          <w:szCs w:val="30"/>
          <w:highlight w:val="none"/>
        </w:rPr>
        <w:t>项目编号：510108202100259 </w:t>
      </w:r>
    </w:p>
    <w:p>
      <w:pPr>
        <w:spacing w:line="360" w:lineRule="auto"/>
        <w:jc w:val="left"/>
        <w:rPr>
          <w:rFonts w:ascii="宋体" w:hAnsi="宋体"/>
          <w:b/>
          <w:color w:val="auto"/>
          <w:sz w:val="30"/>
          <w:szCs w:val="30"/>
          <w:highlight w:val="none"/>
        </w:rPr>
      </w:pPr>
      <w:r>
        <w:rPr>
          <w:rFonts w:hint="eastAsia" w:ascii="宋体" w:hAnsi="宋体"/>
          <w:b/>
          <w:color w:val="auto"/>
          <w:sz w:val="30"/>
          <w:szCs w:val="30"/>
          <w:highlight w:val="none"/>
        </w:rPr>
        <w:t>内部编号：ZCLDT-2021-F0011</w:t>
      </w:r>
    </w:p>
    <w:p>
      <w:pPr>
        <w:pStyle w:val="2"/>
        <w:spacing w:line="360" w:lineRule="auto"/>
        <w:rPr>
          <w:color w:val="auto"/>
          <w:highlight w:val="none"/>
        </w:rPr>
      </w:pPr>
    </w:p>
    <w:p>
      <w:pPr>
        <w:spacing w:line="360" w:lineRule="auto"/>
        <w:jc w:val="center"/>
        <w:rPr>
          <w:rFonts w:ascii="宋体" w:hAnsi="宋体"/>
          <w:b/>
          <w:color w:val="auto"/>
          <w:sz w:val="56"/>
          <w:szCs w:val="56"/>
          <w:highlight w:val="none"/>
        </w:rPr>
      </w:pPr>
      <w:bookmarkStart w:id="2" w:name="_Toc18738"/>
      <w:bookmarkStart w:id="3" w:name="_Toc10017"/>
      <w:bookmarkStart w:id="4" w:name="_Toc6636"/>
      <w:r>
        <w:rPr>
          <w:rFonts w:hint="eastAsia" w:ascii="宋体" w:hAnsi="宋体"/>
          <w:b/>
          <w:color w:val="auto"/>
          <w:sz w:val="56"/>
          <w:szCs w:val="56"/>
          <w:highlight w:val="none"/>
        </w:rPr>
        <w:t>成都市成华区人民政府双水碾街道办事处站北路社区智慧社区建设项目</w:t>
      </w: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竞争性磋商</w:t>
      </w:r>
      <w:bookmarkEnd w:id="2"/>
    </w:p>
    <w:p>
      <w:pPr>
        <w:spacing w:line="360" w:lineRule="auto"/>
        <w:jc w:val="center"/>
        <w:rPr>
          <w:rFonts w:ascii="宋体" w:hAnsi="宋体"/>
          <w:b/>
          <w:color w:val="auto"/>
          <w:sz w:val="32"/>
          <w:szCs w:val="40"/>
          <w:highlight w:val="none"/>
        </w:rPr>
      </w:pPr>
      <w:bookmarkStart w:id="5" w:name="_Toc15473"/>
      <w:r>
        <w:rPr>
          <w:rFonts w:hint="eastAsia" w:ascii="宋体" w:hAnsi="宋体"/>
          <w:b/>
          <w:color w:val="auto"/>
          <w:sz w:val="72"/>
          <w:szCs w:val="72"/>
          <w:highlight w:val="none"/>
        </w:rPr>
        <w:t>采购文件</w:t>
      </w:r>
      <w:bookmarkEnd w:id="3"/>
      <w:bookmarkEnd w:id="4"/>
      <w:bookmarkEnd w:id="5"/>
    </w:p>
    <w:p>
      <w:pPr>
        <w:spacing w:line="360" w:lineRule="auto"/>
        <w:jc w:val="center"/>
        <w:rPr>
          <w:rFonts w:ascii="宋体" w:hAnsi="宋体"/>
          <w:b/>
          <w:color w:val="auto"/>
          <w:w w:val="90"/>
          <w:sz w:val="36"/>
          <w:szCs w:val="36"/>
          <w:highlight w:val="none"/>
        </w:rPr>
      </w:pPr>
      <w:r>
        <w:rPr>
          <w:rFonts w:hint="eastAsia" w:ascii="宋体" w:hAnsi="宋体"/>
          <w:color w:val="auto"/>
          <w:sz w:val="44"/>
          <w:szCs w:val="44"/>
          <w:highlight w:val="none"/>
        </w:rPr>
        <w:t xml:space="preserve"> </w:t>
      </w:r>
      <w:r>
        <w:rPr>
          <w:rFonts w:hint="eastAsia" w:ascii="宋体" w:hAnsi="宋体"/>
          <w:color w:val="auto"/>
          <w:sz w:val="44"/>
          <w:szCs w:val="44"/>
          <w:highlight w:val="none"/>
        </w:rPr>
        <w:tab/>
      </w:r>
    </w:p>
    <w:p>
      <w:pPr>
        <w:spacing w:line="360" w:lineRule="auto"/>
        <w:rPr>
          <w:rFonts w:ascii="宋体" w:hAnsi="宋体"/>
          <w:b/>
          <w:color w:val="auto"/>
          <w:w w:val="90"/>
          <w:sz w:val="36"/>
          <w:szCs w:val="36"/>
          <w:highlight w:val="none"/>
        </w:rPr>
      </w:pPr>
    </w:p>
    <w:p>
      <w:pPr>
        <w:spacing w:line="360" w:lineRule="auto"/>
        <w:rPr>
          <w:color w:val="auto"/>
          <w:highlight w:val="none"/>
        </w:rPr>
      </w:pPr>
    </w:p>
    <w:p>
      <w:pPr>
        <w:spacing w:line="360" w:lineRule="auto"/>
        <w:jc w:val="center"/>
        <w:rPr>
          <w:rFonts w:ascii="宋体" w:hAnsi="宋体"/>
          <w:b/>
          <w:color w:val="auto"/>
          <w:w w:val="90"/>
          <w:sz w:val="36"/>
          <w:szCs w:val="36"/>
          <w:highlight w:val="none"/>
        </w:rPr>
      </w:pPr>
      <w:r>
        <w:rPr>
          <w:rFonts w:hint="eastAsia" w:ascii="宋体" w:hAnsi="宋体"/>
          <w:b/>
          <w:color w:val="auto"/>
          <w:w w:val="90"/>
          <w:sz w:val="36"/>
          <w:szCs w:val="36"/>
          <w:highlight w:val="none"/>
        </w:rPr>
        <w:t>中国·四川</w:t>
      </w:r>
    </w:p>
    <w:p>
      <w:pPr>
        <w:pStyle w:val="2"/>
        <w:spacing w:line="360" w:lineRule="auto"/>
        <w:rPr>
          <w:color w:val="auto"/>
          <w:highlight w:val="none"/>
        </w:rPr>
      </w:pPr>
    </w:p>
    <w:p>
      <w:pPr>
        <w:spacing w:line="360" w:lineRule="auto"/>
        <w:jc w:val="center"/>
        <w:rPr>
          <w:rFonts w:ascii="宋体" w:hAnsi="宋体"/>
          <w:b/>
          <w:color w:val="auto"/>
          <w:w w:val="90"/>
          <w:sz w:val="36"/>
          <w:szCs w:val="36"/>
          <w:highlight w:val="none"/>
        </w:rPr>
      </w:pPr>
      <w:r>
        <w:rPr>
          <w:rFonts w:hint="eastAsia" w:ascii="宋体" w:hAnsi="宋体"/>
          <w:b/>
          <w:color w:val="auto"/>
          <w:w w:val="90"/>
          <w:sz w:val="36"/>
          <w:szCs w:val="36"/>
          <w:highlight w:val="none"/>
        </w:rPr>
        <w:t>采购人：成都市成华区人民政府双水碾街道办事处</w:t>
      </w:r>
    </w:p>
    <w:p>
      <w:pPr>
        <w:spacing w:line="360" w:lineRule="auto"/>
        <w:jc w:val="center"/>
        <w:rPr>
          <w:rFonts w:ascii="宋体" w:hAnsi="宋体"/>
          <w:b/>
          <w:color w:val="auto"/>
          <w:w w:val="90"/>
          <w:sz w:val="36"/>
          <w:szCs w:val="36"/>
          <w:highlight w:val="none"/>
        </w:rPr>
      </w:pPr>
      <w:r>
        <w:rPr>
          <w:rFonts w:hint="eastAsia" w:ascii="宋体" w:hAnsi="宋体"/>
          <w:b/>
          <w:color w:val="auto"/>
          <w:w w:val="90"/>
          <w:sz w:val="36"/>
          <w:szCs w:val="36"/>
          <w:highlight w:val="none"/>
        </w:rPr>
        <w:t>代理机构：力达通项目管理咨询有限公司</w:t>
      </w:r>
    </w:p>
    <w:p>
      <w:pPr>
        <w:spacing w:line="360" w:lineRule="auto"/>
        <w:jc w:val="center"/>
        <w:rPr>
          <w:rFonts w:ascii="宋体" w:hAnsi="宋体"/>
          <w:b/>
          <w:color w:val="auto"/>
          <w:w w:val="90"/>
          <w:sz w:val="36"/>
          <w:szCs w:val="36"/>
          <w:highlight w:val="none"/>
        </w:rPr>
      </w:pPr>
      <w:r>
        <w:rPr>
          <w:rFonts w:hint="eastAsia" w:ascii="宋体" w:hAnsi="宋体"/>
          <w:b/>
          <w:color w:val="auto"/>
          <w:w w:val="90"/>
          <w:sz w:val="36"/>
          <w:szCs w:val="36"/>
          <w:highlight w:val="none"/>
        </w:rPr>
        <w:t>共同编制</w:t>
      </w:r>
    </w:p>
    <w:p>
      <w:pPr>
        <w:spacing w:line="360" w:lineRule="auto"/>
        <w:jc w:val="center"/>
        <w:rPr>
          <w:rFonts w:ascii="宋体" w:hAnsi="宋体"/>
          <w:b/>
          <w:color w:val="auto"/>
          <w:w w:val="90"/>
          <w:sz w:val="36"/>
          <w:szCs w:val="36"/>
          <w:highlight w:val="none"/>
        </w:rPr>
      </w:pPr>
      <w:r>
        <w:rPr>
          <w:rFonts w:hint="eastAsia" w:ascii="宋体" w:hAnsi="宋体"/>
          <w:b/>
          <w:color w:val="auto"/>
          <w:w w:val="90"/>
          <w:sz w:val="36"/>
          <w:szCs w:val="36"/>
          <w:highlight w:val="none"/>
        </w:rPr>
        <w:t>二○二一年十一月</w:t>
      </w:r>
      <w:r>
        <w:rPr>
          <w:rFonts w:hint="eastAsia" w:ascii="宋体" w:hAnsi="宋体"/>
          <w:b/>
          <w:color w:val="auto"/>
          <w:w w:val="90"/>
          <w:sz w:val="36"/>
          <w:szCs w:val="36"/>
          <w:highlight w:val="none"/>
        </w:rPr>
        <w:br w:type="page"/>
      </w:r>
    </w:p>
    <w:p>
      <w:pPr>
        <w:spacing w:line="360" w:lineRule="auto"/>
        <w:jc w:val="center"/>
        <w:rPr>
          <w:color w:val="auto"/>
          <w:sz w:val="44"/>
          <w:szCs w:val="44"/>
          <w:highlight w:val="none"/>
        </w:rPr>
      </w:pPr>
      <w:bookmarkStart w:id="6" w:name="_Toc9019_WPSOffice_Type2"/>
      <w:r>
        <w:rPr>
          <w:rFonts w:ascii="宋体" w:hAnsi="宋体"/>
          <w:color w:val="auto"/>
          <w:sz w:val="44"/>
          <w:szCs w:val="44"/>
          <w:highlight w:val="none"/>
        </w:rPr>
        <w:t>目</w:t>
      </w:r>
      <w:r>
        <w:rPr>
          <w:rFonts w:hint="eastAsia" w:ascii="宋体" w:hAnsi="宋体"/>
          <w:color w:val="auto"/>
          <w:sz w:val="44"/>
          <w:szCs w:val="44"/>
          <w:highlight w:val="none"/>
        </w:rPr>
        <w:t xml:space="preserve"> </w:t>
      </w:r>
      <w:r>
        <w:rPr>
          <w:rFonts w:ascii="宋体" w:hAnsi="宋体"/>
          <w:color w:val="auto"/>
          <w:sz w:val="44"/>
          <w:szCs w:val="44"/>
          <w:highlight w:val="none"/>
        </w:rPr>
        <w:t>录</w:t>
      </w:r>
    </w:p>
    <w:bookmarkEnd w:id="6"/>
    <w:p>
      <w:pPr>
        <w:pStyle w:val="16"/>
        <w:tabs>
          <w:tab w:val="right" w:leader="dot" w:pos="9129"/>
        </w:tabs>
        <w:spacing w:line="360" w:lineRule="auto"/>
        <w:rPr>
          <w:color w:val="auto"/>
          <w:sz w:val="24"/>
          <w:szCs w:val="32"/>
          <w:highlight w:val="none"/>
        </w:rPr>
      </w:pPr>
      <w:r>
        <w:rPr>
          <w:color w:val="auto"/>
          <w:sz w:val="24"/>
          <w:szCs w:val="32"/>
          <w:highlight w:val="none"/>
        </w:rPr>
        <w:fldChar w:fldCharType="begin"/>
      </w:r>
      <w:r>
        <w:rPr>
          <w:color w:val="auto"/>
          <w:sz w:val="24"/>
          <w:szCs w:val="32"/>
          <w:highlight w:val="none"/>
        </w:rPr>
        <w:instrText xml:space="preserve">TOC \o "1-1" \h \u </w:instrText>
      </w:r>
      <w:r>
        <w:rPr>
          <w:color w:val="auto"/>
          <w:sz w:val="24"/>
          <w:szCs w:val="32"/>
          <w:highlight w:val="none"/>
        </w:rPr>
        <w:fldChar w:fldCharType="separate"/>
      </w:r>
      <w:r>
        <w:rPr>
          <w:color w:val="auto"/>
          <w:highlight w:val="none"/>
        </w:rPr>
        <w:fldChar w:fldCharType="begin"/>
      </w:r>
      <w:r>
        <w:rPr>
          <w:color w:val="auto"/>
          <w:highlight w:val="none"/>
        </w:rPr>
        <w:instrText xml:space="preserve"> HYPERLINK \l "_Toc11976" </w:instrText>
      </w:r>
      <w:r>
        <w:rPr>
          <w:color w:val="auto"/>
          <w:highlight w:val="none"/>
        </w:rPr>
        <w:fldChar w:fldCharType="separate"/>
      </w:r>
      <w:r>
        <w:rPr>
          <w:rFonts w:hint="eastAsia"/>
          <w:color w:val="auto"/>
          <w:sz w:val="24"/>
          <w:szCs w:val="32"/>
          <w:highlight w:val="none"/>
        </w:rPr>
        <w:t>第一章  磋商邀请</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_Toc11976 </w:instrText>
      </w:r>
      <w:r>
        <w:rPr>
          <w:color w:val="auto"/>
          <w:sz w:val="24"/>
          <w:szCs w:val="32"/>
          <w:highlight w:val="none"/>
        </w:rPr>
        <w:fldChar w:fldCharType="separate"/>
      </w:r>
      <w:r>
        <w:rPr>
          <w:color w:val="auto"/>
          <w:sz w:val="24"/>
          <w:szCs w:val="32"/>
          <w:highlight w:val="none"/>
        </w:rPr>
        <w:t>- 3 -</w:t>
      </w:r>
      <w:r>
        <w:rPr>
          <w:color w:val="auto"/>
          <w:sz w:val="24"/>
          <w:szCs w:val="32"/>
          <w:highlight w:val="none"/>
        </w:rPr>
        <w:fldChar w:fldCharType="end"/>
      </w:r>
      <w:r>
        <w:rPr>
          <w:color w:val="auto"/>
          <w:sz w:val="24"/>
          <w:szCs w:val="32"/>
          <w:highlight w:val="none"/>
        </w:rPr>
        <w:fldChar w:fldCharType="end"/>
      </w:r>
    </w:p>
    <w:p>
      <w:pPr>
        <w:pStyle w:val="16"/>
        <w:tabs>
          <w:tab w:val="right" w:leader="dot" w:pos="9129"/>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"_Toc16992" </w:instrText>
      </w:r>
      <w:r>
        <w:rPr>
          <w:color w:val="auto"/>
          <w:highlight w:val="none"/>
        </w:rPr>
        <w:fldChar w:fldCharType="separate"/>
      </w:r>
      <w:r>
        <w:rPr>
          <w:rFonts w:hint="eastAsia"/>
          <w:color w:val="auto"/>
          <w:sz w:val="24"/>
          <w:szCs w:val="32"/>
          <w:highlight w:val="none"/>
        </w:rPr>
        <w:t>第二章  磋商须知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_Toc16992 </w:instrText>
      </w:r>
      <w:r>
        <w:rPr>
          <w:color w:val="auto"/>
          <w:sz w:val="24"/>
          <w:szCs w:val="32"/>
          <w:highlight w:val="none"/>
        </w:rPr>
        <w:fldChar w:fldCharType="separate"/>
      </w:r>
      <w:r>
        <w:rPr>
          <w:color w:val="auto"/>
          <w:sz w:val="24"/>
          <w:szCs w:val="32"/>
          <w:highlight w:val="none"/>
        </w:rPr>
        <w:t>- 6 -</w:t>
      </w:r>
      <w:r>
        <w:rPr>
          <w:color w:val="auto"/>
          <w:sz w:val="24"/>
          <w:szCs w:val="32"/>
          <w:highlight w:val="none"/>
        </w:rPr>
        <w:fldChar w:fldCharType="end"/>
      </w:r>
      <w:r>
        <w:rPr>
          <w:color w:val="auto"/>
          <w:sz w:val="24"/>
          <w:szCs w:val="32"/>
          <w:highlight w:val="none"/>
        </w:rPr>
        <w:fldChar w:fldCharType="end"/>
      </w:r>
    </w:p>
    <w:p>
      <w:pPr>
        <w:pStyle w:val="16"/>
        <w:tabs>
          <w:tab w:val="right" w:leader="dot" w:pos="9129"/>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"_Toc3274" </w:instrText>
      </w:r>
      <w:r>
        <w:rPr>
          <w:color w:val="auto"/>
          <w:highlight w:val="none"/>
        </w:rPr>
        <w:fldChar w:fldCharType="separate"/>
      </w:r>
      <w:r>
        <w:rPr>
          <w:rFonts w:hint="eastAsia"/>
          <w:color w:val="auto"/>
          <w:sz w:val="24"/>
          <w:szCs w:val="32"/>
          <w:highlight w:val="none"/>
        </w:rPr>
        <w:t>第三章  供应商资格条件要求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_Toc3274 </w:instrText>
      </w:r>
      <w:r>
        <w:rPr>
          <w:color w:val="auto"/>
          <w:sz w:val="24"/>
          <w:szCs w:val="32"/>
          <w:highlight w:val="none"/>
        </w:rPr>
        <w:fldChar w:fldCharType="separate"/>
      </w:r>
      <w:r>
        <w:rPr>
          <w:color w:val="auto"/>
          <w:sz w:val="24"/>
          <w:szCs w:val="32"/>
          <w:highlight w:val="none"/>
        </w:rPr>
        <w:t>- 21 -</w:t>
      </w:r>
      <w:r>
        <w:rPr>
          <w:color w:val="auto"/>
          <w:sz w:val="24"/>
          <w:szCs w:val="32"/>
          <w:highlight w:val="none"/>
        </w:rPr>
        <w:fldChar w:fldCharType="end"/>
      </w:r>
      <w:r>
        <w:rPr>
          <w:color w:val="auto"/>
          <w:sz w:val="24"/>
          <w:szCs w:val="32"/>
          <w:highlight w:val="none"/>
        </w:rPr>
        <w:fldChar w:fldCharType="end"/>
      </w:r>
    </w:p>
    <w:p>
      <w:pPr>
        <w:pStyle w:val="16"/>
        <w:tabs>
          <w:tab w:val="right" w:leader="dot" w:pos="9129"/>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"_Toc17387" </w:instrText>
      </w:r>
      <w:r>
        <w:rPr>
          <w:color w:val="auto"/>
          <w:highlight w:val="none"/>
        </w:rPr>
        <w:fldChar w:fldCharType="separate"/>
      </w:r>
      <w:r>
        <w:rPr>
          <w:rFonts w:hint="eastAsia"/>
          <w:color w:val="auto"/>
          <w:sz w:val="24"/>
          <w:szCs w:val="32"/>
          <w:highlight w:val="none"/>
        </w:rPr>
        <w:t>第四章  供应商资格证明材料</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_Toc17387 </w:instrText>
      </w:r>
      <w:r>
        <w:rPr>
          <w:color w:val="auto"/>
          <w:sz w:val="24"/>
          <w:szCs w:val="32"/>
          <w:highlight w:val="none"/>
        </w:rPr>
        <w:fldChar w:fldCharType="separate"/>
      </w:r>
      <w:r>
        <w:rPr>
          <w:color w:val="auto"/>
          <w:sz w:val="24"/>
          <w:szCs w:val="32"/>
          <w:highlight w:val="none"/>
        </w:rPr>
        <w:t>- 23 -</w:t>
      </w:r>
      <w:r>
        <w:rPr>
          <w:color w:val="auto"/>
          <w:sz w:val="24"/>
          <w:szCs w:val="32"/>
          <w:highlight w:val="none"/>
        </w:rPr>
        <w:fldChar w:fldCharType="end"/>
      </w:r>
      <w:r>
        <w:rPr>
          <w:color w:val="auto"/>
          <w:sz w:val="24"/>
          <w:szCs w:val="32"/>
          <w:highlight w:val="none"/>
        </w:rPr>
        <w:fldChar w:fldCharType="end"/>
      </w:r>
    </w:p>
    <w:p>
      <w:pPr>
        <w:pStyle w:val="16"/>
        <w:tabs>
          <w:tab w:val="right" w:leader="dot" w:pos="9129"/>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"_Toc10654" </w:instrText>
      </w:r>
      <w:r>
        <w:rPr>
          <w:color w:val="auto"/>
          <w:highlight w:val="none"/>
        </w:rPr>
        <w:fldChar w:fldCharType="separate"/>
      </w:r>
      <w:r>
        <w:rPr>
          <w:rFonts w:hint="eastAsia"/>
          <w:color w:val="auto"/>
          <w:sz w:val="24"/>
          <w:szCs w:val="32"/>
          <w:highlight w:val="none"/>
        </w:rPr>
        <w:t xml:space="preserve">第五章  </w:t>
      </w:r>
      <w:r>
        <w:rPr>
          <w:rFonts w:hint="eastAsia" w:ascii="宋体" w:hAnsi="宋体" w:cs="宋体"/>
          <w:color w:val="auto"/>
          <w:sz w:val="24"/>
          <w:szCs w:val="32"/>
          <w:highlight w:val="none"/>
        </w:rPr>
        <w:t>采购项目技术、服务、政府采购合同内容条款及其他商务要求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_Toc10654 </w:instrText>
      </w:r>
      <w:r>
        <w:rPr>
          <w:color w:val="auto"/>
          <w:sz w:val="24"/>
          <w:szCs w:val="32"/>
          <w:highlight w:val="none"/>
        </w:rPr>
        <w:fldChar w:fldCharType="separate"/>
      </w:r>
      <w:r>
        <w:rPr>
          <w:color w:val="auto"/>
          <w:sz w:val="24"/>
          <w:szCs w:val="32"/>
          <w:highlight w:val="none"/>
        </w:rPr>
        <w:t>- 25 -</w:t>
      </w:r>
      <w:r>
        <w:rPr>
          <w:color w:val="auto"/>
          <w:sz w:val="24"/>
          <w:szCs w:val="32"/>
          <w:highlight w:val="none"/>
        </w:rPr>
        <w:fldChar w:fldCharType="end"/>
      </w:r>
      <w:r>
        <w:rPr>
          <w:color w:val="auto"/>
          <w:sz w:val="24"/>
          <w:szCs w:val="32"/>
          <w:highlight w:val="none"/>
        </w:rPr>
        <w:fldChar w:fldCharType="end"/>
      </w:r>
    </w:p>
    <w:p>
      <w:pPr>
        <w:pStyle w:val="16"/>
        <w:tabs>
          <w:tab w:val="right" w:leader="dot" w:pos="9129"/>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"_Toc11441" </w:instrText>
      </w:r>
      <w:r>
        <w:rPr>
          <w:color w:val="auto"/>
          <w:highlight w:val="none"/>
        </w:rPr>
        <w:fldChar w:fldCharType="separate"/>
      </w:r>
      <w:r>
        <w:rPr>
          <w:rFonts w:hint="eastAsia"/>
          <w:color w:val="auto"/>
          <w:sz w:val="24"/>
          <w:szCs w:val="32"/>
          <w:highlight w:val="none"/>
        </w:rPr>
        <w:t xml:space="preserve">第六章 </w:t>
      </w:r>
      <w:r>
        <w:rPr>
          <w:rFonts w:hint="eastAsia"/>
          <w:color w:val="auto"/>
          <w:sz w:val="24"/>
          <w:szCs w:val="32"/>
          <w:highlight w:val="none"/>
          <w:lang w:val="en-US" w:eastAsia="zh-CN"/>
        </w:rPr>
        <w:t xml:space="preserve"> </w:t>
      </w:r>
      <w:r>
        <w:rPr>
          <w:rFonts w:hint="eastAsia"/>
          <w:color w:val="auto"/>
          <w:sz w:val="24"/>
          <w:szCs w:val="32"/>
          <w:highlight w:val="none"/>
        </w:rPr>
        <w:t>磋商内容、磋商过程中可实质性变动的内容</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_Toc11441 </w:instrText>
      </w:r>
      <w:r>
        <w:rPr>
          <w:color w:val="auto"/>
          <w:sz w:val="24"/>
          <w:szCs w:val="32"/>
          <w:highlight w:val="none"/>
        </w:rPr>
        <w:fldChar w:fldCharType="separate"/>
      </w:r>
      <w:r>
        <w:rPr>
          <w:color w:val="auto"/>
          <w:sz w:val="24"/>
          <w:szCs w:val="32"/>
          <w:highlight w:val="none"/>
        </w:rPr>
        <w:t>- 35 -</w:t>
      </w:r>
      <w:r>
        <w:rPr>
          <w:color w:val="auto"/>
          <w:sz w:val="24"/>
          <w:szCs w:val="32"/>
          <w:highlight w:val="none"/>
        </w:rPr>
        <w:fldChar w:fldCharType="end"/>
      </w:r>
      <w:r>
        <w:rPr>
          <w:color w:val="auto"/>
          <w:sz w:val="24"/>
          <w:szCs w:val="32"/>
          <w:highlight w:val="none"/>
        </w:rPr>
        <w:fldChar w:fldCharType="end"/>
      </w:r>
    </w:p>
    <w:p>
      <w:pPr>
        <w:pStyle w:val="16"/>
        <w:tabs>
          <w:tab w:val="right" w:leader="dot" w:pos="9129"/>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"_Toc18082" </w:instrText>
      </w:r>
      <w:r>
        <w:rPr>
          <w:color w:val="auto"/>
          <w:highlight w:val="none"/>
        </w:rPr>
        <w:fldChar w:fldCharType="separate"/>
      </w:r>
      <w:r>
        <w:rPr>
          <w:rFonts w:hint="eastAsia"/>
          <w:color w:val="auto"/>
          <w:sz w:val="24"/>
          <w:szCs w:val="32"/>
          <w:highlight w:val="none"/>
        </w:rPr>
        <w:t xml:space="preserve">第七章 </w:t>
      </w:r>
      <w:r>
        <w:rPr>
          <w:rFonts w:hint="eastAsia"/>
          <w:color w:val="auto"/>
          <w:sz w:val="24"/>
          <w:szCs w:val="32"/>
          <w:highlight w:val="none"/>
          <w:lang w:val="en-US" w:eastAsia="zh-CN"/>
        </w:rPr>
        <w:t xml:space="preserve"> </w:t>
      </w:r>
      <w:r>
        <w:rPr>
          <w:rFonts w:hint="eastAsia"/>
          <w:color w:val="auto"/>
          <w:sz w:val="24"/>
          <w:szCs w:val="32"/>
          <w:highlight w:val="none"/>
        </w:rPr>
        <w:t>响应文件格式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_Toc18082 </w:instrText>
      </w:r>
      <w:r>
        <w:rPr>
          <w:color w:val="auto"/>
          <w:sz w:val="24"/>
          <w:szCs w:val="32"/>
          <w:highlight w:val="none"/>
        </w:rPr>
        <w:fldChar w:fldCharType="separate"/>
      </w:r>
      <w:r>
        <w:rPr>
          <w:color w:val="auto"/>
          <w:sz w:val="24"/>
          <w:szCs w:val="32"/>
          <w:highlight w:val="none"/>
        </w:rPr>
        <w:t>- 36 -</w:t>
      </w:r>
      <w:r>
        <w:rPr>
          <w:color w:val="auto"/>
          <w:sz w:val="24"/>
          <w:szCs w:val="32"/>
          <w:highlight w:val="none"/>
        </w:rPr>
        <w:fldChar w:fldCharType="end"/>
      </w:r>
      <w:r>
        <w:rPr>
          <w:color w:val="auto"/>
          <w:sz w:val="24"/>
          <w:szCs w:val="32"/>
          <w:highlight w:val="none"/>
        </w:rPr>
        <w:fldChar w:fldCharType="end"/>
      </w:r>
    </w:p>
    <w:p>
      <w:pPr>
        <w:pStyle w:val="16"/>
        <w:tabs>
          <w:tab w:val="right" w:leader="dot" w:pos="9129"/>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"_Toc4157" </w:instrText>
      </w:r>
      <w:r>
        <w:rPr>
          <w:color w:val="auto"/>
          <w:highlight w:val="none"/>
        </w:rPr>
        <w:fldChar w:fldCharType="separate"/>
      </w:r>
      <w:r>
        <w:rPr>
          <w:rFonts w:hint="eastAsia"/>
          <w:color w:val="auto"/>
          <w:sz w:val="24"/>
          <w:szCs w:val="32"/>
          <w:highlight w:val="none"/>
        </w:rPr>
        <w:t>第八章  评审方法</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_Toc4157 </w:instrText>
      </w:r>
      <w:r>
        <w:rPr>
          <w:color w:val="auto"/>
          <w:sz w:val="24"/>
          <w:szCs w:val="32"/>
          <w:highlight w:val="none"/>
        </w:rPr>
        <w:fldChar w:fldCharType="separate"/>
      </w:r>
      <w:r>
        <w:rPr>
          <w:color w:val="auto"/>
          <w:sz w:val="24"/>
          <w:szCs w:val="32"/>
          <w:highlight w:val="none"/>
        </w:rPr>
        <w:t>- 60 -</w:t>
      </w:r>
      <w:r>
        <w:rPr>
          <w:color w:val="auto"/>
          <w:sz w:val="24"/>
          <w:szCs w:val="32"/>
          <w:highlight w:val="none"/>
        </w:rPr>
        <w:fldChar w:fldCharType="end"/>
      </w:r>
      <w:r>
        <w:rPr>
          <w:color w:val="auto"/>
          <w:sz w:val="24"/>
          <w:szCs w:val="32"/>
          <w:highlight w:val="none"/>
        </w:rPr>
        <w:fldChar w:fldCharType="end"/>
      </w:r>
    </w:p>
    <w:p>
      <w:pPr>
        <w:pStyle w:val="16"/>
        <w:tabs>
          <w:tab w:val="right" w:leader="dot" w:pos="9129"/>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"_Toc10837" </w:instrText>
      </w:r>
      <w:r>
        <w:rPr>
          <w:color w:val="auto"/>
          <w:highlight w:val="none"/>
        </w:rPr>
        <w:fldChar w:fldCharType="separate"/>
      </w:r>
      <w:r>
        <w:rPr>
          <w:rFonts w:hint="eastAsia"/>
          <w:color w:val="auto"/>
          <w:sz w:val="24"/>
          <w:szCs w:val="32"/>
          <w:highlight w:val="none"/>
        </w:rPr>
        <w:t>第九章  政府采购合同（草案）</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_Toc10837 </w:instrText>
      </w:r>
      <w:r>
        <w:rPr>
          <w:color w:val="auto"/>
          <w:sz w:val="24"/>
          <w:szCs w:val="32"/>
          <w:highlight w:val="none"/>
        </w:rPr>
        <w:fldChar w:fldCharType="separate"/>
      </w:r>
      <w:r>
        <w:rPr>
          <w:color w:val="auto"/>
          <w:sz w:val="24"/>
          <w:szCs w:val="32"/>
          <w:highlight w:val="none"/>
        </w:rPr>
        <w:t>- 71 -</w:t>
      </w:r>
      <w:r>
        <w:rPr>
          <w:color w:val="auto"/>
          <w:sz w:val="24"/>
          <w:szCs w:val="32"/>
          <w:highlight w:val="none"/>
        </w:rPr>
        <w:fldChar w:fldCharType="end"/>
      </w:r>
      <w:r>
        <w:rPr>
          <w:color w:val="auto"/>
          <w:sz w:val="24"/>
          <w:szCs w:val="32"/>
          <w:highlight w:val="none"/>
        </w:rPr>
        <w:fldChar w:fldCharType="end"/>
      </w:r>
    </w:p>
    <w:p>
      <w:pPr>
        <w:spacing w:line="360" w:lineRule="auto"/>
        <w:rPr>
          <w:color w:val="auto"/>
          <w:highlight w:val="none"/>
        </w:rPr>
      </w:pPr>
      <w:r>
        <w:rPr>
          <w:color w:val="auto"/>
          <w:sz w:val="24"/>
          <w:szCs w:val="32"/>
          <w:highlight w:val="none"/>
        </w:rPr>
        <w:fldChar w:fldCharType="end"/>
      </w:r>
    </w:p>
    <w:p>
      <w:pPr>
        <w:spacing w:line="360" w:lineRule="auto"/>
        <w:rPr>
          <w:color w:val="auto"/>
          <w:highlight w:val="none"/>
        </w:rPr>
      </w:pPr>
    </w:p>
    <w:p>
      <w:pPr>
        <w:spacing w:line="360" w:lineRule="auto"/>
        <w:rPr>
          <w:color w:val="auto"/>
          <w:highlight w:val="none"/>
        </w:rPr>
      </w:pPr>
    </w:p>
    <w:p>
      <w:pPr>
        <w:pStyle w:val="4"/>
        <w:spacing w:line="360" w:lineRule="auto"/>
        <w:jc w:val="center"/>
        <w:rPr>
          <w:color w:val="auto"/>
          <w:highlight w:val="none"/>
        </w:rPr>
        <w:sectPr>
          <w:headerReference r:id="rId3" w:type="default"/>
          <w:footerReference r:id="rId4" w:type="default"/>
          <w:pgSz w:w="11850" w:h="16783"/>
          <w:pgMar w:top="1440" w:right="1304" w:bottom="1440" w:left="1417" w:header="850" w:footer="850" w:gutter="0"/>
          <w:pgNumType w:fmt="numberInDash" w:start="1"/>
          <w:cols w:space="0" w:num="1"/>
          <w:docGrid w:type="lines" w:linePitch="312" w:charSpace="0"/>
        </w:sectPr>
      </w:pPr>
      <w:bookmarkStart w:id="7" w:name="_Toc25399_WPSOffice_Level1"/>
    </w:p>
    <w:p>
      <w:pPr>
        <w:pStyle w:val="4"/>
        <w:spacing w:before="0" w:after="0" w:line="360" w:lineRule="auto"/>
        <w:jc w:val="center"/>
        <w:rPr>
          <w:color w:val="auto"/>
          <w:highlight w:val="none"/>
        </w:rPr>
      </w:pPr>
      <w:bookmarkStart w:id="8" w:name="_Toc11976"/>
      <w:bookmarkStart w:id="9" w:name="_Toc7773_WPSOffice_Level1"/>
      <w:r>
        <w:rPr>
          <w:rFonts w:hint="eastAsia"/>
          <w:color w:val="auto"/>
          <w:highlight w:val="none"/>
        </w:rPr>
        <w:t>第一章  磋商邀请</w:t>
      </w:r>
      <w:bookmarkEnd w:id="7"/>
      <w:bookmarkEnd w:id="8"/>
      <w:bookmarkEnd w:id="9"/>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rPr>
        <w:t>力达通项目管理咨询有限公司</w:t>
      </w:r>
      <w:r>
        <w:rPr>
          <w:rFonts w:hint="eastAsia" w:ascii="宋体" w:hAnsi="宋体"/>
          <w:color w:val="auto"/>
          <w:sz w:val="24"/>
          <w:highlight w:val="none"/>
        </w:rPr>
        <w:t>（采购代理机构）受</w:t>
      </w:r>
      <w:r>
        <w:rPr>
          <w:rFonts w:hint="eastAsia" w:ascii="宋体" w:hAnsi="宋体"/>
          <w:color w:val="auto"/>
          <w:sz w:val="24"/>
          <w:highlight w:val="none"/>
          <w:u w:val="single"/>
        </w:rPr>
        <w:t>成都市成华区人民政府双水碾街道办事处</w:t>
      </w:r>
      <w:r>
        <w:rPr>
          <w:rFonts w:hint="eastAsia" w:ascii="宋体" w:hAnsi="宋体"/>
          <w:color w:val="auto"/>
          <w:sz w:val="24"/>
          <w:highlight w:val="none"/>
        </w:rPr>
        <w:t>（采购人）委托，拟对</w:t>
      </w:r>
      <w:r>
        <w:rPr>
          <w:rFonts w:hint="eastAsia" w:ascii="宋体" w:hAnsi="宋体"/>
          <w:color w:val="auto"/>
          <w:sz w:val="24"/>
          <w:highlight w:val="none"/>
          <w:u w:val="single"/>
        </w:rPr>
        <w:t>成都市成华区人民政府双水碾街道办事处站北路社区智慧社区建设项目</w:t>
      </w:r>
      <w:r>
        <w:rPr>
          <w:rFonts w:hint="eastAsia" w:ascii="宋体" w:hAnsi="宋体"/>
          <w:color w:val="auto"/>
          <w:sz w:val="24"/>
          <w:highlight w:val="none"/>
        </w:rPr>
        <w:t>采用竞争性磋商方式进行采购，特邀请符合本次采购要求的供应商参加本项目的竞争性磋商。</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一、采购项目基本情况</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1.项目编号：</w:t>
      </w:r>
      <w:bookmarkStart w:id="258" w:name="_GoBack"/>
      <w:bookmarkEnd w:id="258"/>
      <w:r>
        <w:rPr>
          <w:rFonts w:hint="eastAsia" w:ascii="宋体" w:hAnsi="宋体"/>
          <w:color w:val="auto"/>
          <w:sz w:val="24"/>
          <w:highlight w:val="none"/>
        </w:rPr>
        <w:t>510108202100259 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2.采购项目名称：成都市成华区人民政府双水碾街道办事处站北路社区智慧社区建设项目</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3.采购人：成都市成华区人民政府双水碾街道办事处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4.采购代理机构：力达通项目管理咨询有限公司</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二、资金情况</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1.资金来源：</w:t>
      </w:r>
      <w:r>
        <w:rPr>
          <w:rFonts w:hint="eastAsia" w:ascii="宋体" w:hAnsi="宋体" w:cs="宋体"/>
          <w:color w:val="auto"/>
          <w:sz w:val="24"/>
          <w:highlight w:val="none"/>
        </w:rPr>
        <w:t>财政性资金；比例100%；已落实。</w:t>
      </w:r>
    </w:p>
    <w:p>
      <w:pPr>
        <w:spacing w:line="360" w:lineRule="auto"/>
        <w:ind w:firstLine="480" w:firstLineChars="200"/>
        <w:jc w:val="left"/>
        <w:rPr>
          <w:rFonts w:ascii="宋体" w:hAnsi="宋体" w:cs="宋体"/>
          <w:bCs/>
          <w:color w:val="auto"/>
          <w:sz w:val="24"/>
          <w:highlight w:val="none"/>
        </w:rPr>
      </w:pPr>
      <w:r>
        <w:rPr>
          <w:rFonts w:hint="eastAsia" w:ascii="宋体" w:hAnsi="宋体"/>
          <w:color w:val="auto"/>
          <w:sz w:val="24"/>
          <w:highlight w:val="none"/>
        </w:rPr>
        <w:t>2.</w:t>
      </w:r>
      <w:r>
        <w:rPr>
          <w:rFonts w:hint="eastAsia" w:ascii="宋体" w:hAnsi="宋体" w:cs="宋体"/>
          <w:color w:val="auto"/>
          <w:spacing w:val="-4"/>
          <w:sz w:val="24"/>
          <w:highlight w:val="none"/>
        </w:rPr>
        <w:t>采购预算：50.00万元</w:t>
      </w:r>
      <w:r>
        <w:rPr>
          <w:rFonts w:hint="eastAsia" w:ascii="宋体" w:hAnsi="宋体" w:cs="宋体"/>
          <w:bCs/>
          <w:color w:val="auto"/>
          <w:sz w:val="24"/>
          <w:highlight w:val="none"/>
        </w:rPr>
        <w:t>。</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三、采购项目简介：</w:t>
      </w:r>
    </w:p>
    <w:p>
      <w:pPr>
        <w:spacing w:line="360" w:lineRule="auto"/>
        <w:ind w:firstLine="480" w:firstLineChars="200"/>
        <w:jc w:val="left"/>
        <w:rPr>
          <w:rFonts w:ascii="宋体" w:hAnsi="宋体"/>
          <w:color w:val="auto"/>
          <w:sz w:val="24"/>
          <w:highlight w:val="none"/>
        </w:rPr>
      </w:pPr>
      <w:bookmarkStart w:id="10" w:name="PO_默认文件内容_3"/>
      <w:bookmarkStart w:id="11" w:name="PO_默认文件内容_2"/>
      <w:r>
        <w:rPr>
          <w:rFonts w:hint="eastAsia" w:ascii="宋体" w:hAnsi="宋体"/>
          <w:color w:val="auto"/>
          <w:sz w:val="24"/>
          <w:highlight w:val="none"/>
        </w:rPr>
        <w:t>本项目共1个包，详见磋商文件第五章。</w:t>
      </w:r>
    </w:p>
    <w:bookmarkEnd w:id="10"/>
    <w:bookmarkEnd w:id="11"/>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四、供应商邀请方式</w:t>
      </w:r>
    </w:p>
    <w:p>
      <w:pPr>
        <w:wordWrap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公告方式：本次竞争性磋商邀请在四川政府采购网（</w:t>
      </w:r>
      <w:r>
        <w:rPr>
          <w:color w:val="auto"/>
          <w:highlight w:val="none"/>
        </w:rPr>
        <w:fldChar w:fldCharType="begin"/>
      </w:r>
      <w:r>
        <w:rPr>
          <w:color w:val="auto"/>
          <w:highlight w:val="none"/>
        </w:rPr>
        <w:instrText xml:space="preserve"> HYPERLINK "http://www.ccgp-sichuan.gov.cn/" </w:instrText>
      </w:r>
      <w:r>
        <w:rPr>
          <w:color w:val="auto"/>
          <w:highlight w:val="none"/>
        </w:rPr>
        <w:fldChar w:fldCharType="separate"/>
      </w:r>
      <w:r>
        <w:rPr>
          <w:rStyle w:val="23"/>
          <w:rFonts w:hint="eastAsia" w:asciiTheme="minorEastAsia" w:hAnsiTheme="minorEastAsia" w:eastAsiaTheme="minorEastAsia" w:cstheme="minorEastAsia"/>
          <w:color w:val="auto"/>
          <w:sz w:val="24"/>
          <w:highlight w:val="none"/>
        </w:rPr>
        <w:t>http://www.ccgp-sichuan.gov.cn</w:t>
      </w:r>
      <w:r>
        <w:rPr>
          <w:rStyle w:val="23"/>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）上以公告形式发布。本项目采购公告期限为采购公告发布之日起3个工作日。</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五、供应商参加本次政府采购活动应具备下列条件</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1.具有独立承担民事责任的能力；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3.具有履行合同所必需的设备和专业技术能力；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4.有依法缴纳税收和社会保障资金的良好记录；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6.法律、行政法规规定的其他条件。</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7.根据采购项目提出的特殊条件：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7.1供应商及其现任法定代表人（非法人机构则为主要负责人）不得具有行贿犯罪记录；</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7.2本项目为专门面向中小企业采购；（供应商应为中小微企业、监狱企业、残疾人福利性单位）</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7.3本次磋商不接受联合体响应。</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六、禁止参加本次采购活动的供应商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七、磋商文件获取方式、时间、地点：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获取时间：2021年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日-2021年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获取地点：政府采购云平台（https://www.zcygov.cn/）。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文件获取方式：凡有意参加本项目者，在本项目磋商文件获取时间期限内，登录政府采购云平台（https://www.zcygov.cn/）获取，操作步骤：登录政府采购云平台—我的工作台—项目采购—获取采购文件—申请获取采购文件。提示：（1）本项目磋商文件免费获取。（2）供应商只有在“政府采购云平台”完成获取磋商文件申请并下载磋商文件后才视作依法参与本项目。</w:t>
      </w:r>
    </w:p>
    <w:p>
      <w:pPr>
        <w:wordWrap w:val="0"/>
        <w:spacing w:line="360" w:lineRule="auto"/>
        <w:ind w:firstLine="480" w:firstLineChars="200"/>
        <w:jc w:val="left"/>
        <w:rPr>
          <w:color w:val="auto"/>
          <w:highlight w:val="none"/>
        </w:rPr>
      </w:pPr>
      <w:r>
        <w:rPr>
          <w:rFonts w:hint="eastAsia" w:ascii="宋体" w:hAnsi="宋体" w:cs="宋体"/>
          <w:color w:val="auto"/>
          <w:sz w:val="24"/>
          <w:highlight w:val="none"/>
        </w:rPr>
        <w:t>本项目磋商文件免费获取，磋商资格不能转让。未按规定获取磋商文件并登记备案的供应商不得参加本项目磋商。</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八、递交响应文件截止时间</w:t>
      </w:r>
      <w:r>
        <w:rPr>
          <w:rFonts w:hint="eastAsia" w:ascii="宋体" w:hAnsi="宋体"/>
          <w:color w:val="auto"/>
          <w:sz w:val="24"/>
          <w:highlight w:val="none"/>
        </w:rPr>
        <w:t>：2021年</w:t>
      </w:r>
      <w:r>
        <w:rPr>
          <w:rFonts w:hint="eastAsia" w:ascii="宋体" w:hAnsi="宋体" w:cs="宋体"/>
          <w:color w:val="auto"/>
          <w:sz w:val="24"/>
          <w:highlight w:val="none"/>
          <w:lang w:val="en-US" w:eastAsia="zh-CN"/>
        </w:rPr>
        <w:t>11</w:t>
      </w:r>
      <w:r>
        <w:rPr>
          <w:rFonts w:hint="eastAsia" w:ascii="宋体" w:hAnsi="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olor w:val="auto"/>
          <w:sz w:val="24"/>
          <w:highlight w:val="none"/>
        </w:rPr>
        <w:t>日10:30(北京时间)。</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九、递交响应文件地点：</w:t>
      </w:r>
      <w:r>
        <w:rPr>
          <w:rFonts w:hint="eastAsia" w:ascii="宋体" w:hAnsi="宋体"/>
          <w:bCs/>
          <w:color w:val="auto"/>
          <w:sz w:val="24"/>
          <w:highlight w:val="none"/>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十、响应文件开启时间：</w:t>
      </w:r>
      <w:r>
        <w:rPr>
          <w:rFonts w:hint="eastAsia" w:ascii="宋体" w:hAnsi="宋体"/>
          <w:color w:val="auto"/>
          <w:sz w:val="24"/>
          <w:highlight w:val="none"/>
        </w:rPr>
        <w:t>2021年</w:t>
      </w:r>
      <w:r>
        <w:rPr>
          <w:rFonts w:hint="eastAsia" w:ascii="宋体" w:hAnsi="宋体" w:cs="宋体"/>
          <w:color w:val="auto"/>
          <w:sz w:val="24"/>
          <w:highlight w:val="none"/>
          <w:lang w:val="en-US" w:eastAsia="zh-CN"/>
        </w:rPr>
        <w:t>11</w:t>
      </w:r>
      <w:r>
        <w:rPr>
          <w:rFonts w:hint="eastAsia" w:ascii="宋体" w:hAnsi="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olor w:val="auto"/>
          <w:sz w:val="24"/>
          <w:highlight w:val="none"/>
        </w:rPr>
        <w:t>日10:30</w:t>
      </w:r>
      <w:r>
        <w:rPr>
          <w:rFonts w:hint="eastAsia" w:ascii="宋体" w:hAnsi="宋体"/>
          <w:bCs/>
          <w:color w:val="auto"/>
          <w:sz w:val="24"/>
          <w:highlight w:val="none"/>
        </w:rPr>
        <w:t>（北京时间）在磋商地点开启。</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十一、磋商</w:t>
      </w:r>
      <w:r>
        <w:rPr>
          <w:rFonts w:ascii="宋体" w:hAnsi="宋体"/>
          <w:b/>
          <w:color w:val="auto"/>
          <w:sz w:val="24"/>
          <w:highlight w:val="none"/>
        </w:rPr>
        <w:t>地点：</w:t>
      </w:r>
      <w:r>
        <w:rPr>
          <w:rFonts w:hint="eastAsia" w:ascii="宋体" w:hAnsi="宋体" w:cs="宋体"/>
          <w:b/>
          <w:bCs/>
          <w:color w:val="auto"/>
          <w:sz w:val="24"/>
          <w:highlight w:val="none"/>
        </w:rPr>
        <w:t>力达通项目管理咨询有限公司</w:t>
      </w:r>
      <w:r>
        <w:rPr>
          <w:rFonts w:hint="eastAsia" w:ascii="宋体" w:hAnsi="宋体"/>
          <w:b/>
          <w:color w:val="auto"/>
          <w:sz w:val="24"/>
          <w:highlight w:val="none"/>
        </w:rPr>
        <w:t>（成都市高新区天府大道北段1700号西区7-1-2019A）</w:t>
      </w:r>
      <w:r>
        <w:rPr>
          <w:rFonts w:hint="eastAsia" w:ascii="宋体" w:hAnsi="宋体"/>
          <w:color w:val="auto"/>
          <w:sz w:val="24"/>
          <w:highlight w:val="none"/>
        </w:rPr>
        <w:t>。</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十二、供应商信用融资：</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磋商文件附件“成财采[2019]17号”）。</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十三、联系方式</w:t>
      </w:r>
    </w:p>
    <w:p>
      <w:pPr>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采 购 人：成都市成华区人民政府双水碾街道办事处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地    址：成都市成华区站北北街1号</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 系 人：黄老师</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联系电话：028-83552950</w:t>
      </w:r>
    </w:p>
    <w:p>
      <w:pPr>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采购代理机构：力达通项目管理咨询有限公司</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地    址：成都市高新区天府大道北段1700号西区7-1-2019A</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 系 人：郭女士</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宋体"/>
          <w:color w:val="auto"/>
          <w:sz w:val="24"/>
          <w:highlight w:val="none"/>
        </w:rPr>
        <w:t>028-85123065</w:t>
      </w:r>
    </w:p>
    <w:p>
      <w:pPr>
        <w:spacing w:line="360" w:lineRule="auto"/>
        <w:jc w:val="right"/>
        <w:rPr>
          <w:color w:val="auto"/>
          <w:highlight w:val="none"/>
        </w:rPr>
      </w:pPr>
      <w:r>
        <w:rPr>
          <w:rFonts w:hint="eastAsia" w:ascii="宋体" w:hAnsi="宋体"/>
          <w:color w:val="auto"/>
          <w:sz w:val="24"/>
          <w:highlight w:val="none"/>
        </w:rPr>
        <w:t>2021年</w:t>
      </w:r>
      <w:r>
        <w:rPr>
          <w:rFonts w:hint="eastAsia" w:ascii="宋体" w:hAnsi="宋体"/>
          <w:color w:val="auto"/>
          <w:sz w:val="24"/>
          <w:highlight w:val="none"/>
          <w:lang w:val="en-US" w:eastAsia="zh-CN"/>
        </w:rPr>
        <w:t>11</w:t>
      </w:r>
      <w:r>
        <w:rPr>
          <w:rFonts w:hint="eastAsia" w:ascii="宋体" w:hAnsi="宋体"/>
          <w:color w:val="auto"/>
          <w:sz w:val="24"/>
          <w:highlight w:val="none"/>
        </w:rPr>
        <w:t>月</w:t>
      </w:r>
      <w:bookmarkStart w:id="12" w:name="_Toc9280_WPSOffice_Level1"/>
      <w:bookmarkStart w:id="13" w:name="_Toc213397009"/>
      <w:bookmarkStart w:id="14" w:name="_Toc213396945"/>
      <w:bookmarkStart w:id="15" w:name="_Toc213396759"/>
      <w:bookmarkStart w:id="16" w:name="_Toc217446031"/>
      <w:bookmarkStart w:id="17" w:name="_Toc213496267"/>
      <w:bookmarkStart w:id="18" w:name="_Toc8230_WPSOffice_Level1"/>
      <w:bookmarkStart w:id="19" w:name="_Toc1282"/>
      <w:r>
        <w:rPr>
          <w:rFonts w:hint="eastAsia" w:ascii="宋体" w:hAnsi="宋体"/>
          <w:color w:val="auto"/>
          <w:sz w:val="24"/>
          <w:highlight w:val="none"/>
          <w:lang w:val="en-US" w:eastAsia="zh-CN"/>
        </w:rPr>
        <w:t>11</w:t>
      </w:r>
      <w:r>
        <w:rPr>
          <w:rFonts w:hint="eastAsia" w:ascii="宋体" w:hAnsi="宋体"/>
          <w:color w:val="auto"/>
          <w:sz w:val="24"/>
          <w:highlight w:val="none"/>
        </w:rPr>
        <w:t>日</w:t>
      </w:r>
      <w:r>
        <w:rPr>
          <w:rFonts w:hint="eastAsia"/>
          <w:color w:val="auto"/>
          <w:highlight w:val="none"/>
        </w:rPr>
        <w:br w:type="page"/>
      </w:r>
    </w:p>
    <w:p>
      <w:pPr>
        <w:pStyle w:val="4"/>
        <w:spacing w:before="0" w:after="0" w:line="360" w:lineRule="auto"/>
        <w:jc w:val="center"/>
        <w:rPr>
          <w:color w:val="auto"/>
          <w:highlight w:val="none"/>
        </w:rPr>
      </w:pPr>
      <w:bookmarkStart w:id="20" w:name="_Toc16992"/>
      <w:r>
        <w:rPr>
          <w:rFonts w:hint="eastAsia"/>
          <w:color w:val="auto"/>
          <w:highlight w:val="none"/>
        </w:rPr>
        <w:t>第二章  磋商须知</w:t>
      </w:r>
      <w:bookmarkEnd w:id="12"/>
      <w:bookmarkEnd w:id="13"/>
      <w:bookmarkEnd w:id="14"/>
      <w:bookmarkEnd w:id="15"/>
      <w:bookmarkEnd w:id="16"/>
      <w:bookmarkEnd w:id="17"/>
      <w:bookmarkEnd w:id="18"/>
      <w:bookmarkEnd w:id="19"/>
      <w:bookmarkEnd w:id="20"/>
    </w:p>
    <w:p>
      <w:pPr>
        <w:pStyle w:val="5"/>
        <w:spacing w:before="0" w:after="0" w:line="360" w:lineRule="auto"/>
        <w:jc w:val="center"/>
        <w:rPr>
          <w:color w:val="auto"/>
          <w:highlight w:val="none"/>
        </w:rPr>
      </w:pPr>
      <w:bookmarkStart w:id="21" w:name="_Toc6814_WPSOffice_Level2"/>
      <w:r>
        <w:rPr>
          <w:rFonts w:hint="eastAsia"/>
          <w:color w:val="auto"/>
          <w:highlight w:val="none"/>
        </w:rPr>
        <w:t>一、供应商须知附表</w:t>
      </w:r>
      <w:bookmarkEnd w:id="21"/>
    </w:p>
    <w:tbl>
      <w:tblPr>
        <w:tblStyle w:val="19"/>
        <w:tblW w:w="4998"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971"/>
        <w:gridCol w:w="1844"/>
        <w:gridCol w:w="635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blHeader/>
          <w:jc w:val="center"/>
        </w:trPr>
        <w:tc>
          <w:tcPr>
            <w:tcW w:w="529" w:type="pct"/>
            <w:vAlign w:val="center"/>
          </w:tcPr>
          <w:p>
            <w:pPr>
              <w:pStyle w:val="29"/>
              <w:spacing w:line="240" w:lineRule="auto"/>
              <w:jc w:val="center"/>
              <w:rPr>
                <w:b/>
                <w:color w:val="auto"/>
                <w:kern w:val="2"/>
                <w:sz w:val="21"/>
                <w:szCs w:val="21"/>
                <w:highlight w:val="none"/>
                <w:lang w:val="zh-CN"/>
              </w:rPr>
            </w:pPr>
            <w:r>
              <w:rPr>
                <w:rFonts w:hint="eastAsia"/>
                <w:b/>
                <w:color w:val="auto"/>
                <w:kern w:val="2"/>
                <w:sz w:val="21"/>
                <w:szCs w:val="21"/>
                <w:highlight w:val="none"/>
                <w:lang w:val="zh-CN"/>
              </w:rPr>
              <w:t>序号</w:t>
            </w:r>
          </w:p>
        </w:tc>
        <w:tc>
          <w:tcPr>
            <w:tcW w:w="1005" w:type="pct"/>
            <w:vAlign w:val="center"/>
          </w:tcPr>
          <w:p>
            <w:pPr>
              <w:pStyle w:val="29"/>
              <w:spacing w:line="240" w:lineRule="auto"/>
              <w:ind w:firstLine="422" w:firstLineChars="200"/>
              <w:jc w:val="center"/>
              <w:rPr>
                <w:b/>
                <w:color w:val="auto"/>
                <w:kern w:val="2"/>
                <w:sz w:val="21"/>
                <w:szCs w:val="21"/>
                <w:highlight w:val="none"/>
                <w:lang w:val="zh-CN"/>
              </w:rPr>
            </w:pPr>
            <w:r>
              <w:rPr>
                <w:rFonts w:hint="eastAsia"/>
                <w:b/>
                <w:color w:val="auto"/>
                <w:kern w:val="2"/>
                <w:sz w:val="21"/>
                <w:szCs w:val="21"/>
                <w:highlight w:val="none"/>
                <w:lang w:val="zh-CN"/>
              </w:rPr>
              <w:t>应知事项</w:t>
            </w:r>
          </w:p>
        </w:tc>
        <w:tc>
          <w:tcPr>
            <w:tcW w:w="3464" w:type="pct"/>
            <w:vAlign w:val="center"/>
          </w:tcPr>
          <w:p>
            <w:pPr>
              <w:pStyle w:val="29"/>
              <w:spacing w:line="240" w:lineRule="auto"/>
              <w:jc w:val="center"/>
              <w:rPr>
                <w:b/>
                <w:color w:val="auto"/>
                <w:kern w:val="2"/>
                <w:sz w:val="21"/>
                <w:szCs w:val="21"/>
                <w:highlight w:val="none"/>
                <w:lang w:val="zh-CN"/>
              </w:rPr>
            </w:pPr>
            <w:r>
              <w:rPr>
                <w:rFonts w:hint="eastAsia"/>
                <w:b/>
                <w:color w:val="auto"/>
                <w:kern w:val="2"/>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p>
        </w:tc>
        <w:tc>
          <w:tcPr>
            <w:tcW w:w="1005" w:type="pct"/>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确定邀请磋商的供应商数量和方式</w:t>
            </w:r>
          </w:p>
        </w:tc>
        <w:tc>
          <w:tcPr>
            <w:tcW w:w="3464"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本次磋商邀请的供应商数量：不限制。</w:t>
            </w:r>
          </w:p>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2</w:t>
            </w:r>
          </w:p>
        </w:tc>
        <w:tc>
          <w:tcPr>
            <w:tcW w:w="1005" w:type="pct"/>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采购预算</w:t>
            </w:r>
          </w:p>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（实质性要求）</w:t>
            </w:r>
          </w:p>
        </w:tc>
        <w:tc>
          <w:tcPr>
            <w:tcW w:w="3464" w:type="pct"/>
            <w:vAlign w:val="center"/>
          </w:tcPr>
          <w:p>
            <w:pPr>
              <w:pStyle w:val="29"/>
              <w:spacing w:line="240" w:lineRule="auto"/>
              <w:ind w:left="420" w:leftChars="200"/>
              <w:rPr>
                <w:b/>
                <w:color w:val="auto"/>
                <w:kern w:val="2"/>
                <w:sz w:val="21"/>
                <w:szCs w:val="21"/>
                <w:highlight w:val="none"/>
                <w:lang w:val="zh-CN"/>
              </w:rPr>
            </w:pPr>
            <w:r>
              <w:rPr>
                <w:rFonts w:hint="eastAsia"/>
                <w:b/>
                <w:color w:val="auto"/>
                <w:kern w:val="2"/>
                <w:sz w:val="21"/>
                <w:szCs w:val="21"/>
                <w:highlight w:val="none"/>
                <w:lang w:val="zh-CN"/>
              </w:rPr>
              <w:t>采购预算：</w:t>
            </w:r>
            <w:r>
              <w:rPr>
                <w:rFonts w:hint="eastAsia"/>
                <w:b/>
                <w:color w:val="auto"/>
                <w:kern w:val="2"/>
                <w:sz w:val="21"/>
                <w:szCs w:val="21"/>
                <w:highlight w:val="none"/>
              </w:rPr>
              <w:t>50.00</w:t>
            </w:r>
            <w:r>
              <w:rPr>
                <w:rFonts w:hint="eastAsia"/>
                <w:b/>
                <w:color w:val="auto"/>
                <w:kern w:val="2"/>
                <w:sz w:val="21"/>
                <w:szCs w:val="21"/>
                <w:highlight w:val="none"/>
                <w:lang w:val="zh-CN"/>
              </w:rPr>
              <w:t>万元。</w:t>
            </w:r>
          </w:p>
          <w:p>
            <w:pPr>
              <w:pStyle w:val="29"/>
              <w:spacing w:line="240" w:lineRule="auto"/>
              <w:ind w:left="420" w:leftChars="200"/>
              <w:rPr>
                <w:b/>
                <w:color w:val="auto"/>
                <w:kern w:val="2"/>
                <w:sz w:val="21"/>
                <w:szCs w:val="21"/>
                <w:highlight w:val="none"/>
                <w:lang w:val="zh-CN"/>
              </w:rPr>
            </w:pPr>
            <w:r>
              <w:rPr>
                <w:rFonts w:hint="eastAsia"/>
                <w:bCs/>
                <w:color w:val="auto"/>
                <w:kern w:val="2"/>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3</w:t>
            </w:r>
          </w:p>
        </w:tc>
        <w:tc>
          <w:tcPr>
            <w:tcW w:w="1005" w:type="pct"/>
            <w:vAlign w:val="center"/>
          </w:tcPr>
          <w:p>
            <w:pPr>
              <w:pStyle w:val="29"/>
              <w:spacing w:line="240" w:lineRule="auto"/>
              <w:jc w:val="center"/>
              <w:rPr>
                <w:bCs/>
                <w:color w:val="auto"/>
                <w:kern w:val="2"/>
                <w:sz w:val="21"/>
                <w:szCs w:val="21"/>
                <w:highlight w:val="none"/>
              </w:rPr>
            </w:pPr>
            <w:r>
              <w:rPr>
                <w:rFonts w:hint="eastAsia"/>
                <w:bCs/>
                <w:color w:val="auto"/>
                <w:kern w:val="2"/>
                <w:sz w:val="21"/>
                <w:szCs w:val="21"/>
                <w:highlight w:val="none"/>
                <w:lang w:val="zh-CN"/>
              </w:rPr>
              <w:t>最高限价</w:t>
            </w:r>
          </w:p>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（实质性要求）</w:t>
            </w:r>
          </w:p>
        </w:tc>
        <w:tc>
          <w:tcPr>
            <w:tcW w:w="3464" w:type="pct"/>
            <w:vAlign w:val="center"/>
          </w:tcPr>
          <w:p>
            <w:pPr>
              <w:pStyle w:val="29"/>
              <w:spacing w:line="240" w:lineRule="auto"/>
              <w:ind w:left="420" w:leftChars="200"/>
              <w:rPr>
                <w:bCs/>
                <w:color w:val="auto"/>
                <w:kern w:val="2"/>
                <w:sz w:val="21"/>
                <w:szCs w:val="21"/>
                <w:highlight w:val="none"/>
                <w:lang w:val="zh-CN"/>
              </w:rPr>
            </w:pPr>
            <w:r>
              <w:rPr>
                <w:rFonts w:hint="eastAsia"/>
                <w:b/>
                <w:color w:val="auto"/>
                <w:kern w:val="2"/>
                <w:sz w:val="21"/>
                <w:szCs w:val="21"/>
                <w:highlight w:val="none"/>
                <w:lang w:val="zh-CN"/>
              </w:rPr>
              <w:t>最高限价：48</w:t>
            </w:r>
            <w:r>
              <w:rPr>
                <w:rFonts w:hint="eastAsia"/>
                <w:b/>
                <w:color w:val="auto"/>
                <w:kern w:val="2"/>
                <w:sz w:val="21"/>
                <w:szCs w:val="21"/>
                <w:highlight w:val="none"/>
              </w:rPr>
              <w:t>.</w:t>
            </w:r>
            <w:r>
              <w:rPr>
                <w:rFonts w:hint="eastAsia"/>
                <w:b/>
                <w:color w:val="auto"/>
                <w:kern w:val="2"/>
                <w:sz w:val="21"/>
                <w:szCs w:val="21"/>
                <w:highlight w:val="none"/>
                <w:lang w:val="zh-CN"/>
              </w:rPr>
              <w:t>75万元。</w:t>
            </w:r>
          </w:p>
          <w:p>
            <w:pPr>
              <w:pStyle w:val="29"/>
              <w:spacing w:line="240" w:lineRule="auto"/>
              <w:ind w:left="420" w:leftChars="200"/>
              <w:rPr>
                <w:bCs/>
                <w:color w:val="auto"/>
                <w:kern w:val="2"/>
                <w:sz w:val="21"/>
                <w:szCs w:val="21"/>
                <w:highlight w:val="none"/>
              </w:rPr>
            </w:pPr>
            <w:r>
              <w:rPr>
                <w:rFonts w:hint="eastAsia"/>
                <w:bCs/>
                <w:color w:val="auto"/>
                <w:kern w:val="2"/>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rPr>
              <w:t>4</w:t>
            </w:r>
          </w:p>
        </w:tc>
        <w:tc>
          <w:tcPr>
            <w:tcW w:w="1005" w:type="pct"/>
            <w:vAlign w:val="center"/>
          </w:tcPr>
          <w:p>
            <w:pPr>
              <w:pStyle w:val="29"/>
              <w:spacing w:line="240" w:lineRule="auto"/>
              <w:jc w:val="center"/>
              <w:rPr>
                <w:bCs/>
                <w:color w:val="auto"/>
                <w:kern w:val="2"/>
                <w:sz w:val="21"/>
                <w:szCs w:val="21"/>
                <w:highlight w:val="none"/>
              </w:rPr>
            </w:pPr>
            <w:r>
              <w:rPr>
                <w:rFonts w:hint="eastAsia"/>
                <w:bCs/>
                <w:color w:val="auto"/>
                <w:kern w:val="2"/>
                <w:sz w:val="21"/>
                <w:szCs w:val="21"/>
                <w:highlight w:val="none"/>
                <w:lang w:val="zh-CN"/>
              </w:rPr>
              <w:t>是否接受联合体</w:t>
            </w:r>
          </w:p>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（实质性要求）</w:t>
            </w:r>
          </w:p>
        </w:tc>
        <w:tc>
          <w:tcPr>
            <w:tcW w:w="3464" w:type="pct"/>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5</w:t>
            </w:r>
          </w:p>
        </w:tc>
        <w:tc>
          <w:tcPr>
            <w:tcW w:w="1005" w:type="pct"/>
            <w:vAlign w:val="center"/>
          </w:tcPr>
          <w:p>
            <w:pPr>
              <w:pStyle w:val="29"/>
              <w:spacing w:line="240" w:lineRule="auto"/>
              <w:jc w:val="center"/>
              <w:rPr>
                <w:bCs/>
                <w:color w:val="auto"/>
                <w:kern w:val="2"/>
                <w:sz w:val="21"/>
                <w:szCs w:val="21"/>
                <w:highlight w:val="none"/>
              </w:rPr>
            </w:pPr>
            <w:r>
              <w:rPr>
                <w:rFonts w:hint="eastAsia"/>
                <w:bCs/>
                <w:color w:val="auto"/>
                <w:kern w:val="2"/>
                <w:sz w:val="21"/>
                <w:szCs w:val="21"/>
                <w:highlight w:val="none"/>
              </w:rPr>
              <w:t>低于成本价不正当竞争预防措施</w:t>
            </w:r>
          </w:p>
          <w:p>
            <w:pPr>
              <w:pStyle w:val="29"/>
              <w:spacing w:line="240" w:lineRule="auto"/>
              <w:jc w:val="center"/>
              <w:rPr>
                <w:bCs/>
                <w:color w:val="auto"/>
                <w:kern w:val="2"/>
                <w:sz w:val="21"/>
                <w:szCs w:val="21"/>
                <w:highlight w:val="none"/>
              </w:rPr>
            </w:pPr>
            <w:r>
              <w:rPr>
                <w:rFonts w:hint="eastAsia"/>
                <w:bCs/>
                <w:color w:val="auto"/>
                <w:kern w:val="2"/>
                <w:sz w:val="21"/>
                <w:szCs w:val="21"/>
                <w:highlight w:val="none"/>
              </w:rPr>
              <w:t>（实质性要求）</w:t>
            </w:r>
          </w:p>
        </w:tc>
        <w:tc>
          <w:tcPr>
            <w:tcW w:w="3464" w:type="pct"/>
            <w:vAlign w:val="center"/>
          </w:tcPr>
          <w:p>
            <w:pPr>
              <w:pStyle w:val="30"/>
              <w:tabs>
                <w:tab w:val="left" w:pos="314"/>
              </w:tabs>
              <w:spacing w:line="240" w:lineRule="auto"/>
              <w:ind w:firstLine="420" w:firstLineChars="200"/>
              <w:jc w:val="left"/>
              <w:rPr>
                <w:bCs/>
                <w:color w:val="auto"/>
                <w:sz w:val="21"/>
                <w:szCs w:val="21"/>
                <w:highlight w:val="none"/>
                <w:lang w:bidi="ar-SA"/>
              </w:rPr>
            </w:pPr>
            <w:r>
              <w:rPr>
                <w:rFonts w:hint="eastAsia"/>
                <w:bCs/>
                <w:color w:val="auto"/>
                <w:sz w:val="21"/>
                <w:szCs w:val="21"/>
                <w:highlight w:val="none"/>
                <w:lang w:bidi="ar-SA"/>
              </w:rPr>
              <w:t>（</w:t>
            </w:r>
            <w:r>
              <w:rPr>
                <w:rFonts w:hint="eastAsia"/>
                <w:bCs/>
                <w:color w:val="auto"/>
                <w:sz w:val="21"/>
                <w:szCs w:val="21"/>
                <w:highlight w:val="none"/>
                <w:lang w:val="en-US" w:bidi="ar-SA"/>
              </w:rPr>
              <w:t>1</w:t>
            </w:r>
            <w:r>
              <w:rPr>
                <w:rFonts w:hint="eastAsia"/>
                <w:bCs/>
                <w:color w:val="auto"/>
                <w:sz w:val="21"/>
                <w:szCs w:val="21"/>
                <w:highlight w:val="none"/>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0"/>
              <w:tabs>
                <w:tab w:val="left" w:pos="314"/>
              </w:tabs>
              <w:spacing w:line="240" w:lineRule="auto"/>
              <w:ind w:firstLine="420" w:firstLineChars="200"/>
              <w:jc w:val="left"/>
              <w:rPr>
                <w:bCs/>
                <w:color w:val="auto"/>
                <w:sz w:val="21"/>
                <w:szCs w:val="21"/>
                <w:highlight w:val="none"/>
                <w:lang w:bidi="ar-SA"/>
              </w:rPr>
            </w:pPr>
            <w:r>
              <w:rPr>
                <w:rFonts w:hint="eastAsia"/>
                <w:bCs/>
                <w:color w:val="auto"/>
                <w:sz w:val="21"/>
                <w:szCs w:val="21"/>
                <w:highlight w:val="none"/>
                <w:lang w:bidi="ar-SA"/>
              </w:rPr>
              <w:t>（</w:t>
            </w:r>
            <w:r>
              <w:rPr>
                <w:rFonts w:hint="eastAsia"/>
                <w:bCs/>
                <w:color w:val="auto"/>
                <w:sz w:val="21"/>
                <w:szCs w:val="21"/>
                <w:highlight w:val="none"/>
                <w:lang w:val="en-US" w:bidi="ar-SA"/>
              </w:rPr>
              <w:t>2</w:t>
            </w:r>
            <w:r>
              <w:rPr>
                <w:rFonts w:hint="eastAsia"/>
                <w:bCs/>
                <w:color w:val="auto"/>
                <w:sz w:val="21"/>
                <w:szCs w:val="21"/>
                <w:highlight w:val="none"/>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0"/>
              <w:tabs>
                <w:tab w:val="left" w:pos="314"/>
              </w:tabs>
              <w:spacing w:line="240" w:lineRule="auto"/>
              <w:ind w:firstLine="420" w:firstLineChars="200"/>
              <w:jc w:val="left"/>
              <w:rPr>
                <w:bCs/>
                <w:color w:val="auto"/>
                <w:sz w:val="21"/>
                <w:szCs w:val="21"/>
                <w:highlight w:val="none"/>
              </w:rPr>
            </w:pPr>
            <w:r>
              <w:rPr>
                <w:rFonts w:hint="eastAsia"/>
                <w:bCs/>
                <w:color w:val="auto"/>
                <w:sz w:val="21"/>
                <w:szCs w:val="21"/>
                <w:highlight w:val="none"/>
                <w:lang w:bidi="ar-SA"/>
              </w:rPr>
              <w:t>（</w:t>
            </w:r>
            <w:r>
              <w:rPr>
                <w:rFonts w:hint="eastAsia"/>
                <w:bCs/>
                <w:color w:val="auto"/>
                <w:sz w:val="21"/>
                <w:szCs w:val="21"/>
                <w:highlight w:val="none"/>
                <w:lang w:val="en-US" w:bidi="ar-SA"/>
              </w:rPr>
              <w:t>3</w:t>
            </w:r>
            <w:r>
              <w:rPr>
                <w:rFonts w:hint="eastAsia"/>
                <w:bCs/>
                <w:color w:val="auto"/>
                <w:sz w:val="21"/>
                <w:szCs w:val="21"/>
                <w:highlight w:val="none"/>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6</w:t>
            </w:r>
          </w:p>
        </w:tc>
        <w:tc>
          <w:tcPr>
            <w:tcW w:w="1005" w:type="pct"/>
            <w:vAlign w:val="center"/>
          </w:tcPr>
          <w:p>
            <w:pPr>
              <w:pStyle w:val="29"/>
              <w:spacing w:line="240" w:lineRule="auto"/>
              <w:jc w:val="center"/>
              <w:rPr>
                <w:bCs/>
                <w:color w:val="auto"/>
                <w:kern w:val="2"/>
                <w:sz w:val="21"/>
                <w:szCs w:val="21"/>
                <w:highlight w:val="none"/>
              </w:rPr>
            </w:pPr>
            <w:r>
              <w:rPr>
                <w:rFonts w:hint="eastAsia"/>
                <w:bCs/>
                <w:color w:val="auto"/>
                <w:kern w:val="2"/>
                <w:sz w:val="21"/>
                <w:szCs w:val="21"/>
                <w:highlight w:val="none"/>
              </w:rPr>
              <w:t>小微企业（监狱企业、残疾人福利性单位视同小微企业）价格扣除和扶持不发达地区和少数民族地区政策</w:t>
            </w:r>
          </w:p>
          <w:p>
            <w:pPr>
              <w:pStyle w:val="29"/>
              <w:spacing w:line="240" w:lineRule="auto"/>
              <w:jc w:val="center"/>
              <w:rPr>
                <w:bCs/>
                <w:color w:val="auto"/>
                <w:kern w:val="2"/>
                <w:sz w:val="21"/>
                <w:szCs w:val="21"/>
                <w:highlight w:val="none"/>
              </w:rPr>
            </w:pPr>
            <w:r>
              <w:rPr>
                <w:rFonts w:hint="eastAsia"/>
                <w:color w:val="auto"/>
                <w:sz w:val="21"/>
                <w:szCs w:val="21"/>
                <w:highlight w:val="none"/>
              </w:rPr>
              <w:t>（实质性要求）</w:t>
            </w:r>
          </w:p>
        </w:tc>
        <w:tc>
          <w:tcPr>
            <w:tcW w:w="3464" w:type="pct"/>
          </w:tcPr>
          <w:p>
            <w:pPr>
              <w:pStyle w:val="29"/>
              <w:numPr>
                <w:ilvl w:val="0"/>
                <w:numId w:val="3"/>
              </w:numPr>
              <w:spacing w:line="240" w:lineRule="auto"/>
              <w:ind w:firstLine="422" w:firstLineChars="200"/>
              <w:rPr>
                <w:b/>
                <w:bCs/>
                <w:color w:val="auto"/>
                <w:sz w:val="21"/>
                <w:szCs w:val="21"/>
                <w:highlight w:val="none"/>
              </w:rPr>
            </w:pPr>
            <w:r>
              <w:rPr>
                <w:rFonts w:hint="eastAsia"/>
                <w:b/>
                <w:bCs/>
                <w:color w:val="auto"/>
                <w:sz w:val="21"/>
                <w:szCs w:val="21"/>
                <w:highlight w:val="none"/>
              </w:rPr>
              <w:t>小微企业（监狱企业、残疾人福利性单位视同小微企业）价格扣除（本项目专门面对中小企业采购，不再进行价格扣除）。</w:t>
            </w:r>
          </w:p>
          <w:p>
            <w:pPr>
              <w:pStyle w:val="29"/>
              <w:spacing w:line="240" w:lineRule="auto"/>
              <w:ind w:firstLine="420" w:firstLineChars="200"/>
              <w:rPr>
                <w:color w:val="auto"/>
                <w:sz w:val="21"/>
                <w:szCs w:val="21"/>
                <w:highlight w:val="none"/>
              </w:rPr>
            </w:pPr>
            <w:r>
              <w:rPr>
                <w:rFonts w:hint="eastAsia"/>
                <w:color w:val="auto"/>
                <w:sz w:val="21"/>
                <w:szCs w:val="21"/>
                <w:highlight w:val="none"/>
              </w:rPr>
              <w:t>1、根据《政府采购促进中小企业发展管理办法》（财库[2020]46号）、《关于政府采购支持监狱企业发展有关问题的通知》（财库[2014]68号）、《三部门联合发布关于促进残疾人就业政府采购政策的通知》（财库[2017]141号）的规定，对符合小型和微型企业条件的价格给予10%的价格扣除，用扣除后的价格参与评标。本项目属于专门面向中小企业采购项目，供应商为中型、小型、微型企业（①监狱企业、残疾人福利性单位视同小微企业，②符合中小企业划分标准的个体工商户，在政府采购活动中视同中小企业）的不再享受价格扣除。</w:t>
            </w:r>
          </w:p>
          <w:p>
            <w:pPr>
              <w:pStyle w:val="29"/>
              <w:spacing w:line="240" w:lineRule="auto"/>
              <w:ind w:firstLine="420" w:firstLineChars="200"/>
              <w:rPr>
                <w:color w:val="auto"/>
                <w:sz w:val="21"/>
                <w:szCs w:val="21"/>
                <w:highlight w:val="none"/>
              </w:rPr>
            </w:pPr>
            <w:r>
              <w:rPr>
                <w:rFonts w:hint="eastAsia"/>
                <w:color w:val="auto"/>
                <w:sz w:val="21"/>
                <w:szCs w:val="21"/>
                <w:highlight w:val="none"/>
              </w:rPr>
              <w:t>2、在政府采购活动中，供应商提供的货物、工程或者服务符合下列情形的，享受小微企业价格扣除：</w:t>
            </w:r>
          </w:p>
          <w:p>
            <w:pPr>
              <w:pStyle w:val="29"/>
              <w:spacing w:line="240" w:lineRule="auto"/>
              <w:ind w:firstLine="420" w:firstLineChars="200"/>
              <w:rPr>
                <w:color w:val="auto"/>
                <w:sz w:val="21"/>
                <w:szCs w:val="21"/>
                <w:highlight w:val="none"/>
              </w:rPr>
            </w:pPr>
            <w:r>
              <w:rPr>
                <w:rFonts w:hint="eastAsia"/>
                <w:color w:val="auto"/>
                <w:sz w:val="21"/>
                <w:szCs w:val="21"/>
                <w:highlight w:val="none"/>
              </w:rPr>
              <w:t>（1）在货物采购项目中，货物由小微企业制造，即货物由小微企业生产且使用该小微企业商号或者注册商标；</w:t>
            </w:r>
          </w:p>
          <w:p>
            <w:pPr>
              <w:pStyle w:val="29"/>
              <w:spacing w:line="240" w:lineRule="auto"/>
              <w:ind w:firstLine="420" w:firstLineChars="200"/>
              <w:rPr>
                <w:color w:val="auto"/>
                <w:sz w:val="21"/>
                <w:szCs w:val="21"/>
                <w:highlight w:val="none"/>
              </w:rPr>
            </w:pPr>
            <w:r>
              <w:rPr>
                <w:rFonts w:hint="eastAsia"/>
                <w:color w:val="auto"/>
                <w:sz w:val="21"/>
                <w:szCs w:val="21"/>
                <w:highlight w:val="none"/>
              </w:rPr>
              <w:t>（2）在工程采购项目中，工程由小微企业承建，即工程施工单位为小微企业；</w:t>
            </w:r>
          </w:p>
          <w:p>
            <w:pPr>
              <w:pStyle w:val="29"/>
              <w:spacing w:line="240" w:lineRule="auto"/>
              <w:ind w:firstLine="420" w:firstLineChars="200"/>
              <w:rPr>
                <w:color w:val="auto"/>
                <w:sz w:val="21"/>
                <w:szCs w:val="21"/>
                <w:highlight w:val="none"/>
              </w:rPr>
            </w:pPr>
            <w:r>
              <w:rPr>
                <w:rFonts w:hint="eastAsia"/>
                <w:color w:val="auto"/>
                <w:sz w:val="21"/>
                <w:szCs w:val="21"/>
                <w:highlight w:val="none"/>
              </w:rPr>
              <w:t>（3）在服务采购项目中，服务由小微企业承接，即提供服务的人员为小微企业依照《中华人民共和国劳动合同法》订立劳动合同的从业人员。</w:t>
            </w:r>
          </w:p>
          <w:p>
            <w:pPr>
              <w:pStyle w:val="29"/>
              <w:spacing w:line="240" w:lineRule="auto"/>
              <w:ind w:firstLine="420" w:firstLineChars="200"/>
              <w:rPr>
                <w:color w:val="auto"/>
                <w:sz w:val="21"/>
                <w:szCs w:val="21"/>
                <w:highlight w:val="none"/>
              </w:rPr>
            </w:pPr>
            <w:r>
              <w:rPr>
                <w:rFonts w:hint="eastAsia"/>
                <w:color w:val="auto"/>
                <w:sz w:val="21"/>
                <w:szCs w:val="21"/>
                <w:highlight w:val="none"/>
              </w:rPr>
              <w:t>3、在货物采购项目中，供应商提供的货物既有小微企业制造货物，也有中大型企业制造货物的，不享受小微企业价格扣除。以联合体形式参加政府采购活动，联合体各方均为中小企业的，联合体视同中小企业。其中，联合体各方均为小微企业的，联合体视同小微企业。</w:t>
            </w:r>
          </w:p>
          <w:p>
            <w:pPr>
              <w:pStyle w:val="29"/>
              <w:spacing w:line="240" w:lineRule="auto"/>
              <w:ind w:firstLine="420" w:firstLineChars="200"/>
              <w:rPr>
                <w:color w:val="auto"/>
                <w:sz w:val="21"/>
                <w:szCs w:val="21"/>
                <w:highlight w:val="none"/>
              </w:rPr>
            </w:pPr>
            <w:r>
              <w:rPr>
                <w:rFonts w:hint="eastAsia"/>
                <w:color w:val="auto"/>
                <w:sz w:val="21"/>
                <w:szCs w:val="21"/>
                <w:highlight w:val="none"/>
              </w:rPr>
              <w:t>4、参加政府采购活动的中小企业（符合中小企业划分标准的个体工商户，在政府采购活动中视同中小企业）应据实提供《中小企业声明函》原件；供应商为监狱企业的应据实提供由省级以上监狱管理局、戒毒管理局（含新疆生产建设兵团）出具属于监狱企业的证明文件复印件；参加政府采购活动的残疾人福利性单位应据实提供《残疾人福利性单位声明函》原件。</w:t>
            </w:r>
          </w:p>
          <w:p>
            <w:pPr>
              <w:pStyle w:val="29"/>
              <w:spacing w:line="240" w:lineRule="auto"/>
              <w:ind w:firstLine="420" w:firstLineChars="200"/>
              <w:rPr>
                <w:color w:val="auto"/>
                <w:sz w:val="21"/>
                <w:szCs w:val="21"/>
                <w:highlight w:val="none"/>
              </w:rPr>
            </w:pPr>
            <w:r>
              <w:rPr>
                <w:rFonts w:hint="eastAsia"/>
                <w:color w:val="auto"/>
                <w:sz w:val="21"/>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的扣除，用扣除后的价格参加评审。</w:t>
            </w:r>
          </w:p>
          <w:p>
            <w:pPr>
              <w:pStyle w:val="29"/>
              <w:spacing w:line="240" w:lineRule="auto"/>
              <w:ind w:firstLine="420" w:firstLineChars="200"/>
              <w:rPr>
                <w:color w:val="auto"/>
                <w:sz w:val="21"/>
                <w:szCs w:val="21"/>
                <w:highlight w:val="none"/>
              </w:rPr>
            </w:pPr>
            <w:r>
              <w:rPr>
                <w:rFonts w:hint="eastAsia"/>
                <w:color w:val="auto"/>
                <w:sz w:val="21"/>
                <w:szCs w:val="21"/>
                <w:highlight w:val="none"/>
              </w:rPr>
              <w:t>组成联合体或者接受分包的小微企业与联合体内其他企业、分包企业之间存在直接控股、管理关系的，不享受价格扣除优惠政策。</w:t>
            </w:r>
          </w:p>
          <w:p>
            <w:pPr>
              <w:pStyle w:val="29"/>
              <w:spacing w:line="240" w:lineRule="auto"/>
              <w:ind w:firstLine="422" w:firstLineChars="200"/>
              <w:rPr>
                <w:color w:val="auto"/>
                <w:sz w:val="21"/>
                <w:szCs w:val="21"/>
                <w:highlight w:val="none"/>
              </w:rPr>
            </w:pPr>
            <w:r>
              <w:rPr>
                <w:rFonts w:hint="eastAsia"/>
                <w:b/>
                <w:bCs/>
                <w:color w:val="auto"/>
                <w:sz w:val="21"/>
                <w:szCs w:val="21"/>
                <w:highlight w:val="none"/>
              </w:rPr>
              <w:t>二、符合扶持不发达地区和少数民族地区政策条件的，在同等条件下享有优先采购的机会。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7</w:t>
            </w:r>
          </w:p>
        </w:tc>
        <w:tc>
          <w:tcPr>
            <w:tcW w:w="1005" w:type="pct"/>
            <w:vAlign w:val="center"/>
          </w:tcPr>
          <w:p>
            <w:pPr>
              <w:spacing w:line="240" w:lineRule="auto"/>
              <w:ind w:left="105" w:leftChars="50" w:right="105" w:rightChars="50"/>
              <w:jc w:val="center"/>
              <w:rPr>
                <w:rFonts w:ascii="宋体" w:hAnsi="宋体" w:cs="宋体"/>
                <w:bCs/>
                <w:color w:val="auto"/>
                <w:sz w:val="21"/>
                <w:szCs w:val="21"/>
                <w:highlight w:val="none"/>
                <w:lang w:val="zh-CN"/>
              </w:rPr>
            </w:pPr>
            <w:r>
              <w:rPr>
                <w:rFonts w:hint="eastAsia" w:ascii="宋体" w:hAnsi="宋体" w:cs="宋体"/>
                <w:color w:val="auto"/>
                <w:kern w:val="0"/>
                <w:sz w:val="21"/>
                <w:szCs w:val="21"/>
                <w:highlight w:val="none"/>
              </w:rPr>
              <w:t>节能、环保及无线局域网产品政府采购政策</w:t>
            </w:r>
          </w:p>
        </w:tc>
        <w:tc>
          <w:tcPr>
            <w:tcW w:w="3464" w:type="pct"/>
            <w:vAlign w:val="center"/>
          </w:tcPr>
          <w:p>
            <w:pPr>
              <w:spacing w:line="240" w:lineRule="auto"/>
              <w:ind w:right="105" w:rightChars="50"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rPr>
              <w:t>8</w:t>
            </w:r>
          </w:p>
        </w:tc>
        <w:tc>
          <w:tcPr>
            <w:tcW w:w="1005" w:type="pct"/>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磋商情况公告</w:t>
            </w:r>
          </w:p>
        </w:tc>
        <w:tc>
          <w:tcPr>
            <w:tcW w:w="3464"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9</w:t>
            </w:r>
          </w:p>
        </w:tc>
        <w:tc>
          <w:tcPr>
            <w:tcW w:w="1005" w:type="pct"/>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磋商保证金</w:t>
            </w:r>
          </w:p>
          <w:p>
            <w:pPr>
              <w:pStyle w:val="29"/>
              <w:spacing w:line="240" w:lineRule="auto"/>
              <w:jc w:val="center"/>
              <w:rPr>
                <w:bCs/>
                <w:color w:val="auto"/>
                <w:kern w:val="2"/>
                <w:sz w:val="21"/>
                <w:szCs w:val="21"/>
                <w:highlight w:val="none"/>
                <w:lang w:val="zh-CN"/>
              </w:rPr>
            </w:pPr>
            <w:r>
              <w:rPr>
                <w:rFonts w:hint="eastAsia"/>
                <w:color w:val="auto"/>
                <w:sz w:val="21"/>
                <w:szCs w:val="21"/>
                <w:highlight w:val="none"/>
              </w:rPr>
              <w:t>（实质性要求）</w:t>
            </w:r>
          </w:p>
        </w:tc>
        <w:tc>
          <w:tcPr>
            <w:tcW w:w="3464" w:type="pct"/>
            <w:vAlign w:val="center"/>
          </w:tcPr>
          <w:p>
            <w:pPr>
              <w:spacing w:line="240" w:lineRule="auto"/>
              <w:ind w:firstLine="422" w:firstLineChars="200"/>
              <w:jc w:val="left"/>
              <w:rPr>
                <w:rFonts w:ascii="宋体" w:hAnsi="宋体" w:cs="宋体"/>
                <w:bCs/>
                <w:color w:val="auto"/>
                <w:sz w:val="21"/>
                <w:szCs w:val="21"/>
                <w:highlight w:val="none"/>
              </w:rPr>
            </w:pPr>
            <w:r>
              <w:rPr>
                <w:rFonts w:hint="eastAsia" w:ascii="宋体" w:hAnsi="宋体" w:cs="宋体"/>
                <w:b/>
                <w:color w:val="auto"/>
                <w:sz w:val="21"/>
                <w:szCs w:val="21"/>
                <w:highlight w:val="none"/>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10</w:t>
            </w:r>
          </w:p>
        </w:tc>
        <w:tc>
          <w:tcPr>
            <w:tcW w:w="1005" w:type="pct"/>
            <w:shd w:val="clear" w:color="auto" w:fill="auto"/>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履约保证金</w:t>
            </w:r>
          </w:p>
        </w:tc>
        <w:tc>
          <w:tcPr>
            <w:tcW w:w="3464" w:type="pct"/>
            <w:shd w:val="clear" w:color="auto" w:fill="auto"/>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1</w:t>
            </w:r>
          </w:p>
        </w:tc>
        <w:tc>
          <w:tcPr>
            <w:tcW w:w="1005" w:type="pct"/>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rPr>
              <w:t>磋商</w:t>
            </w:r>
            <w:r>
              <w:rPr>
                <w:rFonts w:hint="eastAsia"/>
                <w:bCs/>
                <w:color w:val="auto"/>
                <w:kern w:val="2"/>
                <w:sz w:val="21"/>
                <w:szCs w:val="21"/>
                <w:highlight w:val="none"/>
                <w:lang w:val="zh-CN"/>
              </w:rPr>
              <w:t>文件咨询</w:t>
            </w:r>
          </w:p>
        </w:tc>
        <w:tc>
          <w:tcPr>
            <w:tcW w:w="3464"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联系人：</w:t>
            </w:r>
            <w:r>
              <w:rPr>
                <w:rFonts w:hint="eastAsia"/>
                <w:bCs/>
                <w:color w:val="auto"/>
                <w:kern w:val="2"/>
                <w:sz w:val="21"/>
                <w:szCs w:val="21"/>
                <w:highlight w:val="none"/>
              </w:rPr>
              <w:t>郭女士</w:t>
            </w:r>
            <w:r>
              <w:rPr>
                <w:rFonts w:hint="eastAsia"/>
                <w:bCs/>
                <w:color w:val="auto"/>
                <w:kern w:val="2"/>
                <w:sz w:val="21"/>
                <w:szCs w:val="21"/>
                <w:highlight w:val="none"/>
                <w:lang w:val="zh-CN"/>
              </w:rPr>
              <w:t xml:space="preserve">   联系电话：  028-85123065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2</w:t>
            </w:r>
          </w:p>
        </w:tc>
        <w:tc>
          <w:tcPr>
            <w:tcW w:w="1005" w:type="pct"/>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磋商过程、结果工作咨询</w:t>
            </w:r>
          </w:p>
        </w:tc>
        <w:tc>
          <w:tcPr>
            <w:tcW w:w="3464"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联系人：</w:t>
            </w:r>
            <w:r>
              <w:rPr>
                <w:rFonts w:hint="eastAsia"/>
                <w:bCs/>
                <w:color w:val="auto"/>
                <w:kern w:val="2"/>
                <w:sz w:val="21"/>
                <w:szCs w:val="21"/>
                <w:highlight w:val="none"/>
              </w:rPr>
              <w:t>郭女士</w:t>
            </w:r>
            <w:r>
              <w:rPr>
                <w:rFonts w:hint="eastAsia"/>
                <w:bCs/>
                <w:color w:val="auto"/>
                <w:kern w:val="2"/>
                <w:sz w:val="21"/>
                <w:szCs w:val="21"/>
                <w:highlight w:val="none"/>
                <w:lang w:val="zh-CN"/>
              </w:rPr>
              <w:t xml:space="preserve">   联系电话：  028-85123065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3</w:t>
            </w:r>
          </w:p>
        </w:tc>
        <w:tc>
          <w:tcPr>
            <w:tcW w:w="1005" w:type="pct"/>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成交通知书领取</w:t>
            </w:r>
          </w:p>
        </w:tc>
        <w:tc>
          <w:tcPr>
            <w:tcW w:w="3464"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采购结果公告在四川政府采购网上发布后，请成交供应商凭有效身份证明证件到力达通项目管理咨询有限公司领取成交通知书。</w:t>
            </w:r>
          </w:p>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联系电话：028-85123065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4</w:t>
            </w:r>
          </w:p>
        </w:tc>
        <w:tc>
          <w:tcPr>
            <w:tcW w:w="1005" w:type="pct"/>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供应商询问</w:t>
            </w:r>
          </w:p>
        </w:tc>
        <w:tc>
          <w:tcPr>
            <w:tcW w:w="3464" w:type="pct"/>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根据委托代理协议约定，供应商询问由力达通项目管理咨询有限公司负责答复。</w:t>
            </w:r>
          </w:p>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联系人：</w:t>
            </w:r>
            <w:r>
              <w:rPr>
                <w:rFonts w:hint="eastAsia"/>
                <w:bCs/>
                <w:color w:val="auto"/>
                <w:kern w:val="2"/>
                <w:sz w:val="21"/>
                <w:szCs w:val="21"/>
                <w:highlight w:val="none"/>
              </w:rPr>
              <w:t>郭女士</w:t>
            </w:r>
            <w:r>
              <w:rPr>
                <w:rFonts w:hint="eastAsia"/>
                <w:bCs/>
                <w:color w:val="auto"/>
                <w:kern w:val="2"/>
                <w:sz w:val="21"/>
                <w:szCs w:val="21"/>
                <w:highlight w:val="none"/>
                <w:lang w:val="zh-CN"/>
              </w:rPr>
              <w:t xml:space="preserve">   联系电话：  028-85123065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tcBorders>
              <w:top w:val="single" w:color="auto" w:sz="8" w:space="0"/>
              <w:left w:val="single" w:color="auto" w:sz="18" w:space="0"/>
              <w:bottom w:val="single" w:color="auto" w:sz="8" w:space="0"/>
              <w:right w:val="single" w:color="auto" w:sz="8" w:space="0"/>
            </w:tcBorders>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5</w:t>
            </w:r>
          </w:p>
        </w:tc>
        <w:tc>
          <w:tcPr>
            <w:tcW w:w="1005" w:type="pct"/>
            <w:tcBorders>
              <w:top w:val="single" w:color="auto" w:sz="8" w:space="0"/>
              <w:left w:val="single" w:color="auto" w:sz="8" w:space="0"/>
              <w:bottom w:val="single" w:color="auto" w:sz="8" w:space="0"/>
              <w:right w:val="single" w:color="auto" w:sz="8" w:space="0"/>
            </w:tcBorders>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供应商质疑</w:t>
            </w:r>
          </w:p>
        </w:tc>
        <w:tc>
          <w:tcPr>
            <w:tcW w:w="3464" w:type="pct"/>
            <w:tcBorders>
              <w:top w:val="single" w:color="auto" w:sz="8" w:space="0"/>
              <w:left w:val="single" w:color="auto" w:sz="8" w:space="0"/>
              <w:bottom w:val="single" w:color="auto" w:sz="8" w:space="0"/>
              <w:right w:val="single" w:color="auto" w:sz="18" w:space="0"/>
            </w:tcBorders>
            <w:vAlign w:val="center"/>
          </w:tcPr>
          <w:p>
            <w:pPr>
              <w:spacing w:line="240" w:lineRule="auto"/>
              <w:ind w:right="105" w:rightChars="50" w:firstLine="420" w:firstLineChars="200"/>
              <w:jc w:val="left"/>
              <w:rPr>
                <w:rFonts w:ascii="宋体" w:hAnsi="宋体" w:cs="宋体"/>
                <w:color w:val="auto"/>
                <w:sz w:val="21"/>
                <w:szCs w:val="21"/>
                <w:highlight w:val="none"/>
              </w:rPr>
            </w:pPr>
            <w:bookmarkStart w:id="22" w:name="PO_默认文件内容_30"/>
            <w:r>
              <w:rPr>
                <w:rFonts w:hint="eastAsia" w:ascii="宋体" w:hAnsi="宋体" w:cs="宋体"/>
                <w:color w:val="auto"/>
                <w:sz w:val="21"/>
                <w:szCs w:val="21"/>
                <w:highlight w:val="none"/>
              </w:rPr>
              <w:t>根据委托代理协议约定，供应商质疑由</w:t>
            </w:r>
            <w:r>
              <w:rPr>
                <w:rFonts w:hint="eastAsia" w:ascii="宋体" w:hAnsi="宋体" w:cs="宋体"/>
                <w:color w:val="auto"/>
                <w:sz w:val="21"/>
                <w:szCs w:val="21"/>
                <w:highlight w:val="none"/>
                <w:lang w:val="zh-CN"/>
              </w:rPr>
              <w:t>采购代理机构负责答复。</w:t>
            </w:r>
          </w:p>
          <w:p>
            <w:pPr>
              <w:spacing w:line="24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联 系 人：</w:t>
            </w:r>
            <w:r>
              <w:rPr>
                <w:rFonts w:hint="eastAsia" w:ascii="宋体" w:hAnsi="宋体" w:cs="宋体"/>
                <w:color w:val="auto"/>
                <w:sz w:val="21"/>
                <w:szCs w:val="21"/>
                <w:highlight w:val="none"/>
              </w:rPr>
              <w:t>郭女士</w:t>
            </w:r>
          </w:p>
          <w:p>
            <w:pPr>
              <w:spacing w:line="24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联系电话：</w:t>
            </w:r>
            <w:r>
              <w:rPr>
                <w:rFonts w:hint="eastAsia" w:ascii="宋体" w:hAnsi="宋体" w:cs="宋体"/>
                <w:bCs/>
                <w:color w:val="auto"/>
                <w:sz w:val="21"/>
                <w:szCs w:val="21"/>
                <w:highlight w:val="none"/>
                <w:lang w:val="zh-CN"/>
              </w:rPr>
              <w:t>028-85123065</w:t>
            </w:r>
          </w:p>
          <w:p>
            <w:pPr>
              <w:spacing w:line="240" w:lineRule="auto"/>
              <w:ind w:right="105" w:rightChars="50" w:firstLine="420"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地址：成都市高新区天府大道北段1700号西区7-1-2019A。</w:t>
            </w:r>
          </w:p>
          <w:p>
            <w:pPr>
              <w:pStyle w:val="29"/>
              <w:spacing w:line="240" w:lineRule="auto"/>
              <w:ind w:firstLine="420" w:firstLineChars="200"/>
              <w:rPr>
                <w:bCs/>
                <w:color w:val="auto"/>
                <w:kern w:val="2"/>
                <w:sz w:val="21"/>
                <w:szCs w:val="21"/>
                <w:highlight w:val="none"/>
                <w:lang w:val="zh-CN"/>
              </w:rPr>
            </w:pPr>
            <w:r>
              <w:rPr>
                <w:rFonts w:hint="eastAsia"/>
                <w:color w:val="auto"/>
                <w:sz w:val="21"/>
                <w:szCs w:val="21"/>
                <w:highlight w:val="none"/>
                <w:lang w:val="zh-CN"/>
              </w:rPr>
              <w:t>注：根据《中华人民共和国政府采购法》等规定，供应商质疑不得超出采购文件、采购过程、采购结果的范围</w:t>
            </w:r>
            <w:bookmarkEnd w:id="22"/>
            <w:r>
              <w:rPr>
                <w:rFonts w:hint="eastAsia"/>
                <w:color w:val="auto"/>
                <w:sz w:val="21"/>
                <w:szCs w:val="21"/>
                <w:highlight w:val="none"/>
                <w:lang w:val="zh-CN"/>
              </w:rPr>
              <w:t>,</w:t>
            </w:r>
            <w:r>
              <w:rPr>
                <w:rFonts w:hint="eastAsia"/>
                <w:color w:val="auto"/>
                <w:sz w:val="21"/>
                <w:szCs w:val="21"/>
                <w:highlight w:val="none"/>
              </w:rPr>
              <w:t xml:space="preserve"> </w:t>
            </w:r>
            <w:r>
              <w:rPr>
                <w:rFonts w:hint="eastAsia"/>
                <w:color w:val="auto"/>
                <w:sz w:val="21"/>
                <w:szCs w:val="21"/>
                <w:highlight w:val="none"/>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tcBorders>
              <w:top w:val="single" w:color="auto" w:sz="8" w:space="0"/>
              <w:left w:val="single" w:color="auto" w:sz="18" w:space="0"/>
              <w:bottom w:val="single" w:color="auto" w:sz="8" w:space="0"/>
              <w:right w:val="single" w:color="auto" w:sz="8" w:space="0"/>
            </w:tcBorders>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6</w:t>
            </w:r>
          </w:p>
        </w:tc>
        <w:tc>
          <w:tcPr>
            <w:tcW w:w="1005" w:type="pct"/>
            <w:tcBorders>
              <w:top w:val="single" w:color="auto" w:sz="8" w:space="0"/>
              <w:left w:val="single" w:color="auto" w:sz="8" w:space="0"/>
              <w:bottom w:val="single" w:color="auto" w:sz="8" w:space="0"/>
              <w:right w:val="single" w:color="auto" w:sz="8" w:space="0"/>
            </w:tcBorders>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供应商投诉</w:t>
            </w:r>
          </w:p>
        </w:tc>
        <w:tc>
          <w:tcPr>
            <w:tcW w:w="3464" w:type="pct"/>
            <w:tcBorders>
              <w:top w:val="single" w:color="auto" w:sz="8" w:space="0"/>
              <w:left w:val="single" w:color="auto" w:sz="8" w:space="0"/>
              <w:bottom w:val="single" w:color="auto" w:sz="8" w:space="0"/>
              <w:right w:val="single" w:color="auto" w:sz="18" w:space="0"/>
            </w:tcBorders>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投诉受理单位：本项目同级财政部门，即成华区财政局。</w:t>
            </w:r>
          </w:p>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联系电话：028-84356267</w:t>
            </w:r>
          </w:p>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tcBorders>
              <w:top w:val="single" w:color="auto" w:sz="8" w:space="0"/>
              <w:left w:val="single" w:color="auto" w:sz="18" w:space="0"/>
              <w:bottom w:val="single" w:color="auto" w:sz="8" w:space="0"/>
              <w:right w:val="single" w:color="auto" w:sz="8" w:space="0"/>
            </w:tcBorders>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7</w:t>
            </w:r>
          </w:p>
        </w:tc>
        <w:tc>
          <w:tcPr>
            <w:tcW w:w="1005" w:type="pct"/>
            <w:tcBorders>
              <w:top w:val="single" w:color="auto" w:sz="8" w:space="0"/>
              <w:left w:val="single" w:color="auto" w:sz="8" w:space="0"/>
              <w:bottom w:val="single" w:color="auto" w:sz="8" w:space="0"/>
              <w:right w:val="single" w:color="auto" w:sz="8" w:space="0"/>
            </w:tcBorders>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lang w:val="zh-CN"/>
              </w:rPr>
              <w:t>政府采购合同备案</w:t>
            </w:r>
          </w:p>
        </w:tc>
        <w:tc>
          <w:tcPr>
            <w:tcW w:w="3464" w:type="pct"/>
            <w:tcBorders>
              <w:top w:val="single" w:color="auto" w:sz="8" w:space="0"/>
              <w:left w:val="single" w:color="auto" w:sz="8" w:space="0"/>
              <w:bottom w:val="single" w:color="auto" w:sz="8" w:space="0"/>
              <w:right w:val="single" w:color="auto" w:sz="18" w:space="0"/>
            </w:tcBorders>
            <w:vAlign w:val="center"/>
          </w:tcPr>
          <w:p>
            <w:pPr>
              <w:pStyle w:val="29"/>
              <w:spacing w:line="240" w:lineRule="auto"/>
              <w:ind w:firstLine="420" w:firstLineChars="200"/>
              <w:rPr>
                <w:bCs/>
                <w:color w:val="auto"/>
                <w:kern w:val="2"/>
                <w:sz w:val="21"/>
                <w:szCs w:val="21"/>
                <w:highlight w:val="none"/>
                <w:lang w:val="zh-CN"/>
              </w:rPr>
            </w:pPr>
            <w:bookmarkStart w:id="23" w:name="PO_默认文件内容_18"/>
            <w:r>
              <w:rPr>
                <w:rFonts w:hint="eastAsia"/>
                <w:bCs/>
                <w:color w:val="auto"/>
                <w:kern w:val="2"/>
                <w:sz w:val="21"/>
                <w:szCs w:val="21"/>
                <w:highlight w:val="none"/>
                <w:lang w:val="zh-CN"/>
              </w:rPr>
              <w:t>政府采购合同签订之日起2个工作日内，政府采购合同将在四川政府采购网公告；政府采购合同签订之日起七个工作日内，政府采购合同将向采购项目同级财政部门备案。</w:t>
            </w:r>
            <w:bookmarkEnd w:id="2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tcBorders>
              <w:top w:val="single" w:color="auto" w:sz="8" w:space="0"/>
              <w:left w:val="single" w:color="auto" w:sz="18" w:space="0"/>
              <w:bottom w:val="single" w:color="auto" w:sz="8" w:space="0"/>
              <w:right w:val="single" w:color="auto" w:sz="8" w:space="0"/>
            </w:tcBorders>
            <w:vAlign w:val="center"/>
          </w:tcPr>
          <w:p>
            <w:pPr>
              <w:pStyle w:val="29"/>
              <w:spacing w:line="240" w:lineRule="auto"/>
              <w:ind w:firstLine="420" w:firstLineChars="200"/>
              <w:rPr>
                <w:bCs/>
                <w:color w:val="auto"/>
                <w:kern w:val="2"/>
                <w:sz w:val="21"/>
                <w:szCs w:val="21"/>
                <w:highlight w:val="none"/>
                <w:lang w:val="zh-CN"/>
              </w:rPr>
            </w:pPr>
            <w:r>
              <w:rPr>
                <w:rFonts w:hint="eastAsia"/>
                <w:bCs/>
                <w:color w:val="auto"/>
                <w:kern w:val="2"/>
                <w:sz w:val="21"/>
                <w:szCs w:val="21"/>
                <w:highlight w:val="none"/>
              </w:rPr>
              <w:t>18</w:t>
            </w:r>
          </w:p>
        </w:tc>
        <w:tc>
          <w:tcPr>
            <w:tcW w:w="1005" w:type="pct"/>
            <w:tcBorders>
              <w:top w:val="single" w:color="auto" w:sz="8" w:space="0"/>
              <w:left w:val="single" w:color="auto" w:sz="8" w:space="0"/>
              <w:bottom w:val="single" w:color="auto" w:sz="8" w:space="0"/>
              <w:right w:val="single" w:color="auto" w:sz="8" w:space="0"/>
            </w:tcBorders>
            <w:vAlign w:val="center"/>
          </w:tcPr>
          <w:p>
            <w:pPr>
              <w:pStyle w:val="29"/>
              <w:spacing w:line="240" w:lineRule="auto"/>
              <w:jc w:val="center"/>
              <w:rPr>
                <w:bCs/>
                <w:color w:val="auto"/>
                <w:kern w:val="2"/>
                <w:sz w:val="21"/>
                <w:szCs w:val="21"/>
                <w:highlight w:val="none"/>
                <w:lang w:val="zh-CN"/>
              </w:rPr>
            </w:pPr>
            <w:r>
              <w:rPr>
                <w:rFonts w:hint="eastAsia"/>
                <w:bCs/>
                <w:color w:val="auto"/>
                <w:kern w:val="2"/>
                <w:sz w:val="21"/>
                <w:szCs w:val="21"/>
                <w:highlight w:val="none"/>
              </w:rPr>
              <w:t>代理服务费</w:t>
            </w:r>
          </w:p>
        </w:tc>
        <w:tc>
          <w:tcPr>
            <w:tcW w:w="3464" w:type="pct"/>
            <w:tcBorders>
              <w:top w:val="single" w:color="auto" w:sz="8" w:space="0"/>
              <w:left w:val="single" w:color="auto" w:sz="8" w:space="0"/>
              <w:bottom w:val="single" w:color="auto" w:sz="8" w:space="0"/>
              <w:right w:val="single" w:color="auto" w:sz="18" w:space="0"/>
            </w:tcBorders>
            <w:vAlign w:val="center"/>
          </w:tcPr>
          <w:p>
            <w:pPr>
              <w:pStyle w:val="29"/>
              <w:spacing w:line="240" w:lineRule="auto"/>
              <w:ind w:firstLine="420" w:firstLineChars="200"/>
              <w:jc w:val="both"/>
              <w:rPr>
                <w:bCs/>
                <w:color w:val="auto"/>
                <w:kern w:val="2"/>
                <w:sz w:val="21"/>
                <w:szCs w:val="21"/>
                <w:highlight w:val="none"/>
              </w:rPr>
            </w:pPr>
            <w:r>
              <w:rPr>
                <w:rFonts w:hint="eastAsia"/>
                <w:color w:val="auto"/>
                <w:sz w:val="21"/>
                <w:szCs w:val="21"/>
                <w:highlight w:val="none"/>
              </w:rPr>
              <w:t>本项目代理服务费按照成本加利润原则，按定额6000元收取。收取方式为在成交通知书发出时，由成交单位支付给代理机构。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tcBorders>
              <w:top w:val="single" w:color="auto" w:sz="8" w:space="0"/>
              <w:left w:val="single" w:color="auto" w:sz="18" w:space="0"/>
              <w:bottom w:val="single" w:color="auto" w:sz="8" w:space="0"/>
              <w:right w:val="single" w:color="auto" w:sz="8" w:space="0"/>
            </w:tcBorders>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19</w:t>
            </w:r>
          </w:p>
        </w:tc>
        <w:tc>
          <w:tcPr>
            <w:tcW w:w="1005" w:type="pct"/>
            <w:tcBorders>
              <w:top w:val="single" w:color="auto" w:sz="8" w:space="0"/>
              <w:left w:val="single" w:color="auto" w:sz="8" w:space="0"/>
              <w:bottom w:val="single" w:color="auto" w:sz="8" w:space="0"/>
              <w:right w:val="single" w:color="auto" w:sz="8" w:space="0"/>
            </w:tcBorders>
            <w:vAlign w:val="center"/>
          </w:tcPr>
          <w:p>
            <w:pPr>
              <w:pStyle w:val="29"/>
              <w:spacing w:line="240" w:lineRule="auto"/>
              <w:ind w:left="96"/>
              <w:jc w:val="center"/>
              <w:rPr>
                <w:bCs/>
                <w:color w:val="auto"/>
                <w:kern w:val="2"/>
                <w:sz w:val="21"/>
                <w:szCs w:val="21"/>
                <w:highlight w:val="none"/>
              </w:rPr>
            </w:pPr>
            <w:r>
              <w:rPr>
                <w:rFonts w:hint="eastAsia"/>
                <w:bCs/>
                <w:color w:val="auto"/>
                <w:kern w:val="2"/>
                <w:sz w:val="21"/>
                <w:szCs w:val="21"/>
                <w:highlight w:val="none"/>
              </w:rPr>
              <w:t>政府采购信用融资政策</w:t>
            </w:r>
          </w:p>
        </w:tc>
        <w:tc>
          <w:tcPr>
            <w:tcW w:w="3464" w:type="pct"/>
            <w:tcBorders>
              <w:top w:val="single" w:color="auto" w:sz="8" w:space="0"/>
              <w:left w:val="single" w:color="auto" w:sz="8" w:space="0"/>
              <w:bottom w:val="single" w:color="auto" w:sz="8" w:space="0"/>
              <w:right w:val="single" w:color="auto" w:sz="18" w:space="0"/>
            </w:tcBorders>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根据《四川省财政厅关于推进四川省政府采购供应商信用融资工作的通知》（川财采〔2018〕123 号）、《成都市财政局 中国人民银行成都分行营业管理部关于印发&lt;成都市中小企业政府采购信用融资暂行办法&gt;和&lt;成都市级支持中小企业政府采购信用融资实施方案&gt;的通知》（成财采【2019】17 号）规定，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tcBorders>
              <w:top w:val="single" w:color="auto" w:sz="8" w:space="0"/>
              <w:left w:val="single" w:color="auto" w:sz="18" w:space="0"/>
              <w:bottom w:val="single" w:color="auto" w:sz="8" w:space="0"/>
              <w:right w:val="single" w:color="auto" w:sz="8" w:space="0"/>
            </w:tcBorders>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20</w:t>
            </w:r>
          </w:p>
        </w:tc>
        <w:tc>
          <w:tcPr>
            <w:tcW w:w="1005" w:type="pct"/>
            <w:tcBorders>
              <w:top w:val="single" w:color="auto" w:sz="8" w:space="0"/>
              <w:left w:val="single" w:color="auto" w:sz="8" w:space="0"/>
              <w:bottom w:val="single" w:color="auto" w:sz="8" w:space="0"/>
              <w:right w:val="single" w:color="auto" w:sz="8" w:space="0"/>
            </w:tcBorders>
            <w:vAlign w:val="center"/>
          </w:tcPr>
          <w:p>
            <w:pPr>
              <w:pStyle w:val="29"/>
              <w:spacing w:line="240" w:lineRule="auto"/>
              <w:ind w:left="96"/>
              <w:jc w:val="center"/>
              <w:rPr>
                <w:bCs/>
                <w:color w:val="auto"/>
                <w:kern w:val="2"/>
                <w:sz w:val="21"/>
                <w:szCs w:val="21"/>
                <w:highlight w:val="none"/>
              </w:rPr>
            </w:pPr>
            <w:r>
              <w:rPr>
                <w:rFonts w:hint="eastAsia"/>
                <w:bCs/>
                <w:color w:val="auto"/>
                <w:kern w:val="2"/>
                <w:sz w:val="21"/>
                <w:szCs w:val="21"/>
                <w:highlight w:val="none"/>
              </w:rPr>
              <w:t>响应文件份数</w:t>
            </w:r>
          </w:p>
        </w:tc>
        <w:tc>
          <w:tcPr>
            <w:tcW w:w="3464" w:type="pct"/>
            <w:tcBorders>
              <w:top w:val="single" w:color="auto" w:sz="8" w:space="0"/>
              <w:left w:val="single" w:color="auto" w:sz="8" w:space="0"/>
              <w:bottom w:val="single" w:color="auto" w:sz="8" w:space="0"/>
              <w:right w:val="single" w:color="auto" w:sz="18" w:space="0"/>
            </w:tcBorders>
            <w:vAlign w:val="center"/>
          </w:tcPr>
          <w:p>
            <w:pPr>
              <w:pStyle w:val="29"/>
              <w:spacing w:line="240" w:lineRule="auto"/>
              <w:ind w:firstLine="422" w:firstLineChars="200"/>
              <w:rPr>
                <w:b/>
                <w:color w:val="auto"/>
                <w:kern w:val="2"/>
                <w:sz w:val="21"/>
                <w:szCs w:val="21"/>
                <w:highlight w:val="none"/>
              </w:rPr>
            </w:pPr>
            <w:r>
              <w:rPr>
                <w:rFonts w:hint="eastAsia"/>
                <w:b/>
                <w:color w:val="auto"/>
                <w:kern w:val="2"/>
                <w:sz w:val="21"/>
                <w:szCs w:val="21"/>
                <w:highlight w:val="none"/>
              </w:rPr>
              <w:t>正本壹套，副本壹套，电子文档壹份（U盘或光盘制作）</w:t>
            </w:r>
          </w:p>
          <w:p>
            <w:pPr>
              <w:pStyle w:val="29"/>
              <w:spacing w:line="240" w:lineRule="auto"/>
              <w:ind w:firstLine="422" w:firstLineChars="200"/>
              <w:rPr>
                <w:bCs/>
                <w:color w:val="auto"/>
                <w:kern w:val="2"/>
                <w:sz w:val="21"/>
                <w:szCs w:val="21"/>
                <w:highlight w:val="none"/>
              </w:rPr>
            </w:pPr>
            <w:r>
              <w:rPr>
                <w:rFonts w:hint="eastAsia"/>
                <w:b/>
                <w:color w:val="auto"/>
                <w:kern w:val="2"/>
                <w:sz w:val="21"/>
                <w:szCs w:val="21"/>
                <w:highlight w:val="none"/>
              </w:rPr>
              <w:t>包括资格性响应文件及其他响应文件。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29" w:type="pct"/>
            <w:tcBorders>
              <w:top w:val="single" w:color="auto" w:sz="8" w:space="0"/>
              <w:left w:val="single" w:color="auto" w:sz="18" w:space="0"/>
              <w:bottom w:val="single" w:color="auto" w:sz="8" w:space="0"/>
              <w:right w:val="single" w:color="auto" w:sz="8" w:space="0"/>
            </w:tcBorders>
            <w:vAlign w:val="center"/>
          </w:tcPr>
          <w:p>
            <w:pPr>
              <w:pStyle w:val="29"/>
              <w:spacing w:line="240" w:lineRule="auto"/>
              <w:ind w:firstLine="420" w:firstLineChars="200"/>
              <w:rPr>
                <w:bCs/>
                <w:color w:val="auto"/>
                <w:kern w:val="2"/>
                <w:sz w:val="21"/>
                <w:szCs w:val="21"/>
                <w:highlight w:val="none"/>
              </w:rPr>
            </w:pPr>
            <w:r>
              <w:rPr>
                <w:rFonts w:hint="eastAsia"/>
                <w:bCs/>
                <w:color w:val="auto"/>
                <w:kern w:val="2"/>
                <w:sz w:val="21"/>
                <w:szCs w:val="21"/>
                <w:highlight w:val="none"/>
              </w:rPr>
              <w:t>21</w:t>
            </w:r>
          </w:p>
        </w:tc>
        <w:tc>
          <w:tcPr>
            <w:tcW w:w="1005" w:type="pct"/>
            <w:tcBorders>
              <w:top w:val="single" w:color="auto" w:sz="8" w:space="0"/>
              <w:left w:val="single" w:color="auto" w:sz="8" w:space="0"/>
              <w:bottom w:val="single" w:color="auto" w:sz="8" w:space="0"/>
              <w:right w:val="single" w:color="auto" w:sz="8" w:space="0"/>
            </w:tcBorders>
            <w:vAlign w:val="center"/>
          </w:tcPr>
          <w:p>
            <w:pPr>
              <w:pStyle w:val="29"/>
              <w:spacing w:line="240" w:lineRule="auto"/>
              <w:ind w:left="96"/>
              <w:jc w:val="center"/>
              <w:rPr>
                <w:bCs/>
                <w:color w:val="auto"/>
                <w:kern w:val="2"/>
                <w:sz w:val="21"/>
                <w:szCs w:val="21"/>
                <w:highlight w:val="none"/>
              </w:rPr>
            </w:pPr>
            <w:r>
              <w:rPr>
                <w:rFonts w:hint="eastAsia"/>
                <w:bCs/>
                <w:color w:val="auto"/>
                <w:kern w:val="2"/>
                <w:sz w:val="21"/>
                <w:szCs w:val="21"/>
                <w:highlight w:val="none"/>
              </w:rPr>
              <w:t>备注</w:t>
            </w:r>
          </w:p>
        </w:tc>
        <w:tc>
          <w:tcPr>
            <w:tcW w:w="3464" w:type="pct"/>
            <w:tcBorders>
              <w:top w:val="single" w:color="auto" w:sz="8" w:space="0"/>
              <w:left w:val="single" w:color="auto" w:sz="8" w:space="0"/>
              <w:bottom w:val="single" w:color="auto" w:sz="8" w:space="0"/>
              <w:right w:val="single" w:color="auto" w:sz="18" w:space="0"/>
            </w:tcBorders>
            <w:vAlign w:val="center"/>
          </w:tcPr>
          <w:p>
            <w:pPr>
              <w:pStyle w:val="29"/>
              <w:spacing w:line="240" w:lineRule="auto"/>
              <w:ind w:firstLine="420" w:firstLineChars="200"/>
              <w:rPr>
                <w:b/>
                <w:color w:val="auto"/>
                <w:kern w:val="2"/>
                <w:sz w:val="21"/>
                <w:szCs w:val="21"/>
                <w:highlight w:val="none"/>
              </w:rPr>
            </w:pPr>
            <w:r>
              <w:rPr>
                <w:rFonts w:hint="eastAsia"/>
                <w:bCs/>
                <w:color w:val="auto"/>
                <w:kern w:val="2"/>
                <w:sz w:val="21"/>
                <w:szCs w:val="21"/>
                <w:highlight w:val="none"/>
              </w:rPr>
              <w:t>若采购文件中同一事项表述与供应商须知附表内容不一致的，以供应商须知附表为准。</w:t>
            </w:r>
          </w:p>
        </w:tc>
      </w:tr>
    </w:tbl>
    <w:p>
      <w:pPr>
        <w:pStyle w:val="5"/>
        <w:spacing w:before="0" w:after="0" w:line="360" w:lineRule="auto"/>
        <w:jc w:val="center"/>
        <w:rPr>
          <w:color w:val="auto"/>
          <w:highlight w:val="none"/>
        </w:rPr>
      </w:pPr>
      <w:bookmarkStart w:id="24" w:name="_Toc24300_WPSOffice_Level2"/>
      <w:r>
        <w:rPr>
          <w:rFonts w:hint="eastAsia"/>
          <w:color w:val="auto"/>
          <w:highlight w:val="none"/>
        </w:rPr>
        <w:t>二、总  则</w:t>
      </w:r>
      <w:bookmarkEnd w:id="24"/>
    </w:p>
    <w:p>
      <w:pPr>
        <w:pStyle w:val="6"/>
        <w:keepNext w:val="0"/>
        <w:keepLines w:val="0"/>
        <w:spacing w:before="0" w:after="0" w:line="360" w:lineRule="auto"/>
        <w:ind w:firstLine="482" w:firstLineChars="200"/>
        <w:rPr>
          <w:rFonts w:ascii="宋体" w:hAnsi="宋体"/>
          <w:color w:val="auto"/>
          <w:sz w:val="24"/>
          <w:szCs w:val="24"/>
          <w:highlight w:val="none"/>
        </w:rPr>
      </w:pPr>
      <w:bookmarkStart w:id="25" w:name="_Toc183682342"/>
      <w:bookmarkStart w:id="26" w:name="_Toc183582205"/>
      <w:bookmarkStart w:id="27" w:name="_Toc217446034"/>
      <w:r>
        <w:rPr>
          <w:rFonts w:hint="eastAsia" w:ascii="宋体" w:hAnsi="宋体"/>
          <w:color w:val="auto"/>
          <w:sz w:val="24"/>
          <w:szCs w:val="24"/>
          <w:highlight w:val="none"/>
        </w:rPr>
        <w:t>1</w:t>
      </w:r>
      <w:r>
        <w:rPr>
          <w:rFonts w:ascii="宋体" w:hAnsi="宋体"/>
          <w:color w:val="auto"/>
          <w:sz w:val="24"/>
          <w:szCs w:val="24"/>
          <w:highlight w:val="none"/>
        </w:rPr>
        <w:t>.</w:t>
      </w:r>
      <w:bookmarkEnd w:id="25"/>
      <w:bookmarkEnd w:id="26"/>
      <w:r>
        <w:rPr>
          <w:rFonts w:hint="eastAsia" w:ascii="宋体" w:hAnsi="宋体"/>
          <w:color w:val="auto"/>
          <w:sz w:val="24"/>
          <w:szCs w:val="24"/>
          <w:highlight w:val="none"/>
        </w:rPr>
        <w:t>适用范围</w:t>
      </w:r>
      <w:bookmarkEnd w:id="27"/>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1本磋商文件仅适用于本次磋商所叙述的服务采购。</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1.2本磋商文件的解释权归采购人和采购代理机构所有。</w:t>
      </w:r>
    </w:p>
    <w:p>
      <w:pPr>
        <w:spacing w:line="360" w:lineRule="auto"/>
        <w:rPr>
          <w:rFonts w:ascii="宋体" w:hAnsi="宋体" w:cs="宋体"/>
          <w:color w:val="auto"/>
          <w:szCs w:val="21"/>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bookmarkStart w:id="28" w:name="_Toc217446035"/>
      <w:bookmarkStart w:id="29" w:name="_Toc183582206"/>
      <w:bookmarkStart w:id="30" w:name="_Toc183682343"/>
      <w:r>
        <w:rPr>
          <w:rFonts w:ascii="宋体" w:hAnsi="宋体"/>
          <w:color w:val="auto"/>
          <w:sz w:val="24"/>
          <w:szCs w:val="24"/>
          <w:highlight w:val="none"/>
        </w:rPr>
        <w:t>2.</w:t>
      </w:r>
      <w:bookmarkEnd w:id="28"/>
      <w:bookmarkEnd w:id="29"/>
      <w:bookmarkEnd w:id="30"/>
      <w:r>
        <w:rPr>
          <w:rFonts w:hint="eastAsia" w:ascii="宋体" w:hAnsi="宋体"/>
          <w:color w:val="auto"/>
          <w:sz w:val="24"/>
          <w:szCs w:val="24"/>
          <w:highlight w:val="none"/>
        </w:rPr>
        <w:t>采购主体</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1本次磋商的采购人是</w:t>
      </w:r>
      <w:r>
        <w:rPr>
          <w:rFonts w:hint="eastAsia" w:ascii="宋体" w:hAnsi="宋体"/>
          <w:b/>
          <w:bCs/>
          <w:color w:val="auto"/>
          <w:sz w:val="24"/>
          <w:highlight w:val="none"/>
          <w:u w:val="single"/>
        </w:rPr>
        <w:t>成都市成华区人民政府双水碾街道办事处</w:t>
      </w:r>
      <w:r>
        <w:rPr>
          <w:rFonts w:hint="eastAsia" w:ascii="宋体" w:hAnsi="宋体"/>
          <w:b/>
          <w:bCs/>
          <w:color w:val="auto"/>
          <w:sz w:val="24"/>
          <w:highlight w:val="none"/>
        </w:rPr>
        <w:t>。</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2本次磋商的采购代理机构是</w:t>
      </w:r>
      <w:r>
        <w:rPr>
          <w:rFonts w:hint="eastAsia" w:ascii="宋体" w:hAnsi="宋体"/>
          <w:b/>
          <w:bCs/>
          <w:color w:val="auto"/>
          <w:sz w:val="24"/>
          <w:highlight w:val="none"/>
          <w:u w:val="single"/>
        </w:rPr>
        <w:t>力达通项目管理咨询有限公司</w:t>
      </w:r>
      <w:r>
        <w:rPr>
          <w:rFonts w:hint="eastAsia" w:ascii="宋体" w:hAnsi="宋体"/>
          <w:color w:val="auto"/>
          <w:sz w:val="24"/>
          <w:highlight w:val="none"/>
        </w:rPr>
        <w:t>。</w:t>
      </w:r>
    </w:p>
    <w:p>
      <w:pPr>
        <w:spacing w:line="360" w:lineRule="auto"/>
        <w:rPr>
          <w:color w:val="auto"/>
          <w:highlight w:val="none"/>
        </w:rPr>
      </w:pPr>
      <w:bookmarkStart w:id="31" w:name="_Toc183682344"/>
      <w:bookmarkStart w:id="32" w:name="_Toc183582207"/>
      <w:bookmarkStart w:id="33" w:name="_Toc217390843"/>
      <w:bookmarkStart w:id="34" w:name="_Toc217446036"/>
    </w:p>
    <w:p>
      <w:pPr>
        <w:pStyle w:val="6"/>
        <w:keepNext w:val="0"/>
        <w:keepLines w:val="0"/>
        <w:spacing w:before="0" w:after="0" w:line="360" w:lineRule="auto"/>
        <w:ind w:firstLine="482"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合格</w:t>
      </w:r>
      <w:bookmarkEnd w:id="31"/>
      <w:bookmarkEnd w:id="32"/>
      <w:bookmarkEnd w:id="33"/>
      <w:bookmarkEnd w:id="34"/>
      <w:r>
        <w:rPr>
          <w:rFonts w:hint="eastAsia" w:ascii="宋体" w:hAnsi="宋体"/>
          <w:color w:val="auto"/>
          <w:sz w:val="24"/>
          <w:szCs w:val="24"/>
          <w:highlight w:val="none"/>
        </w:rPr>
        <w:t>供应商（实质性要求）</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合格供应商应具备以下条件：</w:t>
      </w:r>
    </w:p>
    <w:p>
      <w:pPr>
        <w:tabs>
          <w:tab w:val="left" w:pos="7665"/>
        </w:tabs>
        <w:spacing w:line="360" w:lineRule="auto"/>
        <w:ind w:firstLine="480" w:firstLineChars="200"/>
        <w:rPr>
          <w:rFonts w:ascii="宋体" w:hAnsi="宋体"/>
          <w:color w:val="auto"/>
          <w:spacing w:val="-4"/>
          <w:sz w:val="24"/>
          <w:highlight w:val="none"/>
        </w:rPr>
      </w:pPr>
      <w:r>
        <w:rPr>
          <w:rFonts w:hint="eastAsia" w:ascii="宋体" w:hAnsi="宋体"/>
          <w:color w:val="auto"/>
          <w:sz w:val="24"/>
          <w:highlight w:val="none"/>
        </w:rPr>
        <w:t>3.1具备法律法规和本采购文件规定的资格条件</w:t>
      </w:r>
      <w:r>
        <w:rPr>
          <w:rFonts w:hint="eastAsia" w:ascii="宋体" w:hAnsi="宋体"/>
          <w:color w:val="auto"/>
          <w:spacing w:val="-4"/>
          <w:sz w:val="24"/>
          <w:highlight w:val="none"/>
        </w:rPr>
        <w:t>；</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3.2不属于禁止参加本项目采购活动的供应商；</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3.3按照规定</w:t>
      </w:r>
      <w:r>
        <w:rPr>
          <w:rFonts w:hint="eastAsia" w:ascii="宋体" w:hAnsi="宋体"/>
          <w:color w:val="auto"/>
          <w:sz w:val="24"/>
          <w:highlight w:val="none"/>
        </w:rPr>
        <w:t>获取了磋商文件，属于实质性参加政府采购活动的供应商。</w:t>
      </w:r>
    </w:p>
    <w:p>
      <w:pPr>
        <w:spacing w:line="360" w:lineRule="auto"/>
        <w:rPr>
          <w:color w:val="auto"/>
          <w:highlight w:val="none"/>
        </w:rPr>
      </w:pPr>
      <w:bookmarkStart w:id="35" w:name="_Toc183582208"/>
      <w:bookmarkStart w:id="36" w:name="_Toc183682345"/>
      <w:bookmarkStart w:id="37" w:name="_Toc217446037"/>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4.磋商费用</w:t>
      </w:r>
      <w:bookmarkEnd w:id="35"/>
      <w:bookmarkEnd w:id="36"/>
      <w:bookmarkEnd w:id="37"/>
    </w:p>
    <w:p>
      <w:pPr>
        <w:tabs>
          <w:tab w:val="left" w:pos="7665"/>
        </w:tabs>
        <w:spacing w:line="360" w:lineRule="auto"/>
        <w:ind w:firstLine="480"/>
        <w:rPr>
          <w:rFonts w:ascii="宋体" w:hAnsi="宋体"/>
          <w:color w:val="auto"/>
          <w:sz w:val="24"/>
          <w:highlight w:val="none"/>
        </w:rPr>
      </w:pPr>
      <w:r>
        <w:rPr>
          <w:rFonts w:hint="eastAsia" w:ascii="宋体" w:hAnsi="宋体"/>
          <w:color w:val="auto"/>
          <w:sz w:val="24"/>
          <w:highlight w:val="none"/>
        </w:rPr>
        <w:t>供应商应自行承担参加磋商活动的全部费用。</w:t>
      </w:r>
    </w:p>
    <w:p>
      <w:pPr>
        <w:spacing w:line="360" w:lineRule="auto"/>
        <w:rPr>
          <w:rFonts w:ascii="Times New Roman"/>
          <w:color w:val="auto"/>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5.充分、公平竞争保障措施（实质性要求）</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5.4供应商实际控制人或者中高级管理人员，同时是采购代理机构工作人员，不得参与本项目政府采购活动。</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5.5同一母公司的两家以上的子公司只能组成联合体参加本项目同一合同项下的采购活动，不得以不同供应商身份同时参加本项目同一合同项下的采购活动。</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5.6供应商与采购代理机构存在关联关系，或者是采购代理机构的母公司或子公司，不得参加本项目政府采购活动。</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5.7回避。政府采购活动中，采购人员及相关人员与供应商有下列利害关系之一的，应当回避：</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Ansi="宋体"/>
          <w:b/>
          <w:color w:val="auto"/>
          <w:szCs w:val="21"/>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6.磋商保证金（实质性要求）（本项目不收取）</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6.1供应商必须以人民币为计量单位提交磋商文件规定数额的磋商保证金。联合体磋商的，可以由联合体的一方或者共同提交磋商保证金，以一方名义提交磋商保证金的，对联合体各方均具有约束力。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6.2未按磋商文件要求在规定时间前交纳规定数额磋商保证金的响应文件无效。</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6.3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6.4发生下列情形之一的，采购代理机构将不予退还磋商保证金：</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（1）在磋商文件规定的递交响应文件截止时间后撤回响应文件的；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（2）在采购人确定成交供应商之前放弃成交候选资格的；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（3）成交后放弃、不领取或者不接收成交通知书的；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（4）由于成交供应商的原因未能按照磋商文件的规定与采购人签订合同的；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（5）由于成交供应商的原因未能按照磋商文件的规定交纳履约保证金的；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（6）供应商在政府采购活动中提供虚假材料的；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（7）报价有效期内，供应商在政府采购活动中有违法、违规、违纪行为。</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7.响应文件有效期（实质性要求）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宋体" w:hAnsi="宋体"/>
          <w:b/>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8.联合体竞争性磋商（实质性要求）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本项目不接受联合体参与采购活动。</w:t>
      </w:r>
    </w:p>
    <w:p>
      <w:pPr>
        <w:spacing w:line="360" w:lineRule="auto"/>
        <w:rPr>
          <w:color w:val="auto"/>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9.知识产权（实质性要求）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9.2除非磋商文件特别规定，采购人享有本项目实施过程中产生的知识成果及知识产权。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.3</w:t>
      </w:r>
      <w:r>
        <w:rPr>
          <w:rFonts w:hint="eastAsia" w:ascii="宋体" w:hAnsi="宋体"/>
          <w:color w:val="auto"/>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.4</w:t>
      </w:r>
      <w:r>
        <w:rPr>
          <w:rFonts w:hint="eastAsia" w:ascii="宋体" w:hAnsi="宋体"/>
          <w:color w:val="auto"/>
          <w:sz w:val="24"/>
          <w:highlight w:val="none"/>
        </w:rPr>
        <w:t xml:space="preserve">如采用供应商所不拥有的知识产权，则在报价中必须包括合法获取该知识产权的相关费用。 </w:t>
      </w:r>
    </w:p>
    <w:p>
      <w:pPr>
        <w:pStyle w:val="5"/>
        <w:spacing w:before="0" w:after="0" w:line="360" w:lineRule="auto"/>
        <w:jc w:val="center"/>
        <w:rPr>
          <w:color w:val="auto"/>
          <w:highlight w:val="none"/>
        </w:rPr>
      </w:pPr>
      <w:bookmarkStart w:id="38" w:name="_Toc183582209"/>
      <w:bookmarkStart w:id="39" w:name="_Toc7502_WPSOffice_Level2"/>
      <w:bookmarkStart w:id="40" w:name="_Toc89075875"/>
      <w:bookmarkStart w:id="41" w:name="_Toc217446038"/>
      <w:bookmarkStart w:id="42" w:name="_Toc183682346"/>
      <w:bookmarkStart w:id="43" w:name="_Toc77400779"/>
      <w:r>
        <w:rPr>
          <w:rFonts w:hint="eastAsia"/>
          <w:color w:val="auto"/>
          <w:highlight w:val="none"/>
        </w:rPr>
        <w:t>三、磋商文件</w:t>
      </w:r>
      <w:bookmarkEnd w:id="38"/>
      <w:bookmarkEnd w:id="39"/>
      <w:bookmarkEnd w:id="40"/>
      <w:bookmarkEnd w:id="41"/>
      <w:bookmarkEnd w:id="42"/>
      <w:bookmarkEnd w:id="43"/>
    </w:p>
    <w:p>
      <w:pPr>
        <w:pStyle w:val="6"/>
        <w:keepNext w:val="0"/>
        <w:keepLines w:val="0"/>
        <w:spacing w:before="0" w:after="0" w:line="360" w:lineRule="auto"/>
        <w:ind w:firstLine="482" w:firstLineChars="200"/>
        <w:rPr>
          <w:rFonts w:ascii="宋体" w:hAnsi="宋体"/>
          <w:color w:val="auto"/>
          <w:sz w:val="24"/>
          <w:szCs w:val="24"/>
          <w:highlight w:val="none"/>
        </w:rPr>
      </w:pPr>
      <w:bookmarkStart w:id="44" w:name="_Toc217446039"/>
      <w:bookmarkStart w:id="45" w:name="_Toc183582210"/>
      <w:bookmarkStart w:id="46" w:name="_Toc183682347"/>
      <w:r>
        <w:rPr>
          <w:rFonts w:hint="eastAsia" w:ascii="宋体" w:hAnsi="宋体"/>
          <w:color w:val="auto"/>
          <w:sz w:val="24"/>
          <w:szCs w:val="24"/>
          <w:highlight w:val="none"/>
        </w:rPr>
        <w:t>10.磋商文件的构成</w:t>
      </w:r>
      <w:bookmarkEnd w:id="44"/>
      <w:bookmarkEnd w:id="45"/>
      <w:bookmarkEnd w:id="46"/>
      <w:r>
        <w:rPr>
          <w:rFonts w:hint="eastAsia" w:ascii="宋体" w:hAnsi="宋体"/>
          <w:color w:val="auto"/>
          <w:sz w:val="24"/>
          <w:szCs w:val="24"/>
          <w:highlight w:val="none"/>
        </w:rPr>
        <w:t>（实质性要求）</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b/>
          <w:bCs/>
          <w:color w:val="auto"/>
          <w:sz w:val="24"/>
          <w:highlight w:val="none"/>
        </w:rPr>
        <w:t>.</w:t>
      </w:r>
      <w:r>
        <w:rPr>
          <w:rFonts w:hint="eastAsia" w:ascii="宋体" w:hAnsi="宋体"/>
          <w:color w:val="auto"/>
          <w:sz w:val="24"/>
          <w:highlight w:val="none"/>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b/>
          <w:bCs/>
          <w:color w:val="auto"/>
          <w:sz w:val="24"/>
          <w:highlight w:val="none"/>
        </w:rPr>
        <w:t>.</w:t>
      </w:r>
      <w:r>
        <w:rPr>
          <w:rFonts w:hint="eastAsia" w:ascii="宋体" w:hAnsi="宋体"/>
          <w:color w:val="auto"/>
          <w:sz w:val="24"/>
          <w:highlight w:val="none"/>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ascii="宋体" w:hAnsi="宋体"/>
          <w:color w:val="auto"/>
          <w:sz w:val="24"/>
          <w:highlight w:val="none"/>
        </w:rPr>
      </w:pPr>
      <w:bookmarkStart w:id="47" w:name="_Toc183582211"/>
      <w:bookmarkStart w:id="48" w:name="_Toc183682348"/>
      <w:bookmarkStart w:id="49" w:name="_Toc217446040"/>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11.磋商文件的澄清</w:t>
      </w:r>
      <w:bookmarkEnd w:id="47"/>
      <w:bookmarkEnd w:id="48"/>
      <w:r>
        <w:rPr>
          <w:rFonts w:hint="eastAsia" w:ascii="宋体" w:hAnsi="宋体"/>
          <w:color w:val="auto"/>
          <w:sz w:val="24"/>
          <w:szCs w:val="24"/>
          <w:highlight w:val="none"/>
        </w:rPr>
        <w:t>和修改</w:t>
      </w:r>
      <w:bookmarkEnd w:id="49"/>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11.1在递交响应文件截止时间前，采购人、采购代理机构可以对磋商文件进行澄清或者修改。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auto"/>
          <w:sz w:val="24"/>
          <w:highlight w:val="none"/>
        </w:rPr>
        <w:t>提交</w:t>
      </w:r>
      <w:r>
        <w:rPr>
          <w:rFonts w:hint="eastAsia" w:ascii="宋体" w:hAnsi="宋体"/>
          <w:color w:val="auto"/>
          <w:sz w:val="24"/>
          <w:highlight w:val="none"/>
        </w:rPr>
        <w:t>首次响应文件截</w:t>
      </w:r>
      <w:r>
        <w:rPr>
          <w:rFonts w:hint="eastAsia" w:ascii="宋体" w:hAnsi="宋体" w:cs="宋体"/>
          <w:color w:val="auto"/>
          <w:sz w:val="24"/>
          <w:highlight w:val="none"/>
        </w:rPr>
        <w:t>止之日起5日前</w:t>
      </w:r>
      <w:r>
        <w:rPr>
          <w:rFonts w:hint="eastAsia" w:ascii="宋体" w:hAnsi="宋体"/>
          <w:color w:val="auto"/>
          <w:sz w:val="24"/>
          <w:highlight w:val="none"/>
        </w:rPr>
        <w:t>；不足上述时间的，应当顺延递交响应文件的截止时间。</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11.3供应商认为采购代理机构需要对磋商文件进行澄清或者修改的，可以在首次响应文件截止之日起3日前以书面形式向采购代理机构提出申请，由采购代理机构决定是否采纳供应商的申请事项。</w:t>
      </w:r>
    </w:p>
    <w:p>
      <w:pPr>
        <w:spacing w:line="360" w:lineRule="auto"/>
        <w:rPr>
          <w:rFonts w:ascii="宋体" w:hAnsi="宋体"/>
          <w:color w:val="auto"/>
          <w:szCs w:val="21"/>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bookmarkStart w:id="50" w:name="_Toc208848971"/>
      <w:bookmarkStart w:id="51" w:name="_Toc217446041"/>
      <w:r>
        <w:rPr>
          <w:rFonts w:hint="eastAsia" w:ascii="宋体" w:hAnsi="宋体"/>
          <w:color w:val="auto"/>
          <w:sz w:val="24"/>
          <w:szCs w:val="24"/>
          <w:highlight w:val="none"/>
        </w:rPr>
        <w:t>12.答疑会和现场考察</w:t>
      </w:r>
      <w:bookmarkEnd w:id="50"/>
      <w:bookmarkEnd w:id="51"/>
    </w:p>
    <w:p>
      <w:pPr>
        <w:tabs>
          <w:tab w:val="left" w:pos="720"/>
        </w:tabs>
        <w:spacing w:line="360" w:lineRule="auto"/>
        <w:ind w:firstLine="480" w:firstLineChars="200"/>
        <w:rPr>
          <w:rFonts w:ascii="宋体" w:hAnsi="宋体"/>
          <w:color w:val="auto"/>
          <w:sz w:val="24"/>
          <w:highlight w:val="none"/>
        </w:rPr>
      </w:pPr>
      <w:bookmarkStart w:id="52" w:name="_Toc183682351"/>
      <w:bookmarkStart w:id="53" w:name="_Toc217446042"/>
      <w:bookmarkStart w:id="54" w:name="_Toc77400780"/>
      <w:bookmarkStart w:id="55" w:name="_Toc183582214"/>
      <w:bookmarkStart w:id="56" w:name="_Toc89075876"/>
      <w:r>
        <w:rPr>
          <w:rFonts w:hint="eastAsia" w:ascii="宋体" w:hAnsi="宋体"/>
          <w:color w:val="auto"/>
          <w:sz w:val="24"/>
          <w:highlight w:val="none"/>
        </w:rPr>
        <w:t>本项目不举办答疑会和现场考察,由供应商自行现场考察。</w:t>
      </w:r>
    </w:p>
    <w:p>
      <w:pPr>
        <w:pStyle w:val="5"/>
        <w:spacing w:before="0" w:after="0" w:line="360" w:lineRule="auto"/>
        <w:jc w:val="center"/>
        <w:rPr>
          <w:color w:val="auto"/>
          <w:highlight w:val="none"/>
        </w:rPr>
      </w:pPr>
      <w:bookmarkStart w:id="57" w:name="_Toc3317_WPSOffice_Level2"/>
      <w:r>
        <w:rPr>
          <w:rFonts w:hint="eastAsia"/>
          <w:color w:val="auto"/>
          <w:highlight w:val="none"/>
        </w:rPr>
        <w:t>四、响应文件</w:t>
      </w:r>
      <w:bookmarkEnd w:id="52"/>
      <w:bookmarkEnd w:id="53"/>
      <w:bookmarkEnd w:id="54"/>
      <w:bookmarkEnd w:id="55"/>
      <w:bookmarkEnd w:id="56"/>
      <w:bookmarkEnd w:id="57"/>
    </w:p>
    <w:p>
      <w:pPr>
        <w:pStyle w:val="6"/>
        <w:keepNext w:val="0"/>
        <w:keepLines w:val="0"/>
        <w:spacing w:before="0" w:after="0" w:line="360" w:lineRule="auto"/>
        <w:ind w:firstLine="482" w:firstLineChars="200"/>
        <w:rPr>
          <w:rFonts w:ascii="宋体" w:hAnsi="宋体"/>
          <w:color w:val="auto"/>
          <w:sz w:val="24"/>
          <w:szCs w:val="24"/>
          <w:highlight w:val="none"/>
        </w:rPr>
      </w:pPr>
      <w:bookmarkStart w:id="58" w:name="_Toc183582215"/>
      <w:bookmarkStart w:id="59" w:name="_Toc183682352"/>
      <w:bookmarkStart w:id="60" w:name="_Toc217446043"/>
      <w:r>
        <w:rPr>
          <w:rFonts w:hint="eastAsia" w:ascii="宋体" w:hAnsi="宋体"/>
          <w:color w:val="auto"/>
          <w:sz w:val="24"/>
          <w:szCs w:val="24"/>
          <w:highlight w:val="none"/>
        </w:rPr>
        <w:t>13.响应文件的组成</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bCs w:val="0"/>
          <w:color w:val="auto"/>
          <w:sz w:val="24"/>
          <w:szCs w:val="24"/>
          <w:highlight w:val="none"/>
        </w:rPr>
      </w:pPr>
      <w:r>
        <w:rPr>
          <w:rFonts w:hint="eastAsia" w:ascii="宋体" w:hAnsi="宋体"/>
          <w:bCs w:val="0"/>
          <w:color w:val="auto"/>
          <w:sz w:val="24"/>
          <w:szCs w:val="24"/>
          <w:highlight w:val="none"/>
        </w:rPr>
        <w:t>14.响应文件的语言</w:t>
      </w:r>
      <w:bookmarkEnd w:id="58"/>
      <w:bookmarkEnd w:id="59"/>
      <w:bookmarkEnd w:id="60"/>
      <w:r>
        <w:rPr>
          <w:rFonts w:hint="eastAsia" w:ascii="宋体" w:hAnsi="宋体"/>
          <w:bCs w:val="0"/>
          <w:color w:val="auto"/>
          <w:sz w:val="24"/>
          <w:szCs w:val="24"/>
          <w:highlight w:val="none"/>
        </w:rPr>
        <w:t>（实质性要求）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14.2 翻译的中文资料与外文资料如果出现差异和矛盾，以中文为准。但不能故意错误翻译，否则，供应商的响应文件将作为无效处理。</w:t>
      </w:r>
    </w:p>
    <w:p>
      <w:pPr>
        <w:spacing w:line="360" w:lineRule="auto"/>
        <w:rPr>
          <w:rFonts w:ascii="宋体" w:hAnsi="宋体"/>
          <w:color w:val="auto"/>
          <w:sz w:val="24"/>
          <w:highlight w:val="none"/>
        </w:rPr>
      </w:pPr>
      <w:bookmarkStart w:id="61" w:name="_Toc183582216"/>
      <w:bookmarkStart w:id="62" w:name="_Toc217446044"/>
      <w:bookmarkStart w:id="63" w:name="_Toc183682353"/>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15.计量单位</w:t>
      </w:r>
      <w:bookmarkEnd w:id="61"/>
      <w:bookmarkEnd w:id="62"/>
      <w:bookmarkEnd w:id="63"/>
      <w:r>
        <w:rPr>
          <w:rFonts w:hint="eastAsia" w:ascii="宋体" w:hAnsi="宋体"/>
          <w:color w:val="auto"/>
          <w:sz w:val="24"/>
          <w:szCs w:val="24"/>
          <w:highlight w:val="none"/>
        </w:rPr>
        <w:t>（实质性要求）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除磋商文件中另有规定外，本次采购项目所有合同项下的报价均采用国家法定的计量单位。</w:t>
      </w:r>
    </w:p>
    <w:p>
      <w:pPr>
        <w:spacing w:line="360" w:lineRule="auto"/>
        <w:rPr>
          <w:rFonts w:ascii="宋体" w:hAnsi="宋体"/>
          <w:b/>
          <w:bCs/>
          <w:color w:val="auto"/>
          <w:sz w:val="24"/>
          <w:highlight w:val="none"/>
        </w:rPr>
      </w:pPr>
      <w:bookmarkStart w:id="64" w:name="_Toc217446045"/>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16.报价（实质性要求）</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16.1本次磋商项目的</w:t>
      </w:r>
      <w:r>
        <w:rPr>
          <w:rFonts w:hint="eastAsia" w:ascii="宋体" w:hAnsi="宋体"/>
          <w:color w:val="auto"/>
          <w:sz w:val="24"/>
          <w:highlight w:val="none"/>
        </w:rPr>
        <w:t>报价货币为</w:t>
      </w:r>
      <w:r>
        <w:rPr>
          <w:rFonts w:hint="eastAsia" w:ascii="宋体" w:hAnsi="宋体"/>
          <w:bCs/>
          <w:color w:val="auto"/>
          <w:sz w:val="24"/>
          <w:highlight w:val="none"/>
        </w:rPr>
        <w:t>人民币，报价以磋商文件规定为准。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16.2供应商的报价是其响应本项目要求的全部工作内容的价格体现，包括供应商完成本项目所需的一切费用。</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16.3供应商报价超过政府采购预算或最高限价（具体详见“供应商须知附表”）的，视为无效报价，将被淘汰。</w:t>
      </w:r>
    </w:p>
    <w:p>
      <w:pPr>
        <w:spacing w:line="360" w:lineRule="auto"/>
        <w:rPr>
          <w:rFonts w:ascii="宋体" w:hAnsi="宋体"/>
          <w:bCs/>
          <w:color w:val="auto"/>
          <w:sz w:val="24"/>
          <w:highlight w:val="none"/>
        </w:rPr>
      </w:pPr>
    </w:p>
    <w:bookmarkEnd w:id="64"/>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17.响应文件格式</w:t>
      </w:r>
    </w:p>
    <w:p>
      <w:pPr>
        <w:spacing w:line="360" w:lineRule="auto"/>
        <w:ind w:left="2" w:leftChars="1" w:firstLine="480" w:firstLineChars="200"/>
        <w:rPr>
          <w:rFonts w:ascii="宋体" w:hAnsi="宋体"/>
          <w:bCs/>
          <w:color w:val="auto"/>
          <w:sz w:val="24"/>
          <w:highlight w:val="none"/>
        </w:rPr>
      </w:pPr>
      <w:r>
        <w:rPr>
          <w:rFonts w:hint="eastAsia" w:ascii="宋体" w:hAnsi="宋体"/>
          <w:bCs/>
          <w:color w:val="auto"/>
          <w:sz w:val="24"/>
          <w:highlight w:val="none"/>
        </w:rPr>
        <w:t>17.1供应商应执行磋商文件第七章的规定要求。</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17.2对于没有格式要求的磋商文件由供应商自行编写。</w:t>
      </w:r>
    </w:p>
    <w:p>
      <w:pPr>
        <w:spacing w:line="360" w:lineRule="auto"/>
        <w:rPr>
          <w:rFonts w:ascii="宋体" w:hAnsi="宋体"/>
          <w:color w:val="auto"/>
          <w:sz w:val="24"/>
          <w:highlight w:val="none"/>
        </w:rPr>
      </w:pPr>
      <w:bookmarkStart w:id="65" w:name="_Toc183582224"/>
      <w:bookmarkStart w:id="66" w:name="_Toc183682361"/>
      <w:bookmarkStart w:id="67" w:name="_Toc217446051"/>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18.响应文件的编制和签署</w:t>
      </w:r>
    </w:p>
    <w:p>
      <w:pPr>
        <w:spacing w:line="360" w:lineRule="auto"/>
        <w:ind w:firstLine="468" w:firstLineChars="195"/>
        <w:rPr>
          <w:rFonts w:ascii="宋体" w:hAnsi="宋体"/>
          <w:bCs/>
          <w:color w:val="auto"/>
          <w:sz w:val="24"/>
          <w:highlight w:val="none"/>
        </w:rPr>
      </w:pPr>
      <w:r>
        <w:rPr>
          <w:rFonts w:hint="eastAsia" w:ascii="宋体" w:hAnsi="宋体"/>
          <w:color w:val="auto"/>
          <w:sz w:val="24"/>
          <w:highlight w:val="none"/>
        </w:rPr>
        <w:t>18.1</w:t>
      </w:r>
      <w:r>
        <w:rPr>
          <w:rFonts w:hint="eastAsia" w:ascii="宋体" w:hAnsi="宋体"/>
          <w:b/>
          <w:bCs/>
          <w:color w:val="auto"/>
          <w:sz w:val="24"/>
          <w:highlight w:val="none"/>
        </w:rPr>
        <w:t>资格性响应文件正本壹份副本壹份</w:t>
      </w:r>
      <w:r>
        <w:rPr>
          <w:rFonts w:hint="eastAsia" w:ascii="宋体" w:hAnsi="宋体"/>
          <w:bCs/>
          <w:color w:val="auto"/>
          <w:sz w:val="24"/>
          <w:highlight w:val="none"/>
        </w:rPr>
        <w:t>，并在其封面上清楚地标明资格性响应文件、项目名称、项目编号、包件号及名称（若有）、供应商名称以及“正本”或“副本”字样。若正本和副本（或电子文档）有不一致的内容，以正本书面响应文件为准。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18.2</w:t>
      </w:r>
      <w:r>
        <w:rPr>
          <w:rFonts w:hint="eastAsia" w:ascii="宋体" w:hAnsi="宋体"/>
          <w:b/>
          <w:color w:val="auto"/>
          <w:sz w:val="24"/>
          <w:highlight w:val="none"/>
        </w:rPr>
        <w:t>其他响应文件正本壹份副本</w:t>
      </w:r>
      <w:r>
        <w:rPr>
          <w:rFonts w:hint="eastAsia" w:ascii="宋体" w:hAnsi="宋体"/>
          <w:b/>
          <w:bCs/>
          <w:color w:val="auto"/>
          <w:sz w:val="24"/>
          <w:highlight w:val="none"/>
        </w:rPr>
        <w:t>壹</w:t>
      </w:r>
      <w:r>
        <w:rPr>
          <w:rFonts w:hint="eastAsia" w:ascii="宋体" w:hAnsi="宋体"/>
          <w:b/>
          <w:color w:val="auto"/>
          <w:sz w:val="24"/>
          <w:highlight w:val="none"/>
        </w:rPr>
        <w:t>份</w:t>
      </w:r>
      <w:r>
        <w:rPr>
          <w:rFonts w:hint="eastAsia" w:ascii="宋体" w:hAnsi="宋体"/>
          <w:bCs/>
          <w:color w:val="auto"/>
          <w:sz w:val="24"/>
          <w:highlight w:val="none"/>
        </w:rPr>
        <w:t>，并在其封面上清楚地标明其他响应文件、项目名称、项目编号、包件号及名称（若有）、供应商名称以及“正本”或“副本”字样。若正本和副本有不一致的内容，以正本书面响应文件为准。</w:t>
      </w:r>
    </w:p>
    <w:p>
      <w:pPr>
        <w:spacing w:line="360" w:lineRule="auto"/>
        <w:ind w:firstLine="468" w:firstLineChars="195"/>
        <w:rPr>
          <w:rFonts w:ascii="宋体" w:hAnsi="宋体"/>
          <w:b/>
          <w:color w:val="auto"/>
          <w:sz w:val="24"/>
          <w:highlight w:val="none"/>
        </w:rPr>
      </w:pPr>
      <w:r>
        <w:rPr>
          <w:rFonts w:hint="eastAsia" w:ascii="宋体" w:hAnsi="宋体"/>
          <w:bCs/>
          <w:color w:val="auto"/>
          <w:sz w:val="24"/>
          <w:highlight w:val="none"/>
        </w:rPr>
        <w:t>18.3</w:t>
      </w:r>
      <w:r>
        <w:rPr>
          <w:rFonts w:hint="eastAsia" w:ascii="宋体" w:hAnsi="宋体"/>
          <w:b/>
          <w:color w:val="auto"/>
          <w:sz w:val="24"/>
          <w:highlight w:val="none"/>
        </w:rPr>
        <w:t>响应文件电子文档（包含资格性响应文件和其他响应文件，U盘或光盘制作）壹份。</w:t>
      </w:r>
    </w:p>
    <w:bookmarkEnd w:id="65"/>
    <w:bookmarkEnd w:id="66"/>
    <w:bookmarkEnd w:id="67"/>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18.4响应文件正本和副本均需在规定签章处签字和盖章。响应文件副本可采用正本的复印件。</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18.5响应文件的打印和书写应清楚工整，任何行间插字、涂改或增删，必须由供应商的法定代表人或其授权代表签字并盖供应商公章。</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18.6</w:t>
      </w:r>
      <w:r>
        <w:rPr>
          <w:rFonts w:hint="eastAsia" w:ascii="宋体" w:hAnsi="宋体"/>
          <w:b/>
          <w:color w:val="auto"/>
          <w:sz w:val="24"/>
          <w:highlight w:val="none"/>
        </w:rPr>
        <w:t>（实质性要求）</w:t>
      </w:r>
      <w:r>
        <w:rPr>
          <w:rFonts w:hint="eastAsia" w:ascii="宋体" w:hAnsi="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18.7响应文件正本和副本需要逐页编目编码。</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18.8响应文件正本和副本应当采用胶装方式装订成册，不得散装或者合页装订。</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18.9响应文件应根据磋商文件的要求制作，签署、盖章。</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18.10响应文件统一用</w:t>
      </w:r>
      <w:r>
        <w:rPr>
          <w:rFonts w:ascii="宋体" w:hAnsi="宋体"/>
          <w:color w:val="auto"/>
          <w:sz w:val="24"/>
          <w:highlight w:val="none"/>
        </w:rPr>
        <w:t>A4</w:t>
      </w:r>
      <w:r>
        <w:rPr>
          <w:rFonts w:hint="eastAsia" w:ascii="宋体" w:hAnsi="宋体"/>
          <w:color w:val="auto"/>
          <w:sz w:val="24"/>
          <w:highlight w:val="none"/>
        </w:rPr>
        <w:t>幅面纸印制，除另有规定外。</w:t>
      </w:r>
    </w:p>
    <w:p>
      <w:pPr>
        <w:spacing w:line="360" w:lineRule="auto"/>
        <w:rPr>
          <w:rFonts w:ascii="宋体" w:hAnsi="宋体"/>
          <w:b/>
          <w:color w:val="auto"/>
          <w:sz w:val="24"/>
          <w:highlight w:val="none"/>
        </w:rPr>
      </w:pPr>
      <w:bookmarkStart w:id="68" w:name="_Toc183582226"/>
      <w:bookmarkStart w:id="69" w:name="_Toc183682363"/>
      <w:bookmarkStart w:id="70" w:name="_Toc217446053"/>
      <w:bookmarkStart w:id="71" w:name="_Toc77400781"/>
      <w:bookmarkStart w:id="72" w:name="_Toc89075877"/>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19.1响应文件可以单独密封包装，也可以所有响应文件密封包装在一个密封袋内。</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19.2响应文件密封袋的最外层应清楚地标明采购项目名称、采购项目编号、包号（若有）、供应商名称。</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19.3所有外层密封袋的封口处应粘贴牢固。</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19.4未按以上要求进行密封和标注的响应文件，采购人、采购代理机构将拒收或者在时间允许的范围内，要求修改完善后接收。</w:t>
      </w:r>
    </w:p>
    <w:p>
      <w:pPr>
        <w:spacing w:line="360" w:lineRule="auto"/>
        <w:rPr>
          <w:color w:val="auto"/>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20.响应文件的递交</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20.2采购代理机构将向通过资格审查的供应商发出磋商邀请；告知未通过资格审查的供应商未通过的原因。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20.3报价表在磋商后，磋商小组要求供应商进行最后报价时递交。</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20.4本次采购不接收邮寄的响应文件。</w:t>
      </w:r>
    </w:p>
    <w:p>
      <w:pPr>
        <w:spacing w:line="360" w:lineRule="auto"/>
        <w:rPr>
          <w:rFonts w:ascii="宋体" w:hAnsi="宋体"/>
          <w:color w:val="auto"/>
          <w:szCs w:val="21"/>
          <w:highlight w:val="none"/>
        </w:rPr>
      </w:pPr>
    </w:p>
    <w:bookmarkEnd w:id="68"/>
    <w:bookmarkEnd w:id="69"/>
    <w:bookmarkEnd w:id="70"/>
    <w:bookmarkEnd w:id="71"/>
    <w:bookmarkEnd w:id="72"/>
    <w:p>
      <w:pPr>
        <w:pStyle w:val="6"/>
        <w:keepNext w:val="0"/>
        <w:keepLines w:val="0"/>
        <w:spacing w:before="0" w:after="0" w:line="360" w:lineRule="auto"/>
        <w:ind w:firstLine="482" w:firstLineChars="200"/>
        <w:rPr>
          <w:rFonts w:ascii="宋体" w:hAnsi="宋体"/>
          <w:color w:val="auto"/>
          <w:sz w:val="24"/>
          <w:szCs w:val="24"/>
          <w:highlight w:val="none"/>
        </w:rPr>
      </w:pPr>
      <w:bookmarkStart w:id="73" w:name="_Toc183682365"/>
      <w:bookmarkStart w:id="74" w:name="_Toc217446055"/>
      <w:bookmarkStart w:id="75" w:name="_Toc183582228"/>
      <w:r>
        <w:rPr>
          <w:rFonts w:hint="eastAsia" w:ascii="宋体" w:hAnsi="宋体"/>
          <w:color w:val="auto"/>
          <w:sz w:val="24"/>
          <w:szCs w:val="24"/>
          <w:highlight w:val="none"/>
        </w:rPr>
        <w:t>21.响应文件的修改和撤回（补充、修改响应文件的密封和标注按照本章“19.响应文件的密封和标注”规定处理）</w:t>
      </w:r>
    </w:p>
    <w:p>
      <w:pPr>
        <w:pStyle w:val="8"/>
        <w:spacing w:line="360" w:lineRule="auto"/>
        <w:ind w:firstLine="48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3供应商不得在递交截止时间起至响应文件有效期期满前撤销其响应文件。否则其磋商保证金将按相关规定被没收。</w:t>
      </w:r>
    </w:p>
    <w:p>
      <w:pPr>
        <w:spacing w:line="360" w:lineRule="auto"/>
        <w:ind w:firstLine="480"/>
        <w:rPr>
          <w:rFonts w:ascii="宋体" w:hAnsi="宋体"/>
          <w:color w:val="auto"/>
          <w:sz w:val="24"/>
          <w:highlight w:val="none"/>
        </w:rPr>
      </w:pPr>
      <w:r>
        <w:rPr>
          <w:rFonts w:hint="eastAsia" w:ascii="宋体" w:hAnsi="宋体"/>
          <w:color w:val="auto"/>
          <w:sz w:val="24"/>
          <w:highlight w:val="none"/>
        </w:rPr>
        <w:t>21.4响应文件中报价如果出现下列不一致的，可按以下原则进行修改：</w:t>
      </w:r>
    </w:p>
    <w:p>
      <w:pPr>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kern w:val="0"/>
          <w:sz w:val="24"/>
          <w:highlight w:val="none"/>
        </w:rPr>
        <w:t>大写金额和小写金额不一致的，以大写金额为准</w:t>
      </w:r>
      <w:r>
        <w:rPr>
          <w:rFonts w:hint="eastAsia" w:ascii="宋体" w:hAnsi="宋体"/>
          <w:color w:val="auto"/>
          <w:sz w:val="24"/>
          <w:highlight w:val="none"/>
        </w:rPr>
        <w:t>，但大写金额文字存在错误的，应当先对大写金额的文字错误进行澄清、说明或者更正，再行修正。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（2）</w:t>
      </w:r>
      <w:r>
        <w:rPr>
          <w:rFonts w:hint="eastAsia" w:ascii="宋体" w:hAnsi="宋体" w:cs="宋体"/>
          <w:color w:val="auto"/>
          <w:kern w:val="0"/>
          <w:sz w:val="24"/>
          <w:highlight w:val="none"/>
        </w:rPr>
        <w:t>总价金额与按单价汇总金额不一致的，以单价金额计算结果为准，</w:t>
      </w:r>
      <w:r>
        <w:rPr>
          <w:rFonts w:hint="eastAsia" w:ascii="宋体" w:hAnsi="宋体"/>
          <w:color w:val="auto"/>
          <w:sz w:val="24"/>
          <w:highlight w:val="none"/>
        </w:rPr>
        <w:t>但</w:t>
      </w:r>
      <w:r>
        <w:rPr>
          <w:rFonts w:hint="eastAsia" w:ascii="宋体" w:hAnsi="宋体" w:cs="宋体"/>
          <w:color w:val="auto"/>
          <w:kern w:val="0"/>
          <w:sz w:val="24"/>
          <w:highlight w:val="none"/>
        </w:rPr>
        <w:t>单价或者单价汇总金额存在数字或者</w:t>
      </w:r>
      <w:r>
        <w:rPr>
          <w:rFonts w:hint="eastAsia" w:ascii="宋体" w:hAnsi="宋体"/>
          <w:color w:val="auto"/>
          <w:sz w:val="24"/>
          <w:highlight w:val="none"/>
        </w:rPr>
        <w:t>文字错误的，应当先对</w:t>
      </w:r>
      <w:r>
        <w:rPr>
          <w:rFonts w:hint="eastAsia" w:ascii="宋体" w:hAnsi="宋体" w:cs="宋体"/>
          <w:color w:val="auto"/>
          <w:kern w:val="0"/>
          <w:sz w:val="24"/>
          <w:highlight w:val="none"/>
        </w:rPr>
        <w:t>数字或者</w:t>
      </w:r>
      <w:r>
        <w:rPr>
          <w:rFonts w:hint="eastAsia" w:ascii="宋体" w:hAnsi="宋体"/>
          <w:color w:val="auto"/>
          <w:sz w:val="24"/>
          <w:highlight w:val="none"/>
        </w:rPr>
        <w:t>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（3）单价金额小数点</w:t>
      </w:r>
      <w:r>
        <w:rPr>
          <w:rFonts w:hint="eastAsia" w:ascii="宋体" w:hAnsi="宋体" w:cs="宋体"/>
          <w:color w:val="auto"/>
          <w:kern w:val="0"/>
          <w:sz w:val="24"/>
          <w:highlight w:val="none"/>
        </w:rPr>
        <w:t>或者百分比有明显错位的</w:t>
      </w:r>
      <w:r>
        <w:rPr>
          <w:rFonts w:hint="eastAsia" w:ascii="宋体" w:hAnsi="宋体"/>
          <w:color w:val="auto"/>
          <w:sz w:val="24"/>
          <w:highlight w:val="none"/>
        </w:rPr>
        <w:t>，以总价为准，修正单价。</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color w:val="auto"/>
          <w:sz w:val="24"/>
          <w:highlight w:val="none"/>
        </w:rPr>
      </w:pPr>
      <w:r>
        <w:rPr>
          <w:rFonts w:hint="eastAsia" w:ascii="宋体" w:hAnsi="宋体"/>
          <w:color w:val="auto"/>
          <w:sz w:val="24"/>
          <w:highlight w:val="none"/>
        </w:rPr>
        <w:t>21.5供应商对其提交的响应文件的真实性、合法性承担法律责任。</w:t>
      </w:r>
      <w:bookmarkEnd w:id="73"/>
      <w:bookmarkEnd w:id="74"/>
      <w:bookmarkEnd w:id="75"/>
    </w:p>
    <w:p>
      <w:pPr>
        <w:pStyle w:val="5"/>
        <w:spacing w:before="0" w:after="0" w:line="360" w:lineRule="auto"/>
        <w:jc w:val="center"/>
        <w:rPr>
          <w:color w:val="auto"/>
          <w:highlight w:val="none"/>
        </w:rPr>
      </w:pPr>
      <w:bookmarkStart w:id="76" w:name="_Toc6025_WPSOffice_Level2"/>
      <w:bookmarkStart w:id="77" w:name="_Toc77400782"/>
      <w:bookmarkStart w:id="78" w:name="_Toc217446056"/>
      <w:bookmarkStart w:id="79" w:name="_Toc183582231"/>
      <w:bookmarkStart w:id="80" w:name="_Toc183682368"/>
      <w:bookmarkStart w:id="81" w:name="_Toc89075878"/>
      <w:r>
        <w:rPr>
          <w:rFonts w:hint="eastAsia"/>
          <w:color w:val="auto"/>
          <w:highlight w:val="none"/>
        </w:rPr>
        <w:t>五、评审</w:t>
      </w:r>
      <w:bookmarkEnd w:id="76"/>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22.磋商小组的组建及其评审工作按照有关法律制度和本文件第八章的规定进行。</w:t>
      </w:r>
    </w:p>
    <w:p>
      <w:pPr>
        <w:pStyle w:val="5"/>
        <w:spacing w:before="0" w:after="0" w:line="360" w:lineRule="auto"/>
        <w:jc w:val="center"/>
        <w:rPr>
          <w:color w:val="auto"/>
          <w:highlight w:val="none"/>
        </w:rPr>
      </w:pPr>
      <w:bookmarkStart w:id="82" w:name="_Toc7528_WPSOffice_Level2"/>
      <w:r>
        <w:rPr>
          <w:rFonts w:hint="eastAsia"/>
          <w:color w:val="auto"/>
          <w:highlight w:val="none"/>
        </w:rPr>
        <w:t>六、成交事项</w:t>
      </w:r>
      <w:bookmarkEnd w:id="82"/>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23.确定成交供应商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采购人将按磋商小组推荐的成交候选供应商顺序确定成交供应商。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23.1采购代理机构自评审结束后2个工作日内将磋商报告及有关资料送交采购人确定成交供应商。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23.3采购人确定成交供应商过程中，发现成交候选供应商有下列情形之一的，应当不予确定其为成交供应商：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（1）发现成交候选供应商存在禁止参加本项目采购活动的违法行为的；</w:t>
      </w:r>
    </w:p>
    <w:p>
      <w:pPr>
        <w:spacing w:line="360" w:lineRule="auto"/>
        <w:ind w:firstLine="480"/>
        <w:rPr>
          <w:rFonts w:ascii="宋体" w:hAnsi="宋体"/>
          <w:color w:val="auto"/>
          <w:sz w:val="24"/>
          <w:highlight w:val="none"/>
        </w:rPr>
      </w:pPr>
      <w:r>
        <w:rPr>
          <w:rFonts w:hint="eastAsia" w:ascii="宋体" w:hAnsi="宋体"/>
          <w:color w:val="auto"/>
          <w:sz w:val="24"/>
          <w:highlight w:val="none"/>
        </w:rPr>
        <w:t>（2）成交候选供应商因不可抗力，不能继续参加政府采购活动；</w:t>
      </w:r>
    </w:p>
    <w:p>
      <w:pPr>
        <w:spacing w:line="360" w:lineRule="auto"/>
        <w:ind w:firstLine="480"/>
        <w:rPr>
          <w:rFonts w:ascii="宋体" w:hAnsi="宋体"/>
          <w:color w:val="auto"/>
          <w:sz w:val="24"/>
          <w:highlight w:val="none"/>
        </w:rPr>
      </w:pPr>
      <w:r>
        <w:rPr>
          <w:rFonts w:hint="eastAsia" w:ascii="宋体" w:hAnsi="宋体"/>
          <w:color w:val="auto"/>
          <w:sz w:val="24"/>
          <w:highlight w:val="none"/>
        </w:rPr>
        <w:t>（3）成交候选供应商无偿赠与或者低于成本价竞争；</w:t>
      </w:r>
    </w:p>
    <w:p>
      <w:pPr>
        <w:spacing w:line="360" w:lineRule="auto"/>
        <w:ind w:firstLine="480"/>
        <w:rPr>
          <w:rFonts w:ascii="宋体" w:hAnsi="宋体"/>
          <w:color w:val="auto"/>
          <w:sz w:val="24"/>
          <w:highlight w:val="none"/>
        </w:rPr>
      </w:pPr>
      <w:r>
        <w:rPr>
          <w:rFonts w:hint="eastAsia" w:ascii="宋体" w:hAnsi="宋体"/>
          <w:color w:val="auto"/>
          <w:sz w:val="24"/>
          <w:highlight w:val="none"/>
        </w:rPr>
        <w:t>（4）成交候选供应商提供虚假材料；</w:t>
      </w:r>
    </w:p>
    <w:p>
      <w:pPr>
        <w:spacing w:line="360" w:lineRule="auto"/>
        <w:ind w:firstLine="480"/>
        <w:rPr>
          <w:rFonts w:ascii="宋体" w:hAnsi="宋体"/>
          <w:color w:val="auto"/>
          <w:sz w:val="24"/>
          <w:highlight w:val="none"/>
        </w:rPr>
      </w:pPr>
      <w:r>
        <w:rPr>
          <w:rFonts w:hint="eastAsia" w:ascii="宋体" w:hAnsi="宋体"/>
          <w:color w:val="auto"/>
          <w:sz w:val="24"/>
          <w:highlight w:val="none"/>
        </w:rPr>
        <w:t>（5）成交候选供应商恶意串通。</w:t>
      </w:r>
    </w:p>
    <w:p>
      <w:pPr>
        <w:spacing w:line="360" w:lineRule="auto"/>
        <w:ind w:firstLine="480"/>
        <w:rPr>
          <w:rFonts w:ascii="宋体" w:hAnsi="宋体"/>
          <w:color w:val="auto"/>
          <w:sz w:val="24"/>
          <w:highlight w:val="none"/>
        </w:rPr>
      </w:pPr>
      <w:r>
        <w:rPr>
          <w:rFonts w:hint="eastAsia" w:ascii="宋体" w:hAnsi="宋体"/>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24.成交结果</w:t>
      </w:r>
    </w:p>
    <w:p>
      <w:pPr>
        <w:spacing w:line="360" w:lineRule="auto"/>
        <w:ind w:firstLine="480"/>
        <w:rPr>
          <w:rFonts w:ascii="宋体" w:hAnsi="宋体"/>
          <w:color w:val="auto"/>
          <w:sz w:val="24"/>
          <w:highlight w:val="none"/>
        </w:rPr>
      </w:pPr>
      <w:r>
        <w:rPr>
          <w:rFonts w:hint="eastAsia" w:ascii="宋体" w:hAnsi="宋体"/>
          <w:color w:val="auto"/>
          <w:sz w:val="24"/>
          <w:highlight w:val="none"/>
        </w:rPr>
        <w:t>24.1采购人确定成交供应商后，将及时书面通知采购代理机构，发出成交通知书并发布成交结果公告。</w:t>
      </w:r>
    </w:p>
    <w:p>
      <w:pPr>
        <w:spacing w:line="360" w:lineRule="auto"/>
        <w:ind w:firstLine="480"/>
        <w:rPr>
          <w:rFonts w:ascii="宋体" w:hAnsi="宋体"/>
          <w:color w:val="auto"/>
          <w:sz w:val="24"/>
          <w:highlight w:val="none"/>
        </w:rPr>
      </w:pPr>
      <w:r>
        <w:rPr>
          <w:rFonts w:hint="eastAsia" w:ascii="宋体" w:hAnsi="宋体"/>
          <w:color w:val="auto"/>
          <w:sz w:val="24"/>
          <w:highlight w:val="none"/>
        </w:rPr>
        <w:t>24.2成交供应商应当及时领取成交通知书。</w:t>
      </w:r>
    </w:p>
    <w:p>
      <w:pPr>
        <w:spacing w:line="360" w:lineRule="auto"/>
        <w:ind w:firstLine="480"/>
        <w:rPr>
          <w:rFonts w:ascii="宋体" w:hAnsi="宋体"/>
          <w:color w:val="auto"/>
          <w:sz w:val="24"/>
          <w:highlight w:val="none"/>
        </w:rPr>
      </w:pPr>
      <w:r>
        <w:rPr>
          <w:rFonts w:hint="eastAsia" w:ascii="宋体" w:hAnsi="宋体"/>
          <w:color w:val="auto"/>
          <w:sz w:val="24"/>
          <w:highlight w:val="none"/>
        </w:rPr>
        <w:t>24.3成交供应商不能及时领取成交通知书，采购人或者采购代理机构应当通过邮寄、快递等方式将项目成交通知书送达成交供应商。</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25.成交通知书</w:t>
      </w:r>
    </w:p>
    <w:p>
      <w:pPr>
        <w:spacing w:line="360" w:lineRule="auto"/>
        <w:ind w:firstLine="480"/>
        <w:rPr>
          <w:rFonts w:ascii="宋体" w:hAnsi="宋体"/>
          <w:color w:val="auto"/>
          <w:sz w:val="24"/>
          <w:highlight w:val="none"/>
        </w:rPr>
      </w:pPr>
      <w:r>
        <w:rPr>
          <w:rFonts w:hint="eastAsia" w:ascii="宋体" w:hAnsi="宋体"/>
          <w:color w:val="auto"/>
          <w:sz w:val="24"/>
          <w:highlight w:val="none"/>
        </w:rPr>
        <w:t>25.1成交通知书为签订政府采购合同的依据之一，是合同的有效组成部分。</w:t>
      </w:r>
    </w:p>
    <w:p>
      <w:pPr>
        <w:spacing w:line="360" w:lineRule="auto"/>
        <w:ind w:firstLine="480"/>
        <w:rPr>
          <w:rFonts w:ascii="宋体" w:hAnsi="宋体"/>
          <w:color w:val="auto"/>
          <w:sz w:val="24"/>
          <w:highlight w:val="none"/>
        </w:rPr>
      </w:pPr>
      <w:r>
        <w:rPr>
          <w:rFonts w:hint="eastAsia" w:ascii="宋体" w:hAnsi="宋体"/>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ascii="宋体" w:hAnsi="宋体"/>
          <w:color w:val="auto"/>
          <w:sz w:val="24"/>
          <w:highlight w:val="none"/>
        </w:rPr>
      </w:pPr>
      <w:r>
        <w:rPr>
          <w:rFonts w:hint="eastAsia" w:ascii="宋体" w:hAnsi="宋体"/>
          <w:color w:val="auto"/>
          <w:sz w:val="24"/>
          <w:highlight w:val="none"/>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spacing w:before="0" w:after="0" w:line="360" w:lineRule="auto"/>
        <w:jc w:val="center"/>
        <w:rPr>
          <w:color w:val="auto"/>
          <w:highlight w:val="none"/>
        </w:rPr>
      </w:pPr>
      <w:bookmarkStart w:id="83" w:name="_Toc17511_WPSOffice_Level2"/>
      <w:r>
        <w:rPr>
          <w:rFonts w:hint="eastAsia"/>
          <w:color w:val="auto"/>
          <w:highlight w:val="none"/>
        </w:rPr>
        <w:t>七、合同事项</w:t>
      </w:r>
      <w:bookmarkEnd w:id="83"/>
    </w:p>
    <w:p>
      <w:pPr>
        <w:pStyle w:val="6"/>
        <w:keepNext w:val="0"/>
        <w:keepLines w:val="0"/>
        <w:spacing w:before="0" w:after="0" w:line="360" w:lineRule="auto"/>
        <w:ind w:firstLine="482" w:firstLineChars="200"/>
        <w:rPr>
          <w:rFonts w:ascii="宋体" w:hAnsi="宋体"/>
          <w:color w:val="auto"/>
          <w:sz w:val="24"/>
          <w:szCs w:val="24"/>
          <w:highlight w:val="none"/>
        </w:rPr>
      </w:pPr>
      <w:bookmarkStart w:id="84" w:name="_Toc101174151"/>
      <w:bookmarkStart w:id="85" w:name="_Toc209847069"/>
      <w:bookmarkStart w:id="86" w:name="_Toc430773927"/>
      <w:bookmarkStart w:id="87" w:name="_Toc101250646"/>
      <w:bookmarkStart w:id="88" w:name="_Toc101338364"/>
      <w:r>
        <w:rPr>
          <w:rFonts w:hint="eastAsia" w:ascii="宋体" w:hAnsi="宋体"/>
          <w:color w:val="auto"/>
          <w:sz w:val="24"/>
          <w:szCs w:val="24"/>
          <w:highlight w:val="none"/>
        </w:rPr>
        <w:t>26.签订合同</w:t>
      </w:r>
      <w:bookmarkEnd w:id="84"/>
      <w:bookmarkEnd w:id="85"/>
      <w:bookmarkEnd w:id="86"/>
      <w:bookmarkEnd w:id="87"/>
      <w:bookmarkEnd w:id="8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26.2磋商文件、成交供应商的响应文件及双方确认的澄清文件等，均为有法律约束力的合同组成部分。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26.5竞争性磋商文件、成交供应商提交的响应文件、磋商中的最后报价、成交供应商承诺书、成交通知书等均称为有法律约束力的合同组成内容。</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27.合同分包（实质性要求）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27.2采购合同实行分包履行的，成交供应商就采购项目和分包项目向采购人负责，分包供应商就分包项目承担责任。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27.3中小企业依据《政府采购促进中小企业发展管理办法》（财库〔2020〕46号）的规定政策获取政府采购合同后，小型、微型企业不得分包或转包给大型、中型企业，中型企业不得分包或转包给大型企业。</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28.合同转包（实质性要求）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成交供应商转包的，视同拒绝履行政府采购合同义务，将依法追究法律责任。</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29.补充合同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30.履约保证金（实质性要求）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详见“供应商须知附表”。</w:t>
      </w:r>
    </w:p>
    <w:p>
      <w:pPr>
        <w:spacing w:line="360" w:lineRule="auto"/>
        <w:rPr>
          <w:rFonts w:ascii="Times New Roman"/>
          <w:color w:val="auto"/>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31.合同公告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32.合同备案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采购人应当将政府采购合同副本自签订（双方当事人均已签字盖章）之日起七个工作日内报同级财政部门备案。</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33.履行合同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33.1 成交供应商与采购人签订合同后，合同双方应严格执行合同条款，履行合同规定的义务，保证合同的顺利完成。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33.2 在合同履行过程中，如发生合同纠纷，合同双方应按照《中华人民共和国民法典》的有关规定进行处理。</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34.验收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本项目采购人及其委托的采购代理机构将按照政府采购相关法律法规以及《财政部关于进一步加强政府采购需求和履约验收管理的指导意见》（财库〔2016〕205号）的要求进行验收。</w:t>
      </w:r>
    </w:p>
    <w:p>
      <w:pPr>
        <w:spacing w:line="360" w:lineRule="auto"/>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35.资金支付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采购人将按照政府采购合同规定，及时向成交供应商支付采购资金。支付方式详见“第五章  采购项目技术、服务、政府采购合同内容条款及其他商务要求”</w:t>
      </w:r>
      <w:r>
        <w:rPr>
          <w:rFonts w:hint="eastAsia" w:ascii="宋体" w:hAnsi="宋体"/>
          <w:color w:val="auto"/>
          <w:sz w:val="24"/>
          <w:highlight w:val="none"/>
          <w:lang w:val="zh-TW"/>
        </w:rPr>
        <w:t>。</w:t>
      </w:r>
    </w:p>
    <w:p>
      <w:pPr>
        <w:pStyle w:val="5"/>
        <w:spacing w:before="0" w:after="0" w:line="360" w:lineRule="auto"/>
        <w:jc w:val="center"/>
        <w:rPr>
          <w:rFonts w:ascii="宋体" w:hAnsi="宋体"/>
          <w:color w:val="auto"/>
          <w:sz w:val="24"/>
          <w:highlight w:val="none"/>
        </w:rPr>
      </w:pPr>
      <w:bookmarkStart w:id="89" w:name="_Toc26946_WPSOffice_Level2"/>
      <w:r>
        <w:rPr>
          <w:rFonts w:hint="eastAsia"/>
          <w:color w:val="auto"/>
          <w:highlight w:val="none"/>
        </w:rPr>
        <w:t>八、磋商纪律要求</w:t>
      </w:r>
      <w:bookmarkEnd w:id="89"/>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36.供应商不得具有的情形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供应商参加本项目磋商不得有下列情形：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（1）提供虚假材料谋取成交；</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（2）采取不正当手段诋毁、排挤其他供应商；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（3）与采购人、采购代理机构、或其他供应商恶意串通；</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（5）在磋商过程中与采购人、采购代理机构进行协商；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（6）成交后无正当理由拒不与采购人签订政府采购合同；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（7）未按照磋商文件确定的事项签订政府采购合同；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（8）将政府采购合同转包或者违规分包；</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（9）提供假冒伪劣产品；</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（10）擅自变更、中止或者终止政府采购合同；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（11）拒绝有关部门的监督检查或者向监督检查部门提供虚假情况；</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（12）法律法规规定的其他情形。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供应商有上述情形的，按照规定追究法律责任，具备（1）-（10）条情形之一的，同时将取消被确认为成交供应商的资格或者认定成交无效。</w:t>
      </w:r>
    </w:p>
    <w:p>
      <w:pPr>
        <w:pStyle w:val="5"/>
        <w:spacing w:before="0" w:after="0" w:line="360" w:lineRule="auto"/>
        <w:jc w:val="center"/>
        <w:rPr>
          <w:color w:val="auto"/>
          <w:highlight w:val="none"/>
        </w:rPr>
      </w:pPr>
      <w:bookmarkStart w:id="90" w:name="_Toc8729_WPSOffice_Level2"/>
      <w:r>
        <w:rPr>
          <w:rFonts w:hint="eastAsia"/>
          <w:color w:val="auto"/>
          <w:highlight w:val="none"/>
        </w:rPr>
        <w:t>九、询问、质疑和投诉</w:t>
      </w:r>
      <w:bookmarkEnd w:id="90"/>
    </w:p>
    <w:p>
      <w:pPr>
        <w:tabs>
          <w:tab w:val="left" w:pos="851"/>
        </w:tabs>
        <w:spacing w:line="360" w:lineRule="auto"/>
        <w:ind w:firstLine="495"/>
        <w:rPr>
          <w:rFonts w:ascii="宋体" w:hAnsi="宋体"/>
          <w:color w:val="auto"/>
          <w:sz w:val="24"/>
          <w:highlight w:val="none"/>
        </w:rPr>
      </w:pPr>
      <w:r>
        <w:rPr>
          <w:rFonts w:hint="eastAsia" w:ascii="宋体" w:hAnsi="宋体"/>
          <w:color w:val="auto"/>
          <w:sz w:val="24"/>
          <w:highlight w:val="none"/>
        </w:rPr>
        <w:t>37.询问、质疑、投诉的接收和处理严格按照《中华人民共和国政府采购法》、《中华人民共和国政府采购法实施条例》、《财政部关于加强政府采购供应商投诉受理审查工作的通知》和四川省的有关规定办理（详细规定请在中国政府采购网政策法规模块查询）。</w:t>
      </w:r>
    </w:p>
    <w:p>
      <w:pPr>
        <w:pStyle w:val="5"/>
        <w:spacing w:before="0" w:after="0" w:line="360" w:lineRule="auto"/>
        <w:jc w:val="center"/>
        <w:rPr>
          <w:color w:val="auto"/>
          <w:highlight w:val="none"/>
        </w:rPr>
      </w:pPr>
      <w:bookmarkStart w:id="91" w:name="_Toc25233_WPSOffice_Level2"/>
      <w:r>
        <w:rPr>
          <w:rFonts w:hint="eastAsia"/>
          <w:color w:val="auto"/>
          <w:highlight w:val="none"/>
        </w:rPr>
        <w:t>十、其  他</w:t>
      </w:r>
      <w:bookmarkEnd w:id="91"/>
    </w:p>
    <w:p>
      <w:pPr>
        <w:tabs>
          <w:tab w:val="left" w:pos="851"/>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宋体" w:hAnsi="宋体"/>
          <w:color w:val="auto"/>
          <w:kern w:val="0"/>
          <w:sz w:val="24"/>
          <w:highlight w:val="none"/>
        </w:rPr>
      </w:pPr>
      <w:r>
        <w:rPr>
          <w:rFonts w:hint="eastAsia" w:ascii="宋体" w:hAnsi="宋体"/>
          <w:color w:val="auto"/>
          <w:sz w:val="24"/>
          <w:highlight w:val="none"/>
        </w:rPr>
        <w:t>39.</w:t>
      </w:r>
      <w:r>
        <w:rPr>
          <w:rFonts w:hint="eastAsia" w:ascii="宋体" w:hAnsi="宋体"/>
          <w:b/>
          <w:color w:val="auto"/>
          <w:sz w:val="24"/>
          <w:highlight w:val="none"/>
        </w:rPr>
        <w:t>（实质性要求）</w:t>
      </w:r>
      <w:r>
        <w:rPr>
          <w:rFonts w:ascii="宋体" w:hAnsi="宋体"/>
          <w:color w:val="auto"/>
          <w:sz w:val="24"/>
          <w:highlight w:val="none"/>
        </w:rPr>
        <w:t>国家</w:t>
      </w:r>
      <w:r>
        <w:rPr>
          <w:rFonts w:hint="eastAsia" w:ascii="宋体" w:hAnsi="宋体"/>
          <w:color w:val="auto"/>
          <w:sz w:val="24"/>
          <w:highlight w:val="none"/>
        </w:rPr>
        <w:t>或行业主管部门</w:t>
      </w:r>
      <w:r>
        <w:rPr>
          <w:rFonts w:ascii="宋体" w:hAnsi="宋体"/>
          <w:color w:val="auto"/>
          <w:sz w:val="24"/>
          <w:highlight w:val="none"/>
        </w:rPr>
        <w:t>对</w:t>
      </w:r>
      <w:r>
        <w:rPr>
          <w:rFonts w:hint="eastAsia" w:ascii="宋体" w:hAnsi="宋体"/>
          <w:color w:val="auto"/>
          <w:sz w:val="24"/>
          <w:highlight w:val="none"/>
        </w:rPr>
        <w:t>供应商和采购产品的</w:t>
      </w:r>
      <w:r>
        <w:rPr>
          <w:rFonts w:ascii="宋体" w:hAnsi="宋体"/>
          <w:color w:val="auto"/>
          <w:sz w:val="24"/>
          <w:highlight w:val="none"/>
        </w:rPr>
        <w:t>技术</w:t>
      </w:r>
      <w:r>
        <w:rPr>
          <w:rFonts w:hint="eastAsia" w:ascii="宋体" w:hAnsi="宋体"/>
          <w:color w:val="auto"/>
          <w:sz w:val="24"/>
          <w:highlight w:val="none"/>
        </w:rPr>
        <w:t>标准、</w:t>
      </w:r>
      <w:r>
        <w:rPr>
          <w:rFonts w:ascii="宋体" w:hAnsi="宋体"/>
          <w:color w:val="auto"/>
          <w:sz w:val="24"/>
          <w:highlight w:val="none"/>
        </w:rPr>
        <w:t>质量</w:t>
      </w:r>
      <w:r>
        <w:rPr>
          <w:rFonts w:hint="eastAsia" w:ascii="宋体" w:hAnsi="宋体"/>
          <w:color w:val="auto"/>
          <w:sz w:val="24"/>
          <w:highlight w:val="none"/>
        </w:rPr>
        <w:t>标准和资格资质条件</w:t>
      </w:r>
      <w:r>
        <w:rPr>
          <w:rFonts w:ascii="宋体" w:hAnsi="宋体"/>
          <w:color w:val="auto"/>
          <w:sz w:val="24"/>
          <w:highlight w:val="none"/>
        </w:rPr>
        <w:t>等有</w:t>
      </w:r>
      <w:r>
        <w:rPr>
          <w:rFonts w:hint="eastAsia" w:ascii="宋体" w:hAnsi="宋体"/>
          <w:color w:val="auto"/>
          <w:sz w:val="24"/>
          <w:highlight w:val="none"/>
        </w:rPr>
        <w:t>强制性规定</w:t>
      </w:r>
      <w:r>
        <w:rPr>
          <w:rFonts w:ascii="宋体" w:hAnsi="宋体"/>
          <w:color w:val="auto"/>
          <w:sz w:val="24"/>
          <w:highlight w:val="none"/>
        </w:rPr>
        <w:t>的</w:t>
      </w:r>
      <w:r>
        <w:rPr>
          <w:rFonts w:hint="eastAsia" w:ascii="宋体" w:hAnsi="宋体"/>
          <w:color w:val="auto"/>
          <w:sz w:val="24"/>
          <w:highlight w:val="none"/>
        </w:rPr>
        <w:t>，必须符合其要求。</w:t>
      </w:r>
    </w:p>
    <w:p>
      <w:pPr>
        <w:spacing w:line="360" w:lineRule="auto"/>
        <w:ind w:firstLine="480" w:firstLineChars="200"/>
        <w:jc w:val="left"/>
        <w:rPr>
          <w:rFonts w:ascii="宋体" w:hAnsi="宋体"/>
          <w:color w:val="auto"/>
          <w:sz w:val="24"/>
          <w:highlight w:val="none"/>
        </w:rPr>
      </w:pPr>
      <w:bookmarkStart w:id="92" w:name="_Toc9334"/>
      <w:bookmarkStart w:id="93" w:name="_Toc5647"/>
      <w:r>
        <w:rPr>
          <w:rFonts w:hint="eastAsia" w:ascii="宋体" w:hAnsi="宋体"/>
          <w:color w:val="auto"/>
          <w:sz w:val="24"/>
          <w:highlight w:val="none"/>
        </w:rPr>
        <w:t>40.采用竞争性磋商采购方式采购的政府购买服务项目（含政府和社会资本合作项目），在采购过程中符合要求的供应商（社会资本）只有2家的，竞争性磋商采购活动可以继续进行。</w:t>
      </w:r>
      <w:bookmarkEnd w:id="92"/>
      <w:bookmarkEnd w:id="93"/>
      <w:bookmarkStart w:id="94" w:name="_Toc23044"/>
      <w:bookmarkStart w:id="95" w:name="_Toc19505"/>
      <w:r>
        <w:rPr>
          <w:rFonts w:hint="eastAsia" w:ascii="宋体" w:hAnsi="宋体"/>
          <w:color w:val="auto"/>
          <w:sz w:val="24"/>
          <w:highlight w:val="none"/>
        </w:rPr>
        <w:t>磋商小组按采购文件要求向采购人推荐2名成交候选供应商并依次排序，采购人按照磋商小组推荐的成交候选供应商顺序确定成交供应商。</w:t>
      </w:r>
      <w:bookmarkEnd w:id="94"/>
      <w:bookmarkEnd w:id="95"/>
    </w:p>
    <w:p>
      <w:pPr>
        <w:pStyle w:val="4"/>
        <w:spacing w:before="0" w:after="0" w:line="360" w:lineRule="auto"/>
        <w:jc w:val="center"/>
        <w:rPr>
          <w:color w:val="auto"/>
          <w:highlight w:val="none"/>
        </w:rPr>
      </w:pPr>
      <w:r>
        <w:rPr>
          <w:rFonts w:hint="eastAsia"/>
          <w:color w:val="auto"/>
          <w:highlight w:val="none"/>
        </w:rPr>
        <w:br w:type="page"/>
      </w:r>
      <w:bookmarkStart w:id="96" w:name="_Toc3274"/>
      <w:bookmarkStart w:id="97" w:name="_Toc15229_WPSOffice_Level1"/>
      <w:bookmarkStart w:id="98" w:name="_Toc1712_WPSOffice_Level1"/>
      <w:r>
        <w:rPr>
          <w:rFonts w:hint="eastAsia"/>
          <w:color w:val="auto"/>
          <w:highlight w:val="none"/>
        </w:rPr>
        <w:t>第三章  供应商资格条件要求</w:t>
      </w:r>
      <w:bookmarkEnd w:id="96"/>
      <w:bookmarkEnd w:id="97"/>
      <w:bookmarkEnd w:id="98"/>
    </w:p>
    <w:p>
      <w:pPr>
        <w:pStyle w:val="5"/>
        <w:keepNext w:val="0"/>
        <w:keepLines w:val="0"/>
        <w:spacing w:before="0"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一、供应商资格、资质性及其他类似效力要求</w:t>
      </w:r>
    </w:p>
    <w:p>
      <w:pPr>
        <w:spacing w:line="360" w:lineRule="auto"/>
        <w:ind w:firstLine="482" w:firstLineChars="200"/>
        <w:rPr>
          <w:rFonts w:ascii="宋体" w:hAnsi="宋体"/>
          <w:b/>
          <w:bCs/>
          <w:color w:val="auto"/>
          <w:sz w:val="24"/>
          <w:highlight w:val="none"/>
        </w:rPr>
      </w:pPr>
      <w:bookmarkStart w:id="99" w:name="_Toc24503_WPSOffice_Level2"/>
      <w:bookmarkStart w:id="100" w:name="_Toc9860_WPSOffice_Level2"/>
      <w:r>
        <w:rPr>
          <w:rFonts w:hint="eastAsia" w:ascii="宋体" w:hAnsi="宋体"/>
          <w:b/>
          <w:bCs/>
          <w:color w:val="auto"/>
          <w:sz w:val="24"/>
          <w:highlight w:val="none"/>
        </w:rPr>
        <w:t>（一）资格要求：</w:t>
      </w:r>
      <w:bookmarkEnd w:id="99"/>
      <w:bookmarkEnd w:id="10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1、具备《中华人民共和国政府采购法》第二十二条第一款规定的条件：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（6）法律、行政法规规定的其他条件。</w:t>
      </w:r>
    </w:p>
    <w:p>
      <w:pPr>
        <w:spacing w:line="360" w:lineRule="auto"/>
        <w:ind w:firstLine="482" w:firstLineChars="200"/>
        <w:rPr>
          <w:rFonts w:ascii="宋体" w:hAnsi="宋体"/>
          <w:b/>
          <w:bCs/>
          <w:color w:val="auto"/>
          <w:sz w:val="24"/>
          <w:highlight w:val="none"/>
        </w:rPr>
      </w:pPr>
      <w:bookmarkStart w:id="101" w:name="_Toc11574_WPSOffice_Level2"/>
      <w:bookmarkStart w:id="102" w:name="_Toc12093_WPSOffice_Level2"/>
      <w:r>
        <w:rPr>
          <w:rFonts w:hint="eastAsia" w:ascii="宋体" w:hAnsi="宋体"/>
          <w:b/>
          <w:bCs/>
          <w:color w:val="auto"/>
          <w:sz w:val="24"/>
          <w:highlight w:val="none"/>
        </w:rPr>
        <w:t>（二）根据采购项目提出的特殊条件：</w:t>
      </w:r>
      <w:bookmarkEnd w:id="101"/>
      <w:bookmarkEnd w:id="102"/>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（1）供应商及其现任法定代表人（非法人机构则为主要负责人）不得具有行贿犯罪记录；</w:t>
      </w:r>
    </w:p>
    <w:p>
      <w:pPr>
        <w:spacing w:line="360" w:lineRule="auto"/>
        <w:ind w:firstLine="480" w:firstLineChars="200"/>
        <w:jc w:val="left"/>
        <w:rPr>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本项目为专门面向中小企业采购；（供应商应为中小微企业、监狱企业、残疾人福利性单位）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（3）本次磋商不接受联合体响应。</w:t>
      </w:r>
    </w:p>
    <w:p>
      <w:pPr>
        <w:spacing w:line="360" w:lineRule="auto"/>
        <w:ind w:firstLine="482" w:firstLineChars="200"/>
        <w:rPr>
          <w:rFonts w:ascii="宋体" w:hAnsi="宋体"/>
          <w:b/>
          <w:bCs/>
          <w:color w:val="auto"/>
          <w:sz w:val="24"/>
          <w:highlight w:val="none"/>
        </w:rPr>
      </w:pPr>
      <w:bookmarkStart w:id="103" w:name="_Toc8836_WPSOffice_Level2"/>
      <w:bookmarkStart w:id="104" w:name="_Toc12366_WPSOffice_Level2"/>
      <w:r>
        <w:rPr>
          <w:rFonts w:hint="eastAsia" w:ascii="宋体" w:hAnsi="宋体"/>
          <w:b/>
          <w:bCs/>
          <w:color w:val="auto"/>
          <w:sz w:val="24"/>
          <w:highlight w:val="none"/>
        </w:rPr>
        <w:t>（三）其他类似效力要求：</w:t>
      </w:r>
      <w:bookmarkEnd w:id="103"/>
      <w:bookmarkEnd w:id="104"/>
    </w:p>
    <w:p>
      <w:pPr>
        <w:spacing w:line="360" w:lineRule="auto"/>
        <w:ind w:firstLine="480" w:firstLineChars="200"/>
        <w:rPr>
          <w:rFonts w:ascii="宋体" w:hAnsi="宋体"/>
          <w:color w:val="auto"/>
          <w:sz w:val="24"/>
          <w:highlight w:val="none"/>
        </w:rPr>
      </w:pPr>
      <w:bookmarkStart w:id="105" w:name="_Toc443658843"/>
      <w:r>
        <w:rPr>
          <w:rFonts w:hint="eastAsia" w:ascii="宋体" w:hAnsi="宋体"/>
          <w:color w:val="auto"/>
          <w:sz w:val="24"/>
          <w:highlight w:val="none"/>
        </w:rPr>
        <w:t>（1）参加本次磋商活动代表的证明材料。</w:t>
      </w:r>
    </w:p>
    <w:p>
      <w:pPr>
        <w:pStyle w:val="5"/>
        <w:keepNext w:val="0"/>
        <w:keepLines w:val="0"/>
        <w:spacing w:before="0"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二、报价产品的资格、资质性及其他类似效力要求</w:t>
      </w:r>
      <w:bookmarkEnd w:id="105"/>
      <w:r>
        <w:rPr>
          <w:rFonts w:hint="eastAsia" w:ascii="宋体" w:hAnsi="宋体" w:eastAsia="宋体"/>
          <w:color w:val="auto"/>
          <w:sz w:val="24"/>
          <w:szCs w:val="24"/>
          <w:highlight w:val="none"/>
        </w:rPr>
        <w:t>：无。</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jc w:val="center"/>
        <w:rPr>
          <w:color w:val="auto"/>
          <w:highlight w:val="none"/>
        </w:rPr>
      </w:pPr>
      <w:r>
        <w:rPr>
          <w:rFonts w:hint="eastAsia" w:ascii="宋体" w:hAnsi="宋体"/>
          <w:color w:val="auto"/>
          <w:sz w:val="24"/>
          <w:highlight w:val="none"/>
        </w:rPr>
        <w:t>4、供应商应对其所提供的资格证明材料来源的合法性、真实性承担法律责任。</w:t>
      </w:r>
      <w:r>
        <w:rPr>
          <w:rFonts w:hint="eastAsia"/>
          <w:color w:val="auto"/>
          <w:highlight w:val="none"/>
        </w:rPr>
        <w:br w:type="page"/>
      </w:r>
      <w:bookmarkStart w:id="106" w:name="_Toc8156_WPSOffice_Level1"/>
      <w:bookmarkStart w:id="107" w:name="_Toc17387"/>
      <w:bookmarkStart w:id="108" w:name="_Toc1390_WPSOffice_Level1"/>
    </w:p>
    <w:p>
      <w:pPr>
        <w:pStyle w:val="4"/>
        <w:jc w:val="center"/>
        <w:rPr>
          <w:color w:val="auto"/>
          <w:highlight w:val="none"/>
        </w:rPr>
      </w:pPr>
      <w:r>
        <w:rPr>
          <w:rFonts w:hint="eastAsia"/>
          <w:color w:val="auto"/>
          <w:highlight w:val="none"/>
        </w:rPr>
        <w:t>第四章  供应商资格证明材料</w:t>
      </w:r>
      <w:bookmarkEnd w:id="106"/>
      <w:bookmarkEnd w:id="107"/>
      <w:bookmarkEnd w:id="108"/>
    </w:p>
    <w:p>
      <w:pPr>
        <w:pStyle w:val="5"/>
        <w:keepNext w:val="0"/>
        <w:keepLines w:val="0"/>
        <w:spacing w:before="0" w:after="0" w:line="360" w:lineRule="auto"/>
        <w:rPr>
          <w:rFonts w:ascii="宋体" w:hAnsi="宋体" w:eastAsia="宋体"/>
          <w:color w:val="auto"/>
          <w:sz w:val="24"/>
          <w:szCs w:val="24"/>
          <w:highlight w:val="none"/>
        </w:rPr>
      </w:pPr>
      <w:bookmarkStart w:id="109" w:name="_Toc29661_WPSOffice_Level2"/>
      <w:bookmarkStart w:id="110" w:name="_Toc2507_WPSOffice_Level2"/>
      <w:r>
        <w:rPr>
          <w:rFonts w:hint="eastAsia" w:ascii="宋体" w:hAnsi="宋体" w:eastAsia="宋体"/>
          <w:color w:val="auto"/>
          <w:sz w:val="24"/>
          <w:szCs w:val="24"/>
          <w:highlight w:val="none"/>
        </w:rPr>
        <w:t>一、应当提供的供应商资格、资质性及其他类似效力要求的相关证明材料</w:t>
      </w:r>
      <w:bookmarkEnd w:id="109"/>
      <w:bookmarkEnd w:id="110"/>
    </w:p>
    <w:p>
      <w:pPr>
        <w:tabs>
          <w:tab w:val="left" w:pos="7665"/>
        </w:tabs>
        <w:snapToGrid w:val="0"/>
        <w:spacing w:line="360" w:lineRule="auto"/>
        <w:ind w:firstLine="482" w:firstLineChars="200"/>
        <w:rPr>
          <w:rFonts w:ascii="宋体" w:hAnsi="宋体" w:cs="宋体"/>
          <w:b/>
          <w:bCs/>
          <w:color w:val="auto"/>
          <w:sz w:val="24"/>
          <w:highlight w:val="none"/>
        </w:rPr>
      </w:pPr>
      <w:bookmarkStart w:id="111" w:name="_Toc443658848"/>
      <w:r>
        <w:rPr>
          <w:rFonts w:hint="eastAsia" w:ascii="宋体" w:hAnsi="宋体" w:cs="宋体"/>
          <w:b/>
          <w:bCs/>
          <w:color w:val="auto"/>
          <w:sz w:val="24"/>
          <w:highlight w:val="none"/>
        </w:rPr>
        <w:t>（一）《中华人民共和国政府采购法》第二十二条第一款第（一）至（六）规定的条件：</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备健全的财务会计制度的证明材料。（①可提供2019或2020年经审计的财务报告复印件（至少包含审计报告和审计报告中所涉及的财务报表和报表附注）；②也可提供2019或2020年供应商内部的任1个月财务报表复印件（至少包含资产负债表）；③也可提供距文件递交截止日一年内银行出具的资信证明（复印件）；④供应商注册时间至文件递交截止日不足1年的，也可提供在工商备案的公司章程（复印件））。</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（3）提供具备良好商业信誉的承诺函原件（格式详见第七章）。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（4）提供具有依法缴纳税收和社会保障资金的良好记录的承诺函原件（格式详见第七章）。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（5）提供具备履行合同所必需的设备和专业技术能力的承诺函原件（格式详见第七章）。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（7）提供具备法律、行政法规规定的其他条件的承诺函原件（格式详见第七章）。</w:t>
      </w:r>
    </w:p>
    <w:p>
      <w:pPr>
        <w:tabs>
          <w:tab w:val="left" w:pos="7665"/>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（二）根据采购项目提出的特殊条件：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（1）供应商及其现任法定代表人（非法人机构则为主要负责人）不得具有行贿犯罪记录；（格式详见第七章）</w:t>
      </w:r>
    </w:p>
    <w:p>
      <w:pPr>
        <w:tabs>
          <w:tab w:val="left" w:pos="7665"/>
        </w:tabs>
        <w:snapToGrid w:val="0"/>
        <w:spacing w:line="360" w:lineRule="auto"/>
        <w:ind w:firstLine="480" w:firstLineChars="200"/>
        <w:rPr>
          <w:color w:val="auto"/>
          <w:highlight w:val="none"/>
        </w:rPr>
      </w:pPr>
      <w:r>
        <w:rPr>
          <w:rFonts w:hint="eastAsia" w:ascii="宋体" w:hAnsi="宋体"/>
          <w:color w:val="auto"/>
          <w:sz w:val="24"/>
          <w:highlight w:val="none"/>
        </w:rPr>
        <w:t>（2）</w:t>
      </w:r>
      <w:r>
        <w:rPr>
          <w:rFonts w:hint="eastAsia" w:ascii="宋体" w:hAnsi="宋体" w:cs="宋体"/>
          <w:color w:val="auto"/>
          <w:sz w:val="24"/>
          <w:highlight w:val="none"/>
        </w:rPr>
        <w:t>本项目专门面向中小企业采购，供应商应为中小微企业、监狱企业、残疾人福利性单位。（格式详见第七章，监狱企业提供相关证明文件）</w:t>
      </w:r>
    </w:p>
    <w:p>
      <w:pPr>
        <w:tabs>
          <w:tab w:val="left" w:pos="7665"/>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（三）其他类似效力要求：</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ascii="宋体" w:hAnsi="宋体" w:cs="宋体"/>
          <w:color w:val="auto"/>
          <w:sz w:val="24"/>
          <w:highlight w:val="none"/>
        </w:rPr>
      </w:pPr>
    </w:p>
    <w:p>
      <w:pPr>
        <w:pStyle w:val="5"/>
        <w:keepNext w:val="0"/>
        <w:keepLines w:val="0"/>
        <w:spacing w:before="0" w:after="0" w:line="360" w:lineRule="auto"/>
        <w:rPr>
          <w:rFonts w:ascii="宋体" w:hAnsi="宋体" w:eastAsia="宋体"/>
          <w:color w:val="auto"/>
          <w:sz w:val="24"/>
          <w:szCs w:val="24"/>
          <w:highlight w:val="none"/>
        </w:rPr>
      </w:pPr>
      <w:bookmarkStart w:id="112" w:name="_Toc24332_WPSOffice_Level2"/>
      <w:bookmarkStart w:id="113" w:name="_Toc20115_WPSOffice_Level2"/>
      <w:r>
        <w:rPr>
          <w:rFonts w:hint="eastAsia" w:ascii="宋体" w:hAnsi="宋体" w:eastAsia="宋体"/>
          <w:color w:val="auto"/>
          <w:sz w:val="24"/>
          <w:szCs w:val="24"/>
          <w:highlight w:val="none"/>
        </w:rPr>
        <w:t>二、应当提供的报价产品的资格、资质性及其他类似效力要求的相关证明材料：</w:t>
      </w:r>
      <w:bookmarkEnd w:id="111"/>
      <w:bookmarkEnd w:id="112"/>
      <w:bookmarkEnd w:id="113"/>
    </w:p>
    <w:p>
      <w:pPr>
        <w:tabs>
          <w:tab w:val="left" w:pos="7665"/>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无。</w:t>
      </w:r>
    </w:p>
    <w:p>
      <w:pPr>
        <w:pStyle w:val="32"/>
        <w:snapToGrid w:val="0"/>
        <w:ind w:firstLine="0" w:firstLineChars="0"/>
        <w:rPr>
          <w:rFonts w:ascii="宋体" w:hAnsi="宋体"/>
          <w:color w:val="auto"/>
          <w:sz w:val="24"/>
          <w:highlight w:val="none"/>
        </w:rPr>
      </w:pPr>
    </w:p>
    <w:p>
      <w:pPr>
        <w:tabs>
          <w:tab w:val="left" w:pos="7665"/>
        </w:tabs>
        <w:snapToGrid w:val="0"/>
        <w:spacing w:line="360" w:lineRule="auto"/>
        <w:ind w:firstLine="482" w:firstLineChars="200"/>
        <w:rPr>
          <w:rFonts w:ascii="宋体" w:hAnsi="宋体"/>
          <w:b/>
          <w:color w:val="auto"/>
          <w:sz w:val="24"/>
          <w:highlight w:val="none"/>
        </w:rPr>
      </w:pPr>
    </w:p>
    <w:p>
      <w:pPr>
        <w:tabs>
          <w:tab w:val="left" w:pos="7665"/>
        </w:tabs>
        <w:snapToGrid w:val="0"/>
        <w:spacing w:line="360" w:lineRule="auto"/>
        <w:ind w:firstLine="482" w:firstLineChars="200"/>
        <w:rPr>
          <w:rFonts w:ascii="宋体" w:hAnsi="宋体"/>
          <w:b/>
          <w:color w:val="auto"/>
          <w:sz w:val="24"/>
          <w:highlight w:val="none"/>
        </w:rPr>
      </w:pPr>
    </w:p>
    <w:p>
      <w:pPr>
        <w:pStyle w:val="32"/>
        <w:snapToGrid w:val="0"/>
        <w:ind w:firstLine="0" w:firstLineChars="0"/>
        <w:rPr>
          <w:rFonts w:ascii="宋体" w:hAnsi="宋体"/>
          <w:color w:val="auto"/>
          <w:sz w:val="24"/>
          <w:highlight w:val="none"/>
        </w:rPr>
      </w:pPr>
      <w:r>
        <w:rPr>
          <w:rFonts w:hint="eastAsia" w:ascii="宋体" w:hAnsi="宋体"/>
          <w:color w:val="auto"/>
          <w:sz w:val="24"/>
          <w:highlight w:val="none"/>
        </w:rPr>
        <w:t>说明：</w:t>
      </w:r>
    </w:p>
    <w:p>
      <w:pPr>
        <w:pStyle w:val="32"/>
        <w:snapToGrid w:val="0"/>
        <w:ind w:firstLine="0" w:firstLineChars="0"/>
        <w:rPr>
          <w:rFonts w:ascii="宋体" w:hAnsi="宋体"/>
          <w:b/>
          <w:bCs/>
          <w:color w:val="auto"/>
          <w:sz w:val="24"/>
          <w:highlight w:val="none"/>
        </w:rPr>
      </w:pPr>
      <w:r>
        <w:rPr>
          <w:rFonts w:hint="eastAsia" w:ascii="宋体" w:hAnsi="宋体"/>
          <w:b/>
          <w:bCs/>
          <w:color w:val="auto"/>
          <w:sz w:val="24"/>
          <w:highlight w:val="none"/>
        </w:rPr>
        <w:t>（1）供应商提供的以上资格证明材料为复印件的均应加盖供应商公章。</w:t>
      </w:r>
    </w:p>
    <w:p>
      <w:pPr>
        <w:pStyle w:val="32"/>
        <w:snapToGrid w:val="0"/>
        <w:ind w:firstLine="0" w:firstLineChars="0"/>
        <w:rPr>
          <w:rFonts w:ascii="宋体" w:hAnsi="宋体"/>
          <w:b/>
          <w:bCs/>
          <w:color w:val="auto"/>
          <w:sz w:val="24"/>
          <w:highlight w:val="none"/>
        </w:rPr>
      </w:pPr>
      <w:r>
        <w:rPr>
          <w:rFonts w:hint="eastAsia" w:ascii="宋体" w:hAnsi="宋体"/>
          <w:b/>
          <w:bCs/>
          <w:color w:val="auto"/>
          <w:sz w:val="24"/>
          <w:highlight w:val="none"/>
        </w:rPr>
        <w:t>（2）供应商所提供的资格证明材料应当真实、有效。</w:t>
      </w:r>
    </w:p>
    <w:p>
      <w:pPr>
        <w:pStyle w:val="4"/>
        <w:spacing w:before="0" w:after="0" w:line="360" w:lineRule="auto"/>
        <w:jc w:val="center"/>
        <w:rPr>
          <w:rFonts w:ascii="宋体" w:hAnsi="宋体" w:cs="宋体"/>
          <w:color w:val="auto"/>
          <w:highlight w:val="none"/>
        </w:rPr>
      </w:pPr>
      <w:r>
        <w:rPr>
          <w:rFonts w:ascii="宋体"/>
          <w:color w:val="auto"/>
          <w:sz w:val="24"/>
          <w:highlight w:val="none"/>
        </w:rPr>
        <w:br w:type="page"/>
      </w:r>
      <w:bookmarkStart w:id="114" w:name="_Toc14938_WPSOffice_Level1"/>
      <w:bookmarkStart w:id="115" w:name="_Toc23697_WPSOffice_Level1"/>
      <w:bookmarkStart w:id="116" w:name="_Toc10654"/>
      <w:r>
        <w:rPr>
          <w:rFonts w:hint="eastAsia"/>
          <w:color w:val="auto"/>
          <w:highlight w:val="none"/>
        </w:rPr>
        <w:t xml:space="preserve">第五章  </w:t>
      </w:r>
      <w:bookmarkEnd w:id="114"/>
      <w:bookmarkEnd w:id="115"/>
      <w:r>
        <w:rPr>
          <w:rFonts w:hint="eastAsia" w:ascii="宋体" w:hAnsi="宋体" w:cs="宋体"/>
          <w:color w:val="auto"/>
          <w:highlight w:val="none"/>
        </w:rPr>
        <w:t>采购项目技术、服务、政府采购合同内容条款及其他商务要求</w:t>
      </w:r>
      <w:bookmarkEnd w:id="116"/>
    </w:p>
    <w:bookmarkEnd w:id="77"/>
    <w:bookmarkEnd w:id="78"/>
    <w:bookmarkEnd w:id="79"/>
    <w:bookmarkEnd w:id="80"/>
    <w:bookmarkEnd w:id="81"/>
    <w:p>
      <w:pPr>
        <w:tabs>
          <w:tab w:val="left" w:pos="7665"/>
        </w:tabs>
        <w:snapToGrid w:val="0"/>
        <w:spacing w:line="360" w:lineRule="auto"/>
        <w:outlineLvl w:val="1"/>
        <w:rPr>
          <w:rFonts w:ascii="宋体" w:hAnsi="宋体" w:cs="宋体"/>
          <w:b/>
          <w:color w:val="auto"/>
          <w:sz w:val="28"/>
          <w:szCs w:val="28"/>
          <w:highlight w:val="none"/>
        </w:rPr>
      </w:pPr>
      <w:bookmarkStart w:id="117" w:name="_Toc217446057"/>
      <w:bookmarkStart w:id="118" w:name="_Toc183582232"/>
      <w:bookmarkStart w:id="119" w:name="_Toc183682369"/>
      <w:r>
        <w:rPr>
          <w:rFonts w:hint="eastAsia" w:ascii="宋体" w:hAnsi="宋体" w:cs="宋体"/>
          <w:color w:val="auto"/>
          <w:sz w:val="28"/>
          <w:szCs w:val="28"/>
          <w:highlight w:val="none"/>
        </w:rPr>
        <w:t>一、</w:t>
      </w:r>
      <w:bookmarkStart w:id="120" w:name="_Toc217446094"/>
      <w:r>
        <w:rPr>
          <w:rFonts w:hint="eastAsia" w:ascii="宋体" w:hAnsi="宋体" w:cs="宋体"/>
          <w:b/>
          <w:color w:val="auto"/>
          <w:sz w:val="28"/>
          <w:szCs w:val="28"/>
          <w:highlight w:val="none"/>
        </w:rPr>
        <w:t>项目概述</w:t>
      </w:r>
      <w:bookmarkEnd w:id="120"/>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（一）建设背景</w:t>
      </w:r>
    </w:p>
    <w:p>
      <w:pPr>
        <w:tabs>
          <w:tab w:val="left" w:pos="7665"/>
        </w:tabs>
        <w:snapToGrid w:val="0"/>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目前，成华区双水碾街道辖属的小区老旧院落较多，老旧院落小区基础设施较差，管理薄弱。社区公告宣传栏配置较低，没有固定规范的位置，社区文化宣传很难规范化实施。部分小区消防设施缺失，存在消防隐患，流动人员的流动性大、成分复杂，给治安工作造成了空前的难度和压力。流动人口的大量聚集以及流动的不确定性，给城市带来了社会治安、管理纰漏等一系列管理难题，使人们对公共生活场所的安全感普遍降低。</w:t>
      </w:r>
    </w:p>
    <w:p>
      <w:pPr>
        <w:tabs>
          <w:tab w:val="left" w:pos="7665"/>
        </w:tabs>
        <w:snapToGrid w:val="0"/>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站北路社区管辖面积约0.3平方公里，东以八里桥路相隔、南临火车北站围墙、西与金牛区赛云台路社区交界、北临站北路。</w:t>
      </w:r>
    </w:p>
    <w:p>
      <w:pPr>
        <w:tabs>
          <w:tab w:val="left" w:pos="7665"/>
        </w:tabs>
        <w:snapToGrid w:val="0"/>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现有大小院落19个，住户4746户，人口约12500人，主要以老旧院落（拆迁安置房）为主，人员流动性强。现有社区两委人员11名，工作人员1名，社区网格员9名。站北路社区为辖区居民提供公共卫生、计划生育、优抚救济、青少年教育、低保、再就业等民生工作，协助维护社区治安、维护辖区正常的社会秩序、生产和生活秩序、调节邻里纠纷，做好疏导工作，防止矛盾滋化，促进居民家庭和睦、邻里团结，共建高品质和谐家居生活社区。</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（二）业务重点、难点</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了进一步促进经济发展和社会稳定，提高流动人口服务管理质量，实现对流动人口的科学管理、动态管理和长效管理，实现“以房管人”，结合本地实际情况以及管理部门的管理需求，主要存在如下几个方面的问题，亟待解决：</w:t>
      </w:r>
      <w:r>
        <w:rPr>
          <w:rFonts w:hint="eastAsia" w:ascii="宋体" w:hAnsi="宋体" w:cs="宋体"/>
          <w:color w:val="auto"/>
          <w:sz w:val="24"/>
          <w:highlight w:val="none"/>
        </w:rPr>
        <w:tab/>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1.人口信息采集困难</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流动人口的成分复杂，且流动性很大，导致流动人员信息的变更没有及时备案录入，给流动人口的管理带来较大的管理难度，加上流动人口动向难以掌握，造成管理部门管控措施难以落实。</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2.监控设施设备老旧</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老旧小区环境比较杂乱，小区内车辆来自四面八方，小区内车速往往得不到有效控制。社区内部的监控建设进度一般很难与平安城市相媲美，经常存在看不清楚、模糊、甚至视频丢失的情况。</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3.社区管理力量不足</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随着一部分人入住到新建的小区，原老旧小区出现自住与租赁的情况，所以老旧小区的管理变得日益复杂，且目前具有住房性质多样性的特点。部分小区出现无对应的物业管理，居住人员人身、财产安全无法得到保障。目前各社区管理人员与常驻人口比例极不匹配，所以现有管理人员在开展流动人口的调查统计、社区管理上存在极大的困难。</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4.流动人口管理困难</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流动人口成分复杂，社会治安隐患多。关于流动人口管理工作各个相关部门资料规整分散，数据、信息无法有效的共享和实用，无法对流动人口的动向进行重点关注。</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5.智慧民生服务欠缺</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当前小区智能化欠缺，缺乏劳动就业、社区医疗、居家养老、住房保障、计划生育、文体教育、证件办理等公共服务以及生活、家政、餐饮、便民缴费、金融等便民服务，居民满意度低。</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（三）项目需求</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了实现社区治安的高效管理和“以房管人”的目的，加大对犯罪分子的威慑作用，提升社区综合服务水平，并且结合综治、公安、街道、居民、物业等多方需要，以及利用已有警务数据和视频图片数据，更有效的满足对人员追逃、身份排查、人员管控的需求，主要分为如下几点：</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1.社区人员信息采集</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社区常驻居民、常住人口、流动人口的姓名、性别、民族、出生年月、身份证号、家庭成员、文化程度、婚姻状况、户口所在地、联系方式、职业、工作单位、是否参与养老保险等多项信息进行采集和登记。建立完成全市统一的人口信息数据库，从而实现全市人口信息的统一管理。</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2.流动人口实时管控</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流动人口聚集地因人口密集，管理存在盲区，常成为不法分子的滋生地，入屋盗窃等刑事案件时有发生，人民群众的生命财产得不到有力保障。通过建设门禁系统、人像卡口，对人员进出进行权限管理。实现开关门实时监控，人员信息实时查询，人脸信息实时查询，刷卡信息实时查询，房屋信息实时查询和管控。让违法犯罪分子不敢出现在流动人口居住区域内，减少治安隐患，让居住环境更安全。</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3.重点人车主动预警</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特殊人群和高危人群的动向进行重点关注，建立高危人员库，常住人口库，惯犯库等特殊人员库。实现在逃人员实时预警，涉毒人员实时预警，布控人员实时预警，研判人员实时预警，将视频应用从“事后打击”向“事中处置”和“事前防范”延伸，全面提升视频系统对社区安全的防控效能。对社区车辆、临时出入车辆信息采集，实现人车关联及盗窃车辆行踪预警检索。</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4.提升侦查办案效率</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将智慧社区系统产生的数据与公安警综、情报等系统数据资源进行综合，推进数据资源的关联分析、建模应用，提升系统数据分析研判能力，提高刑事案件的侦查水平。</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5.提升社区智能服务</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小区物业来说：每个社区建立一个高度集成的管理平台，可以将小区内的监控系统、可视对讲、停车场系统、报警系统等集成在一个智能化管理平台中进行统一管理，这样可以大大提高系统的监控效率，降低使用难度。</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对于小区业主来说：通过智慧社区的建设，使业主可以通过智能化的技术和手段，如智能车牌识别应用、人脸识别应用、APP应用便民服务等，真正为业主营造一个安全、舒适、便捷的社区环境。</w:t>
      </w:r>
    </w:p>
    <w:p>
      <w:pPr>
        <w:numPr>
          <w:ilvl w:val="0"/>
          <w:numId w:val="4"/>
        </w:numPr>
        <w:tabs>
          <w:tab w:val="left" w:pos="7665"/>
        </w:tabs>
        <w:snapToGrid w:val="0"/>
        <w:spacing w:line="360" w:lineRule="auto"/>
        <w:outlineLvl w:val="1"/>
        <w:rPr>
          <w:rFonts w:ascii="宋体" w:hAnsi="宋体" w:cs="宋体"/>
          <w:b/>
          <w:bCs/>
          <w:color w:val="auto"/>
          <w:sz w:val="28"/>
          <w:szCs w:val="28"/>
          <w:highlight w:val="none"/>
        </w:rPr>
      </w:pPr>
      <w:bookmarkStart w:id="121" w:name="_Toc217446095"/>
      <w:r>
        <w:rPr>
          <w:rFonts w:hint="eastAsia" w:ascii="宋体" w:hAnsi="宋体" w:cs="宋体"/>
          <w:b/>
          <w:bCs/>
          <w:color w:val="auto"/>
          <w:sz w:val="28"/>
          <w:szCs w:val="28"/>
          <w:highlight w:val="none"/>
        </w:rPr>
        <w:t>技术要求、服务</w:t>
      </w:r>
      <w:bookmarkEnd w:id="121"/>
      <w:r>
        <w:rPr>
          <w:rFonts w:hint="eastAsia" w:ascii="宋体" w:hAnsi="宋体" w:cs="宋体"/>
          <w:b/>
          <w:bCs/>
          <w:color w:val="auto"/>
          <w:sz w:val="28"/>
          <w:szCs w:val="28"/>
          <w:highlight w:val="none"/>
        </w:rPr>
        <w:t>要求</w:t>
      </w:r>
    </w:p>
    <w:p>
      <w:pPr>
        <w:pStyle w:val="2"/>
        <w:rPr>
          <w:rFonts w:ascii="宋体" w:hAnsi="宋体" w:eastAsia="宋体" w:cs="宋体"/>
          <w:b/>
          <w:bCs/>
          <w:color w:val="auto"/>
          <w:highlight w:val="none"/>
        </w:rPr>
      </w:pPr>
      <w:r>
        <w:rPr>
          <w:rFonts w:hint="eastAsia" w:ascii="宋体" w:hAnsi="宋体" w:eastAsia="宋体" w:cs="宋体"/>
          <w:b/>
          <w:bCs/>
          <w:color w:val="auto"/>
          <w:highlight w:val="none"/>
        </w:rPr>
        <w:t>（一）项目技术要求</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387"/>
        <w:gridCol w:w="4480"/>
        <w:gridCol w:w="675"/>
        <w:gridCol w:w="68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站北路社区智慧社区建设需求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742" w:type="pct"/>
            <w:shd w:val="clear" w:color="auto" w:fill="FFFFFF"/>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项目名称</w:t>
            </w:r>
          </w:p>
        </w:tc>
        <w:tc>
          <w:tcPr>
            <w:tcW w:w="2397"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参数</w:t>
            </w:r>
          </w:p>
        </w:tc>
        <w:tc>
          <w:tcPr>
            <w:tcW w:w="361" w:type="pct"/>
            <w:shd w:val="clear" w:color="auto" w:fill="FFFFFF"/>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c>
          <w:tcPr>
            <w:tcW w:w="364"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777"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一、智慧社区综治平台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智慧社区综合治理平台</w:t>
            </w:r>
          </w:p>
        </w:tc>
        <w:tc>
          <w:tcPr>
            <w:tcW w:w="2397" w:type="pct"/>
            <w:shd w:val="clear" w:color="auto" w:fill="auto"/>
            <w:vAlign w:val="center"/>
          </w:tcPr>
          <w:p>
            <w:pPr>
              <w:widowControl/>
              <w:numPr>
                <w:ilvl w:val="0"/>
                <w:numId w:val="0"/>
              </w:numPr>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bidi="ar"/>
              </w:rPr>
              <w:t>包括：智慧安全模块、智慧服务模块、智慧治理模块、智慧党建模块</w:t>
            </w:r>
            <w:r>
              <w:rPr>
                <w:rFonts w:hint="eastAsia" w:ascii="宋体" w:hAnsi="宋体" w:cs="宋体"/>
                <w:color w:val="auto"/>
                <w:kern w:val="0"/>
                <w:sz w:val="21"/>
                <w:szCs w:val="21"/>
                <w:highlight w:val="none"/>
                <w:lang w:eastAsia="zh-CN" w:bidi="ar"/>
              </w:rPr>
              <w:t>。</w:t>
            </w:r>
          </w:p>
          <w:p>
            <w:pPr>
              <w:widowControl/>
              <w:numPr>
                <w:ilvl w:val="0"/>
                <w:numId w:val="5"/>
              </w:numPr>
              <w:ind w:left="425" w:leftChars="0" w:hanging="425" w:firstLine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智慧安全</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小区安全防护系统：社区治安防控（包括：全域安防视频监控、人口服务管理、车辆管理、房屋管理、智慧告警等）；</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重点设施防护系统：支持通过智能设备监测、人工上报等方式，对社区井盖、水气电基础设施隐患事件进行采集；</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支持对基础公共设施隐患事件追溯检索；</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支持将事件通过移动端推送给相关处置人员；</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支持对基础公共设施隐患事件处置流程进行管理；</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公共区域防护系统：</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公共区域安全防护通过智能设备监测、人工上报等方式，对火灾、水气电监测、等消防隐患事件进行采集；</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对烟感、可燃气传感器、摄像机等传感设备进行管理；</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支持基本的告警事件联动功能，如告警联动视频；事件通过移动端推送给相关处置人员；</w:t>
            </w:r>
          </w:p>
          <w:p>
            <w:pPr>
              <w:widowControl/>
              <w:numPr>
                <w:ilvl w:val="0"/>
                <w:numId w:val="0"/>
              </w:numPr>
              <w:ind w:leftChars="0"/>
              <w:jc w:val="left"/>
              <w:textAlignment w:val="center"/>
              <w:rPr>
                <w:rFonts w:ascii="宋体" w:hAnsi="宋体" w:cs="宋体"/>
                <w:color w:val="auto"/>
                <w:sz w:val="21"/>
                <w:szCs w:val="21"/>
                <w:highlight w:val="none"/>
              </w:rPr>
            </w:pPr>
            <w:r>
              <w:rPr>
                <w:rFonts w:hint="eastAsia" w:ascii="宋体" w:hAnsi="宋体" w:cs="宋体"/>
                <w:color w:val="auto"/>
                <w:sz w:val="21"/>
                <w:szCs w:val="21"/>
                <w:highlight w:val="none"/>
              </w:rPr>
              <w:t>支持对隐患事件的处置流程进行管理；隐患事件追溯检索；隐患告警进行基本的统计分析。</w:t>
            </w:r>
          </w:p>
          <w:p>
            <w:pPr>
              <w:widowControl/>
              <w:numPr>
                <w:ilvl w:val="0"/>
                <w:numId w:val="5"/>
              </w:numPr>
              <w:ind w:left="425" w:leftChars="0" w:hanging="425" w:firstLine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智慧服务</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物业服务：整合物业系统，将物业报修、服务投诉、信息发布物业缴费等物业服务线上化，并且通过链接开锁、维修、家政、搬家等各类服务资源，丰富物业服务，并集成至居民移动端统一门户，实现一门式、一站化线上物业服务中心。</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市政公共服务：通过数据集成、应用集成和平台集成等技术手段，实现市政公用服务平台相关资源、信息和流程的整合，向小区住户提供市政公用服务。小区住户通过个人电脑、手机等各类智能终端访问智慧小区云平台，根据需求查询、浏览、预约、办理市政公用服务，以及使用便民缴费系统进行水电气等各类公用服务的缴费。</w:t>
            </w:r>
          </w:p>
          <w:p>
            <w:pPr>
              <w:widowControl/>
              <w:numPr>
                <w:ilvl w:val="0"/>
                <w:numId w:val="0"/>
              </w:numPr>
              <w:ind w:leftChars="0"/>
              <w:jc w:val="left"/>
              <w:textAlignment w:val="center"/>
              <w:rPr>
                <w:rFonts w:ascii="宋体" w:hAnsi="宋体" w:cs="宋体"/>
                <w:color w:val="auto"/>
                <w:sz w:val="21"/>
                <w:szCs w:val="21"/>
                <w:highlight w:val="none"/>
              </w:rPr>
            </w:pPr>
            <w:r>
              <w:rPr>
                <w:rFonts w:hint="eastAsia" w:ascii="宋体" w:hAnsi="宋体" w:cs="宋体"/>
                <w:color w:val="auto"/>
                <w:sz w:val="21"/>
                <w:szCs w:val="21"/>
                <w:highlight w:val="none"/>
              </w:rPr>
              <w:t>居民生活服务：根据需求查询、浏览、预约、办理政务服务，实现政府与公众间的信息互通。支持事务信息填报、流程进度追踪、流程提醒督促等功能。</w:t>
            </w:r>
          </w:p>
          <w:p>
            <w:pPr>
              <w:widowControl/>
              <w:numPr>
                <w:ilvl w:val="0"/>
                <w:numId w:val="5"/>
              </w:numPr>
              <w:ind w:left="425" w:leftChars="0" w:hanging="425" w:firstLine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智慧治理</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掌上自治</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掌上议事厅：通过内容发布、即时通讯、视频会议、网络论坛、问卷调查、投票管理、消息推送等技术手段支撑“掌上议事厅”场景功能。</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小区邻里圈：通过论坛互动、网上交易、信息发布、消息推送等技术手段支撑“小区邻里圈”应用场景功能。</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困难大家帮：通过信息发布、消息推送、线上募捐等技术手段支撑“困难大家帮”应用场景功能。</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诉求一键通：通过信息上报、工单派发、流程管理等技术手段支撑“诉求一键通”应用场景功能。</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积分兑换站：通过积分规则制定、活动组织、流程规划、积分兑换、用户管理等环节支撑“积分兑换站”场景应用功能。</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云上德治</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文明宣传榜：通过图像抽取、图像识别、语音识别、语义识别等技术手段，对不文明现象进行智能识别，支撑“文明宣传榜”场景应用功能。</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信用管理站：通过数据集成、应用集成和平台集成等技术手段，实现与市公共信用信息系统接入。</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线上法治</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法律咨询站：通过内容管理、内容精准匹配、即时通讯、线上问答等技术手段支撑线上“法律咨询站”的场景应用功能。</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矛盾调解室：通过内容发布、流程管理、线上投票、消息推送、即时通讯、线上问答等技术手段支撑“矛盾调解室”场景应用功能。</w:t>
            </w:r>
          </w:p>
          <w:p>
            <w:pPr>
              <w:widowControl/>
              <w:numPr>
                <w:ilvl w:val="0"/>
                <w:numId w:val="5"/>
              </w:numPr>
              <w:ind w:left="425" w:leftChars="0" w:hanging="425" w:firstLine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智慧党建</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党员之家 </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过数据集成、应用集成和平台集成等技术手段，实现“党员报到室”场景应用功能。通过提供信息发布、消息推送、流程管理等技术手段支撑“党员管理站”场景应用功能。通过数据集成、应用集成和平台集成等技术手段，实现“蓉城先锋·党员e家”、“学习强国”、“成都干部网络学院”等系统接入，搭建线上党员学习平台。</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组织阵地 </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过信息发布、消息推送、流程管理、视频会议、多媒体交互、问卷调查、数据上传等技术手段支撑“云端组织生活”应用场景功能。通过数据集成、应用集成和平台集成等技术手段，实现“蓉城先锋·党员e家”“学习强国”“成都干部网络学院”等系统接入，发布各类重要动态、资讯、政策、精神。通过动态表单系统、BI技术、报表工具等技术手段支撑“党建数据库”应用场景功能。</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先锋领航 </w:t>
            </w:r>
          </w:p>
          <w:p>
            <w:pPr>
              <w:widowControl/>
              <w:numPr>
                <w:ilvl w:val="0"/>
                <w:numId w:val="0"/>
              </w:numPr>
              <w:ind w:leftChars="0"/>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通过信息发布、消息推送等技术手段支撑“党员微榜样”场景应用功能。通过动态表单系统、信息发布、消息推送、流程管理等技术手段支撑“公益微平台”场景应用功能。</w:t>
            </w:r>
          </w:p>
          <w:p>
            <w:pPr>
              <w:widowControl/>
              <w:numPr>
                <w:ilvl w:val="0"/>
                <w:numId w:val="0"/>
              </w:numPr>
              <w:ind w:leftChars="0"/>
              <w:jc w:val="left"/>
              <w:textAlignment w:val="center"/>
              <w:rPr>
                <w:rFonts w:ascii="宋体" w:hAnsi="宋体" w:cs="宋体"/>
                <w:color w:val="auto"/>
                <w:sz w:val="21"/>
                <w:szCs w:val="21"/>
                <w:highlight w:val="none"/>
              </w:rPr>
            </w:pPr>
            <w:r>
              <w:rPr>
                <w:rFonts w:hint="eastAsia" w:ascii="宋体" w:hAnsi="宋体" w:cs="宋体"/>
                <w:color w:val="auto"/>
                <w:sz w:val="21"/>
                <w:szCs w:val="21"/>
                <w:highlight w:val="none"/>
              </w:rPr>
              <w:t>建设党员榜样数据库，管理人员可通过后台管理系统进行党员榜样人物及事迹的数据上传、信息发布，并可选择范围进行定向推送。</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套</w:t>
            </w:r>
          </w:p>
        </w:tc>
        <w:tc>
          <w:tcPr>
            <w:tcW w:w="777" w:type="pct"/>
            <w:shd w:val="clear" w:color="auto" w:fill="auto"/>
            <w:vAlign w:val="center"/>
          </w:tcPr>
          <w:p>
            <w:pPr>
              <w:widowControl/>
              <w:jc w:val="center"/>
              <w:textAlignment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智慧社区物业管理系统</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居民端：物业服务移动应用（事件上报、报修处理、投诉处理、信息发布、安保巡更、停车场管理、物业缴费、信息管理）。</w:t>
            </w:r>
          </w:p>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物业端：为小区物业公司提供高效解决各类物业问题，提高物业服务的质量和效率，主要提供物业缴费、报修处理、投诉处理、信息公开、在线管家、停车管理、访客登记等功能。</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套</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智慧社区居民APP</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通知公告、事件上报、社区活动、物业服务、一键救援、社区医疗、入学登记、在线学堂、议事决策 、民意调查、环境气象、 社区志愿者、疫情信息填报等 。</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套</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控制终端设备</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不低于</w:t>
            </w:r>
            <w:r>
              <w:rPr>
                <w:rFonts w:hint="eastAsia" w:ascii="宋体" w:hAnsi="宋体" w:cs="宋体"/>
                <w:color w:val="auto"/>
                <w:kern w:val="0"/>
                <w:sz w:val="21"/>
                <w:szCs w:val="21"/>
                <w:highlight w:val="none"/>
                <w:lang w:bidi="ar"/>
              </w:rPr>
              <w:t>I5-7400/8G/1TB /集显（含无线键盘和鼠标套件）</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套</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24口千兆POE交换机</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24个10/100/1000Mbps电口（支持POE/POE+）</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2个千兆光口</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支持EWEB/APP/MACC管理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交换容量：52Gbps</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lang w:bidi="ar"/>
              </w:rPr>
              <w:t>整机PoE最大输出功率370W</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机柜</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600mm*600mm*1000mm</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numPr>
                <w:ilvl w:val="0"/>
                <w:numId w:val="0"/>
              </w:numPr>
              <w:ind w:leftChars="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二、云景豪庭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numPr>
                <w:ilvl w:val="0"/>
                <w:numId w:val="0"/>
              </w:numPr>
              <w:ind w:leftChars="0"/>
              <w:jc w:val="both"/>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1、车牌识别和人脸识别系统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车辆出入口安装</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小区进出通道安装车辆识别摄像机，对进出的车辆进行甄别。车牌识别率白天≥99.9%；夜间≥99.7%输出信息车辆特征图像、车牌图像、车牌号码、颜色、车型、通过时间适应车速0-80公里/小时；识别时间&gt;0.1秒/次；拍摄距离3-8米；传感器星光级传感器镜头300w高清广角镜头；</w:t>
            </w:r>
          </w:p>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抓拍图片分辨率2304*1396；工作温度 -45℃—80℃；</w:t>
            </w:r>
          </w:p>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工作湿度≤90%；电源电压12v2A；整机功耗7W；平均无故障连续运行时间≥30000个小时；信噪比&gt;50db；防护等级IP67；最低照度0.1Lux。</w:t>
            </w:r>
          </w:p>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b/>
                <w:bCs/>
                <w:color w:val="auto"/>
                <w:kern w:val="0"/>
                <w:sz w:val="21"/>
                <w:szCs w:val="21"/>
                <w:highlight w:val="none"/>
                <w:lang w:bidi="ar"/>
              </w:rPr>
              <w:t>能与智慧社区综治平台联动，供应商需提供承诺函。</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人脸识别安装</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小区进出通道安装车辆识别摄像机，对进出人员进行甄别。最大分辨率和帧率≥1920×1080@25fps；</w:t>
            </w:r>
          </w:p>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靶面尺寸需＞1/2、8英寸，内置镜头；</w:t>
            </w:r>
          </w:p>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需支持人脸抓拍功能；</w:t>
            </w:r>
          </w:p>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最低照度彩色≤0.002 Lux；</w:t>
            </w:r>
          </w:p>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需具备区域入侵、越界入侵、进入区域、离开区域等功能，并可将分析目标设置为人、车辆、人和车辆三种，可对布防时间和联动报警方式进行设置；</w:t>
            </w:r>
          </w:p>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视频压缩标准需支持H、265/H、264/MJPEG；</w:t>
            </w:r>
          </w:p>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需具有≥1个RJ45 10M/100M自适应以太网口、≥1对音频输入/输出接口、≥1对报警输入输出接口、支持Micro SD卡存储，支持≥1路DC12V电源输出；</w:t>
            </w:r>
          </w:p>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红外照射距离需≥30米；防护等级需≥IP67。</w:t>
            </w:r>
          </w:p>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b/>
                <w:bCs/>
                <w:color w:val="auto"/>
                <w:kern w:val="0"/>
                <w:sz w:val="21"/>
                <w:szCs w:val="21"/>
                <w:highlight w:val="none"/>
                <w:lang w:bidi="ar"/>
              </w:rPr>
              <w:t>能与智慧社区综治平台联动，供应商需提供承诺函</w:t>
            </w:r>
            <w:r>
              <w:rPr>
                <w:rFonts w:hint="eastAsia" w:ascii="宋体" w:hAnsi="宋体" w:cs="宋体"/>
                <w:color w:val="auto"/>
                <w:kern w:val="0"/>
                <w:sz w:val="21"/>
                <w:szCs w:val="21"/>
                <w:highlight w:val="none"/>
                <w:lang w:bidi="ar"/>
              </w:rPr>
              <w:t>。</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栅栏网</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地下室，长83米*高3米</w:t>
            </w:r>
          </w:p>
        </w:tc>
        <w:tc>
          <w:tcPr>
            <w:tcW w:w="361" w:type="pct"/>
            <w:shd w:val="clear" w:color="auto" w:fill="FFFFFF"/>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1</w:t>
            </w:r>
          </w:p>
        </w:tc>
        <w:tc>
          <w:tcPr>
            <w:tcW w:w="364" w:type="pct"/>
            <w:shd w:val="clear" w:color="auto" w:fill="auto"/>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批</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电源线</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RVV3*1.5国标纯铜</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PVC管</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φ20</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8口千兆POE交换机</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8个10/100/1000Mbps电口（支持POE/POE+）；1个10/100Mbps电口；支持EWEB/APP/MACC管理；交换容量：336Gbps；供电功率120W。</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防雨箱</w:t>
            </w:r>
          </w:p>
        </w:tc>
        <w:tc>
          <w:tcPr>
            <w:tcW w:w="2397" w:type="pct"/>
            <w:shd w:val="clear" w:color="auto" w:fill="FFFFFF"/>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400*280*125mm。</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numPr>
                <w:ilvl w:val="0"/>
                <w:numId w:val="0"/>
              </w:numPr>
              <w:ind w:leftChars="0"/>
              <w:jc w:val="left"/>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2、监控系统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半球摄像机</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POE供电最高分辨率可达1920×1080 @25 fps；支持用户登录锁定机制，及密码复杂度提示；支持背光补偿，3D数字降噪，数字宽动态，适应不同监控环境；</w:t>
            </w:r>
          </w:p>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ROI感兴趣区域增强编码，可根据场景情况自适应调整码率分配，有效节省存储成本；采用高效阵列红外灯，使用寿命长，红外照射距离最远≥50m；支持开放型网络视频接口，ISAPI，SDK，GB28181（2016）协议；支持萤石平台接入；内置1个麦克风，高清拾音；符合IP66防尘防水设计。</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777" w:type="pct"/>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分别在单元门厅出入口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枪式摄像机</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POE供电最高分辨率可达1920×1080 @25 fps；支持用户登录锁定机制，及密码复杂度提示；支持背光补偿，3D数字降噪，数字宽动态，适应不同监控环境支持ROI感兴趣区域增强编码，可根据场景情况自适应调整码率分配；采用高效阵列红外灯，使用寿命长，红外照射距离最远≥50 m；支持开放型网络视频接口，ISAPI，SDK，GB28181（2016）协议；支持萤石平台接入</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lang w:bidi="ar"/>
              </w:rPr>
              <w:t>内置1个麦克风，高清拾音；符合IP66防尘防水设计。</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777" w:type="pct"/>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分别在总坪、-1F、-2F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监控立杆</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3.5米双支臂</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防雨箱</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400*280*125MM</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光纤</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12芯</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1150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电源线</w:t>
            </w:r>
          </w:p>
        </w:tc>
        <w:tc>
          <w:tcPr>
            <w:tcW w:w="2397" w:type="pct"/>
            <w:shd w:val="clear" w:color="auto" w:fill="auto"/>
            <w:vAlign w:val="center"/>
          </w:tcPr>
          <w:p>
            <w:pPr>
              <w:widowControl/>
              <w:numPr>
                <w:ilvl w:val="0"/>
                <w:numId w:val="0"/>
              </w:numPr>
              <w:ind w:leftChars="0"/>
              <w:jc w:val="left"/>
              <w:textAlignment w:val="center"/>
              <w:rPr>
                <w:rFonts w:ascii="宋体" w:hAnsi="宋体" w:cs="宋体"/>
                <w:color w:val="auto"/>
                <w:kern w:val="0"/>
                <w:sz w:val="21"/>
                <w:szCs w:val="21"/>
                <w:highlight w:val="none"/>
                <w:lang w:bidi="ar"/>
              </w:rPr>
            </w:pPr>
            <w:r>
              <w:rPr>
                <w:rFonts w:hint="eastAsia" w:ascii="宋体" w:hAnsi="宋体" w:cs="宋体"/>
                <w:color w:val="auto"/>
                <w:sz w:val="21"/>
                <w:szCs w:val="21"/>
                <w:highlight w:val="none"/>
              </w:rPr>
              <w:t>参数要求同上</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1000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网线</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超五类，国标纯铜</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箱</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支架</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加长1米</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9</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支架</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枪机专用支架</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PVC管</w:t>
            </w:r>
          </w:p>
        </w:tc>
        <w:tc>
          <w:tcPr>
            <w:tcW w:w="2397" w:type="pct"/>
            <w:shd w:val="clear" w:color="auto" w:fill="auto"/>
            <w:vAlign w:val="center"/>
          </w:tcPr>
          <w:p>
            <w:pPr>
              <w:widowControl/>
              <w:numPr>
                <w:ilvl w:val="0"/>
                <w:numId w:val="0"/>
              </w:numPr>
              <w:ind w:leftChars="0"/>
              <w:jc w:val="left"/>
              <w:textAlignment w:val="center"/>
              <w:rPr>
                <w:rFonts w:ascii="宋体" w:hAnsi="宋体" w:cs="宋体"/>
                <w:color w:val="auto"/>
                <w:kern w:val="0"/>
                <w:sz w:val="21"/>
                <w:szCs w:val="21"/>
                <w:highlight w:val="none"/>
                <w:lang w:bidi="ar"/>
              </w:rPr>
            </w:pPr>
            <w:r>
              <w:rPr>
                <w:rFonts w:hint="eastAsia" w:ascii="宋体" w:hAnsi="宋体" w:cs="宋体"/>
                <w:color w:val="auto"/>
                <w:sz w:val="21"/>
                <w:szCs w:val="21"/>
                <w:highlight w:val="none"/>
              </w:rPr>
              <w:t>参数要求同上</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1400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16口千兆POE交换机</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16个10/100/1000Mbps电口（支持POE/POE+）；2个千兆光口；支持EWEB/APP/MACC管理；交换容量：36Gbps。</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16口百光POE交换机</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 xml:space="preserve">16个10/100M电口（PoE/PoE+）；2个千兆光电复用口；整机最大PoE功率240W；13寸桌面级；非网管型PoE交换机；背板带宽：7.2Gbps；包转发率：5.36Mpps。  </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13</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8口百兆POE交换机</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8个10/100Mbps电口（支持POE/POE+）；1个10/100Mbps电口；支持EWEB/APP/MACC管理；交换容量：3.6Gbps；供电功率120W。</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14</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硬盘录像机</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可接驳符合ONVIF、RTSP标准的众多主流厂商网络摄像机；支持H.265高效视频编码码流；支持H.265、H.264IP设备混合接入；支持8路1080P解码，解码性能强劲；最大支持800万像素高清网络视频的预览、存储与回放；支持HDMI与VGA异源输出，HDMI支持4K超高清显示输出，VGA支持高清1080p显示输出；支持8个SATA接口，最大支持满配8T硬盘；支持IP设备集中管理，包括IP设备参数配置、信息的导入/导出和升级等功能；支持最大8/16路同步回放和多路同步倒放支持智能搜索、回放及备份功能，有效提高录像检索与回放效率；支持萤石云服务，可实现手机远程预览回放；支持萤石、Ehome2.0、ISUP以及GB28181协议，轻松实现平台接入。</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17</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硬盘</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≥4TB</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块</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18</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机柜</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600mm*600mm*1600mm</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19</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墙柜</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6U</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电视机</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不低于</w:t>
            </w:r>
            <w:r>
              <w:rPr>
                <w:rFonts w:hint="eastAsia" w:ascii="宋体" w:hAnsi="宋体" w:cs="宋体"/>
                <w:color w:val="auto"/>
                <w:kern w:val="0"/>
                <w:sz w:val="21"/>
                <w:szCs w:val="21"/>
                <w:highlight w:val="none"/>
                <w:lang w:bidi="ar"/>
              </w:rPr>
              <w:t>32英寸 2K IPS直面</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21</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挖沟</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预埋管线</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光纤融接</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融接</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芯</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23</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千兆光纤收发器</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1个1000Mbps RJ45电口；1个1000Mbps SC光口；最大传输距离20KM,非网管型光纤收发器。</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对</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24</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电源板</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6位国标</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25</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跳线</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SC3米</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58</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条</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26</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终端盒</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24口</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27</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终端盒</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8口</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28</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水泥地开槽及恢复</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预埋管线</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32</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777" w:type="pct"/>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29</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布光缆人工</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光缆敷设</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1150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777" w:type="pct"/>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numPr>
                <w:ilvl w:val="0"/>
                <w:numId w:val="0"/>
              </w:numPr>
              <w:ind w:leftChars="0"/>
              <w:jc w:val="left"/>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3、院落信息发布系统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户外高亮智能发布终端</w:t>
            </w:r>
          </w:p>
        </w:tc>
        <w:tc>
          <w:tcPr>
            <w:tcW w:w="2397" w:type="pct"/>
            <w:shd w:val="clear" w:color="auto" w:fill="auto"/>
            <w:vAlign w:val="center"/>
          </w:tcPr>
          <w:p>
            <w:pPr>
              <w:widowControl/>
              <w:numPr>
                <w:ilvl w:val="0"/>
                <w:numId w:val="5"/>
              </w:numPr>
              <w:tabs>
                <w:tab w:val="left" w:pos="0"/>
              </w:tabs>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整机采用高集成模组化设计，标准化电器设计，工作状态一目了然，可实现快速维护。超长使用寿命，7*24小时不间断工作，可达5万小时以上；不少于IP65防水等级，采用全户外金属烤漆，防潮、抗紫外线、抗氧化；采用高亮工业级背光，亮度可达≥1500cd/㎡，加上6MM超白高透防爆钢化玻璃，强光下图像清晰可见；可视面积≥122cm*68cm；采用智慧精准温控系统，既散热节能的同时丝毫不影响显示效果；自动环境光感，高温保护，防雷电，防漏电保护，过压超载及防水防盗等全方位保护；内置工业级主机板可在全球任何有网线网络的地点随时随地的掌控联网代每个月数字标牌；支持大容量SATA硬碟SD卡存储介质以及USB2.0、SSB3.0界面，让您代机器在无网时也能通过U盘高效更新节目。</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套</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信息发布终端盒</w:t>
            </w:r>
          </w:p>
        </w:tc>
        <w:tc>
          <w:tcPr>
            <w:tcW w:w="2397" w:type="pct"/>
            <w:shd w:val="clear" w:color="auto" w:fill="auto"/>
            <w:vAlign w:val="center"/>
          </w:tcPr>
          <w:p>
            <w:pPr>
              <w:widowControl/>
              <w:numPr>
                <w:ilvl w:val="0"/>
                <w:numId w:val="5"/>
              </w:numPr>
              <w:tabs>
                <w:tab w:val="left" w:pos="0"/>
              </w:tabs>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硬件配置：CPU：RK3288 四核A17 1.8GHz或优于此参数；内存：≥2G DDR3 机身≥8GB EMMC （可扩展）；电源：DC12V 2A；接口：HDMI2.0，USB2.0 ,RJ45；支持分辨率：1280*720，1920*1080，3840*2160；</w:t>
            </w:r>
          </w:p>
          <w:p>
            <w:pPr>
              <w:widowControl/>
              <w:numPr>
                <w:ilvl w:val="0"/>
                <w:numId w:val="5"/>
              </w:numPr>
              <w:tabs>
                <w:tab w:val="left" w:pos="0"/>
              </w:tabs>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软件功能：支持多用户下发公示内容；支持内容自动过期、优先级设置；支持多模版选择；支持多级下发，一键推送；支持街办、社区、物业分级管理；支持一键审核发布内容；支持断网播放，联网后自动同步内容；</w:t>
            </w:r>
          </w:p>
          <w:p>
            <w:pPr>
              <w:widowControl/>
              <w:numPr>
                <w:ilvl w:val="0"/>
                <w:numId w:val="5"/>
              </w:numPr>
              <w:tabs>
                <w:tab w:val="left" w:pos="0"/>
              </w:tabs>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b/>
                <w:bCs/>
                <w:color w:val="auto"/>
                <w:kern w:val="0"/>
                <w:sz w:val="21"/>
                <w:szCs w:val="21"/>
                <w:highlight w:val="none"/>
                <w:lang w:bidi="ar"/>
              </w:rPr>
              <w:t>▲</w:t>
            </w:r>
            <w:r>
              <w:rPr>
                <w:rFonts w:hint="eastAsia" w:ascii="宋体" w:hAnsi="宋体" w:cs="宋体"/>
                <w:b/>
                <w:bCs/>
                <w:color w:val="auto"/>
                <w:kern w:val="0"/>
                <w:sz w:val="21"/>
                <w:szCs w:val="21"/>
                <w:highlight w:val="none"/>
                <w:lang w:val="en-US" w:eastAsia="zh-CN" w:bidi="ar"/>
              </w:rPr>
              <w:t>提供制造商信息发布类软件著作权证书复印件</w:t>
            </w:r>
            <w:r>
              <w:rPr>
                <w:rFonts w:hint="eastAsia" w:ascii="宋体" w:hAnsi="宋体" w:cs="宋体"/>
                <w:b/>
                <w:bCs/>
                <w:color w:val="auto"/>
                <w:kern w:val="0"/>
                <w:sz w:val="21"/>
                <w:szCs w:val="21"/>
                <w:highlight w:val="none"/>
                <w:lang w:bidi="ar"/>
              </w:rPr>
              <w:t>。</w:t>
            </w:r>
          </w:p>
          <w:p>
            <w:pPr>
              <w:widowControl/>
              <w:numPr>
                <w:ilvl w:val="0"/>
                <w:numId w:val="5"/>
              </w:numPr>
              <w:tabs>
                <w:tab w:val="left" w:pos="0"/>
              </w:tabs>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b/>
                <w:bCs/>
                <w:color w:val="auto"/>
                <w:kern w:val="0"/>
                <w:sz w:val="21"/>
                <w:szCs w:val="21"/>
                <w:highlight w:val="none"/>
                <w:lang w:bidi="ar"/>
              </w:rPr>
              <w:t>★能从智慧社区综治平台发布信息，供应商需提供承诺函</w:t>
            </w:r>
            <w:r>
              <w:rPr>
                <w:rFonts w:hint="eastAsia" w:ascii="宋体" w:hAnsi="宋体" w:cs="宋体"/>
                <w:color w:val="auto"/>
                <w:kern w:val="0"/>
                <w:sz w:val="21"/>
                <w:szCs w:val="21"/>
                <w:highlight w:val="none"/>
                <w:lang w:bidi="ar"/>
              </w:rPr>
              <w:t>。</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安装布线及辅材</w:t>
            </w:r>
          </w:p>
        </w:tc>
        <w:tc>
          <w:tcPr>
            <w:tcW w:w="2397" w:type="pct"/>
            <w:shd w:val="clear" w:color="auto" w:fill="auto"/>
            <w:vAlign w:val="center"/>
          </w:tcPr>
          <w:p>
            <w:pPr>
              <w:widowControl/>
              <w:numPr>
                <w:ilvl w:val="0"/>
                <w:numId w:val="5"/>
              </w:numPr>
              <w:tabs>
                <w:tab w:val="left" w:pos="0"/>
              </w:tabs>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开地槽、布管埋电缆、挖坑埋地笼、立桩（定制）、路面水泥恢复。</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项</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numPr>
                <w:ilvl w:val="0"/>
                <w:numId w:val="0"/>
              </w:numPr>
              <w:ind w:leftChars="0"/>
              <w:jc w:val="left"/>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4、智慧消防前端检测设备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电瓶车停车场双鉴传感器</w:t>
            </w:r>
          </w:p>
        </w:tc>
        <w:tc>
          <w:tcPr>
            <w:tcW w:w="2397" w:type="pct"/>
            <w:shd w:val="clear" w:color="auto" w:fill="auto"/>
            <w:vAlign w:val="center"/>
          </w:tcPr>
          <w:p>
            <w:pPr>
              <w:widowControl/>
              <w:numPr>
                <w:ilvl w:val="0"/>
                <w:numId w:val="5"/>
              </w:numPr>
              <w:tabs>
                <w:tab w:val="left" w:pos="0"/>
              </w:tabs>
              <w:ind w:left="425" w:leftChars="0" w:hanging="425" w:firstLineChars="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超低功耗设计，电池寿命1年以上；</w:t>
            </w:r>
          </w:p>
          <w:p>
            <w:pPr>
              <w:widowControl/>
              <w:numPr>
                <w:ilvl w:val="0"/>
                <w:numId w:val="5"/>
              </w:numPr>
              <w:tabs>
                <w:tab w:val="left" w:pos="0"/>
              </w:tabs>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b/>
                <w:bCs/>
                <w:color w:val="auto"/>
                <w:kern w:val="0"/>
                <w:sz w:val="21"/>
                <w:szCs w:val="21"/>
                <w:highlight w:val="none"/>
                <w:lang w:bidi="ar"/>
              </w:rPr>
              <w:t>★</w:t>
            </w:r>
            <w:r>
              <w:rPr>
                <w:rFonts w:hint="eastAsia" w:ascii="宋体" w:hAnsi="宋体" w:cs="宋体"/>
                <w:color w:val="auto"/>
                <w:kern w:val="0"/>
                <w:sz w:val="21"/>
                <w:szCs w:val="21"/>
                <w:highlight w:val="none"/>
                <w:lang w:bidi="ar"/>
              </w:rPr>
              <w:t>支持多级推送报警信息（</w:t>
            </w:r>
            <w:r>
              <w:rPr>
                <w:rFonts w:hint="eastAsia" w:ascii="宋体" w:hAnsi="宋体" w:cs="宋体"/>
                <w:b/>
                <w:bCs/>
                <w:color w:val="auto"/>
                <w:kern w:val="0"/>
                <w:sz w:val="21"/>
                <w:szCs w:val="21"/>
                <w:highlight w:val="none"/>
                <w:lang w:bidi="ar"/>
              </w:rPr>
              <w:t>能与智慧社区综治平台联动，供应商需提供承诺函</w:t>
            </w:r>
            <w:r>
              <w:rPr>
                <w:rFonts w:hint="eastAsia" w:ascii="宋体" w:hAnsi="宋体" w:cs="宋体"/>
                <w:color w:val="auto"/>
                <w:kern w:val="0"/>
                <w:sz w:val="21"/>
                <w:szCs w:val="21"/>
                <w:highlight w:val="none"/>
                <w:lang w:bidi="ar"/>
              </w:rPr>
              <w:t>）；</w:t>
            </w:r>
          </w:p>
          <w:p>
            <w:pPr>
              <w:widowControl/>
              <w:numPr>
                <w:ilvl w:val="0"/>
                <w:numId w:val="5"/>
              </w:numPr>
              <w:tabs>
                <w:tab w:val="left" w:pos="0"/>
              </w:tabs>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支持传感器脱网自主报警；电池欠压提醒及上报；支持NB运营商网络接入，含三年物联网数据传输费用。</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套</w:t>
            </w:r>
          </w:p>
        </w:tc>
        <w:tc>
          <w:tcPr>
            <w:tcW w:w="777" w:type="pct"/>
            <w:shd w:val="clear" w:color="auto" w:fill="auto"/>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numPr>
                <w:ilvl w:val="0"/>
                <w:numId w:val="0"/>
              </w:numPr>
              <w:ind w:leftChars="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三、都市花城电瓶车停车场改造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电瓶车停车棚改造</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更换车棚顶为彩钢瓦、加强钢构强度</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420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c>
          <w:tcPr>
            <w:tcW w:w="777" w:type="pct"/>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大院8个车棚（3个10米、5个20米），共260㎡、小院4个车棚（20米）,共160㎡。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6"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74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电瓶车智能充电系统</w:t>
            </w:r>
          </w:p>
        </w:tc>
        <w:tc>
          <w:tcPr>
            <w:tcW w:w="2397" w:type="pct"/>
            <w:shd w:val="clear" w:color="auto" w:fill="auto"/>
            <w:vAlign w:val="center"/>
          </w:tcPr>
          <w:p>
            <w:pPr>
              <w:widowControl/>
              <w:numPr>
                <w:ilvl w:val="0"/>
                <w:numId w:val="5"/>
              </w:numPr>
              <w:ind w:left="425" w:leftChars="0" w:hanging="425" w:firstLineChars="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智能充电主机、充电插座、线路改造等</w:t>
            </w:r>
          </w:p>
        </w:tc>
        <w:tc>
          <w:tcPr>
            <w:tcW w:w="361"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120</w:t>
            </w:r>
          </w:p>
        </w:tc>
        <w:tc>
          <w:tcPr>
            <w:tcW w:w="3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777" w:type="pct"/>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大院8个车棚约70个充电点位、小院4个车棚50个充电点位。</w:t>
            </w:r>
          </w:p>
        </w:tc>
      </w:tr>
    </w:tbl>
    <w:p>
      <w:pPr>
        <w:pStyle w:val="2"/>
        <w:rPr>
          <w:color w:val="auto"/>
          <w:highlight w:val="none"/>
        </w:rPr>
      </w:pPr>
    </w:p>
    <w:p>
      <w:pPr>
        <w:pStyle w:val="8"/>
        <w:snapToGrid w:val="0"/>
        <w:spacing w:line="360" w:lineRule="auto"/>
        <w:ind w:firstLine="0" w:firstLineChars="0"/>
        <w:outlineLvl w:val="1"/>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三、商务要求</w:t>
      </w:r>
    </w:p>
    <w:p>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服务期限：合同签订后</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天内。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2、服务地点：成都市成华区（采购人指定地点）。</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3、质量要求：符合国家及行业相关合格标准。</w:t>
      </w:r>
    </w:p>
    <w:p>
      <w:pPr>
        <w:spacing w:line="360" w:lineRule="auto"/>
        <w:ind w:firstLine="480" w:firstLineChars="200"/>
        <w:jc w:val="left"/>
        <w:rPr>
          <w:color w:val="auto"/>
          <w:highlight w:val="none"/>
        </w:rPr>
      </w:pPr>
      <w:r>
        <w:rPr>
          <w:rFonts w:hint="eastAsia" w:ascii="宋体" w:hAnsi="宋体" w:cs="宋体"/>
          <w:color w:val="auto"/>
          <w:sz w:val="24"/>
          <w:highlight w:val="none"/>
        </w:rPr>
        <w:t>4、付款方式：合同签订后支付合同金额的30%作为预付款，全部系统建设完毕、投入试运行15天正常并验收合格后支付合同价的40%，经第三方审计单位审定后，支付至审定金额的97%，剩余3%在质保期满后无息支付。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5、验收标准：严格按照本项目竞争性磋商文件、成交单位响应文件、《财政部关于进一步加强政府采购需求和履约验收管理的指导意见》（财库〔2016〕205号）、以及国家相关规定进行验收。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6、售后服务要求：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（1）质保期：自验收合格</w:t>
      </w:r>
      <w:r>
        <w:rPr>
          <w:rFonts w:hint="eastAsia" w:ascii="宋体" w:hAnsi="宋体" w:cs="宋体"/>
          <w:color w:val="auto"/>
          <w:sz w:val="24"/>
          <w:highlight w:val="none"/>
          <w:lang w:val="en-US" w:eastAsia="zh-CN"/>
        </w:rPr>
        <w:t>后两</w:t>
      </w:r>
      <w:r>
        <w:rPr>
          <w:rFonts w:hint="eastAsia" w:ascii="宋体" w:hAnsi="宋体" w:cs="宋体"/>
          <w:color w:val="auto"/>
          <w:sz w:val="24"/>
          <w:highlight w:val="none"/>
        </w:rPr>
        <w:t>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保期内出现质量问题，供应商在接到通知后2小时内响应，8小时内到场，24小时内完成维修或更换，并承担修理调换的费用；如货物经乙方维修叁次仍不能达到约定的质量标准，采购人有权退货并追究供应商的违约责任。</w:t>
      </w:r>
    </w:p>
    <w:p>
      <w:pPr>
        <w:autoSpaceDE w:val="0"/>
        <w:autoSpaceDN w:val="0"/>
        <w:spacing w:line="360" w:lineRule="auto"/>
        <w:ind w:firstLine="482" w:firstLineChars="200"/>
        <w:jc w:val="left"/>
        <w:rPr>
          <w:rFonts w:hint="eastAsia" w:ascii="宋体" w:hAnsi="宋体" w:cs="宋体"/>
          <w:b/>
          <w:bCs/>
          <w:color w:val="auto"/>
          <w:sz w:val="24"/>
          <w:highlight w:val="none"/>
        </w:rPr>
      </w:pPr>
    </w:p>
    <w:p>
      <w:pPr>
        <w:autoSpaceDE w:val="0"/>
        <w:autoSpaceDN w:val="0"/>
        <w:spacing w:line="360" w:lineRule="auto"/>
        <w:ind w:firstLine="482" w:firstLineChars="200"/>
        <w:jc w:val="left"/>
        <w:rPr>
          <w:color w:val="auto"/>
          <w:highlight w:val="none"/>
        </w:rPr>
      </w:pPr>
      <w:r>
        <w:rPr>
          <w:rFonts w:hint="eastAsia" w:ascii="宋体" w:hAnsi="宋体" w:cs="宋体"/>
          <w:b/>
          <w:bCs/>
          <w:color w:val="auto"/>
          <w:sz w:val="24"/>
          <w:highlight w:val="none"/>
        </w:rPr>
        <w:t>注意：本章带“★”号条款为实质性要求，供应商若未满足的，将被视为无效响应。</w:t>
      </w:r>
      <w:r>
        <w:rPr>
          <w:color w:val="auto"/>
          <w:highlight w:val="none"/>
        </w:rPr>
        <w:br w:type="page"/>
      </w:r>
    </w:p>
    <w:p>
      <w:pPr>
        <w:pStyle w:val="4"/>
        <w:numPr>
          <w:ilvl w:val="0"/>
          <w:numId w:val="6"/>
        </w:numPr>
        <w:spacing w:before="0" w:after="0" w:line="360" w:lineRule="auto"/>
        <w:jc w:val="center"/>
        <w:rPr>
          <w:color w:val="auto"/>
          <w:highlight w:val="none"/>
        </w:rPr>
      </w:pPr>
      <w:bookmarkStart w:id="122" w:name="_Toc11441"/>
      <w:bookmarkStart w:id="123" w:name="_Toc23248_WPSOffice_Level1"/>
      <w:bookmarkStart w:id="124" w:name="_Toc19570_WPSOffice_Level1"/>
      <w:r>
        <w:rPr>
          <w:rFonts w:hint="eastAsia"/>
          <w:color w:val="auto"/>
          <w:highlight w:val="none"/>
        </w:rPr>
        <w:t xml:space="preserve"> 磋商内容、磋商过程中可实质性变动的内容</w:t>
      </w:r>
      <w:bookmarkEnd w:id="122"/>
    </w:p>
    <w:p>
      <w:pPr>
        <w:spacing w:line="360" w:lineRule="auto"/>
        <w:ind w:firstLine="480" w:firstLineChars="200"/>
        <w:rPr>
          <w:color w:val="auto"/>
          <w:highlight w:val="none"/>
        </w:rPr>
      </w:pPr>
      <w:r>
        <w:rPr>
          <w:rFonts w:hint="eastAsia"/>
          <w:color w:val="auto"/>
          <w:sz w:val="24"/>
          <w:szCs w:val="32"/>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宋体" w:cs="宋体"/>
          <w:color w:val="auto"/>
          <w:highlight w:val="none"/>
        </w:rPr>
        <w:br w:type="page"/>
      </w:r>
      <w:bookmarkEnd w:id="123"/>
      <w:bookmarkEnd w:id="124"/>
    </w:p>
    <w:p>
      <w:pPr>
        <w:pStyle w:val="4"/>
        <w:numPr>
          <w:ilvl w:val="0"/>
          <w:numId w:val="6"/>
        </w:numPr>
        <w:spacing w:before="0" w:after="0" w:line="360" w:lineRule="auto"/>
        <w:jc w:val="center"/>
        <w:rPr>
          <w:color w:val="auto"/>
          <w:highlight w:val="none"/>
        </w:rPr>
      </w:pPr>
      <w:bookmarkStart w:id="125" w:name="_Toc18082"/>
      <w:r>
        <w:rPr>
          <w:rFonts w:hint="eastAsia"/>
          <w:color w:val="auto"/>
          <w:highlight w:val="none"/>
        </w:rPr>
        <w:t xml:space="preserve"> 响应文件格式</w:t>
      </w:r>
      <w:bookmarkEnd w:id="125"/>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color w:val="auto"/>
          <w:sz w:val="24"/>
          <w:highlight w:val="none"/>
        </w:rPr>
      </w:pPr>
      <w:r>
        <w:rPr>
          <w:rFonts w:hint="eastAsia"/>
          <w:color w:val="auto"/>
          <w:sz w:val="24"/>
          <w:highlight w:val="none"/>
        </w:rPr>
        <w:t>（二）本章所制响应文件格式有关表格中的备注栏，由供应商根据自身响应情况作解释性说明，不作为必填项。</w:t>
      </w:r>
    </w:p>
    <w:p>
      <w:pPr>
        <w:numPr>
          <w:ilvl w:val="0"/>
          <w:numId w:val="7"/>
        </w:numPr>
        <w:spacing w:line="360" w:lineRule="auto"/>
        <w:rPr>
          <w:color w:val="auto"/>
          <w:sz w:val="24"/>
          <w:highlight w:val="none"/>
        </w:rPr>
      </w:pPr>
      <w:r>
        <w:rPr>
          <w:rFonts w:hint="eastAsia"/>
          <w:color w:val="auto"/>
          <w:sz w:val="24"/>
          <w:highlight w:val="none"/>
        </w:rPr>
        <w:t>本章所制响应文件格式中需要填写的相关内容事项，可能会与本采购项目无关，在不改变响应文件原义、不影响本项目采购需求的情况下，供应商可以不予填写。</w:t>
      </w:r>
    </w:p>
    <w:p>
      <w:pPr>
        <w:pStyle w:val="2"/>
        <w:numPr>
          <w:ilvl w:val="0"/>
          <w:numId w:val="7"/>
        </w:numPr>
        <w:spacing w:line="360" w:lineRule="auto"/>
        <w:rPr>
          <w:rFonts w:ascii="Times New Roman" w:eastAsia="宋体"/>
          <w:color w:val="auto"/>
          <w:sz w:val="24"/>
          <w:szCs w:val="24"/>
          <w:highlight w:val="none"/>
        </w:rPr>
      </w:pPr>
      <w:r>
        <w:rPr>
          <w:rFonts w:hint="eastAsia" w:ascii="Times New Roman" w:eastAsia="宋体"/>
          <w:color w:val="auto"/>
          <w:sz w:val="24"/>
          <w:szCs w:val="24"/>
          <w:highlight w:val="none"/>
        </w:rPr>
        <w:t>本章所制响应文件格式中“注”的部分，供应商在编制响应文件时可以删除，也可以保留。</w:t>
      </w:r>
    </w:p>
    <w:p>
      <w:pPr>
        <w:pStyle w:val="2"/>
        <w:numPr>
          <w:ilvl w:val="0"/>
          <w:numId w:val="7"/>
        </w:numPr>
        <w:spacing w:line="360" w:lineRule="auto"/>
        <w:rPr>
          <w:rFonts w:ascii="Times New Roman" w:eastAsia="宋体"/>
          <w:color w:val="auto"/>
          <w:sz w:val="24"/>
          <w:szCs w:val="24"/>
          <w:highlight w:val="none"/>
        </w:rPr>
      </w:pPr>
      <w:r>
        <w:rPr>
          <w:rFonts w:hint="eastAsia" w:ascii="Times New Roman" w:eastAsia="宋体"/>
          <w:color w:val="auto"/>
          <w:sz w:val="24"/>
          <w:szCs w:val="24"/>
          <w:highlight w:val="none"/>
        </w:rPr>
        <w:t>本章所制响应文件格式中涉及“法定代表人”的描述，在非法人机构参与磋商情况下可修改为“负责人”，在自然人参与磋商情况下可修改为“本人”。</w:t>
      </w:r>
    </w:p>
    <w:p>
      <w:pPr>
        <w:pStyle w:val="2"/>
        <w:numPr>
          <w:ilvl w:val="0"/>
          <w:numId w:val="7"/>
        </w:numPr>
        <w:spacing w:line="360" w:lineRule="auto"/>
        <w:rPr>
          <w:rFonts w:ascii="Times New Roman" w:eastAsia="宋体"/>
          <w:color w:val="auto"/>
          <w:sz w:val="24"/>
          <w:szCs w:val="24"/>
          <w:highlight w:val="none"/>
        </w:rPr>
      </w:pPr>
      <w:r>
        <w:rPr>
          <w:rFonts w:hint="eastAsia" w:ascii="Times New Roman" w:eastAsia="宋体"/>
          <w:color w:val="auto"/>
          <w:sz w:val="24"/>
          <w:szCs w:val="24"/>
          <w:highlight w:val="none"/>
        </w:rPr>
        <w:t>本章所制响应文件格式中涉及加盖供应商公章的地方，在自然人参与磋商情况下可删除，仅由自然人本人或其响应代表签字即可。</w:t>
      </w:r>
    </w:p>
    <w:p>
      <w:pPr>
        <w:pStyle w:val="2"/>
        <w:spacing w:line="360" w:lineRule="auto"/>
        <w:rPr>
          <w:rFonts w:ascii="宋体" w:hAnsi="宋体" w:eastAsia="宋体"/>
          <w:color w:val="auto"/>
          <w:highlight w:val="none"/>
        </w:rPr>
      </w:pPr>
      <w:r>
        <w:rPr>
          <w:color w:val="auto"/>
          <w:highlight w:val="none"/>
        </w:rPr>
        <w:br w:type="page"/>
      </w:r>
      <w:bookmarkStart w:id="126" w:name="_Toc14906_WPSOffice_Level2"/>
      <w:bookmarkStart w:id="127" w:name="_Toc15373_WPSOffice_Level2"/>
      <w:r>
        <w:rPr>
          <w:rFonts w:hint="eastAsia" w:ascii="宋体" w:hAnsi="宋体" w:eastAsia="宋体"/>
          <w:color w:val="auto"/>
          <w:highlight w:val="none"/>
        </w:rPr>
        <w:t>（封面格式）</w:t>
      </w:r>
      <w:bookmarkEnd w:id="126"/>
      <w:bookmarkEnd w:id="127"/>
    </w:p>
    <w:p>
      <w:pPr>
        <w:autoSpaceDE w:val="0"/>
        <w:autoSpaceDN w:val="0"/>
        <w:adjustRightInd w:val="0"/>
        <w:spacing w:line="360" w:lineRule="auto"/>
        <w:ind w:firstLine="1680" w:firstLineChars="200"/>
        <w:jc w:val="center"/>
        <w:rPr>
          <w:rFonts w:ascii="宋体" w:hAnsi="宋体"/>
          <w:color w:val="auto"/>
          <w:sz w:val="84"/>
          <w:szCs w:val="84"/>
          <w:highlight w:val="none"/>
        </w:rPr>
      </w:pPr>
    </w:p>
    <w:p>
      <w:pPr>
        <w:autoSpaceDE w:val="0"/>
        <w:autoSpaceDN w:val="0"/>
        <w:adjustRightInd w:val="0"/>
        <w:spacing w:line="360" w:lineRule="auto"/>
        <w:ind w:firstLine="1680" w:firstLineChars="200"/>
        <w:jc w:val="center"/>
        <w:rPr>
          <w:rFonts w:ascii="宋体" w:hAnsi="宋体"/>
          <w:color w:val="auto"/>
          <w:sz w:val="84"/>
          <w:szCs w:val="84"/>
          <w:highlight w:val="none"/>
        </w:rPr>
      </w:pPr>
    </w:p>
    <w:p>
      <w:pPr>
        <w:autoSpaceDE w:val="0"/>
        <w:autoSpaceDN w:val="0"/>
        <w:adjustRightInd w:val="0"/>
        <w:spacing w:line="360" w:lineRule="auto"/>
        <w:jc w:val="center"/>
        <w:rPr>
          <w:rFonts w:ascii="宋体" w:hAnsi="宋体"/>
          <w:color w:val="auto"/>
          <w:sz w:val="84"/>
          <w:szCs w:val="84"/>
          <w:highlight w:val="none"/>
        </w:rPr>
      </w:pPr>
      <w:bookmarkStart w:id="128" w:name="_Toc2971_WPSOffice_Level2"/>
      <w:bookmarkStart w:id="129" w:name="_Toc7834_WPSOffice_Level2"/>
      <w:r>
        <w:rPr>
          <w:rFonts w:hint="eastAsia" w:ascii="宋体" w:hAnsi="宋体"/>
          <w:color w:val="auto"/>
          <w:sz w:val="84"/>
          <w:szCs w:val="84"/>
          <w:highlight w:val="none"/>
        </w:rPr>
        <w:t>资格性</w:t>
      </w:r>
      <w:r>
        <w:rPr>
          <w:rFonts w:hint="eastAsia" w:hAnsi="宋体"/>
          <w:color w:val="auto"/>
          <w:sz w:val="84"/>
          <w:szCs w:val="84"/>
          <w:highlight w:val="none"/>
        </w:rPr>
        <w:t>响应文件</w:t>
      </w:r>
      <w:bookmarkEnd w:id="128"/>
      <w:bookmarkEnd w:id="129"/>
    </w:p>
    <w:p>
      <w:pPr>
        <w:autoSpaceDE w:val="0"/>
        <w:autoSpaceDN w:val="0"/>
        <w:adjustRightInd w:val="0"/>
        <w:spacing w:line="360" w:lineRule="auto"/>
        <w:ind w:firstLine="880" w:firstLineChars="200"/>
        <w:jc w:val="center"/>
        <w:rPr>
          <w:rFonts w:ascii="宋体" w:hAnsi="宋体"/>
          <w:color w:val="auto"/>
          <w:sz w:val="44"/>
          <w:highlight w:val="none"/>
        </w:rPr>
      </w:pPr>
    </w:p>
    <w:p>
      <w:pPr>
        <w:autoSpaceDE w:val="0"/>
        <w:autoSpaceDN w:val="0"/>
        <w:adjustRightInd w:val="0"/>
        <w:spacing w:line="360" w:lineRule="auto"/>
        <w:jc w:val="center"/>
        <w:rPr>
          <w:rFonts w:ascii="宋体" w:hAnsi="宋体"/>
          <w:color w:val="auto"/>
          <w:sz w:val="44"/>
          <w:highlight w:val="none"/>
        </w:rPr>
      </w:pPr>
      <w:bookmarkStart w:id="130" w:name="_Toc15121_WPSOffice_Level2"/>
      <w:bookmarkStart w:id="131" w:name="_Toc17870_WPSOffice_Level2"/>
      <w:r>
        <w:rPr>
          <w:rFonts w:hint="eastAsia" w:ascii="宋体" w:hAnsi="宋体"/>
          <w:color w:val="auto"/>
          <w:sz w:val="44"/>
          <w:highlight w:val="none"/>
        </w:rPr>
        <w:t>（正本/副本）</w:t>
      </w:r>
      <w:bookmarkEnd w:id="130"/>
      <w:bookmarkEnd w:id="131"/>
    </w:p>
    <w:p>
      <w:pPr>
        <w:pStyle w:val="2"/>
        <w:spacing w:line="360" w:lineRule="auto"/>
        <w:rPr>
          <w:rFonts w:ascii="宋体" w:hAnsi="宋体"/>
          <w:color w:val="auto"/>
          <w:sz w:val="44"/>
          <w:highlight w:val="none"/>
        </w:rPr>
      </w:pPr>
    </w:p>
    <w:p>
      <w:pPr>
        <w:pStyle w:val="2"/>
        <w:spacing w:line="360" w:lineRule="auto"/>
        <w:rPr>
          <w:rFonts w:ascii="宋体" w:hAnsi="宋体"/>
          <w:color w:val="auto"/>
          <w:sz w:val="44"/>
          <w:highlight w:val="none"/>
        </w:rPr>
      </w:pPr>
    </w:p>
    <w:p>
      <w:pPr>
        <w:pStyle w:val="2"/>
        <w:spacing w:line="360" w:lineRule="auto"/>
        <w:rPr>
          <w:rFonts w:ascii="宋体" w:hAnsi="宋体"/>
          <w:color w:val="auto"/>
          <w:sz w:val="44"/>
          <w:highlight w:val="none"/>
        </w:rPr>
      </w:pP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项目编号：</w:t>
      </w:r>
      <w:r>
        <w:rPr>
          <w:rFonts w:hint="eastAsia" w:ascii="宋体" w:hAnsi="宋体"/>
          <w:color w:val="auto"/>
          <w:sz w:val="32"/>
          <w:szCs w:val="32"/>
          <w:highlight w:val="none"/>
          <w:u w:val="single"/>
        </w:rPr>
        <w:t xml:space="preserve">                     </w:t>
      </w: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u w:val="single"/>
        </w:rPr>
      </w:pPr>
      <w:r>
        <w:rPr>
          <w:rFonts w:hint="eastAsia" w:ascii="宋体" w:hAnsi="宋体"/>
          <w:color w:val="auto"/>
          <w:sz w:val="32"/>
          <w:szCs w:val="32"/>
          <w:highlight w:val="none"/>
        </w:rPr>
        <w:t>项目名称：</w:t>
      </w:r>
      <w:r>
        <w:rPr>
          <w:rFonts w:hint="eastAsia" w:ascii="宋体" w:hAnsi="宋体"/>
          <w:color w:val="auto"/>
          <w:sz w:val="32"/>
          <w:szCs w:val="32"/>
          <w:highlight w:val="none"/>
          <w:u w:val="single"/>
        </w:rPr>
        <w:t xml:space="preserve">                     </w:t>
      </w: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u w:val="single"/>
        </w:rPr>
      </w:pP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rPr>
      </w:pP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供 应 商：</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（公章）</w:t>
      </w: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日    期：</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日</w:t>
      </w:r>
    </w:p>
    <w:p>
      <w:pPr>
        <w:spacing w:line="360" w:lineRule="auto"/>
        <w:jc w:val="center"/>
        <w:rPr>
          <w:b/>
          <w:bCs/>
          <w:color w:val="auto"/>
          <w:sz w:val="28"/>
          <w:szCs w:val="36"/>
          <w:highlight w:val="none"/>
        </w:rPr>
      </w:pPr>
      <w:r>
        <w:rPr>
          <w:color w:val="auto"/>
          <w:highlight w:val="none"/>
        </w:rPr>
        <w:br w:type="page"/>
      </w:r>
      <w:r>
        <w:rPr>
          <w:rFonts w:hint="eastAsia"/>
          <w:b/>
          <w:bCs/>
          <w:color w:val="auto"/>
          <w:sz w:val="28"/>
          <w:szCs w:val="36"/>
          <w:highlight w:val="none"/>
        </w:rPr>
        <w:t>目录（自拟）</w:t>
      </w:r>
    </w:p>
    <w:p>
      <w:pPr>
        <w:pStyle w:val="5"/>
        <w:spacing w:before="0" w:after="0" w:line="360" w:lineRule="auto"/>
        <w:jc w:val="center"/>
        <w:rPr>
          <w:color w:val="auto"/>
          <w:highlight w:val="none"/>
        </w:rPr>
      </w:pPr>
      <w:r>
        <w:rPr>
          <w:color w:val="auto"/>
          <w:highlight w:val="none"/>
        </w:rPr>
        <w:br w:type="page"/>
      </w:r>
      <w:bookmarkStart w:id="132" w:name="_Toc27332_WPSOffice_Level2"/>
      <w:bookmarkStart w:id="133" w:name="_Toc4892_WPSOffice_Level2"/>
      <w:r>
        <w:rPr>
          <w:rFonts w:hint="eastAsia"/>
          <w:color w:val="auto"/>
          <w:highlight w:val="none"/>
        </w:rPr>
        <w:t>一、法定代表人授权书</w:t>
      </w:r>
    </w:p>
    <w:p>
      <w:pPr>
        <w:spacing w:line="360" w:lineRule="auto"/>
        <w:rPr>
          <w:rFonts w:ascii="宋体" w:hAnsi="宋体"/>
          <w:color w:val="auto"/>
          <w:sz w:val="24"/>
          <w:highlight w:val="none"/>
        </w:rPr>
      </w:pPr>
      <w:r>
        <w:rPr>
          <w:rFonts w:hint="eastAsia" w:ascii="宋体" w:hAnsi="宋体"/>
          <w:color w:val="auto"/>
          <w:sz w:val="24"/>
          <w:highlight w:val="none"/>
          <w:u w:val="single"/>
        </w:rPr>
        <w:t>力达通项目管理咨询有限公司</w:t>
      </w:r>
      <w:r>
        <w:rPr>
          <w:rFonts w:hint="eastAsia" w:ascii="宋体" w:hAnsi="宋体"/>
          <w:color w:val="auto"/>
          <w:sz w:val="24"/>
          <w:highlight w:val="none"/>
        </w:rPr>
        <w:t>（采购代理机构名称）：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本授权声明：</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hAnsi="宋体"/>
          <w:color w:val="auto"/>
          <w:sz w:val="24"/>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（法定代表人姓名、职务）授权</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（被授权人姓名、职务）为我方 “ </w:t>
      </w:r>
      <w:r>
        <w:rPr>
          <w:rFonts w:hint="eastAsia" w:ascii="宋体" w:hAnsi="宋体"/>
          <w:color w:val="auto"/>
          <w:sz w:val="24"/>
          <w:highlight w:val="none"/>
          <w:u w:val="single"/>
        </w:rPr>
        <w:t xml:space="preserve">             </w:t>
      </w:r>
      <w:r>
        <w:rPr>
          <w:rFonts w:hint="eastAsia" w:ascii="宋体" w:hAnsi="宋体"/>
          <w:color w:val="auto"/>
          <w:sz w:val="24"/>
          <w:highlight w:val="none"/>
        </w:rPr>
        <w:t>” 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）磋商采购活动的合法代表，全权处理该项目有关磋商采购、签订合同以及执行合同等一切事宜。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特此声明。</w:t>
      </w:r>
    </w:p>
    <w:p>
      <w:pPr>
        <w:spacing w:line="360" w:lineRule="auto"/>
        <w:ind w:firstLine="480" w:firstLineChars="200"/>
        <w:rPr>
          <w:rFonts w:ascii="宋体" w:hAnsi="宋体"/>
          <w:bCs/>
          <w:color w:val="auto"/>
          <w:sz w:val="24"/>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附：（1）法定代表人有效身份证明材料正反面复印件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（2）授权代表有效身份证明材料正反面复印件</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pStyle w:val="2"/>
        <w:spacing w:line="360" w:lineRule="auto"/>
        <w:rPr>
          <w:rFonts w:ascii="宋体" w:hAnsi="宋体"/>
          <w:color w:val="auto"/>
          <w:sz w:val="24"/>
          <w:highlight w:val="none"/>
        </w:rPr>
      </w:pPr>
    </w:p>
    <w:p>
      <w:pPr>
        <w:pStyle w:val="2"/>
        <w:spacing w:line="360" w:lineRule="auto"/>
        <w:rPr>
          <w:rFonts w:ascii="宋体" w:hAnsi="宋体"/>
          <w:color w:val="auto"/>
          <w:sz w:val="24"/>
          <w:highlight w:val="none"/>
        </w:rPr>
      </w:pPr>
    </w:p>
    <w:p>
      <w:pPr>
        <w:pStyle w:val="2"/>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w:t>
      </w:r>
      <w:r>
        <w:rPr>
          <w:rFonts w:hint="eastAsia" w:asciiTheme="minorEastAsia" w:hAnsiTheme="minorEastAsia" w:eastAsiaTheme="minorEastAsia"/>
          <w:color w:val="auto"/>
          <w:sz w:val="24"/>
          <w:highlight w:val="none"/>
        </w:rPr>
        <w:t>（签字或加盖个人名章）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授权代表</w:t>
      </w:r>
      <w:r>
        <w:rPr>
          <w:rFonts w:hint="eastAsia" w:asciiTheme="minorEastAsia" w:hAnsiTheme="minorEastAsia" w:eastAsiaTheme="minorEastAsia"/>
          <w:color w:val="auto"/>
          <w:sz w:val="24"/>
          <w:highlight w:val="none"/>
        </w:rPr>
        <w:t>（签字或加盖个人名章）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hAnsi="宋体"/>
          <w:color w:val="auto"/>
          <w:sz w:val="24"/>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color w:val="auto"/>
          <w:highlight w:val="none"/>
        </w:rPr>
      </w:pPr>
    </w:p>
    <w:p>
      <w:pPr>
        <w:spacing w:line="360" w:lineRule="auto"/>
        <w:rPr>
          <w:b/>
          <w:color w:val="auto"/>
          <w:sz w:val="24"/>
          <w:highlight w:val="none"/>
        </w:rPr>
      </w:pPr>
      <w:r>
        <w:rPr>
          <w:rFonts w:hint="eastAsia" w:ascii="宋体" w:hAnsi="宋体" w:cs="宋体"/>
          <w:color w:val="auto"/>
          <w:sz w:val="24"/>
          <w:highlight w:val="none"/>
        </w:rPr>
        <w:t>注：</w:t>
      </w:r>
      <w:r>
        <w:rPr>
          <w:rFonts w:hint="eastAsia" w:ascii="宋体" w:hAnsi="宋体" w:cs="宋体"/>
          <w:b/>
          <w:bCs/>
          <w:color w:val="auto"/>
          <w:sz w:val="24"/>
          <w:highlight w:val="none"/>
        </w:rPr>
        <w:t>1、</w:t>
      </w:r>
      <w:r>
        <w:rPr>
          <w:b/>
          <w:color w:val="auto"/>
          <w:sz w:val="24"/>
          <w:highlight w:val="none"/>
        </w:rPr>
        <w:t>法定代表人不亲自参加磋商，而授权代表参加磋商的适用。</w:t>
      </w:r>
    </w:p>
    <w:p>
      <w:pPr>
        <w:pStyle w:val="7"/>
        <w:spacing w:line="360" w:lineRule="auto"/>
        <w:ind w:firstLine="482" w:firstLineChars="200"/>
        <w:rPr>
          <w:rFonts w:cs="宋体"/>
          <w:color w:val="auto"/>
          <w:sz w:val="24"/>
          <w:szCs w:val="24"/>
          <w:highlight w:val="none"/>
        </w:rPr>
      </w:pPr>
      <w:r>
        <w:rPr>
          <w:rFonts w:hint="eastAsia" w:cs="宋体"/>
          <w:b/>
          <w:color w:val="auto"/>
          <w:sz w:val="24"/>
          <w:szCs w:val="24"/>
          <w:highlight w:val="none"/>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ascii="黑体"/>
          <w:color w:val="auto"/>
          <w:highlight w:val="none"/>
        </w:rPr>
      </w:pPr>
      <w:r>
        <w:rPr>
          <w:rFonts w:hint="eastAsia" w:ascii="宋体" w:hAnsi="宋体" w:cs="宋体"/>
          <w:b/>
          <w:color w:val="auto"/>
          <w:sz w:val="24"/>
          <w:highlight w:val="none"/>
        </w:rPr>
        <w:t>3、身份证明材料包括居民身份证或户口本或军官证或护照等。</w:t>
      </w:r>
      <w:r>
        <w:rPr>
          <w:color w:val="auto"/>
          <w:sz w:val="24"/>
          <w:highlight w:val="none"/>
        </w:rPr>
        <w:br w:type="page"/>
      </w:r>
      <w:bookmarkEnd w:id="132"/>
      <w:bookmarkEnd w:id="133"/>
    </w:p>
    <w:p>
      <w:pPr>
        <w:pStyle w:val="5"/>
        <w:spacing w:before="0" w:after="0" w:line="360" w:lineRule="auto"/>
        <w:jc w:val="center"/>
        <w:rPr>
          <w:color w:val="auto"/>
          <w:highlight w:val="none"/>
        </w:rPr>
      </w:pPr>
      <w:r>
        <w:rPr>
          <w:rFonts w:hint="eastAsia"/>
          <w:color w:val="auto"/>
          <w:highlight w:val="none"/>
        </w:rPr>
        <w:t>一、法定代表人证明书</w:t>
      </w:r>
    </w:p>
    <w:p>
      <w:pPr>
        <w:pStyle w:val="2"/>
        <w:tabs>
          <w:tab w:val="left" w:pos="1519"/>
          <w:tab w:val="left" w:pos="5419"/>
        </w:tabs>
        <w:spacing w:before="241" w:line="360" w:lineRule="auto"/>
        <w:ind w:left="800" w:right="4964"/>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5419"/>
        </w:tabs>
        <w:spacing w:before="241" w:line="360" w:lineRule="auto"/>
        <w:ind w:left="800" w:right="496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3079"/>
          <w:tab w:val="left" w:pos="4399"/>
          <w:tab w:val="left" w:pos="5719"/>
          <w:tab w:val="left" w:pos="7939"/>
        </w:tabs>
        <w:spacing w:before="1" w:line="360" w:lineRule="auto"/>
        <w:ind w:left="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3295"/>
          <w:tab w:val="left" w:pos="4759"/>
          <w:tab w:val="left" w:pos="6871"/>
        </w:tabs>
        <w:spacing w:before="132" w:line="360" w:lineRule="auto"/>
        <w:ind w:left="320" w:right="317"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(供应商名称)的法定代表人/单位负责人。就参加</w:t>
      </w:r>
      <w:r>
        <w:rPr>
          <w:rFonts w:hint="eastAsia" w:ascii="宋体" w:hAnsi="宋体" w:eastAsia="宋体" w:cs="宋体"/>
          <w:color w:val="auto"/>
          <w:spacing w:val="-16"/>
          <w:sz w:val="24"/>
          <w:szCs w:val="24"/>
          <w:highlight w:val="none"/>
        </w:rPr>
        <w:t>你</w:t>
      </w:r>
      <w:r>
        <w:rPr>
          <w:rFonts w:hint="eastAsia" w:ascii="宋体" w:hAnsi="宋体" w:eastAsia="宋体" w:cs="宋体"/>
          <w:color w:val="auto"/>
          <w:sz w:val="24"/>
          <w:szCs w:val="24"/>
          <w:highlight w:val="none"/>
        </w:rPr>
        <w:t>单位组织</w:t>
      </w:r>
      <w:r>
        <w:rPr>
          <w:rFonts w:hint="eastAsia" w:ascii="宋体" w:hAnsi="宋体" w:eastAsia="宋体" w:cs="宋体"/>
          <w:color w:val="auto"/>
          <w:spacing w:val="-24"/>
          <w:sz w:val="24"/>
          <w:szCs w:val="24"/>
          <w:highlight w:val="none"/>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4"/>
          <w:sz w:val="24"/>
          <w:szCs w:val="24"/>
          <w:highlight w:val="none"/>
          <w:u w:val="single"/>
        </w:rPr>
        <w:tab/>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的政府采购活动</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合同签</w:t>
      </w:r>
      <w:r>
        <w:rPr>
          <w:rFonts w:hint="eastAsia" w:ascii="宋体" w:hAnsi="宋体" w:eastAsia="宋体" w:cs="宋体"/>
          <w:color w:val="auto"/>
          <w:spacing w:val="-16"/>
          <w:sz w:val="24"/>
          <w:szCs w:val="24"/>
          <w:highlight w:val="none"/>
        </w:rPr>
        <w:t>订</w:t>
      </w:r>
      <w:r>
        <w:rPr>
          <w:rFonts w:hint="eastAsia" w:ascii="宋体" w:hAnsi="宋体" w:eastAsia="宋体" w:cs="宋体"/>
          <w:color w:val="auto"/>
          <w:sz w:val="24"/>
          <w:szCs w:val="24"/>
          <w:highlight w:val="none"/>
        </w:rPr>
        <w:t>以及合同履约等一切事宜，我单位均予承认，所产生的法律后果均由我单位承担。</w:t>
      </w:r>
    </w:p>
    <w:p>
      <w:pPr>
        <w:pStyle w:val="2"/>
        <w:spacing w:before="1" w:line="360" w:lineRule="auto"/>
        <w:ind w:left="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附：（1）法定代表人有效身份证明材料正反面复印件</w:t>
      </w:r>
    </w:p>
    <w:p>
      <w:pPr>
        <w:spacing w:line="360" w:lineRule="auto"/>
        <w:ind w:firstLine="480" w:firstLineChars="200"/>
        <w:rPr>
          <w:rFonts w:ascii="宋体" w:hAnsi="宋体"/>
          <w:color w:val="auto"/>
          <w:sz w:val="24"/>
          <w:highlight w:val="none"/>
        </w:rPr>
      </w:pPr>
    </w:p>
    <w:p>
      <w:pPr>
        <w:pStyle w:val="2"/>
        <w:spacing w:line="360" w:lineRule="auto"/>
        <w:rPr>
          <w:rFonts w:ascii="宋体" w:hAnsi="宋体"/>
          <w:color w:val="auto"/>
          <w:sz w:val="24"/>
          <w:highlight w:val="none"/>
        </w:rPr>
      </w:pPr>
    </w:p>
    <w:p>
      <w:pPr>
        <w:pStyle w:val="2"/>
        <w:spacing w:line="360" w:lineRule="auto"/>
        <w:rPr>
          <w:rFonts w:ascii="宋体" w:hAnsi="宋体"/>
          <w:color w:val="auto"/>
          <w:sz w:val="24"/>
          <w:highlight w:val="none"/>
        </w:rPr>
      </w:pPr>
    </w:p>
    <w:p>
      <w:pPr>
        <w:pStyle w:val="2"/>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w:t>
      </w:r>
      <w:r>
        <w:rPr>
          <w:rFonts w:hint="eastAsia" w:asciiTheme="minorEastAsia" w:hAnsiTheme="minorEastAsia" w:eastAsiaTheme="minorEastAsia"/>
          <w:color w:val="auto"/>
          <w:sz w:val="24"/>
          <w:highlight w:val="none"/>
        </w:rPr>
        <w:t>（签字或加盖个人名章）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hAnsi="宋体"/>
          <w:color w:val="auto"/>
          <w:sz w:val="24"/>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color w:val="auto"/>
          <w:highlight w:val="none"/>
        </w:rPr>
      </w:pPr>
    </w:p>
    <w:p>
      <w:pPr>
        <w:spacing w:line="360" w:lineRule="auto"/>
        <w:rPr>
          <w:b/>
          <w:color w:val="auto"/>
          <w:sz w:val="24"/>
          <w:highlight w:val="none"/>
        </w:rPr>
      </w:pPr>
      <w:r>
        <w:rPr>
          <w:rFonts w:hint="eastAsia" w:ascii="宋体" w:hAnsi="宋体" w:cs="宋体"/>
          <w:color w:val="auto"/>
          <w:sz w:val="24"/>
          <w:highlight w:val="none"/>
        </w:rPr>
        <w:t>注：</w:t>
      </w:r>
      <w:r>
        <w:rPr>
          <w:rFonts w:hint="eastAsia" w:ascii="宋体" w:hAnsi="宋体" w:cs="宋体"/>
          <w:b/>
          <w:bCs/>
          <w:color w:val="auto"/>
          <w:sz w:val="24"/>
          <w:highlight w:val="none"/>
        </w:rPr>
        <w:t>1、</w:t>
      </w:r>
      <w:r>
        <w:rPr>
          <w:b/>
          <w:color w:val="auto"/>
          <w:sz w:val="24"/>
          <w:highlight w:val="none"/>
        </w:rPr>
        <w:t>法定代表人亲自参加磋商时适用本证明书。</w:t>
      </w:r>
    </w:p>
    <w:p>
      <w:pPr>
        <w:spacing w:line="360" w:lineRule="auto"/>
        <w:ind w:firstLine="482" w:firstLineChars="200"/>
        <w:rPr>
          <w:color w:val="auto"/>
          <w:highlight w:val="none"/>
        </w:rPr>
      </w:pPr>
      <w:r>
        <w:rPr>
          <w:rFonts w:hint="eastAsia" w:ascii="宋体" w:hAnsi="宋体" w:cs="宋体"/>
          <w:b/>
          <w:bCs/>
          <w:color w:val="auto"/>
          <w:sz w:val="24"/>
          <w:highlight w:val="none"/>
        </w:rPr>
        <w:t>2、身份证明材料包括居民身份证或户口本或军官证或护照等。</w:t>
      </w:r>
      <w:r>
        <w:rPr>
          <w:rFonts w:hint="eastAsia"/>
          <w:color w:val="auto"/>
          <w:highlight w:val="none"/>
        </w:rPr>
        <w:br w:type="page"/>
      </w:r>
    </w:p>
    <w:p>
      <w:pPr>
        <w:pStyle w:val="5"/>
        <w:spacing w:before="0" w:after="0" w:line="360" w:lineRule="auto"/>
        <w:jc w:val="center"/>
        <w:rPr>
          <w:color w:val="auto"/>
          <w:highlight w:val="none"/>
        </w:rPr>
      </w:pPr>
      <w:r>
        <w:rPr>
          <w:rFonts w:hint="eastAsia"/>
          <w:color w:val="auto"/>
          <w:highlight w:val="none"/>
        </w:rPr>
        <w:t>二、承诺函</w:t>
      </w:r>
    </w:p>
    <w:p>
      <w:pPr>
        <w:spacing w:line="360" w:lineRule="auto"/>
        <w:rPr>
          <w:rFonts w:ascii="宋体" w:hAnsi="宋体"/>
          <w:color w:val="auto"/>
          <w:sz w:val="24"/>
          <w:highlight w:val="none"/>
        </w:rPr>
      </w:pPr>
      <w:r>
        <w:rPr>
          <w:rFonts w:hint="eastAsia" w:ascii="宋体" w:hAnsi="宋体"/>
          <w:color w:val="auto"/>
          <w:sz w:val="24"/>
          <w:highlight w:val="none"/>
          <w:u w:val="single"/>
        </w:rPr>
        <w:t>力达通项目管理咨询有限公司</w:t>
      </w:r>
      <w:r>
        <w:rPr>
          <w:rFonts w:hint="eastAsia" w:ascii="宋体" w:hAnsi="宋体"/>
          <w:color w:val="auto"/>
          <w:sz w:val="24"/>
          <w:highlight w:val="none"/>
        </w:rPr>
        <w:t>（采购代理机构名称）：</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我公司作为本次采购项目的供应商，根据磋商文件要求，现郑重承诺如下：</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一、具备《中华人民共和国政府采购法》第二十二条第一款和本项目规定的条件：</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（一）具有独立承担民事责任的能力；</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（二）具有良好的商业信誉和健全的财务会计制度；</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（三）具有履行合同所必需的设备和专业技术能力；</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（四）有依法缴纳税收和社会保障资金的良好记录；</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（五）参加政府采购活动前三年内，在经营活动中没有重大违法记录；</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（六）法律、行政法规规定的其他条件；</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（七）根据采购项目提出的特殊条件</w:t>
      </w:r>
      <w:r>
        <w:rPr>
          <w:rFonts w:ascii="宋体"/>
          <w:color w:val="auto"/>
          <w:sz w:val="24"/>
          <w:highlight w:val="none"/>
        </w:rPr>
        <w:t>。</w:t>
      </w:r>
    </w:p>
    <w:p>
      <w:pPr>
        <w:widowControl/>
        <w:spacing w:line="360" w:lineRule="auto"/>
        <w:ind w:firstLine="480" w:firstLineChars="200"/>
        <w:jc w:val="left"/>
        <w:rPr>
          <w:rFonts w:ascii="宋体"/>
          <w:color w:val="auto"/>
          <w:sz w:val="24"/>
          <w:highlight w:val="none"/>
        </w:rPr>
      </w:pPr>
      <w:r>
        <w:rPr>
          <w:rFonts w:ascii="宋体"/>
          <w:color w:val="auto"/>
          <w:sz w:val="24"/>
          <w:highlight w:val="none"/>
        </w:rPr>
        <w:t>二、完全接受和满足本项目</w:t>
      </w:r>
      <w:r>
        <w:rPr>
          <w:rFonts w:hint="eastAsia" w:ascii="宋体"/>
          <w:color w:val="auto"/>
          <w:sz w:val="24"/>
          <w:highlight w:val="none"/>
        </w:rPr>
        <w:t>磋商文件</w:t>
      </w:r>
      <w:r>
        <w:rPr>
          <w:rFonts w:ascii="宋体"/>
          <w:color w:val="auto"/>
          <w:sz w:val="24"/>
          <w:highlight w:val="none"/>
        </w:rPr>
        <w:t>中规定的实质性要求，如对</w:t>
      </w:r>
      <w:r>
        <w:rPr>
          <w:rFonts w:hint="eastAsia" w:ascii="宋体"/>
          <w:color w:val="auto"/>
          <w:sz w:val="24"/>
          <w:highlight w:val="none"/>
        </w:rPr>
        <w:t>磋商文件</w:t>
      </w:r>
      <w:r>
        <w:rPr>
          <w:rFonts w:ascii="宋体"/>
          <w:color w:val="auto"/>
          <w:sz w:val="24"/>
          <w:highlight w:val="none"/>
        </w:rPr>
        <w:t>有异议，</w:t>
      </w:r>
      <w:r>
        <w:rPr>
          <w:rFonts w:hint="eastAsia" w:ascii="宋体"/>
          <w:color w:val="auto"/>
          <w:sz w:val="24"/>
          <w:highlight w:val="none"/>
        </w:rPr>
        <w:t>已经在磋商文件递交截止时间届满前依法进行维权救济，不存在对磋商文件有异议的同时又参加磋商</w:t>
      </w:r>
      <w:r>
        <w:rPr>
          <w:rFonts w:ascii="宋体"/>
          <w:color w:val="auto"/>
          <w:sz w:val="24"/>
          <w:highlight w:val="none"/>
        </w:rPr>
        <w:t>以求侥幸</w:t>
      </w:r>
      <w:r>
        <w:rPr>
          <w:rFonts w:hint="eastAsia" w:ascii="宋体"/>
          <w:color w:val="auto"/>
          <w:sz w:val="24"/>
          <w:highlight w:val="none"/>
        </w:rPr>
        <w:t>成交</w:t>
      </w:r>
      <w:r>
        <w:rPr>
          <w:rFonts w:ascii="宋体"/>
          <w:color w:val="auto"/>
          <w:sz w:val="24"/>
          <w:highlight w:val="none"/>
        </w:rPr>
        <w:t>或者为实现其他非法目的的行为。</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三、参加本次磋商采购活动，不存在与单位负责人为同一人或者存在直接控股、管理关系的其他供应商参与同一合同项下的政府采购活动的行为。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五、如果有《四川省政府采购当事人诚信管理办法》（川财采[2015]33号）规定的记入诚信档案的失信行为，将在响应文件中全面如实反映。</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六、截至响应文件递交截止日未被列入失信被执行人、重大税收违法案件当事人名单、政府采购严重违法失信行为记录名单。</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七、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八、我公司及其现任法定代表人（非法人机构则为主要负责人）不具有行贿犯罪记录。</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本公司对上述承诺的内容事项真实性负责。如经查实上述承诺的内容事项存在虚假，我公司愿意接受以提供虚假材料谋取成交追究法律责任。</w:t>
      </w:r>
    </w:p>
    <w:p>
      <w:pPr>
        <w:widowControl/>
        <w:spacing w:line="360" w:lineRule="auto"/>
        <w:ind w:firstLine="480" w:firstLineChars="200"/>
        <w:jc w:val="left"/>
        <w:rPr>
          <w:rFonts w:asci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pStyle w:val="5"/>
        <w:spacing w:before="0" w:after="0" w:line="360" w:lineRule="auto"/>
        <w:jc w:val="center"/>
        <w:rPr>
          <w:rFonts w:ascii="仿宋" w:hAnsi="仿宋" w:eastAsia="仿宋"/>
          <w:color w:val="auto"/>
          <w:sz w:val="24"/>
          <w:highlight w:val="none"/>
        </w:rPr>
      </w:pPr>
      <w:r>
        <w:rPr>
          <w:color w:val="auto"/>
          <w:sz w:val="30"/>
          <w:szCs w:val="30"/>
          <w:highlight w:val="none"/>
        </w:rPr>
        <w:br w:type="page"/>
      </w:r>
      <w:bookmarkStart w:id="134" w:name="_Toc4159_WPSOffice_Level2"/>
      <w:bookmarkStart w:id="135" w:name="_Toc31492_WPSOffice_Level2"/>
      <w:r>
        <w:rPr>
          <w:rStyle w:val="35"/>
          <w:rFonts w:hint="eastAsia"/>
          <w:b/>
          <w:bCs/>
          <w:color w:val="auto"/>
          <w:highlight w:val="none"/>
        </w:rPr>
        <w:t>三、中小企业（监狱企业）声明函</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本公司郑重声明，根据《政府采购促进中小企业发展管理办法》（财库〔2020）46号）的规定，本公司参加</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（项目名称）釆购活动,服务全部由符合政策要求的中小企业承接。相关企业（含联合体中的中小企业、签订分包意向协议的中小企业）的具体情况如下：</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成都市成华区人民政府双水碾街道办事处站北路社区智慧社区建设项目（标的名称）</w:t>
      </w:r>
      <w:r>
        <w:rPr>
          <w:rFonts w:hint="eastAsia" w:ascii="宋体" w:hAnsi="宋体"/>
          <w:color w:val="auto"/>
          <w:sz w:val="24"/>
          <w:highlight w:val="none"/>
        </w:rPr>
        <w:t>，属于</w:t>
      </w:r>
      <w:r>
        <w:rPr>
          <w:rFonts w:hint="eastAsia" w:ascii="宋体" w:hAnsi="宋体"/>
          <w:color w:val="auto"/>
          <w:sz w:val="24"/>
          <w:highlight w:val="none"/>
          <w:u w:val="single"/>
        </w:rPr>
        <w:t>其他未列明</w:t>
      </w:r>
      <w:r>
        <w:rPr>
          <w:rFonts w:hint="eastAsia" w:ascii="宋体" w:hAnsi="宋体"/>
          <w:color w:val="auto"/>
          <w:sz w:val="24"/>
          <w:highlight w:val="none"/>
          <w:u w:val="single"/>
          <w:lang w:val="en-US" w:eastAsia="zh-CN"/>
        </w:rPr>
        <w:t>行</w:t>
      </w:r>
      <w:r>
        <w:rPr>
          <w:rFonts w:hint="eastAsia" w:ascii="宋体" w:hAnsi="宋体"/>
          <w:color w:val="auto"/>
          <w:sz w:val="24"/>
          <w:highlight w:val="none"/>
          <w:u w:val="single"/>
        </w:rPr>
        <w:t>业</w:t>
      </w:r>
      <w:r>
        <w:rPr>
          <w:rFonts w:hint="eastAsia" w:ascii="宋体" w:hAnsi="宋体"/>
          <w:color w:val="auto"/>
          <w:sz w:val="24"/>
          <w:highlight w:val="none"/>
        </w:rPr>
        <w:t>（釆购文件中明确的所属行业）、承建（承接）企业为</w:t>
      </w:r>
      <w:r>
        <w:rPr>
          <w:rFonts w:hint="eastAsia" w:ascii="宋体" w:hAnsi="宋体"/>
          <w:color w:val="auto"/>
          <w:sz w:val="24"/>
          <w:highlight w:val="none"/>
          <w:u w:val="single"/>
        </w:rPr>
        <w:t xml:space="preserve">          </w:t>
      </w:r>
      <w:r>
        <w:rPr>
          <w:rFonts w:hint="eastAsia" w:ascii="宋体" w:hAnsi="宋体"/>
          <w:color w:val="auto"/>
          <w:sz w:val="24"/>
          <w:highlight w:val="none"/>
        </w:rPr>
        <w:t>（企业名称）,从业人员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rPr>
        <w:t>（中型企业、小型企业、微型企业、监狱企业）。</w:t>
      </w:r>
    </w:p>
    <w:p>
      <w:pPr>
        <w:adjustRightInd w:val="0"/>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adjustRightInd w:val="0"/>
        <w:spacing w:line="360" w:lineRule="auto"/>
        <w:ind w:firstLine="480" w:firstLineChars="200"/>
        <w:jc w:val="left"/>
        <w:rPr>
          <w:rFonts w:ascii="宋体" w:hAns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tabs>
          <w:tab w:val="left" w:pos="7665"/>
        </w:tabs>
        <w:spacing w:line="400" w:lineRule="exact"/>
        <w:ind w:firstLine="480" w:firstLineChars="200"/>
        <w:rPr>
          <w:rFonts w:ascii="宋体" w:hAnsi="宋体" w:cs="宋体"/>
          <w:color w:val="auto"/>
          <w:sz w:val="24"/>
          <w:highlight w:val="none"/>
        </w:rPr>
      </w:pPr>
    </w:p>
    <w:p>
      <w:pPr>
        <w:tabs>
          <w:tab w:val="left" w:pos="7665"/>
        </w:tabs>
        <w:spacing w:line="400" w:lineRule="exact"/>
        <w:rPr>
          <w:rFonts w:ascii="宋体" w:hAnsi="宋体" w:cs="宋体"/>
          <w:color w:val="auto"/>
          <w:sz w:val="24"/>
          <w:highlight w:val="none"/>
        </w:rPr>
      </w:pPr>
      <w:r>
        <w:rPr>
          <w:rFonts w:hint="eastAsia" w:ascii="宋体" w:hAnsi="宋体" w:cs="宋体"/>
          <w:color w:val="auto"/>
          <w:sz w:val="24"/>
          <w:highlight w:val="none"/>
        </w:rPr>
        <w:t>注：</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color w:val="auto"/>
          <w:highlight w:val="none"/>
        </w:rPr>
      </w:pPr>
    </w:p>
    <w:p>
      <w:pPr>
        <w:pStyle w:val="5"/>
        <w:spacing w:before="0" w:after="0" w:line="360" w:lineRule="auto"/>
        <w:jc w:val="center"/>
        <w:rPr>
          <w:rFonts w:ascii="仿宋" w:hAnsi="仿宋" w:eastAsia="仿宋" w:cs="宋体"/>
          <w:color w:val="auto"/>
          <w:spacing w:val="6"/>
          <w:sz w:val="24"/>
          <w:highlight w:val="none"/>
        </w:rPr>
      </w:pPr>
      <w:r>
        <w:rPr>
          <w:rFonts w:hint="eastAsia"/>
          <w:color w:val="auto"/>
          <w:highlight w:val="none"/>
        </w:rPr>
        <w:t>四、残疾人福利性单位声明函</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w:t>
      </w:r>
      <w:r>
        <w:rPr>
          <w:rFonts w:hint="eastAsia" w:ascii="宋体" w:hAnsi="宋体" w:cs="宋体"/>
          <w:b/>
          <w:bCs/>
          <w:color w:val="auto"/>
          <w:spacing w:val="6"/>
          <w:sz w:val="24"/>
          <w:highlight w:val="none"/>
        </w:rPr>
        <w:t>本单位为符合条件的残疾人福利性单位</w:t>
      </w:r>
      <w:r>
        <w:rPr>
          <w:rFonts w:hint="eastAsia" w:ascii="宋体" w:hAnsi="宋体" w:cs="宋体"/>
          <w:color w:val="auto"/>
          <w:spacing w:val="6"/>
          <w:sz w:val="24"/>
          <w:highlight w:val="none"/>
        </w:rPr>
        <w:t>，且本单位参加</w:t>
      </w:r>
      <w:r>
        <w:rPr>
          <w:rFonts w:hint="eastAsia" w:ascii="宋体" w:hAnsi="宋体" w:cs="宋体"/>
          <w:color w:val="auto"/>
          <w:sz w:val="24"/>
          <w:highlight w:val="none"/>
          <w:u w:val="single"/>
        </w:rPr>
        <w:t xml:space="preserve"> XXXX </w:t>
      </w:r>
      <w:r>
        <w:rPr>
          <w:rFonts w:hint="eastAsia" w:ascii="宋体" w:hAnsi="宋体" w:cs="宋体"/>
          <w:color w:val="auto"/>
          <w:spacing w:val="6"/>
          <w:sz w:val="24"/>
          <w:highlight w:val="none"/>
        </w:rPr>
        <w:t>单位的</w:t>
      </w:r>
      <w:r>
        <w:rPr>
          <w:rFonts w:hint="eastAsia" w:ascii="宋体" w:hAnsi="宋体" w:cs="宋体"/>
          <w:color w:val="auto"/>
          <w:sz w:val="24"/>
          <w:highlight w:val="none"/>
          <w:u w:val="single"/>
        </w:rPr>
        <w:t xml:space="preserve"> XXXX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rPr>
          <w:rFonts w:ascii="仿宋" w:hAnsi="仿宋" w:eastAsia="仿宋" w:cs="宋体"/>
          <w:color w:val="auto"/>
          <w:spacing w:val="6"/>
          <w:sz w:val="24"/>
          <w:highlight w:val="none"/>
        </w:rPr>
      </w:pPr>
    </w:p>
    <w:p>
      <w:pPr>
        <w:spacing w:line="360" w:lineRule="auto"/>
        <w:rPr>
          <w:rFonts w:ascii="仿宋" w:hAnsi="仿宋" w:eastAsia="仿宋" w:cs="宋体"/>
          <w:color w:val="auto"/>
          <w:spacing w:val="6"/>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rFonts w:ascii="仿宋" w:hAnsi="仿宋" w:eastAsia="仿宋"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pPr>
        <w:spacing w:after="160" w:line="360" w:lineRule="auto"/>
        <w:rPr>
          <w:rFonts w:ascii="宋体" w:hAnsi="宋体" w:cs="宋体"/>
          <w:color w:val="auto"/>
          <w:sz w:val="24"/>
          <w:highlight w:val="none"/>
        </w:rPr>
      </w:pPr>
      <w:r>
        <w:rPr>
          <w:rFonts w:hint="eastAsia" w:ascii="宋体" w:hAnsi="宋体" w:cs="宋体"/>
          <w:color w:val="auto"/>
          <w:sz w:val="24"/>
          <w:highlight w:val="none"/>
        </w:rPr>
        <w:t>1.残疾人福利性单位视同小型、微型企业，享受预留份额、评审中价格扣除等促进中小企业发展的政府采购政策。残疾人福利性单位属于小型、微型企业的，不重复享受政策。</w:t>
      </w:r>
    </w:p>
    <w:p>
      <w:pPr>
        <w:rPr>
          <w:color w:val="auto"/>
          <w:sz w:val="30"/>
          <w:szCs w:val="30"/>
          <w:highlight w:val="none"/>
        </w:rPr>
      </w:pPr>
      <w:r>
        <w:rPr>
          <w:rFonts w:hint="eastAsia" w:ascii="宋体" w:hAnsi="宋体" w:cs="宋体"/>
          <w:b/>
          <w:bCs/>
          <w:color w:val="auto"/>
          <w:sz w:val="24"/>
          <w:highlight w:val="none"/>
        </w:rPr>
        <w:t>2.供应商为非残疾人福利性单位的，可不提供此声明。</w:t>
      </w:r>
      <w:r>
        <w:rPr>
          <w:color w:val="auto"/>
          <w:sz w:val="30"/>
          <w:szCs w:val="30"/>
          <w:highlight w:val="none"/>
        </w:rPr>
        <w:br w:type="page"/>
      </w:r>
    </w:p>
    <w:p>
      <w:pPr>
        <w:pStyle w:val="5"/>
        <w:spacing w:before="0" w:after="0" w:line="360" w:lineRule="auto"/>
        <w:jc w:val="center"/>
        <w:rPr>
          <w:color w:val="auto"/>
          <w:highlight w:val="none"/>
        </w:rPr>
      </w:pPr>
      <w:r>
        <w:rPr>
          <w:rFonts w:hint="eastAsia"/>
          <w:color w:val="auto"/>
          <w:highlight w:val="none"/>
        </w:rPr>
        <w:t>五、其他资格证明资料及相关说明等</w:t>
      </w:r>
      <w:bookmarkEnd w:id="134"/>
      <w:bookmarkEnd w:id="135"/>
    </w:p>
    <w:p>
      <w:pPr>
        <w:adjustRightInd w:val="0"/>
        <w:snapToGrid w:val="0"/>
        <w:spacing w:after="157"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对照“第四章  </w:t>
      </w:r>
      <w:r>
        <w:rPr>
          <w:rFonts w:hint="eastAsia" w:hAnsi="宋体" w:cs="宋体"/>
          <w:color w:val="auto"/>
          <w:sz w:val="24"/>
          <w:highlight w:val="none"/>
        </w:rPr>
        <w:t>供应商资格证明材料</w:t>
      </w:r>
      <w:r>
        <w:rPr>
          <w:rFonts w:hint="eastAsia" w:ascii="宋体" w:hAnsi="宋体" w:cs="宋体"/>
          <w:color w:val="auto"/>
          <w:sz w:val="24"/>
          <w:highlight w:val="none"/>
        </w:rPr>
        <w:t>”等具体要求提供。</w:t>
      </w:r>
    </w:p>
    <w:p>
      <w:pPr>
        <w:autoSpaceDE w:val="0"/>
        <w:autoSpaceDN w:val="0"/>
        <w:adjustRightInd w:val="0"/>
        <w:spacing w:line="360" w:lineRule="auto"/>
        <w:ind w:firstLine="602" w:firstLineChars="200"/>
        <w:jc w:val="center"/>
        <w:rPr>
          <w:rFonts w:ascii="宋体" w:hAnsi="宋体"/>
          <w:color w:val="auto"/>
          <w:sz w:val="28"/>
          <w:highlight w:val="none"/>
        </w:rPr>
      </w:pPr>
      <w:r>
        <w:rPr>
          <w:rFonts w:ascii="宋体" w:hAnsi="宋体"/>
          <w:b/>
          <w:color w:val="auto"/>
          <w:sz w:val="30"/>
          <w:szCs w:val="30"/>
          <w:highlight w:val="none"/>
        </w:rPr>
        <w:br w:type="page"/>
      </w:r>
      <w:bookmarkStart w:id="136" w:name="_Toc11589_WPSOffice_Level2"/>
      <w:bookmarkStart w:id="137" w:name="_Toc18398_WPSOffice_Level2"/>
      <w:r>
        <w:rPr>
          <w:rFonts w:hint="eastAsia" w:ascii="宋体" w:hAnsi="宋体"/>
          <w:color w:val="auto"/>
          <w:sz w:val="28"/>
          <w:highlight w:val="none"/>
        </w:rPr>
        <w:t>（封面格式）</w:t>
      </w:r>
      <w:bookmarkEnd w:id="136"/>
      <w:bookmarkEnd w:id="137"/>
    </w:p>
    <w:p>
      <w:pPr>
        <w:autoSpaceDE w:val="0"/>
        <w:autoSpaceDN w:val="0"/>
        <w:adjustRightInd w:val="0"/>
        <w:spacing w:line="360" w:lineRule="auto"/>
        <w:ind w:firstLine="1680" w:firstLineChars="200"/>
        <w:jc w:val="center"/>
        <w:rPr>
          <w:rFonts w:ascii="宋体" w:hAnsi="宋体"/>
          <w:color w:val="auto"/>
          <w:sz w:val="84"/>
          <w:szCs w:val="84"/>
          <w:highlight w:val="none"/>
        </w:rPr>
      </w:pPr>
    </w:p>
    <w:p>
      <w:pPr>
        <w:autoSpaceDE w:val="0"/>
        <w:autoSpaceDN w:val="0"/>
        <w:adjustRightInd w:val="0"/>
        <w:spacing w:line="360" w:lineRule="auto"/>
        <w:ind w:firstLine="1680" w:firstLineChars="200"/>
        <w:rPr>
          <w:rFonts w:ascii="宋体" w:hAnsi="宋体"/>
          <w:color w:val="auto"/>
          <w:sz w:val="84"/>
          <w:szCs w:val="84"/>
          <w:highlight w:val="none"/>
        </w:rPr>
      </w:pPr>
      <w:bookmarkStart w:id="138" w:name="_Toc1892_WPSOffice_Level2"/>
      <w:bookmarkStart w:id="139" w:name="_Toc25492_WPSOffice_Level2"/>
      <w:r>
        <w:rPr>
          <w:rFonts w:hint="eastAsia" w:ascii="宋体" w:hAnsi="宋体"/>
          <w:color w:val="auto"/>
          <w:sz w:val="84"/>
          <w:szCs w:val="84"/>
          <w:highlight w:val="none"/>
        </w:rPr>
        <w:t>其他</w:t>
      </w:r>
      <w:r>
        <w:rPr>
          <w:rFonts w:hint="eastAsia" w:hAnsi="宋体"/>
          <w:color w:val="auto"/>
          <w:sz w:val="84"/>
          <w:szCs w:val="84"/>
          <w:highlight w:val="none"/>
        </w:rPr>
        <w:t>响应文件</w:t>
      </w:r>
      <w:bookmarkEnd w:id="138"/>
      <w:bookmarkEnd w:id="139"/>
    </w:p>
    <w:p>
      <w:pPr>
        <w:autoSpaceDE w:val="0"/>
        <w:autoSpaceDN w:val="0"/>
        <w:adjustRightInd w:val="0"/>
        <w:spacing w:line="360" w:lineRule="auto"/>
        <w:ind w:firstLine="880" w:firstLineChars="200"/>
        <w:jc w:val="center"/>
        <w:rPr>
          <w:rFonts w:ascii="宋体" w:hAnsi="宋体"/>
          <w:color w:val="auto"/>
          <w:sz w:val="44"/>
          <w:highlight w:val="none"/>
        </w:rPr>
      </w:pPr>
    </w:p>
    <w:p>
      <w:pPr>
        <w:autoSpaceDE w:val="0"/>
        <w:autoSpaceDN w:val="0"/>
        <w:adjustRightInd w:val="0"/>
        <w:spacing w:line="360" w:lineRule="auto"/>
        <w:ind w:firstLine="3080" w:firstLineChars="700"/>
        <w:rPr>
          <w:rFonts w:ascii="宋体" w:hAnsi="宋体"/>
          <w:color w:val="auto"/>
          <w:sz w:val="44"/>
          <w:highlight w:val="none"/>
        </w:rPr>
      </w:pPr>
      <w:bookmarkStart w:id="140" w:name="_Toc26337_WPSOffice_Level2"/>
      <w:bookmarkStart w:id="141" w:name="_Toc22614_WPSOffice_Level2"/>
      <w:r>
        <w:rPr>
          <w:rFonts w:hint="eastAsia" w:ascii="宋体" w:hAnsi="宋体"/>
          <w:color w:val="auto"/>
          <w:sz w:val="44"/>
          <w:highlight w:val="none"/>
        </w:rPr>
        <w:t>（正本/副本）</w:t>
      </w:r>
      <w:bookmarkEnd w:id="140"/>
      <w:bookmarkEnd w:id="141"/>
    </w:p>
    <w:p>
      <w:pPr>
        <w:pStyle w:val="2"/>
        <w:spacing w:line="360" w:lineRule="auto"/>
        <w:rPr>
          <w:rFonts w:ascii="宋体" w:hAnsi="宋体"/>
          <w:color w:val="auto"/>
          <w:sz w:val="44"/>
          <w:highlight w:val="none"/>
        </w:rPr>
      </w:pPr>
    </w:p>
    <w:p>
      <w:pPr>
        <w:pStyle w:val="2"/>
        <w:spacing w:line="360" w:lineRule="auto"/>
        <w:rPr>
          <w:rFonts w:ascii="宋体" w:hAnsi="宋体"/>
          <w:color w:val="auto"/>
          <w:sz w:val="44"/>
          <w:highlight w:val="none"/>
        </w:rPr>
      </w:pP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rPr>
      </w:pPr>
      <w:bookmarkStart w:id="142" w:name="_Toc30289_WPSOffice_Level2"/>
      <w:bookmarkStart w:id="143" w:name="_Toc14986_WPSOffice_Level2"/>
      <w:r>
        <w:rPr>
          <w:rFonts w:hint="eastAsia" w:ascii="宋体" w:hAnsi="宋体"/>
          <w:color w:val="auto"/>
          <w:sz w:val="32"/>
          <w:szCs w:val="32"/>
          <w:highlight w:val="none"/>
        </w:rPr>
        <w:t>项目编号：</w:t>
      </w:r>
      <w:bookmarkEnd w:id="142"/>
      <w:bookmarkEnd w:id="143"/>
      <w:r>
        <w:rPr>
          <w:rFonts w:hint="eastAsia" w:ascii="宋体" w:hAnsi="宋体"/>
          <w:color w:val="auto"/>
          <w:sz w:val="32"/>
          <w:szCs w:val="32"/>
          <w:highlight w:val="none"/>
          <w:u w:val="single"/>
        </w:rPr>
        <w:t xml:space="preserve">                     </w:t>
      </w: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u w:val="single"/>
        </w:rPr>
      </w:pPr>
      <w:bookmarkStart w:id="144" w:name="_Toc27590_WPSOffice_Level2"/>
      <w:bookmarkStart w:id="145" w:name="_Toc30244_WPSOffice_Level2"/>
      <w:r>
        <w:rPr>
          <w:rFonts w:hint="eastAsia" w:ascii="宋体" w:hAnsi="宋体"/>
          <w:color w:val="auto"/>
          <w:sz w:val="32"/>
          <w:szCs w:val="32"/>
          <w:highlight w:val="none"/>
        </w:rPr>
        <w:t>项目名称：</w:t>
      </w:r>
      <w:bookmarkEnd w:id="144"/>
      <w:bookmarkEnd w:id="145"/>
      <w:r>
        <w:rPr>
          <w:rFonts w:hint="eastAsia" w:ascii="宋体" w:hAnsi="宋体"/>
          <w:color w:val="auto"/>
          <w:sz w:val="32"/>
          <w:szCs w:val="32"/>
          <w:highlight w:val="none"/>
          <w:u w:val="single"/>
        </w:rPr>
        <w:t xml:space="preserve">                     </w:t>
      </w: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u w:val="single"/>
        </w:rPr>
      </w:pPr>
    </w:p>
    <w:p>
      <w:pPr>
        <w:pStyle w:val="2"/>
        <w:rPr>
          <w:color w:val="auto"/>
          <w:highlight w:val="none"/>
        </w:rPr>
      </w:pPr>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rPr>
      </w:pPr>
      <w:bookmarkStart w:id="146" w:name="_Toc30720_WPSOffice_Level2"/>
      <w:bookmarkStart w:id="147" w:name="_Toc1272_WPSOffice_Level2"/>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供 应 商：</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（公章）</w:t>
      </w:r>
      <w:bookmarkEnd w:id="146"/>
      <w:bookmarkEnd w:id="147"/>
    </w:p>
    <w:p>
      <w:pPr>
        <w:autoSpaceDE w:val="0"/>
        <w:autoSpaceDN w:val="0"/>
        <w:adjustRightInd w:val="0"/>
        <w:snapToGrid w:val="0"/>
        <w:spacing w:after="157" w:afterLines="50" w:line="360" w:lineRule="auto"/>
        <w:ind w:firstLine="640" w:firstLineChars="200"/>
        <w:rPr>
          <w:rFonts w:ascii="宋体" w:hAnsi="宋体"/>
          <w:color w:val="auto"/>
          <w:sz w:val="32"/>
          <w:szCs w:val="32"/>
          <w:highlight w:val="none"/>
        </w:rPr>
      </w:pPr>
      <w:bookmarkStart w:id="148" w:name="_Toc18121_WPSOffice_Level2"/>
      <w:bookmarkStart w:id="149" w:name="_Toc20218_WPSOffice_Level2"/>
      <w:r>
        <w:rPr>
          <w:rFonts w:hint="eastAsia" w:ascii="宋体" w:hAnsi="宋体"/>
          <w:color w:val="auto"/>
          <w:sz w:val="32"/>
          <w:szCs w:val="32"/>
          <w:highlight w:val="none"/>
        </w:rPr>
        <w:t>日    期：</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日</w:t>
      </w:r>
      <w:bookmarkEnd w:id="148"/>
      <w:bookmarkEnd w:id="149"/>
    </w:p>
    <w:p>
      <w:pPr>
        <w:spacing w:line="360" w:lineRule="auto"/>
        <w:jc w:val="center"/>
        <w:rPr>
          <w:color w:val="auto"/>
          <w:szCs w:val="28"/>
          <w:highlight w:val="none"/>
        </w:rPr>
      </w:pPr>
      <w:r>
        <w:rPr>
          <w:color w:val="auto"/>
          <w:highlight w:val="none"/>
        </w:rPr>
        <w:br w:type="page"/>
      </w:r>
      <w:bookmarkStart w:id="150" w:name="_Toc217446087"/>
      <w:r>
        <w:rPr>
          <w:rFonts w:hint="eastAsia"/>
          <w:b/>
          <w:bCs/>
          <w:color w:val="auto"/>
          <w:sz w:val="28"/>
          <w:szCs w:val="36"/>
          <w:highlight w:val="none"/>
        </w:rPr>
        <w:t>目录（自拟）</w:t>
      </w:r>
    </w:p>
    <w:p>
      <w:pPr>
        <w:spacing w:line="360" w:lineRule="auto"/>
        <w:rPr>
          <w:color w:val="auto"/>
          <w:highlight w:val="none"/>
        </w:rPr>
      </w:pPr>
      <w:r>
        <w:rPr>
          <w:rFonts w:hint="eastAsia"/>
          <w:color w:val="auto"/>
          <w:highlight w:val="none"/>
        </w:rPr>
        <w:br w:type="page"/>
      </w:r>
    </w:p>
    <w:p>
      <w:pPr>
        <w:pStyle w:val="5"/>
        <w:spacing w:before="0" w:after="0" w:line="360" w:lineRule="auto"/>
        <w:jc w:val="center"/>
        <w:rPr>
          <w:color w:val="auto"/>
          <w:highlight w:val="none"/>
        </w:rPr>
      </w:pPr>
      <w:r>
        <w:rPr>
          <w:rFonts w:hint="eastAsia"/>
          <w:color w:val="auto"/>
          <w:highlight w:val="none"/>
        </w:rPr>
        <w:t>一、响应函</w:t>
      </w:r>
    </w:p>
    <w:p>
      <w:pPr>
        <w:pStyle w:val="12"/>
        <w:spacing w:after="0" w:line="360" w:lineRule="auto"/>
        <w:ind w:left="0" w:leftChars="0"/>
        <w:jc w:val="left"/>
        <w:rPr>
          <w:rFonts w:ascii="宋体" w:hAnsi="宋体"/>
          <w:bCs/>
          <w:color w:val="auto"/>
          <w:sz w:val="24"/>
          <w:highlight w:val="none"/>
        </w:rPr>
      </w:pPr>
      <w:r>
        <w:rPr>
          <w:rFonts w:hint="eastAsia" w:ascii="宋体" w:hAnsi="宋体"/>
          <w:color w:val="auto"/>
          <w:sz w:val="24"/>
          <w:highlight w:val="none"/>
          <w:u w:val="single"/>
        </w:rPr>
        <w:t>力达通项目管理咨询有限公司</w:t>
      </w:r>
      <w:r>
        <w:rPr>
          <w:rFonts w:hint="eastAsia" w:ascii="宋体" w:hAnsi="宋体"/>
          <w:bCs/>
          <w:color w:val="auto"/>
          <w:sz w:val="24"/>
          <w:highlight w:val="none"/>
        </w:rPr>
        <w:t>（采购代理机构名称）：</w:t>
      </w:r>
    </w:p>
    <w:p>
      <w:pPr>
        <w:pStyle w:val="12"/>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我方全面研究了 “</w:t>
      </w:r>
      <w:r>
        <w:rPr>
          <w:rFonts w:hint="eastAsia" w:ascii="宋体" w:hAnsi="宋体"/>
          <w:bCs/>
          <w:color w:val="auto"/>
          <w:sz w:val="24"/>
          <w:highlight w:val="none"/>
          <w:u w:val="single"/>
        </w:rPr>
        <w:t xml:space="preserve">           </w:t>
      </w:r>
      <w:r>
        <w:rPr>
          <w:rFonts w:hint="eastAsia" w:ascii="宋体" w:hAnsi="宋体"/>
          <w:bCs/>
          <w:color w:val="auto"/>
          <w:sz w:val="24"/>
          <w:highlight w:val="none"/>
        </w:rPr>
        <w:t>”（项目名称）（项目编号：</w:t>
      </w:r>
      <w:r>
        <w:rPr>
          <w:rFonts w:hint="eastAsia" w:ascii="宋体" w:hAnsi="宋体"/>
          <w:bCs/>
          <w:color w:val="auto"/>
          <w:sz w:val="24"/>
          <w:highlight w:val="none"/>
          <w:u w:val="single"/>
        </w:rPr>
        <w:t xml:space="preserve">       </w:t>
      </w:r>
      <w:r>
        <w:rPr>
          <w:rFonts w:hint="eastAsia" w:ascii="宋体" w:hAnsi="宋体"/>
          <w:bCs/>
          <w:color w:val="auto"/>
          <w:sz w:val="24"/>
          <w:highlight w:val="none"/>
        </w:rPr>
        <w:t>）磋商文件，决定参加贵单位组织的本项目磋商采购。</w:t>
      </w:r>
    </w:p>
    <w:p>
      <w:pPr>
        <w:pStyle w:val="12"/>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1、我方自愿按照磋商文件规定的各项要求向采购人提供所需服务，总报价为“最终报价一览表”中所述价格。</w:t>
      </w:r>
    </w:p>
    <w:p>
      <w:pPr>
        <w:pStyle w:val="12"/>
        <w:numPr>
          <w:ilvl w:val="0"/>
          <w:numId w:val="8"/>
        </w:numPr>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一旦我方成交，我方将严格履行合同规定的责任和义务，保证于合同签字生效后按合同约定时间完成，并交付采购人验收、使用。</w:t>
      </w:r>
    </w:p>
    <w:p>
      <w:pPr>
        <w:pStyle w:val="12"/>
        <w:numPr>
          <w:ilvl w:val="0"/>
          <w:numId w:val="8"/>
        </w:numPr>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我方同意本磋商文件依据《四川省政府采购当事人诚信管理办法》（川财采〔2015〕33号文件）对我方可能存在的失信行为进行惩戒。</w:t>
      </w:r>
    </w:p>
    <w:p>
      <w:pPr>
        <w:pStyle w:val="12"/>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4、我方为本项目提交的响应文件正本</w:t>
      </w:r>
      <w:r>
        <w:rPr>
          <w:rFonts w:hint="eastAsia" w:ascii="宋体" w:hAnsi="宋体"/>
          <w:bCs/>
          <w:color w:val="auto"/>
          <w:sz w:val="24"/>
          <w:highlight w:val="none"/>
          <w:u w:val="single"/>
        </w:rPr>
        <w:t xml:space="preserve"> 壹 </w:t>
      </w:r>
      <w:r>
        <w:rPr>
          <w:rFonts w:hint="eastAsia" w:ascii="宋体" w:hAnsi="宋体"/>
          <w:bCs/>
          <w:color w:val="auto"/>
          <w:sz w:val="24"/>
          <w:highlight w:val="none"/>
        </w:rPr>
        <w:t>份、副本</w:t>
      </w:r>
      <w:r>
        <w:rPr>
          <w:rFonts w:hint="eastAsia" w:ascii="宋体" w:hAnsi="宋体"/>
          <w:bCs/>
          <w:color w:val="auto"/>
          <w:sz w:val="24"/>
          <w:highlight w:val="none"/>
          <w:u w:val="single"/>
        </w:rPr>
        <w:t xml:space="preserve"> 壹</w:t>
      </w:r>
      <w:r>
        <w:rPr>
          <w:rFonts w:hint="eastAsia" w:ascii="宋体" w:hAnsi="宋体"/>
          <w:color w:val="auto"/>
          <w:sz w:val="24"/>
          <w:highlight w:val="none"/>
          <w:u w:val="single"/>
        </w:rPr>
        <w:t xml:space="preserve"> </w:t>
      </w:r>
      <w:r>
        <w:rPr>
          <w:rFonts w:hint="eastAsia" w:ascii="宋体" w:hAnsi="宋体"/>
          <w:bCs/>
          <w:color w:val="auto"/>
          <w:sz w:val="24"/>
          <w:highlight w:val="none"/>
        </w:rPr>
        <w:t>份、电子文档</w:t>
      </w:r>
      <w:r>
        <w:rPr>
          <w:rFonts w:hint="eastAsia" w:ascii="宋体" w:hAnsi="宋体"/>
          <w:bCs/>
          <w:color w:val="auto"/>
          <w:sz w:val="24"/>
          <w:highlight w:val="none"/>
          <w:u w:val="single"/>
        </w:rPr>
        <w:t xml:space="preserve"> 壹 </w:t>
      </w:r>
      <w:r>
        <w:rPr>
          <w:rFonts w:hint="eastAsia" w:ascii="宋体" w:hAnsi="宋体"/>
          <w:bCs/>
          <w:color w:val="auto"/>
          <w:sz w:val="24"/>
          <w:highlight w:val="none"/>
        </w:rPr>
        <w:t>份，本次磋商，我方递交的</w:t>
      </w:r>
      <w:r>
        <w:rPr>
          <w:rFonts w:hint="eastAsia" w:ascii="宋体" w:hAnsi="宋体"/>
          <w:color w:val="auto"/>
          <w:sz w:val="24"/>
          <w:highlight w:val="none"/>
        </w:rPr>
        <w:t>响应文件有效期为递交磋商响应文件截止之日起</w:t>
      </w:r>
      <w:r>
        <w:rPr>
          <w:rFonts w:hint="eastAsia" w:ascii="宋体" w:hAnsi="宋体"/>
          <w:color w:val="auto"/>
          <w:sz w:val="24"/>
          <w:highlight w:val="none"/>
          <w:u w:val="single"/>
        </w:rPr>
        <w:t>90天</w:t>
      </w:r>
      <w:r>
        <w:rPr>
          <w:rFonts w:hint="eastAsia" w:ascii="宋体" w:hAnsi="宋体"/>
          <w:bCs/>
          <w:color w:val="auto"/>
          <w:sz w:val="24"/>
          <w:highlight w:val="none"/>
        </w:rPr>
        <w:t>。</w:t>
      </w:r>
    </w:p>
    <w:p>
      <w:pPr>
        <w:pStyle w:val="12"/>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5、我方愿意提供贵单位可能另外要求的，与磋商有关的文件资料，并保证我方已提供和将要提供的文件资料是真实、准确的。</w:t>
      </w:r>
    </w:p>
    <w:p>
      <w:pPr>
        <w:pStyle w:val="12"/>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6、国家或行业主管部门对采购产品的技术标准、质量标准和资格资质条件等有强制性规定的，我方承诺符合其要求。</w:t>
      </w:r>
    </w:p>
    <w:p>
      <w:pPr>
        <w:pStyle w:val="12"/>
        <w:spacing w:after="0" w:line="360" w:lineRule="auto"/>
        <w:ind w:left="0" w:leftChars="0" w:firstLine="480" w:firstLineChars="200"/>
        <w:jc w:val="left"/>
        <w:rPr>
          <w:bCs/>
          <w:color w:val="auto"/>
          <w:sz w:val="24"/>
          <w:highlight w:val="none"/>
        </w:rPr>
      </w:pPr>
      <w:r>
        <w:rPr>
          <w:rFonts w:hint="eastAsia" w:ascii="宋体" w:hAnsi="宋体"/>
          <w:bCs/>
          <w:color w:val="auto"/>
          <w:sz w:val="24"/>
          <w:highlight w:val="none"/>
        </w:rPr>
        <w:t>7、我方完全理解采购人不一定将合同授予最低报价的供应商的行为。</w:t>
      </w:r>
    </w:p>
    <w:p>
      <w:pPr>
        <w:adjustRightInd w:val="0"/>
        <w:spacing w:line="360" w:lineRule="auto"/>
        <w:jc w:val="left"/>
        <w:rPr>
          <w:rFonts w:ascii="宋体" w:hAnsi="宋体"/>
          <w:color w:val="auto"/>
          <w:sz w:val="24"/>
          <w:highlight w:val="none"/>
        </w:rPr>
      </w:pPr>
      <w:bookmarkStart w:id="151" w:name="_Toc217446085"/>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bookmarkEnd w:id="150"/>
    <w:bookmarkEnd w:id="151"/>
    <w:p>
      <w:pPr>
        <w:rPr>
          <w:color w:val="auto"/>
          <w:highlight w:val="none"/>
        </w:rPr>
      </w:pPr>
      <w:bookmarkStart w:id="152" w:name="_Toc17152_WPSOffice_Level2"/>
      <w:bookmarkStart w:id="153" w:name="_Toc4636_WPSOffice_Level2"/>
      <w:r>
        <w:rPr>
          <w:rFonts w:hint="eastAsia"/>
          <w:color w:val="auto"/>
          <w:highlight w:val="none"/>
        </w:rPr>
        <w:br w:type="page"/>
      </w:r>
    </w:p>
    <w:p>
      <w:pPr>
        <w:pStyle w:val="5"/>
        <w:spacing w:line="360" w:lineRule="auto"/>
        <w:jc w:val="center"/>
        <w:rPr>
          <w:color w:val="auto"/>
          <w:highlight w:val="none"/>
        </w:rPr>
      </w:pPr>
      <w:r>
        <w:rPr>
          <w:rFonts w:hint="eastAsia"/>
          <w:color w:val="auto"/>
          <w:highlight w:val="none"/>
        </w:rPr>
        <w:t>二、第一次报价一览表</w:t>
      </w:r>
    </w:p>
    <w:tbl>
      <w:tblPr>
        <w:tblStyle w:val="19"/>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0" w:type="dxa"/>
            <w:vAlign w:val="center"/>
          </w:tcPr>
          <w:p>
            <w:pPr>
              <w:tabs>
                <w:tab w:val="left" w:pos="7513"/>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373" w:type="dxa"/>
            <w:vAlign w:val="center"/>
          </w:tcPr>
          <w:p>
            <w:pPr>
              <w:tabs>
                <w:tab w:val="left" w:pos="7513"/>
              </w:tabs>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0" w:type="dxa"/>
            <w:vAlign w:val="center"/>
          </w:tcPr>
          <w:p>
            <w:pPr>
              <w:tabs>
                <w:tab w:val="left" w:pos="7513"/>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373" w:type="dxa"/>
            <w:vAlign w:val="center"/>
          </w:tcPr>
          <w:p>
            <w:pPr>
              <w:tabs>
                <w:tab w:val="left" w:pos="7513"/>
              </w:tabs>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0" w:type="dxa"/>
            <w:vAlign w:val="center"/>
          </w:tcPr>
          <w:p>
            <w:pPr>
              <w:tabs>
                <w:tab w:val="left" w:pos="7513"/>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tc>
        <w:tc>
          <w:tcPr>
            <w:tcW w:w="7373" w:type="dxa"/>
            <w:vAlign w:val="center"/>
          </w:tcPr>
          <w:p>
            <w:pPr>
              <w:tabs>
                <w:tab w:val="left" w:pos="7513"/>
              </w:tabs>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0" w:type="dxa"/>
            <w:vAlign w:val="center"/>
          </w:tcPr>
          <w:p>
            <w:pPr>
              <w:tabs>
                <w:tab w:val="left" w:pos="7513"/>
              </w:tabs>
              <w:jc w:val="center"/>
              <w:rPr>
                <w:rFonts w:ascii="宋体" w:hAnsi="宋体" w:cs="宋体"/>
                <w:color w:val="auto"/>
                <w:kern w:val="0"/>
                <w:szCs w:val="21"/>
                <w:highlight w:val="none"/>
              </w:rPr>
            </w:pPr>
            <w:r>
              <w:rPr>
                <w:rFonts w:hint="eastAsia" w:ascii="宋体" w:hAnsi="宋体" w:cs="宋体"/>
                <w:color w:val="auto"/>
                <w:kern w:val="0"/>
                <w:szCs w:val="21"/>
                <w:highlight w:val="none"/>
              </w:rPr>
              <w:t>报价合计</w:t>
            </w:r>
          </w:p>
        </w:tc>
        <w:tc>
          <w:tcPr>
            <w:tcW w:w="7373" w:type="dxa"/>
            <w:vAlign w:val="center"/>
          </w:tcPr>
          <w:p>
            <w:pPr>
              <w:tabs>
                <w:tab w:val="left" w:pos="7513"/>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人民币：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7513"/>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0" w:type="dxa"/>
            <w:vAlign w:val="center"/>
          </w:tcPr>
          <w:p>
            <w:pPr>
              <w:tabs>
                <w:tab w:val="left" w:pos="7513"/>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373" w:type="dxa"/>
            <w:vAlign w:val="center"/>
          </w:tcPr>
          <w:p>
            <w:pPr>
              <w:tabs>
                <w:tab w:val="left" w:pos="7513"/>
              </w:tabs>
              <w:spacing w:line="360" w:lineRule="auto"/>
              <w:jc w:val="center"/>
              <w:rPr>
                <w:rFonts w:ascii="宋体" w:hAnsi="宋体" w:cs="宋体"/>
                <w:color w:val="auto"/>
                <w:kern w:val="0"/>
                <w:szCs w:val="21"/>
                <w:highlight w:val="none"/>
              </w:rPr>
            </w:pPr>
          </w:p>
        </w:tc>
      </w:tr>
    </w:tbl>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注: 1.所有报价均用人民币表示。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2.表格如不能完全表达相关内容，供应商可自行补充。</w:t>
      </w:r>
    </w:p>
    <w:p>
      <w:pPr>
        <w:adjustRightInd w:val="0"/>
        <w:spacing w:line="360" w:lineRule="auto"/>
        <w:ind w:firstLine="480" w:firstLineChars="200"/>
        <w:jc w:val="left"/>
        <w:rPr>
          <w:rFonts w:ascii="宋体" w:hAnsi="宋体"/>
          <w:color w:val="auto"/>
          <w:sz w:val="24"/>
          <w:highlight w:val="none"/>
        </w:rPr>
      </w:pPr>
    </w:p>
    <w:p>
      <w:pPr>
        <w:adjustRightInd w:val="0"/>
        <w:spacing w:line="360" w:lineRule="auto"/>
        <w:ind w:firstLine="480" w:firstLineChars="200"/>
        <w:jc w:val="left"/>
        <w:rPr>
          <w:rFonts w:ascii="宋体" w:hAns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ind w:firstLine="480" w:firstLineChars="200"/>
        <w:rPr>
          <w:rFonts w:ascii="新宋体" w:hAnsi="新宋体" w:eastAsia="新宋体"/>
          <w:color w:val="auto"/>
          <w:sz w:val="24"/>
          <w:highlight w:val="none"/>
        </w:rPr>
      </w:pPr>
      <w:r>
        <w:rPr>
          <w:rFonts w:ascii="宋体" w:hAnsi="宋体"/>
          <w:color w:val="auto"/>
          <w:sz w:val="24"/>
          <w:highlight w:val="none"/>
        </w:rPr>
        <w:br w:type="page"/>
      </w:r>
    </w:p>
    <w:p>
      <w:pPr>
        <w:pStyle w:val="5"/>
        <w:spacing w:line="360" w:lineRule="auto"/>
        <w:jc w:val="center"/>
        <w:rPr>
          <w:color w:val="auto"/>
          <w:highlight w:val="none"/>
        </w:rPr>
      </w:pPr>
      <w:r>
        <w:rPr>
          <w:rFonts w:hint="eastAsia"/>
          <w:color w:val="auto"/>
          <w:highlight w:val="none"/>
        </w:rPr>
        <w:t>三、分项报价明细表</w:t>
      </w:r>
    </w:p>
    <w:p>
      <w:pPr>
        <w:rPr>
          <w:rStyle w:val="35"/>
          <w:color w:val="auto"/>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注: 1.</w:t>
      </w:r>
      <w:r>
        <w:rPr>
          <w:rFonts w:hint="eastAsia" w:ascii="宋体" w:hAnsi="宋体"/>
          <w:color w:val="auto"/>
          <w:sz w:val="24"/>
          <w:highlight w:val="none"/>
          <w:lang w:eastAsia="zh-CN"/>
        </w:rPr>
        <w:t>格式自拟</w:t>
      </w:r>
      <w:r>
        <w:rPr>
          <w:rFonts w:hint="eastAsia" w:ascii="宋体" w:hAnsi="宋体"/>
          <w:color w:val="auto"/>
          <w:sz w:val="24"/>
          <w:highlight w:val="none"/>
        </w:rPr>
        <w:t>。</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.“分项报价明细合计”应与“第一次报价一览表”报价相等。</w:t>
      </w:r>
    </w:p>
    <w:p>
      <w:pPr>
        <w:adjustRightInd w:val="0"/>
        <w:spacing w:line="360" w:lineRule="auto"/>
        <w:ind w:firstLine="480" w:firstLineChars="200"/>
        <w:jc w:val="left"/>
        <w:rPr>
          <w:rFonts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color w:val="auto"/>
          <w:highlight w:val="none"/>
        </w:rPr>
      </w:pPr>
      <w:r>
        <w:rPr>
          <w:rStyle w:val="35"/>
          <w:rFonts w:hint="eastAsia"/>
          <w:color w:val="auto"/>
          <w:highlight w:val="none"/>
        </w:rPr>
        <w:br w:type="page"/>
      </w:r>
    </w:p>
    <w:p>
      <w:pPr>
        <w:pStyle w:val="5"/>
        <w:spacing w:line="360" w:lineRule="auto"/>
        <w:jc w:val="center"/>
        <w:rPr>
          <w:rStyle w:val="35"/>
          <w:b/>
          <w:bCs/>
          <w:color w:val="auto"/>
          <w:highlight w:val="none"/>
        </w:rPr>
      </w:pPr>
      <w:r>
        <w:rPr>
          <w:rStyle w:val="35"/>
          <w:rFonts w:hint="eastAsia"/>
          <w:b/>
          <w:bCs/>
          <w:color w:val="auto"/>
          <w:highlight w:val="none"/>
        </w:rPr>
        <w:t>四、商务、技术、服务应答表</w:t>
      </w:r>
    </w:p>
    <w:p>
      <w:pPr>
        <w:spacing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20"/>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9"/>
        <w:gridCol w:w="2361"/>
        <w:gridCol w:w="256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98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磋商文件要求</w:t>
            </w:r>
          </w:p>
        </w:tc>
        <w:tc>
          <w:tcPr>
            <w:tcW w:w="236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响应文件应答</w:t>
            </w:r>
          </w:p>
        </w:tc>
        <w:tc>
          <w:tcPr>
            <w:tcW w:w="256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偏离情况（正偏离或负偏离或无偏离）</w:t>
            </w:r>
          </w:p>
        </w:tc>
        <w:tc>
          <w:tcPr>
            <w:tcW w:w="15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2361" w:type="dxa"/>
          </w:tcPr>
          <w:p>
            <w:pPr>
              <w:spacing w:line="360" w:lineRule="auto"/>
              <w:jc w:val="center"/>
              <w:rPr>
                <w:rFonts w:ascii="宋体" w:hAnsi="宋体"/>
                <w:color w:val="auto"/>
                <w:szCs w:val="21"/>
                <w:highlight w:val="none"/>
              </w:rPr>
            </w:pPr>
          </w:p>
        </w:tc>
        <w:tc>
          <w:tcPr>
            <w:tcW w:w="2561" w:type="dxa"/>
          </w:tcPr>
          <w:p>
            <w:pPr>
              <w:spacing w:line="360" w:lineRule="auto"/>
              <w:jc w:val="center"/>
              <w:rPr>
                <w:rFonts w:ascii="宋体" w:hAnsi="宋体"/>
                <w:color w:val="auto"/>
                <w:szCs w:val="21"/>
                <w:highlight w:val="none"/>
              </w:rPr>
            </w:pPr>
          </w:p>
        </w:tc>
        <w:tc>
          <w:tcPr>
            <w:tcW w:w="1576"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2361" w:type="dxa"/>
          </w:tcPr>
          <w:p>
            <w:pPr>
              <w:spacing w:line="360" w:lineRule="auto"/>
              <w:jc w:val="center"/>
              <w:rPr>
                <w:rFonts w:ascii="宋体" w:hAnsi="宋体"/>
                <w:color w:val="auto"/>
                <w:szCs w:val="21"/>
                <w:highlight w:val="none"/>
              </w:rPr>
            </w:pPr>
          </w:p>
        </w:tc>
        <w:tc>
          <w:tcPr>
            <w:tcW w:w="2561" w:type="dxa"/>
          </w:tcPr>
          <w:p>
            <w:pPr>
              <w:spacing w:line="360" w:lineRule="auto"/>
              <w:jc w:val="center"/>
              <w:rPr>
                <w:rFonts w:ascii="宋体" w:hAnsi="宋体"/>
                <w:color w:val="auto"/>
                <w:szCs w:val="21"/>
                <w:highlight w:val="none"/>
              </w:rPr>
            </w:pPr>
          </w:p>
        </w:tc>
        <w:tc>
          <w:tcPr>
            <w:tcW w:w="1576"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2361" w:type="dxa"/>
          </w:tcPr>
          <w:p>
            <w:pPr>
              <w:spacing w:line="360" w:lineRule="auto"/>
              <w:jc w:val="center"/>
              <w:rPr>
                <w:rFonts w:ascii="宋体" w:hAnsi="宋体"/>
                <w:color w:val="auto"/>
                <w:szCs w:val="21"/>
                <w:highlight w:val="none"/>
              </w:rPr>
            </w:pPr>
          </w:p>
        </w:tc>
        <w:tc>
          <w:tcPr>
            <w:tcW w:w="2561" w:type="dxa"/>
          </w:tcPr>
          <w:p>
            <w:pPr>
              <w:spacing w:line="360" w:lineRule="auto"/>
              <w:jc w:val="center"/>
              <w:rPr>
                <w:rFonts w:ascii="宋体" w:hAnsi="宋体"/>
                <w:color w:val="auto"/>
                <w:szCs w:val="21"/>
                <w:highlight w:val="none"/>
              </w:rPr>
            </w:pPr>
          </w:p>
        </w:tc>
        <w:tc>
          <w:tcPr>
            <w:tcW w:w="1576"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2361" w:type="dxa"/>
          </w:tcPr>
          <w:p>
            <w:pPr>
              <w:spacing w:line="360" w:lineRule="auto"/>
              <w:jc w:val="center"/>
              <w:rPr>
                <w:rFonts w:ascii="宋体" w:hAnsi="宋体"/>
                <w:color w:val="auto"/>
                <w:szCs w:val="21"/>
                <w:highlight w:val="none"/>
              </w:rPr>
            </w:pPr>
          </w:p>
        </w:tc>
        <w:tc>
          <w:tcPr>
            <w:tcW w:w="2561" w:type="dxa"/>
          </w:tcPr>
          <w:p>
            <w:pPr>
              <w:spacing w:line="360" w:lineRule="auto"/>
              <w:jc w:val="center"/>
              <w:rPr>
                <w:rFonts w:ascii="宋体" w:hAnsi="宋体"/>
                <w:color w:val="auto"/>
                <w:szCs w:val="21"/>
                <w:highlight w:val="none"/>
              </w:rPr>
            </w:pPr>
          </w:p>
        </w:tc>
        <w:tc>
          <w:tcPr>
            <w:tcW w:w="1576"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2361" w:type="dxa"/>
          </w:tcPr>
          <w:p>
            <w:pPr>
              <w:spacing w:line="360" w:lineRule="auto"/>
              <w:jc w:val="center"/>
              <w:rPr>
                <w:rFonts w:ascii="宋体" w:hAnsi="宋体"/>
                <w:color w:val="auto"/>
                <w:szCs w:val="21"/>
                <w:highlight w:val="none"/>
              </w:rPr>
            </w:pPr>
          </w:p>
        </w:tc>
        <w:tc>
          <w:tcPr>
            <w:tcW w:w="2561" w:type="dxa"/>
          </w:tcPr>
          <w:p>
            <w:pPr>
              <w:spacing w:line="360" w:lineRule="auto"/>
              <w:jc w:val="center"/>
              <w:rPr>
                <w:rFonts w:ascii="宋体" w:hAnsi="宋体"/>
                <w:color w:val="auto"/>
                <w:szCs w:val="21"/>
                <w:highlight w:val="none"/>
              </w:rPr>
            </w:pPr>
          </w:p>
        </w:tc>
        <w:tc>
          <w:tcPr>
            <w:tcW w:w="1576"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2361" w:type="dxa"/>
          </w:tcPr>
          <w:p>
            <w:pPr>
              <w:spacing w:line="360" w:lineRule="auto"/>
              <w:jc w:val="center"/>
              <w:rPr>
                <w:rFonts w:ascii="宋体" w:hAnsi="宋体"/>
                <w:color w:val="auto"/>
                <w:szCs w:val="21"/>
                <w:highlight w:val="none"/>
              </w:rPr>
            </w:pPr>
          </w:p>
        </w:tc>
        <w:tc>
          <w:tcPr>
            <w:tcW w:w="2561" w:type="dxa"/>
          </w:tcPr>
          <w:p>
            <w:pPr>
              <w:spacing w:line="360" w:lineRule="auto"/>
              <w:jc w:val="center"/>
              <w:rPr>
                <w:rFonts w:ascii="宋体" w:hAnsi="宋体"/>
                <w:color w:val="auto"/>
                <w:szCs w:val="21"/>
                <w:highlight w:val="none"/>
              </w:rPr>
            </w:pPr>
          </w:p>
        </w:tc>
        <w:tc>
          <w:tcPr>
            <w:tcW w:w="1576"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2361" w:type="dxa"/>
          </w:tcPr>
          <w:p>
            <w:pPr>
              <w:spacing w:line="360" w:lineRule="auto"/>
              <w:jc w:val="center"/>
              <w:rPr>
                <w:rFonts w:ascii="宋体" w:hAnsi="宋体"/>
                <w:color w:val="auto"/>
                <w:szCs w:val="21"/>
                <w:highlight w:val="none"/>
              </w:rPr>
            </w:pPr>
          </w:p>
        </w:tc>
        <w:tc>
          <w:tcPr>
            <w:tcW w:w="2561" w:type="dxa"/>
          </w:tcPr>
          <w:p>
            <w:pPr>
              <w:spacing w:line="360" w:lineRule="auto"/>
              <w:jc w:val="center"/>
              <w:rPr>
                <w:rFonts w:ascii="宋体" w:hAnsi="宋体"/>
                <w:color w:val="auto"/>
                <w:szCs w:val="21"/>
                <w:highlight w:val="none"/>
              </w:rPr>
            </w:pPr>
          </w:p>
        </w:tc>
        <w:tc>
          <w:tcPr>
            <w:tcW w:w="1576" w:type="dxa"/>
          </w:tcPr>
          <w:p>
            <w:pPr>
              <w:spacing w:line="360" w:lineRule="auto"/>
              <w:jc w:val="center"/>
              <w:rPr>
                <w:rFonts w:ascii="宋体" w:hAnsi="宋体"/>
                <w:color w:val="auto"/>
                <w:szCs w:val="21"/>
                <w:highlight w:val="none"/>
              </w:rPr>
            </w:pPr>
          </w:p>
        </w:tc>
      </w:tr>
    </w:tbl>
    <w:p>
      <w:pPr>
        <w:spacing w:line="360" w:lineRule="auto"/>
        <w:rPr>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注：1.供应商应当将响应服务相对磋商文件“第五章采购项目技术、服务、政府采购合同内容条款及其他商务要求”有偏离的内容（包括正偏离和负偏离）在上表中如实反映，未在上表中予以列明的，视为供应商承诺其所提供服务相对于磋商文件要求无偏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2.供应商应当根据磋商文件要求据实填写，不得虚假响应，虚假响应的，其响应文件无效并按规定追究其相关责任。</w:t>
      </w:r>
    </w:p>
    <w:p>
      <w:pPr>
        <w:adjustRightInd w:val="0"/>
        <w:spacing w:line="360" w:lineRule="auto"/>
        <w:ind w:firstLine="480" w:firstLineChars="200"/>
        <w:jc w:val="left"/>
        <w:rPr>
          <w:rFonts w:ascii="新宋体" w:hAnsi="新宋体" w:eastAsia="新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pStyle w:val="5"/>
        <w:spacing w:before="0" w:after="0" w:line="360" w:lineRule="auto"/>
        <w:jc w:val="center"/>
        <w:rPr>
          <w:color w:val="auto"/>
          <w:highlight w:val="none"/>
        </w:rPr>
      </w:pPr>
      <w:r>
        <w:rPr>
          <w:rFonts w:hint="eastAsia"/>
          <w:color w:val="auto"/>
          <w:highlight w:val="none"/>
        </w:rPr>
        <w:br w:type="page"/>
      </w:r>
      <w:r>
        <w:rPr>
          <w:rFonts w:hint="eastAsia"/>
          <w:color w:val="auto"/>
          <w:highlight w:val="none"/>
        </w:rPr>
        <w:t>五</w:t>
      </w:r>
      <w:r>
        <w:rPr>
          <w:rStyle w:val="35"/>
          <w:rFonts w:hint="eastAsia"/>
          <w:b/>
          <w:bCs/>
          <w:color w:val="auto"/>
          <w:highlight w:val="none"/>
        </w:rPr>
        <w:t>、供应商基本情况表</w:t>
      </w:r>
      <w:bookmarkEnd w:id="152"/>
      <w:bookmarkEnd w:id="153"/>
    </w:p>
    <w:tbl>
      <w:tblPr>
        <w:tblStyle w:val="19"/>
        <w:tblW w:w="93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1063"/>
        <w:gridCol w:w="1323"/>
        <w:gridCol w:w="1394"/>
        <w:gridCol w:w="1441"/>
        <w:gridCol w:w="176"/>
        <w:gridCol w:w="1114"/>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hAnsi="宋体"/>
                <w:color w:val="auto"/>
                <w:kern w:val="0"/>
                <w:szCs w:val="21"/>
                <w:highlight w:val="none"/>
              </w:rPr>
              <w:t>供应商</w:t>
            </w:r>
            <w:r>
              <w:rPr>
                <w:rFonts w:hint="eastAsia" w:ascii="宋体" w:hAnsi="宋体"/>
                <w:color w:val="auto"/>
                <w:kern w:val="0"/>
                <w:szCs w:val="21"/>
                <w:highlight w:val="none"/>
              </w:rPr>
              <w:t>名称</w:t>
            </w:r>
          </w:p>
        </w:tc>
        <w:tc>
          <w:tcPr>
            <w:tcW w:w="7696" w:type="dxa"/>
            <w:gridSpan w:val="7"/>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注册地址</w:t>
            </w:r>
          </w:p>
        </w:tc>
        <w:tc>
          <w:tcPr>
            <w:tcW w:w="3780"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邮政编码</w:t>
            </w:r>
          </w:p>
        </w:tc>
        <w:tc>
          <w:tcPr>
            <w:tcW w:w="2475"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联系方式</w:t>
            </w:r>
          </w:p>
        </w:tc>
        <w:tc>
          <w:tcPr>
            <w:tcW w:w="106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联系人</w:t>
            </w:r>
          </w:p>
        </w:tc>
        <w:tc>
          <w:tcPr>
            <w:tcW w:w="271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2475"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06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传真</w:t>
            </w:r>
          </w:p>
        </w:tc>
        <w:tc>
          <w:tcPr>
            <w:tcW w:w="271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网址</w:t>
            </w:r>
          </w:p>
        </w:tc>
        <w:tc>
          <w:tcPr>
            <w:tcW w:w="2475"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组织结构</w:t>
            </w:r>
          </w:p>
        </w:tc>
        <w:tc>
          <w:tcPr>
            <w:tcW w:w="7696" w:type="dxa"/>
            <w:gridSpan w:val="7"/>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106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1323"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1185"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106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1323"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1185"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成立时间</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5310" w:type="dxa"/>
            <w:gridSpan w:val="5"/>
            <w:vAlign w:val="center"/>
          </w:tcPr>
          <w:p>
            <w:pPr>
              <w:autoSpaceDE w:val="0"/>
              <w:autoSpaceDN w:val="0"/>
              <w:adjustRightInd w:val="0"/>
              <w:spacing w:line="360" w:lineRule="auto"/>
              <w:ind w:firstLine="1470" w:firstLineChars="700"/>
              <w:rPr>
                <w:rFonts w:ascii="宋体" w:hAnsi="宋体"/>
                <w:color w:val="auto"/>
                <w:kern w:val="0"/>
                <w:szCs w:val="21"/>
                <w:highlight w:val="none"/>
              </w:rPr>
            </w:pPr>
            <w:r>
              <w:rPr>
                <w:rFonts w:hint="eastAsia" w:ascii="宋体" w:hAnsi="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企业资质等级</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其中</w:t>
            </w: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营业执照号</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高级职称人员</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注册资金</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中级职称人员</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开户银行</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初级职称人员</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技工</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经营范围</w:t>
            </w:r>
          </w:p>
        </w:tc>
        <w:tc>
          <w:tcPr>
            <w:tcW w:w="7696" w:type="dxa"/>
            <w:gridSpan w:val="7"/>
            <w:vAlign w:val="center"/>
          </w:tcPr>
          <w:p>
            <w:pPr>
              <w:autoSpaceDE w:val="0"/>
              <w:autoSpaceDN w:val="0"/>
              <w:adjustRightInd w:val="0"/>
              <w:spacing w:line="360" w:lineRule="auto"/>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7696" w:type="dxa"/>
            <w:gridSpan w:val="7"/>
          </w:tcPr>
          <w:p>
            <w:pPr>
              <w:autoSpaceDE w:val="0"/>
              <w:autoSpaceDN w:val="0"/>
              <w:adjustRightInd w:val="0"/>
              <w:spacing w:line="360" w:lineRule="auto"/>
              <w:jc w:val="left"/>
              <w:rPr>
                <w:rFonts w:ascii="宋体" w:hAnsi="宋体"/>
                <w:color w:val="auto"/>
                <w:kern w:val="0"/>
                <w:szCs w:val="21"/>
                <w:highlight w:val="none"/>
              </w:rPr>
            </w:pPr>
          </w:p>
        </w:tc>
      </w:tr>
    </w:tbl>
    <w:p>
      <w:pPr>
        <w:adjustRightInd w:val="0"/>
        <w:spacing w:line="360" w:lineRule="auto"/>
        <w:ind w:firstLine="480" w:firstLineChars="200"/>
        <w:jc w:val="left"/>
        <w:rPr>
          <w:rFonts w:ascii="新宋体" w:hAnsi="新宋体" w:eastAsia="新宋体"/>
          <w:color w:val="auto"/>
          <w:sz w:val="24"/>
          <w:highlight w:val="none"/>
        </w:rPr>
      </w:pPr>
      <w:bookmarkStart w:id="154" w:name="_Toc217446089"/>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ind w:firstLine="420" w:firstLineChars="200"/>
        <w:rPr>
          <w:color w:val="auto"/>
          <w:highlight w:val="none"/>
        </w:rPr>
      </w:pPr>
      <w:r>
        <w:rPr>
          <w:rFonts w:hint="eastAsia"/>
          <w:color w:val="auto"/>
          <w:highlight w:val="none"/>
        </w:rPr>
        <w:br w:type="page"/>
      </w:r>
      <w:bookmarkStart w:id="155" w:name="_Toc1968_WPSOffice_Level2"/>
      <w:bookmarkStart w:id="156" w:name="_Toc562_WPSOffice_Level2"/>
    </w:p>
    <w:p>
      <w:pPr>
        <w:pStyle w:val="5"/>
        <w:spacing w:before="0" w:after="0" w:line="360" w:lineRule="auto"/>
        <w:jc w:val="center"/>
        <w:rPr>
          <w:color w:val="auto"/>
          <w:highlight w:val="none"/>
        </w:rPr>
      </w:pPr>
      <w:r>
        <w:rPr>
          <w:rFonts w:hint="eastAsia"/>
          <w:color w:val="auto"/>
          <w:highlight w:val="none"/>
        </w:rPr>
        <w:t>六、供应商类似项目业绩一览表</w:t>
      </w:r>
      <w:bookmarkEnd w:id="154"/>
      <w:bookmarkEnd w:id="155"/>
      <w:bookmarkEnd w:id="156"/>
    </w:p>
    <w:tbl>
      <w:tblPr>
        <w:tblStyle w:val="19"/>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4"/>
        <w:gridCol w:w="1415"/>
        <w:gridCol w:w="1243"/>
        <w:gridCol w:w="1350"/>
        <w:gridCol w:w="9"/>
        <w:gridCol w:w="1452"/>
        <w:gridCol w:w="11"/>
        <w:gridCol w:w="1424"/>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top w:val="single" w:color="auto" w:sz="4" w:space="0"/>
            </w:tcBorders>
            <w:vAlign w:val="center"/>
          </w:tcPr>
          <w:p>
            <w:pPr>
              <w:spacing w:line="360" w:lineRule="auto"/>
              <w:ind w:firstLine="105" w:firstLineChars="50"/>
              <w:jc w:val="center"/>
              <w:rPr>
                <w:rFonts w:ascii="宋体" w:hAnsi="宋体" w:cs="Arial"/>
                <w:b/>
                <w:color w:val="auto"/>
                <w:szCs w:val="21"/>
                <w:highlight w:val="none"/>
              </w:rPr>
            </w:pPr>
            <w:r>
              <w:rPr>
                <w:rFonts w:hint="eastAsia" w:ascii="宋体" w:hAnsi="宋体" w:cs="Arial"/>
                <w:b/>
                <w:color w:val="auto"/>
                <w:szCs w:val="21"/>
                <w:highlight w:val="none"/>
              </w:rPr>
              <w:t>年份</w:t>
            </w:r>
          </w:p>
        </w:tc>
        <w:tc>
          <w:tcPr>
            <w:tcW w:w="1544"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用户名称</w:t>
            </w:r>
          </w:p>
        </w:tc>
        <w:tc>
          <w:tcPr>
            <w:tcW w:w="1415" w:type="dxa"/>
            <w:vAlign w:val="center"/>
          </w:tcPr>
          <w:p>
            <w:pPr>
              <w:spacing w:line="360" w:lineRule="auto"/>
              <w:jc w:val="center"/>
              <w:rPr>
                <w:rFonts w:ascii="宋体" w:hAnsi="宋体" w:cs="Arial"/>
                <w:b/>
                <w:color w:val="auto"/>
                <w:szCs w:val="21"/>
                <w:highlight w:val="none"/>
              </w:rPr>
            </w:pPr>
            <w:r>
              <w:rPr>
                <w:rFonts w:ascii="宋体" w:hAnsi="宋体" w:cs="Arial"/>
                <w:b/>
                <w:color w:val="auto"/>
                <w:szCs w:val="21"/>
                <w:highlight w:val="none"/>
              </w:rPr>
              <w:t>项目名称</w:t>
            </w:r>
          </w:p>
        </w:tc>
        <w:tc>
          <w:tcPr>
            <w:tcW w:w="1243" w:type="dxa"/>
            <w:vAlign w:val="center"/>
          </w:tcPr>
          <w:p>
            <w:pPr>
              <w:spacing w:line="360" w:lineRule="auto"/>
              <w:jc w:val="center"/>
              <w:rPr>
                <w:rFonts w:ascii="宋体" w:hAnsi="宋体" w:cs="Arial"/>
                <w:b/>
                <w:color w:val="auto"/>
                <w:szCs w:val="21"/>
                <w:highlight w:val="none"/>
              </w:rPr>
            </w:pPr>
            <w:r>
              <w:rPr>
                <w:rFonts w:ascii="宋体" w:hAnsi="宋体" w:cs="Arial"/>
                <w:b/>
                <w:color w:val="auto"/>
                <w:szCs w:val="21"/>
                <w:highlight w:val="none"/>
              </w:rPr>
              <w:t>完成时间</w:t>
            </w:r>
          </w:p>
        </w:tc>
        <w:tc>
          <w:tcPr>
            <w:tcW w:w="1350" w:type="dxa"/>
            <w:vAlign w:val="center"/>
          </w:tcPr>
          <w:p>
            <w:pPr>
              <w:spacing w:line="360" w:lineRule="auto"/>
              <w:ind w:firstLine="105" w:firstLineChars="50"/>
              <w:jc w:val="center"/>
              <w:rPr>
                <w:rFonts w:ascii="宋体" w:hAnsi="宋体" w:cs="Arial"/>
                <w:b/>
                <w:color w:val="auto"/>
                <w:szCs w:val="21"/>
                <w:highlight w:val="none"/>
              </w:rPr>
            </w:pPr>
            <w:r>
              <w:rPr>
                <w:rFonts w:ascii="宋体" w:hAnsi="宋体" w:cs="Arial"/>
                <w:b/>
                <w:color w:val="auto"/>
                <w:szCs w:val="21"/>
                <w:highlight w:val="none"/>
              </w:rPr>
              <w:t>合同金额</w:t>
            </w:r>
          </w:p>
        </w:tc>
        <w:tc>
          <w:tcPr>
            <w:tcW w:w="1472" w:type="dxa"/>
            <w:gridSpan w:val="3"/>
            <w:tcBorders>
              <w:right w:val="single" w:color="auto" w:sz="4" w:space="0"/>
            </w:tcBorders>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是否通过验收</w:t>
            </w:r>
          </w:p>
        </w:tc>
        <w:tc>
          <w:tcPr>
            <w:tcW w:w="1437" w:type="dxa"/>
            <w:gridSpan w:val="2"/>
            <w:tcBorders>
              <w:right w:val="single" w:color="auto" w:sz="4" w:space="0"/>
            </w:tcBorders>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0" w:type="dxa"/>
            <w:vAlign w:val="center"/>
          </w:tcPr>
          <w:p>
            <w:pPr>
              <w:spacing w:line="360" w:lineRule="auto"/>
              <w:jc w:val="center"/>
              <w:rPr>
                <w:rFonts w:ascii="宋体" w:hAnsi="宋体" w:cs="Arial"/>
                <w:color w:val="auto"/>
                <w:szCs w:val="21"/>
                <w:highlight w:val="none"/>
              </w:rPr>
            </w:pPr>
          </w:p>
        </w:tc>
        <w:tc>
          <w:tcPr>
            <w:tcW w:w="1472" w:type="dxa"/>
            <w:gridSpan w:val="3"/>
            <w:tcBorders>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0" w:type="dxa"/>
            <w:vAlign w:val="center"/>
          </w:tcPr>
          <w:p>
            <w:pPr>
              <w:spacing w:line="360" w:lineRule="auto"/>
              <w:jc w:val="center"/>
              <w:rPr>
                <w:rFonts w:ascii="宋体" w:hAnsi="宋体" w:cs="Arial"/>
                <w:color w:val="auto"/>
                <w:szCs w:val="21"/>
                <w:highlight w:val="none"/>
              </w:rPr>
            </w:pPr>
          </w:p>
        </w:tc>
        <w:tc>
          <w:tcPr>
            <w:tcW w:w="1472" w:type="dxa"/>
            <w:gridSpan w:val="3"/>
            <w:tcBorders>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0" w:type="dxa"/>
            <w:vAlign w:val="center"/>
          </w:tcPr>
          <w:p>
            <w:pPr>
              <w:spacing w:line="360" w:lineRule="auto"/>
              <w:jc w:val="center"/>
              <w:rPr>
                <w:rFonts w:ascii="宋体" w:hAnsi="宋体" w:cs="Arial"/>
                <w:color w:val="auto"/>
                <w:szCs w:val="21"/>
                <w:highlight w:val="none"/>
              </w:rPr>
            </w:pPr>
          </w:p>
        </w:tc>
        <w:tc>
          <w:tcPr>
            <w:tcW w:w="1472" w:type="dxa"/>
            <w:gridSpan w:val="3"/>
            <w:tcBorders>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tcBorders>
              <w:right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left w:val="single" w:color="auto" w:sz="4" w:space="0"/>
            </w:tcBorders>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0" w:type="dxa"/>
            <w:vAlign w:val="center"/>
          </w:tcPr>
          <w:p>
            <w:pPr>
              <w:spacing w:line="360" w:lineRule="auto"/>
              <w:jc w:val="center"/>
              <w:rPr>
                <w:rFonts w:ascii="宋体" w:hAnsi="宋体" w:cs="Arial"/>
                <w:color w:val="auto"/>
                <w:szCs w:val="21"/>
                <w:highlight w:val="none"/>
              </w:rPr>
            </w:pPr>
          </w:p>
        </w:tc>
        <w:tc>
          <w:tcPr>
            <w:tcW w:w="1472" w:type="dxa"/>
            <w:gridSpan w:val="3"/>
            <w:tcBorders>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right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63"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9"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9"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9"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510" w:hRule="atLeast"/>
          <w:jc w:val="center"/>
        </w:trPr>
        <w:tc>
          <w:tcPr>
            <w:tcW w:w="770" w:type="dxa"/>
            <w:tcBorders>
              <w:bottom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bottom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bottom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bottom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50"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35" w:hRule="atLeast"/>
          <w:jc w:val="center"/>
        </w:trPr>
        <w:tc>
          <w:tcPr>
            <w:tcW w:w="770" w:type="dxa"/>
            <w:tcBorders>
              <w:top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top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top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top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top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top w:val="single" w:color="auto" w:sz="4" w:space="0"/>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bl>
    <w:p>
      <w:pPr>
        <w:adjustRightInd w:val="0"/>
        <w:spacing w:line="360" w:lineRule="auto"/>
        <w:ind w:firstLine="480" w:firstLineChars="200"/>
        <w:jc w:val="left"/>
        <w:rPr>
          <w:rFonts w:ascii="新宋体" w:hAnsi="新宋体" w:eastAsia="新宋体"/>
          <w:color w:val="auto"/>
          <w:sz w:val="24"/>
          <w:highlight w:val="none"/>
        </w:rPr>
      </w:pPr>
      <w:bookmarkStart w:id="157" w:name="_Toc217446091"/>
    </w:p>
    <w:p>
      <w:pPr>
        <w:adjustRightInd w:val="0"/>
        <w:spacing w:line="360" w:lineRule="auto"/>
        <w:ind w:firstLine="480" w:firstLineChars="200"/>
        <w:jc w:val="left"/>
        <w:rPr>
          <w:rFonts w:ascii="新宋体" w:hAnsi="新宋体" w:eastAsia="新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color w:val="auto"/>
          <w:highlight w:val="none"/>
        </w:rPr>
      </w:pPr>
    </w:p>
    <w:p>
      <w:pPr>
        <w:pStyle w:val="5"/>
        <w:spacing w:before="0" w:after="0" w:line="360" w:lineRule="auto"/>
        <w:jc w:val="center"/>
        <w:rPr>
          <w:color w:val="auto"/>
          <w:highlight w:val="none"/>
        </w:rPr>
      </w:pPr>
      <w:r>
        <w:rPr>
          <w:rFonts w:hint="eastAsia"/>
          <w:color w:val="auto"/>
          <w:kern w:val="0"/>
          <w:highlight w:val="none"/>
        </w:rPr>
        <w:br w:type="page"/>
      </w:r>
      <w:bookmarkStart w:id="158" w:name="_Toc13243_WPSOffice_Level2"/>
      <w:bookmarkStart w:id="159" w:name="_Toc19674_WPSOffice_Level2"/>
      <w:r>
        <w:rPr>
          <w:rFonts w:hint="eastAsia"/>
          <w:color w:val="auto"/>
          <w:kern w:val="0"/>
          <w:highlight w:val="none"/>
        </w:rPr>
        <w:t>七</w:t>
      </w:r>
      <w:r>
        <w:rPr>
          <w:rFonts w:hint="eastAsia"/>
          <w:color w:val="auto"/>
          <w:highlight w:val="none"/>
        </w:rPr>
        <w:t>、供应商本项目管理、技术、服务人员情况表</w:t>
      </w:r>
      <w:bookmarkEnd w:id="157"/>
      <w:bookmarkEnd w:id="158"/>
      <w:bookmarkEnd w:id="159"/>
    </w:p>
    <w:p>
      <w:pPr>
        <w:snapToGrid w:val="0"/>
        <w:spacing w:line="360" w:lineRule="auto"/>
        <w:rPr>
          <w:rFonts w:ascii="宋体" w:hAnsi="宋体" w:cs="仿宋_GB2312"/>
          <w:bCs/>
          <w:color w:val="auto"/>
          <w:szCs w:val="21"/>
          <w:highlight w:val="none"/>
          <w:u w:val="single"/>
        </w:rPr>
      </w:pPr>
      <w:r>
        <w:rPr>
          <w:rFonts w:hint="eastAsia" w:ascii="宋体" w:hAnsi="宋体" w:cs="仿宋_GB2312"/>
          <w:bCs/>
          <w:color w:val="auto"/>
          <w:szCs w:val="21"/>
          <w:highlight w:val="none"/>
        </w:rPr>
        <w:t>项目名称：</w:t>
      </w:r>
      <w:r>
        <w:rPr>
          <w:rFonts w:hint="eastAsia" w:ascii="宋体" w:hAnsi="宋体"/>
          <w:bCs/>
          <w:color w:val="auto"/>
          <w:sz w:val="24"/>
          <w:highlight w:val="none"/>
          <w:u w:val="single"/>
        </w:rPr>
        <w:t xml:space="preserve">            </w:t>
      </w:r>
    </w:p>
    <w:p>
      <w:pPr>
        <w:snapToGrid w:val="0"/>
        <w:spacing w:line="360" w:lineRule="auto"/>
        <w:rPr>
          <w:rFonts w:ascii="宋体" w:hAnsi="宋体"/>
          <w:bCs/>
          <w:color w:val="auto"/>
          <w:sz w:val="24"/>
          <w:highlight w:val="none"/>
          <w:u w:val="single"/>
        </w:rPr>
      </w:pPr>
      <w:r>
        <w:rPr>
          <w:rFonts w:hint="eastAsia" w:ascii="宋体" w:hAnsi="宋体" w:cs="仿宋_GB2312"/>
          <w:bCs/>
          <w:color w:val="auto"/>
          <w:szCs w:val="21"/>
          <w:highlight w:val="none"/>
        </w:rPr>
        <w:t>项目编号：</w:t>
      </w:r>
      <w:r>
        <w:rPr>
          <w:rFonts w:hint="eastAsia" w:ascii="宋体" w:hAnsi="宋体"/>
          <w:bCs/>
          <w:color w:val="auto"/>
          <w:sz w:val="24"/>
          <w:highlight w:val="none"/>
          <w:u w:val="single"/>
        </w:rPr>
        <w:t xml:space="preserve">            </w:t>
      </w:r>
    </w:p>
    <w:tbl>
      <w:tblPr>
        <w:tblStyle w:val="1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75"/>
        <w:gridCol w:w="976"/>
        <w:gridCol w:w="976"/>
        <w:gridCol w:w="976"/>
        <w:gridCol w:w="1341"/>
        <w:gridCol w:w="851"/>
        <w:gridCol w:w="102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975" w:type="dxa"/>
            <w:vMerge w:val="restart"/>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976" w:type="dxa"/>
            <w:vMerge w:val="restart"/>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76" w:type="dxa"/>
            <w:vMerge w:val="restart"/>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976" w:type="dxa"/>
            <w:vMerge w:val="restart"/>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常住地</w:t>
            </w:r>
          </w:p>
        </w:tc>
        <w:tc>
          <w:tcPr>
            <w:tcW w:w="4112" w:type="dxa"/>
            <w:gridSpan w:val="4"/>
            <w:vAlign w:val="center"/>
          </w:tcPr>
          <w:p>
            <w:pPr>
              <w:widowControl/>
              <w:spacing w:line="360" w:lineRule="atLeast"/>
              <w:ind w:firstLine="411" w:firstLineChars="196"/>
              <w:jc w:val="center"/>
              <w:rPr>
                <w:rFonts w:ascii="宋体" w:hAnsi="宋体" w:cs="宋体"/>
                <w:color w:val="auto"/>
                <w:szCs w:val="21"/>
                <w:highlight w:val="none"/>
              </w:rPr>
            </w:pPr>
            <w:r>
              <w:rPr>
                <w:rFonts w:hint="eastAsia" w:ascii="宋体" w:hAnsi="宋体" w:cs="宋体"/>
                <w:color w:val="auto"/>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ascii="宋体" w:hAnsi="宋体" w:cs="宋体"/>
                <w:color w:val="auto"/>
                <w:szCs w:val="21"/>
                <w:highlight w:val="none"/>
              </w:rPr>
            </w:pPr>
          </w:p>
        </w:tc>
        <w:tc>
          <w:tcPr>
            <w:tcW w:w="975" w:type="dxa"/>
            <w:vMerge w:val="continue"/>
            <w:vAlign w:val="center"/>
          </w:tcPr>
          <w:p>
            <w:pPr>
              <w:jc w:val="center"/>
              <w:rPr>
                <w:rFonts w:ascii="宋体" w:hAnsi="宋体" w:cs="宋体"/>
                <w:color w:val="auto"/>
                <w:szCs w:val="21"/>
                <w:highlight w:val="none"/>
              </w:rPr>
            </w:pPr>
          </w:p>
        </w:tc>
        <w:tc>
          <w:tcPr>
            <w:tcW w:w="976" w:type="dxa"/>
            <w:vMerge w:val="continue"/>
            <w:vAlign w:val="center"/>
          </w:tcPr>
          <w:p>
            <w:pPr>
              <w:jc w:val="center"/>
              <w:rPr>
                <w:rFonts w:ascii="宋体" w:hAnsi="宋体" w:cs="宋体"/>
                <w:color w:val="auto"/>
                <w:szCs w:val="21"/>
                <w:highlight w:val="none"/>
              </w:rPr>
            </w:pPr>
          </w:p>
        </w:tc>
        <w:tc>
          <w:tcPr>
            <w:tcW w:w="976" w:type="dxa"/>
            <w:vMerge w:val="continue"/>
            <w:vAlign w:val="center"/>
          </w:tcPr>
          <w:p>
            <w:pPr>
              <w:jc w:val="center"/>
              <w:rPr>
                <w:rFonts w:ascii="宋体" w:hAnsi="宋体" w:cs="宋体"/>
                <w:color w:val="auto"/>
                <w:szCs w:val="21"/>
                <w:highlight w:val="none"/>
              </w:rPr>
            </w:pPr>
          </w:p>
        </w:tc>
        <w:tc>
          <w:tcPr>
            <w:tcW w:w="976" w:type="dxa"/>
            <w:vMerge w:val="continue"/>
            <w:vAlign w:val="center"/>
          </w:tcPr>
          <w:p>
            <w:pPr>
              <w:jc w:val="center"/>
              <w:rPr>
                <w:rFonts w:ascii="宋体" w:hAnsi="宋体" w:cs="宋体"/>
                <w:color w:val="auto"/>
                <w:szCs w:val="21"/>
                <w:highlight w:val="none"/>
              </w:rPr>
            </w:pPr>
          </w:p>
        </w:tc>
        <w:tc>
          <w:tcPr>
            <w:tcW w:w="1341" w:type="dxa"/>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851" w:type="dxa"/>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25" w:type="dxa"/>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895" w:type="dxa"/>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管理</w:t>
            </w:r>
          </w:p>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人员</w:t>
            </w:r>
          </w:p>
        </w:tc>
        <w:tc>
          <w:tcPr>
            <w:tcW w:w="975"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1341" w:type="dxa"/>
            <w:vAlign w:val="center"/>
          </w:tcPr>
          <w:p>
            <w:pPr>
              <w:widowControl/>
              <w:spacing w:line="360" w:lineRule="atLeast"/>
              <w:ind w:firstLine="411" w:firstLineChars="196"/>
              <w:jc w:val="center"/>
              <w:rPr>
                <w:rFonts w:ascii="宋体" w:hAnsi="宋体" w:cs="宋体"/>
                <w:color w:val="auto"/>
                <w:szCs w:val="21"/>
                <w:highlight w:val="none"/>
              </w:rPr>
            </w:pPr>
          </w:p>
        </w:tc>
        <w:tc>
          <w:tcPr>
            <w:tcW w:w="851" w:type="dxa"/>
            <w:vAlign w:val="center"/>
          </w:tcPr>
          <w:p>
            <w:pPr>
              <w:widowControl/>
              <w:spacing w:line="360" w:lineRule="atLeast"/>
              <w:ind w:firstLine="411" w:firstLineChars="196"/>
              <w:jc w:val="center"/>
              <w:rPr>
                <w:rFonts w:ascii="宋体" w:hAnsi="宋体" w:cs="宋体"/>
                <w:color w:val="auto"/>
                <w:szCs w:val="21"/>
                <w:highlight w:val="none"/>
              </w:rPr>
            </w:pPr>
          </w:p>
        </w:tc>
        <w:tc>
          <w:tcPr>
            <w:tcW w:w="1025" w:type="dxa"/>
            <w:vAlign w:val="center"/>
          </w:tcPr>
          <w:p>
            <w:pPr>
              <w:widowControl/>
              <w:spacing w:line="360" w:lineRule="atLeast"/>
              <w:ind w:firstLine="411" w:firstLineChars="196"/>
              <w:jc w:val="center"/>
              <w:rPr>
                <w:rFonts w:ascii="宋体" w:hAnsi="宋体" w:cs="宋体"/>
                <w:color w:val="auto"/>
                <w:szCs w:val="21"/>
                <w:highlight w:val="none"/>
              </w:rPr>
            </w:pPr>
          </w:p>
        </w:tc>
        <w:tc>
          <w:tcPr>
            <w:tcW w:w="895" w:type="dxa"/>
            <w:vAlign w:val="center"/>
          </w:tcPr>
          <w:p>
            <w:pPr>
              <w:widowControl/>
              <w:spacing w:line="360" w:lineRule="atLeast"/>
              <w:ind w:firstLine="411" w:firstLineChars="19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ascii="宋体" w:hAnsi="宋体" w:cs="宋体"/>
                <w:color w:val="auto"/>
                <w:szCs w:val="21"/>
                <w:highlight w:val="none"/>
              </w:rPr>
            </w:pPr>
          </w:p>
        </w:tc>
        <w:tc>
          <w:tcPr>
            <w:tcW w:w="975"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1341" w:type="dxa"/>
            <w:vAlign w:val="center"/>
          </w:tcPr>
          <w:p>
            <w:pPr>
              <w:widowControl/>
              <w:spacing w:line="360" w:lineRule="atLeast"/>
              <w:ind w:firstLine="411" w:firstLineChars="196"/>
              <w:jc w:val="center"/>
              <w:rPr>
                <w:rFonts w:ascii="宋体" w:hAnsi="宋体" w:cs="宋体"/>
                <w:color w:val="auto"/>
                <w:szCs w:val="21"/>
                <w:highlight w:val="none"/>
              </w:rPr>
            </w:pPr>
          </w:p>
        </w:tc>
        <w:tc>
          <w:tcPr>
            <w:tcW w:w="851" w:type="dxa"/>
            <w:vAlign w:val="center"/>
          </w:tcPr>
          <w:p>
            <w:pPr>
              <w:widowControl/>
              <w:spacing w:line="360" w:lineRule="atLeast"/>
              <w:ind w:firstLine="411" w:firstLineChars="196"/>
              <w:jc w:val="center"/>
              <w:rPr>
                <w:rFonts w:ascii="宋体" w:hAnsi="宋体" w:cs="宋体"/>
                <w:color w:val="auto"/>
                <w:szCs w:val="21"/>
                <w:highlight w:val="none"/>
              </w:rPr>
            </w:pPr>
          </w:p>
        </w:tc>
        <w:tc>
          <w:tcPr>
            <w:tcW w:w="1025" w:type="dxa"/>
            <w:vAlign w:val="center"/>
          </w:tcPr>
          <w:p>
            <w:pPr>
              <w:widowControl/>
              <w:spacing w:line="360" w:lineRule="atLeast"/>
              <w:ind w:firstLine="411" w:firstLineChars="196"/>
              <w:jc w:val="center"/>
              <w:rPr>
                <w:rFonts w:ascii="宋体" w:hAnsi="宋体" w:cs="宋体"/>
                <w:color w:val="auto"/>
                <w:szCs w:val="21"/>
                <w:highlight w:val="none"/>
              </w:rPr>
            </w:pPr>
          </w:p>
        </w:tc>
        <w:tc>
          <w:tcPr>
            <w:tcW w:w="895" w:type="dxa"/>
            <w:vAlign w:val="center"/>
          </w:tcPr>
          <w:p>
            <w:pPr>
              <w:widowControl/>
              <w:spacing w:line="360" w:lineRule="atLeast"/>
              <w:ind w:firstLine="411" w:firstLineChars="19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ascii="宋体" w:hAnsi="宋体" w:cs="宋体"/>
                <w:color w:val="auto"/>
                <w:szCs w:val="21"/>
                <w:highlight w:val="none"/>
              </w:rPr>
            </w:pPr>
          </w:p>
        </w:tc>
        <w:tc>
          <w:tcPr>
            <w:tcW w:w="975"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1341" w:type="dxa"/>
            <w:vAlign w:val="center"/>
          </w:tcPr>
          <w:p>
            <w:pPr>
              <w:widowControl/>
              <w:spacing w:line="360" w:lineRule="atLeast"/>
              <w:ind w:firstLine="411" w:firstLineChars="196"/>
              <w:jc w:val="center"/>
              <w:rPr>
                <w:rFonts w:ascii="宋体" w:hAnsi="宋体" w:cs="宋体"/>
                <w:color w:val="auto"/>
                <w:szCs w:val="21"/>
                <w:highlight w:val="none"/>
              </w:rPr>
            </w:pPr>
          </w:p>
        </w:tc>
        <w:tc>
          <w:tcPr>
            <w:tcW w:w="851" w:type="dxa"/>
            <w:vAlign w:val="center"/>
          </w:tcPr>
          <w:p>
            <w:pPr>
              <w:widowControl/>
              <w:spacing w:line="360" w:lineRule="atLeast"/>
              <w:ind w:firstLine="411" w:firstLineChars="196"/>
              <w:jc w:val="center"/>
              <w:rPr>
                <w:rFonts w:ascii="宋体" w:hAnsi="宋体" w:cs="宋体"/>
                <w:color w:val="auto"/>
                <w:szCs w:val="21"/>
                <w:highlight w:val="none"/>
              </w:rPr>
            </w:pPr>
          </w:p>
        </w:tc>
        <w:tc>
          <w:tcPr>
            <w:tcW w:w="1025" w:type="dxa"/>
            <w:vAlign w:val="center"/>
          </w:tcPr>
          <w:p>
            <w:pPr>
              <w:widowControl/>
              <w:spacing w:line="360" w:lineRule="atLeast"/>
              <w:ind w:firstLine="411" w:firstLineChars="196"/>
              <w:jc w:val="center"/>
              <w:rPr>
                <w:rFonts w:ascii="宋体" w:hAnsi="宋体" w:cs="宋体"/>
                <w:color w:val="auto"/>
                <w:szCs w:val="21"/>
                <w:highlight w:val="none"/>
              </w:rPr>
            </w:pPr>
          </w:p>
        </w:tc>
        <w:tc>
          <w:tcPr>
            <w:tcW w:w="895" w:type="dxa"/>
            <w:vAlign w:val="center"/>
          </w:tcPr>
          <w:p>
            <w:pPr>
              <w:widowControl/>
              <w:spacing w:line="360" w:lineRule="atLeast"/>
              <w:ind w:firstLine="411" w:firstLineChars="19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技术</w:t>
            </w:r>
          </w:p>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人员</w:t>
            </w:r>
          </w:p>
        </w:tc>
        <w:tc>
          <w:tcPr>
            <w:tcW w:w="975"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1341" w:type="dxa"/>
            <w:vAlign w:val="center"/>
          </w:tcPr>
          <w:p>
            <w:pPr>
              <w:widowControl/>
              <w:spacing w:line="360" w:lineRule="atLeast"/>
              <w:ind w:firstLine="411" w:firstLineChars="196"/>
              <w:jc w:val="center"/>
              <w:rPr>
                <w:rFonts w:ascii="宋体" w:hAnsi="宋体" w:cs="宋体"/>
                <w:color w:val="auto"/>
                <w:szCs w:val="21"/>
                <w:highlight w:val="none"/>
              </w:rPr>
            </w:pPr>
          </w:p>
        </w:tc>
        <w:tc>
          <w:tcPr>
            <w:tcW w:w="851" w:type="dxa"/>
            <w:vAlign w:val="center"/>
          </w:tcPr>
          <w:p>
            <w:pPr>
              <w:widowControl/>
              <w:spacing w:line="360" w:lineRule="atLeast"/>
              <w:ind w:firstLine="411" w:firstLineChars="196"/>
              <w:jc w:val="center"/>
              <w:rPr>
                <w:rFonts w:ascii="宋体" w:hAnsi="宋体" w:cs="宋体"/>
                <w:color w:val="auto"/>
                <w:szCs w:val="21"/>
                <w:highlight w:val="none"/>
              </w:rPr>
            </w:pPr>
          </w:p>
        </w:tc>
        <w:tc>
          <w:tcPr>
            <w:tcW w:w="1025" w:type="dxa"/>
            <w:vAlign w:val="center"/>
          </w:tcPr>
          <w:p>
            <w:pPr>
              <w:widowControl/>
              <w:spacing w:line="360" w:lineRule="atLeast"/>
              <w:ind w:firstLine="411" w:firstLineChars="196"/>
              <w:jc w:val="center"/>
              <w:rPr>
                <w:rFonts w:ascii="宋体" w:hAnsi="宋体" w:cs="宋体"/>
                <w:color w:val="auto"/>
                <w:szCs w:val="21"/>
                <w:highlight w:val="none"/>
              </w:rPr>
            </w:pPr>
          </w:p>
        </w:tc>
        <w:tc>
          <w:tcPr>
            <w:tcW w:w="895" w:type="dxa"/>
            <w:vAlign w:val="center"/>
          </w:tcPr>
          <w:p>
            <w:pPr>
              <w:widowControl/>
              <w:spacing w:line="360" w:lineRule="atLeast"/>
              <w:ind w:firstLine="411" w:firstLineChars="19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ascii="宋体" w:hAnsi="宋体" w:cs="宋体"/>
                <w:color w:val="auto"/>
                <w:szCs w:val="21"/>
                <w:highlight w:val="none"/>
              </w:rPr>
            </w:pPr>
          </w:p>
        </w:tc>
        <w:tc>
          <w:tcPr>
            <w:tcW w:w="975"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1341" w:type="dxa"/>
            <w:vAlign w:val="center"/>
          </w:tcPr>
          <w:p>
            <w:pPr>
              <w:widowControl/>
              <w:spacing w:line="360" w:lineRule="atLeast"/>
              <w:ind w:firstLine="411" w:firstLineChars="196"/>
              <w:jc w:val="center"/>
              <w:rPr>
                <w:rFonts w:ascii="宋体" w:hAnsi="宋体" w:cs="宋体"/>
                <w:color w:val="auto"/>
                <w:szCs w:val="21"/>
                <w:highlight w:val="none"/>
              </w:rPr>
            </w:pPr>
          </w:p>
        </w:tc>
        <w:tc>
          <w:tcPr>
            <w:tcW w:w="851" w:type="dxa"/>
            <w:vAlign w:val="center"/>
          </w:tcPr>
          <w:p>
            <w:pPr>
              <w:widowControl/>
              <w:spacing w:line="360" w:lineRule="atLeast"/>
              <w:ind w:firstLine="411" w:firstLineChars="196"/>
              <w:jc w:val="center"/>
              <w:rPr>
                <w:rFonts w:ascii="宋体" w:hAnsi="宋体" w:cs="宋体"/>
                <w:color w:val="auto"/>
                <w:szCs w:val="21"/>
                <w:highlight w:val="none"/>
              </w:rPr>
            </w:pPr>
          </w:p>
        </w:tc>
        <w:tc>
          <w:tcPr>
            <w:tcW w:w="1025" w:type="dxa"/>
            <w:vAlign w:val="center"/>
          </w:tcPr>
          <w:p>
            <w:pPr>
              <w:widowControl/>
              <w:spacing w:line="360" w:lineRule="atLeast"/>
              <w:ind w:firstLine="411" w:firstLineChars="196"/>
              <w:jc w:val="center"/>
              <w:rPr>
                <w:rFonts w:ascii="宋体" w:hAnsi="宋体" w:cs="宋体"/>
                <w:color w:val="auto"/>
                <w:szCs w:val="21"/>
                <w:highlight w:val="none"/>
              </w:rPr>
            </w:pPr>
          </w:p>
        </w:tc>
        <w:tc>
          <w:tcPr>
            <w:tcW w:w="895" w:type="dxa"/>
            <w:vAlign w:val="center"/>
          </w:tcPr>
          <w:p>
            <w:pPr>
              <w:widowControl/>
              <w:spacing w:line="360" w:lineRule="atLeast"/>
              <w:ind w:firstLine="411" w:firstLineChars="19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ascii="宋体" w:hAnsi="宋体" w:cs="宋体"/>
                <w:color w:val="auto"/>
                <w:szCs w:val="21"/>
                <w:highlight w:val="none"/>
              </w:rPr>
            </w:pPr>
          </w:p>
        </w:tc>
        <w:tc>
          <w:tcPr>
            <w:tcW w:w="975"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1341" w:type="dxa"/>
            <w:vAlign w:val="center"/>
          </w:tcPr>
          <w:p>
            <w:pPr>
              <w:widowControl/>
              <w:spacing w:line="360" w:lineRule="atLeast"/>
              <w:ind w:firstLine="411" w:firstLineChars="196"/>
              <w:jc w:val="center"/>
              <w:rPr>
                <w:rFonts w:ascii="宋体" w:hAnsi="宋体" w:cs="宋体"/>
                <w:color w:val="auto"/>
                <w:szCs w:val="21"/>
                <w:highlight w:val="none"/>
              </w:rPr>
            </w:pPr>
          </w:p>
        </w:tc>
        <w:tc>
          <w:tcPr>
            <w:tcW w:w="851" w:type="dxa"/>
            <w:vAlign w:val="center"/>
          </w:tcPr>
          <w:p>
            <w:pPr>
              <w:widowControl/>
              <w:spacing w:line="360" w:lineRule="atLeast"/>
              <w:ind w:firstLine="411" w:firstLineChars="196"/>
              <w:jc w:val="center"/>
              <w:rPr>
                <w:rFonts w:ascii="宋体" w:hAnsi="宋体" w:cs="宋体"/>
                <w:color w:val="auto"/>
                <w:szCs w:val="21"/>
                <w:highlight w:val="none"/>
              </w:rPr>
            </w:pPr>
          </w:p>
        </w:tc>
        <w:tc>
          <w:tcPr>
            <w:tcW w:w="1025" w:type="dxa"/>
            <w:vAlign w:val="center"/>
          </w:tcPr>
          <w:p>
            <w:pPr>
              <w:widowControl/>
              <w:spacing w:line="360" w:lineRule="atLeast"/>
              <w:ind w:firstLine="411" w:firstLineChars="196"/>
              <w:jc w:val="center"/>
              <w:rPr>
                <w:rFonts w:ascii="宋体" w:hAnsi="宋体" w:cs="宋体"/>
                <w:color w:val="auto"/>
                <w:szCs w:val="21"/>
                <w:highlight w:val="none"/>
              </w:rPr>
            </w:pPr>
          </w:p>
        </w:tc>
        <w:tc>
          <w:tcPr>
            <w:tcW w:w="895" w:type="dxa"/>
            <w:vAlign w:val="center"/>
          </w:tcPr>
          <w:p>
            <w:pPr>
              <w:widowControl/>
              <w:spacing w:line="360" w:lineRule="atLeast"/>
              <w:ind w:firstLine="411" w:firstLineChars="19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售后服务人员</w:t>
            </w:r>
          </w:p>
        </w:tc>
        <w:tc>
          <w:tcPr>
            <w:tcW w:w="975"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1341" w:type="dxa"/>
            <w:vAlign w:val="center"/>
          </w:tcPr>
          <w:p>
            <w:pPr>
              <w:widowControl/>
              <w:spacing w:line="360" w:lineRule="atLeast"/>
              <w:ind w:firstLine="411" w:firstLineChars="196"/>
              <w:jc w:val="center"/>
              <w:rPr>
                <w:rFonts w:ascii="宋体" w:hAnsi="宋体" w:cs="宋体"/>
                <w:color w:val="auto"/>
                <w:szCs w:val="21"/>
                <w:highlight w:val="none"/>
              </w:rPr>
            </w:pPr>
          </w:p>
        </w:tc>
        <w:tc>
          <w:tcPr>
            <w:tcW w:w="851" w:type="dxa"/>
            <w:vAlign w:val="center"/>
          </w:tcPr>
          <w:p>
            <w:pPr>
              <w:widowControl/>
              <w:spacing w:line="360" w:lineRule="atLeast"/>
              <w:ind w:firstLine="411" w:firstLineChars="196"/>
              <w:jc w:val="center"/>
              <w:rPr>
                <w:rFonts w:ascii="宋体" w:hAnsi="宋体" w:cs="宋体"/>
                <w:color w:val="auto"/>
                <w:szCs w:val="21"/>
                <w:highlight w:val="none"/>
              </w:rPr>
            </w:pPr>
          </w:p>
        </w:tc>
        <w:tc>
          <w:tcPr>
            <w:tcW w:w="1025" w:type="dxa"/>
            <w:vAlign w:val="center"/>
          </w:tcPr>
          <w:p>
            <w:pPr>
              <w:widowControl/>
              <w:spacing w:line="360" w:lineRule="atLeast"/>
              <w:ind w:firstLine="411" w:firstLineChars="196"/>
              <w:jc w:val="center"/>
              <w:rPr>
                <w:rFonts w:ascii="宋体" w:hAnsi="宋体" w:cs="宋体"/>
                <w:color w:val="auto"/>
                <w:szCs w:val="21"/>
                <w:highlight w:val="none"/>
              </w:rPr>
            </w:pPr>
          </w:p>
        </w:tc>
        <w:tc>
          <w:tcPr>
            <w:tcW w:w="895" w:type="dxa"/>
            <w:vAlign w:val="center"/>
          </w:tcPr>
          <w:p>
            <w:pPr>
              <w:widowControl/>
              <w:spacing w:line="360" w:lineRule="atLeast"/>
              <w:ind w:firstLine="411" w:firstLineChars="19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widowControl/>
              <w:spacing w:line="360" w:lineRule="atLeast"/>
              <w:jc w:val="center"/>
              <w:rPr>
                <w:rFonts w:ascii="宋体" w:hAnsi="宋体" w:cs="宋体"/>
                <w:color w:val="auto"/>
                <w:szCs w:val="21"/>
                <w:highlight w:val="none"/>
              </w:rPr>
            </w:pPr>
          </w:p>
        </w:tc>
        <w:tc>
          <w:tcPr>
            <w:tcW w:w="975"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1341" w:type="dxa"/>
            <w:vAlign w:val="center"/>
          </w:tcPr>
          <w:p>
            <w:pPr>
              <w:widowControl/>
              <w:spacing w:line="360" w:lineRule="atLeast"/>
              <w:ind w:firstLine="411" w:firstLineChars="196"/>
              <w:jc w:val="center"/>
              <w:rPr>
                <w:rFonts w:ascii="宋体" w:hAnsi="宋体" w:cs="宋体"/>
                <w:color w:val="auto"/>
                <w:szCs w:val="21"/>
                <w:highlight w:val="none"/>
              </w:rPr>
            </w:pPr>
          </w:p>
        </w:tc>
        <w:tc>
          <w:tcPr>
            <w:tcW w:w="851" w:type="dxa"/>
            <w:vAlign w:val="center"/>
          </w:tcPr>
          <w:p>
            <w:pPr>
              <w:widowControl/>
              <w:spacing w:line="360" w:lineRule="atLeast"/>
              <w:ind w:firstLine="411" w:firstLineChars="196"/>
              <w:jc w:val="center"/>
              <w:rPr>
                <w:rFonts w:ascii="宋体" w:hAnsi="宋体" w:cs="宋体"/>
                <w:color w:val="auto"/>
                <w:szCs w:val="21"/>
                <w:highlight w:val="none"/>
              </w:rPr>
            </w:pPr>
          </w:p>
        </w:tc>
        <w:tc>
          <w:tcPr>
            <w:tcW w:w="1025" w:type="dxa"/>
            <w:vAlign w:val="center"/>
          </w:tcPr>
          <w:p>
            <w:pPr>
              <w:widowControl/>
              <w:spacing w:line="360" w:lineRule="atLeast"/>
              <w:ind w:firstLine="411" w:firstLineChars="196"/>
              <w:jc w:val="center"/>
              <w:rPr>
                <w:rFonts w:ascii="宋体" w:hAnsi="宋体" w:cs="宋体"/>
                <w:color w:val="auto"/>
                <w:szCs w:val="21"/>
                <w:highlight w:val="none"/>
              </w:rPr>
            </w:pPr>
          </w:p>
        </w:tc>
        <w:tc>
          <w:tcPr>
            <w:tcW w:w="895" w:type="dxa"/>
            <w:vAlign w:val="center"/>
          </w:tcPr>
          <w:p>
            <w:pPr>
              <w:widowControl/>
              <w:spacing w:line="360" w:lineRule="atLeast"/>
              <w:ind w:firstLine="411" w:firstLineChars="19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tcBorders>
              <w:bottom w:val="single" w:color="auto" w:sz="4" w:space="0"/>
            </w:tcBorders>
            <w:vAlign w:val="center"/>
          </w:tcPr>
          <w:p>
            <w:pPr>
              <w:jc w:val="center"/>
              <w:rPr>
                <w:rFonts w:ascii="宋体" w:hAnsi="宋体" w:cs="宋体"/>
                <w:color w:val="auto"/>
                <w:szCs w:val="21"/>
                <w:highlight w:val="none"/>
              </w:rPr>
            </w:pPr>
          </w:p>
        </w:tc>
        <w:tc>
          <w:tcPr>
            <w:tcW w:w="975" w:type="dxa"/>
            <w:tcBorders>
              <w:bottom w:val="single" w:color="auto" w:sz="4" w:space="0"/>
            </w:tcBorders>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976" w:type="dxa"/>
            <w:vAlign w:val="center"/>
          </w:tcPr>
          <w:p>
            <w:pPr>
              <w:widowControl/>
              <w:spacing w:line="360" w:lineRule="atLeast"/>
              <w:ind w:firstLine="411" w:firstLineChars="196"/>
              <w:jc w:val="center"/>
              <w:rPr>
                <w:rFonts w:ascii="宋体" w:hAnsi="宋体" w:cs="宋体"/>
                <w:color w:val="auto"/>
                <w:szCs w:val="21"/>
                <w:highlight w:val="none"/>
              </w:rPr>
            </w:pPr>
          </w:p>
        </w:tc>
        <w:tc>
          <w:tcPr>
            <w:tcW w:w="1341" w:type="dxa"/>
            <w:vAlign w:val="center"/>
          </w:tcPr>
          <w:p>
            <w:pPr>
              <w:widowControl/>
              <w:spacing w:line="360" w:lineRule="atLeast"/>
              <w:ind w:firstLine="411" w:firstLineChars="196"/>
              <w:jc w:val="center"/>
              <w:rPr>
                <w:rFonts w:ascii="宋体" w:hAnsi="宋体" w:cs="宋体"/>
                <w:color w:val="auto"/>
                <w:szCs w:val="21"/>
                <w:highlight w:val="none"/>
              </w:rPr>
            </w:pPr>
          </w:p>
        </w:tc>
        <w:tc>
          <w:tcPr>
            <w:tcW w:w="851" w:type="dxa"/>
            <w:vAlign w:val="center"/>
          </w:tcPr>
          <w:p>
            <w:pPr>
              <w:widowControl/>
              <w:spacing w:line="360" w:lineRule="atLeast"/>
              <w:ind w:firstLine="411" w:firstLineChars="196"/>
              <w:jc w:val="center"/>
              <w:rPr>
                <w:rFonts w:ascii="宋体" w:hAnsi="宋体" w:cs="宋体"/>
                <w:color w:val="auto"/>
                <w:szCs w:val="21"/>
                <w:highlight w:val="none"/>
              </w:rPr>
            </w:pPr>
          </w:p>
        </w:tc>
        <w:tc>
          <w:tcPr>
            <w:tcW w:w="1025" w:type="dxa"/>
            <w:vAlign w:val="center"/>
          </w:tcPr>
          <w:p>
            <w:pPr>
              <w:widowControl/>
              <w:spacing w:line="360" w:lineRule="atLeast"/>
              <w:ind w:firstLine="411" w:firstLineChars="196"/>
              <w:jc w:val="center"/>
              <w:rPr>
                <w:rFonts w:ascii="宋体" w:hAnsi="宋体" w:cs="宋体"/>
                <w:color w:val="auto"/>
                <w:szCs w:val="21"/>
                <w:highlight w:val="none"/>
              </w:rPr>
            </w:pPr>
          </w:p>
        </w:tc>
        <w:tc>
          <w:tcPr>
            <w:tcW w:w="895" w:type="dxa"/>
            <w:vAlign w:val="center"/>
          </w:tcPr>
          <w:p>
            <w:pPr>
              <w:widowControl/>
              <w:spacing w:line="360" w:lineRule="atLeast"/>
              <w:ind w:firstLine="411" w:firstLineChars="196"/>
              <w:jc w:val="center"/>
              <w:rPr>
                <w:rFonts w:ascii="宋体" w:hAnsi="宋体" w:cs="宋体"/>
                <w:color w:val="auto"/>
                <w:szCs w:val="21"/>
                <w:highlight w:val="none"/>
              </w:rPr>
            </w:pPr>
          </w:p>
        </w:tc>
      </w:tr>
    </w:tbl>
    <w:p>
      <w:pPr>
        <w:adjustRightInd w:val="0"/>
        <w:spacing w:line="360" w:lineRule="auto"/>
        <w:ind w:firstLine="482" w:firstLineChars="200"/>
        <w:jc w:val="left"/>
        <w:rPr>
          <w:rFonts w:ascii="新宋体" w:hAnsi="新宋体" w:eastAsia="新宋体"/>
          <w:b/>
          <w:color w:val="auto"/>
          <w:sz w:val="24"/>
          <w:highlight w:val="none"/>
        </w:rPr>
      </w:pPr>
    </w:p>
    <w:p>
      <w:pPr>
        <w:adjustRightInd w:val="0"/>
        <w:spacing w:line="360" w:lineRule="auto"/>
        <w:ind w:firstLine="482" w:firstLineChars="200"/>
        <w:jc w:val="left"/>
        <w:rPr>
          <w:rFonts w:ascii="新宋体" w:hAnsi="新宋体" w:eastAsia="新宋体"/>
          <w:b/>
          <w:color w:val="auto"/>
          <w:sz w:val="24"/>
          <w:highlight w:val="none"/>
        </w:rPr>
      </w:pP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注：1、本格式为参考格式，供应商可根据实际情况进行调整</w:t>
      </w:r>
      <w:r>
        <w:rPr>
          <w:rFonts w:hint="eastAsia" w:ascii="宋体" w:hAnsi="宋体" w:cs="宋体"/>
          <w:color w:val="auto"/>
          <w:sz w:val="24"/>
          <w:highlight w:val="none"/>
        </w:rPr>
        <w:t>。</w:t>
      </w:r>
    </w:p>
    <w:p>
      <w:pPr>
        <w:adjustRightInd w:val="0"/>
        <w:spacing w:line="360" w:lineRule="auto"/>
        <w:ind w:firstLine="480" w:firstLineChars="200"/>
        <w:jc w:val="left"/>
        <w:rPr>
          <w:rFonts w:ascii="新宋体" w:hAnsi="新宋体" w:eastAsia="新宋体"/>
          <w:color w:val="auto"/>
          <w:sz w:val="24"/>
          <w:highlight w:val="none"/>
        </w:rPr>
      </w:pPr>
    </w:p>
    <w:p>
      <w:pPr>
        <w:pStyle w:val="2"/>
        <w:spacing w:line="360" w:lineRule="auto"/>
        <w:rPr>
          <w:color w:val="auto"/>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rFonts w:ascii="宋体" w:hAnsi="宋体"/>
          <w:bCs/>
          <w:color w:val="auto"/>
          <w:sz w:val="24"/>
          <w:highlight w:val="none"/>
        </w:rPr>
      </w:pPr>
    </w:p>
    <w:p>
      <w:pPr>
        <w:adjustRightInd w:val="0"/>
        <w:spacing w:line="360" w:lineRule="auto"/>
        <w:ind w:firstLine="560" w:firstLineChars="200"/>
        <w:jc w:val="left"/>
        <w:rPr>
          <w:rFonts w:ascii="宋体" w:hAnsi="宋体"/>
          <w:color w:val="auto"/>
          <w:sz w:val="28"/>
          <w:highlight w:val="none"/>
        </w:rPr>
        <w:sectPr>
          <w:footerReference r:id="rId5" w:type="default"/>
          <w:pgSz w:w="11850" w:h="16783"/>
          <w:pgMar w:top="1440" w:right="1304" w:bottom="1440" w:left="1417" w:header="851" w:footer="992" w:gutter="0"/>
          <w:pgNumType w:fmt="numberInDash"/>
          <w:cols w:space="0" w:num="1"/>
          <w:docGrid w:type="lines" w:linePitch="314" w:charSpace="0"/>
        </w:sectPr>
      </w:pPr>
    </w:p>
    <w:p>
      <w:pPr>
        <w:pStyle w:val="5"/>
        <w:spacing w:before="0" w:after="0" w:line="360" w:lineRule="auto"/>
        <w:jc w:val="center"/>
        <w:rPr>
          <w:color w:val="auto"/>
          <w:highlight w:val="none"/>
        </w:rPr>
      </w:pPr>
      <w:bookmarkStart w:id="160" w:name="_Toc29279_WPSOffice_Level2"/>
      <w:bookmarkStart w:id="161" w:name="_Toc4498_WPSOffice_Level2"/>
      <w:r>
        <w:rPr>
          <w:rFonts w:hint="eastAsia"/>
          <w:color w:val="auto"/>
          <w:highlight w:val="none"/>
        </w:rPr>
        <w:t>八、关于知识产权的承诺函</w:t>
      </w:r>
    </w:p>
    <w:p>
      <w:pPr>
        <w:pStyle w:val="12"/>
        <w:spacing w:after="0" w:line="360" w:lineRule="auto"/>
        <w:ind w:left="0" w:leftChars="0"/>
        <w:jc w:val="left"/>
        <w:rPr>
          <w:rFonts w:ascii="宋体" w:hAnsi="宋体"/>
          <w:bCs/>
          <w:color w:val="auto"/>
          <w:sz w:val="24"/>
          <w:highlight w:val="none"/>
        </w:rPr>
      </w:pPr>
      <w:r>
        <w:rPr>
          <w:rFonts w:hint="eastAsia" w:ascii="宋体" w:hAnsi="宋体"/>
          <w:color w:val="auto"/>
          <w:sz w:val="24"/>
          <w:highlight w:val="none"/>
          <w:u w:val="single"/>
        </w:rPr>
        <w:t>力达通项目管理咨询有限公司</w:t>
      </w:r>
      <w:r>
        <w:rPr>
          <w:rFonts w:hint="eastAsia" w:ascii="宋体" w:hAnsi="宋体"/>
          <w:bCs/>
          <w:color w:val="auto"/>
          <w:sz w:val="24"/>
          <w:highlight w:val="none"/>
        </w:rPr>
        <w:t>（采购代理机构名称）：</w:t>
      </w:r>
    </w:p>
    <w:p>
      <w:pPr>
        <w:pStyle w:val="12"/>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2"/>
        <w:spacing w:after="0" w:line="360" w:lineRule="auto"/>
        <w:ind w:left="0" w:leftChars="0" w:firstLine="480" w:firstLineChars="200"/>
        <w:jc w:val="left"/>
        <w:rPr>
          <w:rFonts w:ascii="宋体" w:hAnsi="宋体"/>
          <w:bCs/>
          <w:color w:val="auto"/>
          <w:sz w:val="24"/>
          <w:highlight w:val="none"/>
        </w:rPr>
      </w:pPr>
    </w:p>
    <w:p>
      <w:pPr>
        <w:pStyle w:val="12"/>
        <w:spacing w:line="360" w:lineRule="auto"/>
        <w:rPr>
          <w:bCs/>
          <w:color w:val="auto"/>
          <w:sz w:val="24"/>
          <w:highlight w:val="none"/>
        </w:rPr>
      </w:pPr>
    </w:p>
    <w:p>
      <w:pPr>
        <w:adjustRightInd w:val="0"/>
        <w:spacing w:line="360" w:lineRule="auto"/>
        <w:ind w:firstLine="480" w:firstLineChars="200"/>
        <w:jc w:val="left"/>
        <w:rPr>
          <w:rFonts w:ascii="新宋体" w:hAnsi="新宋体" w:eastAsia="新宋体"/>
          <w:color w:val="auto"/>
          <w:sz w:val="24"/>
          <w:highlight w:val="none"/>
        </w:rPr>
      </w:pPr>
      <w:r>
        <w:rPr>
          <w:rFonts w:hint="eastAsia" w:ascii="宋体" w:hAnsi="宋体" w:cs="宋体"/>
          <w:color w:val="auto"/>
          <w:sz w:val="24"/>
          <w:highlight w:val="none"/>
        </w:rPr>
        <w:t>注：本承诺函为参考格式，供应商可根据磋商文件第二章总则中第 9 条及第五章相关要求进行承诺。</w:t>
      </w:r>
    </w:p>
    <w:p>
      <w:pPr>
        <w:adjustRightInd w:val="0"/>
        <w:spacing w:line="360" w:lineRule="auto"/>
        <w:ind w:firstLine="480" w:firstLineChars="200"/>
        <w:jc w:val="left"/>
        <w:rPr>
          <w:rFonts w:ascii="新宋体" w:hAnsi="新宋体" w:eastAsia="新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color w:val="auto"/>
          <w:highlight w:val="none"/>
        </w:rPr>
      </w:pPr>
    </w:p>
    <w:p>
      <w:pPr>
        <w:widowControl/>
        <w:spacing w:line="360" w:lineRule="auto"/>
        <w:jc w:val="center"/>
        <w:outlineLvl w:val="1"/>
        <w:rPr>
          <w:rStyle w:val="35"/>
          <w:color w:val="auto"/>
          <w:highlight w:val="none"/>
        </w:rPr>
      </w:pPr>
      <w:r>
        <w:rPr>
          <w:rFonts w:hint="eastAsia"/>
          <w:color w:val="auto"/>
          <w:highlight w:val="none"/>
        </w:rPr>
        <w:br w:type="page"/>
      </w:r>
      <w:r>
        <w:rPr>
          <w:rStyle w:val="35"/>
          <w:rFonts w:hint="eastAsia"/>
          <w:color w:val="auto"/>
          <w:highlight w:val="none"/>
        </w:rPr>
        <w:t>九、供应商诚信情况承诺函</w:t>
      </w:r>
    </w:p>
    <w:p>
      <w:pPr>
        <w:pStyle w:val="12"/>
        <w:spacing w:after="0" w:line="360" w:lineRule="auto"/>
        <w:ind w:left="0" w:leftChars="0"/>
        <w:jc w:val="left"/>
        <w:rPr>
          <w:rFonts w:ascii="宋体" w:hAnsi="宋体"/>
          <w:bCs/>
          <w:color w:val="auto"/>
          <w:sz w:val="24"/>
          <w:highlight w:val="none"/>
        </w:rPr>
      </w:pPr>
      <w:r>
        <w:rPr>
          <w:rFonts w:hint="eastAsia" w:ascii="宋体" w:hAnsi="宋体"/>
          <w:color w:val="auto"/>
          <w:sz w:val="24"/>
          <w:highlight w:val="none"/>
          <w:u w:val="single"/>
        </w:rPr>
        <w:t>力达通项目管理咨询有限公司</w:t>
      </w:r>
      <w:r>
        <w:rPr>
          <w:rFonts w:hint="eastAsia" w:ascii="宋体" w:hAnsi="宋体"/>
          <w:bCs/>
          <w:color w:val="auto"/>
          <w:sz w:val="24"/>
          <w:highlight w:val="none"/>
        </w:rPr>
        <w:t>（采购代理机构名称）：</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本单位</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（供应商名称）参加</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（项目名称）（项目编号：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）的政府采购活动，</w:t>
      </w:r>
      <w:r>
        <w:rPr>
          <w:rFonts w:hint="eastAsia" w:ascii="宋体" w:hAnsi="宋体" w:cs="宋体"/>
          <w:color w:val="auto"/>
          <w:sz w:val="24"/>
          <w:highlight w:val="none"/>
        </w:rPr>
        <w:t>现根据《四川省政府采购当事人诚信管理办法》川财采〔2015〕33号的相关规定，针</w:t>
      </w:r>
      <w:r>
        <w:rPr>
          <w:rFonts w:hint="eastAsia" w:ascii="宋体" w:hAnsi="宋体" w:cs="宋体"/>
          <w:bCs/>
          <w:color w:val="auto"/>
          <w:sz w:val="24"/>
          <w:highlight w:val="none"/>
        </w:rPr>
        <w:t>对本单位的诚信情况作出以下承诺：</w:t>
      </w: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我单位具有</w:t>
      </w:r>
      <w:r>
        <w:rPr>
          <w:rFonts w:hint="eastAsia" w:ascii="宋体" w:hAnsi="宋体" w:cs="宋体"/>
          <w:color w:val="auto"/>
          <w:sz w:val="24"/>
          <w:highlight w:val="none"/>
        </w:rPr>
        <w:t>《四川省政府采购当事人诚信管理办法》（川财采[2015]33号）所规定的失信行为</w:t>
      </w:r>
      <w:r>
        <w:rPr>
          <w:rFonts w:hint="eastAsia" w:ascii="宋体" w:hAnsi="宋体" w:cs="宋体"/>
          <w:color w:val="auto"/>
          <w:sz w:val="24"/>
          <w:highlight w:val="none"/>
          <w:u w:val="single"/>
        </w:rPr>
        <w:t xml:space="preserve">  XXX  </w:t>
      </w:r>
      <w:r>
        <w:rPr>
          <w:rFonts w:hint="eastAsia" w:ascii="宋体" w:hAnsi="宋体" w:cs="宋体"/>
          <w:color w:val="auto"/>
          <w:sz w:val="24"/>
          <w:highlight w:val="none"/>
        </w:rPr>
        <w:t>次（填写失信行为的次数时，建议使用大写数字，如零、壹、贰、叁、肆等。）；</w:t>
      </w:r>
      <w:r>
        <w:rPr>
          <w:rFonts w:hint="eastAsia" w:ascii="宋体" w:hAnsi="宋体" w:cs="宋体"/>
          <w:bCs/>
          <w:color w:val="auto"/>
          <w:sz w:val="24"/>
          <w:highlight w:val="none"/>
        </w:rPr>
        <w:t>（仅限递交响应文件截止当日仍在有效期的次数）</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bCs/>
          <w:color w:val="auto"/>
          <w:sz w:val="24"/>
          <w:highlight w:val="none"/>
        </w:rPr>
        <w:t>单位</w:t>
      </w:r>
      <w:r>
        <w:rPr>
          <w:rFonts w:hint="eastAsia" w:ascii="宋体" w:hAnsi="宋体" w:cs="宋体"/>
          <w:color w:val="auto"/>
          <w:sz w:val="24"/>
          <w:highlight w:val="none"/>
        </w:rPr>
        <w:t>对以上填写信息的真实性负责。如有不实，本</w:t>
      </w:r>
      <w:r>
        <w:rPr>
          <w:rFonts w:hint="eastAsia" w:ascii="宋体" w:hAnsi="宋体" w:cs="宋体"/>
          <w:bCs/>
          <w:color w:val="auto"/>
          <w:sz w:val="24"/>
          <w:highlight w:val="none"/>
        </w:rPr>
        <w:t>单位</w:t>
      </w:r>
      <w:r>
        <w:rPr>
          <w:rFonts w:hint="eastAsia" w:ascii="宋体" w:hAnsi="宋体" w:cs="宋体"/>
          <w:color w:val="auto"/>
          <w:sz w:val="24"/>
          <w:highlight w:val="none"/>
        </w:rPr>
        <w:t>愿承担由此产生的一切法律责任和后果。</w:t>
      </w:r>
    </w:p>
    <w:p>
      <w:pPr>
        <w:spacing w:line="360" w:lineRule="auto"/>
        <w:rPr>
          <w:rFonts w:ascii="宋体" w:hAnsi="宋体" w:cs="宋体"/>
          <w:bCs/>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rFonts w:ascii="宋体" w:hAnsi="宋体" w:cs="宋体"/>
          <w:bCs/>
          <w:color w:val="auto"/>
          <w:sz w:val="24"/>
          <w:highlight w:val="none"/>
        </w:rPr>
      </w:pP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注：</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olor w:val="auto"/>
          <w:sz w:val="24"/>
          <w:highlight w:val="none"/>
        </w:rPr>
        <w:t>.</w:t>
      </w:r>
      <w:r>
        <w:rPr>
          <w:rFonts w:hint="eastAsia" w:ascii="宋体" w:hAnsi="宋体" w:cs="宋体"/>
          <w:bCs/>
          <w:color w:val="auto"/>
          <w:sz w:val="24"/>
          <w:highlight w:val="none"/>
        </w:rPr>
        <w:t>本表格式及内容仅供参考，供应商也可提供自己的格式；</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olor w:val="auto"/>
          <w:sz w:val="24"/>
          <w:highlight w:val="none"/>
        </w:rPr>
        <w:t>.</w:t>
      </w:r>
      <w:r>
        <w:rPr>
          <w:rFonts w:hint="eastAsia" w:ascii="宋体" w:hAnsi="宋体" w:cs="宋体"/>
          <w:bCs/>
          <w:color w:val="auto"/>
          <w:sz w:val="24"/>
          <w:highlight w:val="none"/>
        </w:rPr>
        <w:t>供应商存在以上所述失信行为的，将按照</w:t>
      </w:r>
      <w:r>
        <w:rPr>
          <w:rFonts w:hint="eastAsia" w:ascii="宋体" w:hAnsi="宋体" w:cs="宋体"/>
          <w:color w:val="auto"/>
          <w:sz w:val="24"/>
          <w:highlight w:val="none"/>
        </w:rPr>
        <w:t>第二章须知附表的要求进行处理；</w:t>
      </w:r>
    </w:p>
    <w:p>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3</w:t>
      </w:r>
      <w:r>
        <w:rPr>
          <w:rFonts w:hint="eastAsia" w:ascii="宋体" w:hAnsi="宋体"/>
          <w:color w:val="auto"/>
          <w:sz w:val="24"/>
          <w:highlight w:val="none"/>
        </w:rPr>
        <w:t>.</w:t>
      </w:r>
      <w:r>
        <w:rPr>
          <w:rFonts w:hint="eastAsia" w:ascii="宋体" w:hAnsi="宋体" w:cs="宋体"/>
          <w:bCs/>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auto"/>
          <w:kern w:val="0"/>
          <w:sz w:val="24"/>
          <w:highlight w:val="none"/>
        </w:rPr>
        <w:t>确了有效期的，不再重复计算。</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4</w:t>
      </w:r>
      <w:r>
        <w:rPr>
          <w:rFonts w:hint="eastAsia" w:ascii="宋体" w:hAnsi="宋体"/>
          <w:color w:val="auto"/>
          <w:sz w:val="24"/>
          <w:highlight w:val="none"/>
        </w:rPr>
        <w:t>.</w:t>
      </w:r>
      <w:r>
        <w:rPr>
          <w:rFonts w:hint="eastAsia" w:ascii="宋体" w:hAnsi="宋体" w:cs="宋体"/>
          <w:bCs/>
          <w:color w:val="auto"/>
          <w:sz w:val="24"/>
          <w:highlight w:val="none"/>
        </w:rPr>
        <w:t>供应商的失信行为受到行政处罚或司法惩处的，评审时不再对其以价格加成进行惩戒。</w:t>
      </w:r>
    </w:p>
    <w:p>
      <w:pPr>
        <w:spacing w:line="360" w:lineRule="auto"/>
        <w:rPr>
          <w:color w:val="auto"/>
          <w:highlight w:val="none"/>
        </w:rPr>
      </w:pPr>
      <w:r>
        <w:rPr>
          <w:rFonts w:hint="eastAsia"/>
          <w:color w:val="auto"/>
          <w:highlight w:val="none"/>
        </w:rPr>
        <w:br w:type="page"/>
      </w:r>
    </w:p>
    <w:p>
      <w:pPr>
        <w:pStyle w:val="5"/>
        <w:spacing w:before="0" w:after="0" w:line="360" w:lineRule="auto"/>
        <w:jc w:val="center"/>
        <w:rPr>
          <w:color w:val="auto"/>
          <w:highlight w:val="none"/>
        </w:rPr>
      </w:pPr>
      <w:r>
        <w:rPr>
          <w:rFonts w:hint="eastAsia"/>
          <w:color w:val="auto"/>
          <w:highlight w:val="none"/>
        </w:rPr>
        <w:t>十、服务方案</w:t>
      </w:r>
    </w:p>
    <w:p>
      <w:pPr>
        <w:spacing w:line="360" w:lineRule="auto"/>
        <w:jc w:val="center"/>
        <w:rPr>
          <w:color w:val="auto"/>
          <w:highlight w:val="none"/>
        </w:rPr>
      </w:pPr>
      <w:r>
        <w:rPr>
          <w:rFonts w:hint="eastAsia"/>
          <w:color w:val="auto"/>
          <w:sz w:val="24"/>
          <w:szCs w:val="32"/>
          <w:highlight w:val="none"/>
        </w:rPr>
        <w:t>（格式自拟）</w:t>
      </w:r>
      <w:r>
        <w:rPr>
          <w:rFonts w:hint="eastAsia"/>
          <w:color w:val="auto"/>
          <w:highlight w:val="none"/>
        </w:rPr>
        <w:br w:type="page"/>
      </w:r>
    </w:p>
    <w:p>
      <w:pPr>
        <w:pStyle w:val="5"/>
        <w:spacing w:before="0" w:after="0" w:line="360" w:lineRule="auto"/>
        <w:jc w:val="center"/>
        <w:rPr>
          <w:rFonts w:cs="仿宋_GB2312"/>
          <w:color w:val="auto"/>
          <w:sz w:val="28"/>
          <w:highlight w:val="none"/>
        </w:rPr>
      </w:pPr>
      <w:r>
        <w:rPr>
          <w:rFonts w:hint="eastAsia"/>
          <w:color w:val="auto"/>
          <w:highlight w:val="none"/>
        </w:rPr>
        <w:t>十一、其他资料及相关说明等</w:t>
      </w:r>
      <w:bookmarkEnd w:id="160"/>
      <w:bookmarkEnd w:id="161"/>
    </w:p>
    <w:p>
      <w:pPr>
        <w:adjustRightInd w:val="0"/>
        <w:snapToGrid w:val="0"/>
        <w:spacing w:line="360" w:lineRule="auto"/>
        <w:ind w:firstLine="480" w:firstLineChars="200"/>
        <w:rPr>
          <w:color w:val="auto"/>
          <w:sz w:val="24"/>
          <w:highlight w:val="none"/>
        </w:rPr>
        <w:sectPr>
          <w:headerReference r:id="rId6" w:type="default"/>
          <w:footerReference r:id="rId7" w:type="default"/>
          <w:footerReference r:id="rId8" w:type="even"/>
          <w:pgSz w:w="11850" w:h="16783"/>
          <w:pgMar w:top="1440" w:right="1304" w:bottom="1440" w:left="1417" w:header="851" w:footer="992" w:gutter="0"/>
          <w:pgNumType w:fmt="numberInDash"/>
          <w:cols w:space="0" w:num="1"/>
          <w:docGrid w:type="lines" w:linePitch="314" w:charSpace="0"/>
        </w:sectPr>
      </w:pPr>
      <w:r>
        <w:rPr>
          <w:rFonts w:hint="eastAsia" w:ascii="宋体" w:hAnsi="宋体" w:cs="仿宋_GB2312"/>
          <w:color w:val="auto"/>
          <w:sz w:val="24"/>
          <w:highlight w:val="none"/>
        </w:rPr>
        <w:t>对照</w:t>
      </w:r>
      <w:r>
        <w:rPr>
          <w:rFonts w:hint="eastAsia" w:hAnsi="宋体" w:cs="仿宋_GB2312"/>
          <w:color w:val="auto"/>
          <w:sz w:val="24"/>
          <w:highlight w:val="none"/>
        </w:rPr>
        <w:t>采购文件</w:t>
      </w:r>
      <w:r>
        <w:rPr>
          <w:rFonts w:hint="eastAsia" w:ascii="宋体" w:hAnsi="宋体" w:cs="仿宋_GB2312"/>
          <w:color w:val="auto"/>
          <w:sz w:val="24"/>
          <w:highlight w:val="none"/>
        </w:rPr>
        <w:t>关于采购需求与评分规则等具体要求应当提供的其他资料、相关说明等，以及</w:t>
      </w:r>
      <w:r>
        <w:rPr>
          <w:rFonts w:hint="eastAsia" w:hAnsi="宋体" w:cs="仿宋_GB2312"/>
          <w:color w:val="auto"/>
          <w:sz w:val="24"/>
          <w:highlight w:val="none"/>
        </w:rPr>
        <w:t>供应商</w:t>
      </w:r>
      <w:r>
        <w:rPr>
          <w:rFonts w:hint="eastAsia" w:ascii="宋体" w:hAnsi="宋体" w:cs="仿宋_GB2312"/>
          <w:color w:val="auto"/>
          <w:sz w:val="24"/>
          <w:highlight w:val="none"/>
        </w:rPr>
        <w:t>认为可以提供的其他证明资料、相关说明等，格式自拟。</w:t>
      </w:r>
    </w:p>
    <w:p>
      <w:pPr>
        <w:pStyle w:val="5"/>
        <w:spacing w:line="360" w:lineRule="auto"/>
        <w:jc w:val="center"/>
        <w:rPr>
          <w:color w:val="auto"/>
          <w:highlight w:val="none"/>
        </w:rPr>
      </w:pPr>
      <w:r>
        <w:rPr>
          <w:rFonts w:hint="eastAsia"/>
          <w:color w:val="auto"/>
          <w:highlight w:val="none"/>
        </w:rPr>
        <w:t>最终报价一览表</w:t>
      </w:r>
    </w:p>
    <w:p>
      <w:pPr>
        <w:pStyle w:val="8"/>
        <w:spacing w:before="100" w:beforeAutospacing="1" w:line="360" w:lineRule="auto"/>
        <w:ind w:firstLine="480"/>
        <w:rPr>
          <w:rFonts w:ascii="宋体" w:hAnsi="宋体" w:cs="宋体"/>
          <w:color w:val="auto"/>
          <w:sz w:val="24"/>
          <w:highlight w:val="none"/>
        </w:rPr>
      </w:pPr>
      <w:r>
        <w:rPr>
          <w:rFonts w:hint="eastAsia" w:ascii="宋体" w:hAnsi="宋体" w:cs="宋体"/>
          <w:color w:val="auto"/>
          <w:sz w:val="24"/>
          <w:highlight w:val="none"/>
        </w:rPr>
        <w:t>项目名称：</w:t>
      </w:r>
    </w:p>
    <w:p>
      <w:pPr>
        <w:pStyle w:val="8"/>
        <w:spacing w:before="100" w:beforeAutospacing="1" w:line="360" w:lineRule="auto"/>
        <w:ind w:firstLine="480"/>
        <w:rPr>
          <w:rFonts w:ascii="宋体" w:hAnsi="宋体" w:cs="宋体"/>
          <w:color w:val="auto"/>
          <w:sz w:val="24"/>
          <w:highlight w:val="none"/>
        </w:rPr>
      </w:pPr>
      <w:r>
        <w:rPr>
          <w:rFonts w:hint="eastAsia" w:ascii="宋体" w:hAnsi="宋体" w:cs="宋体"/>
          <w:color w:val="auto"/>
          <w:sz w:val="24"/>
          <w:highlight w:val="none"/>
        </w:rPr>
        <w:t>项目编号：</w:t>
      </w:r>
    </w:p>
    <w:p>
      <w:pPr>
        <w:spacing w:line="360" w:lineRule="auto"/>
        <w:jc w:val="left"/>
        <w:rPr>
          <w:rFonts w:ascii="宋体" w:hAnsi="宋体" w:cs="宋体"/>
          <w:color w:val="auto"/>
          <w:sz w:val="24"/>
          <w:highlight w:val="none"/>
        </w:rPr>
      </w:pPr>
    </w:p>
    <w:p>
      <w:pPr>
        <w:pStyle w:val="2"/>
        <w:spacing w:line="360" w:lineRule="auto"/>
        <w:rPr>
          <w:rFonts w:ascii="宋体" w:hAnsi="宋体" w:eastAsia="宋体" w:cs="宋体"/>
          <w:color w:val="auto"/>
          <w:sz w:val="24"/>
          <w:highlight w:val="none"/>
        </w:rPr>
      </w:pPr>
    </w:p>
    <w:p>
      <w:pPr>
        <w:pStyle w:val="8"/>
        <w:spacing w:before="100" w:beforeAutospacing="1" w:line="360" w:lineRule="auto"/>
        <w:ind w:firstLine="480"/>
        <w:rPr>
          <w:rFonts w:ascii="宋体" w:hAnsi="宋体" w:cs="宋体"/>
          <w:color w:val="auto"/>
          <w:sz w:val="24"/>
          <w:highlight w:val="none"/>
        </w:rPr>
      </w:pPr>
      <w:r>
        <w:rPr>
          <w:rFonts w:hint="eastAsia" w:ascii="宋体" w:hAnsi="宋体" w:cs="宋体"/>
          <w:color w:val="auto"/>
          <w:sz w:val="24"/>
          <w:highlight w:val="none"/>
        </w:rPr>
        <w:t>最终报价</w:t>
      </w:r>
    </w:p>
    <w:p>
      <w:pPr>
        <w:pStyle w:val="8"/>
        <w:spacing w:before="100" w:beforeAutospacing="1"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p>
    <w:p>
      <w:pPr>
        <w:pStyle w:val="8"/>
        <w:spacing w:before="100" w:beforeAutospacing="1"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其他承诺：</w:t>
      </w:r>
    </w:p>
    <w:p>
      <w:pPr>
        <w:spacing w:line="360" w:lineRule="auto"/>
        <w:ind w:firstLine="482" w:firstLineChars="200"/>
        <w:jc w:val="left"/>
        <w:rPr>
          <w:rFonts w:ascii="宋体" w:hAnsi="宋体" w:cs="宋体"/>
          <w:b/>
          <w:bCs/>
          <w:color w:val="auto"/>
          <w:sz w:val="24"/>
          <w:highlight w:val="none"/>
        </w:rPr>
      </w:pPr>
    </w:p>
    <w:p>
      <w:pPr>
        <w:spacing w:line="360" w:lineRule="auto"/>
        <w:ind w:firstLine="482" w:firstLineChars="200"/>
        <w:jc w:val="left"/>
        <w:rPr>
          <w:rFonts w:ascii="宋体" w:hAnsi="宋体" w:cs="宋体"/>
          <w:b/>
          <w:bCs/>
          <w:color w:val="auto"/>
          <w:sz w:val="24"/>
          <w:highlight w:val="none"/>
        </w:rPr>
      </w:pPr>
    </w:p>
    <w:p>
      <w:pPr>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注：此页不作为响应文件的组成部分，但需加盖供应商公章，持空白页至磋商现场根据实际需要填写</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法定代表人或授权代表（签字或加盖个人名章）：</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4"/>
        <w:spacing w:before="0" w:after="0" w:line="360" w:lineRule="auto"/>
        <w:jc w:val="center"/>
        <w:rPr>
          <w:color w:val="auto"/>
          <w:highlight w:val="none"/>
        </w:rPr>
      </w:pPr>
      <w:r>
        <w:rPr>
          <w:rFonts w:hint="eastAsia"/>
          <w:color w:val="auto"/>
          <w:highlight w:val="none"/>
        </w:rPr>
        <w:br w:type="page"/>
      </w:r>
      <w:bookmarkStart w:id="162" w:name="_Toc4157"/>
      <w:bookmarkStart w:id="163" w:name="_Toc32541_WPSOffice_Level1"/>
      <w:bookmarkStart w:id="164" w:name="_Toc8290_WPSOffice_Level1"/>
      <w:r>
        <w:rPr>
          <w:rFonts w:hint="eastAsia"/>
          <w:color w:val="auto"/>
          <w:highlight w:val="none"/>
        </w:rPr>
        <w:t>第八章  评审方法</w:t>
      </w:r>
      <w:bookmarkEnd w:id="162"/>
      <w:bookmarkEnd w:id="163"/>
      <w:bookmarkEnd w:id="164"/>
    </w:p>
    <w:p>
      <w:pPr>
        <w:pStyle w:val="5"/>
        <w:keepNext w:val="0"/>
        <w:keepLines w:val="0"/>
        <w:spacing w:before="0" w:after="0" w:line="360" w:lineRule="auto"/>
        <w:ind w:firstLine="472" w:firstLineChars="196"/>
        <w:rPr>
          <w:rFonts w:ascii="宋体" w:hAnsi="宋体" w:eastAsia="宋体"/>
          <w:color w:val="auto"/>
          <w:sz w:val="24"/>
          <w:szCs w:val="24"/>
          <w:highlight w:val="none"/>
        </w:rPr>
      </w:pPr>
      <w:bookmarkStart w:id="165" w:name="_Toc28831_WPSOffice_Level2"/>
      <w:bookmarkStart w:id="166" w:name="_Toc3628_WPSOffice_Level2"/>
      <w:bookmarkStart w:id="167" w:name="_Toc101174146"/>
      <w:bookmarkStart w:id="168" w:name="_Toc209847065"/>
      <w:bookmarkStart w:id="169" w:name="_Toc101250640"/>
      <w:bookmarkStart w:id="170" w:name="_Toc101338358"/>
      <w:bookmarkStart w:id="171" w:name="_Toc430773924"/>
      <w:r>
        <w:rPr>
          <w:rFonts w:hint="eastAsia" w:ascii="宋体" w:hAnsi="宋体" w:eastAsia="宋体"/>
          <w:color w:val="auto"/>
          <w:sz w:val="24"/>
          <w:szCs w:val="24"/>
          <w:highlight w:val="none"/>
        </w:rPr>
        <w:t>1.总则</w:t>
      </w:r>
      <w:bookmarkEnd w:id="165"/>
      <w:bookmarkEnd w:id="166"/>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1.2磋商工作由采购代理机构负责组织，具体磋商由采购人/采购代理机构依法组建的磋商小组负责。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1.3磋商工作应遵循公平、公正、科学及择优的原则，并以相同的磋商程序和标准对待所有的供应商。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1.4磋商小组按照磋商文件规定的磋商程序、评分方法和标准进行评审，并独立履行下列职责：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（2）审查供应商响应文件是否满足磋商文件要求，并作出公正评价；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（4）推荐成交供应商，或者受采购人委托确定成交供应商；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（5）起草评审报告并进行签署；</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（6）向采购人/采购代理机构、财政部门或者其他监督部门报告非法干预评审工作的行为；</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（7）法律、法规和规章规定的其他职责。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1.5</w:t>
      </w:r>
      <w:r>
        <w:rPr>
          <w:rFonts w:hint="eastAsia" w:ascii="宋体" w:hAnsi="宋体"/>
          <w:b/>
          <w:bCs/>
          <w:color w:val="auto"/>
          <w:sz w:val="24"/>
          <w:highlight w:val="none"/>
        </w:rPr>
        <w:t>（实质性要求）</w:t>
      </w:r>
      <w:r>
        <w:rPr>
          <w:rFonts w:hint="eastAsia" w:ascii="宋体" w:hAnsi="宋体"/>
          <w:color w:val="auto"/>
          <w:sz w:val="24"/>
          <w:highlight w:val="none"/>
        </w:rPr>
        <w:t>磋商过程独立、保密。供应商非法干预磋商过程的，其响应文件作无效处理。</w:t>
      </w:r>
    </w:p>
    <w:p>
      <w:pPr>
        <w:spacing w:line="360" w:lineRule="auto"/>
        <w:rPr>
          <w:color w:val="auto"/>
          <w:highlight w:val="none"/>
        </w:rPr>
      </w:pPr>
    </w:p>
    <w:p>
      <w:pPr>
        <w:pStyle w:val="5"/>
        <w:keepNext w:val="0"/>
        <w:keepLines w:val="0"/>
        <w:spacing w:before="0" w:after="0" w:line="360" w:lineRule="auto"/>
        <w:ind w:firstLine="472" w:firstLineChars="196"/>
        <w:rPr>
          <w:rFonts w:ascii="宋体" w:hAnsi="宋体" w:eastAsia="宋体"/>
          <w:color w:val="auto"/>
          <w:sz w:val="24"/>
          <w:szCs w:val="24"/>
          <w:highlight w:val="none"/>
        </w:rPr>
      </w:pPr>
      <w:bookmarkStart w:id="172" w:name="_Toc28315_WPSOffice_Level2"/>
      <w:bookmarkStart w:id="173" w:name="_Toc17993_WPSOffice_Level2"/>
      <w:r>
        <w:rPr>
          <w:rFonts w:hint="eastAsia" w:ascii="宋体" w:hAnsi="宋体" w:eastAsia="宋体"/>
          <w:color w:val="auto"/>
          <w:sz w:val="24"/>
          <w:szCs w:val="24"/>
          <w:highlight w:val="none"/>
        </w:rPr>
        <w:t>2.磋商程序</w:t>
      </w:r>
      <w:bookmarkEnd w:id="172"/>
      <w:bookmarkEnd w:id="173"/>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2.1审查磋商文件和停止评审。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 本磋商文件有下列情形之一的，磋商小组应当停止评审：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（1）磋商文件的规定存在歧义、重大缺陷的；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（2）磋商文件明显以不合理条件对供应商实行差别待遇或者歧视待遇的；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（3）采购项目属于国家规定的优先、强制采购范围，但是磋商文件未依法体现优先、强制采购相关规定的；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（4）采购项目属于政府采购促进中小企业发展的范围，但是磋商文件未依法体现促进中小企业发展相关规定的；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（5）磋商文件将供应商的资格条件列为评分因素的；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（6）磋商文件载明的成交原则不合法的；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（7）磋商文件有违反国家其他有关强制性规定的情形。</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2.2资格性审查。</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2.2.1本项目需要磋商小组进行资格性检查。</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2.2.4采购人或者采购代理机构宣布未通过资格性审查的供应商名单时，应当告知供应商未通过审查的原因。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2.3 通过资格性审查的供应商不足3家的（本章2.3.1的情况除外），终止本次采购活动，并发布终止采购活动公告。</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2.4磋商。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2.4.2每轮磋商开始前，磋商小组应根据磋商文件的规定，并结合各供应商的响应文件拟定磋商内容。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2.4.4对磋商文件作出的实质性变动是磋商文件的有效组成部分，磋商小组应当及时以书面形式同时通知所有参加磋商的供应商。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2.4.6磋商过程中，磋商的任何一方不得透露与磋商有关的其他供应商的技术资料、价格和其他信息。</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 xml:space="preserve">2.4.8磋商完成后，磋商小组应出具磋商情况记录表，磋商情况记录表需包含磋商内容、磋商意见、实质性变动内容等。   </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2.5最后报价。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2.5.3符合</w:t>
      </w:r>
      <w:bookmarkStart w:id="174" w:name="_Toc30986"/>
      <w:r>
        <w:rPr>
          <w:rFonts w:hint="eastAsia" w:ascii="宋体" w:hAnsi="宋体"/>
          <w:color w:val="auto"/>
          <w:sz w:val="24"/>
          <w:highlight w:val="none"/>
        </w:rPr>
        <w:t>《政府采购竞争性磋商采购方式管理暂行办法财库》〔2014〕214号</w:t>
      </w:r>
      <w:bookmarkEnd w:id="174"/>
      <w:r>
        <w:rPr>
          <w:rFonts w:hint="eastAsia" w:ascii="宋体" w:hAnsi="宋体"/>
          <w:color w:val="auto"/>
          <w:sz w:val="24"/>
          <w:highlight w:val="none"/>
        </w:rPr>
        <w:t>第三条第四项情形的，提交最后报价的供应商可以为2家。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2.5.6报价如果出现下列不一致的，可按以下原则进行修改：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（3）单价金额小数点或者百分比有明显错位的，以总价为准，修正单价。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不得未经澄清、说明或者更正，直接将供应商响应文件作为无效处理。对不同文字文本响应文件的解释发生异议的，以中文文本为准。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2.9采购组织单位现场复核评审结果。</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（1）资格性审查认定错误的；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（2）分值汇总计算错误的；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（3）分项评分超出评分标准范围的；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（4）客观评分不一致的。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按照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采购人/采购代理机构复核过程中，磋商小组成员不得离开评审现场。</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2.9.2有下列情形之一的，不得现场修改评审结果：</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（1）磋商小组已经出具磋商报告并且离开评审现场的；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（2）采购人/采购代理机构现场复核时，复核工作人员数量不足的；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（3）采购人/采购代理机构现场复核时，没有采购监督人员现场监督的；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（4）采购人/采购代理机构现场复核内容超出规定范围的；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（5）采购人/采购代理机构未提供书面建议的。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2.10编写磋商报告。磋商小组推荐成交候选供应商后，应向采购人/采购代理机构出具磋商报告。磋商报告应当包括以下主要内容：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（1）邀请供应商参加采购活动的具体方式和相关情况；</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（2）响应文件开启日期和地点；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（3）获取磋商文件的供应商名单和磋商小组成员名单；</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（4）评审情况记录和说明，包括对供应商的资格审查情况、供应商响应文件审查情况、磋商情况、报价情况等；</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（5）提出的成交候选供应商的排序名单及理由。</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2.12供应商澄清、说明</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2.13终止磋商采购活动。</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（1）因情况变化，不再符合规定的竞争性磋商采购方式适用情形的；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（2）出现影响采购公正的违法、违规行为的；</w:t>
      </w:r>
    </w:p>
    <w:p>
      <w:pPr>
        <w:spacing w:line="360" w:lineRule="auto"/>
        <w:ind w:firstLine="470" w:firstLineChars="196"/>
        <w:rPr>
          <w:rFonts w:ascii="宋体" w:hAnsi="宋体"/>
          <w:color w:val="auto"/>
          <w:szCs w:val="21"/>
          <w:highlight w:val="none"/>
        </w:rPr>
      </w:pPr>
      <w:r>
        <w:rPr>
          <w:rFonts w:hint="eastAsia" w:ascii="宋体" w:hAnsi="宋体"/>
          <w:color w:val="auto"/>
          <w:sz w:val="24"/>
          <w:highlight w:val="none"/>
        </w:rPr>
        <w:t>（3）除本章2.3.1和2.5.3的情况外，在采购过程中符合要求的供应商或者报价未超过采购预算的供应商不足3家的。</w:t>
      </w:r>
    </w:p>
    <w:p>
      <w:pPr>
        <w:spacing w:line="360" w:lineRule="auto"/>
        <w:rPr>
          <w:rFonts w:ascii="宋体" w:hAnsi="宋体" w:cs="宋体"/>
          <w:color w:val="auto"/>
          <w:szCs w:val="21"/>
          <w:highlight w:val="none"/>
        </w:rPr>
      </w:pPr>
    </w:p>
    <w:p>
      <w:pPr>
        <w:pStyle w:val="5"/>
        <w:keepNext w:val="0"/>
        <w:keepLines w:val="0"/>
        <w:spacing w:before="0" w:after="0" w:line="360" w:lineRule="auto"/>
        <w:ind w:firstLine="472" w:firstLineChars="196"/>
        <w:rPr>
          <w:rFonts w:ascii="宋体" w:hAnsi="宋体" w:eastAsia="宋体"/>
          <w:color w:val="auto"/>
          <w:sz w:val="24"/>
          <w:szCs w:val="24"/>
          <w:highlight w:val="none"/>
        </w:rPr>
      </w:pPr>
      <w:bookmarkStart w:id="175" w:name="_Toc5686_WPSOffice_Level2"/>
      <w:bookmarkStart w:id="176" w:name="_Toc7215_WPSOffice_Level2"/>
      <w:r>
        <w:rPr>
          <w:rFonts w:hint="eastAsia" w:ascii="宋体" w:hAnsi="宋体" w:eastAsia="宋体"/>
          <w:color w:val="auto"/>
          <w:sz w:val="24"/>
          <w:szCs w:val="24"/>
          <w:highlight w:val="none"/>
        </w:rPr>
        <w:t>3.综合评分</w:t>
      </w:r>
      <w:bookmarkEnd w:id="175"/>
      <w:bookmarkEnd w:id="176"/>
    </w:p>
    <w:p>
      <w:pPr>
        <w:spacing w:line="360" w:lineRule="auto"/>
        <w:ind w:firstLine="470" w:firstLineChars="196"/>
        <w:rPr>
          <w:color w:val="auto"/>
          <w:sz w:val="24"/>
          <w:highlight w:val="none"/>
        </w:rPr>
      </w:pPr>
      <w:r>
        <w:rPr>
          <w:rFonts w:hint="eastAsia" w:ascii="宋体"/>
          <w:color w:val="auto"/>
          <w:sz w:val="24"/>
          <w:highlight w:val="none"/>
        </w:rPr>
        <w:t>3.1</w:t>
      </w:r>
      <w:r>
        <w:rPr>
          <w:rFonts w:hint="eastAsia"/>
          <w:color w:val="auto"/>
          <w:sz w:val="24"/>
          <w:highlight w:val="none"/>
        </w:rPr>
        <w:t>本次综合评分的因素是：价格</w:t>
      </w:r>
      <w:r>
        <w:rPr>
          <w:rFonts w:hint="eastAsia"/>
          <w:color w:val="auto"/>
          <w:szCs w:val="21"/>
          <w:highlight w:val="none"/>
        </w:rPr>
        <w:t>、</w:t>
      </w:r>
      <w:r>
        <w:rPr>
          <w:rFonts w:hint="eastAsia"/>
          <w:color w:val="auto"/>
          <w:sz w:val="24"/>
          <w:highlight w:val="none"/>
        </w:rPr>
        <w:t>商务、技术等。</w:t>
      </w:r>
    </w:p>
    <w:p>
      <w:pPr>
        <w:spacing w:line="360" w:lineRule="auto"/>
        <w:ind w:firstLine="470" w:firstLineChars="196"/>
        <w:rPr>
          <w:rFonts w:ascii="宋体"/>
          <w:color w:val="auto"/>
          <w:sz w:val="24"/>
          <w:highlight w:val="none"/>
        </w:rPr>
      </w:pPr>
      <w:r>
        <w:rPr>
          <w:rFonts w:hint="eastAsia" w:ascii="宋体"/>
          <w:color w:val="auto"/>
          <w:sz w:val="24"/>
          <w:highlight w:val="none"/>
        </w:rPr>
        <w:t>3.2</w:t>
      </w:r>
      <w:r>
        <w:rPr>
          <w:rFonts w:hint="eastAsia"/>
          <w:color w:val="auto"/>
          <w:sz w:val="24"/>
          <w:highlight w:val="none"/>
        </w:rPr>
        <w:t xml:space="preserve"> 除价格因素外</w:t>
      </w:r>
      <w:r>
        <w:rPr>
          <w:rFonts w:hint="eastAsia" w:ascii="宋体"/>
          <w:color w:val="auto"/>
          <w:sz w:val="24"/>
          <w:highlight w:val="none"/>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ascii="宋体"/>
          <w:color w:val="auto"/>
          <w:sz w:val="24"/>
          <w:highlight w:val="none"/>
        </w:rPr>
      </w:pPr>
      <w:r>
        <w:rPr>
          <w:rFonts w:hint="eastAsia" w:ascii="宋体"/>
          <w:color w:val="auto"/>
          <w:sz w:val="24"/>
          <w:highlight w:val="none"/>
        </w:rPr>
        <w:t>3.3综合评分明细表</w:t>
      </w:r>
    </w:p>
    <w:p>
      <w:pPr>
        <w:pStyle w:val="10"/>
        <w:tabs>
          <w:tab w:val="left" w:pos="600"/>
        </w:tabs>
        <w:spacing w:line="360" w:lineRule="auto"/>
        <w:ind w:firstLine="0"/>
        <w:rPr>
          <w:rFonts w:ascii="宋体"/>
          <w:color w:val="auto"/>
          <w:sz w:val="24"/>
          <w:szCs w:val="24"/>
          <w:highlight w:val="none"/>
        </w:rPr>
      </w:pPr>
      <w:r>
        <w:rPr>
          <w:rFonts w:hint="eastAsia" w:ascii="宋体"/>
          <w:color w:val="auto"/>
          <w:sz w:val="24"/>
          <w:szCs w:val="24"/>
          <w:highlight w:val="none"/>
        </w:rPr>
        <w:t>3.3.1综合评分明细表的制定以科学合理、降低评委会自由裁量权为原则。</w:t>
      </w:r>
    </w:p>
    <w:p>
      <w:pPr>
        <w:spacing w:line="360" w:lineRule="auto"/>
        <w:rPr>
          <w:b/>
          <w:color w:val="auto"/>
          <w:highlight w:val="none"/>
        </w:rPr>
      </w:pPr>
      <w:r>
        <w:rPr>
          <w:rFonts w:hint="eastAsia" w:ascii="宋体" w:hAnsi="宋体"/>
          <w:b/>
          <w:color w:val="auto"/>
          <w:sz w:val="24"/>
          <w:highlight w:val="none"/>
        </w:rPr>
        <w:t>3.3.2综合评分明细表：</w:t>
      </w:r>
      <w:r>
        <w:rPr>
          <w:rFonts w:hint="eastAsia"/>
          <w:b/>
          <w:color w:val="auto"/>
          <w:highlight w:val="none"/>
        </w:rPr>
        <w:t xml:space="preserve"> </w:t>
      </w:r>
    </w:p>
    <w:tbl>
      <w:tblPr>
        <w:tblStyle w:val="19"/>
        <w:tblpPr w:leftFromText="180" w:rightFromText="180" w:vertAnchor="text" w:horzAnchor="page" w:tblpX="1472" w:tblpY="28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082"/>
        <w:gridCol w:w="813"/>
        <w:gridCol w:w="582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spacing w:line="400" w:lineRule="exact"/>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579" w:type="pct"/>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评分因素及权重</w:t>
            </w:r>
          </w:p>
        </w:tc>
        <w:tc>
          <w:tcPr>
            <w:tcW w:w="435" w:type="pct"/>
            <w:vAlign w:val="center"/>
          </w:tcPr>
          <w:p>
            <w:pPr>
              <w:spacing w:line="400" w:lineRule="exact"/>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分值</w:t>
            </w:r>
          </w:p>
        </w:tc>
        <w:tc>
          <w:tcPr>
            <w:tcW w:w="3119" w:type="pct"/>
            <w:vAlign w:val="center"/>
          </w:tcPr>
          <w:p>
            <w:pPr>
              <w:spacing w:line="400" w:lineRule="exact"/>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评分标准</w:t>
            </w:r>
          </w:p>
        </w:tc>
        <w:tc>
          <w:tcPr>
            <w:tcW w:w="572" w:type="pct"/>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79"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响应报价</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w:t>
            </w:r>
          </w:p>
        </w:tc>
        <w:tc>
          <w:tcPr>
            <w:tcW w:w="435"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0分</w:t>
            </w:r>
          </w:p>
        </w:tc>
        <w:tc>
          <w:tcPr>
            <w:tcW w:w="3119" w:type="pct"/>
            <w:vAlign w:val="center"/>
          </w:tcPr>
          <w:p>
            <w:pPr>
              <w:keepNext/>
              <w:keepLines/>
              <w:wordWrap w:val="0"/>
              <w:topLinePunct/>
              <w:spacing w:line="360" w:lineRule="auto"/>
              <w:jc w:val="left"/>
              <w:rPr>
                <w:color w:val="auto"/>
                <w:sz w:val="21"/>
                <w:szCs w:val="21"/>
                <w:highlight w:val="none"/>
              </w:rPr>
            </w:pPr>
            <w:r>
              <w:rPr>
                <w:rFonts w:hint="eastAsia" w:ascii="宋体" w:hAnsi="宋体" w:cs="宋体"/>
                <w:color w:val="auto"/>
                <w:sz w:val="21"/>
                <w:szCs w:val="21"/>
                <w:highlight w:val="none"/>
              </w:rPr>
              <w:t>满足磋商文件要求且响应价格最低的响应报价为评审基准价，其价格分为满分。其他供应商的价格分统一按照下列公式计算：响应报价得分=(评审基准价／响应报价)*</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0分。</w:t>
            </w:r>
          </w:p>
        </w:tc>
        <w:tc>
          <w:tcPr>
            <w:tcW w:w="572" w:type="pct"/>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79"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履约能力</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w:t>
            </w:r>
          </w:p>
        </w:tc>
        <w:tc>
          <w:tcPr>
            <w:tcW w:w="435"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分</w:t>
            </w:r>
          </w:p>
        </w:tc>
        <w:tc>
          <w:tcPr>
            <w:tcW w:w="3119" w:type="pct"/>
            <w:vAlign w:val="center"/>
          </w:tcPr>
          <w:p>
            <w:pPr>
              <w:keepNext/>
              <w:keepLines/>
              <w:wordWrap w:val="0"/>
              <w:topLinePunct/>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供应商自2018年1月1日（含）以来每有1个类似项目业绩的得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（提供中标（成交）通知书复印件或合同复印件并加盖鲜章）</w:t>
            </w:r>
          </w:p>
          <w:p>
            <w:pPr>
              <w:pStyle w:val="2"/>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）供应商具</w:t>
            </w:r>
            <w:r>
              <w:rPr>
                <w:rFonts w:hint="eastAsia" w:ascii="宋体" w:hAnsi="宋体" w:eastAsia="宋体" w:cs="宋体"/>
                <w:color w:val="auto"/>
                <w:sz w:val="21"/>
                <w:szCs w:val="21"/>
                <w:highlight w:val="none"/>
                <w:lang w:val="en-US" w:eastAsia="zh-CN"/>
              </w:rPr>
              <w:t>有《信息技术服务</w:t>
            </w:r>
            <w:r>
              <w:rPr>
                <w:rFonts w:hint="eastAsia" w:ascii="宋体" w:hAnsi="宋体" w:eastAsia="宋体" w:cs="宋体"/>
                <w:color w:val="auto"/>
                <w:sz w:val="21"/>
                <w:szCs w:val="21"/>
                <w:highlight w:val="none"/>
                <w:lang w:eastAsia="zh-CN"/>
              </w:rPr>
              <w:t>运行维护标准（ITSS）符合性证书》叁级或以上资质证书的得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）供应商具有《信息安全</w:t>
            </w:r>
            <w:r>
              <w:rPr>
                <w:rFonts w:hint="eastAsia" w:ascii="宋体" w:hAnsi="宋体" w:eastAsia="宋体" w:cs="宋体"/>
                <w:color w:val="auto"/>
                <w:sz w:val="21"/>
                <w:szCs w:val="21"/>
                <w:highlight w:val="none"/>
                <w:lang w:val="en-US" w:eastAsia="zh-CN"/>
              </w:rPr>
              <w:t>服务资质认证证书（信息系统安全集成服务资质）》</w:t>
            </w:r>
            <w:r>
              <w:rPr>
                <w:rFonts w:hint="eastAsia" w:ascii="宋体" w:hAnsi="宋体" w:eastAsia="宋体" w:cs="宋体"/>
                <w:color w:val="auto"/>
                <w:sz w:val="21"/>
                <w:szCs w:val="21"/>
                <w:highlight w:val="none"/>
                <w:lang w:eastAsia="zh-CN"/>
              </w:rPr>
              <w:t>叁级或以上的得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分；具有《信息安全</w:t>
            </w:r>
            <w:r>
              <w:rPr>
                <w:rFonts w:hint="eastAsia" w:ascii="宋体" w:hAnsi="宋体" w:eastAsia="宋体" w:cs="宋体"/>
                <w:color w:val="auto"/>
                <w:sz w:val="21"/>
                <w:szCs w:val="21"/>
                <w:highlight w:val="none"/>
                <w:lang w:val="en-US" w:eastAsia="zh-CN"/>
              </w:rPr>
              <w:t>服务资质认证证书（信息系统安全运维服务资质）》</w:t>
            </w:r>
            <w:r>
              <w:rPr>
                <w:rFonts w:hint="eastAsia" w:ascii="宋体" w:hAnsi="宋体" w:eastAsia="宋体" w:cs="宋体"/>
                <w:color w:val="auto"/>
                <w:sz w:val="21"/>
                <w:szCs w:val="21"/>
                <w:highlight w:val="none"/>
                <w:lang w:eastAsia="zh-CN"/>
              </w:rPr>
              <w:t>叁级或以上的得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分；本项共</w:t>
            </w:r>
            <w:r>
              <w:rPr>
                <w:rFonts w:hint="eastAsia" w:ascii="宋体" w:hAnsi="宋体" w:eastAsia="宋体" w:cs="宋体"/>
                <w:color w:val="auto"/>
                <w:sz w:val="21"/>
                <w:szCs w:val="21"/>
                <w:highlight w:val="none"/>
                <w:lang w:val="en-US" w:eastAsia="zh-CN"/>
              </w:rPr>
              <w:t>4分；</w:t>
            </w:r>
          </w:p>
          <w:p>
            <w:pPr>
              <w:pStyle w:val="3"/>
              <w:ind w:left="0" w:leftChars="0" w:firstLine="0" w:firstLineChars="0"/>
              <w:rPr>
                <w:rFonts w:hint="eastAsia"/>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）供应商具有</w:t>
            </w:r>
            <w:r>
              <w:rPr>
                <w:rFonts w:hint="eastAsia" w:ascii="宋体" w:hAnsi="宋体" w:eastAsia="宋体" w:cs="宋体"/>
                <w:color w:val="auto"/>
                <w:sz w:val="21"/>
                <w:szCs w:val="21"/>
                <w:highlight w:val="none"/>
                <w:lang w:val="en-US" w:eastAsia="zh-CN"/>
              </w:rPr>
              <w:t>《电子与智能化工程专业承包资质证书》贰级</w:t>
            </w:r>
            <w:r>
              <w:rPr>
                <w:rFonts w:hint="eastAsia" w:ascii="宋体" w:hAnsi="宋体" w:eastAsia="宋体" w:cs="宋体"/>
                <w:color w:val="auto"/>
                <w:sz w:val="21"/>
                <w:szCs w:val="21"/>
                <w:highlight w:val="none"/>
                <w:lang w:eastAsia="zh-CN"/>
              </w:rPr>
              <w:t>或以上的得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pStyle w:val="2"/>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2-4项提供相关证书复印件</w:t>
            </w:r>
            <w:r>
              <w:rPr>
                <w:rFonts w:hint="eastAsia" w:ascii="宋体" w:hAnsi="宋体" w:eastAsia="宋体" w:cs="宋体"/>
                <w:color w:val="auto"/>
                <w:sz w:val="21"/>
                <w:szCs w:val="21"/>
                <w:highlight w:val="none"/>
              </w:rPr>
              <w:t>并加盖鲜章。</w:t>
            </w:r>
          </w:p>
        </w:tc>
        <w:tc>
          <w:tcPr>
            <w:tcW w:w="572" w:type="pct"/>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79"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技术参数及指标</w:t>
            </w:r>
            <w:r>
              <w:rPr>
                <w:rFonts w:hint="eastAsia" w:ascii="宋体" w:hAnsi="宋体" w:cs="宋体"/>
                <w:color w:val="auto"/>
                <w:sz w:val="21"/>
                <w:szCs w:val="21"/>
                <w:highlight w:val="none"/>
                <w:lang w:val="en-US" w:eastAsia="zh-CN"/>
              </w:rPr>
              <w:t>33</w:t>
            </w:r>
            <w:r>
              <w:rPr>
                <w:rFonts w:hint="eastAsia" w:ascii="宋体" w:hAnsi="宋体" w:cs="宋体"/>
                <w:color w:val="auto"/>
                <w:sz w:val="21"/>
                <w:szCs w:val="21"/>
                <w:highlight w:val="none"/>
              </w:rPr>
              <w:t>%</w:t>
            </w:r>
          </w:p>
        </w:tc>
        <w:tc>
          <w:tcPr>
            <w:tcW w:w="435"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33</w:t>
            </w:r>
            <w:r>
              <w:rPr>
                <w:rFonts w:hint="eastAsia" w:ascii="宋体" w:hAnsi="宋体" w:cs="宋体"/>
                <w:color w:val="auto"/>
                <w:sz w:val="21"/>
                <w:szCs w:val="21"/>
                <w:highlight w:val="none"/>
              </w:rPr>
              <w:t>分</w:t>
            </w:r>
          </w:p>
        </w:tc>
        <w:tc>
          <w:tcPr>
            <w:tcW w:w="3119" w:type="pct"/>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供应商所提供产品的技术参数完全满足磋商文件第五章</w:t>
            </w:r>
            <w:r>
              <w:rPr>
                <w:rFonts w:hint="eastAsia" w:ascii="宋体" w:hAnsi="宋体" w:cs="宋体"/>
                <w:color w:val="auto"/>
                <w:sz w:val="21"/>
                <w:szCs w:val="21"/>
                <w:highlight w:val="none"/>
                <w:lang w:eastAsia="zh-CN"/>
              </w:rPr>
              <w:t>技术</w:t>
            </w:r>
            <w:r>
              <w:rPr>
                <w:rFonts w:hint="eastAsia" w:ascii="宋体" w:hAnsi="宋体" w:cs="宋体"/>
                <w:color w:val="auto"/>
                <w:sz w:val="21"/>
                <w:szCs w:val="21"/>
                <w:highlight w:val="none"/>
              </w:rPr>
              <w:t>参数要求的，得</w:t>
            </w:r>
            <w:r>
              <w:rPr>
                <w:rFonts w:hint="eastAsia" w:ascii="宋体" w:hAnsi="宋体" w:cs="宋体"/>
                <w:color w:val="auto"/>
                <w:sz w:val="21"/>
                <w:szCs w:val="21"/>
                <w:highlight w:val="none"/>
                <w:lang w:val="en-US" w:eastAsia="zh-CN"/>
              </w:rPr>
              <w:t>33</w:t>
            </w:r>
            <w:r>
              <w:rPr>
                <w:rFonts w:hint="eastAsia" w:ascii="宋体" w:hAnsi="宋体" w:cs="宋体"/>
                <w:color w:val="auto"/>
                <w:sz w:val="21"/>
                <w:szCs w:val="21"/>
                <w:highlight w:val="none"/>
              </w:rPr>
              <w:t>分；供应商所提供产品的技术参数不满足要求的，则在</w:t>
            </w:r>
            <w:r>
              <w:rPr>
                <w:rFonts w:hint="eastAsia" w:ascii="宋体" w:hAnsi="宋体" w:cs="宋体"/>
                <w:color w:val="auto"/>
                <w:sz w:val="21"/>
                <w:szCs w:val="21"/>
                <w:highlight w:val="none"/>
                <w:lang w:val="en-US" w:eastAsia="zh-CN"/>
              </w:rPr>
              <w:t>33</w:t>
            </w:r>
            <w:r>
              <w:rPr>
                <w:rFonts w:hint="eastAsia" w:ascii="宋体" w:hAnsi="宋体" w:cs="宋体"/>
                <w:color w:val="auto"/>
                <w:sz w:val="21"/>
                <w:szCs w:val="21"/>
                <w:highlight w:val="none"/>
              </w:rPr>
              <w:t>分的基础上，按以下原则扣分：</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每有一项</w:t>
            </w:r>
            <w:r>
              <w:rPr>
                <w:rFonts w:hint="eastAsia" w:ascii="宋体" w:hAnsi="宋体" w:cs="宋体"/>
                <w:color w:val="auto"/>
                <w:sz w:val="21"/>
                <w:szCs w:val="21"/>
                <w:highlight w:val="none"/>
                <w:lang w:eastAsia="zh-CN"/>
              </w:rPr>
              <w:t>标“</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”项（以</w:t>
            </w:r>
            <w:r>
              <w:rPr>
                <w:rFonts w:hint="eastAsia" w:ascii="宋体" w:hAnsi="宋体" w:cs="宋体"/>
                <w:color w:val="auto"/>
                <w:sz w:val="21"/>
                <w:szCs w:val="21"/>
                <w:highlight w:val="none"/>
              </w:rPr>
              <w:t>（XX）为一项）技术参数不满足要求的扣</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，最高扣</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每有一项</w:t>
            </w:r>
            <w:r>
              <w:rPr>
                <w:rFonts w:hint="eastAsia" w:ascii="宋体" w:hAnsi="宋体" w:cs="宋体"/>
                <w:color w:val="auto"/>
                <w:sz w:val="21"/>
                <w:szCs w:val="21"/>
                <w:highlight w:val="none"/>
                <w:lang w:eastAsia="zh-CN"/>
              </w:rPr>
              <w:t>非“</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”项非“</w:t>
            </w:r>
            <w:r>
              <w:rPr>
                <w:rFonts w:hint="eastAsia" w:ascii="宋体" w:hAnsi="宋体" w:cs="宋体"/>
                <w:color w:val="auto"/>
                <w:kern w:val="0"/>
                <w:sz w:val="21"/>
                <w:szCs w:val="21"/>
                <w:highlight w:val="none"/>
                <w:lang w:bidi="ar"/>
              </w:rPr>
              <w:t>★</w:t>
            </w:r>
            <w:r>
              <w:rPr>
                <w:rFonts w:hint="eastAsia" w:ascii="宋体" w:hAnsi="宋体" w:cs="宋体"/>
                <w:color w:val="auto"/>
                <w:sz w:val="21"/>
                <w:szCs w:val="21"/>
                <w:highlight w:val="none"/>
                <w:lang w:eastAsia="zh-CN"/>
              </w:rPr>
              <w:t>”项（以</w:t>
            </w:r>
            <w:r>
              <w:rPr>
                <w:rFonts w:hint="eastAsia" w:ascii="宋体" w:hAnsi="宋体" w:cs="宋体"/>
                <w:color w:val="auto"/>
                <w:sz w:val="21"/>
                <w:szCs w:val="21"/>
                <w:highlight w:val="none"/>
              </w:rPr>
              <w:t>（XX）为一项）技术参数不满足要求的扣</w:t>
            </w:r>
            <w:r>
              <w:rPr>
                <w:rFonts w:hint="eastAsia" w:ascii="宋体" w:hAnsi="宋体" w:cs="宋体"/>
                <w:color w:val="auto"/>
                <w:sz w:val="21"/>
                <w:szCs w:val="21"/>
                <w:highlight w:val="none"/>
                <w:lang w:val="en-US" w:eastAsia="zh-CN"/>
              </w:rPr>
              <w:t>0.5分</w:t>
            </w:r>
            <w:r>
              <w:rPr>
                <w:rFonts w:hint="eastAsia" w:ascii="宋体" w:hAnsi="宋体" w:cs="宋体"/>
                <w:color w:val="auto"/>
                <w:sz w:val="21"/>
                <w:szCs w:val="21"/>
                <w:highlight w:val="none"/>
              </w:rPr>
              <w:t>，最高扣</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p>
          <w:p>
            <w:pPr>
              <w:pStyle w:val="2"/>
              <w:spacing w:line="360" w:lineRule="auto"/>
              <w:rPr>
                <w:color w:val="auto"/>
                <w:sz w:val="21"/>
                <w:szCs w:val="21"/>
                <w:highlight w:val="none"/>
              </w:rPr>
            </w:pPr>
            <w:r>
              <w:rPr>
                <w:rFonts w:hint="eastAsia" w:ascii="宋体" w:hAnsi="宋体" w:eastAsia="宋体" w:cs="宋体"/>
                <w:color w:val="auto"/>
                <w:sz w:val="21"/>
                <w:szCs w:val="21"/>
                <w:highlight w:val="none"/>
              </w:rPr>
              <w:t>注：磋商文件第五章要求提供佐证材料的，以具体佐证材料为准，若未提供不予认定。未要求提供佐证材料的以供应商响应为准。</w:t>
            </w:r>
          </w:p>
        </w:tc>
        <w:tc>
          <w:tcPr>
            <w:tcW w:w="572" w:type="pct"/>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spacing w:line="276"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579"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eastAsia="zh-CN"/>
              </w:rPr>
              <w:t>服务</w:t>
            </w:r>
            <w:r>
              <w:rPr>
                <w:rFonts w:hint="eastAsia" w:ascii="宋体" w:hAnsi="宋体" w:cs="宋体"/>
                <w:color w:val="auto"/>
                <w:sz w:val="21"/>
                <w:szCs w:val="21"/>
                <w:highlight w:val="none"/>
              </w:rPr>
              <w:t>方案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w:t>
            </w:r>
          </w:p>
        </w:tc>
        <w:tc>
          <w:tcPr>
            <w:tcW w:w="435" w:type="pct"/>
            <w:vAlign w:val="center"/>
          </w:tcPr>
          <w:p>
            <w:pPr>
              <w:spacing w:line="276"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分</w:t>
            </w:r>
          </w:p>
        </w:tc>
        <w:tc>
          <w:tcPr>
            <w:tcW w:w="3119" w:type="pct"/>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根据供应商提供的对项目的</w:t>
            </w:r>
            <w:r>
              <w:rPr>
                <w:rFonts w:hint="eastAsia" w:ascii="宋体" w:hAnsi="宋体" w:cs="宋体"/>
                <w:bCs/>
                <w:color w:val="auto"/>
                <w:sz w:val="21"/>
                <w:szCs w:val="21"/>
                <w:highlight w:val="none"/>
                <w:lang w:eastAsia="zh-CN"/>
              </w:rPr>
              <w:t>服务</w:t>
            </w:r>
            <w:r>
              <w:rPr>
                <w:rFonts w:hint="eastAsia" w:ascii="宋体" w:hAnsi="宋体" w:cs="宋体"/>
                <w:bCs/>
                <w:color w:val="auto"/>
                <w:sz w:val="21"/>
                <w:szCs w:val="21"/>
                <w:highlight w:val="none"/>
              </w:rPr>
              <w:t>方案</w:t>
            </w:r>
            <w:r>
              <w:rPr>
                <w:rFonts w:hint="eastAsia" w:ascii="宋体" w:hAnsi="宋体" w:cs="宋体"/>
                <w:color w:val="auto"/>
                <w:sz w:val="21"/>
                <w:szCs w:val="21"/>
                <w:highlight w:val="none"/>
              </w:rPr>
              <w:t>内容进行评审，内容至少包含：</w:t>
            </w:r>
            <w:r>
              <w:rPr>
                <w:rFonts w:hint="eastAsia" w:ascii="宋体" w:hAnsi="宋体" w:eastAsia="宋体" w:cs="宋体"/>
                <w:color w:val="auto"/>
                <w:sz w:val="21"/>
                <w:szCs w:val="21"/>
                <w:highlight w:val="none"/>
              </w:rPr>
              <w:t>①项目进度计划；②内部管理制度；③项目实施重难点分析应对；④人员职责划分；⑤质量保证措施（包装、配送、货物装卸、临时管存等）；⑥安装调试方案（安装调试团队组建、现场管理等）</w:t>
            </w:r>
            <w:r>
              <w:rPr>
                <w:rFonts w:hint="eastAsia" w:ascii="宋体" w:hAnsi="宋体" w:eastAsia="宋体" w:cs="宋体"/>
                <w:color w:val="auto"/>
                <w:sz w:val="21"/>
                <w:szCs w:val="21"/>
                <w:highlight w:val="none"/>
                <w:lang w:eastAsia="zh-CN"/>
              </w:rPr>
              <w:t>；⑦</w:t>
            </w:r>
            <w:r>
              <w:rPr>
                <w:rFonts w:hint="eastAsia" w:ascii="宋体" w:hAnsi="宋体" w:cs="宋体"/>
                <w:b w:val="0"/>
                <w:bCs w:val="0"/>
                <w:color w:val="auto"/>
                <w:sz w:val="21"/>
                <w:szCs w:val="21"/>
                <w:highlight w:val="none"/>
                <w:lang w:eastAsia="zh-CN"/>
              </w:rPr>
              <w:t>疫情防控措施</w:t>
            </w:r>
            <w:r>
              <w:rPr>
                <w:rFonts w:hint="eastAsia" w:ascii="宋体" w:hAnsi="宋体" w:cs="宋体"/>
                <w:color w:val="auto"/>
                <w:sz w:val="21"/>
                <w:szCs w:val="21"/>
                <w:highlight w:val="none"/>
              </w:rPr>
              <w:t>，进行综合评审，内容齐全且符合本项目特点及实际情况，满足项目实际要求的得</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分。每有一项内容缺失扣4分，每有一项存在内容缺陷的扣2分，扣完为止。（缺陷是指内容与实际情况不匹配、凭空编造、存在逻辑漏洞、科学原理错误、不可能实现的夸大情形以及涉及的规范标准与本项目要求不一致、内容简略、内容与本项目无关等任意一种情形）</w:t>
            </w:r>
          </w:p>
        </w:tc>
        <w:tc>
          <w:tcPr>
            <w:tcW w:w="572" w:type="pct"/>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spacing w:line="276" w:lineRule="auto"/>
              <w:ind w:firstLine="28"/>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79"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售后服务</w:t>
            </w:r>
            <w:r>
              <w:rPr>
                <w:rFonts w:hint="eastAsia" w:ascii="宋体" w:hAnsi="宋体" w:cs="宋体"/>
                <w:color w:val="auto"/>
                <w:sz w:val="21"/>
                <w:szCs w:val="21"/>
                <w:highlight w:val="none"/>
                <w:lang w:val="en-US" w:eastAsia="zh-CN"/>
              </w:rPr>
              <w:t>16%</w:t>
            </w:r>
          </w:p>
        </w:tc>
        <w:tc>
          <w:tcPr>
            <w:tcW w:w="435" w:type="pct"/>
            <w:vAlign w:val="center"/>
          </w:tcPr>
          <w:p>
            <w:pPr>
              <w:spacing w:line="276" w:lineRule="auto"/>
              <w:ind w:firstLine="28"/>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16分</w:t>
            </w:r>
          </w:p>
        </w:tc>
        <w:tc>
          <w:tcPr>
            <w:tcW w:w="3119" w:type="pct"/>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根据供应商提供的对项目的</w:t>
            </w:r>
            <w:r>
              <w:rPr>
                <w:rFonts w:hint="eastAsia" w:ascii="宋体" w:hAnsi="宋体" w:cs="宋体"/>
                <w:color w:val="auto"/>
                <w:sz w:val="21"/>
                <w:szCs w:val="21"/>
                <w:highlight w:val="none"/>
                <w:lang w:eastAsia="zh-CN"/>
              </w:rPr>
              <w:t>售后</w:t>
            </w:r>
            <w:r>
              <w:rPr>
                <w:rFonts w:hint="eastAsia" w:ascii="宋体" w:hAnsi="宋体" w:cs="宋体"/>
                <w:bCs/>
                <w:color w:val="auto"/>
                <w:sz w:val="21"/>
                <w:szCs w:val="21"/>
                <w:highlight w:val="none"/>
                <w:lang w:eastAsia="zh-CN"/>
              </w:rPr>
              <w:t>服务</w:t>
            </w:r>
            <w:r>
              <w:rPr>
                <w:rFonts w:hint="eastAsia" w:ascii="宋体" w:hAnsi="宋体" w:cs="宋体"/>
                <w:bCs/>
                <w:color w:val="auto"/>
                <w:sz w:val="21"/>
                <w:szCs w:val="21"/>
                <w:highlight w:val="none"/>
              </w:rPr>
              <w:t>方案</w:t>
            </w:r>
            <w:r>
              <w:rPr>
                <w:rFonts w:hint="eastAsia" w:ascii="宋体" w:hAnsi="宋体" w:cs="宋体"/>
                <w:color w:val="auto"/>
                <w:sz w:val="21"/>
                <w:szCs w:val="21"/>
                <w:highlight w:val="none"/>
              </w:rPr>
              <w:t>内容进行评审，内容至少包含：</w:t>
            </w:r>
            <w:r>
              <w:rPr>
                <w:rFonts w:hint="eastAsia" w:ascii="宋体" w:hAnsi="宋体" w:eastAsia="宋体" w:cs="宋体"/>
                <w:b w:val="0"/>
                <w:bCs w:val="0"/>
                <w:color w:val="auto"/>
                <w:sz w:val="21"/>
                <w:szCs w:val="21"/>
                <w:highlight w:val="none"/>
              </w:rPr>
              <w:t>①</w:t>
            </w:r>
            <w:r>
              <w:rPr>
                <w:rFonts w:hint="eastAsia" w:ascii="宋体" w:hAnsi="宋体" w:cs="宋体"/>
                <w:b w:val="0"/>
                <w:bCs w:val="0"/>
                <w:color w:val="auto"/>
                <w:sz w:val="21"/>
                <w:szCs w:val="21"/>
                <w:highlight w:val="none"/>
                <w:lang w:eastAsia="zh-CN"/>
              </w:rPr>
              <w:t>售后技术支持；</w:t>
            </w:r>
            <w:r>
              <w:rPr>
                <w:rFonts w:hint="eastAsia" w:ascii="宋体" w:hAnsi="宋体" w:eastAsia="宋体" w:cs="宋体"/>
                <w:b w:val="0"/>
                <w:bCs w:val="0"/>
                <w:color w:val="auto"/>
                <w:sz w:val="21"/>
                <w:szCs w:val="21"/>
                <w:highlight w:val="none"/>
              </w:rPr>
              <w:t>②</w:t>
            </w:r>
            <w:r>
              <w:rPr>
                <w:rFonts w:hint="eastAsia" w:ascii="宋体" w:hAnsi="宋体" w:cs="宋体"/>
                <w:b w:val="0"/>
                <w:bCs w:val="0"/>
                <w:color w:val="auto"/>
                <w:sz w:val="21"/>
                <w:szCs w:val="21"/>
                <w:highlight w:val="none"/>
                <w:lang w:eastAsia="zh-CN"/>
              </w:rPr>
              <w:t>售后响应时间；</w:t>
            </w:r>
            <w:r>
              <w:rPr>
                <w:rFonts w:hint="eastAsia" w:ascii="宋体" w:hAnsi="宋体" w:eastAsia="宋体" w:cs="宋体"/>
                <w:b w:val="0"/>
                <w:bCs w:val="0"/>
                <w:color w:val="auto"/>
                <w:sz w:val="21"/>
                <w:szCs w:val="21"/>
                <w:highlight w:val="none"/>
              </w:rPr>
              <w:t>③</w:t>
            </w:r>
            <w:r>
              <w:rPr>
                <w:rFonts w:hint="eastAsia" w:ascii="宋体" w:hAnsi="宋体" w:cs="宋体"/>
                <w:b w:val="0"/>
                <w:bCs w:val="0"/>
                <w:color w:val="auto"/>
                <w:sz w:val="21"/>
                <w:szCs w:val="21"/>
                <w:highlight w:val="none"/>
                <w:lang w:eastAsia="zh-CN"/>
              </w:rPr>
              <w:t>售后人员配置；</w:t>
            </w:r>
            <w:r>
              <w:rPr>
                <w:rFonts w:hint="eastAsia" w:ascii="宋体" w:hAnsi="宋体" w:eastAsia="宋体" w:cs="宋体"/>
                <w:b w:val="0"/>
                <w:bCs w:val="0"/>
                <w:color w:val="auto"/>
                <w:sz w:val="21"/>
                <w:szCs w:val="21"/>
                <w:highlight w:val="none"/>
              </w:rPr>
              <w:t>④</w:t>
            </w:r>
            <w:r>
              <w:rPr>
                <w:rFonts w:hint="eastAsia" w:ascii="宋体" w:hAnsi="宋体" w:cs="宋体"/>
                <w:b w:val="0"/>
                <w:bCs w:val="0"/>
                <w:color w:val="auto"/>
                <w:sz w:val="21"/>
                <w:szCs w:val="21"/>
                <w:highlight w:val="none"/>
                <w:lang w:eastAsia="zh-CN"/>
              </w:rPr>
              <w:t>培训方案</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进行综合评审，内容齐全且符合本项目特点及实际情况，满足项目实际要求的得</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分。每有一项内容缺失扣4分，每有一项存在内容缺陷的扣2分，扣完为止。（缺陷是指内容与实际情况不匹配、凭空编造、存在逻辑漏洞、科学原理错误、不可能实现的夸大情形以及涉及的规范标准与本项目要求不一致、内容简略、内容与本项目无关等任意一种情形）</w:t>
            </w:r>
          </w:p>
        </w:tc>
        <w:tc>
          <w:tcPr>
            <w:tcW w:w="572" w:type="pct"/>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579" w:type="pct"/>
            <w:vAlign w:val="center"/>
          </w:tcPr>
          <w:p>
            <w:pPr>
              <w:spacing w:line="276"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节能、环境标志产品</w:t>
            </w:r>
          </w:p>
          <w:p>
            <w:pPr>
              <w:spacing w:line="276" w:lineRule="auto"/>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435" w:type="pc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2分</w:t>
            </w:r>
          </w:p>
        </w:tc>
        <w:tc>
          <w:tcPr>
            <w:tcW w:w="3119" w:type="pct"/>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报价产品中属于政府采购优先采购范围的，则每有一项为节能产品或者环境标志产品的得1分，非节能、环境标志产品的、无线局域网产品的不得分。本项最多得2分。</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 报价产品属于优先采购范围内的节能产品或者环境标志产品的，提供国家确定的认证机构出具的、处于有效期之内的节能产品、环境标志产品认证证书复印件加盖供应商公章（鲜章）。</w:t>
            </w:r>
          </w:p>
        </w:tc>
        <w:tc>
          <w:tcPr>
            <w:tcW w:w="572" w:type="pct"/>
            <w:vAlign w:val="center"/>
          </w:tcPr>
          <w:p>
            <w:pPr>
              <w:jc w:val="center"/>
              <w:rPr>
                <w:rFonts w:ascii="宋体" w:hAnsi="宋体" w:cs="宋体"/>
                <w:color w:val="auto"/>
                <w:sz w:val="21"/>
                <w:szCs w:val="21"/>
                <w:highlight w:val="none"/>
              </w:rPr>
            </w:pPr>
          </w:p>
        </w:tc>
      </w:tr>
    </w:tbl>
    <w:p>
      <w:pPr>
        <w:spacing w:line="360" w:lineRule="auto"/>
        <w:ind w:firstLine="360" w:firstLineChars="150"/>
        <w:rPr>
          <w:color w:val="auto"/>
          <w:sz w:val="24"/>
          <w:highlight w:val="none"/>
        </w:rPr>
      </w:pPr>
      <w:r>
        <w:rPr>
          <w:rFonts w:hint="eastAsia"/>
          <w:color w:val="auto"/>
          <w:sz w:val="24"/>
          <w:highlight w:val="none"/>
        </w:rPr>
        <w:t>注：评分的取值按四舍五入法，保留小数点后两位。</w:t>
      </w:r>
      <w:bookmarkEnd w:id="167"/>
      <w:bookmarkEnd w:id="168"/>
      <w:bookmarkEnd w:id="169"/>
      <w:bookmarkEnd w:id="170"/>
      <w:bookmarkStart w:id="177" w:name="_Toc21472_WPSOffice_Level2"/>
    </w:p>
    <w:p>
      <w:pPr>
        <w:spacing w:line="360" w:lineRule="auto"/>
        <w:rPr>
          <w:color w:val="auto"/>
          <w:highlight w:val="none"/>
        </w:rPr>
      </w:pPr>
    </w:p>
    <w:p>
      <w:pPr>
        <w:pStyle w:val="5"/>
        <w:keepNext w:val="0"/>
        <w:keepLines w:val="0"/>
        <w:spacing w:before="0" w:after="0" w:line="360" w:lineRule="auto"/>
        <w:ind w:firstLine="472" w:firstLineChars="196"/>
        <w:rPr>
          <w:rFonts w:ascii="宋体" w:hAnsi="宋体" w:eastAsia="宋体"/>
          <w:color w:val="auto"/>
          <w:sz w:val="24"/>
          <w:szCs w:val="24"/>
          <w:highlight w:val="none"/>
        </w:rPr>
      </w:pPr>
      <w:bookmarkStart w:id="178" w:name="_Toc32701_WPSOffice_Level2"/>
      <w:r>
        <w:rPr>
          <w:rFonts w:hint="eastAsia" w:ascii="宋体" w:hAnsi="宋体" w:eastAsia="宋体"/>
          <w:color w:val="auto"/>
          <w:sz w:val="24"/>
          <w:szCs w:val="24"/>
          <w:highlight w:val="none"/>
        </w:rPr>
        <w:t>4.磋商纪律及注意事项</w:t>
      </w:r>
      <w:bookmarkEnd w:id="177"/>
      <w:bookmarkEnd w:id="178"/>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4.3</w:t>
      </w:r>
      <w:r>
        <w:rPr>
          <w:rFonts w:hint="eastAsia"/>
          <w:color w:val="auto"/>
          <w:sz w:val="24"/>
          <w:highlight w:val="none"/>
        </w:rPr>
        <w:t>对各供应商的商业秘密，磋商小组成员应予以保密，不得泄露给其他供应商。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4.4 磋商小组独立评判，推荐成交候选人，并写出书面报告。</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4.5 磋商小组可根据需要对供应商进行实地考察。</w:t>
      </w:r>
    </w:p>
    <w:p>
      <w:pPr>
        <w:spacing w:line="360" w:lineRule="auto"/>
        <w:rPr>
          <w:rFonts w:ascii="宋体"/>
          <w:color w:val="auto"/>
          <w:szCs w:val="21"/>
          <w:highlight w:val="none"/>
        </w:rPr>
      </w:pPr>
    </w:p>
    <w:p>
      <w:pPr>
        <w:pStyle w:val="5"/>
        <w:keepNext w:val="0"/>
        <w:keepLines w:val="0"/>
        <w:spacing w:before="0" w:after="0" w:line="360" w:lineRule="auto"/>
        <w:ind w:firstLine="472" w:firstLineChars="196"/>
        <w:rPr>
          <w:rFonts w:ascii="宋体" w:hAnsi="宋体" w:eastAsia="宋体"/>
          <w:color w:val="auto"/>
          <w:sz w:val="24"/>
          <w:szCs w:val="24"/>
          <w:highlight w:val="none"/>
        </w:rPr>
      </w:pPr>
      <w:bookmarkStart w:id="179" w:name="_Toc17761_WPSOffice_Level2"/>
      <w:bookmarkStart w:id="180" w:name="_Toc29183_WPSOffice_Level2"/>
      <w:r>
        <w:rPr>
          <w:rFonts w:hint="eastAsia" w:ascii="宋体" w:hAnsi="宋体" w:eastAsia="宋体"/>
          <w:color w:val="auto"/>
          <w:sz w:val="24"/>
          <w:szCs w:val="24"/>
          <w:highlight w:val="none"/>
        </w:rPr>
        <w:t>5.</w:t>
      </w:r>
      <w:bookmarkEnd w:id="171"/>
      <w:r>
        <w:rPr>
          <w:rFonts w:hint="eastAsia" w:ascii="宋体" w:hAnsi="宋体" w:eastAsia="宋体"/>
          <w:color w:val="auto"/>
          <w:sz w:val="24"/>
          <w:szCs w:val="24"/>
          <w:highlight w:val="none"/>
        </w:rPr>
        <w:t>磋商小组在政府采购活动中承担以下义务：</w:t>
      </w:r>
      <w:bookmarkEnd w:id="179"/>
      <w:bookmarkEnd w:id="180"/>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（1）遵守评审工作纪律；</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（3）不得泄露评审文件、评审情况和在评审过程中获悉的商业秘密；</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（6）及时向财政、监察等部门举报在评审过程中受到非法干预的情况；</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（7）配合答复处理供应商的询问、质疑和投诉等事项；</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（8）法律、法规和规章规定的其他义务。</w:t>
      </w:r>
    </w:p>
    <w:p>
      <w:pPr>
        <w:spacing w:line="360" w:lineRule="auto"/>
        <w:rPr>
          <w:rFonts w:ascii="宋体" w:hAnsi="宋体"/>
          <w:color w:val="auto"/>
          <w:szCs w:val="21"/>
          <w:highlight w:val="none"/>
        </w:rPr>
      </w:pPr>
    </w:p>
    <w:p>
      <w:pPr>
        <w:spacing w:line="360" w:lineRule="auto"/>
        <w:ind w:firstLine="470" w:firstLineChars="196"/>
        <w:rPr>
          <w:rFonts w:ascii="宋体" w:hAnsi="宋体"/>
          <w:color w:val="auto"/>
          <w:sz w:val="24"/>
          <w:highlight w:val="none"/>
        </w:rPr>
      </w:pPr>
      <w:bookmarkStart w:id="181" w:name="_Toc13308_WPSOffice_Level2"/>
      <w:bookmarkStart w:id="182" w:name="_Toc17404_WPSOffice_Level2"/>
      <w:r>
        <w:rPr>
          <w:rFonts w:hint="eastAsia" w:ascii="宋体" w:hAnsi="宋体"/>
          <w:color w:val="auto"/>
          <w:sz w:val="24"/>
          <w:highlight w:val="none"/>
        </w:rPr>
        <w:t>6.评审专家在政府采购活动中应当遵守以下工作纪律：</w:t>
      </w:r>
      <w:bookmarkEnd w:id="181"/>
      <w:bookmarkEnd w:id="182"/>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（2）评审前，应当将通讯工具或者相关电子设备交由采购代理机构统一保管；</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（5）在评审过程中和评审结束后，不得记录、复制或带走任何评审资料，不得向外界透露评审内容；</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（6）评审现场服从采购代理机构工作人员的管理，接受现场监督人员的合法监督；</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（7）遵守有关廉洁自律规定，不得私下接触供应商，不得收受供应商及有关业务单位和个人的财物或好处，不得接受采购代理机构的请托。</w:t>
      </w:r>
    </w:p>
    <w:p>
      <w:pPr>
        <w:pStyle w:val="4"/>
        <w:spacing w:before="0" w:after="0" w:line="360" w:lineRule="auto"/>
        <w:jc w:val="center"/>
        <w:rPr>
          <w:color w:val="auto"/>
          <w:highlight w:val="none"/>
        </w:rPr>
      </w:pPr>
      <w:r>
        <w:rPr>
          <w:rFonts w:hint="eastAsia"/>
          <w:color w:val="auto"/>
          <w:highlight w:val="none"/>
        </w:rPr>
        <w:br w:type="page"/>
      </w:r>
      <w:bookmarkStart w:id="183" w:name="_Toc10837"/>
      <w:bookmarkStart w:id="184" w:name="_Toc28556_WPSOffice_Level1"/>
      <w:bookmarkStart w:id="185" w:name="_Toc14405_WPSOffice_Level1"/>
      <w:r>
        <w:rPr>
          <w:rFonts w:hint="eastAsia"/>
          <w:color w:val="auto"/>
          <w:highlight w:val="none"/>
        </w:rPr>
        <w:t>第九章  政府采购合同（草案）</w:t>
      </w:r>
      <w:bookmarkEnd w:id="183"/>
      <w:bookmarkEnd w:id="184"/>
      <w:bookmarkEnd w:id="185"/>
    </w:p>
    <w:bookmarkEnd w:id="117"/>
    <w:bookmarkEnd w:id="118"/>
    <w:bookmarkEnd w:id="119"/>
    <w:p>
      <w:pPr>
        <w:pStyle w:val="2"/>
        <w:widowControl/>
        <w:spacing w:line="360" w:lineRule="auto"/>
        <w:ind w:firstLine="464" w:firstLineChars="200"/>
        <w:rPr>
          <w:rFonts w:ascii="宋体" w:hAnsi="宋体" w:eastAsia="宋体" w:cs="宋体"/>
          <w:color w:val="auto"/>
          <w:spacing w:val="-4"/>
          <w:sz w:val="24"/>
          <w:szCs w:val="24"/>
          <w:highlight w:val="none"/>
        </w:rPr>
      </w:pPr>
      <w:bookmarkStart w:id="186" w:name="_Hlt101846155"/>
      <w:bookmarkEnd w:id="186"/>
      <w:r>
        <w:rPr>
          <w:rFonts w:hint="eastAsia" w:ascii="宋体" w:hAnsi="宋体" w:eastAsia="宋体" w:cs="宋体"/>
          <w:color w:val="auto"/>
          <w:spacing w:val="-4"/>
          <w:sz w:val="24"/>
          <w:szCs w:val="24"/>
          <w:highlight w:val="none"/>
        </w:rPr>
        <w:t>合同编号：与项目编号一致</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签订地点：</w:t>
      </w:r>
      <w:r>
        <w:rPr>
          <w:rFonts w:hint="eastAsia" w:ascii="宋体" w:hAnsi="宋体" w:eastAsia="宋体" w:cs="宋体"/>
          <w:color w:val="auto"/>
          <w:spacing w:val="-4"/>
          <w:sz w:val="24"/>
          <w:szCs w:val="24"/>
          <w:highlight w:val="none"/>
          <w:u w:val="single"/>
        </w:rPr>
        <w:t xml:space="preserve">       </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签订时间：</w:t>
      </w:r>
      <w:r>
        <w:rPr>
          <w:rFonts w:hint="eastAsia" w:ascii="宋体" w:hAnsi="宋体" w:eastAsia="宋体" w:cs="宋体"/>
          <w:color w:val="auto"/>
          <w:spacing w:val="-4"/>
          <w:sz w:val="24"/>
          <w:szCs w:val="24"/>
          <w:highlight w:val="none"/>
          <w:u w:val="single"/>
        </w:rPr>
        <w:t xml:space="preserve">       </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采购人名称(甲方)：</w:t>
      </w:r>
      <w:r>
        <w:rPr>
          <w:rFonts w:hint="eastAsia" w:ascii="宋体" w:hAnsi="宋体" w:eastAsia="宋体" w:cs="宋体"/>
          <w:color w:val="auto"/>
          <w:spacing w:val="-4"/>
          <w:sz w:val="24"/>
          <w:szCs w:val="24"/>
          <w:highlight w:val="none"/>
          <w:u w:val="single"/>
        </w:rPr>
        <w:t xml:space="preserve">        </w:t>
      </w:r>
    </w:p>
    <w:p>
      <w:pPr>
        <w:pStyle w:val="2"/>
        <w:widowControl/>
        <w:spacing w:line="360" w:lineRule="auto"/>
        <w:ind w:firstLine="464" w:firstLineChars="200"/>
        <w:rPr>
          <w:rFonts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成交供应商名称(乙方)：</w:t>
      </w:r>
      <w:r>
        <w:rPr>
          <w:rFonts w:hint="eastAsia" w:ascii="宋体" w:hAnsi="宋体" w:eastAsia="宋体" w:cs="宋体"/>
          <w:color w:val="auto"/>
          <w:spacing w:val="-4"/>
          <w:sz w:val="24"/>
          <w:szCs w:val="24"/>
          <w:highlight w:val="none"/>
          <w:u w:val="single"/>
        </w:rPr>
        <w:tab/>
      </w:r>
      <w:r>
        <w:rPr>
          <w:rFonts w:hint="eastAsia" w:ascii="宋体" w:hAnsi="宋体" w:eastAsia="宋体" w:cs="宋体"/>
          <w:color w:val="auto"/>
          <w:spacing w:val="-4"/>
          <w:sz w:val="24"/>
          <w:szCs w:val="24"/>
          <w:highlight w:val="none"/>
          <w:u w:val="single"/>
        </w:rPr>
        <w:t xml:space="preserve">      </w:t>
      </w:r>
    </w:p>
    <w:p>
      <w:pPr>
        <w:pStyle w:val="2"/>
        <w:widowControl/>
        <w:spacing w:line="360" w:lineRule="auto"/>
        <w:ind w:firstLine="464" w:firstLineChars="200"/>
        <w:rPr>
          <w:rFonts w:ascii="宋体" w:hAnsi="宋体" w:eastAsia="宋体" w:cs="宋体"/>
          <w:color w:val="auto"/>
          <w:spacing w:val="-4"/>
          <w:sz w:val="24"/>
          <w:szCs w:val="24"/>
          <w:highlight w:val="none"/>
        </w:rPr>
      </w:pP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根据《中华人民共和国民法典》、《中华人民共和国政府采购法》、《中华人民共和国政府采购法实施条例》（国务院令第 658 号）、《政府采购竞争性磋商采购方式管理暂行办法》及（采购项目的名称）(项目编号：XX)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187" w:name="_Toc10244_WPSOffice_Level2"/>
      <w:bookmarkStart w:id="188" w:name="_Toc31808_WPSOffice_Level2"/>
      <w:bookmarkStart w:id="189" w:name="_Toc3482_WPSOffice_Level2"/>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第一条</w:t>
      </w:r>
      <w:r>
        <w:rPr>
          <w:rFonts w:hint="eastAsia" w:ascii="宋体" w:hAnsi="宋体" w:eastAsia="宋体" w:cs="宋体"/>
          <w:b/>
          <w:color w:val="auto"/>
          <w:spacing w:val="-4"/>
          <w:sz w:val="24"/>
          <w:szCs w:val="24"/>
          <w:highlight w:val="none"/>
        </w:rPr>
        <w:tab/>
      </w:r>
      <w:r>
        <w:rPr>
          <w:rFonts w:hint="eastAsia" w:ascii="宋体" w:hAnsi="宋体" w:eastAsia="宋体" w:cs="宋体"/>
          <w:b/>
          <w:color w:val="auto"/>
          <w:spacing w:val="-4"/>
          <w:sz w:val="24"/>
          <w:szCs w:val="24"/>
          <w:highlight w:val="none"/>
        </w:rPr>
        <w:t>项目基本情况</w:t>
      </w:r>
      <w:bookmarkEnd w:id="187"/>
      <w:bookmarkEnd w:id="188"/>
      <w:bookmarkEnd w:id="189"/>
    </w:p>
    <w:p>
      <w:pPr>
        <w:pStyle w:val="2"/>
        <w:widowControl/>
        <w:spacing w:line="360" w:lineRule="auto"/>
        <w:ind w:firstLine="464" w:firstLineChars="200"/>
        <w:rPr>
          <w:rFonts w:ascii="宋体" w:hAnsi="宋体" w:eastAsia="宋体" w:cs="宋体"/>
          <w:color w:val="auto"/>
          <w:spacing w:val="-4"/>
          <w:sz w:val="24"/>
          <w:szCs w:val="24"/>
          <w:highlight w:val="none"/>
        </w:rPr>
      </w:pP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190" w:name="_Toc4549_WPSOffice_Level2"/>
      <w:bookmarkStart w:id="191" w:name="_Toc16208_WPSOffice_Level2"/>
      <w:bookmarkStart w:id="192" w:name="_Toc5363_WPSOffice_Level2"/>
      <w:r>
        <w:rPr>
          <w:rFonts w:hint="eastAsia" w:ascii="宋体" w:hAnsi="宋体" w:eastAsia="宋体" w:cs="宋体"/>
          <w:b/>
          <w:color w:val="auto"/>
          <w:spacing w:val="-4"/>
          <w:sz w:val="24"/>
          <w:szCs w:val="24"/>
          <w:highlight w:val="none"/>
        </w:rPr>
        <w:t>第二条</w:t>
      </w:r>
      <w:r>
        <w:rPr>
          <w:rFonts w:hint="eastAsia" w:ascii="宋体" w:hAnsi="宋体" w:eastAsia="宋体" w:cs="宋体"/>
          <w:b/>
          <w:color w:val="auto"/>
          <w:spacing w:val="-4"/>
          <w:sz w:val="24"/>
          <w:szCs w:val="24"/>
          <w:highlight w:val="none"/>
        </w:rPr>
        <w:tab/>
      </w:r>
      <w:r>
        <w:rPr>
          <w:rFonts w:hint="eastAsia" w:ascii="宋体" w:hAnsi="宋体" w:eastAsia="宋体" w:cs="宋体"/>
          <w:b/>
          <w:color w:val="auto"/>
          <w:spacing w:val="-4"/>
          <w:sz w:val="24"/>
          <w:szCs w:val="24"/>
          <w:highlight w:val="none"/>
        </w:rPr>
        <w:t>合同履行</w:t>
      </w:r>
      <w:bookmarkEnd w:id="190"/>
      <w:bookmarkEnd w:id="191"/>
      <w:bookmarkEnd w:id="192"/>
    </w:p>
    <w:p>
      <w:pPr>
        <w:pStyle w:val="2"/>
        <w:widowControl/>
        <w:spacing w:line="360" w:lineRule="auto"/>
        <w:ind w:firstLine="464" w:firstLineChars="200"/>
        <w:rPr>
          <w:rFonts w:ascii="宋体" w:hAnsi="宋体" w:eastAsia="宋体" w:cs="宋体"/>
          <w:color w:val="auto"/>
          <w:spacing w:val="-4"/>
          <w:sz w:val="24"/>
          <w:szCs w:val="24"/>
          <w:highlight w:val="none"/>
        </w:rPr>
      </w:pPr>
      <w:bookmarkStart w:id="193" w:name="_Toc25704_WPSOffice_Level3"/>
      <w:r>
        <w:rPr>
          <w:rFonts w:hint="eastAsia" w:ascii="宋体" w:hAnsi="宋体" w:eastAsia="宋体" w:cs="宋体"/>
          <w:color w:val="auto"/>
          <w:spacing w:val="-4"/>
          <w:sz w:val="24"/>
          <w:szCs w:val="24"/>
          <w:highlight w:val="none"/>
        </w:rPr>
        <w:t>1、履约期限：</w:t>
      </w:r>
      <w:bookmarkEnd w:id="193"/>
    </w:p>
    <w:p>
      <w:pPr>
        <w:pStyle w:val="2"/>
        <w:widowControl/>
        <w:spacing w:line="360" w:lineRule="auto"/>
        <w:ind w:firstLine="464" w:firstLineChars="200"/>
        <w:rPr>
          <w:rFonts w:ascii="宋体" w:hAnsi="宋体" w:eastAsia="宋体" w:cs="宋体"/>
          <w:color w:val="auto"/>
          <w:spacing w:val="-4"/>
          <w:sz w:val="24"/>
          <w:szCs w:val="24"/>
          <w:highlight w:val="none"/>
        </w:rPr>
      </w:pPr>
      <w:bookmarkStart w:id="194" w:name="_Toc26993_WPSOffice_Level3"/>
      <w:r>
        <w:rPr>
          <w:rFonts w:hint="eastAsia" w:ascii="宋体" w:hAnsi="宋体" w:eastAsia="宋体" w:cs="宋体"/>
          <w:color w:val="auto"/>
          <w:spacing w:val="-4"/>
          <w:sz w:val="24"/>
          <w:szCs w:val="24"/>
          <w:highlight w:val="none"/>
        </w:rPr>
        <w:t>2、履行地点：</w:t>
      </w:r>
      <w:bookmarkEnd w:id="194"/>
    </w:p>
    <w:p>
      <w:pPr>
        <w:pStyle w:val="2"/>
        <w:widowControl/>
        <w:spacing w:line="360" w:lineRule="auto"/>
        <w:ind w:firstLine="464" w:firstLineChars="200"/>
        <w:rPr>
          <w:rFonts w:ascii="宋体" w:hAnsi="宋体" w:eastAsia="宋体" w:cs="宋体"/>
          <w:color w:val="auto"/>
          <w:spacing w:val="-4"/>
          <w:sz w:val="24"/>
          <w:szCs w:val="24"/>
          <w:highlight w:val="none"/>
        </w:rPr>
      </w:pPr>
      <w:bookmarkStart w:id="195" w:name="_Toc30710_WPSOffice_Level3"/>
      <w:r>
        <w:rPr>
          <w:rFonts w:hint="eastAsia" w:ascii="宋体" w:hAnsi="宋体" w:eastAsia="宋体" w:cs="宋体"/>
          <w:color w:val="auto"/>
          <w:spacing w:val="-4"/>
          <w:sz w:val="24"/>
          <w:szCs w:val="24"/>
          <w:highlight w:val="none"/>
        </w:rPr>
        <w:t>3、履约方式：</w:t>
      </w:r>
      <w:bookmarkEnd w:id="195"/>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196" w:name="_Toc19374_WPSOffice_Level2"/>
      <w:bookmarkStart w:id="197" w:name="_Toc25246_WPSOffice_Level2"/>
      <w:bookmarkStart w:id="198" w:name="_Toc6955_WPSOffice_Level2"/>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第三条</w:t>
      </w:r>
      <w:r>
        <w:rPr>
          <w:rFonts w:hint="eastAsia" w:ascii="宋体" w:hAnsi="宋体" w:eastAsia="宋体" w:cs="宋体"/>
          <w:b/>
          <w:color w:val="auto"/>
          <w:spacing w:val="-4"/>
          <w:sz w:val="24"/>
          <w:szCs w:val="24"/>
          <w:highlight w:val="none"/>
        </w:rPr>
        <w:tab/>
      </w:r>
      <w:r>
        <w:rPr>
          <w:rFonts w:hint="eastAsia" w:ascii="宋体" w:hAnsi="宋体" w:eastAsia="宋体" w:cs="宋体"/>
          <w:b/>
          <w:color w:val="auto"/>
          <w:spacing w:val="-4"/>
          <w:sz w:val="24"/>
          <w:szCs w:val="24"/>
          <w:highlight w:val="none"/>
        </w:rPr>
        <w:t>合同标的</w:t>
      </w:r>
      <w:bookmarkEnd w:id="196"/>
      <w:bookmarkEnd w:id="197"/>
      <w:bookmarkEnd w:id="198"/>
    </w:p>
    <w:p>
      <w:pPr>
        <w:pStyle w:val="2"/>
        <w:widowControl/>
        <w:spacing w:line="360" w:lineRule="auto"/>
        <w:ind w:firstLine="464" w:firstLineChars="200"/>
        <w:rPr>
          <w:rFonts w:ascii="宋体" w:hAnsi="宋体" w:eastAsia="宋体" w:cs="宋体"/>
          <w:color w:val="auto"/>
          <w:spacing w:val="-4"/>
          <w:sz w:val="24"/>
          <w:szCs w:val="24"/>
          <w:highlight w:val="none"/>
        </w:rPr>
      </w:pPr>
      <w:bookmarkStart w:id="199" w:name="_Toc30905_WPSOffice_Level3"/>
      <w:r>
        <w:rPr>
          <w:rFonts w:hint="eastAsia" w:ascii="宋体" w:hAnsi="宋体" w:eastAsia="宋体" w:cs="宋体"/>
          <w:color w:val="auto"/>
          <w:spacing w:val="-4"/>
          <w:sz w:val="24"/>
          <w:szCs w:val="24"/>
          <w:highlight w:val="none"/>
        </w:rPr>
        <w:t>1、服务内容；</w:t>
      </w:r>
      <w:bookmarkEnd w:id="199"/>
    </w:p>
    <w:p>
      <w:pPr>
        <w:pStyle w:val="2"/>
        <w:widowControl/>
        <w:spacing w:line="360" w:lineRule="auto"/>
        <w:ind w:firstLine="464" w:firstLineChars="200"/>
        <w:rPr>
          <w:rFonts w:ascii="宋体" w:hAnsi="宋体" w:eastAsia="宋体" w:cs="宋体"/>
          <w:color w:val="auto"/>
          <w:spacing w:val="-4"/>
          <w:sz w:val="24"/>
          <w:szCs w:val="24"/>
          <w:highlight w:val="none"/>
        </w:rPr>
      </w:pPr>
      <w:bookmarkStart w:id="200" w:name="_Toc8684_WPSOffice_Level3"/>
      <w:r>
        <w:rPr>
          <w:rFonts w:hint="eastAsia" w:ascii="宋体" w:hAnsi="宋体" w:eastAsia="宋体" w:cs="宋体"/>
          <w:color w:val="auto"/>
          <w:spacing w:val="-4"/>
          <w:sz w:val="24"/>
          <w:szCs w:val="24"/>
          <w:highlight w:val="none"/>
        </w:rPr>
        <w:t>2、数量(若涉及填写)；</w:t>
      </w:r>
      <w:bookmarkEnd w:id="200"/>
    </w:p>
    <w:p>
      <w:pPr>
        <w:pStyle w:val="2"/>
        <w:widowControl/>
        <w:spacing w:line="360" w:lineRule="auto"/>
        <w:ind w:firstLine="464" w:firstLineChars="200"/>
        <w:rPr>
          <w:rFonts w:ascii="宋体" w:hAnsi="宋体" w:eastAsia="宋体" w:cs="宋体"/>
          <w:color w:val="auto"/>
          <w:spacing w:val="-4"/>
          <w:sz w:val="24"/>
          <w:szCs w:val="24"/>
          <w:highlight w:val="none"/>
        </w:rPr>
      </w:pPr>
      <w:bookmarkStart w:id="201" w:name="_Toc21135_WPSOffice_Level3"/>
      <w:r>
        <w:rPr>
          <w:rFonts w:hint="eastAsia" w:ascii="宋体" w:hAnsi="宋体" w:eastAsia="宋体" w:cs="宋体"/>
          <w:color w:val="auto"/>
          <w:spacing w:val="-4"/>
          <w:sz w:val="24"/>
          <w:szCs w:val="24"/>
          <w:highlight w:val="none"/>
        </w:rPr>
        <w:t>3、质量(若涉及填写)；</w:t>
      </w:r>
      <w:bookmarkEnd w:id="201"/>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02" w:name="_Toc17085_WPSOffice_Level2"/>
      <w:bookmarkStart w:id="203" w:name="_Toc16555_WPSOffice_Level2"/>
      <w:bookmarkStart w:id="204" w:name="_Toc5394_WPSOffice_Level2"/>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第四条</w:t>
      </w:r>
      <w:r>
        <w:rPr>
          <w:rFonts w:hint="eastAsia" w:ascii="宋体" w:hAnsi="宋体" w:eastAsia="宋体" w:cs="宋体"/>
          <w:b/>
          <w:color w:val="auto"/>
          <w:spacing w:val="-4"/>
          <w:sz w:val="24"/>
          <w:szCs w:val="24"/>
          <w:highlight w:val="none"/>
        </w:rPr>
        <w:tab/>
      </w:r>
      <w:r>
        <w:rPr>
          <w:rFonts w:hint="eastAsia" w:ascii="宋体" w:hAnsi="宋体" w:eastAsia="宋体" w:cs="宋体"/>
          <w:b/>
          <w:color w:val="auto"/>
          <w:spacing w:val="-4"/>
          <w:sz w:val="24"/>
          <w:szCs w:val="24"/>
          <w:highlight w:val="none"/>
        </w:rPr>
        <w:t>质量标准</w:t>
      </w:r>
      <w:bookmarkEnd w:id="202"/>
      <w:bookmarkEnd w:id="203"/>
      <w:bookmarkEnd w:id="204"/>
    </w:p>
    <w:p>
      <w:pPr>
        <w:pStyle w:val="2"/>
        <w:widowControl/>
        <w:spacing w:line="360" w:lineRule="auto"/>
        <w:ind w:firstLine="464" w:firstLineChars="200"/>
        <w:rPr>
          <w:rFonts w:ascii="宋体" w:hAnsi="宋体" w:eastAsia="宋体" w:cs="宋体"/>
          <w:color w:val="auto"/>
          <w:spacing w:val="-4"/>
          <w:sz w:val="24"/>
          <w:szCs w:val="24"/>
          <w:highlight w:val="none"/>
        </w:rPr>
      </w:pPr>
      <w:bookmarkStart w:id="205" w:name="_Toc28641_WPSOffice_Level3"/>
      <w:r>
        <w:rPr>
          <w:rFonts w:hint="eastAsia" w:ascii="宋体" w:hAnsi="宋体" w:eastAsia="宋体" w:cs="宋体"/>
          <w:color w:val="auto"/>
          <w:spacing w:val="-4"/>
          <w:sz w:val="24"/>
          <w:szCs w:val="24"/>
          <w:highlight w:val="none"/>
        </w:rPr>
        <w:t>1.XXXX；</w:t>
      </w:r>
      <w:bookmarkEnd w:id="205"/>
    </w:p>
    <w:p>
      <w:pPr>
        <w:pStyle w:val="2"/>
        <w:widowControl/>
        <w:spacing w:line="360" w:lineRule="auto"/>
        <w:ind w:firstLine="464" w:firstLineChars="200"/>
        <w:rPr>
          <w:rFonts w:ascii="宋体" w:hAnsi="宋体" w:eastAsia="宋体" w:cs="宋体"/>
          <w:color w:val="auto"/>
          <w:spacing w:val="-4"/>
          <w:sz w:val="24"/>
          <w:szCs w:val="24"/>
          <w:highlight w:val="none"/>
        </w:rPr>
      </w:pPr>
      <w:bookmarkStart w:id="206" w:name="_Toc11881_WPSOffice_Level3"/>
      <w:r>
        <w:rPr>
          <w:rFonts w:hint="eastAsia" w:ascii="宋体" w:hAnsi="宋体" w:eastAsia="宋体" w:cs="宋体"/>
          <w:color w:val="auto"/>
          <w:spacing w:val="-4"/>
          <w:sz w:val="24"/>
          <w:szCs w:val="24"/>
          <w:highlight w:val="none"/>
        </w:rPr>
        <w:t>2.X；</w:t>
      </w:r>
      <w:bookmarkEnd w:id="206"/>
    </w:p>
    <w:p>
      <w:pPr>
        <w:pStyle w:val="2"/>
        <w:widowControl/>
        <w:spacing w:line="360" w:lineRule="auto"/>
        <w:ind w:firstLine="464" w:firstLineChars="200"/>
        <w:rPr>
          <w:rFonts w:ascii="宋体" w:hAnsi="宋体" w:eastAsia="宋体" w:cs="宋体"/>
          <w:color w:val="auto"/>
          <w:spacing w:val="-4"/>
          <w:sz w:val="24"/>
          <w:szCs w:val="24"/>
          <w:highlight w:val="none"/>
        </w:rPr>
      </w:pPr>
      <w:bookmarkStart w:id="207" w:name="_Toc710_WPSOffice_Level3"/>
      <w:r>
        <w:rPr>
          <w:rFonts w:hint="eastAsia" w:ascii="宋体" w:hAnsi="宋体" w:eastAsia="宋体" w:cs="宋体"/>
          <w:color w:val="auto"/>
          <w:spacing w:val="-4"/>
          <w:sz w:val="24"/>
          <w:szCs w:val="24"/>
          <w:highlight w:val="none"/>
        </w:rPr>
        <w:t>3.X．</w:t>
      </w:r>
      <w:bookmarkEnd w:id="207"/>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08" w:name="_Toc7591_WPSOffice_Level2"/>
      <w:bookmarkStart w:id="209" w:name="_Toc29346_WPSOffice_Level2"/>
      <w:bookmarkStart w:id="210" w:name="_Toc1037_WPSOffice_Level2"/>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第五条</w:t>
      </w:r>
      <w:r>
        <w:rPr>
          <w:rFonts w:hint="eastAsia" w:ascii="宋体" w:hAnsi="宋体" w:eastAsia="宋体" w:cs="宋体"/>
          <w:b/>
          <w:color w:val="auto"/>
          <w:spacing w:val="-4"/>
          <w:sz w:val="24"/>
          <w:szCs w:val="24"/>
          <w:highlight w:val="none"/>
        </w:rPr>
        <w:tab/>
      </w:r>
      <w:r>
        <w:rPr>
          <w:rFonts w:hint="eastAsia" w:ascii="宋体" w:hAnsi="宋体" w:eastAsia="宋体" w:cs="宋体"/>
          <w:b/>
          <w:color w:val="auto"/>
          <w:spacing w:val="-4"/>
          <w:sz w:val="24"/>
          <w:szCs w:val="24"/>
          <w:highlight w:val="none"/>
        </w:rPr>
        <w:t>验收要求</w:t>
      </w:r>
      <w:bookmarkEnd w:id="208"/>
      <w:bookmarkEnd w:id="209"/>
      <w:bookmarkEnd w:id="210"/>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1.严格按照《财政部关于进一步加强政府采购需求和履约验收管理的指导意见》(财库〔2016〕205号)、《四川省政府采购项目需求论证和履约验收管理办法》(川财采〔2015〕32 号)的要求进行验收。须符合国家有关规定、磋商文件的质量要求和技术指标、供应商的响应文件及承诺以及合同条款。</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2.甲乙双方如对质量要求和技术指标的约定标准有相互抵触或异议的事项，由甲方在响应文件中按质量要求和技术指标比较优胜的原则确定该项的约定标准进行验收；</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3.如质量验收合格，双方签署质量验收报告。</w:t>
      </w: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11" w:name="_Toc1277_WPSOffice_Level2"/>
      <w:bookmarkStart w:id="212" w:name="_Toc18746_WPSOffice_Level2"/>
      <w:bookmarkStart w:id="213" w:name="_Toc22893_WPSOffice_Level2"/>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第六条</w:t>
      </w:r>
      <w:r>
        <w:rPr>
          <w:rFonts w:hint="eastAsia" w:ascii="宋体" w:hAnsi="宋体" w:eastAsia="宋体" w:cs="宋体"/>
          <w:b/>
          <w:color w:val="auto"/>
          <w:spacing w:val="-4"/>
          <w:sz w:val="24"/>
          <w:szCs w:val="24"/>
          <w:highlight w:val="none"/>
        </w:rPr>
        <w:tab/>
      </w:r>
      <w:r>
        <w:rPr>
          <w:rFonts w:hint="eastAsia" w:ascii="宋体" w:hAnsi="宋体" w:eastAsia="宋体" w:cs="宋体"/>
          <w:b/>
          <w:color w:val="auto"/>
          <w:spacing w:val="-4"/>
          <w:sz w:val="24"/>
          <w:szCs w:val="24"/>
          <w:highlight w:val="none"/>
        </w:rPr>
        <w:t>合同价款及支付方式</w:t>
      </w:r>
      <w:bookmarkEnd w:id="211"/>
      <w:bookmarkEnd w:id="212"/>
      <w:bookmarkEnd w:id="213"/>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14" w:name="_Toc7039_WPSOffice_Level3"/>
      <w:r>
        <w:rPr>
          <w:rFonts w:hint="eastAsia" w:ascii="宋体" w:hAnsi="宋体" w:eastAsia="宋体" w:cs="宋体"/>
          <w:b/>
          <w:color w:val="auto"/>
          <w:spacing w:val="-4"/>
          <w:sz w:val="24"/>
          <w:szCs w:val="24"/>
          <w:highlight w:val="none"/>
        </w:rPr>
        <w:t>(一)本项目合同价款由以下组成：</w:t>
      </w:r>
      <w:bookmarkEnd w:id="214"/>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1.XX 万元；</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2.XX 万元；</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3.XX 万元。</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p>
    <w:p>
      <w:pPr>
        <w:pStyle w:val="2"/>
        <w:widowControl/>
        <w:numPr>
          <w:ilvl w:val="0"/>
          <w:numId w:val="9"/>
        </w:numPr>
        <w:spacing w:line="360" w:lineRule="auto"/>
        <w:ind w:firstLine="466" w:firstLineChars="200"/>
        <w:rPr>
          <w:rFonts w:ascii="宋体" w:hAnsi="宋体" w:eastAsia="宋体" w:cs="宋体"/>
          <w:b/>
          <w:color w:val="auto"/>
          <w:spacing w:val="-4"/>
          <w:sz w:val="24"/>
          <w:szCs w:val="24"/>
          <w:highlight w:val="none"/>
        </w:rPr>
      </w:pPr>
      <w:bookmarkStart w:id="215" w:name="_Toc32472_WPSOffice_Level3"/>
      <w:r>
        <w:rPr>
          <w:rFonts w:hint="eastAsia" w:ascii="宋体" w:hAnsi="宋体" w:eastAsia="宋体" w:cs="宋体"/>
          <w:b/>
          <w:color w:val="auto"/>
          <w:spacing w:val="-4"/>
          <w:sz w:val="24"/>
          <w:szCs w:val="24"/>
          <w:highlight w:val="none"/>
        </w:rPr>
        <w:t>支付方式：</w:t>
      </w:r>
      <w:bookmarkEnd w:id="215"/>
    </w:p>
    <w:p>
      <w:pPr>
        <w:pStyle w:val="2"/>
        <w:widowControl/>
        <w:spacing w:line="360" w:lineRule="auto"/>
        <w:ind w:left="420" w:left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w:t>
      </w: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16" w:name="_Toc24550_WPSOffice_Level2"/>
      <w:bookmarkStart w:id="217" w:name="_Toc24713_WPSOffice_Level2"/>
      <w:bookmarkStart w:id="218" w:name="_Toc5093_WPSOffice_Level2"/>
      <w:r>
        <w:rPr>
          <w:rFonts w:hint="eastAsia" w:ascii="宋体" w:hAnsi="宋体" w:eastAsia="宋体" w:cs="宋体"/>
          <w:b/>
          <w:color w:val="auto"/>
          <w:spacing w:val="-4"/>
          <w:sz w:val="24"/>
          <w:szCs w:val="24"/>
          <w:highlight w:val="none"/>
        </w:rPr>
        <w:t>第七条</w:t>
      </w:r>
      <w:r>
        <w:rPr>
          <w:rFonts w:hint="eastAsia" w:ascii="宋体" w:hAnsi="宋体" w:eastAsia="宋体" w:cs="宋体"/>
          <w:b/>
          <w:color w:val="auto"/>
          <w:spacing w:val="-4"/>
          <w:sz w:val="24"/>
          <w:szCs w:val="24"/>
          <w:highlight w:val="none"/>
        </w:rPr>
        <w:tab/>
      </w:r>
      <w:r>
        <w:rPr>
          <w:rFonts w:hint="eastAsia" w:ascii="宋体" w:hAnsi="宋体" w:eastAsia="宋体" w:cs="宋体"/>
          <w:b/>
          <w:color w:val="auto"/>
          <w:spacing w:val="-4"/>
          <w:sz w:val="24"/>
          <w:szCs w:val="24"/>
          <w:highlight w:val="none"/>
        </w:rPr>
        <w:t>知识产权</w:t>
      </w:r>
      <w:bookmarkEnd w:id="216"/>
      <w:bookmarkEnd w:id="217"/>
      <w:bookmarkEnd w:id="218"/>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乙方应保证所提供的服务或其任何一部分均不会侵犯任何第三方的专利权、商标权或著作权。</w:t>
      </w: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19" w:name="_Toc8156_WPSOffice_Level2"/>
      <w:bookmarkStart w:id="220" w:name="_Toc31721_WPSOffice_Level2"/>
      <w:bookmarkStart w:id="221" w:name="_Toc19643_WPSOffice_Level2"/>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第八条</w:t>
      </w:r>
      <w:r>
        <w:rPr>
          <w:rFonts w:hint="eastAsia" w:ascii="宋体" w:hAnsi="宋体" w:eastAsia="宋体" w:cs="宋体"/>
          <w:b/>
          <w:color w:val="auto"/>
          <w:spacing w:val="-4"/>
          <w:sz w:val="24"/>
          <w:szCs w:val="24"/>
          <w:highlight w:val="none"/>
        </w:rPr>
        <w:tab/>
      </w:r>
      <w:r>
        <w:rPr>
          <w:rFonts w:hint="eastAsia" w:ascii="宋体" w:hAnsi="宋体" w:eastAsia="宋体" w:cs="宋体"/>
          <w:b/>
          <w:color w:val="auto"/>
          <w:spacing w:val="-4"/>
          <w:sz w:val="24"/>
          <w:szCs w:val="24"/>
          <w:highlight w:val="none"/>
        </w:rPr>
        <w:t>无产权瑕疵条款</w:t>
      </w:r>
      <w:bookmarkEnd w:id="219"/>
      <w:bookmarkEnd w:id="220"/>
      <w:bookmarkEnd w:id="221"/>
    </w:p>
    <w:p>
      <w:pPr>
        <w:pStyle w:val="2"/>
        <w:widowControl/>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乙方保证所提供的服务的所有权完全属于乙方且无任何抵押、查封等产权瑕疵。如有产权瑕疵的，视为乙方违约。乙方应负担由此而产生的一切损失。若因此对甲方造成任何损失，有权向乙方进行追偿。</w:t>
      </w: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22" w:name="_Toc11807_WPSOffice_Level2"/>
      <w:bookmarkStart w:id="223" w:name="_Toc9110_WPSOffice_Level2"/>
      <w:bookmarkStart w:id="224" w:name="_Toc24934_WPSOffice_Level2"/>
    </w:p>
    <w:bookmarkEnd w:id="222"/>
    <w:bookmarkEnd w:id="223"/>
    <w:bookmarkEnd w:id="224"/>
    <w:p>
      <w:pPr>
        <w:pStyle w:val="2"/>
        <w:widowControl/>
        <w:spacing w:line="360" w:lineRule="auto"/>
        <w:ind w:firstLine="466" w:firstLineChars="200"/>
        <w:rPr>
          <w:rFonts w:ascii="宋体" w:hAnsi="宋体" w:eastAsia="宋体" w:cs="宋体"/>
          <w:b/>
          <w:color w:val="auto"/>
          <w:spacing w:val="-4"/>
          <w:sz w:val="24"/>
          <w:szCs w:val="24"/>
          <w:highlight w:val="none"/>
        </w:rPr>
      </w:pPr>
      <w:bookmarkStart w:id="225" w:name="_Toc2256_WPSOffice_Level2"/>
      <w:bookmarkStart w:id="226" w:name="_Toc27784_WPSOffice_Level2"/>
      <w:bookmarkStart w:id="227" w:name="_Toc7506_WPSOffice_Level2"/>
      <w:r>
        <w:rPr>
          <w:rFonts w:hint="eastAsia" w:ascii="宋体" w:hAnsi="宋体" w:eastAsia="宋体" w:cs="宋体"/>
          <w:b/>
          <w:color w:val="auto"/>
          <w:spacing w:val="-4"/>
          <w:sz w:val="24"/>
          <w:szCs w:val="24"/>
          <w:highlight w:val="none"/>
        </w:rPr>
        <w:t>第九条</w:t>
      </w:r>
      <w:r>
        <w:rPr>
          <w:rFonts w:hint="eastAsia" w:ascii="宋体" w:hAnsi="宋体" w:eastAsia="宋体" w:cs="宋体"/>
          <w:b/>
          <w:color w:val="auto"/>
          <w:spacing w:val="-4"/>
          <w:sz w:val="24"/>
          <w:szCs w:val="24"/>
          <w:highlight w:val="none"/>
        </w:rPr>
        <w:tab/>
      </w:r>
      <w:r>
        <w:rPr>
          <w:rFonts w:hint="eastAsia" w:ascii="宋体" w:hAnsi="宋体" w:eastAsia="宋体" w:cs="宋体"/>
          <w:b/>
          <w:color w:val="auto"/>
          <w:spacing w:val="-4"/>
          <w:sz w:val="24"/>
          <w:szCs w:val="24"/>
          <w:highlight w:val="none"/>
        </w:rPr>
        <w:t>甲方的权利和义务</w:t>
      </w:r>
      <w:bookmarkEnd w:id="225"/>
      <w:bookmarkEnd w:id="226"/>
      <w:bookmarkEnd w:id="227"/>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2.甲方有权依据考评办法对乙方提供的服务进行定期考评。当考评结果未达到标准时，有权依据考评办法约定的数额扣除乙方应付款项。</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3.负责检查监督乙方管理工作的实施及制度的执行情况。</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4.根据本合同规定，按时向乙方支付应付服务费用。</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5.国家法律、法规所规定由甲方承担的其它责任。</w:t>
      </w: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28" w:name="_Toc14719_WPSOffice_Level2"/>
      <w:bookmarkStart w:id="229" w:name="_Toc30852_WPSOffice_Level2"/>
      <w:bookmarkStart w:id="230" w:name="_Toc25559_WPSOffice_Level2"/>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第十条 乙方的权利和义务</w:t>
      </w:r>
      <w:bookmarkEnd w:id="228"/>
      <w:bookmarkEnd w:id="229"/>
      <w:bookmarkEnd w:id="230"/>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1.对本合同规定的委托服务范围内的项目享有管理权及服务义务。</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2.根据本合同的规定向甲方收取相关服务费用，并有权在本项目管理范围内管理及合理使用。</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3.及时向甲方通告本项目服务范围内有关服务的重大事项，及时配合处理投诉。</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4.接受项目行业管理部门及政府有关部门的指导，接受甲方的监督。</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5.国家法律、法规所规定由乙方承担的其它责任。</w:t>
      </w: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31" w:name="_Toc27935_WPSOffice_Level2"/>
      <w:bookmarkStart w:id="232" w:name="_Toc13961_WPSOffice_Level2"/>
      <w:bookmarkStart w:id="233" w:name="_Toc21261_WPSOffice_Level2"/>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第十一条 违约责任</w:t>
      </w:r>
      <w:bookmarkEnd w:id="231"/>
      <w:bookmarkEnd w:id="232"/>
      <w:bookmarkEnd w:id="233"/>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1.甲乙双方必须遵守本合同并执行合同中的各项规定，保证本合同的正常履行。</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2"/>
        <w:widowControl/>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w:t>
      </w:r>
      <w:r>
        <w:rPr>
          <w:rFonts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rPr>
        <w:t>甲方有权要求乙方对于未达到合同约定的部分进行限期整改，逾期未完成的，每逾期1日按照合同总金额的</w:t>
      </w:r>
      <w:r>
        <w:rPr>
          <w:rFonts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rPr>
        <w:t>支付违约金，逾期超过1</w:t>
      </w:r>
      <w:r>
        <w:rPr>
          <w:rFonts w:ascii="宋体" w:hAnsi="宋体" w:eastAsia="宋体" w:cs="宋体"/>
          <w:color w:val="auto"/>
          <w:spacing w:val="-4"/>
          <w:sz w:val="24"/>
          <w:szCs w:val="24"/>
          <w:highlight w:val="none"/>
        </w:rPr>
        <w:t>0</w:t>
      </w:r>
      <w:r>
        <w:rPr>
          <w:rFonts w:hint="eastAsia" w:ascii="宋体" w:hAnsi="宋体" w:eastAsia="宋体" w:cs="宋体"/>
          <w:color w:val="auto"/>
          <w:spacing w:val="-4"/>
          <w:sz w:val="24"/>
          <w:szCs w:val="24"/>
          <w:highlight w:val="none"/>
        </w:rPr>
        <w:t>日的，甲方有权解除合同并要求乙方退还已支付的全部费用，同时有权要求乙方支付相当于合同总金额2</w:t>
      </w:r>
      <w:r>
        <w:rPr>
          <w:rFonts w:ascii="宋体" w:hAnsi="宋体" w:eastAsia="宋体" w:cs="宋体"/>
          <w:color w:val="auto"/>
          <w:spacing w:val="-4"/>
          <w:sz w:val="24"/>
          <w:szCs w:val="24"/>
          <w:highlight w:val="none"/>
        </w:rPr>
        <w:t>0%</w:t>
      </w:r>
      <w:r>
        <w:rPr>
          <w:rFonts w:hint="eastAsia" w:ascii="宋体" w:hAnsi="宋体" w:eastAsia="宋体" w:cs="宋体"/>
          <w:color w:val="auto"/>
          <w:spacing w:val="-4"/>
          <w:sz w:val="24"/>
          <w:szCs w:val="24"/>
          <w:highlight w:val="none"/>
        </w:rPr>
        <w:t>的违约金。</w:t>
      </w:r>
    </w:p>
    <w:p>
      <w:pPr>
        <w:rPr>
          <w:color w:val="auto"/>
          <w:highlight w:val="none"/>
        </w:rPr>
      </w:pP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34" w:name="_Toc4585_WPSOffice_Level2"/>
      <w:bookmarkStart w:id="235" w:name="_Toc7051_WPSOffice_Level2"/>
      <w:bookmarkStart w:id="236" w:name="_Toc21315_WPSOffice_Level2"/>
      <w:r>
        <w:rPr>
          <w:rFonts w:hint="eastAsia" w:ascii="宋体" w:hAnsi="宋体" w:eastAsia="宋体" w:cs="宋体"/>
          <w:b/>
          <w:color w:val="auto"/>
          <w:spacing w:val="-4"/>
          <w:sz w:val="24"/>
          <w:szCs w:val="24"/>
          <w:highlight w:val="none"/>
        </w:rPr>
        <w:t>第十二条 不可抗力事件处理</w:t>
      </w:r>
      <w:bookmarkEnd w:id="234"/>
      <w:bookmarkEnd w:id="235"/>
      <w:bookmarkEnd w:id="236"/>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1.在合同有效期内，任何一方因不可抗力事件导致不能履行合同，则合同履行期可延长，其延长期与不可抗力影响期相同。</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2.不可抗力事件发生后，应立即通知对方，并寄送有关权威机构出具的证明。</w:t>
      </w:r>
    </w:p>
    <w:p>
      <w:pPr>
        <w:pStyle w:val="2"/>
        <w:widowControl/>
        <w:spacing w:line="360" w:lineRule="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3.不可抗力事件延续 XX 天以上，双方应通过友好协商，确定是否继续履行合同。</w:t>
      </w:r>
    </w:p>
    <w:p>
      <w:pPr>
        <w:rPr>
          <w:color w:val="auto"/>
          <w:highlight w:val="none"/>
        </w:rPr>
      </w:pPr>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第十三条 解决争议的方法</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1.因服务的质量问题发生争议，由甲方或其指定的第三方机构进行质量鉴定。服务符合标准的，鉴定费由甲方承担；服务不符合质量标准的，鉴定费由乙方承担。</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2.合同履行期间,若双方发生争议，可协商或由有关部门调解解决，协商或调解不成的， 可向甲方所在人民法院起诉。</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3.诉讼期间，除正在进行诉讼部分外，合同其他部分继续执行。</w:t>
      </w:r>
    </w:p>
    <w:p>
      <w:pPr>
        <w:rPr>
          <w:color w:val="auto"/>
          <w:highlight w:val="none"/>
        </w:rPr>
      </w:pP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37" w:name="_Toc17064_WPSOffice_Level2"/>
      <w:bookmarkStart w:id="238" w:name="_Toc29306_WPSOffice_Level2"/>
      <w:bookmarkStart w:id="239" w:name="_Toc9308_WPSOffice_Level2"/>
      <w:r>
        <w:rPr>
          <w:rFonts w:hint="eastAsia" w:ascii="宋体" w:hAnsi="宋体" w:eastAsia="宋体" w:cs="宋体"/>
          <w:b/>
          <w:color w:val="auto"/>
          <w:spacing w:val="-4"/>
          <w:sz w:val="24"/>
          <w:szCs w:val="24"/>
          <w:highlight w:val="none"/>
        </w:rPr>
        <w:t>第十四条 合同生效及其他</w:t>
      </w:r>
      <w:bookmarkEnd w:id="237"/>
      <w:bookmarkEnd w:id="238"/>
      <w:bookmarkEnd w:id="239"/>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1.合同经双方法定代表人或授权委托代理人签字并加盖单位公章后生效。</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3.本合同一式 XX 份，自双方签章之日起起效。甲方 XX 份，乙方 XX 份，政府采购代理机构 XX 份，同级财政部门备案 XX 份，具有同等法律效力。</w:t>
      </w:r>
    </w:p>
    <w:p>
      <w:pPr>
        <w:rPr>
          <w:color w:val="auto"/>
          <w:highlight w:val="none"/>
        </w:rPr>
      </w:pPr>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40" w:name="_Toc1519_WPSOffice_Level2"/>
      <w:bookmarkStart w:id="241" w:name="_Toc13558_WPSOffice_Level2"/>
      <w:bookmarkStart w:id="242" w:name="_Toc31273_WPSOffice_Level2"/>
      <w:r>
        <w:rPr>
          <w:rFonts w:hint="eastAsia" w:ascii="宋体" w:hAnsi="宋体" w:eastAsia="宋体" w:cs="宋体"/>
          <w:b/>
          <w:color w:val="auto"/>
          <w:spacing w:val="-4"/>
          <w:sz w:val="24"/>
          <w:szCs w:val="24"/>
          <w:highlight w:val="none"/>
        </w:rPr>
        <w:t>第十五条 附件</w:t>
      </w:r>
      <w:bookmarkEnd w:id="240"/>
      <w:bookmarkEnd w:id="241"/>
      <w:bookmarkEnd w:id="242"/>
    </w:p>
    <w:p>
      <w:pPr>
        <w:pStyle w:val="2"/>
        <w:widowControl/>
        <w:spacing w:line="360" w:lineRule="auto"/>
        <w:ind w:firstLine="464" w:firstLineChars="200"/>
        <w:rPr>
          <w:rFonts w:ascii="宋体" w:hAnsi="宋体" w:eastAsia="宋体" w:cs="宋体"/>
          <w:color w:val="auto"/>
          <w:spacing w:val="-4"/>
          <w:sz w:val="24"/>
          <w:szCs w:val="24"/>
          <w:highlight w:val="none"/>
        </w:rPr>
      </w:pPr>
      <w:bookmarkStart w:id="243" w:name="_Toc16243_WPSOffice_Level3"/>
      <w:r>
        <w:rPr>
          <w:rFonts w:hint="eastAsia" w:ascii="宋体" w:hAnsi="宋体" w:eastAsia="宋体" w:cs="宋体"/>
          <w:color w:val="auto"/>
          <w:spacing w:val="-4"/>
          <w:sz w:val="24"/>
          <w:szCs w:val="24"/>
          <w:highlight w:val="none"/>
        </w:rPr>
        <w:t>1.项目竞争性磋商文件</w:t>
      </w:r>
      <w:bookmarkEnd w:id="243"/>
    </w:p>
    <w:p>
      <w:pPr>
        <w:pStyle w:val="2"/>
        <w:widowControl/>
        <w:spacing w:line="360" w:lineRule="auto"/>
        <w:ind w:firstLine="464" w:firstLineChars="200"/>
        <w:rPr>
          <w:rFonts w:ascii="宋体" w:hAnsi="宋体" w:eastAsia="宋体" w:cs="宋体"/>
          <w:color w:val="auto"/>
          <w:spacing w:val="-4"/>
          <w:sz w:val="24"/>
          <w:szCs w:val="24"/>
          <w:highlight w:val="none"/>
        </w:rPr>
      </w:pPr>
      <w:bookmarkStart w:id="244" w:name="_Toc9246_WPSOffice_Level3"/>
      <w:r>
        <w:rPr>
          <w:rFonts w:hint="eastAsia" w:ascii="宋体" w:hAnsi="宋体" w:eastAsia="宋体" w:cs="宋体"/>
          <w:color w:val="auto"/>
          <w:spacing w:val="-4"/>
          <w:sz w:val="24"/>
          <w:szCs w:val="24"/>
          <w:highlight w:val="none"/>
        </w:rPr>
        <w:t>2.项目修改澄清文件</w:t>
      </w:r>
      <w:bookmarkEnd w:id="244"/>
    </w:p>
    <w:p>
      <w:pPr>
        <w:pStyle w:val="2"/>
        <w:widowControl/>
        <w:spacing w:line="360" w:lineRule="auto"/>
        <w:ind w:firstLine="464" w:firstLineChars="200"/>
        <w:rPr>
          <w:rFonts w:ascii="宋体" w:hAnsi="宋体" w:eastAsia="宋体" w:cs="宋体"/>
          <w:color w:val="auto"/>
          <w:spacing w:val="-4"/>
          <w:sz w:val="24"/>
          <w:szCs w:val="24"/>
          <w:highlight w:val="none"/>
        </w:rPr>
      </w:pPr>
      <w:bookmarkStart w:id="245" w:name="_Toc3930_WPSOffice_Level3"/>
      <w:r>
        <w:rPr>
          <w:rFonts w:hint="eastAsia" w:ascii="宋体" w:hAnsi="宋体" w:eastAsia="宋体" w:cs="宋体"/>
          <w:color w:val="auto"/>
          <w:spacing w:val="-4"/>
          <w:sz w:val="24"/>
          <w:szCs w:val="24"/>
          <w:highlight w:val="none"/>
        </w:rPr>
        <w:t>3.项目响应文件</w:t>
      </w:r>
      <w:bookmarkEnd w:id="245"/>
    </w:p>
    <w:p>
      <w:pPr>
        <w:pStyle w:val="2"/>
        <w:widowControl/>
        <w:spacing w:line="360" w:lineRule="auto"/>
        <w:ind w:firstLine="464" w:firstLineChars="200"/>
        <w:rPr>
          <w:rFonts w:ascii="宋体" w:hAnsi="宋体" w:eastAsia="宋体" w:cs="宋体"/>
          <w:color w:val="auto"/>
          <w:spacing w:val="-4"/>
          <w:sz w:val="24"/>
          <w:szCs w:val="24"/>
          <w:highlight w:val="none"/>
        </w:rPr>
      </w:pPr>
      <w:bookmarkStart w:id="246" w:name="_Toc7134_WPSOffice_Level3"/>
      <w:r>
        <w:rPr>
          <w:rFonts w:hint="eastAsia" w:ascii="宋体" w:hAnsi="宋体" w:eastAsia="宋体" w:cs="宋体"/>
          <w:color w:val="auto"/>
          <w:spacing w:val="-4"/>
          <w:sz w:val="24"/>
          <w:szCs w:val="24"/>
          <w:highlight w:val="none"/>
        </w:rPr>
        <w:t>4.成交通知书</w:t>
      </w:r>
      <w:bookmarkEnd w:id="246"/>
    </w:p>
    <w:p>
      <w:pPr>
        <w:pStyle w:val="2"/>
        <w:widowControl/>
        <w:spacing w:line="360" w:lineRule="auto"/>
        <w:ind w:firstLine="464" w:firstLineChars="200"/>
        <w:rPr>
          <w:rFonts w:ascii="宋体" w:hAnsi="宋体" w:eastAsia="宋体" w:cs="宋体"/>
          <w:color w:val="auto"/>
          <w:spacing w:val="-4"/>
          <w:sz w:val="24"/>
          <w:szCs w:val="24"/>
          <w:highlight w:val="none"/>
        </w:rPr>
      </w:pPr>
      <w:bookmarkStart w:id="247" w:name="_Toc32222_WPSOffice_Level3"/>
      <w:r>
        <w:rPr>
          <w:rFonts w:hint="eastAsia" w:ascii="宋体" w:hAnsi="宋体" w:eastAsia="宋体" w:cs="宋体"/>
          <w:color w:val="auto"/>
          <w:spacing w:val="-4"/>
          <w:sz w:val="24"/>
          <w:szCs w:val="24"/>
          <w:highlight w:val="none"/>
        </w:rPr>
        <w:t>5.其他</w:t>
      </w:r>
      <w:bookmarkEnd w:id="247"/>
    </w:p>
    <w:p>
      <w:pPr>
        <w:pStyle w:val="2"/>
        <w:widowControl/>
        <w:spacing w:line="360" w:lineRule="auto"/>
        <w:ind w:firstLine="466" w:firstLineChars="200"/>
        <w:rPr>
          <w:rFonts w:ascii="宋体" w:hAnsi="宋体" w:eastAsia="宋体" w:cs="宋体"/>
          <w:b/>
          <w:color w:val="auto"/>
          <w:spacing w:val="-4"/>
          <w:sz w:val="24"/>
          <w:szCs w:val="24"/>
          <w:highlight w:val="none"/>
        </w:rPr>
      </w:pPr>
      <w:bookmarkStart w:id="248" w:name="_Toc10923_WPSOffice_Level3"/>
    </w:p>
    <w:p>
      <w:pPr>
        <w:pStyle w:val="2"/>
        <w:widowControl/>
        <w:spacing w:line="360" w:lineRule="auto"/>
        <w:ind w:firstLine="466" w:firstLineChars="200"/>
        <w:rPr>
          <w:rFonts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十六、合同生效</w:t>
      </w:r>
      <w:bookmarkEnd w:id="248"/>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合同订立时间：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rPr>
        <w:tab/>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rPr>
        <w:tab/>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rPr>
        <w:tab/>
      </w:r>
      <w:r>
        <w:rPr>
          <w:rFonts w:hint="eastAsia" w:ascii="宋体" w:hAnsi="宋体" w:eastAsia="宋体" w:cs="宋体"/>
          <w:color w:val="auto"/>
          <w:spacing w:val="-4"/>
          <w:sz w:val="24"/>
          <w:szCs w:val="24"/>
          <w:highlight w:val="none"/>
        </w:rPr>
        <w:t>日</w:t>
      </w:r>
    </w:p>
    <w:p>
      <w:pPr>
        <w:pStyle w:val="2"/>
        <w:widowControl/>
        <w:spacing w:line="360" w:lineRule="auto"/>
        <w:ind w:firstLine="464" w:firstLineChars="200"/>
        <w:rPr>
          <w:rFonts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合同订立地点：</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rPr>
        <w:tab/>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本合同双方约定</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rPr>
        <w:tab/>
      </w:r>
      <w:r>
        <w:rPr>
          <w:rFonts w:hint="eastAsia" w:ascii="宋体" w:hAnsi="宋体" w:eastAsia="宋体" w:cs="宋体"/>
          <w:color w:val="auto"/>
          <w:spacing w:val="-4"/>
          <w:sz w:val="24"/>
          <w:szCs w:val="24"/>
          <w:highlight w:val="none"/>
        </w:rPr>
        <w:t>后生效。</w:t>
      </w:r>
    </w:p>
    <w:p>
      <w:pPr>
        <w:pStyle w:val="2"/>
        <w:widowControl/>
        <w:spacing w:line="360" w:lineRule="auto"/>
        <w:ind w:firstLine="464" w:firstLineChars="200"/>
        <w:rPr>
          <w:rFonts w:ascii="宋体" w:hAnsi="宋体" w:eastAsia="宋体" w:cs="宋体"/>
          <w:color w:val="auto"/>
          <w:spacing w:val="-4"/>
          <w:sz w:val="24"/>
          <w:szCs w:val="24"/>
          <w:highlight w:val="none"/>
        </w:rPr>
      </w:pPr>
    </w:p>
    <w:p>
      <w:pPr>
        <w:pStyle w:val="2"/>
        <w:widowControl/>
        <w:spacing w:line="360" w:lineRule="auto"/>
        <w:ind w:firstLine="464" w:firstLineChars="200"/>
        <w:rPr>
          <w:rFonts w:ascii="宋体" w:hAnsi="宋体" w:eastAsia="宋体" w:cs="宋体"/>
          <w:color w:val="auto"/>
          <w:spacing w:val="-4"/>
          <w:sz w:val="24"/>
          <w:szCs w:val="24"/>
          <w:highlight w:val="none"/>
        </w:rPr>
      </w:pPr>
    </w:p>
    <w:p>
      <w:pPr>
        <w:pStyle w:val="2"/>
        <w:widowControl/>
        <w:spacing w:line="360" w:lineRule="auto"/>
        <w:ind w:firstLine="464" w:firstLineChars="200"/>
        <w:rPr>
          <w:rFonts w:ascii="宋体" w:hAnsi="宋体" w:eastAsia="宋体" w:cs="宋体"/>
          <w:color w:val="auto"/>
          <w:spacing w:val="-4"/>
          <w:sz w:val="24"/>
          <w:szCs w:val="24"/>
          <w:highlight w:val="none"/>
        </w:rPr>
      </w:pPr>
      <w:bookmarkStart w:id="249" w:name="甲方：___(盖章)"/>
      <w:bookmarkEnd w:id="249"/>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（本页无正文，签章页）</w:t>
      </w:r>
    </w:p>
    <w:p>
      <w:pPr>
        <w:pStyle w:val="2"/>
        <w:widowControl/>
        <w:spacing w:line="360" w:lineRule="auto"/>
        <w:ind w:firstLine="464" w:firstLineChars="200"/>
        <w:rPr>
          <w:rFonts w:ascii="宋体" w:hAnsi="宋体" w:eastAsia="宋体" w:cs="宋体"/>
          <w:color w:val="auto"/>
          <w:spacing w:val="-4"/>
          <w:sz w:val="24"/>
          <w:szCs w:val="24"/>
          <w:highlight w:val="none"/>
        </w:rPr>
      </w:pP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甲方：</w:t>
      </w:r>
      <w:r>
        <w:rPr>
          <w:rFonts w:hint="eastAsia" w:ascii="宋体" w:hAnsi="宋体" w:eastAsia="宋体" w:cs="宋体"/>
          <w:color w:val="auto"/>
          <w:spacing w:val="-4"/>
          <w:sz w:val="24"/>
          <w:szCs w:val="24"/>
          <w:highlight w:val="none"/>
        </w:rPr>
        <w:tab/>
      </w:r>
      <w:r>
        <w:rPr>
          <w:rFonts w:hint="eastAsia" w:ascii="宋体" w:hAnsi="宋体" w:eastAsia="宋体" w:cs="宋体"/>
          <w:color w:val="auto"/>
          <w:spacing w:val="-4"/>
          <w:sz w:val="24"/>
          <w:szCs w:val="24"/>
          <w:highlight w:val="none"/>
        </w:rPr>
        <w:t xml:space="preserve">(盖章)                     </w:t>
      </w:r>
      <w:r>
        <w:rPr>
          <w:rFonts w:hint="eastAsia" w:ascii="宋体" w:hAnsi="宋体" w:eastAsia="宋体" w:cs="宋体"/>
          <w:color w:val="auto"/>
          <w:spacing w:val="-4"/>
          <w:sz w:val="24"/>
          <w:szCs w:val="24"/>
          <w:highlight w:val="none"/>
        </w:rPr>
        <w:tab/>
      </w:r>
      <w:r>
        <w:rPr>
          <w:rFonts w:hint="eastAsia" w:ascii="宋体" w:hAnsi="宋体" w:eastAsia="宋体" w:cs="宋体"/>
          <w:color w:val="auto"/>
          <w:spacing w:val="-4"/>
          <w:sz w:val="24"/>
          <w:szCs w:val="24"/>
          <w:highlight w:val="none"/>
        </w:rPr>
        <w:t>乙方：</w:t>
      </w:r>
      <w:r>
        <w:rPr>
          <w:rFonts w:hint="eastAsia" w:ascii="宋体" w:hAnsi="宋体" w:eastAsia="宋体" w:cs="宋体"/>
          <w:color w:val="auto"/>
          <w:spacing w:val="-4"/>
          <w:sz w:val="24"/>
          <w:szCs w:val="24"/>
          <w:highlight w:val="none"/>
        </w:rPr>
        <w:tab/>
      </w:r>
      <w:r>
        <w:rPr>
          <w:rFonts w:hint="eastAsia" w:ascii="宋体" w:hAnsi="宋体" w:eastAsia="宋体" w:cs="宋体"/>
          <w:color w:val="auto"/>
          <w:spacing w:val="-4"/>
          <w:sz w:val="24"/>
          <w:szCs w:val="24"/>
          <w:highlight w:val="none"/>
        </w:rPr>
        <w:t>(盖章)</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法定代表人(授权代表)：               法定代表人(授权代表)：</w:t>
      </w:r>
    </w:p>
    <w:p>
      <w:pPr>
        <w:pStyle w:val="2"/>
        <w:widowControl/>
        <w:spacing w:line="360" w:lineRule="auto"/>
        <w:ind w:firstLine="464" w:firstLineChars="200"/>
        <w:rPr>
          <w:rFonts w:ascii="宋体" w:hAnsi="宋体" w:eastAsia="宋体" w:cs="宋体"/>
          <w:color w:val="auto"/>
          <w:spacing w:val="-4"/>
          <w:sz w:val="24"/>
          <w:szCs w:val="24"/>
          <w:highlight w:val="none"/>
        </w:rPr>
      </w:pPr>
      <w:bookmarkStart w:id="250" w:name="地址（住所）"/>
      <w:bookmarkEnd w:id="250"/>
      <w:r>
        <w:rPr>
          <w:rFonts w:hint="eastAsia" w:ascii="宋体" w:hAnsi="宋体" w:eastAsia="宋体" w:cs="宋体"/>
          <w:color w:val="auto"/>
          <w:spacing w:val="-4"/>
          <w:sz w:val="24"/>
          <w:szCs w:val="24"/>
          <w:highlight w:val="none"/>
        </w:rPr>
        <w:t xml:space="preserve">地址（住所）                     </w:t>
      </w:r>
      <w:r>
        <w:rPr>
          <w:rFonts w:hint="eastAsia" w:ascii="宋体" w:hAnsi="宋体" w:eastAsia="宋体" w:cs="宋体"/>
          <w:color w:val="auto"/>
          <w:spacing w:val="-4"/>
          <w:sz w:val="24"/>
          <w:szCs w:val="24"/>
          <w:highlight w:val="none"/>
        </w:rPr>
        <w:tab/>
      </w:r>
      <w:r>
        <w:rPr>
          <w:rFonts w:hint="eastAsia" w:ascii="宋体" w:hAnsi="宋体" w:eastAsia="宋体" w:cs="宋体"/>
          <w:color w:val="auto"/>
          <w:spacing w:val="-4"/>
          <w:sz w:val="24"/>
          <w:szCs w:val="24"/>
          <w:highlight w:val="none"/>
        </w:rPr>
        <w:t xml:space="preserve"> 地址（住所）：</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开户银行：</w:t>
      </w:r>
      <w:r>
        <w:rPr>
          <w:rFonts w:hint="eastAsia" w:ascii="宋体" w:hAnsi="宋体" w:eastAsia="宋体" w:cs="宋体"/>
          <w:color w:val="auto"/>
          <w:spacing w:val="-4"/>
          <w:sz w:val="24"/>
          <w:szCs w:val="24"/>
          <w:highlight w:val="none"/>
        </w:rPr>
        <w:tab/>
      </w:r>
      <w:bookmarkStart w:id="251" w:name="开户银行："/>
      <w:bookmarkEnd w:id="251"/>
      <w:r>
        <w:rPr>
          <w:rFonts w:hint="eastAsia" w:ascii="宋体" w:hAnsi="宋体" w:eastAsia="宋体" w:cs="宋体"/>
          <w:color w:val="auto"/>
          <w:spacing w:val="-4"/>
          <w:sz w:val="24"/>
          <w:szCs w:val="24"/>
          <w:highlight w:val="none"/>
        </w:rPr>
        <w:t xml:space="preserve">                           开户银行：</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账号：</w:t>
      </w:r>
      <w:r>
        <w:rPr>
          <w:rFonts w:hint="eastAsia" w:ascii="宋体" w:hAnsi="宋体" w:eastAsia="宋体" w:cs="宋体"/>
          <w:color w:val="auto"/>
          <w:spacing w:val="-4"/>
          <w:sz w:val="24"/>
          <w:szCs w:val="24"/>
          <w:highlight w:val="none"/>
        </w:rPr>
        <w:tab/>
      </w:r>
      <w:bookmarkStart w:id="252" w:name="账号："/>
      <w:bookmarkEnd w:id="252"/>
      <w:r>
        <w:rPr>
          <w:rFonts w:hint="eastAsia" w:ascii="宋体" w:hAnsi="宋体" w:eastAsia="宋体" w:cs="宋体"/>
          <w:color w:val="auto"/>
          <w:spacing w:val="-4"/>
          <w:sz w:val="24"/>
          <w:szCs w:val="24"/>
          <w:highlight w:val="none"/>
        </w:rPr>
        <w:t xml:space="preserve">                               账号：</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rPr>
        <w:tab/>
      </w:r>
      <w:bookmarkStart w:id="253" w:name="电话：_"/>
      <w:bookmarkEnd w:id="253"/>
      <w:r>
        <w:rPr>
          <w:rFonts w:hint="eastAsia" w:ascii="宋体" w:hAnsi="宋体" w:eastAsia="宋体" w:cs="宋体"/>
          <w:color w:val="auto"/>
          <w:spacing w:val="-4"/>
          <w:sz w:val="24"/>
          <w:szCs w:val="24"/>
          <w:highlight w:val="none"/>
        </w:rPr>
        <w:t xml:space="preserve">                               电话：</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传真：</w:t>
      </w:r>
      <w:r>
        <w:rPr>
          <w:rFonts w:hint="eastAsia" w:ascii="宋体" w:hAnsi="宋体" w:eastAsia="宋体" w:cs="宋体"/>
          <w:color w:val="auto"/>
          <w:spacing w:val="-4"/>
          <w:sz w:val="24"/>
          <w:szCs w:val="24"/>
          <w:highlight w:val="none"/>
        </w:rPr>
        <w:tab/>
      </w:r>
      <w:bookmarkStart w:id="254" w:name="传真："/>
      <w:bookmarkEnd w:id="254"/>
      <w:r>
        <w:rPr>
          <w:rFonts w:hint="eastAsia" w:ascii="宋体" w:hAnsi="宋体" w:eastAsia="宋体" w:cs="宋体"/>
          <w:color w:val="auto"/>
          <w:spacing w:val="-4"/>
          <w:sz w:val="24"/>
          <w:szCs w:val="24"/>
          <w:highlight w:val="none"/>
        </w:rPr>
        <w:t xml:space="preserve">                               传真：</w:t>
      </w:r>
    </w:p>
    <w:p>
      <w:pPr>
        <w:pStyle w:val="2"/>
        <w:widowControl/>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签约日期：XX 年 XX 月 XX 日</w:t>
      </w:r>
      <w:r>
        <w:rPr>
          <w:rFonts w:hint="eastAsia" w:ascii="宋体" w:hAnsi="宋体" w:eastAsia="宋体" w:cs="宋体"/>
          <w:color w:val="auto"/>
          <w:spacing w:val="-4"/>
          <w:sz w:val="24"/>
          <w:szCs w:val="24"/>
          <w:highlight w:val="none"/>
        </w:rPr>
        <w:tab/>
      </w:r>
      <w:bookmarkStart w:id="255" w:name="签约日期：XX年XX月XX日"/>
      <w:bookmarkEnd w:id="255"/>
      <w:r>
        <w:rPr>
          <w:rFonts w:hint="eastAsia" w:ascii="宋体" w:hAnsi="宋体" w:eastAsia="宋体" w:cs="宋体"/>
          <w:color w:val="auto"/>
          <w:spacing w:val="-4"/>
          <w:sz w:val="24"/>
          <w:szCs w:val="24"/>
          <w:highlight w:val="none"/>
        </w:rPr>
        <w:t xml:space="preserve">         签约日期：XX 年 XX 月 XX 日</w:t>
      </w:r>
    </w:p>
    <w:p>
      <w:pPr>
        <w:rPr>
          <w:color w:val="auto"/>
          <w:highlight w:val="none"/>
        </w:rPr>
      </w:pPr>
      <w:bookmarkStart w:id="256" w:name="_Toc3562"/>
      <w:r>
        <w:rPr>
          <w:rFonts w:hint="eastAsia" w:ascii="宋体" w:hAnsi="宋体" w:cs="宋体"/>
          <w:b/>
          <w:color w:val="auto"/>
          <w:spacing w:val="-4"/>
          <w:highlight w:val="none"/>
        </w:rPr>
        <w:t>注：合同条款可根据采购人及成交人签订合同时的实际情况进行修改调整。</w:t>
      </w:r>
      <w:bookmarkEnd w:id="256"/>
    </w:p>
    <w:p>
      <w:pPr>
        <w:pStyle w:val="2"/>
        <w:rPr>
          <w:color w:val="auto"/>
          <w:highlight w:val="none"/>
        </w:rPr>
      </w:pPr>
    </w:p>
    <w:p>
      <w:pPr>
        <w:spacing w:line="360" w:lineRule="auto"/>
        <w:ind w:firstLine="420" w:firstLineChars="200"/>
        <w:rPr>
          <w:color w:val="auto"/>
          <w:szCs w:val="21"/>
          <w:highlight w:val="none"/>
        </w:rPr>
      </w:pPr>
      <w:r>
        <w:rPr>
          <w:rFonts w:hint="eastAsia"/>
          <w:color w:val="auto"/>
          <w:szCs w:val="21"/>
          <w:highlight w:val="none"/>
        </w:rPr>
        <w:br w:type="page"/>
      </w:r>
    </w:p>
    <w:p>
      <w:pPr>
        <w:widowControl/>
        <w:spacing w:line="360" w:lineRule="auto"/>
        <w:rPr>
          <w:b/>
          <w:bCs/>
          <w:color w:val="auto"/>
          <w:highlight w:val="none"/>
        </w:rPr>
      </w:pPr>
      <w:r>
        <w:rPr>
          <w:rFonts w:hint="eastAsia" w:ascii="宋体" w:hAnsi="宋体" w:cs="宋体"/>
          <w:b/>
          <w:bCs/>
          <w:color w:val="auto"/>
          <w:sz w:val="24"/>
          <w:highlight w:val="none"/>
        </w:rPr>
        <w:t>附件一：</w:t>
      </w:r>
      <w:r>
        <w:rPr>
          <w:rFonts w:hint="eastAsia"/>
          <w:b/>
          <w:bCs/>
          <w:color w:val="auto"/>
          <w:highlight w:val="none"/>
        </w:rPr>
        <w:t>《四川省财政厅关于推进四川省政府采购供应商信用融资工作的通知》(川财采〔2018〕123号文)</w:t>
      </w:r>
    </w:p>
    <w:p>
      <w:pPr>
        <w:pStyle w:val="18"/>
        <w:wordWrap w:val="0"/>
        <w:spacing w:before="0" w:beforeAutospacing="0" w:after="0" w:afterAutospacing="0" w:line="360" w:lineRule="auto"/>
        <w:rPr>
          <w:color w:val="auto"/>
          <w:highlight w:val="none"/>
        </w:rPr>
      </w:pPr>
      <w:r>
        <w:rPr>
          <w:rFonts w:hint="eastAsia"/>
          <w:b/>
          <w:bCs/>
          <w:color w:val="auto"/>
          <w:highlight w:val="none"/>
        </w:rPr>
        <w:t>查询链接：</w:t>
      </w:r>
      <w:r>
        <w:rPr>
          <w:rFonts w:hint="eastAsia" w:cs="宋体"/>
          <w:b/>
          <w:bCs/>
          <w:color w:val="auto"/>
          <w:sz w:val="24"/>
          <w:szCs w:val="24"/>
          <w:highlight w:val="none"/>
        </w:rPr>
        <w:t>http://www.ccgp-sichuan.gov.cn/view/staticpags/sjzcfg/40288687657ff75501672fd954532414.html</w:t>
      </w:r>
    </w:p>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5302250" cy="1859915"/>
            <wp:effectExtent l="0" t="0" r="635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cstate="print"/>
                    <a:stretch>
                      <a:fillRect/>
                    </a:stretch>
                  </pic:blipFill>
                  <pic:spPr>
                    <a:xfrm>
                      <a:off x="0" y="0"/>
                      <a:ext cx="5302250" cy="1859915"/>
                    </a:xfrm>
                    <a:prstGeom prst="rect">
                      <a:avLst/>
                    </a:prstGeom>
                    <a:noFill/>
                    <a:ln w="9525">
                      <a:noFill/>
                    </a:ln>
                  </pic:spPr>
                </pic:pic>
              </a:graphicData>
            </a:graphic>
          </wp:inline>
        </w:drawing>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各市（州）、扩权县（市）财政局，各省直机关、事业单位、团体组织，各金融机构，各采购代理机构，各政府采购供应商：</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一、融资概念</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二、基本原则</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（一）财政引导，市场运行</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（二）建立机制，服务银企</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（三）优质优惠，加强扶持</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三、基本条件</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（一）银行暨“政采贷”金融产品</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1、征集。</w:t>
      </w:r>
      <w:r>
        <w:rPr>
          <w:rFonts w:hint="eastAsia" w:cs="宋体"/>
          <w:color w:val="auto"/>
          <w:sz w:val="24"/>
          <w:szCs w:val="24"/>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银行提供的“政采贷”产品应当满足“无抵押担保、程序简便、利率优惠、放款及时”的基本条件以及本通知其他相关规定。</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银行申请材料中应当载明其自愿提供“政采贷”产品，自担风险，不得要求或者变相要求财政部门和采购人为其提供风险担保、承诺。</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2、公示。</w:t>
      </w:r>
      <w:r>
        <w:rPr>
          <w:rFonts w:hint="eastAsia" w:cs="宋体"/>
          <w:color w:val="auto"/>
          <w:sz w:val="24"/>
          <w:szCs w:val="24"/>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（二）供应商</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政府采购供应商向银行申请“政采贷”，应当满足下列基本条件：</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1、</w:t>
      </w:r>
      <w:r>
        <w:rPr>
          <w:rFonts w:hint="eastAsia" w:cs="宋体"/>
          <w:color w:val="auto"/>
          <w:sz w:val="24"/>
          <w:szCs w:val="24"/>
          <w:highlight w:val="none"/>
        </w:rPr>
        <w:t>具有依法承担民事责任的能力；</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2、</w:t>
      </w:r>
      <w:r>
        <w:rPr>
          <w:rFonts w:hint="eastAsia" w:cs="宋体"/>
          <w:color w:val="auto"/>
          <w:sz w:val="24"/>
          <w:szCs w:val="24"/>
          <w:highlight w:val="none"/>
        </w:rPr>
        <w:t>具有依法履行政府采购合同的能力；</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3、</w:t>
      </w:r>
      <w:r>
        <w:rPr>
          <w:rFonts w:hint="eastAsia" w:cs="宋体"/>
          <w:color w:val="auto"/>
          <w:sz w:val="24"/>
          <w:szCs w:val="24"/>
          <w:highlight w:val="none"/>
        </w:rPr>
        <w:t>参加的政府采购活动未被财政部门依法暂停、责令重新开展或者认定中标、成交无效；</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4、</w:t>
      </w:r>
      <w:r>
        <w:rPr>
          <w:rFonts w:hint="eastAsia" w:cs="宋体"/>
          <w:color w:val="auto"/>
          <w:sz w:val="24"/>
          <w:szCs w:val="24"/>
          <w:highlight w:val="none"/>
        </w:rPr>
        <w:t>无《政府采购法》第二十二条第一款第（五）项所称的重大违法记录；</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5、</w:t>
      </w:r>
      <w:r>
        <w:rPr>
          <w:rFonts w:hint="eastAsia" w:cs="宋体"/>
          <w:color w:val="auto"/>
          <w:sz w:val="24"/>
          <w:szCs w:val="24"/>
          <w:highlight w:val="none"/>
        </w:rPr>
        <w:t>未被法院、市场监管、税务、银行等部门单位纳入失信名单且在有效期内；</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6、</w:t>
      </w:r>
      <w:r>
        <w:rPr>
          <w:rFonts w:hint="eastAsia" w:cs="宋体"/>
          <w:color w:val="auto"/>
          <w:sz w:val="24"/>
          <w:szCs w:val="24"/>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7、</w:t>
      </w:r>
      <w:r>
        <w:rPr>
          <w:rFonts w:hint="eastAsia" w:cs="宋体"/>
          <w:color w:val="auto"/>
          <w:sz w:val="24"/>
          <w:szCs w:val="24"/>
          <w:highlight w:val="none"/>
        </w:rPr>
        <w:t>其他银行要求的不属于提供财产抵押或第三方担保的条件。</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四、构建平台</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四川省财政厅将在四川政府采购网统一构建四川省“政采贷”信息化服务平台，推进四川省“政采贷”工作信息化建设。</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五、财金互动</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六、基本流程</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（一）意向申请</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8"/>
        <w:spacing w:before="0" w:beforeAutospacing="0" w:after="0" w:afterAutospacing="0" w:line="360" w:lineRule="auto"/>
        <w:ind w:firstLine="482" w:firstLineChars="200"/>
        <w:rPr>
          <w:rFonts w:cs="宋体"/>
          <w:b/>
          <w:color w:val="auto"/>
          <w:sz w:val="24"/>
          <w:szCs w:val="24"/>
          <w:highlight w:val="none"/>
        </w:rPr>
      </w:pPr>
      <w:r>
        <w:rPr>
          <w:rFonts w:hint="eastAsia" w:cs="宋体"/>
          <w:b/>
          <w:color w:val="auto"/>
          <w:sz w:val="24"/>
          <w:szCs w:val="24"/>
          <w:highlight w:val="none"/>
        </w:rPr>
        <w:t>（二）正式申请</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（三）贷款审查</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（四）信息报送</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（五）资金支付</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政府采购资金支付过程中，银行需要查询采购资金支付进程有关信息的，财政部门和采购人应当支持。</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七、职责要求</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w:t>
      </w:r>
      <w:r>
        <w:rPr>
          <w:rFonts w:hint="eastAsia" w:cs="宋体"/>
          <w:color w:val="auto"/>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（二）</w:t>
      </w:r>
      <w:r>
        <w:rPr>
          <w:rFonts w:hint="eastAsia" w:cs="宋体"/>
          <w:color w:val="auto"/>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（三）</w:t>
      </w:r>
      <w:r>
        <w:rPr>
          <w:rFonts w:hint="eastAsia" w:cs="宋体"/>
          <w:color w:val="auto"/>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（四）</w:t>
      </w:r>
      <w:r>
        <w:rPr>
          <w:rFonts w:hint="eastAsia" w:cs="宋体"/>
          <w:color w:val="auto"/>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（五）</w:t>
      </w:r>
      <w:r>
        <w:rPr>
          <w:rFonts w:hint="eastAsia" w:cs="宋体"/>
          <w:color w:val="auto"/>
          <w:sz w:val="24"/>
          <w:szCs w:val="24"/>
          <w:highlight w:val="none"/>
        </w:rPr>
        <w:t>供应商应当依法参加政府采购活动，公平竞争，诚实守信，严格按照政府采购合同履约，严格按照借款合同偿还债务。</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（六）</w:t>
      </w:r>
      <w:r>
        <w:rPr>
          <w:rFonts w:hint="eastAsia" w:cs="宋体"/>
          <w:color w:val="auto"/>
          <w:sz w:val="24"/>
          <w:szCs w:val="24"/>
          <w:highlight w:val="none"/>
        </w:rPr>
        <w:t>财政部门、采购人、采购代理机构及其他有关单位和个人不得违规干预供应商选择“政采贷”银行及其产品，也不得违规干预银行向供应商进行贷款。</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（七）</w:t>
      </w:r>
      <w:r>
        <w:rPr>
          <w:rFonts w:hint="eastAsia" w:cs="宋体"/>
          <w:color w:val="auto"/>
          <w:sz w:val="24"/>
          <w:szCs w:val="24"/>
          <w:highlight w:val="none"/>
        </w:rPr>
        <w:t>相关单位和个人在开展“政采贷”工作过程中，发现新问题、新情况或者有意见建议的，请及时向四川省财政厅反馈。</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八、违规处理</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（一）银行违规处理</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（二）供应商违规处理</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8"/>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（三）其他违规处理</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 附件：四川省“政采贷”信息统计表</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446405</wp:posOffset>
            </wp:positionV>
            <wp:extent cx="1771650" cy="1781175"/>
            <wp:effectExtent l="0" t="0" r="6350"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3" cstate="print"/>
                    <a:stretch>
                      <a:fillRect/>
                    </a:stretch>
                  </pic:blipFill>
                  <pic:spPr>
                    <a:xfrm>
                      <a:off x="0" y="0"/>
                      <a:ext cx="1771650" cy="1781175"/>
                    </a:xfrm>
                    <a:prstGeom prst="rect">
                      <a:avLst/>
                    </a:prstGeom>
                    <a:noFill/>
                    <a:ln w="9525">
                      <a:noFill/>
                    </a:ln>
                  </pic:spPr>
                </pic:pic>
              </a:graphicData>
            </a:graphic>
          </wp:anchor>
        </w:drawing>
      </w:r>
      <w:r>
        <w:rPr>
          <w:rFonts w:hint="eastAsia" w:ascii="宋体" w:hAnsi="宋体" w:cs="宋体"/>
          <w:color w:val="auto"/>
          <w:sz w:val="24"/>
          <w:highlight w:val="none"/>
        </w:rPr>
        <w:br w:type="page"/>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附件二：成都市财政局  中国人民银行成都分行营业管理部关于印发《成都市中小企业政府采购信用融资暂行办法》和《成都市级支持中小企业政府采购信用融资实施方案》的通知（成财采〔2019〕17号）</w:t>
      </w:r>
    </w:p>
    <w:p>
      <w:pPr>
        <w:widowControl/>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查询链接：</w:t>
      </w:r>
      <w:r>
        <w:rPr>
          <w:color w:val="auto"/>
          <w:highlight w:val="none"/>
        </w:rPr>
        <w:fldChar w:fldCharType="begin"/>
      </w:r>
      <w:r>
        <w:rPr>
          <w:color w:val="auto"/>
          <w:highlight w:val="none"/>
        </w:rPr>
        <w:instrText xml:space="preserve"> HYPERLINK "http://cdcz.chengdu.gov.cn/cdsczj/c116726/2019-03/13/content_7d81ae9c2a1e48968c7839a9c5b88ccd.shtml" </w:instrText>
      </w:r>
      <w:r>
        <w:rPr>
          <w:color w:val="auto"/>
          <w:highlight w:val="none"/>
        </w:rPr>
        <w:fldChar w:fldCharType="separate"/>
      </w:r>
      <w:r>
        <w:rPr>
          <w:rStyle w:val="23"/>
          <w:rFonts w:hint="eastAsia" w:ascii="宋体" w:hAnsi="宋体" w:cs="宋体"/>
          <w:b/>
          <w:bCs/>
          <w:color w:val="auto"/>
          <w:sz w:val="24"/>
          <w:highlight w:val="none"/>
        </w:rPr>
        <w:t>http://cdcz.chengdu.gov.cn/cdsczj/c116726/2019-03/13/content_7d81ae9c2a1e48968c7839a9c5b88ccd.shtml</w:t>
      </w:r>
      <w:r>
        <w:rPr>
          <w:rStyle w:val="23"/>
          <w:rFonts w:hint="eastAsia" w:ascii="宋体" w:hAnsi="宋体" w:cs="宋体"/>
          <w:b/>
          <w:bCs/>
          <w:color w:val="auto"/>
          <w:sz w:val="24"/>
          <w:highlight w:val="none"/>
        </w:rPr>
        <w:fldChar w:fldCharType="end"/>
      </w: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napToGrid w:val="0"/>
              <w:spacing w:line="360" w:lineRule="auto"/>
              <w:jc w:val="distribute"/>
              <w:rPr>
                <w:rFonts w:eastAsia="方正小标宋简体"/>
                <w:color w:val="auto"/>
                <w:sz w:val="66"/>
                <w:szCs w:val="66"/>
                <w:highlight w:val="none"/>
              </w:rPr>
            </w:pPr>
            <w:r>
              <w:rPr>
                <w:rFonts w:hint="eastAsia" w:eastAsia="方正小标宋简体"/>
                <w:color w:val="auto"/>
                <w:sz w:val="66"/>
                <w:szCs w:val="66"/>
                <w:highlight w:val="none"/>
              </w:rPr>
              <w:t>成都市财政局</w:t>
            </w:r>
          </w:p>
        </w:tc>
        <w:tc>
          <w:tcPr>
            <w:tcW w:w="1580" w:type="dxa"/>
            <w:vMerge w:val="restart"/>
            <w:vAlign w:val="center"/>
          </w:tcPr>
          <w:p>
            <w:pPr>
              <w:snapToGrid w:val="0"/>
              <w:spacing w:line="360" w:lineRule="auto"/>
              <w:jc w:val="center"/>
              <w:rPr>
                <w:rFonts w:eastAsia="方正小标宋简体"/>
                <w:color w:val="auto"/>
                <w:sz w:val="66"/>
                <w:szCs w:val="66"/>
                <w:highlight w:val="none"/>
              </w:rPr>
            </w:pPr>
            <w:r>
              <w:rPr>
                <w:rFonts w:hint="eastAsia" w:eastAsia="方正小标宋简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napToGrid w:val="0"/>
              <w:spacing w:line="360" w:lineRule="auto"/>
              <w:jc w:val="distribute"/>
              <w:rPr>
                <w:rFonts w:eastAsia="方正小标宋简体"/>
                <w:color w:val="auto"/>
                <w:spacing w:val="-20"/>
                <w:w w:val="82"/>
                <w:sz w:val="62"/>
                <w:szCs w:val="62"/>
                <w:highlight w:val="none"/>
              </w:rPr>
            </w:pPr>
            <w:r>
              <w:rPr>
                <w:rFonts w:hint="eastAsia" w:eastAsia="方正小标宋简体"/>
                <w:color w:val="auto"/>
                <w:spacing w:val="-20"/>
                <w:w w:val="82"/>
                <w:sz w:val="62"/>
                <w:szCs w:val="62"/>
                <w:highlight w:val="none"/>
              </w:rPr>
              <w:t>中国人民银行成都分行营业管理部</w:t>
            </w:r>
          </w:p>
        </w:tc>
        <w:tc>
          <w:tcPr>
            <w:tcW w:w="1580" w:type="dxa"/>
            <w:vMerge w:val="continue"/>
            <w:vAlign w:val="center"/>
          </w:tcPr>
          <w:p>
            <w:pPr>
              <w:snapToGrid w:val="0"/>
              <w:spacing w:line="360" w:lineRule="auto"/>
              <w:jc w:val="center"/>
              <w:rPr>
                <w:rFonts w:eastAsia="方正小标宋简体"/>
                <w:color w:val="auto"/>
                <w:sz w:val="66"/>
                <w:szCs w:val="66"/>
                <w:highlight w:val="none"/>
              </w:rPr>
            </w:pPr>
          </w:p>
        </w:tc>
      </w:tr>
    </w:tbl>
    <w:p>
      <w:pPr>
        <w:snapToGrid w:val="0"/>
        <w:spacing w:line="360" w:lineRule="auto"/>
        <w:jc w:val="center"/>
        <w:rPr>
          <w:rFonts w:eastAsia="方正仿宋_GBK"/>
          <w:color w:val="auto"/>
          <w:highlight w:val="none"/>
        </w:rPr>
      </w:pPr>
    </w:p>
    <w:p>
      <w:pPr>
        <w:spacing w:line="360" w:lineRule="auto"/>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320675</wp:posOffset>
                </wp:positionV>
                <wp:extent cx="561848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5.25pt;height:0pt;width:442.4pt;z-index:251661312;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MYKIrn1AQAA6QMAAA4AAABkcnMvZTJvRG9jLnhtbK1TzY7T&#10;MBC+I/EOlu806cKuulHTPWwpFwSVgAeY2k5jyX/yeJv2JXgBJG5w4sidt2F5DMZJtuzPpQdycMae&#10;mW/m+zyeX+2tYTsVUXtX8+mk5Ew54aV225p/+rh6MeMMEzgJxjtV84NCfrV4/mzehUqd+dYbqSIj&#10;EIdVF2rephSqokDRKgs48UE5cjY+Wki0jdtCRugI3ZrirCwvis5HGaIXCpFOl4OTj4jxFEDfNFqo&#10;pRc3Vrk0oEZlIBElbHVAvui7bRol0vumQZWYqTkxTf1KRcje5LVYzKHaRgitFmMLcEoLjzhZ0I6K&#10;HqGWkIDdRP0EymoRPfomTYS3xUCkV4RYTMtH2nxoIaieC0mN4Sg6/j9Y8W63jkzLmr+85MyBpRu/&#10;/fLz9+dvf359pfX2x3dGHpKpC1hR9LVbx3GHYR0z530Tbf4TG7bvpT0cpVX7xAQdnl9MZ69mpLq4&#10;8xX/EkPE9EZ5y7JRc6NdZg0V7N5iomIUeheSj41jHU3uZXme8YBmsKG7J9MG4oFu2yejN1qutDE5&#10;BeN2c20i2wHNwWpV0pc5EfCDsFxlCdgOcb1rmJBWgXztJEuHQAI5ehg892CV5MwoekfZIkCoEmhz&#10;SiSVNi4nqH5KR6JZ5EHWbG28PPRqF3lHE9B3PE5rHrH7e7Lvv9D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O/uPvWAAAABgEAAA8AAAAAAAAAAQAgAAAAIgAAAGRycy9kb3ducmV2LnhtbFBLAQIU&#10;ABQAAAAIAIdO4kDGCiK59QEAAOkDAAAOAAAAAAAAAAEAIAAAACUBAABkcnMvZTJvRG9jLnhtbFBL&#10;BQYAAAAABgAGAFkBAACM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spacing w:line="360" w:lineRule="auto"/>
        <w:jc w:val="center"/>
        <w:rPr>
          <w:rFonts w:ascii="方正小标宋_GBK" w:hAnsi="方正小标宋_GBK" w:eastAsia="方正小标宋_GBK"/>
          <w:color w:val="auto"/>
          <w:highlight w:val="none"/>
        </w:rPr>
      </w:pPr>
    </w:p>
    <w:p>
      <w:pPr>
        <w:topLinePunct/>
        <w:snapToGrid w:val="0"/>
        <w:spacing w:line="360" w:lineRule="auto"/>
        <w:jc w:val="center"/>
        <w:rPr>
          <w:rFonts w:ascii="方正小标宋_GBK" w:hAnsi="方正小标宋_GBK" w:eastAsia="方正小标宋_GBK"/>
          <w:color w:val="auto"/>
          <w:spacing w:val="-18"/>
          <w:sz w:val="44"/>
          <w:szCs w:val="44"/>
          <w:highlight w:val="none"/>
        </w:rPr>
      </w:pPr>
      <w:r>
        <w:rPr>
          <w:rFonts w:hint="eastAsia" w:ascii="方正小标宋_GBK" w:hAnsi="方正小标宋_GBK" w:eastAsia="方正小标宋_GBK"/>
          <w:color w:val="auto"/>
          <w:spacing w:val="-18"/>
          <w:sz w:val="44"/>
          <w:szCs w:val="44"/>
          <w:highlight w:val="none"/>
        </w:rPr>
        <w:t>成都市财政局  中国人民银行成都分行营业管理部</w:t>
      </w:r>
    </w:p>
    <w:p>
      <w:pPr>
        <w:topLinePunct/>
        <w:snapToGrid w:val="0"/>
        <w:spacing w:line="360" w:lineRule="auto"/>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关于印发《成都市中小企业政府采购信用融资</w:t>
      </w:r>
    </w:p>
    <w:p>
      <w:pPr>
        <w:topLinePunct/>
        <w:snapToGrid w:val="0"/>
        <w:spacing w:line="360" w:lineRule="auto"/>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暂行办法》和《成都市级支持中小企业</w:t>
      </w:r>
    </w:p>
    <w:p>
      <w:pPr>
        <w:topLinePunct/>
        <w:snapToGrid w:val="0"/>
        <w:spacing w:line="360" w:lineRule="auto"/>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政府采购信用融资实施方案》的通知</w:t>
      </w:r>
    </w:p>
    <w:p>
      <w:pPr>
        <w:spacing w:line="360" w:lineRule="auto"/>
        <w:jc w:val="center"/>
        <w:rPr>
          <w:rFonts w:eastAsia="方正仿宋_GBK"/>
          <w:color w:val="auto"/>
          <w:highlight w:val="none"/>
        </w:rPr>
      </w:pP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成都天府新区、高新区财政金融局，各区（市）县财政局，市级各部门、单位，各银行业金融机构：</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一、高度重视、迅速行动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二、明确责任、压茬推进</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三、优化服务、营造氛围</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spacing w:line="360" w:lineRule="auto"/>
        <w:ind w:firstLine="480" w:firstLineChars="200"/>
        <w:rPr>
          <w:rFonts w:ascii="宋体" w:hAnsi="宋体" w:cs="宋体"/>
          <w:color w:val="auto"/>
          <w:sz w:val="24"/>
          <w:highlight w:val="none"/>
        </w:rPr>
      </w:pP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附件：1．成都市中小企业政府采购信用融资暂行办法 </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2．成都市级支持中小企业政府采购信用融资实施方案</w:t>
      </w:r>
    </w:p>
    <w:p>
      <w:pPr>
        <w:pStyle w:val="10"/>
        <w:widowControl/>
        <w:topLinePunct/>
        <w:spacing w:line="360" w:lineRule="auto"/>
        <w:ind w:firstLine="480" w:firstLineChars="200"/>
        <w:rPr>
          <w:rFonts w:ascii="宋体" w:hAnsi="宋体" w:cs="宋体"/>
          <w:color w:val="auto"/>
          <w:sz w:val="24"/>
          <w:szCs w:val="24"/>
          <w:highlight w:val="none"/>
        </w:rPr>
      </w:pPr>
    </w:p>
    <w:p>
      <w:pPr>
        <w:pStyle w:val="10"/>
        <w:widowControl/>
        <w:topLinePunct/>
        <w:spacing w:line="360" w:lineRule="auto"/>
        <w:ind w:firstLine="480" w:firstLineChars="200"/>
        <w:rPr>
          <w:rFonts w:ascii="宋体" w:hAnsi="宋体" w:cs="宋体"/>
          <w:color w:val="auto"/>
          <w:sz w:val="24"/>
          <w:szCs w:val="24"/>
          <w:highlight w:val="none"/>
        </w:rPr>
      </w:pPr>
    </w:p>
    <w:p>
      <w:pPr>
        <w:pStyle w:val="10"/>
        <w:widowControl/>
        <w:topLinePunct/>
        <w:spacing w:line="360" w:lineRule="auto"/>
        <w:ind w:firstLine="480" w:firstLineChars="200"/>
        <w:rPr>
          <w:rFonts w:ascii="宋体" w:hAnsi="宋体" w:cs="宋体"/>
          <w:color w:val="auto"/>
          <w:sz w:val="24"/>
          <w:szCs w:val="24"/>
          <w:highlight w:val="none"/>
        </w:rPr>
      </w:pPr>
    </w:p>
    <w:p>
      <w:pPr>
        <w:widowControl/>
        <w:tabs>
          <w:tab w:val="left" w:pos="7584"/>
        </w:tabs>
        <w:topLinePunct/>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成都市财政局         中国人民银行成都分行营业管理部</w:t>
      </w:r>
    </w:p>
    <w:p>
      <w:pPr>
        <w:widowControl/>
        <w:tabs>
          <w:tab w:val="left" w:pos="7584"/>
        </w:tabs>
        <w:topLinePunct/>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2019年2月26日</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pPr>
        <w:topLinePunct/>
        <w:spacing w:line="360" w:lineRule="auto"/>
        <w:rPr>
          <w:rFonts w:ascii="宋体" w:hAnsi="宋体" w:cs="宋体"/>
          <w:color w:val="auto"/>
          <w:sz w:val="24"/>
          <w:highlight w:val="none"/>
        </w:rPr>
      </w:pPr>
      <w:r>
        <w:rPr>
          <w:rFonts w:hint="eastAsia" w:ascii="宋体" w:hAnsi="宋体" w:cs="宋体"/>
          <w:color w:val="auto"/>
          <w:sz w:val="24"/>
          <w:highlight w:val="none"/>
        </w:rPr>
        <w:t>附件1</w:t>
      </w:r>
    </w:p>
    <w:p>
      <w:pPr>
        <w:topLinePunct/>
        <w:spacing w:line="360" w:lineRule="auto"/>
        <w:rPr>
          <w:rFonts w:ascii="宋体" w:hAnsi="宋体" w:cs="宋体"/>
          <w:color w:val="auto"/>
          <w:sz w:val="24"/>
          <w:highlight w:val="none"/>
        </w:rPr>
      </w:pP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成都市中小企业政府采购信用融资暂行办法</w:t>
      </w:r>
    </w:p>
    <w:p>
      <w:pPr>
        <w:topLinePunct/>
        <w:spacing w:line="360" w:lineRule="auto"/>
        <w:jc w:val="center"/>
        <w:rPr>
          <w:rFonts w:ascii="宋体" w:hAnsi="宋体" w:cs="宋体"/>
          <w:color w:val="auto"/>
          <w:sz w:val="24"/>
          <w:highlight w:val="none"/>
        </w:rPr>
      </w:pPr>
      <w:r>
        <w:rPr>
          <w:rFonts w:hint="eastAsia" w:ascii="宋体" w:hAnsi="宋体" w:cs="宋体"/>
          <w:color w:val="auto"/>
          <w:sz w:val="24"/>
          <w:highlight w:val="none"/>
        </w:rPr>
        <w:t>第一章  总  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第一条（政策依据）</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第二条（适用范围）</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成都市行政区域内政府采购信用融资适用本办法。</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第三条（术语定义）</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本办法所称政府采购信用融资，是指融资机构以信用审查为基础，依据政府采购合同，按相应的优惠政策向申请融资的中小企业（以下简称供应商）提供资金支持的融资模式。</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本办法所称融资机构，是指在成都市属地注册或设立分支机构，有意向按照本办法开展政府采购信用融资业务，经同级财政部门确定的银行机构。</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本办法所称中小企业，包括中型、小型及微型企业，其划型标准按照国家相关规定执行。</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第四条（基本原则）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政府采购信用融资工作坚持政府引导、市场主导，自愿选择、自担风险，诚实信用、互惠共赢的原则，切实发挥市场在资源配置中的决定性作用。</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第二章  融资优惠</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第五条（融资方式）</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供应商无需提供财产抵押或第三方担保，凭借政府采购合同向融资机构申请融资，融资机构根据其授信政策为供应商提供信用贷款。</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第六条（融资额度）</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融资额度原则上不超过政府采购合同金额。</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第七条（融资利率）</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融资机构向供应商提供融资的利率应低于同期一般中小企业的贷款利率。融资利率上浮比例原则上不超过中国人民银行公布的同期贷款基准利率的30%。</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第八条（融资期限）</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融资期限原则上与政府采购合同履行期限一致。</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第九条（融资效率）</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第十条（融资业务升级）</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对履约记录良好、诚信资质高的供应商，融资机构应当在授信额度、融资审查、融资利率等方面给予更大支持，促进供应商依法诚信经营。</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第十一条（贷款风险补贴）</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第三章  融资流程</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第十二条（融资流程）</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（一）信息发布。采购人应当在发布的采购公告和采购文件中载明采购项目可提供信用融资的信息。</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（二）融资申请。有融资需求的供应商自主选择提供政府采购信用融资服务的融资机构及产品，并按要求提供申请资料。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（三）融资审查。融资机构对供应商的融资申请进行审查，并向供应商反馈审查及融资额度等情况。</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（四）账户确认。供应商须在合作融资机构开立结算账户，并与采购人在政府采购合同中或通过签订补充协议的方式约定唯一收款账户，融资机构对唯一收款账户进行确认和锁定。</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（五）放款。融资机构对政府采购合同及融资相关信息进行确认，并向供应商提供相应的融资产品。</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（六）贷款归还。采购人按相关规定和合同约定将合同资金支付至约定的唯一收款账户。</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第四章  职责分工</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第十三条（财政部门职责）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第十四条（融资机构主管部门职责）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第十五条（采购人职责）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第十六条（融资机构职责）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第十七条（供应商职责）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第五章 监督管理</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第十八条（采购人监管）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采购人不执行政府采购信用融资政策，或不正当干预供应商选择合作融资机构，或无故拖延和拒付采购资金的，财政部门视情节进行约谈、通报直至暂停拨付财政资金。</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第十九条（融资机构监管）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融资机构违反规定开展政府采购信用融资业务，对政府采购造成负面影响的，财政部门视情节取消其参与政府采购信用融资的业务权限。</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第二十条（供应商监管）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第二十一条</w:t>
      </w:r>
      <w:bookmarkStart w:id="257" w:name="BM24558847_25425864_3"/>
      <w:bookmarkEnd w:id="257"/>
      <w:r>
        <w:rPr>
          <w:rFonts w:hint="eastAsia" w:ascii="宋体" w:hAnsi="宋体" w:cs="宋体"/>
          <w:color w:val="auto"/>
          <w:sz w:val="24"/>
          <w:highlight w:val="none"/>
        </w:rPr>
        <w:t>（相关单位及工作人员监管）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各相关单位及其工作人员在履行职责中存在滥用职权、玩忽职守、徇私舞弊等违法违纪行为的，依照有关规定处理，涉嫌犯罪的，移送司法机关处理。</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第六章  附  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第二十二条（解释相关）</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本办法由市财政局会同中国人民银行成都分行营业管理部负责解释。</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第二十三条（施行相关）</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本办法自印发之日起施行。市财政局、市金融办2013年12月9日印发的《关于开展中小企业政府采购信用担保及融资试点工作的通知》（成财采〔2013〕200号）同时废止。</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pPr>
        <w:topLinePunct/>
        <w:spacing w:line="360" w:lineRule="auto"/>
        <w:rPr>
          <w:rFonts w:ascii="宋体" w:hAnsi="宋体" w:cs="宋体"/>
          <w:color w:val="auto"/>
          <w:sz w:val="24"/>
          <w:highlight w:val="none"/>
        </w:rPr>
      </w:pPr>
      <w:r>
        <w:rPr>
          <w:rFonts w:hint="eastAsia" w:ascii="宋体" w:hAnsi="宋体" w:cs="宋体"/>
          <w:color w:val="auto"/>
          <w:sz w:val="24"/>
          <w:highlight w:val="none"/>
        </w:rPr>
        <w:t>附件2</w:t>
      </w:r>
    </w:p>
    <w:p>
      <w:pPr>
        <w:topLinePunct/>
        <w:spacing w:line="360" w:lineRule="auto"/>
        <w:ind w:firstLine="480" w:firstLineChars="200"/>
        <w:rPr>
          <w:rFonts w:ascii="宋体" w:hAnsi="宋体" w:cs="宋体"/>
          <w:color w:val="auto"/>
          <w:sz w:val="24"/>
          <w:highlight w:val="none"/>
        </w:rPr>
      </w:pP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成都市级支持中小企业政府采购</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信用融资实施方案</w:t>
      </w:r>
    </w:p>
    <w:p>
      <w:pPr>
        <w:topLinePunct/>
        <w:spacing w:line="360" w:lineRule="auto"/>
        <w:ind w:firstLine="480" w:firstLineChars="200"/>
        <w:rPr>
          <w:rFonts w:ascii="宋体" w:hAnsi="宋体" w:cs="宋体"/>
          <w:color w:val="auto"/>
          <w:sz w:val="24"/>
          <w:highlight w:val="none"/>
        </w:rPr>
      </w:pP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一、目标任务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二、适用范围</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本《实施方案》适用于成都市本级政府采购信用融资工作。</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三、基本原则 </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四、组织实施</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（一）宣传动员</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（二）融资机构选择</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（1）融资机构基本情况；</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（2）政府采购信用融资实施方案（包括授信政策、融资产品、贷款利率及其它优惠措施、业务流程及各环节办结时间、联系方式等）；</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（3）关于遵照《暂行办法》和《实施方案》开展政府采购信用融资业务的承诺；</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（4）关于政府采购信用融资业务风险及系统对接研发费用自行承担的承诺。</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2．系统对接。融资机构成功报名后，须按要求完成政府采购信用融资业务与成都市政府采购监督管理系统的技术对接。</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3．确定融资机构。市财政局将完成系统对接的融资机构确定为我市开展政府采购信用融资业务的融资机构，并在成都市政府采购监督管理系统集中展示，为供应商开展融资提供指引。</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（三）其他事项</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五、相关要求</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（一）加强组织领导。</w:t>
      </w:r>
      <w:r>
        <w:rPr>
          <w:rFonts w:hint="eastAsia" w:ascii="宋体" w:hAnsi="宋体" w:cs="宋体"/>
          <w:color w:val="auto"/>
          <w:kern w:val="0"/>
          <w:sz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cs="宋体"/>
          <w:color w:val="auto"/>
          <w:sz w:val="24"/>
          <w:highlight w:val="none"/>
        </w:rPr>
        <w:t>全面、有序、科学推进政府采购信用融资工作。</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（二）注重协调配合。</w:t>
      </w:r>
      <w:r>
        <w:rPr>
          <w:rFonts w:hint="eastAsia" w:ascii="宋体" w:hAnsi="宋体" w:cs="宋体"/>
          <w:color w:val="auto"/>
          <w:kern w:val="0"/>
          <w:sz w:val="24"/>
          <w:highlight w:val="none"/>
        </w:rPr>
        <w:t>市财政局、中国人民银行成都分行营业管理部及采购人</w:t>
      </w:r>
      <w:r>
        <w:rPr>
          <w:rFonts w:hint="eastAsia" w:ascii="宋体" w:hAnsi="宋体" w:cs="宋体"/>
          <w:color w:val="auto"/>
          <w:sz w:val="24"/>
          <w:highlight w:val="none"/>
        </w:rPr>
        <w:t>等有关单位要根据职责任务，及时协调解决工作中遇到的困难和问题，积极</w:t>
      </w:r>
      <w:r>
        <w:rPr>
          <w:rFonts w:hint="eastAsia" w:ascii="宋体" w:hAnsi="宋体" w:cs="宋体"/>
          <w:color w:val="auto"/>
          <w:kern w:val="0"/>
          <w:sz w:val="24"/>
          <w:highlight w:val="none"/>
        </w:rPr>
        <w:t>创造条件主动服务，帮助有融资需求、符合条件的供应商实现政府采购信用融资，促进中小企业又好又快发展</w:t>
      </w:r>
      <w:r>
        <w:rPr>
          <w:rFonts w:hint="eastAsia" w:ascii="宋体" w:hAnsi="宋体" w:cs="宋体"/>
          <w:color w:val="auto"/>
          <w:sz w:val="24"/>
          <w:highlight w:val="none"/>
        </w:rPr>
        <w:t>。</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pPr>
        <w:rPr>
          <w:rFonts w:asciiTheme="minorEastAsia" w:hAnsiTheme="minorEastAsia" w:eastAsiaTheme="minorEastAsia" w:cstheme="minorEastAsia"/>
          <w:b/>
          <w:bCs/>
          <w:color w:val="auto"/>
          <w:sz w:val="28"/>
          <w:szCs w:val="36"/>
          <w:highlight w:val="none"/>
        </w:rPr>
      </w:pPr>
      <w:r>
        <w:rPr>
          <w:rFonts w:hint="eastAsia" w:asciiTheme="minorEastAsia" w:hAnsiTheme="minorEastAsia" w:eastAsiaTheme="minorEastAsia" w:cstheme="minorEastAsia"/>
          <w:b/>
          <w:bCs/>
          <w:color w:val="auto"/>
          <w:sz w:val="28"/>
          <w:szCs w:val="36"/>
          <w:highlight w:val="none"/>
        </w:rPr>
        <w:t xml:space="preserve">附件三：         </w:t>
      </w:r>
    </w:p>
    <w:p>
      <w:pPr>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信用评价服务效果调查表(供应商)</w:t>
      </w:r>
    </w:p>
    <w:p>
      <w:pPr>
        <w:pStyle w:val="47"/>
        <w:spacing w:line="360" w:lineRule="auto"/>
        <w:ind w:firstLine="240" w:firstLineChars="100"/>
        <w:rPr>
          <w:color w:val="auto"/>
          <w:sz w:val="24"/>
          <w:highlight w:val="none"/>
        </w:rPr>
      </w:pPr>
      <w:r>
        <w:rPr>
          <w:rFonts w:hint="eastAsia"/>
          <w:color w:val="auto"/>
          <w:sz w:val="24"/>
          <w:highlight w:val="none"/>
        </w:rPr>
        <w:t>被评价代理机构名称：</w:t>
      </w:r>
    </w:p>
    <w:p>
      <w:pPr>
        <w:pStyle w:val="47"/>
        <w:spacing w:line="360" w:lineRule="auto"/>
        <w:ind w:firstLine="240" w:firstLineChars="100"/>
        <w:rPr>
          <w:color w:val="auto"/>
          <w:sz w:val="24"/>
          <w:highlight w:val="none"/>
          <w:u w:val="single"/>
        </w:rPr>
      </w:pPr>
      <w:r>
        <w:rPr>
          <w:rFonts w:hint="eastAsia"/>
          <w:color w:val="auto"/>
          <w:sz w:val="24"/>
          <w:highlight w:val="none"/>
        </w:rPr>
        <w:t>项目名称：</w:t>
      </w:r>
    </w:p>
    <w:p>
      <w:pPr>
        <w:pStyle w:val="47"/>
        <w:spacing w:line="360" w:lineRule="auto"/>
        <w:ind w:firstLine="240" w:firstLineChars="100"/>
        <w:rPr>
          <w:color w:val="auto"/>
          <w:sz w:val="24"/>
          <w:highlight w:val="none"/>
          <w:u w:val="single"/>
        </w:rPr>
      </w:pPr>
      <w:r>
        <w:rPr>
          <w:rFonts w:hint="eastAsia"/>
          <w:color w:val="auto"/>
          <w:sz w:val="24"/>
          <w:highlight w:val="none"/>
        </w:rPr>
        <w:t>项目编号：</w:t>
      </w:r>
    </w:p>
    <w:tbl>
      <w:tblPr>
        <w:tblStyle w:val="19"/>
        <w:tblW w:w="8331" w:type="dxa"/>
        <w:jc w:val="center"/>
        <w:tblLayout w:type="fixed"/>
        <w:tblCellMar>
          <w:top w:w="15" w:type="dxa"/>
          <w:left w:w="15" w:type="dxa"/>
          <w:bottom w:w="15" w:type="dxa"/>
          <w:right w:w="15" w:type="dxa"/>
        </w:tblCellMar>
      </w:tblPr>
      <w:tblGrid>
        <w:gridCol w:w="1038"/>
        <w:gridCol w:w="2071"/>
        <w:gridCol w:w="1303"/>
        <w:gridCol w:w="1303"/>
        <w:gridCol w:w="1303"/>
        <w:gridCol w:w="1313"/>
      </w:tblGrid>
      <w:tr>
        <w:tblPrEx>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序号</w:t>
            </w:r>
          </w:p>
        </w:tc>
        <w:tc>
          <w:tcPr>
            <w:tcW w:w="2071"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测评内容</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满意</w:t>
            </w:r>
          </w:p>
          <w:p>
            <w:pPr>
              <w:pStyle w:val="48"/>
              <w:rPr>
                <w:b/>
                <w:bCs/>
                <w:color w:val="auto"/>
                <w:sz w:val="24"/>
                <w:highlight w:val="none"/>
              </w:rPr>
            </w:pPr>
            <w:r>
              <w:rPr>
                <w:rFonts w:hint="eastAsia"/>
                <w:b/>
                <w:bCs/>
                <w:color w:val="auto"/>
                <w:sz w:val="24"/>
                <w:highlight w:val="none"/>
              </w:rPr>
              <w:t>(3分)</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基本满意</w:t>
            </w:r>
          </w:p>
          <w:p>
            <w:pPr>
              <w:pStyle w:val="48"/>
              <w:rPr>
                <w:b/>
                <w:bCs/>
                <w:color w:val="auto"/>
                <w:sz w:val="24"/>
                <w:highlight w:val="none"/>
              </w:rPr>
            </w:pPr>
            <w:r>
              <w:rPr>
                <w:rFonts w:hint="eastAsia"/>
                <w:b/>
                <w:bCs/>
                <w:color w:val="auto"/>
                <w:sz w:val="24"/>
                <w:highlight w:val="none"/>
              </w:rPr>
              <w:t>(2分)</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一般</w:t>
            </w:r>
          </w:p>
          <w:p>
            <w:pPr>
              <w:pStyle w:val="48"/>
              <w:rPr>
                <w:b/>
                <w:bCs/>
                <w:color w:val="auto"/>
                <w:sz w:val="24"/>
                <w:highlight w:val="none"/>
              </w:rPr>
            </w:pPr>
            <w:r>
              <w:rPr>
                <w:rFonts w:hint="eastAsia"/>
                <w:b/>
                <w:bCs/>
                <w:color w:val="auto"/>
                <w:sz w:val="24"/>
                <w:highlight w:val="none"/>
              </w:rPr>
              <w:t>(1分)</w:t>
            </w:r>
          </w:p>
        </w:tc>
        <w:tc>
          <w:tcPr>
            <w:tcW w:w="131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不满意</w:t>
            </w:r>
          </w:p>
          <w:p>
            <w:pPr>
              <w:pStyle w:val="48"/>
              <w:rPr>
                <w:b/>
                <w:bCs/>
                <w:color w:val="auto"/>
                <w:sz w:val="24"/>
                <w:highlight w:val="none"/>
              </w:rPr>
            </w:pPr>
            <w:r>
              <w:rPr>
                <w:rFonts w:hint="eastAsia"/>
                <w:b/>
                <w:bCs/>
                <w:color w:val="auto"/>
                <w:sz w:val="24"/>
                <w:highlight w:val="none"/>
              </w:rPr>
              <w:t>(0分)</w:t>
            </w:r>
          </w:p>
        </w:tc>
      </w:tr>
      <w:tr>
        <w:tblPrEx>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1</w:t>
            </w:r>
          </w:p>
        </w:tc>
        <w:tc>
          <w:tcPr>
            <w:tcW w:w="2071"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政府采购信息公告</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r>
      <w:tr>
        <w:tblPrEx>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2</w:t>
            </w:r>
          </w:p>
        </w:tc>
        <w:tc>
          <w:tcPr>
            <w:tcW w:w="2071"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询问答复</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r>
      <w:tr>
        <w:tblPrEx>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3</w:t>
            </w:r>
          </w:p>
        </w:tc>
        <w:tc>
          <w:tcPr>
            <w:tcW w:w="2071"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质疑答复</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r>
      <w:tr>
        <w:tblPrEx>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4</w:t>
            </w:r>
          </w:p>
        </w:tc>
        <w:tc>
          <w:tcPr>
            <w:tcW w:w="2071"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r>
              <w:rPr>
                <w:rFonts w:hint="eastAsia"/>
                <w:b/>
                <w:bCs/>
                <w:color w:val="auto"/>
                <w:sz w:val="24"/>
                <w:highlight w:val="none"/>
              </w:rPr>
              <w:t>服务态度</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pStyle w:val="48"/>
              <w:rPr>
                <w:b/>
                <w:bCs/>
                <w:color w:val="auto"/>
                <w:sz w:val="24"/>
                <w:highlight w:val="none"/>
              </w:rPr>
            </w:pPr>
          </w:p>
        </w:tc>
      </w:tr>
      <w:tr>
        <w:tblPrEx>
          <w:tblCellMar>
            <w:top w:w="15" w:type="dxa"/>
            <w:left w:w="15" w:type="dxa"/>
            <w:bottom w:w="15" w:type="dxa"/>
            <w:right w:w="15" w:type="dxa"/>
          </w:tblCellMar>
        </w:tblPrEx>
        <w:trPr>
          <w:trHeight w:val="480" w:hRule="atLeast"/>
          <w:jc w:val="center"/>
        </w:trPr>
        <w:tc>
          <w:tcPr>
            <w:tcW w:w="8331" w:type="dxa"/>
            <w:gridSpan w:val="6"/>
            <w:tcBorders>
              <w:top w:val="single" w:color="000000" w:sz="4" w:space="0"/>
              <w:left w:val="single" w:color="000000" w:sz="4" w:space="0"/>
              <w:bottom w:val="single" w:color="000000" w:sz="4" w:space="0"/>
              <w:right w:val="single" w:color="000000" w:sz="4" w:space="0"/>
            </w:tcBorders>
            <w:vAlign w:val="center"/>
          </w:tcPr>
          <w:p>
            <w:pPr>
              <w:pStyle w:val="49"/>
              <w:ind w:left="42"/>
              <w:jc w:val="left"/>
              <w:rPr>
                <w:b/>
                <w:bCs/>
                <w:color w:val="auto"/>
                <w:sz w:val="24"/>
                <w:highlight w:val="none"/>
              </w:rPr>
            </w:pPr>
            <w:r>
              <w:rPr>
                <w:rFonts w:hint="eastAsia"/>
                <w:b/>
                <w:bCs/>
                <w:color w:val="auto"/>
                <w:sz w:val="24"/>
                <w:highlight w:val="none"/>
              </w:rPr>
              <w:t>对代理机构工作的其他建议：</w:t>
            </w:r>
          </w:p>
        </w:tc>
      </w:tr>
      <w:tr>
        <w:tblPrEx>
          <w:tblCellMar>
            <w:top w:w="15" w:type="dxa"/>
            <w:left w:w="15" w:type="dxa"/>
            <w:bottom w:w="15" w:type="dxa"/>
            <w:right w:w="15" w:type="dxa"/>
          </w:tblCellMar>
        </w:tblPrEx>
        <w:trPr>
          <w:trHeight w:val="2001" w:hRule="atLeast"/>
          <w:jc w:val="center"/>
        </w:trPr>
        <w:tc>
          <w:tcPr>
            <w:tcW w:w="8331" w:type="dxa"/>
            <w:gridSpan w:val="6"/>
            <w:tcBorders>
              <w:top w:val="single" w:color="000000" w:sz="4" w:space="0"/>
              <w:left w:val="single" w:color="000000" w:sz="4" w:space="0"/>
              <w:bottom w:val="single" w:color="000000" w:sz="4" w:space="0"/>
              <w:right w:val="single" w:color="000000" w:sz="4" w:space="0"/>
            </w:tcBorders>
            <w:vAlign w:val="center"/>
          </w:tcPr>
          <w:p>
            <w:pPr>
              <w:pStyle w:val="49"/>
              <w:ind w:left="42"/>
              <w:jc w:val="center"/>
              <w:rPr>
                <w:b/>
                <w:bCs/>
                <w:color w:val="auto"/>
                <w:sz w:val="24"/>
                <w:highlight w:val="none"/>
              </w:rPr>
            </w:pPr>
          </w:p>
        </w:tc>
      </w:tr>
      <w:tr>
        <w:tblPrEx>
          <w:tblCellMar>
            <w:top w:w="15" w:type="dxa"/>
            <w:left w:w="15" w:type="dxa"/>
            <w:bottom w:w="15" w:type="dxa"/>
            <w:right w:w="15" w:type="dxa"/>
          </w:tblCellMar>
        </w:tblPrEx>
        <w:trPr>
          <w:trHeight w:val="811" w:hRule="atLeast"/>
          <w:jc w:val="center"/>
        </w:trPr>
        <w:tc>
          <w:tcPr>
            <w:tcW w:w="8331" w:type="dxa"/>
            <w:gridSpan w:val="6"/>
            <w:tcBorders>
              <w:top w:val="single" w:color="000000" w:sz="4" w:space="0"/>
              <w:left w:val="single" w:color="000000" w:sz="4" w:space="0"/>
              <w:bottom w:val="single" w:color="000000" w:sz="4" w:space="0"/>
              <w:right w:val="single" w:color="000000" w:sz="4" w:space="0"/>
            </w:tcBorders>
            <w:vAlign w:val="center"/>
          </w:tcPr>
          <w:p>
            <w:pPr>
              <w:pStyle w:val="49"/>
              <w:ind w:left="42"/>
              <w:rPr>
                <w:b/>
                <w:bCs/>
                <w:color w:val="auto"/>
                <w:sz w:val="24"/>
                <w:highlight w:val="none"/>
              </w:rPr>
            </w:pPr>
            <w:r>
              <w:rPr>
                <w:rFonts w:hint="eastAsia"/>
                <w:b/>
                <w:bCs/>
                <w:color w:val="auto"/>
                <w:sz w:val="24"/>
                <w:highlight w:val="none"/>
              </w:rPr>
              <w:t>供应商名称：</w:t>
            </w:r>
            <w:r>
              <w:rPr>
                <w:rFonts w:hint="eastAsia"/>
                <w:b/>
                <w:bCs/>
                <w:color w:val="auto"/>
                <w:sz w:val="24"/>
                <w:highlight w:val="none"/>
                <w:u w:val="single"/>
              </w:rPr>
              <w:t xml:space="preserve">                     </w:t>
            </w:r>
            <w:r>
              <w:rPr>
                <w:rFonts w:hint="eastAsia"/>
                <w:b/>
                <w:bCs/>
                <w:color w:val="auto"/>
                <w:sz w:val="24"/>
                <w:highlight w:val="none"/>
              </w:rPr>
              <w:t>(加盖鲜章)</w:t>
            </w:r>
          </w:p>
        </w:tc>
      </w:tr>
    </w:tbl>
    <w:p>
      <w:pPr>
        <w:pStyle w:val="2"/>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说明：1.请贵公司根据代理机构对本采购项目的实际情况，在“满意”、“基本满意”、“一般”、“不满意”四个评价档次栏中选取一栏打“√”，并加盖鲜章。</w:t>
      </w:r>
    </w:p>
    <w:p>
      <w:pPr>
        <w:pStyle w:val="2"/>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2.请贵公司于开标当日将此表原件交至代理机构工作人员。（不作为实质性要求，不作为评审依据）</w:t>
      </w:r>
    </w:p>
    <w:p>
      <w:pPr>
        <w:rPr>
          <w:color w:val="auto"/>
          <w:highlight w:val="none"/>
        </w:rPr>
      </w:pPr>
    </w:p>
    <w:p>
      <w:pPr>
        <w:pStyle w:val="2"/>
        <w:ind w:firstLine="560" w:firstLineChars="200"/>
        <w:rPr>
          <w:color w:val="auto"/>
          <w:highlight w:val="none"/>
        </w:rPr>
      </w:pPr>
    </w:p>
    <w:sectPr>
      <w:headerReference r:id="rId9" w:type="default"/>
      <w:footerReference r:id="rId10" w:type="default"/>
      <w:pgSz w:w="11850" w:h="16783"/>
      <w:pgMar w:top="1440" w:right="1304" w:bottom="1440" w:left="1417" w:header="851" w:footer="992"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à.ā">
    <w:altName w:val="黑体"/>
    <w:panose1 w:val="020B0604020202020204"/>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B0604020202020204"/>
    <w:charset w:val="86"/>
    <w:family w:val="script"/>
    <w:pitch w:val="default"/>
    <w:sig w:usb0="00000000" w:usb1="00000000" w:usb2="00000000" w:usb3="00000000" w:csb0="00040000" w:csb1="00000000"/>
  </w:font>
  <w:font w:name="方正小标宋_GBK">
    <w:altName w:val="微软雅黑"/>
    <w:panose1 w:val="020B0604020202020204"/>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oS99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rSiwzOPDT74fTn3+nv79I&#10;leTpPdSYdecxLw6f3YBLM98DXibWgwwmfZEPwTiKezyLK4ZIeCpaVstliSGOsdlB/OKx3AeIX4Qz&#10;JBkNDTi9LCo7fIM4ps4p6TXrbpTWeYLakr6hny6ry1xwjiC4tilX5F2YYBKlsfVkxWE7TDy3rj0i&#10;zR73oaEW158S/dWi3Gl1ZiPMxnYyEj74633EfnKbCXWEQnrJweFlotOipe146uesx5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hoS99ABAACkAwAADgAAAAAAAAABACAAAAAeAQAAZHJz&#10;L2Uyb0RvYy54bWxQSwUGAAAAAAYABgBZAQAAY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- 44 -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MYb9ABAACkAwAADgAAAGRycy9lMm9Eb2MueG1srVPNjtMwEL4j8Q6W&#10;7zTZSsuW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DieMWB37+8f388/f51zdy&#10;k+XpAzSYdR8wLw3v/IBLM98DXmbWg4o2f5EPwTiKe7qIK4dERC5aLVerGkMCY7OD+NVjeYiQ3ktv&#10;STYYjTi9Iio/foQ0ps4p+TXn77QxZYLGkZ7RN9fL6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2MYb9ABAACkAwAADgAAAAAAAAABACAAAAAeAQAAZHJz&#10;L2Uyb0RvYy54bWxQSwUGAAAAAAYABgBZAQAAY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- 48 -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0GWM8BAACkAwAADgAAAGRycy9lMm9Eb2MueG1srVPNjtMwEL4j8Q6W&#10;7zTZSkUlqrsCVYuQECAt+wCuYzeW/CeP26QvAG/AiQt3nqvPwdhJumi57IGLM+OZ+TzfN5PN7WAN&#10;OckI2jtGbxY1JdIJ32p3YPTh692rNSWQuGu58U4yepZAb7cvX2z60Mil77xpZSQI4qDpA6NdSqGp&#10;KhCdtBwWPkiHQeWj5QndeKjayHtEt6Za1vXrqvexDdELCYC3uzFIJ8T4HECvlBZy58XRSpdG1CgN&#10;T0gJOh2Abku3SkmRPisFMhHDKDJN5cRH0N7ns9pueHOIPHRaTC3w57TwhJPl2uGjV6gdT5wco/4H&#10;ymoRPXiVFsLbaiRSFEEWN/UTbe47HmThglJDuIoO/w9WfDp9iUS3jK4ocdziwC8/vl9+/r78+kZW&#10;WZ4+QINZ9wHz0vDOD7g08z3gZWY9qGjzF/kQjKO456u4ckhE5KL1cr2uMSQwNjuIXz2WhwjpvfSW&#10;ZIPRiNMrovLTR0hj6pySX3P+ThtTJmgc6Rl9s1quSsE1guDG5VxZdmGCyZTG1rOVhv0w8dz79ow0&#10;e9wHRh2uPyXmg0O58+rMRpyN/WRkfAhvjwn7KW1m1BEK6WUHh1eITouWt+Nvv2Q9/l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MrQZYzwEAAKQDAAAOAAAAAAAAAAEAIAAAAB4BAABkcnMv&#10;ZTJvRG9jLnhtbFBLBQYAAAAABgAGAFkBAABf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Pr>
    </w:pPr>
    <w:r>
      <w:fldChar w:fldCharType="begin"/>
    </w:r>
    <w:r>
      <w:rPr>
        <w:rStyle w:val="22"/>
      </w:rPr>
      <w:instrText xml:space="preserve">PAGE  </w:instrText>
    </w:r>
    <w:r>
      <w:fldChar w:fldCharType="end"/>
    </w:r>
  </w:p>
  <w:p>
    <w:pPr>
      <w:pStyle w:val="1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- 61 -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53HNABAACkAwAADgAAAGRycy9lMm9Eb2MueG1srVNLbtswEN0X6B0I&#10;7mspBlKoguUghZGiQJEWSHMAmiItAvyBQ1vyBZobdNVN9z2Xz9EhJTlBsskiG2qGM/M4781odTUY&#10;TQ4igHK2oReLkhJhuWuV3TX0/ufNh4oSiMy2TDsrGnoUQK/W79+tel+LpeucbkUgCGKh7n1Duxh9&#10;XRTAO2EYLJwXFoPSBcMiumFXtIH1iG50sSzLj0XvQuuD4wIAbzdjkE6I4TWATkrFxcbxvRE2jqhB&#10;aBaREnTKA13nbqUUPH6XEkQkuqHINOYTH0F7m85ivWL1LjDfKT61wF7TwjNOhimLj56hNiwysg/q&#10;BZRRPDhwMi64M8VIJCuCLC7KZ9rcdcyLzAWlBn8WHd4Olt8efgSi2obi2C0zOPDT74fTn3+nv79I&#10;leTpPdSYdecxLw6f3YBLM98DXibWgwwmfZEPwTiKezyLK4ZIeCqqllVVYohjbHYQv3gs9wHiF+EM&#10;SUZDA04vi8oO3yCOqXNKes26G6V1nqC2pG/op8vlZS44RxBc25Qr8i5MMInS2Hqy4rAdJp5b1x6R&#10;Zo/70FCL60+J/mpR7rQ6sxFmYzsZCR/89T5iP7nNhDpCIb3k4PAy0WnR0nY89XPW48+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e53HNABAACkAwAADgAAAAAAAAABACAAAAAeAQAAZHJz&#10;L2Uyb0RvYy54bWxQSwUGAAAAAAYABgBZAQAAY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- 61 -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900" w:firstLineChars="5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79F54"/>
    <w:multiLevelType w:val="singleLevel"/>
    <w:tmpl w:val="8D279F54"/>
    <w:lvl w:ilvl="0" w:tentative="0">
      <w:start w:val="3"/>
      <w:numFmt w:val="chineseCounting"/>
      <w:suff w:val="nothing"/>
      <w:lvlText w:val="（%1）"/>
      <w:lvlJc w:val="left"/>
      <w:rPr>
        <w:rFonts w:hint="eastAsia"/>
      </w:rPr>
    </w:lvl>
  </w:abstractNum>
  <w:abstractNum w:abstractNumId="1">
    <w:nsid w:val="928CF0EE"/>
    <w:multiLevelType w:val="singleLevel"/>
    <w:tmpl w:val="928CF0EE"/>
    <w:lvl w:ilvl="0" w:tentative="0">
      <w:start w:val="2"/>
      <w:numFmt w:val="decimal"/>
      <w:suff w:val="nothing"/>
      <w:lvlText w:val="%1、"/>
      <w:lvlJc w:val="left"/>
    </w:lvl>
  </w:abstractNum>
  <w:abstractNum w:abstractNumId="2">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4"/>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18A1C06"/>
    <w:multiLevelType w:val="singleLevel"/>
    <w:tmpl w:val="C18A1C06"/>
    <w:lvl w:ilvl="0" w:tentative="0">
      <w:start w:val="1"/>
      <w:numFmt w:val="decimal"/>
      <w:lvlText w:val="(%1)"/>
      <w:lvlJc w:val="left"/>
      <w:pPr>
        <w:ind w:left="425" w:hanging="425"/>
      </w:pPr>
      <w:rPr>
        <w:rFonts w:hint="default"/>
      </w:rPr>
    </w:lvl>
  </w:abstractNum>
  <w:abstractNum w:abstractNumId="4">
    <w:nsid w:val="CB9DE0CB"/>
    <w:multiLevelType w:val="singleLevel"/>
    <w:tmpl w:val="CB9DE0CB"/>
    <w:lvl w:ilvl="0" w:tentative="0">
      <w:start w:val="2"/>
      <w:numFmt w:val="chineseCounting"/>
      <w:suff w:val="nothing"/>
      <w:lvlText w:val="%1、"/>
      <w:lvlJc w:val="left"/>
      <w:rPr>
        <w:rFonts w:hint="eastAsia"/>
      </w:rPr>
    </w:lvl>
  </w:abstractNum>
  <w:abstractNum w:abstractNumId="5">
    <w:nsid w:val="DC4D1DAE"/>
    <w:multiLevelType w:val="singleLevel"/>
    <w:tmpl w:val="DC4D1DAE"/>
    <w:lvl w:ilvl="0" w:tentative="0">
      <w:start w:val="2"/>
      <w:numFmt w:val="chineseCounting"/>
      <w:lvlText w:val="(%1)"/>
      <w:lvlJc w:val="left"/>
      <w:pPr>
        <w:tabs>
          <w:tab w:val="left" w:pos="312"/>
        </w:tabs>
      </w:pPr>
      <w:rPr>
        <w:rFonts w:hint="eastAsia"/>
      </w:rPr>
    </w:lvl>
  </w:abstractNum>
  <w:abstractNum w:abstractNumId="6">
    <w:nsid w:val="EECA97B7"/>
    <w:multiLevelType w:val="singleLevel"/>
    <w:tmpl w:val="EECA97B7"/>
    <w:lvl w:ilvl="0" w:tentative="0">
      <w:start w:val="6"/>
      <w:numFmt w:val="chineseCounting"/>
      <w:suff w:val="space"/>
      <w:lvlText w:val="第%1章"/>
      <w:lvlJc w:val="left"/>
      <w:rPr>
        <w:rFonts w:hint="eastAsia"/>
      </w:rPr>
    </w:lvl>
  </w:abstractNum>
  <w:abstractNum w:abstractNumId="7">
    <w:nsid w:val="34639042"/>
    <w:multiLevelType w:val="singleLevel"/>
    <w:tmpl w:val="34639042"/>
    <w:lvl w:ilvl="0" w:tentative="0">
      <w:start w:val="1"/>
      <w:numFmt w:val="chineseCounting"/>
      <w:suff w:val="nothing"/>
      <w:lvlText w:val="%1、"/>
      <w:lvlJc w:val="left"/>
      <w:rPr>
        <w:rFonts w:hint="eastAsia"/>
      </w:r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8"/>
  </w:num>
  <w:num w:numId="2">
    <w:abstractNumId w:val="2"/>
  </w:num>
  <w:num w:numId="3">
    <w:abstractNumId w:val="7"/>
  </w:num>
  <w:num w:numId="4">
    <w:abstractNumId w:val="4"/>
  </w:num>
  <w:num w:numId="5">
    <w:abstractNumId w:val="3"/>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A43D5"/>
    <w:rsid w:val="00012F01"/>
    <w:rsid w:val="00030EA7"/>
    <w:rsid w:val="00031832"/>
    <w:rsid w:val="000543C3"/>
    <w:rsid w:val="000567E4"/>
    <w:rsid w:val="000B640B"/>
    <w:rsid w:val="000D71C9"/>
    <w:rsid w:val="001060AE"/>
    <w:rsid w:val="00112A4C"/>
    <w:rsid w:val="00131818"/>
    <w:rsid w:val="00147A75"/>
    <w:rsid w:val="001A1816"/>
    <w:rsid w:val="001C041D"/>
    <w:rsid w:val="001D12C7"/>
    <w:rsid w:val="00207A31"/>
    <w:rsid w:val="00211670"/>
    <w:rsid w:val="00212FB0"/>
    <w:rsid w:val="00227F52"/>
    <w:rsid w:val="00241789"/>
    <w:rsid w:val="002515A1"/>
    <w:rsid w:val="00256F06"/>
    <w:rsid w:val="00260894"/>
    <w:rsid w:val="00276F8F"/>
    <w:rsid w:val="00297564"/>
    <w:rsid w:val="002A0E49"/>
    <w:rsid w:val="002B0E1B"/>
    <w:rsid w:val="002B58EB"/>
    <w:rsid w:val="002D36A7"/>
    <w:rsid w:val="002E458C"/>
    <w:rsid w:val="003564E7"/>
    <w:rsid w:val="00362497"/>
    <w:rsid w:val="00370F37"/>
    <w:rsid w:val="00383384"/>
    <w:rsid w:val="0039517C"/>
    <w:rsid w:val="0039652D"/>
    <w:rsid w:val="003A574C"/>
    <w:rsid w:val="003B4D8F"/>
    <w:rsid w:val="003F6BDD"/>
    <w:rsid w:val="0040135F"/>
    <w:rsid w:val="004025D5"/>
    <w:rsid w:val="0043307F"/>
    <w:rsid w:val="0043596E"/>
    <w:rsid w:val="004440FC"/>
    <w:rsid w:val="00464430"/>
    <w:rsid w:val="004644F5"/>
    <w:rsid w:val="00485A89"/>
    <w:rsid w:val="004A0B1C"/>
    <w:rsid w:val="004D319B"/>
    <w:rsid w:val="0054671F"/>
    <w:rsid w:val="00555A90"/>
    <w:rsid w:val="00560802"/>
    <w:rsid w:val="00562251"/>
    <w:rsid w:val="00581331"/>
    <w:rsid w:val="00582BA9"/>
    <w:rsid w:val="00583139"/>
    <w:rsid w:val="00595880"/>
    <w:rsid w:val="005A168A"/>
    <w:rsid w:val="005C47E1"/>
    <w:rsid w:val="005C562F"/>
    <w:rsid w:val="00613BAB"/>
    <w:rsid w:val="0061657E"/>
    <w:rsid w:val="00644A4A"/>
    <w:rsid w:val="0065051F"/>
    <w:rsid w:val="00684DAC"/>
    <w:rsid w:val="006A51FB"/>
    <w:rsid w:val="006B0398"/>
    <w:rsid w:val="006E7840"/>
    <w:rsid w:val="00701505"/>
    <w:rsid w:val="007029AE"/>
    <w:rsid w:val="0070321D"/>
    <w:rsid w:val="007348A2"/>
    <w:rsid w:val="0073639D"/>
    <w:rsid w:val="007940AD"/>
    <w:rsid w:val="00795C81"/>
    <w:rsid w:val="007C3570"/>
    <w:rsid w:val="007C36D6"/>
    <w:rsid w:val="007C4D21"/>
    <w:rsid w:val="007D2CE7"/>
    <w:rsid w:val="00805F9B"/>
    <w:rsid w:val="0082633D"/>
    <w:rsid w:val="008309F2"/>
    <w:rsid w:val="008411A7"/>
    <w:rsid w:val="00851B24"/>
    <w:rsid w:val="00852910"/>
    <w:rsid w:val="00875B40"/>
    <w:rsid w:val="008832E5"/>
    <w:rsid w:val="008954E4"/>
    <w:rsid w:val="008B3A07"/>
    <w:rsid w:val="008B4D98"/>
    <w:rsid w:val="008B71A9"/>
    <w:rsid w:val="008D1C90"/>
    <w:rsid w:val="008F4F70"/>
    <w:rsid w:val="009014A8"/>
    <w:rsid w:val="00902EF2"/>
    <w:rsid w:val="0093340C"/>
    <w:rsid w:val="0094222E"/>
    <w:rsid w:val="00957CBA"/>
    <w:rsid w:val="00973B77"/>
    <w:rsid w:val="00973F65"/>
    <w:rsid w:val="009748FD"/>
    <w:rsid w:val="009900D9"/>
    <w:rsid w:val="00991E61"/>
    <w:rsid w:val="00992668"/>
    <w:rsid w:val="009C181E"/>
    <w:rsid w:val="009C2E5B"/>
    <w:rsid w:val="009C4B25"/>
    <w:rsid w:val="009C5753"/>
    <w:rsid w:val="009D5242"/>
    <w:rsid w:val="009E7A78"/>
    <w:rsid w:val="009F5EBD"/>
    <w:rsid w:val="00A011E0"/>
    <w:rsid w:val="00A01CE0"/>
    <w:rsid w:val="00A079D8"/>
    <w:rsid w:val="00A239F0"/>
    <w:rsid w:val="00A35D49"/>
    <w:rsid w:val="00A5476D"/>
    <w:rsid w:val="00AA0CF6"/>
    <w:rsid w:val="00AA1FBC"/>
    <w:rsid w:val="00AB0947"/>
    <w:rsid w:val="00AB1822"/>
    <w:rsid w:val="00AE545B"/>
    <w:rsid w:val="00AE58FC"/>
    <w:rsid w:val="00B32520"/>
    <w:rsid w:val="00B41E6C"/>
    <w:rsid w:val="00B622C7"/>
    <w:rsid w:val="00B63692"/>
    <w:rsid w:val="00B811D0"/>
    <w:rsid w:val="00B85D54"/>
    <w:rsid w:val="00B86D4C"/>
    <w:rsid w:val="00BC076D"/>
    <w:rsid w:val="00BC2A67"/>
    <w:rsid w:val="00BD6D6C"/>
    <w:rsid w:val="00C24025"/>
    <w:rsid w:val="00C247FB"/>
    <w:rsid w:val="00C528EA"/>
    <w:rsid w:val="00C5343E"/>
    <w:rsid w:val="00C542D2"/>
    <w:rsid w:val="00CA2B3E"/>
    <w:rsid w:val="00CA5EC5"/>
    <w:rsid w:val="00CB451E"/>
    <w:rsid w:val="00CD4AA9"/>
    <w:rsid w:val="00CD548B"/>
    <w:rsid w:val="00CE19E1"/>
    <w:rsid w:val="00CE2853"/>
    <w:rsid w:val="00D208C5"/>
    <w:rsid w:val="00D36ADF"/>
    <w:rsid w:val="00D41E16"/>
    <w:rsid w:val="00D4372C"/>
    <w:rsid w:val="00DA7C7E"/>
    <w:rsid w:val="00DC21C7"/>
    <w:rsid w:val="00DC4741"/>
    <w:rsid w:val="00E02BF5"/>
    <w:rsid w:val="00E1047E"/>
    <w:rsid w:val="00E242B6"/>
    <w:rsid w:val="00E315E9"/>
    <w:rsid w:val="00E33D02"/>
    <w:rsid w:val="00E5050F"/>
    <w:rsid w:val="00E702E8"/>
    <w:rsid w:val="00E7133A"/>
    <w:rsid w:val="00EA0474"/>
    <w:rsid w:val="00EF27D5"/>
    <w:rsid w:val="00EF36E2"/>
    <w:rsid w:val="00F51264"/>
    <w:rsid w:val="00F52B10"/>
    <w:rsid w:val="00F603BE"/>
    <w:rsid w:val="00F927FD"/>
    <w:rsid w:val="00F96971"/>
    <w:rsid w:val="00FA3C2C"/>
    <w:rsid w:val="00FA3C8A"/>
    <w:rsid w:val="00FC1DCC"/>
    <w:rsid w:val="00FC2C55"/>
    <w:rsid w:val="00FC42D1"/>
    <w:rsid w:val="00FD0F6F"/>
    <w:rsid w:val="00FF37B4"/>
    <w:rsid w:val="01507077"/>
    <w:rsid w:val="015361BF"/>
    <w:rsid w:val="017B0A51"/>
    <w:rsid w:val="01B43287"/>
    <w:rsid w:val="02836604"/>
    <w:rsid w:val="03761B91"/>
    <w:rsid w:val="03983C53"/>
    <w:rsid w:val="03CD7504"/>
    <w:rsid w:val="03DB109E"/>
    <w:rsid w:val="03EA027C"/>
    <w:rsid w:val="03EA6394"/>
    <w:rsid w:val="0540023A"/>
    <w:rsid w:val="05C44BB2"/>
    <w:rsid w:val="05C76344"/>
    <w:rsid w:val="05D3530E"/>
    <w:rsid w:val="05D83F07"/>
    <w:rsid w:val="065028B0"/>
    <w:rsid w:val="067F1576"/>
    <w:rsid w:val="06A2017F"/>
    <w:rsid w:val="06E351D1"/>
    <w:rsid w:val="06E86908"/>
    <w:rsid w:val="07724FA4"/>
    <w:rsid w:val="07863234"/>
    <w:rsid w:val="0787178A"/>
    <w:rsid w:val="078B5D27"/>
    <w:rsid w:val="078C0E95"/>
    <w:rsid w:val="079C2DB7"/>
    <w:rsid w:val="07E03D24"/>
    <w:rsid w:val="08547AFF"/>
    <w:rsid w:val="08635D00"/>
    <w:rsid w:val="08887497"/>
    <w:rsid w:val="09B3219B"/>
    <w:rsid w:val="0A4C0F5C"/>
    <w:rsid w:val="0A995C6A"/>
    <w:rsid w:val="0AA465B9"/>
    <w:rsid w:val="0B154FC2"/>
    <w:rsid w:val="0B8748A2"/>
    <w:rsid w:val="0BA01D1C"/>
    <w:rsid w:val="0BFD68F2"/>
    <w:rsid w:val="0C125656"/>
    <w:rsid w:val="0CC55188"/>
    <w:rsid w:val="0CC56F81"/>
    <w:rsid w:val="0CC85C93"/>
    <w:rsid w:val="0CD56C1C"/>
    <w:rsid w:val="0D2F4520"/>
    <w:rsid w:val="0DB16F97"/>
    <w:rsid w:val="0DFA261A"/>
    <w:rsid w:val="0E135CE5"/>
    <w:rsid w:val="0E3E268B"/>
    <w:rsid w:val="0E503634"/>
    <w:rsid w:val="0E910577"/>
    <w:rsid w:val="0EA72184"/>
    <w:rsid w:val="0EB469A8"/>
    <w:rsid w:val="0EDD5521"/>
    <w:rsid w:val="0F5E74D4"/>
    <w:rsid w:val="0FD802E2"/>
    <w:rsid w:val="0FDE4CDC"/>
    <w:rsid w:val="10101F72"/>
    <w:rsid w:val="102E20A7"/>
    <w:rsid w:val="105276A1"/>
    <w:rsid w:val="10802135"/>
    <w:rsid w:val="115B6FC0"/>
    <w:rsid w:val="116D0BFC"/>
    <w:rsid w:val="11981D00"/>
    <w:rsid w:val="11DA4B55"/>
    <w:rsid w:val="12371C2C"/>
    <w:rsid w:val="12481913"/>
    <w:rsid w:val="12D84C36"/>
    <w:rsid w:val="133544F6"/>
    <w:rsid w:val="13556DDD"/>
    <w:rsid w:val="137A3233"/>
    <w:rsid w:val="14C57B55"/>
    <w:rsid w:val="14FD5C95"/>
    <w:rsid w:val="154452F5"/>
    <w:rsid w:val="15515026"/>
    <w:rsid w:val="15755396"/>
    <w:rsid w:val="15AE258F"/>
    <w:rsid w:val="15C954C4"/>
    <w:rsid w:val="15D17C46"/>
    <w:rsid w:val="167546E7"/>
    <w:rsid w:val="178D244E"/>
    <w:rsid w:val="17E20242"/>
    <w:rsid w:val="180447D6"/>
    <w:rsid w:val="18416370"/>
    <w:rsid w:val="18512D76"/>
    <w:rsid w:val="189A72DF"/>
    <w:rsid w:val="18AF2CDF"/>
    <w:rsid w:val="18BE00E0"/>
    <w:rsid w:val="19214B48"/>
    <w:rsid w:val="19634927"/>
    <w:rsid w:val="19657371"/>
    <w:rsid w:val="19AE23CB"/>
    <w:rsid w:val="1B1E7852"/>
    <w:rsid w:val="1B544DE1"/>
    <w:rsid w:val="1BFC0A70"/>
    <w:rsid w:val="1C3A6528"/>
    <w:rsid w:val="1C495970"/>
    <w:rsid w:val="1C660557"/>
    <w:rsid w:val="1C9D3F66"/>
    <w:rsid w:val="1CAB197B"/>
    <w:rsid w:val="1CBB2C3C"/>
    <w:rsid w:val="1CDA4D4F"/>
    <w:rsid w:val="1CFD2B56"/>
    <w:rsid w:val="1D356133"/>
    <w:rsid w:val="1D7B4DA9"/>
    <w:rsid w:val="1DCB5493"/>
    <w:rsid w:val="1E0B6D28"/>
    <w:rsid w:val="1E156D56"/>
    <w:rsid w:val="1E6E3FA1"/>
    <w:rsid w:val="1E771524"/>
    <w:rsid w:val="1E8B37F0"/>
    <w:rsid w:val="1EBA2D29"/>
    <w:rsid w:val="1F2B72DA"/>
    <w:rsid w:val="1F2F2A72"/>
    <w:rsid w:val="1F314EFE"/>
    <w:rsid w:val="1F32736C"/>
    <w:rsid w:val="1F5B063B"/>
    <w:rsid w:val="1F6C6291"/>
    <w:rsid w:val="1FBA6DCE"/>
    <w:rsid w:val="1FC14C0C"/>
    <w:rsid w:val="20D11B78"/>
    <w:rsid w:val="20EA7860"/>
    <w:rsid w:val="2117637D"/>
    <w:rsid w:val="212A186B"/>
    <w:rsid w:val="21407D53"/>
    <w:rsid w:val="215A78DB"/>
    <w:rsid w:val="21845E59"/>
    <w:rsid w:val="218E65B3"/>
    <w:rsid w:val="21B82735"/>
    <w:rsid w:val="21DB720F"/>
    <w:rsid w:val="21E35C79"/>
    <w:rsid w:val="222F3393"/>
    <w:rsid w:val="22476F00"/>
    <w:rsid w:val="22B845B7"/>
    <w:rsid w:val="22BB428C"/>
    <w:rsid w:val="23074DD8"/>
    <w:rsid w:val="23301DD3"/>
    <w:rsid w:val="23395BF5"/>
    <w:rsid w:val="233A5BF6"/>
    <w:rsid w:val="23471CFF"/>
    <w:rsid w:val="236E7502"/>
    <w:rsid w:val="23734890"/>
    <w:rsid w:val="23873A23"/>
    <w:rsid w:val="239631F9"/>
    <w:rsid w:val="23C476F6"/>
    <w:rsid w:val="24075CF7"/>
    <w:rsid w:val="247844EB"/>
    <w:rsid w:val="24857B78"/>
    <w:rsid w:val="24FD4F69"/>
    <w:rsid w:val="251754F8"/>
    <w:rsid w:val="2528631F"/>
    <w:rsid w:val="25BC4FA3"/>
    <w:rsid w:val="25BD6947"/>
    <w:rsid w:val="25CE22F5"/>
    <w:rsid w:val="26186B12"/>
    <w:rsid w:val="263D57D9"/>
    <w:rsid w:val="26C16B99"/>
    <w:rsid w:val="26D838A5"/>
    <w:rsid w:val="272161E7"/>
    <w:rsid w:val="27FB2CE6"/>
    <w:rsid w:val="285927F1"/>
    <w:rsid w:val="28BD314E"/>
    <w:rsid w:val="28CD3A09"/>
    <w:rsid w:val="290D30D7"/>
    <w:rsid w:val="29110057"/>
    <w:rsid w:val="29B91B11"/>
    <w:rsid w:val="2A12563C"/>
    <w:rsid w:val="2A604417"/>
    <w:rsid w:val="2A6B2554"/>
    <w:rsid w:val="2A6B4244"/>
    <w:rsid w:val="2AA91CAC"/>
    <w:rsid w:val="2B10501A"/>
    <w:rsid w:val="2B95222F"/>
    <w:rsid w:val="2BAF5EE1"/>
    <w:rsid w:val="2BB033E6"/>
    <w:rsid w:val="2C076B42"/>
    <w:rsid w:val="2C5E6EB3"/>
    <w:rsid w:val="2C885139"/>
    <w:rsid w:val="2CB94C34"/>
    <w:rsid w:val="2CE60384"/>
    <w:rsid w:val="2CF917A8"/>
    <w:rsid w:val="2D274AC5"/>
    <w:rsid w:val="2D743EC1"/>
    <w:rsid w:val="2DB24C23"/>
    <w:rsid w:val="2DCF5A56"/>
    <w:rsid w:val="2E185E3E"/>
    <w:rsid w:val="2E7308E2"/>
    <w:rsid w:val="2F0B00DD"/>
    <w:rsid w:val="2F611556"/>
    <w:rsid w:val="2F767079"/>
    <w:rsid w:val="2F80004E"/>
    <w:rsid w:val="2FA45E84"/>
    <w:rsid w:val="2FBE78D3"/>
    <w:rsid w:val="301327AB"/>
    <w:rsid w:val="30775589"/>
    <w:rsid w:val="3125096C"/>
    <w:rsid w:val="31392E8B"/>
    <w:rsid w:val="31E3404D"/>
    <w:rsid w:val="3202290F"/>
    <w:rsid w:val="324B7453"/>
    <w:rsid w:val="326128EF"/>
    <w:rsid w:val="32677576"/>
    <w:rsid w:val="32735594"/>
    <w:rsid w:val="32B0126A"/>
    <w:rsid w:val="32B22BB5"/>
    <w:rsid w:val="32CE6295"/>
    <w:rsid w:val="331173A4"/>
    <w:rsid w:val="334D429D"/>
    <w:rsid w:val="33CD5B17"/>
    <w:rsid w:val="34300E4F"/>
    <w:rsid w:val="344A03E0"/>
    <w:rsid w:val="3463024B"/>
    <w:rsid w:val="34980CBE"/>
    <w:rsid w:val="351C6B89"/>
    <w:rsid w:val="35B058F2"/>
    <w:rsid w:val="35E55563"/>
    <w:rsid w:val="362D3772"/>
    <w:rsid w:val="364667DD"/>
    <w:rsid w:val="364C0682"/>
    <w:rsid w:val="36716DEA"/>
    <w:rsid w:val="36913732"/>
    <w:rsid w:val="36AC103B"/>
    <w:rsid w:val="37011865"/>
    <w:rsid w:val="372B31FE"/>
    <w:rsid w:val="37594CFD"/>
    <w:rsid w:val="375D0F21"/>
    <w:rsid w:val="37A41DF4"/>
    <w:rsid w:val="38621CCE"/>
    <w:rsid w:val="386572FE"/>
    <w:rsid w:val="38F3713A"/>
    <w:rsid w:val="39705767"/>
    <w:rsid w:val="39C043B5"/>
    <w:rsid w:val="3A247DEA"/>
    <w:rsid w:val="3A3C681A"/>
    <w:rsid w:val="3A5E5E0B"/>
    <w:rsid w:val="3A681F03"/>
    <w:rsid w:val="3A7F2F89"/>
    <w:rsid w:val="3AC16DBE"/>
    <w:rsid w:val="3AD27AD6"/>
    <w:rsid w:val="3B600B12"/>
    <w:rsid w:val="3C270A76"/>
    <w:rsid w:val="3D911AA7"/>
    <w:rsid w:val="3DAF5D14"/>
    <w:rsid w:val="3DF538FB"/>
    <w:rsid w:val="3E27443A"/>
    <w:rsid w:val="3E914919"/>
    <w:rsid w:val="3EE84FCF"/>
    <w:rsid w:val="3EE9494A"/>
    <w:rsid w:val="3EEB5B54"/>
    <w:rsid w:val="3FA6665D"/>
    <w:rsid w:val="40814253"/>
    <w:rsid w:val="40EF7660"/>
    <w:rsid w:val="40F451C6"/>
    <w:rsid w:val="410E521B"/>
    <w:rsid w:val="41A84D1C"/>
    <w:rsid w:val="41E15103"/>
    <w:rsid w:val="42687D13"/>
    <w:rsid w:val="426C14D6"/>
    <w:rsid w:val="42862F3B"/>
    <w:rsid w:val="42B55C39"/>
    <w:rsid w:val="42C85B9B"/>
    <w:rsid w:val="432319F7"/>
    <w:rsid w:val="4330607F"/>
    <w:rsid w:val="434D2F2B"/>
    <w:rsid w:val="43912DB8"/>
    <w:rsid w:val="439C3521"/>
    <w:rsid w:val="43A7141B"/>
    <w:rsid w:val="43FC4318"/>
    <w:rsid w:val="443B4A8A"/>
    <w:rsid w:val="44FA17FE"/>
    <w:rsid w:val="45457741"/>
    <w:rsid w:val="45952042"/>
    <w:rsid w:val="45E00F6F"/>
    <w:rsid w:val="463B19F7"/>
    <w:rsid w:val="464A52E9"/>
    <w:rsid w:val="467D2FD5"/>
    <w:rsid w:val="46B10697"/>
    <w:rsid w:val="46D26B0F"/>
    <w:rsid w:val="47113FA0"/>
    <w:rsid w:val="487402C3"/>
    <w:rsid w:val="48773F43"/>
    <w:rsid w:val="4878463E"/>
    <w:rsid w:val="48C5783A"/>
    <w:rsid w:val="49222F17"/>
    <w:rsid w:val="4944028F"/>
    <w:rsid w:val="496F1CF6"/>
    <w:rsid w:val="497F67C2"/>
    <w:rsid w:val="49B7581B"/>
    <w:rsid w:val="4AE70EE2"/>
    <w:rsid w:val="4B132466"/>
    <w:rsid w:val="4B250303"/>
    <w:rsid w:val="4B6E15F6"/>
    <w:rsid w:val="4B6F5FD0"/>
    <w:rsid w:val="4BE17268"/>
    <w:rsid w:val="4BE610AE"/>
    <w:rsid w:val="4BED13F1"/>
    <w:rsid w:val="4BF23532"/>
    <w:rsid w:val="4C5A43D5"/>
    <w:rsid w:val="4C8034CF"/>
    <w:rsid w:val="4CB06B51"/>
    <w:rsid w:val="4D3721CB"/>
    <w:rsid w:val="4D67049B"/>
    <w:rsid w:val="4D975D5D"/>
    <w:rsid w:val="4DB85A75"/>
    <w:rsid w:val="4E3D1C09"/>
    <w:rsid w:val="4E3D4764"/>
    <w:rsid w:val="4E8B2071"/>
    <w:rsid w:val="4EF07643"/>
    <w:rsid w:val="4EF3460F"/>
    <w:rsid w:val="4EF4043D"/>
    <w:rsid w:val="4F2F1637"/>
    <w:rsid w:val="4F5D3E6A"/>
    <w:rsid w:val="4FD44001"/>
    <w:rsid w:val="501C7D2E"/>
    <w:rsid w:val="501D21FE"/>
    <w:rsid w:val="50596E88"/>
    <w:rsid w:val="50C87BDE"/>
    <w:rsid w:val="50D128A2"/>
    <w:rsid w:val="50D85F33"/>
    <w:rsid w:val="51390A7C"/>
    <w:rsid w:val="5152260C"/>
    <w:rsid w:val="520C7FA0"/>
    <w:rsid w:val="52240DEE"/>
    <w:rsid w:val="538F040E"/>
    <w:rsid w:val="53A54125"/>
    <w:rsid w:val="53B2556A"/>
    <w:rsid w:val="53BF557A"/>
    <w:rsid w:val="53CE2D8C"/>
    <w:rsid w:val="546B2526"/>
    <w:rsid w:val="54703A23"/>
    <w:rsid w:val="55236FFC"/>
    <w:rsid w:val="564E773E"/>
    <w:rsid w:val="56753C8C"/>
    <w:rsid w:val="568E4FEC"/>
    <w:rsid w:val="56A52DAF"/>
    <w:rsid w:val="56D77730"/>
    <w:rsid w:val="570714FA"/>
    <w:rsid w:val="57797EB0"/>
    <w:rsid w:val="57A969B8"/>
    <w:rsid w:val="57CE747D"/>
    <w:rsid w:val="58070452"/>
    <w:rsid w:val="58144F4B"/>
    <w:rsid w:val="585820EB"/>
    <w:rsid w:val="585E373A"/>
    <w:rsid w:val="58B11CC8"/>
    <w:rsid w:val="59F94AD5"/>
    <w:rsid w:val="5A3436D0"/>
    <w:rsid w:val="5A3903F4"/>
    <w:rsid w:val="5A823454"/>
    <w:rsid w:val="5B27596D"/>
    <w:rsid w:val="5B7C2585"/>
    <w:rsid w:val="5BB41015"/>
    <w:rsid w:val="5C175839"/>
    <w:rsid w:val="5C421D1E"/>
    <w:rsid w:val="5C6A2B77"/>
    <w:rsid w:val="5C7A324F"/>
    <w:rsid w:val="5C8D485A"/>
    <w:rsid w:val="5CBF301A"/>
    <w:rsid w:val="5CFD68CB"/>
    <w:rsid w:val="5D023515"/>
    <w:rsid w:val="5D0F5B3B"/>
    <w:rsid w:val="5D94601D"/>
    <w:rsid w:val="5DB76400"/>
    <w:rsid w:val="5DC62B0E"/>
    <w:rsid w:val="5E326E6B"/>
    <w:rsid w:val="5EC54706"/>
    <w:rsid w:val="5EE07706"/>
    <w:rsid w:val="5F023323"/>
    <w:rsid w:val="5F3E7AA3"/>
    <w:rsid w:val="5FE43612"/>
    <w:rsid w:val="60743C50"/>
    <w:rsid w:val="60931E13"/>
    <w:rsid w:val="60975171"/>
    <w:rsid w:val="60B53BFD"/>
    <w:rsid w:val="60E81E15"/>
    <w:rsid w:val="60FB122F"/>
    <w:rsid w:val="61544812"/>
    <w:rsid w:val="61E15B5A"/>
    <w:rsid w:val="62466F58"/>
    <w:rsid w:val="62594562"/>
    <w:rsid w:val="627D48AE"/>
    <w:rsid w:val="62B87BD2"/>
    <w:rsid w:val="62C342A0"/>
    <w:rsid w:val="636C192D"/>
    <w:rsid w:val="63815C1C"/>
    <w:rsid w:val="63A0062F"/>
    <w:rsid w:val="63F964F3"/>
    <w:rsid w:val="64C5759F"/>
    <w:rsid w:val="64C8434D"/>
    <w:rsid w:val="64CE03A9"/>
    <w:rsid w:val="64D42BAE"/>
    <w:rsid w:val="6537556A"/>
    <w:rsid w:val="65544B09"/>
    <w:rsid w:val="656168FD"/>
    <w:rsid w:val="656D1421"/>
    <w:rsid w:val="65D73042"/>
    <w:rsid w:val="65EC7124"/>
    <w:rsid w:val="6627587E"/>
    <w:rsid w:val="66942B37"/>
    <w:rsid w:val="67BB0136"/>
    <w:rsid w:val="682A02DA"/>
    <w:rsid w:val="68373DF6"/>
    <w:rsid w:val="683E55C8"/>
    <w:rsid w:val="68B7372B"/>
    <w:rsid w:val="68B8300C"/>
    <w:rsid w:val="68BA1B1D"/>
    <w:rsid w:val="691B5EED"/>
    <w:rsid w:val="69883FAB"/>
    <w:rsid w:val="69B64A16"/>
    <w:rsid w:val="69C61948"/>
    <w:rsid w:val="6A12529E"/>
    <w:rsid w:val="6A154D9D"/>
    <w:rsid w:val="6A6716AD"/>
    <w:rsid w:val="6A895990"/>
    <w:rsid w:val="6B234F20"/>
    <w:rsid w:val="6C714ECA"/>
    <w:rsid w:val="6CFD5FB5"/>
    <w:rsid w:val="6D826A3F"/>
    <w:rsid w:val="6DA67AFF"/>
    <w:rsid w:val="6E0F06E5"/>
    <w:rsid w:val="6E116AED"/>
    <w:rsid w:val="6E2E01CB"/>
    <w:rsid w:val="6E5A04A8"/>
    <w:rsid w:val="6EDA356D"/>
    <w:rsid w:val="6F23208A"/>
    <w:rsid w:val="6FFB031D"/>
    <w:rsid w:val="70082EE6"/>
    <w:rsid w:val="70AC5233"/>
    <w:rsid w:val="70CF6446"/>
    <w:rsid w:val="71066105"/>
    <w:rsid w:val="713F4FA7"/>
    <w:rsid w:val="71504EE4"/>
    <w:rsid w:val="71747297"/>
    <w:rsid w:val="719B133F"/>
    <w:rsid w:val="71D63B57"/>
    <w:rsid w:val="72D74B6A"/>
    <w:rsid w:val="72E5627F"/>
    <w:rsid w:val="730E14F5"/>
    <w:rsid w:val="73520C42"/>
    <w:rsid w:val="73812DC2"/>
    <w:rsid w:val="73A17BDD"/>
    <w:rsid w:val="73E106E0"/>
    <w:rsid w:val="740445BC"/>
    <w:rsid w:val="74806098"/>
    <w:rsid w:val="74D963EE"/>
    <w:rsid w:val="756623A9"/>
    <w:rsid w:val="75B10EA6"/>
    <w:rsid w:val="75BD1916"/>
    <w:rsid w:val="75DD623F"/>
    <w:rsid w:val="77452298"/>
    <w:rsid w:val="77834E95"/>
    <w:rsid w:val="779F32D3"/>
    <w:rsid w:val="785A702B"/>
    <w:rsid w:val="787F2915"/>
    <w:rsid w:val="78C446EC"/>
    <w:rsid w:val="78E405C9"/>
    <w:rsid w:val="79577C73"/>
    <w:rsid w:val="796A506B"/>
    <w:rsid w:val="79921A31"/>
    <w:rsid w:val="79DA1882"/>
    <w:rsid w:val="7A2166B1"/>
    <w:rsid w:val="7AA05504"/>
    <w:rsid w:val="7AD059B6"/>
    <w:rsid w:val="7AD3330F"/>
    <w:rsid w:val="7B6A795D"/>
    <w:rsid w:val="7B6C1D48"/>
    <w:rsid w:val="7B934A4E"/>
    <w:rsid w:val="7B9E54B6"/>
    <w:rsid w:val="7BA5609E"/>
    <w:rsid w:val="7BAC19D1"/>
    <w:rsid w:val="7CBB2ED5"/>
    <w:rsid w:val="7D160961"/>
    <w:rsid w:val="7D50468E"/>
    <w:rsid w:val="7D6949C6"/>
    <w:rsid w:val="7DC07C47"/>
    <w:rsid w:val="7DC91087"/>
    <w:rsid w:val="7DE23CED"/>
    <w:rsid w:val="7E8212DC"/>
    <w:rsid w:val="7EA1244C"/>
    <w:rsid w:val="7EA60D2E"/>
    <w:rsid w:val="7EBF492E"/>
    <w:rsid w:val="7EF34B48"/>
    <w:rsid w:val="7EFA3F1E"/>
    <w:rsid w:val="7F1B4FED"/>
    <w:rsid w:val="7F80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0"/>
    <w:pPr>
      <w:spacing w:line="480" w:lineRule="exact"/>
    </w:pPr>
    <w:rPr>
      <w:rFonts w:ascii="仿宋_GB2312" w:hAnsi="Times New Roman" w:eastAsia="仿宋_GB2312"/>
      <w:sz w:val="28"/>
      <w:szCs w:val="28"/>
    </w:rPr>
  </w:style>
  <w:style w:type="paragraph" w:styleId="3">
    <w:name w:val="Body Text First Indent"/>
    <w:basedOn w:val="2"/>
    <w:qFormat/>
    <w:uiPriority w:val="0"/>
    <w:pPr>
      <w:ind w:firstLine="420" w:firstLineChars="100"/>
    </w:pPr>
    <w:rPr>
      <w:rFonts w:hAnsi="宋体"/>
      <w:sz w:val="21"/>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Plain Text"/>
    <w:basedOn w:val="1"/>
    <w:qFormat/>
    <w:uiPriority w:val="0"/>
    <w:pPr>
      <w:autoSpaceDE w:val="0"/>
      <w:autoSpaceDN w:val="0"/>
      <w:adjustRightInd w:val="0"/>
    </w:pPr>
    <w:rPr>
      <w:rFonts w:hAnsi="Tms Rmn" w:cstheme="minorBidi"/>
      <w:szCs w:val="22"/>
    </w:rPr>
  </w:style>
  <w:style w:type="paragraph" w:styleId="12">
    <w:name w:val="Body Text Indent 2"/>
    <w:basedOn w:val="1"/>
    <w:qFormat/>
    <w:uiPriority w:val="0"/>
    <w:pPr>
      <w:spacing w:after="120" w:line="480" w:lineRule="auto"/>
      <w:ind w:left="420" w:leftChars="200"/>
    </w:pPr>
    <w:rPr>
      <w:rFonts w:ascii="Times New Roman" w:hAnsi="Times New Roman"/>
    </w:rPr>
  </w:style>
  <w:style w:type="paragraph" w:styleId="13">
    <w:name w:val="Balloon Text"/>
    <w:basedOn w:val="1"/>
    <w:link w:val="3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0"/>
  </w:style>
  <w:style w:type="paragraph" w:styleId="17">
    <w:name w:val="Subtitle"/>
    <w:basedOn w:val="1"/>
    <w:next w:val="1"/>
    <w:qFormat/>
    <w:uiPriority w:val="0"/>
    <w:rPr>
      <w:sz w:val="28"/>
      <w:szCs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rPr>
      <w:rFonts w:ascii="Times New Roman" w:hAnsi="Times New Roman" w:eastAsia="宋体" w:cs="Times New Roman"/>
    </w:rPr>
  </w:style>
  <w:style w:type="character" w:styleId="23">
    <w:name w:val="Hyperlink"/>
    <w:basedOn w:val="21"/>
    <w:qFormat/>
    <w:uiPriority w:val="0"/>
    <w:rPr>
      <w:rFonts w:ascii="Times New Roman" w:hAnsi="Times New Roman" w:eastAsia="宋体" w:cs="Times New Roman"/>
      <w:color w:val="333333"/>
      <w:u w:val="none"/>
    </w:rPr>
  </w:style>
  <w:style w:type="character" w:styleId="24">
    <w:name w:val="HTML Sample"/>
    <w:basedOn w:val="21"/>
    <w:qFormat/>
    <w:uiPriority w:val="0"/>
    <w:rPr>
      <w:rFonts w:ascii="Courier New" w:hAnsi="Courier New"/>
    </w:rPr>
  </w:style>
  <w:style w:type="paragraph" w:customStyle="1" w:styleId="25">
    <w:name w:val="标题 5（有编号）（绿盟科技）"/>
    <w:basedOn w:val="1"/>
    <w:next w:val="26"/>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Table Paragraph"/>
    <w:basedOn w:val="1"/>
    <w:qFormat/>
    <w:uiPriority w:val="0"/>
    <w:rPr>
      <w:rFonts w:ascii="宋体" w:hAnsi="宋体" w:cs="宋体"/>
      <w:lang w:val="zh-CN" w:bidi="zh-CN"/>
    </w:rPr>
  </w:style>
  <w:style w:type="paragraph" w:customStyle="1" w:styleId="31">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2">
    <w:name w:val="正文首行缩进两字符"/>
    <w:basedOn w:val="1"/>
    <w:qFormat/>
    <w:uiPriority w:val="0"/>
    <w:pPr>
      <w:spacing w:line="360" w:lineRule="auto"/>
      <w:ind w:firstLine="200" w:firstLineChars="200"/>
    </w:pPr>
    <w:rPr>
      <w:rFonts w:ascii="Times New Roman" w:hAnsi="Times New Roman"/>
    </w:rPr>
  </w:style>
  <w:style w:type="paragraph" w:styleId="33">
    <w:name w:val="List Paragraph"/>
    <w:basedOn w:val="1"/>
    <w:qFormat/>
    <w:uiPriority w:val="0"/>
    <w:pPr>
      <w:ind w:firstLine="420" w:firstLineChars="200"/>
    </w:pPr>
  </w:style>
  <w:style w:type="paragraph" w:customStyle="1" w:styleId="34">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5">
    <w:name w:val="标题 2 字符"/>
    <w:qFormat/>
    <w:uiPriority w:val="0"/>
    <w:rPr>
      <w:rFonts w:ascii="Arial" w:hAnsi="Arial" w:eastAsia="黑体" w:cs="Times New Roman"/>
      <w:b/>
      <w:bCs/>
      <w:sz w:val="32"/>
      <w:szCs w:val="32"/>
    </w:rPr>
  </w:style>
  <w:style w:type="paragraph" w:customStyle="1" w:styleId="36">
    <w:name w:val="列出段落1"/>
    <w:basedOn w:val="1"/>
    <w:qFormat/>
    <w:uiPriority w:val="34"/>
    <w:pPr>
      <w:ind w:firstLine="420" w:firstLineChars="200"/>
    </w:pPr>
  </w:style>
  <w:style w:type="character" w:customStyle="1" w:styleId="37">
    <w:name w:val="批注框文本 字符"/>
    <w:basedOn w:val="21"/>
    <w:link w:val="13"/>
    <w:qFormat/>
    <w:uiPriority w:val="0"/>
    <w:rPr>
      <w:rFonts w:ascii="Calibri" w:hAnsi="Calibri" w:eastAsia="宋体" w:cs="Times New Roman"/>
      <w:kern w:val="2"/>
      <w:sz w:val="18"/>
      <w:szCs w:val="18"/>
    </w:rPr>
  </w:style>
  <w:style w:type="character" w:customStyle="1" w:styleId="38">
    <w:name w:val="C503-正文格式 Char"/>
    <w:link w:val="39"/>
    <w:qFormat/>
    <w:uiPriority w:val="0"/>
    <w:rPr>
      <w:rFonts w:ascii="Times New Roman" w:hAnsi="Times New Roman" w:cs="宋体"/>
      <w:kern w:val="2"/>
      <w:sz w:val="24"/>
    </w:rPr>
  </w:style>
  <w:style w:type="paragraph" w:customStyle="1" w:styleId="39">
    <w:name w:val="C503-正文格式"/>
    <w:basedOn w:val="1"/>
    <w:link w:val="38"/>
    <w:qFormat/>
    <w:uiPriority w:val="0"/>
    <w:pPr>
      <w:spacing w:line="360" w:lineRule="auto"/>
      <w:ind w:firstLine="480" w:firstLineChars="200"/>
    </w:pPr>
    <w:rPr>
      <w:rFonts w:ascii="Times New Roman" w:hAnsi="Times New Roman" w:cs="宋体" w:eastAsiaTheme="minorEastAsia"/>
      <w:sz w:val="24"/>
      <w:szCs w:val="20"/>
    </w:rPr>
  </w:style>
  <w:style w:type="character" w:customStyle="1" w:styleId="40">
    <w:name w:val="正文文本 字符"/>
    <w:basedOn w:val="21"/>
    <w:link w:val="2"/>
    <w:qFormat/>
    <w:uiPriority w:val="0"/>
    <w:rPr>
      <w:rFonts w:ascii="仿宋_GB2312" w:hAnsi="Times New Roman" w:eastAsia="仿宋_GB2312" w:cs="Times New Roman"/>
      <w:kern w:val="2"/>
      <w:sz w:val="28"/>
      <w:szCs w:val="28"/>
    </w:rPr>
  </w:style>
  <w:style w:type="paragraph" w:customStyle="1" w:styleId="41">
    <w:name w:val="表格"/>
    <w:basedOn w:val="1"/>
    <w:qFormat/>
    <w:uiPriority w:val="0"/>
    <w:pPr>
      <w:spacing w:line="400" w:lineRule="exact"/>
    </w:pPr>
    <w:rPr>
      <w:rFonts w:ascii="Times New Roman" w:hAnsi="Times New Roman"/>
      <w:sz w:val="24"/>
    </w:rPr>
  </w:style>
  <w:style w:type="character" w:customStyle="1" w:styleId="42">
    <w:name w:val="font31"/>
    <w:basedOn w:val="21"/>
    <w:qFormat/>
    <w:uiPriority w:val="0"/>
    <w:rPr>
      <w:rFonts w:hint="eastAsia" w:ascii="宋体" w:hAnsi="宋体" w:eastAsia="宋体" w:cs="宋体"/>
      <w:color w:val="000000"/>
      <w:sz w:val="21"/>
      <w:szCs w:val="21"/>
      <w:u w:val="none"/>
    </w:rPr>
  </w:style>
  <w:style w:type="character" w:customStyle="1" w:styleId="43">
    <w:name w:val="font11"/>
    <w:basedOn w:val="21"/>
    <w:qFormat/>
    <w:uiPriority w:val="0"/>
    <w:rPr>
      <w:rFonts w:hint="eastAsia" w:ascii="宋体" w:hAnsi="宋体" w:eastAsia="宋体" w:cs="宋体"/>
      <w:color w:val="000000"/>
      <w:sz w:val="20"/>
      <w:szCs w:val="20"/>
      <w:u w:val="none"/>
    </w:rPr>
  </w:style>
  <w:style w:type="paragraph" w:customStyle="1" w:styleId="44">
    <w:name w:val="15、“一、”二级标题"/>
    <w:basedOn w:val="1"/>
    <w:qFormat/>
    <w:uiPriority w:val="0"/>
    <w:pPr>
      <w:numPr>
        <w:ilvl w:val="1"/>
        <w:numId w:val="2"/>
      </w:numPr>
      <w:tabs>
        <w:tab w:val="left" w:pos="0"/>
      </w:tabs>
      <w:wordWrap w:val="0"/>
      <w:topLinePunct/>
      <w:ind w:firstLine="803" w:firstLineChars="200"/>
      <w:outlineLvl w:val="1"/>
    </w:pPr>
    <w:rPr>
      <w:b/>
    </w:rPr>
  </w:style>
  <w:style w:type="paragraph" w:customStyle="1" w:styleId="45">
    <w:name w:val="02、首行缩进2字符正文"/>
    <w:basedOn w:val="1"/>
    <w:qFormat/>
    <w:uiPriority w:val="0"/>
    <w:pPr>
      <w:tabs>
        <w:tab w:val="left" w:pos="0"/>
      </w:tabs>
      <w:wordWrap w:val="0"/>
      <w:topLinePunct/>
      <w:ind w:firstLine="480" w:firstLineChars="200"/>
    </w:pPr>
  </w:style>
  <w:style w:type="paragraph" w:customStyle="1" w:styleId="46">
    <w:name w:val="03、“注：”正文(加粗，首行缩进2字符)"/>
    <w:basedOn w:val="47"/>
    <w:qFormat/>
    <w:uiPriority w:val="0"/>
    <w:pPr>
      <w:tabs>
        <w:tab w:val="left" w:pos="0"/>
      </w:tabs>
      <w:ind w:firstLine="480" w:firstLineChars="200"/>
    </w:pPr>
    <w:rPr>
      <w:b/>
    </w:rPr>
  </w:style>
  <w:style w:type="paragraph" w:customStyle="1" w:styleId="47">
    <w:name w:val="01、普通正文"/>
    <w:basedOn w:val="1"/>
    <w:qFormat/>
    <w:uiPriority w:val="0"/>
    <w:pPr>
      <w:tabs>
        <w:tab w:val="left" w:pos="0"/>
      </w:tabs>
      <w:wordWrap w:val="0"/>
      <w:topLinePunct/>
    </w:pPr>
    <w:rPr>
      <w:snapToGrid w:val="0"/>
    </w:rPr>
  </w:style>
  <w:style w:type="paragraph" w:customStyle="1" w:styleId="48">
    <w:name w:val="13、表格内居中正文"/>
    <w:basedOn w:val="1"/>
    <w:qFormat/>
    <w:uiPriority w:val="0"/>
    <w:pPr>
      <w:tabs>
        <w:tab w:val="left" w:pos="0"/>
      </w:tabs>
      <w:wordWrap w:val="0"/>
      <w:topLinePunct/>
      <w:spacing w:line="360" w:lineRule="exact"/>
      <w:jc w:val="center"/>
    </w:pPr>
  </w:style>
  <w:style w:type="paragraph" w:customStyle="1" w:styleId="49">
    <w:name w:val="12、表格内左对齐正文"/>
    <w:basedOn w:val="1"/>
    <w:qFormat/>
    <w:uiPriority w:val="0"/>
    <w:pPr>
      <w:tabs>
        <w:tab w:val="left" w:pos="0"/>
      </w:tabs>
      <w:wordWrap w:val="0"/>
      <w:topLinePunct/>
      <w:spacing w:line="360" w:lineRule="exact"/>
      <w:ind w:left="48" w:leftChars="20"/>
    </w:pPr>
    <w:rPr>
      <w:snapToGrid w:val="0"/>
    </w:rPr>
  </w:style>
  <w:style w:type="character" w:customStyle="1" w:styleId="50">
    <w:name w:val="font01"/>
    <w:basedOn w:val="21"/>
    <w:qFormat/>
    <w:uiPriority w:val="0"/>
    <w:rPr>
      <w:rFonts w:hint="eastAsia" w:ascii="宋体" w:hAnsi="宋体" w:eastAsia="宋体" w:cs="宋体"/>
      <w:b/>
      <w:color w:val="000000"/>
      <w:sz w:val="20"/>
      <w:szCs w:val="20"/>
      <w:u w:val="none"/>
    </w:rPr>
  </w:style>
  <w:style w:type="character" w:customStyle="1" w:styleId="51">
    <w:name w:val="标题 2 字符1"/>
    <w:link w:val="5"/>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GIF"/><Relationship Id="rId12" Type="http://schemas.openxmlformats.org/officeDocument/2006/relationships/image" Target="media/image1.GI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90</Pages>
  <Words>46350</Words>
  <Characters>48525</Characters>
  <Lines>389</Lines>
  <Paragraphs>109</Paragraphs>
  <TotalTime>32</TotalTime>
  <ScaleCrop>false</ScaleCrop>
  <LinksUpToDate>false</LinksUpToDate>
  <CharactersWithSpaces>50339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2019-10-11T03:00:00Z</dcterms:created>
  <dc:creator>Administrator</dc:creator>
  <cp:lastModifiedBy>吶吶</cp:lastModifiedBy>
  <cp:lastPrinted>2021-03-11T02:03:00Z</cp:lastPrinted>
  <dcterms:modified xsi:type="dcterms:W3CDTF">2021-11-11T06:43:18Z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356850179_btnclosed</vt:lpwstr>
  </property>
  <property fmtid="{D5CDD505-2E9C-101B-9397-08002B2CF9AE}" pid="4" name="ICV">
    <vt:lpwstr>E3A0517E03C548429450D2B31E92D696</vt:lpwstr>
  </property>
</Properties>
</file>