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仿宋" w:hAnsi="仿宋" w:eastAsia="仿宋"/>
          <w:color w:val="auto"/>
          <w:sz w:val="30"/>
          <w:szCs w:val="30"/>
          <w:highlight w:val="none"/>
        </w:rPr>
      </w:pPr>
    </w:p>
    <w:p>
      <w:pPr>
        <w:spacing w:after="0" w:line="360" w:lineRule="auto"/>
        <w:jc w:val="center"/>
        <w:rPr>
          <w:rFonts w:ascii="仿宋" w:hAnsi="仿宋" w:eastAsia="仿宋"/>
          <w:color w:val="auto"/>
          <w:sz w:val="30"/>
          <w:szCs w:val="30"/>
          <w:highlight w:val="none"/>
        </w:rPr>
      </w:pPr>
    </w:p>
    <w:p>
      <w:pPr>
        <w:spacing w:after="0" w:line="360" w:lineRule="auto"/>
        <w:jc w:val="center"/>
        <w:rPr>
          <w:rFonts w:ascii="仿宋" w:hAnsi="仿宋" w:eastAsia="仿宋"/>
          <w:color w:val="auto"/>
          <w:sz w:val="30"/>
          <w:szCs w:val="30"/>
          <w:highlight w:val="none"/>
        </w:rPr>
      </w:pPr>
    </w:p>
    <w:p>
      <w:pPr>
        <w:spacing w:after="0" w:line="360" w:lineRule="auto"/>
        <w:jc w:val="center"/>
        <w:rPr>
          <w:rFonts w:hint="eastAsia" w:ascii="Times New Roman" w:hAnsi="Times New Roman" w:eastAsia="仿宋"/>
          <w:color w:val="auto"/>
          <w:sz w:val="32"/>
          <w:szCs w:val="32"/>
          <w:highlight w:val="none"/>
          <w:lang w:val="en-US" w:eastAsia="zh-CN"/>
        </w:rPr>
      </w:pPr>
      <w:r>
        <w:rPr>
          <w:rFonts w:hint="eastAsia" w:ascii="仿宋" w:hAnsi="仿宋" w:eastAsia="仿宋"/>
          <w:color w:val="auto"/>
          <w:sz w:val="32"/>
          <w:szCs w:val="32"/>
          <w:highlight w:val="none"/>
        </w:rPr>
        <w:t>招标编号：</w:t>
      </w:r>
      <w:r>
        <w:rPr>
          <w:rFonts w:hint="eastAsia" w:ascii="仿宋" w:hAnsi="仿宋" w:eastAsia="仿宋"/>
          <w:color w:val="auto"/>
          <w:sz w:val="32"/>
          <w:szCs w:val="32"/>
          <w:highlight w:val="none"/>
          <w:lang w:val="en-US" w:eastAsia="zh-CN"/>
        </w:rPr>
        <w:t>510188202100216</w:t>
      </w:r>
      <w:bookmarkStart w:id="191" w:name="_GoBack"/>
      <w:bookmarkEnd w:id="191"/>
    </w:p>
    <w:p>
      <w:pPr>
        <w:spacing w:after="0" w:line="360" w:lineRule="auto"/>
        <w:jc w:val="left"/>
        <w:rPr>
          <w:rFonts w:ascii="仿宋" w:hAnsi="仿宋" w:eastAsia="仿宋"/>
          <w:color w:val="auto"/>
          <w:sz w:val="52"/>
          <w:szCs w:val="52"/>
          <w:highlight w:val="none"/>
        </w:rPr>
      </w:pPr>
      <w:r>
        <w:rPr>
          <w:rFonts w:ascii="Times New Roman" w:hAnsi="Times New Roman" w:eastAsia="仿宋"/>
          <w:color w:val="auto"/>
          <w:sz w:val="24"/>
          <w:highlight w:val="none"/>
        </w:rPr>
        <w:tab/>
      </w:r>
    </w:p>
    <w:p>
      <w:pPr>
        <w:spacing w:after="0" w:line="360" w:lineRule="auto"/>
        <w:jc w:val="center"/>
        <w:rPr>
          <w:rFonts w:hint="eastAsia" w:ascii="仿宋" w:hAnsi="仿宋" w:eastAsia="仿宋"/>
          <w:color w:val="auto"/>
          <w:sz w:val="52"/>
          <w:szCs w:val="52"/>
          <w:highlight w:val="none"/>
          <w:lang w:val="en-US" w:eastAsia="zh-CN"/>
        </w:rPr>
      </w:pPr>
      <w:r>
        <w:rPr>
          <w:rFonts w:hint="eastAsia" w:ascii="仿宋" w:hAnsi="仿宋" w:eastAsia="仿宋"/>
          <w:color w:val="auto"/>
          <w:sz w:val="52"/>
          <w:szCs w:val="52"/>
          <w:highlight w:val="none"/>
        </w:rPr>
        <w:t>智慧高新区时空数据应用系统建设</w:t>
      </w:r>
      <w:r>
        <w:rPr>
          <w:rFonts w:hint="eastAsia" w:ascii="仿宋" w:hAnsi="仿宋" w:eastAsia="仿宋"/>
          <w:color w:val="auto"/>
          <w:sz w:val="52"/>
          <w:szCs w:val="52"/>
          <w:highlight w:val="none"/>
          <w:lang w:val="en-US" w:eastAsia="zh-CN"/>
        </w:rPr>
        <w:t>项目</w:t>
      </w:r>
    </w:p>
    <w:p>
      <w:pPr>
        <w:tabs>
          <w:tab w:val="left" w:pos="380"/>
        </w:tabs>
        <w:spacing w:after="0" w:line="360" w:lineRule="auto"/>
        <w:jc w:val="left"/>
        <w:rPr>
          <w:rFonts w:ascii="仿宋" w:hAnsi="仿宋" w:eastAsia="仿宋"/>
          <w:color w:val="auto"/>
          <w:sz w:val="52"/>
          <w:szCs w:val="52"/>
          <w:highlight w:val="none"/>
        </w:rPr>
      </w:pPr>
      <w:r>
        <w:rPr>
          <w:rFonts w:ascii="仿宋" w:hAnsi="仿宋" w:eastAsia="仿宋"/>
          <w:color w:val="auto"/>
          <w:sz w:val="52"/>
          <w:szCs w:val="52"/>
          <w:highlight w:val="none"/>
        </w:rPr>
        <w:tab/>
      </w:r>
    </w:p>
    <w:p>
      <w:pPr>
        <w:tabs>
          <w:tab w:val="left" w:pos="2505"/>
          <w:tab w:val="center" w:pos="4204"/>
          <w:tab w:val="center" w:pos="4479"/>
          <w:tab w:val="left" w:pos="6695"/>
        </w:tabs>
        <w:spacing w:after="0" w:line="360" w:lineRule="auto"/>
        <w:jc w:val="left"/>
        <w:rPr>
          <w:rFonts w:ascii="仿宋" w:hAnsi="仿宋" w:eastAsia="仿宋"/>
          <w:color w:val="auto"/>
          <w:sz w:val="52"/>
          <w:szCs w:val="52"/>
          <w:highlight w:val="none"/>
        </w:rPr>
      </w:pPr>
      <w:r>
        <w:rPr>
          <w:rFonts w:ascii="仿宋" w:hAnsi="仿宋" w:eastAsia="仿宋"/>
          <w:color w:val="auto"/>
          <w:sz w:val="52"/>
          <w:szCs w:val="52"/>
          <w:highlight w:val="none"/>
        </w:rPr>
        <w:tab/>
      </w:r>
      <w:r>
        <w:rPr>
          <w:rFonts w:ascii="仿宋" w:hAnsi="仿宋" w:eastAsia="仿宋"/>
          <w:color w:val="auto"/>
          <w:sz w:val="52"/>
          <w:szCs w:val="52"/>
          <w:highlight w:val="none"/>
        </w:rPr>
        <w:tab/>
      </w:r>
      <w:r>
        <w:rPr>
          <w:rFonts w:ascii="仿宋" w:hAnsi="仿宋" w:eastAsia="仿宋"/>
          <w:color w:val="auto"/>
          <w:sz w:val="52"/>
          <w:szCs w:val="52"/>
          <w:highlight w:val="none"/>
        </w:rPr>
        <w:tab/>
      </w:r>
      <w:r>
        <w:rPr>
          <w:rFonts w:hint="eastAsia" w:ascii="仿宋" w:hAnsi="仿宋" w:eastAsia="仿宋"/>
          <w:color w:val="auto"/>
          <w:sz w:val="52"/>
          <w:szCs w:val="52"/>
          <w:highlight w:val="none"/>
        </w:rPr>
        <w:t>招</w:t>
      </w:r>
    </w:p>
    <w:p>
      <w:pPr>
        <w:spacing w:after="0" w:line="360" w:lineRule="auto"/>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标</w:t>
      </w:r>
    </w:p>
    <w:p>
      <w:pPr>
        <w:spacing w:after="0" w:line="360" w:lineRule="auto"/>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文</w:t>
      </w:r>
    </w:p>
    <w:p>
      <w:pPr>
        <w:spacing w:after="0" w:line="360" w:lineRule="auto"/>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件</w:t>
      </w:r>
    </w:p>
    <w:p>
      <w:pPr>
        <w:spacing w:after="0" w:line="360" w:lineRule="auto"/>
        <w:jc w:val="left"/>
        <w:rPr>
          <w:rFonts w:ascii="仿宋" w:hAnsi="仿宋" w:eastAsia="仿宋"/>
          <w:color w:val="auto"/>
          <w:sz w:val="52"/>
          <w:szCs w:val="52"/>
          <w:highlight w:val="none"/>
        </w:rPr>
      </w:pPr>
    </w:p>
    <w:p>
      <w:pPr>
        <w:spacing w:after="0" w:line="360" w:lineRule="auto"/>
        <w:jc w:val="center"/>
        <w:rPr>
          <w:rFonts w:ascii="仿宋" w:hAnsi="仿宋" w:eastAsia="仿宋" w:cs="宋体"/>
          <w:color w:val="auto"/>
          <w:sz w:val="32"/>
          <w:szCs w:val="32"/>
          <w:highlight w:val="none"/>
        </w:rPr>
      </w:pPr>
      <w:r>
        <w:rPr>
          <w:rFonts w:ascii="仿宋" w:hAnsi="仿宋" w:eastAsia="仿宋" w:cs="宋体"/>
          <w:color w:val="auto"/>
          <w:sz w:val="32"/>
          <w:szCs w:val="32"/>
          <w:highlight w:val="none"/>
        </w:rPr>
        <w:t>成都高新技术产业开发区公园城市建设局</w:t>
      </w:r>
    </w:p>
    <w:p>
      <w:pPr>
        <w:spacing w:after="0"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四川成与诚招标代理有限公司</w:t>
      </w:r>
    </w:p>
    <w:p>
      <w:pPr>
        <w:spacing w:after="0"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共同编制</w:t>
      </w:r>
    </w:p>
    <w:p>
      <w:pPr>
        <w:spacing w:after="0"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lang w:val="en-US" w:eastAsia="zh-CN"/>
        </w:rPr>
        <w:t>2021</w:t>
      </w:r>
      <w:r>
        <w:rPr>
          <w:rFonts w:hint="eastAsia" w:ascii="仿宋" w:hAnsi="仿宋" w:eastAsia="仿宋" w:cs="宋体"/>
          <w:color w:val="auto"/>
          <w:sz w:val="32"/>
          <w:szCs w:val="32"/>
          <w:highlight w:val="none"/>
        </w:rPr>
        <w:t>年</w:t>
      </w:r>
      <w:r>
        <w:rPr>
          <w:rFonts w:hint="eastAsia" w:ascii="仿宋" w:hAnsi="仿宋" w:eastAsia="仿宋" w:cs="宋体"/>
          <w:color w:val="auto"/>
          <w:sz w:val="32"/>
          <w:szCs w:val="32"/>
          <w:highlight w:val="none"/>
          <w:lang w:val="en-US" w:eastAsia="zh-CN"/>
        </w:rPr>
        <w:t>09</w:t>
      </w:r>
      <w:r>
        <w:rPr>
          <w:rFonts w:hint="eastAsia" w:ascii="仿宋" w:hAnsi="仿宋" w:eastAsia="仿宋" w:cs="宋体"/>
          <w:color w:val="auto"/>
          <w:sz w:val="32"/>
          <w:szCs w:val="32"/>
          <w:highlight w:val="none"/>
        </w:rPr>
        <w:t>月</w:t>
      </w:r>
    </w:p>
    <w:p>
      <w:pPr>
        <w:spacing w:after="0" w:line="240" w:lineRule="auto"/>
        <w:jc w:val="center"/>
        <w:rPr>
          <w:rFonts w:hint="eastAsia" w:ascii="仿宋" w:hAnsi="仿宋" w:eastAsia="仿宋" w:cs="仿宋"/>
          <w:color w:val="auto"/>
          <w:sz w:val="36"/>
          <w:szCs w:val="44"/>
          <w:highlight w:val="none"/>
        </w:rPr>
        <w:sectPr>
          <w:headerReference r:id="rId7" w:type="first"/>
          <w:headerReference r:id="rId5" w:type="default"/>
          <w:headerReference r:id="rId6" w:type="even"/>
          <w:footerReference r:id="rId8" w:type="even"/>
          <w:pgSz w:w="11905" w:h="16838"/>
          <w:pgMar w:top="1440" w:right="1474" w:bottom="1440" w:left="1474" w:header="425" w:footer="992" w:gutter="0"/>
          <w:cols w:space="0" w:num="1"/>
          <w:titlePg/>
          <w:rtlGutter w:val="0"/>
          <w:docGrid w:linePitch="312" w:charSpace="0"/>
        </w:sectPr>
      </w:pPr>
    </w:p>
    <w:p>
      <w:pPr>
        <w:spacing w:after="0" w:line="240" w:lineRule="auto"/>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廉洁自律承诺书</w:t>
      </w:r>
    </w:p>
    <w:p>
      <w:pPr>
        <w:spacing w:after="0" w:line="480" w:lineRule="auto"/>
        <w:ind w:firstLine="480" w:firstLineChars="200"/>
        <w:rPr>
          <w:rFonts w:ascii="仿宋" w:hAnsi="仿宋" w:eastAsia="仿宋" w:cs="仿宋"/>
          <w:color w:val="auto"/>
          <w:sz w:val="24"/>
          <w:highlight w:val="none"/>
        </w:rPr>
      </w:pP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为进一步规范四川成与诚招标代理有限公司政府采购行为，维护政府采购制度，净化政府采购市场环境。四川成与诚招标代理有限公司在代理政府采购事务过程中郑重承诺：</w:t>
      </w: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二、公司员工遵纪守法，不得以不正当手段争取、承揽代理政府采购事务和向任何单位和个人支付现金、实物或其他利益的行为。</w:t>
      </w: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四、公司员工不得与供应商存在任何商业上的利害关系，不得在供应商单位兼职和任职，不得泄漏政府采购过程中的机密。</w:t>
      </w:r>
    </w:p>
    <w:p>
      <w:pPr>
        <w:spacing w:after="0"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after="0"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举报电话：028-83475775</w:t>
      </w:r>
    </w:p>
    <w:p>
      <w:pPr>
        <w:spacing w:after="0" w:line="480" w:lineRule="auto"/>
        <w:ind w:firstLine="480" w:firstLineChars="200"/>
        <w:jc w:val="left"/>
        <w:rPr>
          <w:rFonts w:ascii="仿宋" w:hAnsi="仿宋" w:eastAsia="仿宋" w:cs="仿宋"/>
          <w:color w:val="auto"/>
          <w:sz w:val="24"/>
          <w:highlight w:val="none"/>
        </w:rPr>
      </w:pPr>
    </w:p>
    <w:p>
      <w:pPr>
        <w:spacing w:after="0" w:line="480" w:lineRule="auto"/>
        <w:ind w:firstLine="480" w:firstLineChars="200"/>
        <w:jc w:val="right"/>
        <w:rPr>
          <w:rFonts w:ascii="仿宋" w:hAnsi="仿宋" w:eastAsia="仿宋" w:cs="宋体"/>
          <w:color w:val="auto"/>
          <w:sz w:val="24"/>
          <w:highlight w:val="none"/>
        </w:rPr>
      </w:pPr>
      <w:r>
        <w:rPr>
          <w:rFonts w:hint="eastAsia" w:ascii="仿宋" w:hAnsi="仿宋" w:eastAsia="仿宋" w:cs="宋体"/>
          <w:color w:val="auto"/>
          <w:sz w:val="24"/>
          <w:highlight w:val="none"/>
        </w:rPr>
        <w:t>四川成与诚招标代理有限公司</w:t>
      </w:r>
    </w:p>
    <w:p>
      <w:pPr>
        <w:widowControl/>
        <w:spacing w:after="0" w:line="240" w:lineRule="auto"/>
        <w:jc w:val="left"/>
        <w:rPr>
          <w:rFonts w:ascii="仿宋" w:hAnsi="仿宋" w:eastAsia="仿宋" w:cs="宋体"/>
          <w:color w:val="auto"/>
          <w:sz w:val="24"/>
          <w:highlight w:val="none"/>
        </w:rPr>
      </w:pPr>
      <w:r>
        <w:rPr>
          <w:rFonts w:ascii="仿宋" w:hAnsi="仿宋" w:eastAsia="仿宋" w:cs="宋体"/>
          <w:color w:val="auto"/>
          <w:sz w:val="24"/>
          <w:highlight w:val="none"/>
        </w:rPr>
        <w:br w:type="page"/>
      </w:r>
    </w:p>
    <w:p>
      <w:pPr>
        <w:spacing w:after="0" w:line="360" w:lineRule="auto"/>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交通指引</w:t>
      </w:r>
    </w:p>
    <w:p>
      <w:pPr>
        <w:spacing w:after="0" w:line="480" w:lineRule="auto"/>
        <w:ind w:firstLine="480" w:firstLineChars="200"/>
        <w:rPr>
          <w:rFonts w:ascii="仿宋" w:hAnsi="仿宋" w:eastAsia="仿宋" w:cs="仿宋"/>
          <w:color w:val="auto"/>
          <w:sz w:val="24"/>
          <w:szCs w:val="32"/>
          <w:highlight w:val="none"/>
        </w:rPr>
      </w:pPr>
    </w:p>
    <w:p>
      <w:pPr>
        <w:spacing w:after="0"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四川成与诚招标代理有限公司位于四川省成都市</w:t>
      </w:r>
      <w:r>
        <w:rPr>
          <w:rFonts w:hint="eastAsia" w:ascii="仿宋" w:hAnsi="仿宋" w:eastAsia="仿宋" w:cs="仿宋"/>
          <w:color w:val="auto"/>
          <w:sz w:val="24"/>
          <w:szCs w:val="24"/>
          <w:highlight w:val="none"/>
          <w:lang w:val="en-US" w:eastAsia="zh-CN"/>
        </w:rPr>
        <w:t>高新</w:t>
      </w:r>
      <w:r>
        <w:rPr>
          <w:rFonts w:hint="eastAsia" w:ascii="仿宋" w:hAnsi="仿宋" w:eastAsia="仿宋" w:cs="仿宋"/>
          <w:color w:val="auto"/>
          <w:sz w:val="24"/>
          <w:szCs w:val="32"/>
          <w:highlight w:val="none"/>
        </w:rPr>
        <w:t>区锦尚西一路</w:t>
      </w:r>
      <w:r>
        <w:rPr>
          <w:rFonts w:hint="eastAsia" w:ascii="仿宋" w:hAnsi="仿宋" w:eastAsia="仿宋" w:cs="仿宋"/>
          <w:b/>
          <w:bCs/>
          <w:color w:val="auto"/>
          <w:sz w:val="24"/>
          <w:szCs w:val="32"/>
          <w:highlight w:val="none"/>
          <w:lang w:eastAsia="zh-CN"/>
        </w:rPr>
        <w:t>楚峰国际中心45A03号（44层）</w:t>
      </w:r>
      <w:r>
        <w:rPr>
          <w:rFonts w:hint="eastAsia" w:ascii="仿宋" w:hAnsi="仿宋" w:eastAsia="仿宋" w:cs="仿宋"/>
          <w:color w:val="auto"/>
          <w:sz w:val="24"/>
          <w:szCs w:val="32"/>
          <w:highlight w:val="none"/>
        </w:rPr>
        <w:t>，可采用以下交通方式：</w:t>
      </w:r>
    </w:p>
    <w:p>
      <w:pPr>
        <w:spacing w:after="0"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1、地铁：1号线孵化园地铁站A口，步行300米即可到达。</w:t>
      </w:r>
    </w:p>
    <w:p>
      <w:pPr>
        <w:spacing w:after="0"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2、自驾：高德地图导航输入“楚峰国际中心”，停车场入口位于锦尚西一路。</w:t>
      </w:r>
    </w:p>
    <w:p>
      <w:pPr>
        <w:spacing w:after="0"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3、建议将车辆停放于-</w:t>
      </w:r>
      <w:r>
        <w:rPr>
          <w:rFonts w:ascii="仿宋" w:hAnsi="仿宋" w:eastAsia="仿宋" w:cs="仿宋"/>
          <w:color w:val="auto"/>
          <w:sz w:val="24"/>
          <w:szCs w:val="32"/>
          <w:highlight w:val="none"/>
        </w:rPr>
        <w:t>5</w:t>
      </w:r>
      <w:r>
        <w:rPr>
          <w:rFonts w:hint="eastAsia" w:ascii="仿宋" w:hAnsi="仿宋" w:eastAsia="仿宋" w:cs="仿宋"/>
          <w:color w:val="auto"/>
          <w:sz w:val="24"/>
          <w:szCs w:val="32"/>
          <w:highlight w:val="none"/>
        </w:rPr>
        <w:t>层，乘地下客梯至一楼大堂（地下客梯只能到一楼）。来访人员在大堂选乘高区</w:t>
      </w:r>
      <w:r>
        <w:rPr>
          <w:rFonts w:hint="eastAsia" w:ascii="仿宋" w:hAnsi="仿宋" w:eastAsia="仿宋" w:cs="仿宋"/>
          <w:color w:val="auto"/>
          <w:sz w:val="24"/>
          <w:szCs w:val="32"/>
          <w:highlight w:val="none"/>
          <w:lang w:val="en-US" w:eastAsia="zh-CN"/>
        </w:rPr>
        <w:t>单/</w:t>
      </w:r>
      <w:r>
        <w:rPr>
          <w:rFonts w:hint="eastAsia" w:ascii="仿宋" w:hAnsi="仿宋" w:eastAsia="仿宋" w:cs="仿宋"/>
          <w:color w:val="auto"/>
          <w:sz w:val="24"/>
          <w:szCs w:val="24"/>
          <w:highlight w:val="none"/>
          <w:lang w:eastAsia="zh-CN"/>
        </w:rPr>
        <w:t>双层</w:t>
      </w:r>
      <w:r>
        <w:rPr>
          <w:rFonts w:hint="eastAsia" w:ascii="仿宋" w:hAnsi="仿宋" w:eastAsia="仿宋" w:cs="仿宋"/>
          <w:color w:val="auto"/>
          <w:sz w:val="24"/>
          <w:szCs w:val="32"/>
          <w:highlight w:val="none"/>
        </w:rPr>
        <w:t>客梯上楼；大件样品可直接从货梯上楼。</w:t>
      </w:r>
    </w:p>
    <w:p>
      <w:pPr>
        <w:spacing w:after="0" w:line="480" w:lineRule="auto"/>
        <w:jc w:val="center"/>
        <w:rPr>
          <w:rFonts w:ascii="仿宋" w:hAnsi="仿宋" w:eastAsia="仿宋" w:cs="仿宋"/>
          <w:color w:val="auto"/>
          <w:sz w:val="36"/>
          <w:szCs w:val="44"/>
          <w:highlight w:val="none"/>
        </w:rPr>
      </w:pPr>
      <w:r>
        <w:rPr>
          <w:color w:val="auto"/>
          <w:highlight w:val="none"/>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auto"/>
          <w:sz w:val="24"/>
          <w:szCs w:val="32"/>
          <w:highlight w:val="none"/>
        </w:rPr>
        <w:br w:type="page"/>
      </w:r>
      <w:r>
        <w:rPr>
          <w:rFonts w:hint="eastAsia" w:ascii="仿宋" w:hAnsi="仿宋" w:eastAsia="仿宋" w:cs="仿宋"/>
          <w:color w:val="auto"/>
          <w:sz w:val="36"/>
          <w:szCs w:val="44"/>
          <w:highlight w:val="none"/>
        </w:rPr>
        <w:t>温馨提示</w:t>
      </w:r>
    </w:p>
    <w:p>
      <w:pPr>
        <w:spacing w:after="0" w:line="360" w:lineRule="auto"/>
        <w:jc w:val="left"/>
        <w:rPr>
          <w:rFonts w:ascii="仿宋" w:hAnsi="仿宋" w:eastAsia="仿宋" w:cs="仿宋"/>
          <w:color w:val="auto"/>
          <w:sz w:val="24"/>
          <w:szCs w:val="32"/>
          <w:highlight w:val="none"/>
        </w:rPr>
      </w:pPr>
    </w:p>
    <w:p>
      <w:pPr>
        <w:spacing w:after="0" w:line="360" w:lineRule="auto"/>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各供应商：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欢迎参与本次采购活动，为优化政府采购营商环境，减少供应商参加政府采购活动成本，温馨提示如下：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一、报名：注意报名的截止时间、报名的方式以及需要提供的资料，任何一项不满足的将拒绝接收。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三、制作投标（响应）文件：注意采购文件中的资格要求和实质性要求，任何一条不满足的将作无效处理。注意采购文件中的评分要求，未按要求提供证明材料的将不予认可。</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四、投标（响应）：注意投标（响应）截止时间和递交文件的地点，未按要求密封或逾期送达的将拒绝接收。</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五、结果查询：结果公告将在发布采购公告的同一网站进行公布，供应商应自行关注，任何询问项目评审情况和中标（成交）情况的行为都将被拒绝。</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六、服务费：中标（成交）结果公布后，中标（成交）人应及时足额缴纳服务费，我司在收到服务费后才可开具发票。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八、采购合同：中标（成交）人应在招标文件规定的期限内凭中标（成交）通知书与采购人签订采购合同。</w:t>
      </w:r>
      <w:r>
        <w:rPr>
          <w:rFonts w:hint="eastAsia" w:ascii="仿宋" w:hAnsi="仿宋" w:eastAsia="仿宋" w:cs="仿宋"/>
          <w:color w:val="auto"/>
          <w:sz w:val="24"/>
          <w:szCs w:val="32"/>
          <w:highlight w:val="none"/>
        </w:rPr>
        <w:br w:type="page"/>
      </w:r>
    </w:p>
    <w:p>
      <w:pPr>
        <w:jc w:val="center"/>
        <w:rPr>
          <w:rFonts w:ascii="仿宋" w:hAnsi="仿宋" w:eastAsia="仿宋"/>
          <w:b/>
          <w:bCs/>
          <w:color w:val="auto"/>
          <w:sz w:val="36"/>
          <w:szCs w:val="36"/>
          <w:highlight w:val="none"/>
        </w:rPr>
      </w:pPr>
      <w:bookmarkStart w:id="0" w:name="_Hlt101233737"/>
      <w:bookmarkEnd w:id="0"/>
      <w:bookmarkStart w:id="1" w:name="_Hlt101843627"/>
      <w:bookmarkEnd w:id="1"/>
      <w:r>
        <w:rPr>
          <w:rFonts w:hint="eastAsia" w:ascii="仿宋" w:hAnsi="仿宋" w:eastAsia="仿宋"/>
          <w:b/>
          <w:bCs/>
          <w:color w:val="auto"/>
          <w:sz w:val="36"/>
          <w:szCs w:val="36"/>
          <w:highlight w:val="none"/>
        </w:rPr>
        <w:t>目</w:t>
      </w:r>
      <w:r>
        <w:rPr>
          <w:rFonts w:ascii="仿宋" w:hAnsi="仿宋" w:eastAsia="仿宋"/>
          <w:b/>
          <w:bCs/>
          <w:color w:val="auto"/>
          <w:sz w:val="36"/>
          <w:szCs w:val="36"/>
          <w:highlight w:val="none"/>
        </w:rPr>
        <w:t xml:space="preserve">    </w:t>
      </w:r>
      <w:r>
        <w:rPr>
          <w:rFonts w:hint="eastAsia" w:ascii="仿宋" w:hAnsi="仿宋" w:eastAsia="仿宋"/>
          <w:b/>
          <w:bCs/>
          <w:color w:val="auto"/>
          <w:sz w:val="36"/>
          <w:szCs w:val="36"/>
          <w:highlight w:val="none"/>
        </w:rPr>
        <w:t>录</w:t>
      </w:r>
    </w:p>
    <w:p>
      <w:pPr>
        <w:jc w:val="center"/>
        <w:rPr>
          <w:rFonts w:ascii="仿宋" w:hAnsi="仿宋" w:eastAsia="仿宋"/>
          <w:b/>
          <w:bCs/>
          <w:color w:val="auto"/>
          <w:sz w:val="36"/>
          <w:szCs w:val="36"/>
          <w:highlight w:val="none"/>
        </w:rPr>
      </w:pPr>
    </w:p>
    <w:p>
      <w:pPr>
        <w:pStyle w:val="21"/>
        <w:tabs>
          <w:tab w:val="right" w:leader="dot" w:pos="8957"/>
        </w:tabs>
        <w:rPr>
          <w:color w:val="auto"/>
          <w:highlight w:val="none"/>
        </w:rPr>
      </w:pPr>
      <w:r>
        <w:rPr>
          <w:rFonts w:hint="eastAsia" w:ascii="仿宋" w:hAnsi="仿宋" w:eastAsia="仿宋" w:cs="宋体"/>
          <w:color w:val="auto"/>
          <w:sz w:val="28"/>
          <w:szCs w:val="28"/>
          <w:highlight w:val="none"/>
        </w:rPr>
        <w:fldChar w:fldCharType="begin"/>
      </w:r>
      <w:r>
        <w:rPr>
          <w:rFonts w:ascii="仿宋" w:hAnsi="仿宋" w:eastAsia="仿宋" w:cs="宋体"/>
          <w:color w:val="auto"/>
          <w:sz w:val="28"/>
          <w:szCs w:val="28"/>
          <w:highlight w:val="none"/>
        </w:rPr>
        <w:instrText xml:space="preserve">TOC \o "1-1" \h \u </w:instrText>
      </w:r>
      <w:r>
        <w:rPr>
          <w:rFonts w:hint="eastAsia" w:ascii="仿宋" w:hAnsi="仿宋" w:eastAsia="仿宋" w:cs="宋体"/>
          <w:color w:val="auto"/>
          <w:sz w:val="28"/>
          <w:szCs w:val="28"/>
          <w:highlight w:val="none"/>
        </w:rPr>
        <w:fldChar w:fldCharType="separate"/>
      </w: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_Toc9780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第一章</w:t>
      </w:r>
      <w:r>
        <w:rPr>
          <w:rFonts w:ascii="仿宋" w:hAnsi="仿宋" w:eastAsia="仿宋"/>
          <w:color w:val="auto"/>
          <w:szCs w:val="36"/>
          <w:highlight w:val="none"/>
        </w:rPr>
        <w:t xml:space="preserve">  </w:t>
      </w:r>
      <w:r>
        <w:rPr>
          <w:rFonts w:hint="eastAsia" w:ascii="仿宋" w:hAnsi="仿宋" w:eastAsia="仿宋"/>
          <w:color w:val="auto"/>
          <w:szCs w:val="36"/>
          <w:highlight w:val="none"/>
        </w:rPr>
        <w:t>投标邀请</w:t>
      </w:r>
      <w:r>
        <w:rPr>
          <w:color w:val="auto"/>
          <w:highlight w:val="none"/>
        </w:rPr>
        <w:tab/>
      </w:r>
      <w:r>
        <w:rPr>
          <w:color w:val="auto"/>
          <w:highlight w:val="none"/>
        </w:rPr>
        <w:fldChar w:fldCharType="begin"/>
      </w:r>
      <w:r>
        <w:rPr>
          <w:color w:val="auto"/>
          <w:highlight w:val="none"/>
        </w:rPr>
        <w:instrText xml:space="preserve"> PAGEREF _Toc9780 </w:instrText>
      </w:r>
      <w:r>
        <w:rPr>
          <w:color w:val="auto"/>
          <w:highlight w:val="none"/>
        </w:rPr>
        <w:fldChar w:fldCharType="separate"/>
      </w:r>
      <w:r>
        <w:rPr>
          <w:color w:val="auto"/>
          <w:highlight w:val="none"/>
        </w:rPr>
        <w:t>5</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_Toc9253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第二章</w:t>
      </w:r>
      <w:r>
        <w:rPr>
          <w:rFonts w:ascii="仿宋" w:hAnsi="仿宋" w:eastAsia="仿宋"/>
          <w:color w:val="auto"/>
          <w:szCs w:val="36"/>
          <w:highlight w:val="none"/>
        </w:rPr>
        <w:t xml:space="preserve">  </w:t>
      </w:r>
      <w:r>
        <w:rPr>
          <w:rFonts w:hint="eastAsia" w:ascii="仿宋" w:hAnsi="仿宋" w:eastAsia="仿宋"/>
          <w:color w:val="auto"/>
          <w:szCs w:val="36"/>
          <w:highlight w:val="none"/>
        </w:rPr>
        <w:t>投标人须知</w:t>
      </w:r>
      <w:r>
        <w:rPr>
          <w:color w:val="auto"/>
          <w:highlight w:val="none"/>
        </w:rPr>
        <w:tab/>
      </w:r>
      <w:r>
        <w:rPr>
          <w:color w:val="auto"/>
          <w:highlight w:val="none"/>
        </w:rPr>
        <w:fldChar w:fldCharType="begin"/>
      </w:r>
      <w:r>
        <w:rPr>
          <w:color w:val="auto"/>
          <w:highlight w:val="none"/>
        </w:rPr>
        <w:instrText xml:space="preserve"> PAGEREF _Toc9253 </w:instrText>
      </w:r>
      <w:r>
        <w:rPr>
          <w:color w:val="auto"/>
          <w:highlight w:val="none"/>
        </w:rPr>
        <w:fldChar w:fldCharType="separate"/>
      </w:r>
      <w:r>
        <w:rPr>
          <w:color w:val="auto"/>
          <w:highlight w:val="none"/>
        </w:rPr>
        <w:t>8</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_Toc24136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第三章</w:t>
      </w:r>
      <w:r>
        <w:rPr>
          <w:rFonts w:ascii="仿宋" w:hAnsi="仿宋" w:eastAsia="仿宋"/>
          <w:color w:val="auto"/>
          <w:szCs w:val="36"/>
          <w:highlight w:val="none"/>
        </w:rPr>
        <w:t xml:space="preserve">  </w:t>
      </w:r>
      <w:r>
        <w:rPr>
          <w:rFonts w:hint="eastAsia" w:ascii="仿宋" w:hAnsi="仿宋" w:eastAsia="仿宋"/>
          <w:color w:val="auto"/>
          <w:szCs w:val="36"/>
          <w:highlight w:val="none"/>
        </w:rPr>
        <w:t>投标文件格式</w:t>
      </w:r>
      <w:r>
        <w:rPr>
          <w:color w:val="auto"/>
          <w:highlight w:val="none"/>
        </w:rPr>
        <w:tab/>
      </w:r>
      <w:r>
        <w:rPr>
          <w:color w:val="auto"/>
          <w:highlight w:val="none"/>
        </w:rPr>
        <w:fldChar w:fldCharType="begin"/>
      </w:r>
      <w:r>
        <w:rPr>
          <w:color w:val="auto"/>
          <w:highlight w:val="none"/>
        </w:rPr>
        <w:instrText xml:space="preserve"> PAGEREF _Toc24136 </w:instrText>
      </w:r>
      <w:r>
        <w:rPr>
          <w:color w:val="auto"/>
          <w:highlight w:val="none"/>
        </w:rPr>
        <w:fldChar w:fldCharType="separate"/>
      </w:r>
      <w:r>
        <w:rPr>
          <w:color w:val="auto"/>
          <w:highlight w:val="none"/>
        </w:rPr>
        <w:t>25</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_Toc32359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第四章</w:t>
      </w:r>
      <w:r>
        <w:rPr>
          <w:rFonts w:ascii="仿宋" w:hAnsi="仿宋" w:eastAsia="仿宋"/>
          <w:color w:val="auto"/>
          <w:szCs w:val="36"/>
          <w:highlight w:val="none"/>
        </w:rPr>
        <w:t xml:space="preserve">  </w:t>
      </w:r>
      <w:r>
        <w:rPr>
          <w:rFonts w:hint="eastAsia" w:ascii="仿宋" w:hAnsi="仿宋" w:eastAsia="仿宋"/>
          <w:color w:val="auto"/>
          <w:szCs w:val="36"/>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_Toc32359 </w:instrText>
      </w:r>
      <w:r>
        <w:rPr>
          <w:color w:val="auto"/>
          <w:highlight w:val="none"/>
        </w:rPr>
        <w:fldChar w:fldCharType="separate"/>
      </w:r>
      <w:r>
        <w:rPr>
          <w:color w:val="auto"/>
          <w:highlight w:val="none"/>
        </w:rPr>
        <w:t>45</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_Toc13090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第五章</w:t>
      </w:r>
      <w:r>
        <w:rPr>
          <w:rFonts w:ascii="仿宋" w:hAnsi="仿宋" w:eastAsia="仿宋"/>
          <w:color w:val="auto"/>
          <w:szCs w:val="36"/>
          <w:highlight w:val="none"/>
        </w:rPr>
        <w:t xml:space="preserve">  </w:t>
      </w:r>
      <w:r>
        <w:rPr>
          <w:rFonts w:hint="eastAsia" w:ascii="仿宋" w:hAnsi="仿宋" w:eastAsia="仿宋"/>
          <w:color w:val="auto"/>
          <w:szCs w:val="36"/>
          <w:highlight w:val="none"/>
          <w:lang w:val="en-US" w:eastAsia="zh-CN"/>
        </w:rPr>
        <w:t>资格性审查要求</w:t>
      </w:r>
      <w:r>
        <w:rPr>
          <w:color w:val="auto"/>
          <w:highlight w:val="none"/>
        </w:rPr>
        <w:tab/>
      </w:r>
      <w:r>
        <w:rPr>
          <w:color w:val="auto"/>
          <w:highlight w:val="none"/>
        </w:rPr>
        <w:fldChar w:fldCharType="begin"/>
      </w:r>
      <w:r>
        <w:rPr>
          <w:color w:val="auto"/>
          <w:highlight w:val="none"/>
        </w:rPr>
        <w:instrText xml:space="preserve"> PAGEREF _Toc13090 </w:instrText>
      </w:r>
      <w:r>
        <w:rPr>
          <w:color w:val="auto"/>
          <w:highlight w:val="none"/>
        </w:rPr>
        <w:fldChar w:fldCharType="separate"/>
      </w:r>
      <w:r>
        <w:rPr>
          <w:color w:val="auto"/>
          <w:highlight w:val="none"/>
        </w:rPr>
        <w:t>46</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_Toc5020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第六章</w:t>
      </w:r>
      <w:r>
        <w:rPr>
          <w:rFonts w:ascii="仿宋" w:hAnsi="仿宋" w:eastAsia="仿宋"/>
          <w:color w:val="auto"/>
          <w:szCs w:val="36"/>
          <w:highlight w:val="none"/>
        </w:rPr>
        <w:t xml:space="preserve">  </w:t>
      </w:r>
      <w:r>
        <w:rPr>
          <w:rFonts w:hint="eastAsia" w:ascii="仿宋" w:hAnsi="仿宋" w:eastAsia="仿宋"/>
          <w:color w:val="auto"/>
          <w:szCs w:val="36"/>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_Toc5020 </w:instrText>
      </w:r>
      <w:r>
        <w:rPr>
          <w:color w:val="auto"/>
          <w:highlight w:val="none"/>
        </w:rPr>
        <w:fldChar w:fldCharType="separate"/>
      </w:r>
      <w:r>
        <w:rPr>
          <w:color w:val="auto"/>
          <w:highlight w:val="none"/>
        </w:rPr>
        <w:t>50</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_Toc31835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第七章</w:t>
      </w:r>
      <w:r>
        <w:rPr>
          <w:rFonts w:ascii="仿宋" w:hAnsi="仿宋" w:eastAsia="仿宋"/>
          <w:color w:val="auto"/>
          <w:szCs w:val="36"/>
          <w:highlight w:val="none"/>
        </w:rPr>
        <w:t xml:space="preserve">  </w:t>
      </w:r>
      <w:r>
        <w:rPr>
          <w:rFonts w:hint="eastAsia" w:ascii="仿宋" w:hAnsi="仿宋" w:eastAsia="仿宋"/>
          <w:color w:val="auto"/>
          <w:szCs w:val="36"/>
          <w:highlight w:val="none"/>
        </w:rPr>
        <w:t>评标办法</w:t>
      </w:r>
      <w:r>
        <w:rPr>
          <w:color w:val="auto"/>
          <w:highlight w:val="none"/>
        </w:rPr>
        <w:tab/>
      </w:r>
      <w:r>
        <w:rPr>
          <w:color w:val="auto"/>
          <w:highlight w:val="none"/>
        </w:rPr>
        <w:fldChar w:fldCharType="begin"/>
      </w:r>
      <w:r>
        <w:rPr>
          <w:color w:val="auto"/>
          <w:highlight w:val="none"/>
        </w:rPr>
        <w:instrText xml:space="preserve"> PAGEREF _Toc31835 </w:instrText>
      </w:r>
      <w:r>
        <w:rPr>
          <w:color w:val="auto"/>
          <w:highlight w:val="none"/>
        </w:rPr>
        <w:fldChar w:fldCharType="separate"/>
      </w:r>
      <w:r>
        <w:rPr>
          <w:color w:val="auto"/>
          <w:highlight w:val="none"/>
        </w:rPr>
        <w:t>51</w:t>
      </w:r>
      <w:r>
        <w:rPr>
          <w:color w:val="auto"/>
          <w:highlight w:val="none"/>
        </w:rPr>
        <w:fldChar w:fldCharType="end"/>
      </w:r>
      <w:r>
        <w:rPr>
          <w:rFonts w:hint="eastAsia" w:ascii="仿宋" w:hAnsi="仿宋" w:eastAsia="仿宋" w:cs="宋体"/>
          <w:color w:val="auto"/>
          <w:szCs w:val="28"/>
          <w:highlight w:val="none"/>
        </w:rPr>
        <w:fldChar w:fldCharType="end"/>
      </w:r>
    </w:p>
    <w:p>
      <w:pPr>
        <w:pStyle w:val="21"/>
        <w:tabs>
          <w:tab w:val="right" w:leader="dot" w:pos="8957"/>
        </w:tabs>
        <w:rPr>
          <w:color w:val="auto"/>
          <w:highlight w:val="none"/>
        </w:rPr>
      </w:pPr>
      <w:r>
        <w:rPr>
          <w:rFonts w:hint="eastAsia" w:ascii="仿宋" w:hAnsi="仿宋" w:eastAsia="仿宋" w:cs="宋体"/>
          <w:color w:val="auto"/>
          <w:szCs w:val="28"/>
          <w:highlight w:val="none"/>
        </w:rPr>
        <w:fldChar w:fldCharType="begin"/>
      </w:r>
      <w:r>
        <w:rPr>
          <w:rFonts w:hint="eastAsia" w:ascii="仿宋" w:hAnsi="仿宋" w:eastAsia="仿宋" w:cs="宋体"/>
          <w:color w:val="auto"/>
          <w:szCs w:val="28"/>
          <w:highlight w:val="none"/>
        </w:rPr>
        <w:instrText xml:space="preserve"> HYPERLINK \l _Toc20745 </w:instrText>
      </w:r>
      <w:r>
        <w:rPr>
          <w:rFonts w:hint="eastAsia" w:ascii="仿宋" w:hAnsi="仿宋" w:eastAsia="仿宋" w:cs="宋体"/>
          <w:color w:val="auto"/>
          <w:szCs w:val="28"/>
          <w:highlight w:val="none"/>
        </w:rPr>
        <w:fldChar w:fldCharType="separate"/>
      </w:r>
      <w:r>
        <w:rPr>
          <w:rFonts w:hint="eastAsia" w:ascii="仿宋" w:hAnsi="仿宋" w:eastAsia="仿宋"/>
          <w:color w:val="auto"/>
          <w:szCs w:val="36"/>
          <w:highlight w:val="none"/>
        </w:rPr>
        <w:t>第八章</w:t>
      </w:r>
      <w:r>
        <w:rPr>
          <w:rFonts w:ascii="仿宋" w:hAnsi="仿宋" w:eastAsia="仿宋"/>
          <w:color w:val="auto"/>
          <w:szCs w:val="36"/>
          <w:highlight w:val="none"/>
        </w:rPr>
        <w:t xml:space="preserve">  </w:t>
      </w:r>
      <w:r>
        <w:rPr>
          <w:rFonts w:hint="eastAsia" w:ascii="仿宋" w:hAnsi="仿宋" w:eastAsia="仿宋"/>
          <w:color w:val="auto"/>
          <w:szCs w:val="36"/>
          <w:highlight w:val="none"/>
        </w:rPr>
        <w:t>政府采购合同</w:t>
      </w:r>
      <w:r>
        <w:rPr>
          <w:color w:val="auto"/>
          <w:highlight w:val="none"/>
        </w:rPr>
        <w:tab/>
      </w:r>
      <w:r>
        <w:rPr>
          <w:color w:val="auto"/>
          <w:highlight w:val="none"/>
        </w:rPr>
        <w:fldChar w:fldCharType="begin"/>
      </w:r>
      <w:r>
        <w:rPr>
          <w:color w:val="auto"/>
          <w:highlight w:val="none"/>
        </w:rPr>
        <w:instrText xml:space="preserve"> PAGEREF _Toc20745 </w:instrText>
      </w:r>
      <w:r>
        <w:rPr>
          <w:color w:val="auto"/>
          <w:highlight w:val="none"/>
        </w:rPr>
        <w:fldChar w:fldCharType="separate"/>
      </w:r>
      <w:r>
        <w:rPr>
          <w:color w:val="auto"/>
          <w:highlight w:val="none"/>
        </w:rPr>
        <w:t>66</w:t>
      </w:r>
      <w:r>
        <w:rPr>
          <w:color w:val="auto"/>
          <w:highlight w:val="none"/>
        </w:rPr>
        <w:fldChar w:fldCharType="end"/>
      </w:r>
      <w:r>
        <w:rPr>
          <w:rFonts w:hint="eastAsia" w:ascii="仿宋" w:hAnsi="仿宋" w:eastAsia="仿宋" w:cs="宋体"/>
          <w:color w:val="auto"/>
          <w:szCs w:val="28"/>
          <w:highlight w:val="none"/>
        </w:rPr>
        <w:fldChar w:fldCharType="end"/>
      </w:r>
    </w:p>
    <w:p>
      <w:pPr>
        <w:spacing w:line="480" w:lineRule="auto"/>
        <w:rPr>
          <w:rFonts w:ascii="仿宋" w:hAnsi="仿宋" w:eastAsia="仿宋"/>
          <w:color w:val="auto"/>
          <w:sz w:val="28"/>
          <w:szCs w:val="28"/>
          <w:highlight w:val="none"/>
        </w:rPr>
        <w:sectPr>
          <w:headerReference r:id="rId9" w:type="first"/>
          <w:footerReference r:id="rId11" w:type="first"/>
          <w:footerReference r:id="rId10" w:type="default"/>
          <w:pgSz w:w="11905" w:h="16838"/>
          <w:pgMar w:top="1440" w:right="1474" w:bottom="1440" w:left="1474" w:header="425" w:footer="992" w:gutter="0"/>
          <w:pgNumType w:fmt="decimal" w:start="1"/>
          <w:cols w:space="0" w:num="1"/>
          <w:titlePg/>
          <w:rtlGutter w:val="0"/>
          <w:docGrid w:linePitch="312" w:charSpace="0"/>
        </w:sectPr>
      </w:pPr>
      <w:r>
        <w:rPr>
          <w:rFonts w:hint="eastAsia" w:ascii="仿宋" w:hAnsi="仿宋" w:eastAsia="仿宋" w:cs="宋体"/>
          <w:color w:val="auto"/>
          <w:szCs w:val="28"/>
          <w:highlight w:val="none"/>
        </w:rPr>
        <w:fldChar w:fldCharType="end"/>
      </w:r>
      <w:bookmarkStart w:id="2" w:name="_Toc24584"/>
    </w:p>
    <w:p>
      <w:pPr>
        <w:pStyle w:val="3"/>
        <w:spacing w:line="240" w:lineRule="atLeast"/>
        <w:jc w:val="center"/>
        <w:rPr>
          <w:rFonts w:ascii="仿宋" w:hAnsi="仿宋" w:eastAsia="仿宋"/>
          <w:color w:val="auto"/>
          <w:sz w:val="36"/>
          <w:szCs w:val="36"/>
          <w:highlight w:val="none"/>
        </w:rPr>
      </w:pPr>
      <w:bookmarkStart w:id="3" w:name="_Toc9780"/>
      <w:r>
        <w:rPr>
          <w:rFonts w:hint="eastAsia" w:ascii="仿宋" w:hAnsi="仿宋" w:eastAsia="仿宋"/>
          <w:color w:val="auto"/>
          <w:sz w:val="36"/>
          <w:szCs w:val="36"/>
          <w:highlight w:val="none"/>
        </w:rPr>
        <w:t>第一章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投标邀请</w:t>
      </w:r>
      <w:bookmarkEnd w:id="2"/>
      <w:bookmarkEnd w:id="3"/>
    </w:p>
    <w:p>
      <w:pPr>
        <w:tabs>
          <w:tab w:val="left" w:pos="7665"/>
        </w:tabs>
        <w:spacing w:line="400" w:lineRule="exact"/>
        <w:ind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u w:val="single"/>
        </w:rPr>
        <w:t>四川成与诚招标代理有限公司</w:t>
      </w:r>
      <w:r>
        <w:rPr>
          <w:rFonts w:hint="eastAsia" w:ascii="仿宋" w:hAnsi="仿宋" w:eastAsia="仿宋" w:cs="宋体"/>
          <w:color w:val="auto"/>
          <w:sz w:val="24"/>
          <w:highlight w:val="none"/>
        </w:rPr>
        <w:t>受</w:t>
      </w:r>
      <w:r>
        <w:rPr>
          <w:rFonts w:hint="eastAsia" w:ascii="仿宋" w:hAnsi="仿宋" w:eastAsia="仿宋" w:cs="宋体"/>
          <w:color w:val="auto"/>
          <w:sz w:val="24"/>
          <w:highlight w:val="none"/>
          <w:u w:val="single"/>
        </w:rPr>
        <w:t>成都高新技术产业开发区公园城市建设局</w:t>
      </w:r>
      <w:r>
        <w:rPr>
          <w:rFonts w:hint="eastAsia" w:ascii="仿宋" w:hAnsi="仿宋" w:eastAsia="仿宋" w:cs="宋体"/>
          <w:color w:val="auto"/>
          <w:sz w:val="24"/>
          <w:highlight w:val="none"/>
        </w:rPr>
        <w:t>委托，拟对</w:t>
      </w:r>
      <w:bookmarkStart w:id="4" w:name="PO_默认文件内容_4"/>
      <w:r>
        <w:rPr>
          <w:rFonts w:hint="eastAsia" w:ascii="仿宋" w:hAnsi="仿宋" w:eastAsia="仿宋" w:cs="宋体"/>
          <w:color w:val="auto"/>
          <w:sz w:val="24"/>
          <w:highlight w:val="none"/>
          <w:u w:val="single"/>
        </w:rPr>
        <w:t>智慧高新区时空数据应用系统建设</w:t>
      </w:r>
      <w:r>
        <w:rPr>
          <w:rFonts w:hint="eastAsia" w:ascii="仿宋" w:hAnsi="仿宋" w:eastAsia="仿宋" w:cs="宋体"/>
          <w:color w:val="auto"/>
          <w:sz w:val="24"/>
          <w:highlight w:val="none"/>
          <w:u w:val="single"/>
          <w:lang w:val="en-US" w:eastAsia="zh-CN"/>
        </w:rPr>
        <w:t>项目</w:t>
      </w:r>
      <w:r>
        <w:rPr>
          <w:rFonts w:hint="eastAsia" w:ascii="仿宋" w:hAnsi="仿宋" w:eastAsia="仿宋" w:cs="宋体"/>
          <w:color w:val="auto"/>
          <w:sz w:val="24"/>
          <w:highlight w:val="none"/>
        </w:rPr>
        <w:t>进行国内公开招标，兹邀请符合本次招标要求的供应商参加投标。</w:t>
      </w:r>
      <w:bookmarkEnd w:id="4"/>
    </w:p>
    <w:p>
      <w:pPr>
        <w:spacing w:after="120" w:afterLines="50" w:line="420" w:lineRule="exact"/>
        <w:ind w:firstLine="482" w:firstLineChars="200"/>
        <w:rPr>
          <w:rFonts w:hint="eastAsia" w:ascii="仿宋" w:hAnsi="仿宋" w:eastAsia="仿宋"/>
          <w:b/>
          <w:color w:val="auto"/>
          <w:sz w:val="24"/>
          <w:highlight w:val="none"/>
          <w:lang w:eastAsia="zh-CN"/>
        </w:rPr>
      </w:pPr>
      <w:bookmarkStart w:id="5" w:name="PO_默认文件内容_14"/>
      <w:r>
        <w:rPr>
          <w:rFonts w:hint="eastAsia" w:ascii="仿宋" w:hAnsi="仿宋" w:eastAsia="仿宋"/>
          <w:b/>
          <w:color w:val="auto"/>
          <w:sz w:val="24"/>
          <w:highlight w:val="none"/>
        </w:rPr>
        <w:t>一、招标编号：</w:t>
      </w:r>
      <w:r>
        <w:rPr>
          <w:rFonts w:hint="eastAsia" w:ascii="仿宋" w:hAnsi="仿宋" w:eastAsia="仿宋"/>
          <w:b/>
          <w:color w:val="auto"/>
          <w:sz w:val="24"/>
          <w:highlight w:val="none"/>
          <w:lang w:val="en-US" w:eastAsia="zh-CN"/>
        </w:rPr>
        <w:t>510188202100216</w:t>
      </w:r>
    </w:p>
    <w:p>
      <w:pPr>
        <w:spacing w:after="120" w:afterLines="50" w:line="42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二、招标项目：智慧高新区时空数据应用系统建设</w:t>
      </w:r>
      <w:r>
        <w:rPr>
          <w:rFonts w:hint="eastAsia" w:ascii="仿宋" w:hAnsi="仿宋" w:eastAsia="仿宋"/>
          <w:b/>
          <w:color w:val="auto"/>
          <w:sz w:val="24"/>
          <w:highlight w:val="none"/>
          <w:lang w:val="en-US" w:eastAsia="zh-CN"/>
        </w:rPr>
        <w:t>项目</w:t>
      </w:r>
    </w:p>
    <w:p>
      <w:pPr>
        <w:spacing w:after="120" w:afterLines="50" w:line="42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三、资金来源：财政性资金</w:t>
      </w:r>
    </w:p>
    <w:p>
      <w:pPr>
        <w:spacing w:after="120" w:afterLines="50" w:line="42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四、招标项目简介：</w:t>
      </w:r>
    </w:p>
    <w:p>
      <w:pPr>
        <w:spacing w:after="120" w:afterLines="50" w:line="420" w:lineRule="exact"/>
        <w:ind w:firstLine="464" w:firstLineChars="200"/>
        <w:rPr>
          <w:rFonts w:hint="eastAsia" w:ascii="仿宋" w:hAnsi="仿宋" w:eastAsia="仿宋"/>
          <w:color w:val="auto"/>
          <w:spacing w:val="-4"/>
          <w:sz w:val="24"/>
          <w:highlight w:val="none"/>
          <w:lang w:val="en-US" w:eastAsia="zh-CN"/>
        </w:rPr>
      </w:pPr>
      <w:r>
        <w:rPr>
          <w:rFonts w:hint="eastAsia" w:ascii="仿宋" w:hAnsi="仿宋" w:eastAsia="仿宋"/>
          <w:color w:val="auto"/>
          <w:spacing w:val="-4"/>
          <w:sz w:val="24"/>
          <w:highlight w:val="none"/>
        </w:rPr>
        <w:t>本项目共1个包，采购</w:t>
      </w:r>
      <w:r>
        <w:rPr>
          <w:rFonts w:hint="eastAsia" w:ascii="仿宋" w:hAnsi="仿宋" w:eastAsia="仿宋"/>
          <w:color w:val="auto"/>
          <w:spacing w:val="-4"/>
          <w:sz w:val="24"/>
          <w:highlight w:val="none"/>
          <w:lang w:val="en-US" w:eastAsia="zh-CN"/>
        </w:rPr>
        <w:t>内容如下：</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6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78" w:type="dxa"/>
            <w:vAlign w:val="center"/>
          </w:tcPr>
          <w:p>
            <w:pPr>
              <w:spacing w:after="120" w:afterLines="50" w:line="420" w:lineRule="exact"/>
              <w:jc w:val="center"/>
              <w:rPr>
                <w:rFonts w:hint="default" w:ascii="仿宋" w:hAnsi="仿宋" w:eastAsia="仿宋"/>
                <w:color w:val="auto"/>
                <w:spacing w:val="-4"/>
                <w:sz w:val="24"/>
                <w:highlight w:val="none"/>
                <w:vertAlign w:val="baseline"/>
                <w:lang w:val="en-US" w:eastAsia="zh-CN"/>
              </w:rPr>
            </w:pPr>
            <w:r>
              <w:rPr>
                <w:rFonts w:hint="eastAsia" w:ascii="仿宋" w:hAnsi="仿宋" w:eastAsia="仿宋"/>
                <w:color w:val="auto"/>
                <w:spacing w:val="-4"/>
                <w:sz w:val="24"/>
                <w:highlight w:val="none"/>
                <w:vertAlign w:val="baseline"/>
                <w:lang w:val="en-US" w:eastAsia="zh-CN"/>
              </w:rPr>
              <w:t>包号</w:t>
            </w:r>
          </w:p>
        </w:tc>
        <w:tc>
          <w:tcPr>
            <w:tcW w:w="6852" w:type="dxa"/>
            <w:vAlign w:val="center"/>
          </w:tcPr>
          <w:p>
            <w:pPr>
              <w:spacing w:after="120" w:afterLines="50" w:line="420" w:lineRule="exact"/>
              <w:jc w:val="center"/>
              <w:rPr>
                <w:rFonts w:hint="default" w:ascii="仿宋" w:hAnsi="仿宋" w:eastAsia="仿宋"/>
                <w:color w:val="auto"/>
                <w:spacing w:val="-4"/>
                <w:sz w:val="24"/>
                <w:highlight w:val="none"/>
                <w:vertAlign w:val="baseline"/>
                <w:lang w:val="en-US" w:eastAsia="zh-CN"/>
              </w:rPr>
            </w:pPr>
            <w:r>
              <w:rPr>
                <w:rFonts w:hint="eastAsia" w:ascii="仿宋" w:hAnsi="仿宋" w:eastAsia="仿宋"/>
                <w:color w:val="auto"/>
                <w:spacing w:val="-4"/>
                <w:sz w:val="24"/>
                <w:highlight w:val="none"/>
                <w:vertAlign w:val="baseline"/>
                <w:lang w:val="en-US" w:eastAsia="zh-CN"/>
              </w:rPr>
              <w:t>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1978" w:type="dxa"/>
            <w:vAlign w:val="center"/>
          </w:tcPr>
          <w:p>
            <w:pPr>
              <w:spacing w:after="120" w:afterLines="50" w:line="420" w:lineRule="exact"/>
              <w:jc w:val="center"/>
              <w:rPr>
                <w:rFonts w:hint="default" w:ascii="仿宋" w:hAnsi="仿宋" w:eastAsia="仿宋"/>
                <w:color w:val="auto"/>
                <w:spacing w:val="-4"/>
                <w:sz w:val="24"/>
                <w:highlight w:val="none"/>
                <w:vertAlign w:val="baseline"/>
                <w:lang w:val="en-US" w:eastAsia="zh-CN"/>
              </w:rPr>
            </w:pPr>
            <w:r>
              <w:rPr>
                <w:rFonts w:hint="eastAsia" w:ascii="仿宋" w:hAnsi="仿宋" w:eastAsia="仿宋"/>
                <w:color w:val="auto"/>
                <w:spacing w:val="-4"/>
                <w:sz w:val="24"/>
                <w:highlight w:val="none"/>
                <w:vertAlign w:val="baseline"/>
                <w:lang w:val="en-US" w:eastAsia="zh-CN"/>
              </w:rPr>
              <w:t>1</w:t>
            </w:r>
          </w:p>
        </w:tc>
        <w:tc>
          <w:tcPr>
            <w:tcW w:w="6852" w:type="dxa"/>
            <w:vAlign w:val="center"/>
          </w:tcPr>
          <w:p>
            <w:pPr>
              <w:spacing w:after="120" w:afterLines="50" w:line="420" w:lineRule="exact"/>
              <w:jc w:val="center"/>
              <w:rPr>
                <w:rFonts w:hint="eastAsia" w:ascii="仿宋" w:hAnsi="仿宋" w:eastAsia="仿宋"/>
                <w:color w:val="auto"/>
                <w:spacing w:val="-4"/>
                <w:sz w:val="24"/>
                <w:highlight w:val="none"/>
                <w:vertAlign w:val="baseline"/>
                <w:lang w:val="en-US" w:eastAsia="zh-CN"/>
              </w:rPr>
            </w:pPr>
            <w:r>
              <w:rPr>
                <w:rFonts w:hint="eastAsia" w:ascii="仿宋" w:hAnsi="仿宋" w:eastAsia="仿宋"/>
                <w:color w:val="auto"/>
                <w:spacing w:val="-4"/>
                <w:sz w:val="24"/>
                <w:highlight w:val="none"/>
                <w:vertAlign w:val="baseline"/>
                <w:lang w:val="en-US" w:eastAsia="zh-CN"/>
              </w:rPr>
              <w:t>智慧高新区时空数据应用系统建设</w:t>
            </w:r>
          </w:p>
        </w:tc>
      </w:tr>
    </w:tbl>
    <w:p>
      <w:pPr>
        <w:spacing w:after="120" w:afterLines="50" w:line="420" w:lineRule="exact"/>
        <w:ind w:firstLine="480" w:firstLineChars="200"/>
        <w:rPr>
          <w:rFonts w:ascii="仿宋" w:hAnsi="仿宋" w:eastAsia="仿宋"/>
          <w:color w:val="auto"/>
          <w:sz w:val="24"/>
          <w:szCs w:val="28"/>
          <w:highlight w:val="none"/>
        </w:rPr>
      </w:pPr>
      <w:r>
        <w:rPr>
          <w:rFonts w:hint="eastAsia" w:ascii="仿宋" w:hAnsi="仿宋" w:eastAsia="仿宋"/>
          <w:color w:val="auto"/>
          <w:sz w:val="24"/>
          <w:szCs w:val="28"/>
          <w:highlight w:val="none"/>
        </w:rPr>
        <w:t>（具体详见招标文件第六章）。</w:t>
      </w:r>
      <w:bookmarkEnd w:id="5"/>
    </w:p>
    <w:p>
      <w:pPr>
        <w:spacing w:after="120" w:afterLines="50" w:line="420" w:lineRule="exact"/>
        <w:ind w:firstLine="482" w:firstLineChars="200"/>
        <w:jc w:val="left"/>
        <w:rPr>
          <w:rFonts w:ascii="仿宋" w:hAnsi="仿宋" w:eastAsia="仿宋"/>
          <w:b/>
          <w:bCs/>
          <w:color w:val="auto"/>
          <w:sz w:val="24"/>
          <w:highlight w:val="none"/>
        </w:rPr>
      </w:pPr>
      <w:r>
        <w:rPr>
          <w:rFonts w:hint="eastAsia" w:ascii="仿宋" w:hAnsi="仿宋" w:eastAsia="仿宋"/>
          <w:b/>
          <w:bCs/>
          <w:color w:val="auto"/>
          <w:sz w:val="24"/>
          <w:highlight w:val="none"/>
        </w:rPr>
        <w:t>五、供应商参加本次政府采购活动，应当在提交投标文件前具备下列条件：</w:t>
      </w:r>
    </w:p>
    <w:p>
      <w:pPr>
        <w:pStyle w:val="44"/>
        <w:keepNext w:val="0"/>
        <w:keepLines w:val="0"/>
        <w:pageBreakBefore w:val="0"/>
        <w:widowControl w:val="0"/>
        <w:kinsoku/>
        <w:wordWrap/>
        <w:overflowPunct/>
        <w:topLinePunct w:val="0"/>
        <w:autoSpaceDE/>
        <w:autoSpaceDN/>
        <w:bidi w:val="0"/>
        <w:adjustRightInd/>
        <w:snapToGrid/>
        <w:spacing w:after="0" w:line="360" w:lineRule="auto"/>
        <w:textAlignment w:val="auto"/>
        <w:rPr>
          <w:rFonts w:ascii="仿宋" w:hAnsi="仿宋" w:eastAsia="仿宋" w:cs="宋体"/>
          <w:color w:val="auto"/>
          <w:sz w:val="24"/>
          <w:highlight w:val="none"/>
        </w:rPr>
      </w:pPr>
      <w:r>
        <w:rPr>
          <w:rFonts w:ascii="仿宋" w:hAnsi="仿宋" w:eastAsia="仿宋" w:cs="宋体"/>
          <w:color w:val="auto"/>
          <w:sz w:val="24"/>
          <w:highlight w:val="none"/>
        </w:rPr>
        <w:t>1、</w:t>
      </w:r>
      <w:r>
        <w:rPr>
          <w:rFonts w:hint="eastAsia" w:ascii="仿宋" w:hAnsi="仿宋" w:eastAsia="仿宋" w:cs="宋体"/>
          <w:color w:val="auto"/>
          <w:sz w:val="24"/>
          <w:highlight w:val="none"/>
        </w:rPr>
        <w:t>满足《中华人民共和国政府采购法》第二十二条规定</w:t>
      </w:r>
      <w:r>
        <w:rPr>
          <w:rFonts w:ascii="仿宋" w:hAnsi="仿宋" w:eastAsia="仿宋" w:cs="宋体"/>
          <w:color w:val="auto"/>
          <w:sz w:val="24"/>
          <w:highlight w:val="none"/>
        </w:rPr>
        <w:t>；</w:t>
      </w:r>
    </w:p>
    <w:p>
      <w:pPr>
        <w:keepNext w:val="0"/>
        <w:keepLines w:val="0"/>
        <w:pageBreakBefore w:val="0"/>
        <w:widowControl w:val="0"/>
        <w:tabs>
          <w:tab w:val="left" w:pos="7665"/>
        </w:tabs>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color w:val="auto"/>
          <w:sz w:val="24"/>
          <w:highlight w:val="none"/>
        </w:rPr>
      </w:pPr>
      <w:r>
        <w:rPr>
          <w:rFonts w:ascii="仿宋" w:hAnsi="仿宋" w:eastAsia="仿宋" w:cs="宋体"/>
          <w:color w:val="auto"/>
          <w:sz w:val="24"/>
          <w:highlight w:val="none"/>
        </w:rPr>
        <w:t>2、</w:t>
      </w:r>
      <w:r>
        <w:rPr>
          <w:rFonts w:hint="eastAsia" w:ascii="仿宋" w:hAnsi="仿宋" w:eastAsia="仿宋" w:cs="宋体"/>
          <w:color w:val="auto"/>
          <w:sz w:val="24"/>
          <w:highlight w:val="none"/>
        </w:rPr>
        <w:t>落实政府采购政策需满足的资格要求：</w:t>
      </w:r>
    </w:p>
    <w:p>
      <w:pPr>
        <w:keepNext w:val="0"/>
        <w:keepLines w:val="0"/>
        <w:pageBreakBefore w:val="0"/>
        <w:widowControl w:val="0"/>
        <w:tabs>
          <w:tab w:val="left" w:pos="7665"/>
        </w:tabs>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color w:val="auto"/>
          <w:sz w:val="24"/>
          <w:highlight w:val="none"/>
          <w:lang w:eastAsia="zh-CN"/>
        </w:rPr>
      </w:pPr>
      <w:r>
        <w:rPr>
          <w:rFonts w:hint="eastAsia" w:ascii="仿宋" w:hAnsi="仿宋" w:eastAsia="仿宋" w:cs="宋体"/>
          <w:color w:val="auto"/>
          <w:sz w:val="24"/>
          <w:highlight w:val="none"/>
        </w:rPr>
        <w:t>2.1 本项目预留份额面向中小企业采购（监狱企业、残疾人福利性单位均视同小微企业），若以合同分包形式参加的，分包意向协议中中小企业合同金额应当达到合同总金额30%；</w:t>
      </w:r>
    </w:p>
    <w:p>
      <w:pPr>
        <w:keepNext w:val="0"/>
        <w:keepLines w:val="0"/>
        <w:pageBreakBefore w:val="0"/>
        <w:widowControl w:val="0"/>
        <w:tabs>
          <w:tab w:val="left" w:pos="7665"/>
        </w:tabs>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3、本项目的特定资格要求：</w:t>
      </w:r>
    </w:p>
    <w:p>
      <w:pPr>
        <w:tabs>
          <w:tab w:val="left" w:pos="7665"/>
        </w:tabs>
        <w:spacing w:after="0"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3.1投标人具有国家测绘地理信息行政主管部门颁发的测绘资质证书（地理信息系统工程为乙级及以上资质）。</w:t>
      </w:r>
    </w:p>
    <w:p>
      <w:pPr>
        <w:tabs>
          <w:tab w:val="left" w:pos="7665"/>
        </w:tabs>
        <w:spacing w:after="0" w:line="360" w:lineRule="auto"/>
        <w:ind w:firstLine="482" w:firstLineChars="200"/>
        <w:rPr>
          <w:rFonts w:ascii="仿宋" w:hAnsi="仿宋" w:eastAsia="仿宋" w:cs="宋体"/>
          <w:b/>
          <w:bCs/>
          <w:color w:val="auto"/>
          <w:sz w:val="24"/>
          <w:highlight w:val="none"/>
        </w:rPr>
      </w:pPr>
      <w:r>
        <w:rPr>
          <w:rFonts w:hint="eastAsia" w:ascii="仿宋" w:hAnsi="仿宋" w:eastAsia="仿宋" w:cs="宋体"/>
          <w:b/>
          <w:bCs/>
          <w:color w:val="auto"/>
          <w:sz w:val="24"/>
          <w:highlight w:val="none"/>
        </w:rPr>
        <w:t>3.2以合同分包形式参加投标的：</w:t>
      </w:r>
    </w:p>
    <w:p>
      <w:pPr>
        <w:tabs>
          <w:tab w:val="left" w:pos="7665"/>
        </w:tabs>
        <w:spacing w:after="0"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（1）投标人及分包承担主体各方均应当符合《政府采购法》第二十二条第一款规定的条件，并提交分包意向协议，载明分包承担主体</w:t>
      </w:r>
      <w:r>
        <w:rPr>
          <w:rFonts w:hint="eastAsia" w:ascii="仿宋" w:hAnsi="仿宋" w:eastAsia="仿宋"/>
          <w:color w:val="auto"/>
          <w:szCs w:val="21"/>
          <w:highlight w:val="none"/>
        </w:rPr>
        <w:t>分</w:t>
      </w:r>
      <w:r>
        <w:rPr>
          <w:rFonts w:hint="eastAsia" w:ascii="仿宋" w:hAnsi="仿宋" w:eastAsia="仿宋" w:cs="宋体"/>
          <w:color w:val="auto"/>
          <w:sz w:val="24"/>
          <w:highlight w:val="none"/>
        </w:rPr>
        <w:t>包履行的具体内容、金额或者比例。</w:t>
      </w:r>
    </w:p>
    <w:p>
      <w:pPr>
        <w:tabs>
          <w:tab w:val="left" w:pos="7665"/>
        </w:tabs>
        <w:spacing w:after="0" w:line="360" w:lineRule="auto"/>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（2）分包承担主体按照分包意向协议分工承担分包工作的，应当具备相应资质条件。</w:t>
      </w:r>
    </w:p>
    <w:p>
      <w:pPr>
        <w:tabs>
          <w:tab w:val="left" w:pos="7665"/>
        </w:tabs>
        <w:spacing w:after="0" w:line="360" w:lineRule="auto"/>
        <w:ind w:firstLine="480" w:firstLineChars="200"/>
        <w:rPr>
          <w:rFonts w:hint="default"/>
          <w:color w:val="auto"/>
          <w:highlight w:val="none"/>
          <w:lang w:val="en-US" w:eastAsia="zh-CN"/>
        </w:rPr>
      </w:pPr>
      <w:r>
        <w:rPr>
          <w:rFonts w:hint="eastAsia" w:ascii="仿宋" w:hAnsi="仿宋" w:eastAsia="仿宋" w:cs="宋体"/>
          <w:color w:val="auto"/>
          <w:sz w:val="24"/>
          <w:highlight w:val="none"/>
        </w:rPr>
        <w:t>（3）投标人载明的分包承担主体不得再单独参加或者作为其他投标人的分包承担主体参加同一合同项下的政府采购活动。</w:t>
      </w:r>
    </w:p>
    <w:p>
      <w:pPr>
        <w:keepNext w:val="0"/>
        <w:keepLines w:val="0"/>
        <w:pageBreakBefore w:val="0"/>
        <w:widowControl w:val="0"/>
        <w:tabs>
          <w:tab w:val="left" w:pos="7665"/>
        </w:tabs>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s="宋体"/>
          <w:color w:val="auto"/>
          <w:sz w:val="24"/>
          <w:highlight w:val="none"/>
        </w:rPr>
      </w:pPr>
      <w:r>
        <w:rPr>
          <w:rFonts w:hint="eastAsia" w:ascii="仿宋" w:hAnsi="仿宋" w:eastAsia="仿宋" w:cs="宋体"/>
          <w:color w:val="auto"/>
          <w:sz w:val="24"/>
          <w:highlight w:val="none"/>
        </w:rPr>
        <w:t>（详见招标文件第四</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五</w:t>
      </w:r>
      <w:r>
        <w:rPr>
          <w:rFonts w:hint="eastAsia" w:ascii="仿宋" w:hAnsi="仿宋" w:eastAsia="仿宋" w:cs="宋体"/>
          <w:color w:val="auto"/>
          <w:sz w:val="24"/>
          <w:highlight w:val="none"/>
        </w:rPr>
        <w:t>章）。</w:t>
      </w:r>
    </w:p>
    <w:p>
      <w:pPr>
        <w:spacing w:line="440" w:lineRule="exact"/>
        <w:ind w:firstLine="602" w:firstLineChars="25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after="0" w:line="440" w:lineRule="exact"/>
        <w:ind w:firstLine="456" w:firstLineChars="200"/>
        <w:jc w:val="left"/>
        <w:rPr>
          <w:rFonts w:ascii="仿宋" w:hAnsi="仿宋" w:eastAsia="仿宋"/>
          <w:color w:val="auto"/>
          <w:sz w:val="24"/>
          <w:highlight w:val="none"/>
        </w:rPr>
      </w:pPr>
      <w:r>
        <w:rPr>
          <w:rFonts w:hint="eastAsia" w:ascii="仿宋" w:hAnsi="仿宋" w:eastAsia="仿宋"/>
          <w:color w:val="auto"/>
          <w:spacing w:val="-6"/>
          <w:sz w:val="24"/>
          <w:highlight w:val="none"/>
        </w:rPr>
        <w:t>根据《关于在政府采购活动中查询及使用信用记录有关问题的通知》（财库〔2016〕125号）的要求，采购人/采购代理机构将通过“信用中国”网站（www.creditchina.gov.cn）、“中国政府采购网”网站（www.ccgp.gov.cn）等</w:t>
      </w:r>
      <w:r>
        <w:rPr>
          <w:rFonts w:hint="eastAsia" w:ascii="仿宋" w:hAnsi="仿宋" w:eastAsia="仿宋"/>
          <w:color w:val="auto"/>
          <w:sz w:val="24"/>
          <w:highlight w:val="none"/>
        </w:rPr>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jc w:val="left"/>
        <w:rPr>
          <w:rFonts w:ascii="仿宋" w:hAnsi="仿宋" w:eastAsia="仿宋"/>
          <w:b/>
          <w:color w:val="auto"/>
          <w:sz w:val="24"/>
          <w:highlight w:val="none"/>
        </w:rPr>
      </w:pPr>
      <w:r>
        <w:rPr>
          <w:rFonts w:hint="eastAsia" w:ascii="仿宋" w:hAnsi="仿宋" w:eastAsia="仿宋"/>
          <w:b/>
          <w:color w:val="auto"/>
          <w:sz w:val="24"/>
          <w:highlight w:val="none"/>
        </w:rPr>
        <w:t>七、招标文件获取时间、地点：</w:t>
      </w:r>
    </w:p>
    <w:p>
      <w:pPr>
        <w:spacing w:after="50" w:line="420" w:lineRule="exact"/>
        <w:ind w:firstLine="480" w:firstLineChars="200"/>
        <w:rPr>
          <w:rFonts w:ascii="仿宋" w:hAnsi="仿宋" w:eastAsia="仿宋"/>
          <w:color w:val="auto"/>
          <w:sz w:val="24"/>
          <w:highlight w:val="none"/>
        </w:rPr>
      </w:pPr>
      <w:bookmarkStart w:id="6" w:name="PO_默认文件内容_47"/>
      <w:r>
        <w:rPr>
          <w:rFonts w:hint="eastAsia" w:ascii="仿宋" w:hAnsi="仿宋" w:eastAsia="仿宋"/>
          <w:color w:val="auto"/>
          <w:sz w:val="24"/>
          <w:highlight w:val="none"/>
        </w:rPr>
        <w:t>招标文件获取时间：2021年</w:t>
      </w:r>
      <w:r>
        <w:rPr>
          <w:rFonts w:hint="eastAsia" w:ascii="仿宋" w:hAnsi="仿宋" w:eastAsia="仿宋"/>
          <w:color w:val="auto"/>
          <w:sz w:val="24"/>
          <w:highlight w:val="none"/>
          <w:lang w:val="en-US" w:eastAsia="zh-CN"/>
        </w:rPr>
        <w:t>09</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17</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00</w:t>
      </w:r>
      <w:r>
        <w:rPr>
          <w:rFonts w:hint="eastAsia" w:ascii="仿宋" w:hAnsi="仿宋" w:eastAsia="仿宋"/>
          <w:color w:val="auto"/>
          <w:sz w:val="24"/>
          <w:highlight w:val="none"/>
        </w:rPr>
        <w:t>:00至2021年</w:t>
      </w:r>
      <w:r>
        <w:rPr>
          <w:rFonts w:hint="eastAsia" w:ascii="仿宋" w:hAnsi="仿宋" w:eastAsia="仿宋"/>
          <w:color w:val="auto"/>
          <w:sz w:val="24"/>
          <w:highlight w:val="none"/>
          <w:lang w:val="en-US" w:eastAsia="zh-CN"/>
        </w:rPr>
        <w:t>09</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24</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23:59</w:t>
      </w:r>
      <w:r>
        <w:rPr>
          <w:rFonts w:hint="eastAsia" w:ascii="仿宋" w:hAnsi="仿宋" w:eastAsia="仿宋"/>
          <w:color w:val="auto"/>
          <w:sz w:val="24"/>
          <w:highlight w:val="none"/>
        </w:rPr>
        <w:t>（北京时间）</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eastAsia="仿宋"/>
          <w:color w:val="auto"/>
          <w:sz w:val="24"/>
          <w:highlight w:val="none"/>
        </w:rPr>
        <w:t>https://www.zcygov.cn）。登录政府采购云平台—项目采购—获取采购文件—申请获取采购文件</w:t>
      </w:r>
      <w:r>
        <w:rPr>
          <w:rFonts w:hint="eastAsia" w:ascii="仿宋" w:hAnsi="仿宋" w:eastAsia="仿宋"/>
          <w:color w:val="auto"/>
          <w:sz w:val="24"/>
          <w:highlight w:val="none"/>
        </w:rPr>
        <w:fldChar w:fldCharType="end"/>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提示：</w:t>
      </w:r>
    </w:p>
    <w:p>
      <w:pPr>
        <w:numPr>
          <w:ilvl w:val="0"/>
          <w:numId w:val="2"/>
        </w:num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本项目招标文件免费获取。</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（3）本项目为电子招标投标项目，投标人参与本项目全过程中凡涉及系统操作请详见</w:t>
      </w:r>
      <w:r>
        <w:rPr>
          <w:rFonts w:hint="eastAsia" w:ascii="仿宋" w:hAnsi="仿宋" w:eastAsia="仿宋"/>
          <w:b/>
          <w:bCs/>
          <w:color w:val="auto"/>
          <w:sz w:val="24"/>
          <w:highlight w:val="none"/>
        </w:rPr>
        <w:t>《供应商政府采购项目电子交易操作指南》</w:t>
      </w:r>
      <w:r>
        <w:rPr>
          <w:rFonts w:hint="eastAsia" w:ascii="仿宋" w:hAnsi="仿宋" w:eastAsia="仿宋"/>
          <w:color w:val="auto"/>
          <w:sz w:val="24"/>
          <w:highlight w:val="none"/>
        </w:rPr>
        <w:t>。（操作指南以政府采购云平台网站发布为准，获取方式详见：</w:t>
      </w:r>
      <w:r>
        <w:rPr>
          <w:rFonts w:hint="eastAsia" w:ascii="仿宋" w:hAnsi="仿宋" w:eastAsia="仿宋"/>
          <w:b/>
          <w:bCs/>
          <w:color w:val="auto"/>
          <w:sz w:val="24"/>
          <w:highlight w:val="none"/>
        </w:rPr>
        <w:t>招标文件附件</w:t>
      </w:r>
      <w:r>
        <w:rPr>
          <w:rFonts w:hint="eastAsia" w:ascii="仿宋" w:hAnsi="仿宋" w:eastAsia="仿宋"/>
          <w:b/>
          <w:bCs/>
          <w:color w:val="auto"/>
          <w:sz w:val="24"/>
          <w:highlight w:val="none"/>
          <w:lang w:val="en-US" w:eastAsia="zh-CN"/>
        </w:rPr>
        <w:t>四</w:t>
      </w:r>
      <w:r>
        <w:rPr>
          <w:rFonts w:hint="eastAsia" w:ascii="仿宋" w:hAnsi="仿宋" w:eastAsia="仿宋"/>
          <w:b/>
          <w:bCs/>
          <w:color w:val="auto"/>
          <w:sz w:val="24"/>
          <w:highlight w:val="none"/>
        </w:rPr>
        <w:t>-政府采购云平台使用介绍</w:t>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（4）政府采购云平台投标人注册地址：</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https://middle.zcygov.cn/v-settle-front/registry</w:t>
      </w:r>
    </w:p>
    <w:bookmarkEnd w:id="6"/>
    <w:p>
      <w:pPr>
        <w:spacing w:after="120" w:afterLines="50" w:line="420" w:lineRule="exact"/>
        <w:ind w:firstLine="482" w:firstLineChars="200"/>
        <w:jc w:val="left"/>
        <w:rPr>
          <w:rFonts w:ascii="仿宋" w:hAnsi="仿宋" w:eastAsia="仿宋"/>
          <w:b/>
          <w:color w:val="auto"/>
          <w:sz w:val="24"/>
          <w:highlight w:val="none"/>
        </w:rPr>
      </w:pPr>
      <w:r>
        <w:rPr>
          <w:rFonts w:hint="eastAsia" w:ascii="仿宋" w:hAnsi="仿宋" w:eastAsia="仿宋"/>
          <w:b/>
          <w:color w:val="auto"/>
          <w:sz w:val="24"/>
          <w:szCs w:val="28"/>
          <w:highlight w:val="none"/>
        </w:rPr>
        <w:t>八、</w:t>
      </w:r>
      <w:r>
        <w:rPr>
          <w:rFonts w:hint="eastAsia" w:ascii="仿宋" w:hAnsi="仿宋" w:eastAsia="仿宋"/>
          <w:b/>
          <w:color w:val="auto"/>
          <w:sz w:val="24"/>
          <w:highlight w:val="none"/>
        </w:rPr>
        <w:t>投标截止时间和开标时间：</w:t>
      </w:r>
      <w:r>
        <w:rPr>
          <w:rFonts w:hint="eastAsia" w:ascii="仿宋" w:hAnsi="仿宋" w:eastAsia="仿宋"/>
          <w:b w:val="0"/>
          <w:bCs/>
          <w:color w:val="auto"/>
          <w:sz w:val="24"/>
          <w:highlight w:val="none"/>
          <w:lang w:val="en-US" w:eastAsia="zh-CN"/>
        </w:rPr>
        <w:t>2021</w:t>
      </w:r>
      <w:r>
        <w:rPr>
          <w:rFonts w:hint="eastAsia" w:ascii="仿宋" w:hAnsi="仿宋" w:eastAsia="仿宋"/>
          <w:color w:val="auto"/>
          <w:sz w:val="24"/>
          <w:highlight w:val="none"/>
        </w:rPr>
        <w:t>年</w:t>
      </w:r>
      <w:r>
        <w:rPr>
          <w:rFonts w:hint="eastAsia" w:ascii="仿宋" w:hAnsi="仿宋" w:eastAsia="仿宋"/>
          <w:color w:val="auto"/>
          <w:sz w:val="24"/>
          <w:highlight w:val="none"/>
          <w:lang w:val="en-US" w:eastAsia="zh-CN"/>
        </w:rPr>
        <w:t>10</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09</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11时00分</w:t>
      </w:r>
      <w:r>
        <w:rPr>
          <w:rFonts w:hint="eastAsia" w:ascii="仿宋" w:hAnsi="仿宋" w:eastAsia="仿宋"/>
          <w:color w:val="auto"/>
          <w:sz w:val="24"/>
          <w:szCs w:val="28"/>
          <w:highlight w:val="none"/>
        </w:rPr>
        <w:t>（北京时间）。</w:t>
      </w:r>
    </w:p>
    <w:p>
      <w:pPr>
        <w:pStyle w:val="13"/>
        <w:spacing w:after="120" w:afterLines="50" w:line="420" w:lineRule="exact"/>
        <w:ind w:firstLine="480"/>
        <w:rPr>
          <w:rFonts w:ascii="仿宋" w:hAnsi="仿宋" w:eastAsia="仿宋"/>
          <w:color w:val="auto"/>
          <w:sz w:val="24"/>
          <w:szCs w:val="28"/>
          <w:highlight w:val="none"/>
        </w:rPr>
      </w:pPr>
      <w:bookmarkStart w:id="7" w:name="PO_默认文件内容_12"/>
      <w:r>
        <w:rPr>
          <w:rFonts w:hint="eastAsia" w:ascii="仿宋" w:hAnsi="仿宋" w:eastAsia="仿宋"/>
          <w:color w:val="auto"/>
          <w:sz w:val="24"/>
          <w:szCs w:val="28"/>
          <w:highlight w:val="none"/>
        </w:rPr>
        <w:t>投标截止时间前，投标人应将加密的电子投标文件递交至“政府采购云平台”对应项目（包件）。</w:t>
      </w:r>
    </w:p>
    <w:bookmarkEnd w:id="7"/>
    <w:p>
      <w:pPr>
        <w:spacing w:after="120" w:afterLines="50" w:line="420" w:lineRule="exact"/>
        <w:ind w:firstLine="482" w:firstLineChars="200"/>
        <w:jc w:val="left"/>
        <w:rPr>
          <w:rFonts w:hint="eastAsia" w:ascii="仿宋" w:hAnsi="仿宋" w:eastAsia="仿宋"/>
          <w:b/>
          <w:bCs/>
          <w:color w:val="auto"/>
          <w:sz w:val="24"/>
          <w:szCs w:val="28"/>
          <w:highlight w:val="none"/>
        </w:rPr>
      </w:pPr>
      <w:r>
        <w:rPr>
          <w:rFonts w:hint="eastAsia" w:ascii="仿宋" w:hAnsi="仿宋" w:eastAsia="仿宋"/>
          <w:b/>
          <w:color w:val="auto"/>
          <w:sz w:val="24"/>
          <w:szCs w:val="28"/>
          <w:highlight w:val="none"/>
        </w:rPr>
        <w:t>九、</w:t>
      </w:r>
      <w:r>
        <w:rPr>
          <w:rFonts w:hint="eastAsia" w:ascii="仿宋" w:hAnsi="仿宋" w:eastAsia="仿宋"/>
          <w:b/>
          <w:bCs/>
          <w:color w:val="auto"/>
          <w:sz w:val="24"/>
          <w:szCs w:val="28"/>
          <w:highlight w:val="none"/>
        </w:rPr>
        <w:t>开标地点：</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（1）本项目为不见面开标项目。</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（2）开标地点：政府采购云平台(https://www.zcygov.cn)。</w:t>
      </w:r>
    </w:p>
    <w:p>
      <w:pPr>
        <w:spacing w:after="50" w:line="420" w:lineRule="exact"/>
        <w:ind w:firstLine="487" w:firstLineChars="203"/>
        <w:rPr>
          <w:rFonts w:ascii="仿宋" w:hAnsi="仿宋" w:eastAsia="仿宋"/>
          <w:color w:val="auto"/>
          <w:sz w:val="24"/>
          <w:szCs w:val="28"/>
          <w:highlight w:val="none"/>
        </w:rPr>
      </w:pPr>
      <w:r>
        <w:rPr>
          <w:rFonts w:hint="eastAsia" w:ascii="仿宋" w:hAnsi="仿宋" w:eastAsia="仿宋"/>
          <w:color w:val="auto"/>
          <w:sz w:val="24"/>
          <w:szCs w:val="28"/>
          <w:highlight w:val="none"/>
        </w:rPr>
        <w:t>（3）本项目只接受投标人加密并递交至“政府采购云平台”的投标文件。</w:t>
      </w:r>
    </w:p>
    <w:p>
      <w:pPr>
        <w:spacing w:line="420" w:lineRule="exact"/>
        <w:ind w:firstLine="482" w:firstLineChars="200"/>
        <w:rPr>
          <w:rFonts w:ascii="仿宋" w:hAnsi="仿宋" w:eastAsia="仿宋"/>
          <w:color w:val="auto"/>
          <w:sz w:val="24"/>
          <w:highlight w:val="none"/>
        </w:rPr>
      </w:pPr>
      <w:bookmarkStart w:id="8" w:name="PO_默认文件内容_13"/>
      <w:r>
        <w:rPr>
          <w:rFonts w:hint="eastAsia" w:ascii="仿宋" w:hAnsi="仿宋" w:eastAsia="仿宋"/>
          <w:b/>
          <w:color w:val="auto"/>
          <w:sz w:val="24"/>
          <w:highlight w:val="none"/>
        </w:rPr>
        <w:t>十、</w:t>
      </w:r>
      <w:r>
        <w:rPr>
          <w:rFonts w:hint="eastAsia" w:ascii="仿宋" w:hAnsi="仿宋" w:eastAsia="仿宋"/>
          <w:color w:val="auto"/>
          <w:sz w:val="24"/>
          <w:highlight w:val="none"/>
        </w:rPr>
        <w:t>本投标邀请在四川政府采购网上以公告形式发布。</w:t>
      </w:r>
      <w:bookmarkEnd w:id="8"/>
    </w:p>
    <w:p>
      <w:pPr>
        <w:spacing w:line="42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spacing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spacing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b/>
          <w:color w:val="auto"/>
          <w:sz w:val="24"/>
          <w:highlight w:val="none"/>
        </w:rPr>
      </w:pPr>
      <w:r>
        <w:rPr>
          <w:rFonts w:hint="eastAsia" w:ascii="仿宋" w:hAnsi="仿宋" w:eastAsia="仿宋"/>
          <w:b/>
          <w:color w:val="auto"/>
          <w:sz w:val="24"/>
          <w:highlight w:val="none"/>
        </w:rPr>
        <w:t>十二、联系方式</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b/>
          <w:bCs/>
          <w:color w:val="auto"/>
          <w:sz w:val="24"/>
          <w:highlight w:val="none"/>
        </w:rPr>
      </w:pPr>
      <w:r>
        <w:rPr>
          <w:rFonts w:hint="eastAsia" w:ascii="仿宋" w:hAnsi="仿宋" w:eastAsia="仿宋"/>
          <w:b/>
          <w:bCs/>
          <w:color w:val="auto"/>
          <w:sz w:val="24"/>
          <w:highlight w:val="none"/>
        </w:rPr>
        <w:t>采 购 人</w:t>
      </w:r>
      <w:r>
        <w:rPr>
          <w:rFonts w:hint="eastAsia" w:ascii="仿宋" w:hAnsi="仿宋" w:eastAsia="仿宋"/>
          <w:b/>
          <w:color w:val="auto"/>
          <w:sz w:val="24"/>
          <w:highlight w:val="none"/>
        </w:rPr>
        <w:t>：成都高新技术产业开发区公园城市建设局</w:t>
      </w:r>
    </w:p>
    <w:p>
      <w:pPr>
        <w:keepNext w:val="0"/>
        <w:keepLines w:val="0"/>
        <w:pageBreakBefore w:val="0"/>
        <w:widowControl w:val="0"/>
        <w:tabs>
          <w:tab w:val="center" w:pos="5109"/>
        </w:tabs>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olor w:val="auto"/>
          <w:sz w:val="24"/>
          <w:highlight w:val="none"/>
        </w:rPr>
      </w:pPr>
      <w:r>
        <w:rPr>
          <w:rFonts w:hint="eastAsia" w:ascii="仿宋" w:hAnsi="仿宋" w:eastAsia="仿宋"/>
          <w:bCs/>
          <w:color w:val="auto"/>
          <w:sz w:val="24"/>
          <w:highlight w:val="none"/>
        </w:rPr>
        <w:t>地    址：</w:t>
      </w:r>
      <w:r>
        <w:rPr>
          <w:rFonts w:hint="eastAsia" w:ascii="仿宋" w:hAnsi="仿宋" w:eastAsia="仿宋"/>
          <w:color w:val="auto"/>
          <w:sz w:val="24"/>
          <w:highlight w:val="none"/>
        </w:rPr>
        <w:t>成都市</w:t>
      </w:r>
      <w:r>
        <w:rPr>
          <w:rFonts w:ascii="仿宋" w:hAnsi="仿宋" w:eastAsia="仿宋"/>
          <w:color w:val="auto"/>
          <w:sz w:val="24"/>
          <w:highlight w:val="none"/>
        </w:rPr>
        <w:t>天府大道北段</w:t>
      </w:r>
      <w:r>
        <w:rPr>
          <w:rFonts w:hint="eastAsia" w:ascii="仿宋" w:hAnsi="仿宋" w:eastAsia="仿宋"/>
          <w:color w:val="auto"/>
          <w:sz w:val="24"/>
          <w:highlight w:val="none"/>
        </w:rPr>
        <w:t>18号</w:t>
      </w:r>
      <w:r>
        <w:rPr>
          <w:rFonts w:ascii="仿宋" w:hAnsi="仿宋" w:eastAsia="仿宋"/>
          <w:color w:val="auto"/>
          <w:sz w:val="24"/>
          <w:highlight w:val="none"/>
        </w:rPr>
        <w:t>高新国际广场</w:t>
      </w:r>
      <w:r>
        <w:rPr>
          <w:rFonts w:hint="eastAsia" w:ascii="仿宋" w:hAnsi="仿宋" w:eastAsia="仿宋"/>
          <w:color w:val="auto"/>
          <w:sz w:val="24"/>
          <w:highlight w:val="none"/>
        </w:rPr>
        <w:t>A座6楼</w:t>
      </w:r>
      <w:r>
        <w:rPr>
          <w:rFonts w:ascii="仿宋" w:hAnsi="仿宋" w:eastAsia="仿宋"/>
          <w:color w:val="auto"/>
          <w:sz w:val="24"/>
          <w:highlight w:val="none"/>
        </w:rPr>
        <w:tab/>
      </w:r>
    </w:p>
    <w:p>
      <w:pPr>
        <w:spacing w:after="0" w:line="360" w:lineRule="auto"/>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郑老师</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联系电话：028-65775350</w:t>
      </w:r>
    </w:p>
    <w:p>
      <w:pPr>
        <w:keepNext w:val="0"/>
        <w:keepLines w:val="0"/>
        <w:pageBreakBefore w:val="0"/>
        <w:widowControl w:val="0"/>
        <w:kinsoku/>
        <w:wordWrap/>
        <w:overflowPunct/>
        <w:topLinePunct w:val="0"/>
        <w:autoSpaceDE/>
        <w:autoSpaceDN/>
        <w:bidi w:val="0"/>
        <w:adjustRightInd/>
        <w:snapToGrid/>
        <w:spacing w:after="0" w:line="360" w:lineRule="auto"/>
        <w:ind w:firstLine="1260" w:firstLineChars="525"/>
        <w:textAlignment w:val="auto"/>
        <w:rPr>
          <w:rFonts w:ascii="仿宋" w:hAnsi="仿宋" w:eastAsia="仿宋"/>
          <w:color w:val="auto"/>
          <w:sz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仿宋" w:hAnsi="仿宋" w:eastAsia="仿宋"/>
          <w:b/>
          <w:color w:val="auto"/>
          <w:sz w:val="24"/>
          <w:highlight w:val="none"/>
        </w:rPr>
      </w:pPr>
      <w:r>
        <w:rPr>
          <w:rFonts w:hint="eastAsia" w:ascii="仿宋" w:hAnsi="仿宋" w:eastAsia="仿宋"/>
          <w:b/>
          <w:bCs/>
          <w:color w:val="auto"/>
          <w:sz w:val="24"/>
          <w:highlight w:val="none"/>
        </w:rPr>
        <w:t>采购代理机构：</w:t>
      </w:r>
      <w:r>
        <w:rPr>
          <w:rFonts w:hint="eastAsia" w:ascii="仿宋" w:hAnsi="仿宋" w:eastAsia="仿宋"/>
          <w:b/>
          <w:color w:val="auto"/>
          <w:sz w:val="24"/>
          <w:highlight w:val="none"/>
        </w:rPr>
        <w:t>四川成与诚招标代理有限公司</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地    址：四川省成都市高新区锦尚西一路楚峰国际中心</w:t>
      </w:r>
      <w:r>
        <w:rPr>
          <w:rFonts w:hint="eastAsia" w:ascii="仿宋" w:hAnsi="仿宋" w:eastAsia="仿宋"/>
          <w:color w:val="auto"/>
          <w:szCs w:val="21"/>
          <w:highlight w:val="none"/>
        </w:rPr>
        <w:t>45A03号（44层）</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邮    编：</w:t>
      </w:r>
      <w:r>
        <w:rPr>
          <w:rFonts w:ascii="仿宋" w:hAnsi="仿宋" w:eastAsia="仿宋"/>
          <w:color w:val="auto"/>
          <w:sz w:val="24"/>
          <w:highlight w:val="none"/>
        </w:rPr>
        <w:t>610041</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仿宋" w:hAnsi="仿宋" w:eastAsia="仿宋"/>
          <w:color w:val="auto"/>
          <w:sz w:val="24"/>
          <w:highlight w:val="none"/>
          <w:lang w:eastAsia="zh-CN"/>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鲁女士</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 w:hAnsi="仿宋" w:eastAsia="仿宋"/>
          <w:color w:val="auto"/>
          <w:sz w:val="24"/>
          <w:highlight w:val="none"/>
        </w:rPr>
      </w:pPr>
      <w:r>
        <w:rPr>
          <w:rFonts w:hint="eastAsia" w:ascii="仿宋" w:hAnsi="仿宋" w:eastAsia="仿宋"/>
          <w:color w:val="auto"/>
          <w:sz w:val="24"/>
          <w:highlight w:val="none"/>
        </w:rPr>
        <w:t>联系电话：028-83475775、19108230597</w:t>
      </w:r>
    </w:p>
    <w:p>
      <w:pPr>
        <w:pStyle w:val="26"/>
        <w:spacing w:after="50" w:afterAutospacing="0" w:line="420" w:lineRule="exact"/>
        <w:ind w:firstLine="5640" w:firstLineChars="2350"/>
        <w:rPr>
          <w:rFonts w:ascii="仿宋" w:hAnsi="仿宋" w:eastAsia="仿宋"/>
          <w:color w:val="auto"/>
          <w:sz w:val="24"/>
          <w:szCs w:val="24"/>
          <w:highlight w:val="none"/>
        </w:rPr>
      </w:pPr>
      <w:r>
        <w:rPr>
          <w:rFonts w:ascii="仿宋" w:hAnsi="仿宋" w:eastAsia="仿宋"/>
          <w:color w:val="auto"/>
          <w:sz w:val="24"/>
          <w:szCs w:val="24"/>
          <w:highlight w:val="none"/>
        </w:rPr>
        <w:t xml:space="preserve"> </w:t>
      </w:r>
    </w:p>
    <w:p>
      <w:pPr>
        <w:pStyle w:val="26"/>
        <w:spacing w:after="50" w:afterAutospacing="0" w:line="420" w:lineRule="exact"/>
        <w:rPr>
          <w:rFonts w:ascii="仿宋" w:hAnsi="仿宋" w:eastAsia="仿宋"/>
          <w:color w:val="auto"/>
          <w:sz w:val="36"/>
          <w:szCs w:val="36"/>
          <w:highlight w:val="none"/>
        </w:rPr>
        <w:sectPr>
          <w:footerReference r:id="rId13" w:type="first"/>
          <w:footerReference r:id="rId12" w:type="default"/>
          <w:pgSz w:w="11905" w:h="16838"/>
          <w:pgMar w:top="1440" w:right="1474" w:bottom="1440" w:left="1474" w:header="425" w:footer="992" w:gutter="0"/>
          <w:pgNumType w:fmt="decimal"/>
          <w:cols w:space="0" w:num="1"/>
          <w:titlePg/>
          <w:rtlGutter w:val="0"/>
          <w:docGrid w:linePitch="312" w:charSpace="0"/>
        </w:sectPr>
      </w:pPr>
      <w:bookmarkStart w:id="9" w:name="_Toc12497"/>
      <w:bookmarkStart w:id="10" w:name="_Toc213496267"/>
      <w:bookmarkStart w:id="11" w:name="_Toc213397009"/>
      <w:bookmarkStart w:id="12" w:name="_Toc213396759"/>
      <w:bookmarkStart w:id="13" w:name="_Toc217446031"/>
      <w:bookmarkStart w:id="14" w:name="_Toc213396945"/>
    </w:p>
    <w:p>
      <w:pPr>
        <w:pStyle w:val="3"/>
        <w:jc w:val="center"/>
        <w:rPr>
          <w:rFonts w:ascii="仿宋" w:hAnsi="仿宋" w:eastAsia="仿宋"/>
          <w:color w:val="auto"/>
          <w:sz w:val="36"/>
          <w:szCs w:val="36"/>
          <w:highlight w:val="none"/>
        </w:rPr>
      </w:pPr>
      <w:bookmarkStart w:id="15" w:name="_Toc9253"/>
      <w:r>
        <w:rPr>
          <w:rFonts w:hint="eastAsia" w:ascii="仿宋" w:hAnsi="仿宋" w:eastAsia="仿宋"/>
          <w:color w:val="auto"/>
          <w:sz w:val="36"/>
          <w:szCs w:val="36"/>
          <w:highlight w:val="none"/>
        </w:rPr>
        <w:t>第二章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投标人须知</w:t>
      </w:r>
      <w:bookmarkEnd w:id="9"/>
      <w:bookmarkEnd w:id="15"/>
    </w:p>
    <w:p>
      <w:pPr>
        <w:pStyle w:val="4"/>
        <w:spacing w:line="240" w:lineRule="atLeast"/>
        <w:jc w:val="center"/>
        <w:rPr>
          <w:rFonts w:ascii="仿宋" w:hAnsi="仿宋" w:eastAsia="仿宋"/>
          <w:color w:val="auto"/>
          <w:highlight w:val="none"/>
        </w:rPr>
      </w:pPr>
      <w:r>
        <w:rPr>
          <w:rFonts w:hint="eastAsia" w:ascii="仿宋" w:hAnsi="仿宋" w:eastAsia="仿宋"/>
          <w:color w:val="auto"/>
          <w:highlight w:val="none"/>
        </w:rPr>
        <w:t>一、投标人须知附表</w:t>
      </w:r>
    </w:p>
    <w:bookmarkEnd w:id="10"/>
    <w:bookmarkEnd w:id="11"/>
    <w:bookmarkEnd w:id="12"/>
    <w:bookmarkEnd w:id="13"/>
    <w:bookmarkEnd w:id="14"/>
    <w:tbl>
      <w:tblPr>
        <w:tblStyle w:val="28"/>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序号</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olor w:val="auto"/>
                <w:szCs w:val="21"/>
                <w:highlight w:val="none"/>
              </w:rPr>
            </w:pPr>
            <w:r>
              <w:rPr>
                <w:rFonts w:hint="eastAsia" w:ascii="仿宋" w:hAnsi="仿宋" w:eastAsia="仿宋"/>
                <w:color w:val="auto"/>
                <w:szCs w:val="21"/>
                <w:highlight w:val="none"/>
              </w:rPr>
              <w:t>条款名称</w:t>
            </w:r>
          </w:p>
        </w:tc>
        <w:tc>
          <w:tcPr>
            <w:tcW w:w="6111" w:type="dxa"/>
            <w:vAlign w:val="center"/>
          </w:tcPr>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w:t>
            </w:r>
          </w:p>
        </w:tc>
        <w:tc>
          <w:tcPr>
            <w:tcW w:w="2552" w:type="dxa"/>
            <w:tcBorders>
              <w:bottom w:val="single" w:color="auto" w:sz="4" w:space="0"/>
            </w:tcBorders>
            <w:vAlign w:val="center"/>
          </w:tcPr>
          <w:p>
            <w:pPr>
              <w:autoSpaceDE w:val="0"/>
              <w:autoSpaceDN w:val="0"/>
              <w:adjustRightInd w:val="0"/>
              <w:snapToGrid w:val="0"/>
              <w:spacing w:after="0" w:line="360" w:lineRule="auto"/>
              <w:ind w:left="38"/>
              <w:jc w:val="center"/>
              <w:rPr>
                <w:rFonts w:ascii="仿宋" w:hAnsi="仿宋" w:eastAsia="仿宋"/>
                <w:color w:val="auto"/>
                <w:szCs w:val="21"/>
                <w:highlight w:val="none"/>
              </w:rPr>
            </w:pPr>
            <w:r>
              <w:rPr>
                <w:rFonts w:hint="eastAsia" w:ascii="仿宋" w:hAnsi="仿宋" w:eastAsia="仿宋"/>
                <w:color w:val="auto"/>
                <w:szCs w:val="21"/>
                <w:highlight w:val="none"/>
              </w:rPr>
              <w:t>采购预算</w:t>
            </w:r>
          </w:p>
          <w:p>
            <w:pPr>
              <w:autoSpaceDE w:val="0"/>
              <w:autoSpaceDN w:val="0"/>
              <w:adjustRightInd w:val="0"/>
              <w:snapToGrid w:val="0"/>
              <w:spacing w:after="0" w:line="360" w:lineRule="auto"/>
              <w:ind w:left="38"/>
              <w:jc w:val="center"/>
              <w:rPr>
                <w:rFonts w:ascii="仿宋" w:hAnsi="仿宋" w:eastAsia="仿宋"/>
                <w:color w:val="auto"/>
                <w:szCs w:val="21"/>
                <w:highlight w:val="none"/>
              </w:rPr>
            </w:pPr>
            <w:r>
              <w:rPr>
                <w:rFonts w:hint="eastAsia" w:ascii="仿宋" w:hAnsi="仿宋" w:eastAsia="仿宋" w:cs="宋体"/>
                <w:color w:val="auto"/>
                <w:kern w:val="0"/>
                <w:szCs w:val="21"/>
                <w:highlight w:val="none"/>
              </w:rPr>
              <w:t>（实质性要求）</w:t>
            </w:r>
          </w:p>
        </w:tc>
        <w:tc>
          <w:tcPr>
            <w:tcW w:w="6111" w:type="dxa"/>
            <w:tcBorders>
              <w:bottom w:val="single" w:color="auto" w:sz="4" w:space="0"/>
            </w:tcBorders>
          </w:tcPr>
          <w:p>
            <w:pPr>
              <w:widowControl/>
              <w:adjustRightInd w:val="0"/>
              <w:snapToGrid w:val="0"/>
              <w:spacing w:after="0" w:line="360" w:lineRule="auto"/>
              <w:jc w:val="left"/>
              <w:rPr>
                <w:rFonts w:ascii="仿宋" w:hAnsi="仿宋" w:eastAsia="仿宋"/>
                <w:color w:val="auto"/>
                <w:kern w:val="0"/>
                <w:szCs w:val="21"/>
                <w:highlight w:val="none"/>
              </w:rPr>
            </w:pPr>
            <w:bookmarkStart w:id="16" w:name="PO_预算分包信息_1"/>
            <w:r>
              <w:rPr>
                <w:rFonts w:ascii="仿宋" w:hAnsi="仿宋" w:eastAsia="仿宋"/>
                <w:color w:val="auto"/>
                <w:kern w:val="0"/>
                <w:szCs w:val="21"/>
                <w:highlight w:val="none"/>
              </w:rPr>
              <w:t>预算金额</w:t>
            </w:r>
            <w:r>
              <w:rPr>
                <w:rFonts w:hint="eastAsia" w:ascii="仿宋" w:hAnsi="仿宋" w:eastAsia="仿宋"/>
                <w:color w:val="auto"/>
                <w:kern w:val="0"/>
                <w:szCs w:val="21"/>
                <w:highlight w:val="none"/>
              </w:rPr>
              <w:t>：</w:t>
            </w:r>
            <w:r>
              <w:rPr>
                <w:rFonts w:hint="eastAsia" w:ascii="仿宋" w:hAnsi="仿宋" w:eastAsia="仿宋"/>
                <w:color w:val="auto"/>
                <w:kern w:val="0"/>
                <w:szCs w:val="21"/>
                <w:highlight w:val="none"/>
                <w:lang w:val="en-US" w:eastAsia="zh-CN"/>
              </w:rPr>
              <w:t>212.2</w:t>
            </w:r>
            <w:r>
              <w:rPr>
                <w:rFonts w:ascii="仿宋" w:hAnsi="仿宋" w:eastAsia="仿宋"/>
                <w:color w:val="auto"/>
                <w:kern w:val="0"/>
                <w:szCs w:val="21"/>
                <w:highlight w:val="none"/>
              </w:rPr>
              <w:t>万元</w:t>
            </w:r>
            <w:bookmarkEnd w:id="16"/>
          </w:p>
          <w:p>
            <w:pPr>
              <w:autoSpaceDE w:val="0"/>
              <w:autoSpaceDN w:val="0"/>
              <w:adjustRightInd w:val="0"/>
              <w:snapToGrid w:val="0"/>
              <w:spacing w:after="0" w:line="360" w:lineRule="auto"/>
              <w:rPr>
                <w:rFonts w:ascii="仿宋" w:hAnsi="仿宋" w:eastAsia="仿宋"/>
                <w:color w:val="auto"/>
                <w:szCs w:val="21"/>
                <w:highlight w:val="none"/>
              </w:rPr>
            </w:pPr>
            <w:r>
              <w:rPr>
                <w:rFonts w:hint="eastAsia" w:ascii="仿宋" w:hAnsi="仿宋" w:eastAsia="仿宋" w:cs="宋体"/>
                <w:color w:val="auto"/>
                <w:kern w:val="0"/>
                <w:szCs w:val="21"/>
                <w:highlight w:val="none"/>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continue"/>
            <w:vAlign w:val="center"/>
          </w:tcPr>
          <w:p>
            <w:pPr>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olor w:val="auto"/>
                <w:szCs w:val="21"/>
                <w:highlight w:val="none"/>
              </w:rPr>
            </w:pP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最高限价</w:t>
            </w:r>
          </w:p>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s="宋体"/>
                <w:color w:val="auto"/>
                <w:kern w:val="0"/>
                <w:szCs w:val="21"/>
                <w:highlight w:val="none"/>
              </w:rPr>
              <w:t>（实质性要求）</w:t>
            </w:r>
          </w:p>
        </w:tc>
        <w:tc>
          <w:tcPr>
            <w:tcW w:w="6111" w:type="dxa"/>
            <w:tcBorders>
              <w:top w:val="single" w:color="auto" w:sz="4" w:space="0"/>
            </w:tcBorders>
          </w:tcPr>
          <w:p>
            <w:pPr>
              <w:widowControl/>
              <w:adjustRightInd w:val="0"/>
              <w:snapToGrid w:val="0"/>
              <w:spacing w:after="0" w:line="360" w:lineRule="auto"/>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最高</w:t>
            </w:r>
            <w:r>
              <w:rPr>
                <w:rFonts w:ascii="仿宋" w:hAnsi="仿宋" w:eastAsia="仿宋"/>
                <w:color w:val="auto"/>
                <w:kern w:val="0"/>
                <w:szCs w:val="21"/>
                <w:highlight w:val="none"/>
              </w:rPr>
              <w:t>限价</w:t>
            </w:r>
            <w:r>
              <w:rPr>
                <w:rFonts w:hint="eastAsia" w:ascii="仿宋" w:hAnsi="仿宋" w:eastAsia="仿宋"/>
                <w:color w:val="auto"/>
                <w:kern w:val="0"/>
                <w:szCs w:val="21"/>
                <w:highlight w:val="none"/>
              </w:rPr>
              <w:t>：</w:t>
            </w:r>
            <w:r>
              <w:rPr>
                <w:rFonts w:hint="eastAsia" w:ascii="仿宋" w:hAnsi="仿宋" w:eastAsia="仿宋"/>
                <w:color w:val="auto"/>
                <w:kern w:val="0"/>
                <w:szCs w:val="21"/>
                <w:highlight w:val="none"/>
                <w:lang w:val="en-US" w:eastAsia="zh-CN"/>
              </w:rPr>
              <w:t>212.2</w:t>
            </w:r>
            <w:r>
              <w:rPr>
                <w:rFonts w:ascii="仿宋" w:hAnsi="仿宋" w:eastAsia="仿宋"/>
                <w:color w:val="auto"/>
                <w:kern w:val="0"/>
                <w:szCs w:val="21"/>
                <w:highlight w:val="none"/>
              </w:rPr>
              <w:t>万元</w:t>
            </w:r>
          </w:p>
          <w:p>
            <w:pPr>
              <w:autoSpaceDE w:val="0"/>
              <w:autoSpaceDN w:val="0"/>
              <w:adjustRightInd w:val="0"/>
              <w:snapToGrid w:val="0"/>
              <w:spacing w:after="0" w:line="360" w:lineRule="auto"/>
              <w:rPr>
                <w:rFonts w:ascii="仿宋" w:hAnsi="仿宋" w:eastAsia="仿宋" w:cs="宋体"/>
                <w:color w:val="auto"/>
                <w:kern w:val="0"/>
                <w:szCs w:val="21"/>
                <w:highlight w:val="none"/>
              </w:rPr>
            </w:pPr>
            <w:bookmarkStart w:id="17" w:name="PO_默认文件内容_27"/>
            <w:r>
              <w:rPr>
                <w:rFonts w:hint="eastAsia" w:ascii="仿宋" w:hAnsi="仿宋" w:eastAsia="仿宋" w:cs="宋体"/>
                <w:color w:val="auto"/>
                <w:kern w:val="0"/>
                <w:szCs w:val="21"/>
                <w:highlight w:val="none"/>
              </w:rPr>
              <w:t>超过最高限价的报价为无效投标。</w:t>
            </w:r>
          </w:p>
          <w:p>
            <w:pPr>
              <w:widowControl/>
              <w:adjustRightInd w:val="0"/>
              <w:snapToGrid w:val="0"/>
              <w:spacing w:after="0" w:line="360" w:lineRule="auto"/>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2</w:t>
            </w:r>
          </w:p>
        </w:tc>
        <w:tc>
          <w:tcPr>
            <w:tcW w:w="2552" w:type="dxa"/>
            <w:vAlign w:val="center"/>
          </w:tcPr>
          <w:p>
            <w:pPr>
              <w:autoSpaceDE w:val="0"/>
              <w:autoSpaceDN w:val="0"/>
              <w:adjustRightInd w:val="0"/>
              <w:snapToGrid w:val="0"/>
              <w:spacing w:after="0" w:line="360" w:lineRule="auto"/>
              <w:ind w:left="38"/>
              <w:jc w:val="center"/>
              <w:rPr>
                <w:rFonts w:ascii="仿宋" w:hAnsi="仿宋" w:eastAsia="仿宋"/>
                <w:color w:val="auto"/>
                <w:szCs w:val="21"/>
                <w:highlight w:val="none"/>
              </w:rPr>
            </w:pPr>
            <w:r>
              <w:rPr>
                <w:rFonts w:hint="eastAsia" w:ascii="仿宋" w:hAnsi="仿宋" w:eastAsia="仿宋"/>
                <w:color w:val="auto"/>
                <w:szCs w:val="21"/>
                <w:highlight w:val="none"/>
              </w:rPr>
              <w:t>不正当竞争预防措施</w:t>
            </w:r>
          </w:p>
          <w:p>
            <w:pPr>
              <w:autoSpaceDE w:val="0"/>
              <w:autoSpaceDN w:val="0"/>
              <w:adjustRightInd w:val="0"/>
              <w:snapToGrid w:val="0"/>
              <w:spacing w:after="0" w:line="360" w:lineRule="auto"/>
              <w:ind w:left="38"/>
              <w:jc w:val="center"/>
              <w:rPr>
                <w:rFonts w:ascii="仿宋" w:hAnsi="仿宋" w:eastAsia="仿宋"/>
                <w:color w:val="auto"/>
                <w:szCs w:val="21"/>
                <w:highlight w:val="none"/>
              </w:rPr>
            </w:pPr>
            <w:r>
              <w:rPr>
                <w:rFonts w:hint="eastAsia" w:ascii="仿宋" w:hAnsi="仿宋" w:eastAsia="仿宋"/>
                <w:color w:val="auto"/>
                <w:szCs w:val="21"/>
                <w:highlight w:val="none"/>
              </w:rPr>
              <w:t>（实质性要求）</w:t>
            </w:r>
          </w:p>
        </w:tc>
        <w:tc>
          <w:tcPr>
            <w:tcW w:w="6111" w:type="dxa"/>
            <w:vAlign w:val="center"/>
          </w:tcPr>
          <w:p>
            <w:pPr>
              <w:autoSpaceDE w:val="0"/>
              <w:autoSpaceDN w:val="0"/>
              <w:adjustRightInd w:val="0"/>
              <w:snapToGrid w:val="0"/>
              <w:spacing w:after="0" w:line="360" w:lineRule="auto"/>
              <w:rPr>
                <w:rFonts w:hint="eastAsia" w:ascii="仿宋" w:hAnsi="仿宋" w:eastAsia="仿宋" w:cs="宋体"/>
                <w:color w:val="auto"/>
                <w:kern w:val="0"/>
                <w:szCs w:val="21"/>
                <w:highlight w:val="none"/>
              </w:rPr>
            </w:pPr>
            <w:bookmarkStart w:id="18" w:name="PO_默认文件内容_1"/>
            <w:r>
              <w:rPr>
                <w:rFonts w:hint="eastAsia" w:ascii="仿宋" w:hAnsi="仿宋" w:eastAsia="仿宋" w:cs="宋体"/>
                <w:color w:val="auto"/>
                <w:kern w:val="0"/>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8"/>
          </w:p>
          <w:p>
            <w:pPr>
              <w:autoSpaceDE w:val="0"/>
              <w:autoSpaceDN w:val="0"/>
              <w:adjustRightInd w:val="0"/>
              <w:snapToGrid w:val="0"/>
              <w:spacing w:after="0" w:line="360" w:lineRule="auto"/>
              <w:rPr>
                <w:rFonts w:ascii="仿宋" w:hAnsi="仿宋" w:eastAsia="仿宋"/>
                <w:color w:val="auto"/>
                <w:szCs w:val="21"/>
                <w:highlight w:val="none"/>
              </w:rPr>
            </w:pPr>
            <w:r>
              <w:rPr>
                <w:rFonts w:hint="eastAsia" w:ascii="仿宋" w:hAnsi="仿宋" w:eastAsia="仿宋"/>
                <w:b/>
                <w:bCs/>
                <w:color w:val="auto"/>
                <w:sz w:val="21"/>
                <w:szCs w:val="21"/>
                <w:highlight w:val="none"/>
              </w:rPr>
              <w:t>注：</w:t>
            </w:r>
            <w:r>
              <w:rPr>
                <w:rFonts w:hint="eastAsia" w:ascii="仿宋" w:hAnsi="仿宋" w:eastAsia="仿宋"/>
                <w:b/>
                <w:bCs/>
                <w:color w:val="auto"/>
                <w:sz w:val="21"/>
                <w:szCs w:val="21"/>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sz w:val="21"/>
                <w:szCs w:val="21"/>
                <w:highlight w:val="none"/>
              </w:rPr>
              <w:t>30分钟，供应商已明确表示澄清、说明完毕的除外</w:t>
            </w:r>
            <w:r>
              <w:rPr>
                <w:rFonts w:hint="eastAsia" w:ascii="仿宋" w:hAnsi="仿宋" w:eastAsia="仿宋"/>
                <w:b/>
                <w:bCs/>
                <w:color w:val="auto"/>
                <w:sz w:val="21"/>
                <w:szCs w:val="21"/>
                <w:highlight w:val="none"/>
                <w:lang w:val="zh-CN"/>
              </w:rPr>
              <w:t>）。如因系统故障（</w:t>
            </w:r>
            <w:r>
              <w:rPr>
                <w:rFonts w:hint="eastAsia" w:ascii="仿宋" w:hAnsi="仿宋" w:eastAsia="仿宋"/>
                <w:b/>
                <w:bCs/>
                <w:color w:val="auto"/>
                <w:sz w:val="21"/>
                <w:szCs w:val="21"/>
                <w:highlight w:val="none"/>
                <w:lang w:val="en-US" w:eastAsia="zh-CN"/>
              </w:rPr>
              <w:t>包括组织场所停电、断网等）</w:t>
            </w:r>
            <w:r>
              <w:rPr>
                <w:rFonts w:hint="eastAsia" w:ascii="仿宋" w:hAnsi="仿宋" w:eastAsia="仿宋"/>
                <w:b/>
                <w:bCs/>
                <w:color w:val="auto"/>
                <w:sz w:val="21"/>
                <w:szCs w:val="21"/>
                <w:highlight w:val="none"/>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s="Courier New"/>
                <w:color w:val="auto"/>
                <w:kern w:val="0"/>
                <w:szCs w:val="21"/>
                <w:highlight w:val="none"/>
                <w:lang w:val="zh-CN"/>
              </w:rPr>
            </w:pPr>
            <w:r>
              <w:rPr>
                <w:rFonts w:hint="eastAsia" w:ascii="仿宋" w:hAnsi="仿宋" w:eastAsia="仿宋" w:cs="Courier New"/>
                <w:color w:val="auto"/>
                <w:kern w:val="0"/>
                <w:szCs w:val="21"/>
                <w:highlight w:val="none"/>
                <w:lang w:val="zh-CN"/>
              </w:rPr>
              <w:t>3</w:t>
            </w:r>
          </w:p>
        </w:tc>
        <w:tc>
          <w:tcPr>
            <w:tcW w:w="2552" w:type="dxa"/>
            <w:vAlign w:val="center"/>
          </w:tcPr>
          <w:p>
            <w:pPr>
              <w:autoSpaceDE w:val="0"/>
              <w:autoSpaceDN w:val="0"/>
              <w:adjustRightInd w:val="0"/>
              <w:snapToGrid w:val="0"/>
              <w:spacing w:after="0" w:line="360" w:lineRule="auto"/>
              <w:ind w:left="38"/>
              <w:jc w:val="center"/>
              <w:rPr>
                <w:rFonts w:hint="eastAsia"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进口产品</w:t>
            </w:r>
          </w:p>
          <w:p>
            <w:pPr>
              <w:autoSpaceDE w:val="0"/>
              <w:autoSpaceDN w:val="0"/>
              <w:adjustRightInd w:val="0"/>
              <w:snapToGrid w:val="0"/>
              <w:spacing w:after="0" w:line="360" w:lineRule="auto"/>
              <w:ind w:left="38"/>
              <w:jc w:val="center"/>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eastAsia="zh-CN"/>
              </w:rPr>
              <w:t>（本项目不适用）</w:t>
            </w:r>
          </w:p>
        </w:tc>
        <w:tc>
          <w:tcPr>
            <w:tcW w:w="6111" w:type="dxa"/>
            <w:vAlign w:val="center"/>
          </w:tcPr>
          <w:p>
            <w:pPr>
              <w:adjustRightInd w:val="0"/>
              <w:snapToGrid w:val="0"/>
              <w:spacing w:after="0" w:line="360" w:lineRule="auto"/>
              <w:ind w:right="105" w:rightChars="50"/>
              <w:jc w:val="left"/>
              <w:rPr>
                <w:rFonts w:hint="eastAsia" w:ascii="仿宋" w:hAnsi="仿宋" w:eastAsia="仿宋"/>
                <w:color w:val="auto"/>
                <w:szCs w:val="21"/>
                <w:highlight w:val="none"/>
                <w:lang w:val="zh-CN"/>
              </w:rPr>
            </w:pPr>
            <w:bookmarkStart w:id="19" w:name="PO_默认文件内容_15"/>
            <w:r>
              <w:rPr>
                <w:rFonts w:hint="eastAsia" w:ascii="仿宋" w:hAnsi="仿宋" w:eastAsia="仿宋"/>
                <w:color w:val="auto"/>
                <w:szCs w:val="21"/>
                <w:highlight w:val="none"/>
              </w:rPr>
              <w:t>本项目招标文件中未载明“允许采购进口产品”的产品，视为拒绝进口产品参与竞争，供应商以进口产品投标时，将按无效投标处理。载明“允许采购进口产品”的产品，不限制国产产品参与竞争。</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s="Courier New"/>
                <w:color w:val="auto"/>
                <w:kern w:val="0"/>
                <w:szCs w:val="21"/>
                <w:highlight w:val="none"/>
                <w:lang w:val="zh-CN"/>
              </w:rPr>
            </w:pPr>
            <w:r>
              <w:rPr>
                <w:rFonts w:ascii="仿宋" w:hAnsi="仿宋" w:eastAsia="仿宋" w:cs="Courier New"/>
                <w:color w:val="auto"/>
                <w:kern w:val="0"/>
                <w:szCs w:val="21"/>
                <w:highlight w:val="none"/>
                <w:lang w:val="zh-CN"/>
              </w:rPr>
              <w:t>4</w:t>
            </w:r>
          </w:p>
        </w:tc>
        <w:tc>
          <w:tcPr>
            <w:tcW w:w="2552" w:type="dxa"/>
            <w:vAlign w:val="center"/>
          </w:tcPr>
          <w:p>
            <w:pPr>
              <w:pStyle w:val="46"/>
              <w:snapToGrid w:val="0"/>
              <w:spacing w:after="0" w:line="360" w:lineRule="auto"/>
              <w:jc w:val="center"/>
              <w:rPr>
                <w:rFonts w:ascii="仿宋" w:hAnsi="仿宋" w:eastAsia="仿宋" w:cs="Times New Roman"/>
                <w:color w:val="auto"/>
                <w:kern w:val="2"/>
                <w:sz w:val="21"/>
                <w:szCs w:val="21"/>
                <w:highlight w:val="none"/>
              </w:rPr>
            </w:pPr>
            <w:r>
              <w:rPr>
                <w:rFonts w:hint="eastAsia" w:ascii="仿宋" w:hAnsi="仿宋" w:eastAsia="仿宋" w:cs="Times New Roman"/>
                <w:color w:val="auto"/>
                <w:kern w:val="2"/>
                <w:sz w:val="21"/>
                <w:szCs w:val="21"/>
                <w:highlight w:val="none"/>
              </w:rPr>
              <w:t>小微企业（监狱企业、残疾人福利性单位</w:t>
            </w:r>
            <w:r>
              <w:rPr>
                <w:rFonts w:hint="eastAsia" w:ascii="仿宋" w:hAnsi="仿宋" w:eastAsia="仿宋"/>
                <w:color w:val="auto"/>
                <w:sz w:val="21"/>
                <w:szCs w:val="21"/>
                <w:highlight w:val="none"/>
              </w:rPr>
              <w:t>视同小微企业</w:t>
            </w:r>
            <w:r>
              <w:rPr>
                <w:rFonts w:hint="eastAsia" w:ascii="仿宋" w:hAnsi="仿宋" w:eastAsia="仿宋" w:cs="Times New Roman"/>
                <w:color w:val="auto"/>
                <w:kern w:val="2"/>
                <w:sz w:val="21"/>
                <w:szCs w:val="21"/>
                <w:highlight w:val="none"/>
              </w:rPr>
              <w:t>）价格扣除</w:t>
            </w:r>
          </w:p>
          <w:p>
            <w:pPr>
              <w:pStyle w:val="46"/>
              <w:snapToGrid w:val="0"/>
              <w:spacing w:after="0" w:line="360" w:lineRule="auto"/>
              <w:jc w:val="center"/>
              <w:rPr>
                <w:rFonts w:hint="eastAsia" w:ascii="仿宋" w:hAnsi="仿宋" w:eastAsia="仿宋"/>
                <w:color w:val="auto"/>
                <w:szCs w:val="21"/>
                <w:highlight w:val="none"/>
                <w:lang w:eastAsia="zh-CN"/>
              </w:rPr>
            </w:pPr>
            <w:r>
              <w:rPr>
                <w:rFonts w:hint="eastAsia" w:ascii="仿宋" w:hAnsi="仿宋" w:eastAsia="仿宋" w:cs="Times New Roman"/>
                <w:color w:val="auto"/>
                <w:kern w:val="2"/>
                <w:sz w:val="21"/>
                <w:szCs w:val="21"/>
                <w:highlight w:val="none"/>
              </w:rPr>
              <w:t>（仅适用于未预留份额专门面向中小企业采购的采购项目，以及预留份额项目中的非预留部分采购包）</w:t>
            </w:r>
            <w:r>
              <w:rPr>
                <w:rFonts w:hint="eastAsia" w:ascii="仿宋" w:hAnsi="仿宋" w:eastAsia="仿宋" w:cs="Times New Roman"/>
                <w:color w:val="auto"/>
                <w:kern w:val="2"/>
                <w:sz w:val="21"/>
                <w:szCs w:val="21"/>
                <w:highlight w:val="none"/>
                <w:lang w:val="zh-CN"/>
              </w:rPr>
              <w:t>（本项目不适用）</w:t>
            </w:r>
          </w:p>
        </w:tc>
        <w:tc>
          <w:tcPr>
            <w:tcW w:w="6111" w:type="dxa"/>
            <w:vAlign w:val="center"/>
          </w:tcPr>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w:t>
            </w:r>
            <w:r>
              <w:rPr>
                <w:rFonts w:hint="eastAsia" w:ascii="仿宋" w:hAnsi="仿宋" w:eastAsia="仿宋"/>
                <w:color w:val="auto"/>
                <w:szCs w:val="21"/>
                <w:highlight w:val="none"/>
                <w:lang w:val="en-US" w:eastAsia="zh-CN"/>
              </w:rPr>
              <w:t>参加评审</w:t>
            </w:r>
            <w:r>
              <w:rPr>
                <w:rFonts w:hint="eastAsia" w:ascii="仿宋" w:hAnsi="仿宋" w:eastAsia="仿宋"/>
                <w:color w:val="auto"/>
                <w:szCs w:val="21"/>
                <w:highlight w:val="none"/>
              </w:rPr>
              <w:t>。</w:t>
            </w:r>
          </w:p>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rPr>
              <w:t>2、参加政府采购活动的中小企业提供《中小企业声明函》原件，未提供的，视为放弃享受小微企业价格扣除优惠政策。</w:t>
            </w:r>
          </w:p>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rPr>
              <w:t>3、接受大中型企业与小微企业组成联合体或者允许大中型企业向一家或者多家小微企业分包的采购项目，对于联合体协议或者分包意向协议约定小微企业的合同份额占到合同总金额 30%以上的，采购人、采购代理机构应当对联合体或者大中型企业的报价给予3%的扣除，用扣除后的价格参加评审。</w:t>
            </w:r>
          </w:p>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4、</w:t>
            </w:r>
            <w:r>
              <w:rPr>
                <w:rFonts w:hint="eastAsia" w:ascii="仿宋" w:hAnsi="仿宋" w:eastAsia="仿宋"/>
                <w:color w:val="auto"/>
                <w:szCs w:val="21"/>
                <w:highlight w:val="none"/>
              </w:rPr>
              <w:t>参加政府采购活动的残疾人福利性单位应当提供《残疾人福利性单位声明函》原件，未提供的，视为放弃享受小微企业价格扣除优惠政策。</w:t>
            </w:r>
          </w:p>
          <w:p>
            <w:pPr>
              <w:adjustRightInd w:val="0"/>
              <w:snapToGrid w:val="0"/>
              <w:spacing w:after="0" w:line="360" w:lineRule="auto"/>
              <w:ind w:right="105" w:rightChars="50"/>
              <w:jc w:val="left"/>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5、参加政府采购活动的监狱企业提供由省级以上监狱管理局、戒毒管理局(含新疆生产建设兵团)出具的属于监狱企业的证明文件，未提供的，视为放弃享受小微企业价格扣除优惠政策。</w:t>
            </w:r>
          </w:p>
          <w:p>
            <w:pPr>
              <w:adjustRightInd w:val="0"/>
              <w:snapToGrid w:val="0"/>
              <w:spacing w:after="0" w:line="360" w:lineRule="auto"/>
              <w:ind w:right="105" w:rightChars="50"/>
              <w:jc w:val="left"/>
              <w:rPr>
                <w:rFonts w:hint="eastAsia" w:ascii="仿宋" w:hAnsi="仿宋" w:eastAsia="仿宋"/>
                <w:color w:val="auto"/>
                <w:szCs w:val="21"/>
                <w:highlight w:val="none"/>
              </w:rPr>
            </w:pPr>
            <w:r>
              <w:rPr>
                <w:rFonts w:hint="eastAsia" w:ascii="仿宋" w:hAnsi="仿宋" w:eastAsia="仿宋"/>
                <w:color w:val="auto"/>
                <w:szCs w:val="21"/>
                <w:highlight w:val="none"/>
                <w:lang w:val="en-US" w:eastAsia="zh-CN"/>
              </w:rPr>
              <w:t>6、</w:t>
            </w:r>
            <w:r>
              <w:rPr>
                <w:rFonts w:hint="eastAsia" w:ascii="仿宋" w:hAnsi="仿宋" w:eastAsia="仿宋"/>
                <w:color w:val="auto"/>
                <w:szCs w:val="21"/>
                <w:highlight w:val="none"/>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s="Courier New"/>
                <w:color w:val="auto"/>
                <w:kern w:val="0"/>
                <w:szCs w:val="21"/>
                <w:highlight w:val="none"/>
                <w:lang w:val="zh-CN"/>
              </w:rPr>
            </w:pPr>
            <w:r>
              <w:rPr>
                <w:rFonts w:ascii="仿宋" w:hAnsi="仿宋" w:eastAsia="仿宋"/>
                <w:color w:val="auto"/>
                <w:szCs w:val="21"/>
                <w:highlight w:val="none"/>
              </w:rPr>
              <w:t>5</w:t>
            </w:r>
          </w:p>
        </w:tc>
        <w:tc>
          <w:tcPr>
            <w:tcW w:w="2552" w:type="dxa"/>
            <w:vAlign w:val="center"/>
          </w:tcPr>
          <w:p>
            <w:pPr>
              <w:adjustRightInd w:val="0"/>
              <w:snapToGrid w:val="0"/>
              <w:spacing w:after="0" w:line="360" w:lineRule="auto"/>
              <w:ind w:left="105" w:leftChars="50" w:right="105" w:rightChars="50"/>
              <w:jc w:val="center"/>
              <w:rPr>
                <w:rFonts w:ascii="仿宋" w:hAnsi="仿宋" w:eastAsia="仿宋"/>
                <w:color w:val="auto"/>
                <w:kern w:val="0"/>
                <w:szCs w:val="21"/>
                <w:highlight w:val="none"/>
              </w:rPr>
            </w:pPr>
            <w:r>
              <w:rPr>
                <w:rFonts w:hint="eastAsia" w:ascii="仿宋" w:hAnsi="仿宋" w:eastAsia="仿宋"/>
                <w:color w:val="auto"/>
                <w:kern w:val="0"/>
                <w:szCs w:val="21"/>
                <w:highlight w:val="none"/>
              </w:rPr>
              <w:t>节能、环保及无线局域网产品政府采购政策</w:t>
            </w:r>
          </w:p>
          <w:p>
            <w:pPr>
              <w:adjustRightInd w:val="0"/>
              <w:snapToGrid w:val="0"/>
              <w:spacing w:after="0" w:line="360" w:lineRule="auto"/>
              <w:ind w:left="105" w:leftChars="50" w:right="105" w:rightChars="50"/>
              <w:jc w:val="center"/>
              <w:rPr>
                <w:rFonts w:ascii="仿宋" w:hAnsi="仿宋" w:eastAsia="仿宋"/>
                <w:color w:val="auto"/>
                <w:kern w:val="0"/>
                <w:szCs w:val="21"/>
                <w:highlight w:val="none"/>
              </w:rPr>
            </w:pPr>
            <w:r>
              <w:rPr>
                <w:rFonts w:hint="eastAsia" w:ascii="仿宋" w:hAnsi="仿宋" w:eastAsia="仿宋"/>
                <w:color w:val="auto"/>
                <w:kern w:val="0"/>
                <w:szCs w:val="21"/>
                <w:highlight w:val="none"/>
                <w:lang w:val="en-US" w:eastAsia="zh-CN"/>
              </w:rPr>
              <w:t>（本项目不适用）</w:t>
            </w:r>
          </w:p>
        </w:tc>
        <w:tc>
          <w:tcPr>
            <w:tcW w:w="6111" w:type="dxa"/>
            <w:vAlign w:val="center"/>
          </w:tcPr>
          <w:p>
            <w:pPr>
              <w:adjustRightInd w:val="0"/>
              <w:snapToGrid w:val="0"/>
              <w:spacing w:after="0" w:line="360" w:lineRule="auto"/>
              <w:ind w:right="105" w:rightChars="50"/>
              <w:jc w:val="left"/>
              <w:rPr>
                <w:rFonts w:ascii="仿宋" w:hAnsi="仿宋" w:eastAsia="仿宋"/>
                <w:b/>
                <w:color w:val="auto"/>
                <w:szCs w:val="21"/>
                <w:highlight w:val="none"/>
              </w:rPr>
            </w:pPr>
            <w:r>
              <w:rPr>
                <w:rFonts w:hint="eastAsia" w:ascii="仿宋" w:hAnsi="仿宋" w:eastAsia="仿宋"/>
                <w:b/>
                <w:color w:val="auto"/>
                <w:szCs w:val="21"/>
                <w:highlight w:val="none"/>
              </w:rPr>
              <w:t>一</w:t>
            </w:r>
            <w:r>
              <w:rPr>
                <w:rFonts w:ascii="仿宋" w:hAnsi="仿宋" w:eastAsia="仿宋"/>
                <w:b/>
                <w:color w:val="auto"/>
                <w:szCs w:val="21"/>
                <w:highlight w:val="none"/>
              </w:rPr>
              <w:t>、</w:t>
            </w:r>
            <w:r>
              <w:rPr>
                <w:rFonts w:hint="eastAsia" w:ascii="仿宋" w:hAnsi="仿宋" w:eastAsia="仿宋"/>
                <w:b/>
                <w:color w:val="auto"/>
                <w:szCs w:val="21"/>
                <w:highlight w:val="none"/>
              </w:rPr>
              <w:t>节能、</w:t>
            </w:r>
            <w:r>
              <w:rPr>
                <w:rFonts w:ascii="仿宋" w:hAnsi="仿宋" w:eastAsia="仿宋"/>
                <w:b/>
                <w:color w:val="auto"/>
                <w:szCs w:val="21"/>
                <w:highlight w:val="none"/>
              </w:rPr>
              <w:t>环保产品政府采购政策：</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本项目采购的产品属于品目清单强制采购范围的，供应商应按上述要求提供产品认证证书复印件并加盖供应商单位公章（鲜章），否则投标无效。</w:t>
            </w:r>
            <w:r>
              <w:rPr>
                <w:rFonts w:hint="eastAsia" w:ascii="仿宋" w:hAnsi="仿宋" w:eastAsia="仿宋"/>
                <w:b/>
                <w:color w:val="auto"/>
                <w:szCs w:val="21"/>
                <w:highlight w:val="none"/>
              </w:rPr>
              <w:t>（实质性要求）</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本项目采购的产品属于品目清单优先采购范围的，按照第七章《综合评分明细表》的规则进行加分。</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注：对政府采购节能产品、环境标志产品实施品目清单管理。财政部、发展改革委、生态环境部等部门</w:t>
            </w:r>
            <w:ins w:id="0" w:author="LY" w:date="2021-09-06T12:48:24Z">
              <w:r>
                <w:rPr>
                  <w:rFonts w:hint="eastAsia" w:ascii="仿宋" w:hAnsi="仿宋" w:eastAsia="仿宋"/>
                  <w:color w:val="auto"/>
                  <w:szCs w:val="21"/>
                  <w:highlight w:val="none"/>
                </w:rPr>
                <w:t>根据产品节能环保性能、技术水平和市场成熟程度等因素，</w:t>
              </w:r>
            </w:ins>
            <w:r>
              <w:rPr>
                <w:rFonts w:hint="eastAsia" w:ascii="仿宋" w:hAnsi="仿宋" w:eastAsia="仿宋"/>
                <w:color w:val="auto"/>
                <w:szCs w:val="21"/>
                <w:highlight w:val="none"/>
              </w:rPr>
              <w:t>确定实施政府优先采购和强制采购的产品类别</w:t>
            </w:r>
            <w:ins w:id="1" w:author="LY" w:date="2021-09-06T12:48:30Z">
              <w:r>
                <w:rPr>
                  <w:rFonts w:hint="eastAsia" w:ascii="仿宋" w:hAnsi="仿宋" w:eastAsia="仿宋"/>
                  <w:color w:val="auto"/>
                  <w:szCs w:val="21"/>
                  <w:highlight w:val="none"/>
                </w:rPr>
                <w:t>及所依据的相关标准规范</w:t>
              </w:r>
            </w:ins>
            <w:r>
              <w:rPr>
                <w:rFonts w:hint="eastAsia" w:ascii="仿宋" w:hAnsi="仿宋" w:eastAsia="仿宋"/>
                <w:color w:val="auto"/>
                <w:szCs w:val="21"/>
                <w:highlight w:val="none"/>
              </w:rPr>
              <w:t>，以品目清单的形式发布并适时调整。</w:t>
            </w:r>
          </w:p>
          <w:p>
            <w:pPr>
              <w:adjustRightInd w:val="0"/>
              <w:snapToGrid w:val="0"/>
              <w:spacing w:after="0" w:line="360" w:lineRule="auto"/>
              <w:ind w:right="105" w:rightChars="50"/>
              <w:jc w:val="left"/>
              <w:rPr>
                <w:rFonts w:ascii="仿宋" w:hAnsi="仿宋" w:eastAsia="仿宋"/>
                <w:b/>
                <w:color w:val="auto"/>
                <w:szCs w:val="21"/>
                <w:highlight w:val="none"/>
              </w:rPr>
            </w:pPr>
            <w:r>
              <w:rPr>
                <w:rFonts w:hint="eastAsia" w:ascii="仿宋" w:hAnsi="仿宋" w:eastAsia="仿宋"/>
                <w:b/>
                <w:color w:val="auto"/>
                <w:szCs w:val="21"/>
                <w:highlight w:val="none"/>
              </w:rPr>
              <w:t>二</w:t>
            </w:r>
            <w:r>
              <w:rPr>
                <w:rFonts w:ascii="仿宋" w:hAnsi="仿宋" w:eastAsia="仿宋"/>
                <w:b/>
                <w:color w:val="auto"/>
                <w:szCs w:val="21"/>
                <w:highlight w:val="none"/>
              </w:rPr>
              <w:t>、</w:t>
            </w:r>
            <w:r>
              <w:rPr>
                <w:rFonts w:hint="eastAsia" w:ascii="仿宋" w:hAnsi="仿宋" w:eastAsia="仿宋"/>
                <w:b/>
                <w:color w:val="auto"/>
                <w:szCs w:val="21"/>
                <w:highlight w:val="none"/>
              </w:rPr>
              <w:t>无线局域网产品政府采购政策：</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本项目采购的产品属于中国</w:t>
            </w:r>
            <w:r>
              <w:rPr>
                <w:rFonts w:ascii="仿宋" w:hAnsi="仿宋" w:eastAsia="仿宋"/>
                <w:color w:val="auto"/>
                <w:szCs w:val="21"/>
                <w:highlight w:val="none"/>
              </w:rPr>
              <w:t>政府采购网公布的</w:t>
            </w:r>
            <w:r>
              <w:rPr>
                <w:rFonts w:hint="eastAsia" w:ascii="仿宋" w:hAnsi="仿宋" w:eastAsia="仿宋"/>
                <w:color w:val="auto"/>
                <w:szCs w:val="21"/>
                <w:highlight w:val="none"/>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ascii="仿宋" w:hAnsi="仿宋" w:eastAsia="仿宋"/>
                <w:color w:val="auto"/>
                <w:szCs w:val="21"/>
                <w:highlight w:val="none"/>
              </w:rPr>
              <w:t>6</w:t>
            </w:r>
          </w:p>
        </w:tc>
        <w:tc>
          <w:tcPr>
            <w:tcW w:w="2552" w:type="dxa"/>
            <w:vAlign w:val="center"/>
          </w:tcPr>
          <w:p>
            <w:pPr>
              <w:adjustRightInd w:val="0"/>
              <w:snapToGrid w:val="0"/>
              <w:spacing w:after="0" w:line="360" w:lineRule="auto"/>
              <w:ind w:left="105" w:leftChars="50" w:right="105" w:rightChars="50"/>
              <w:jc w:val="center"/>
              <w:rPr>
                <w:rFonts w:ascii="仿宋" w:hAnsi="仿宋" w:eastAsia="仿宋"/>
                <w:color w:val="auto"/>
                <w:szCs w:val="21"/>
                <w:highlight w:val="none"/>
              </w:rPr>
            </w:pPr>
            <w:r>
              <w:rPr>
                <w:rFonts w:hint="eastAsia" w:ascii="仿宋" w:hAnsi="仿宋" w:eastAsia="仿宋"/>
                <w:color w:val="auto"/>
                <w:kern w:val="0"/>
                <w:szCs w:val="21"/>
                <w:highlight w:val="none"/>
              </w:rPr>
              <w:t>评标情况公告</w:t>
            </w:r>
          </w:p>
        </w:tc>
        <w:tc>
          <w:tcPr>
            <w:tcW w:w="6111" w:type="dxa"/>
            <w:vAlign w:val="center"/>
          </w:tcPr>
          <w:p>
            <w:pPr>
              <w:widowControl/>
              <w:adjustRightInd w:val="0"/>
              <w:snapToGrid w:val="0"/>
              <w:spacing w:after="0" w:line="360" w:lineRule="auto"/>
              <w:jc w:val="left"/>
              <w:rPr>
                <w:rFonts w:ascii="仿宋" w:hAnsi="仿宋" w:eastAsia="仿宋"/>
                <w:color w:val="auto"/>
                <w:szCs w:val="21"/>
                <w:highlight w:val="none"/>
              </w:rPr>
            </w:pPr>
            <w:bookmarkStart w:id="20" w:name="PO_默认文件内容_6"/>
            <w:r>
              <w:rPr>
                <w:rFonts w:hint="eastAsia" w:ascii="仿宋" w:hAnsi="仿宋" w:eastAsia="仿宋"/>
                <w:color w:val="auto"/>
                <w:kern w:val="0"/>
                <w:szCs w:val="21"/>
                <w:highlight w:val="none"/>
              </w:rPr>
              <w:t>所有供应商投标文件资格性、符合性检查情况、采用综合评分法时的总得分和分项汇总得分情况、评标结果等将在四川政府采购网上采购结果公告栏中予以公告。</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ascii="仿宋" w:hAnsi="仿宋" w:eastAsia="仿宋"/>
                <w:color w:val="auto"/>
                <w:szCs w:val="21"/>
                <w:highlight w:val="none"/>
              </w:rPr>
              <w:t>7</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投标保证金</w:t>
            </w:r>
          </w:p>
        </w:tc>
        <w:tc>
          <w:tcPr>
            <w:tcW w:w="6111" w:type="dxa"/>
            <w:vAlign w:val="center"/>
          </w:tcPr>
          <w:p>
            <w:pPr>
              <w:autoSpaceDE w:val="0"/>
              <w:autoSpaceDN w:val="0"/>
              <w:adjustRightInd w:val="0"/>
              <w:snapToGrid w:val="0"/>
              <w:spacing w:after="0" w:line="360" w:lineRule="auto"/>
              <w:rPr>
                <w:rFonts w:ascii="仿宋" w:hAnsi="仿宋" w:eastAsia="仿宋" w:cs="宋体"/>
                <w:b/>
                <w:color w:val="auto"/>
                <w:kern w:val="0"/>
                <w:szCs w:val="21"/>
                <w:highlight w:val="none"/>
                <w:lang w:val="zh-CN"/>
              </w:rPr>
            </w:pPr>
            <w:r>
              <w:rPr>
                <w:rFonts w:hint="eastAsia" w:ascii="仿宋" w:hAnsi="仿宋" w:eastAsia="仿宋"/>
                <w:b/>
                <w:color w:val="auto"/>
                <w:sz w:val="21"/>
                <w:szCs w:val="21"/>
                <w:highlight w:val="none"/>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6" w:hRule="atLeast"/>
          <w:jc w:val="center"/>
        </w:trPr>
        <w:tc>
          <w:tcPr>
            <w:tcW w:w="838" w:type="dxa"/>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ascii="仿宋" w:hAnsi="仿宋" w:eastAsia="仿宋"/>
                <w:color w:val="auto"/>
                <w:szCs w:val="21"/>
                <w:highlight w:val="none"/>
              </w:rPr>
              <w:t>8</w:t>
            </w:r>
          </w:p>
        </w:tc>
        <w:tc>
          <w:tcPr>
            <w:tcW w:w="2552" w:type="dxa"/>
            <w:vAlign w:val="center"/>
          </w:tcPr>
          <w:p>
            <w:pPr>
              <w:autoSpaceDE w:val="0"/>
              <w:autoSpaceDN w:val="0"/>
              <w:adjustRightInd w:val="0"/>
              <w:snapToGrid w:val="0"/>
              <w:spacing w:after="0" w:line="360" w:lineRule="auto"/>
              <w:ind w:left="96"/>
              <w:jc w:val="center"/>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履约保证金</w:t>
            </w:r>
          </w:p>
        </w:tc>
        <w:tc>
          <w:tcPr>
            <w:tcW w:w="6111" w:type="dxa"/>
            <w:vAlign w:val="center"/>
          </w:tcPr>
          <w:p>
            <w:pPr>
              <w:autoSpaceDE w:val="0"/>
              <w:autoSpaceDN w:val="0"/>
              <w:adjustRightInd w:val="0"/>
              <w:snapToGrid w:val="0"/>
              <w:spacing w:after="0" w:line="360" w:lineRule="auto"/>
              <w:jc w:val="left"/>
              <w:rPr>
                <w:rFonts w:hint="default" w:ascii="仿宋" w:hAnsi="仿宋" w:eastAsia="仿宋" w:cs="宋体"/>
                <w:color w:val="auto"/>
                <w:kern w:val="0"/>
                <w:szCs w:val="21"/>
                <w:highlight w:val="none"/>
                <w:lang w:val="en-US" w:eastAsia="zh-CN"/>
              </w:rPr>
            </w:pPr>
            <w:r>
              <w:rPr>
                <w:rFonts w:hint="eastAsia" w:ascii="仿宋" w:hAnsi="仿宋" w:eastAsia="仿宋"/>
                <w:b/>
                <w:color w:val="auto"/>
                <w:sz w:val="21"/>
                <w:szCs w:val="21"/>
                <w:highlight w:val="none"/>
                <w:lang w:val="en-US" w:eastAsia="zh-CN"/>
              </w:rPr>
              <w:t>本项目不收取。</w:t>
            </w:r>
            <w:r>
              <w:rPr>
                <w:rFonts w:hint="eastAsia" w:ascii="仿宋" w:hAnsi="仿宋" w:eastAsia="仿宋" w:cs="宋体"/>
                <w:color w:val="auto"/>
                <w:kern w:val="0"/>
                <w:szCs w:val="21"/>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9</w:t>
            </w:r>
          </w:p>
        </w:tc>
        <w:tc>
          <w:tcPr>
            <w:tcW w:w="2552" w:type="dxa"/>
            <w:vAlign w:val="center"/>
          </w:tcPr>
          <w:p>
            <w:pPr>
              <w:adjustRightInd w:val="0"/>
              <w:snapToGrid w:val="0"/>
              <w:spacing w:after="0" w:line="360" w:lineRule="auto"/>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合同分包</w:t>
            </w:r>
          </w:p>
          <w:p>
            <w:pPr>
              <w:adjustRightInd w:val="0"/>
              <w:snapToGrid w:val="0"/>
              <w:spacing w:after="0" w:line="360" w:lineRule="auto"/>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（实质性要求）</w:t>
            </w:r>
          </w:p>
        </w:tc>
        <w:tc>
          <w:tcPr>
            <w:tcW w:w="6111" w:type="dxa"/>
            <w:vAlign w:val="center"/>
          </w:tcPr>
          <w:p>
            <w:pPr>
              <w:autoSpaceDE w:val="0"/>
              <w:autoSpaceDN w:val="0"/>
              <w:adjustRightInd w:val="0"/>
              <w:snapToGrid w:val="0"/>
              <w:spacing w:after="0" w:line="360" w:lineRule="auto"/>
              <w:rPr>
                <w:rFonts w:ascii="仿宋" w:hAnsi="仿宋" w:eastAsia="仿宋"/>
                <w:b/>
                <w:color w:val="auto"/>
                <w:szCs w:val="21"/>
                <w:highlight w:val="none"/>
              </w:rPr>
            </w:pPr>
            <w:r>
              <w:rPr>
                <w:rFonts w:hint="eastAsia" w:ascii="Segoe UI Symbol" w:hAnsi="Segoe UI Symbol" w:eastAsia="仿宋" w:cs="Segoe UI Symbol"/>
                <w:color w:val="auto"/>
                <w:szCs w:val="21"/>
                <w:highlight w:val="none"/>
                <w:lang w:eastAsia="zh-CN"/>
              </w:rPr>
              <w:t>□</w:t>
            </w:r>
            <w:r>
              <w:rPr>
                <w:rFonts w:hint="eastAsia" w:ascii="仿宋" w:hAnsi="仿宋" w:eastAsia="仿宋"/>
                <w:b/>
                <w:color w:val="auto"/>
                <w:szCs w:val="21"/>
                <w:highlight w:val="none"/>
              </w:rPr>
              <w:t>本项目不接受合同分包。</w:t>
            </w:r>
          </w:p>
          <w:p>
            <w:pPr>
              <w:autoSpaceDE w:val="0"/>
              <w:autoSpaceDN w:val="0"/>
              <w:adjustRightInd w:val="0"/>
              <w:snapToGrid w:val="0"/>
              <w:spacing w:after="0" w:line="360" w:lineRule="auto"/>
              <w:rPr>
                <w:rFonts w:ascii="仿宋" w:hAnsi="仿宋" w:eastAsia="仿宋"/>
                <w:b/>
                <w:color w:val="auto"/>
                <w:szCs w:val="21"/>
                <w:highlight w:val="none"/>
              </w:rPr>
            </w:pPr>
            <w:r>
              <w:rPr>
                <w:rFonts w:hint="eastAsia" w:ascii="Segoe UI Symbol" w:hAnsi="Segoe UI Symbol" w:eastAsia="仿宋" w:cs="Segoe UI Symbol"/>
                <w:color w:val="auto"/>
                <w:szCs w:val="21"/>
                <w:highlight w:val="none"/>
                <w:lang w:eastAsia="zh-CN"/>
              </w:rPr>
              <w:t>☑</w:t>
            </w:r>
            <w:r>
              <w:rPr>
                <w:rFonts w:hint="eastAsia" w:ascii="仿宋" w:hAnsi="仿宋" w:eastAsia="仿宋"/>
                <w:b/>
                <w:color w:val="auto"/>
                <w:szCs w:val="21"/>
                <w:highlight w:val="none"/>
              </w:rPr>
              <w:t>本项目接受合同分包，具体要求如下：</w:t>
            </w:r>
          </w:p>
          <w:p>
            <w:pPr>
              <w:autoSpaceDE w:val="0"/>
              <w:autoSpaceDN w:val="0"/>
              <w:adjustRightInd w:val="0"/>
              <w:snapToGrid w:val="0"/>
              <w:spacing w:after="0" w:line="360" w:lineRule="auto"/>
              <w:rPr>
                <w:rFonts w:ascii="仿宋" w:hAnsi="仿宋" w:eastAsia="仿宋"/>
                <w:color w:val="auto"/>
                <w:szCs w:val="21"/>
                <w:highlight w:val="none"/>
              </w:rPr>
            </w:pPr>
            <w:r>
              <w:rPr>
                <w:rFonts w:ascii="仿宋" w:hAnsi="仿宋" w:eastAsia="仿宋"/>
                <w:color w:val="auto"/>
                <w:szCs w:val="21"/>
                <w:highlight w:val="none"/>
              </w:rPr>
              <w:t>1.</w:t>
            </w:r>
            <w:r>
              <w:rPr>
                <w:rFonts w:hint="eastAsia" w:ascii="仿宋" w:hAnsi="仿宋" w:eastAsia="仿宋"/>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autoSpaceDE w:val="0"/>
              <w:autoSpaceDN w:val="0"/>
              <w:adjustRightInd w:val="0"/>
              <w:snapToGrid w:val="0"/>
              <w:spacing w:after="0" w:line="360" w:lineRule="auto"/>
              <w:rPr>
                <w:rFonts w:hint="default" w:ascii="仿宋" w:hAnsi="仿宋" w:eastAsia="仿宋"/>
                <w:color w:val="auto"/>
                <w:szCs w:val="21"/>
                <w:highlight w:val="none"/>
                <w:lang w:val="en-US" w:eastAsia="zh-CN"/>
              </w:rPr>
            </w:pPr>
            <w:r>
              <w:rPr>
                <w:rFonts w:ascii="仿宋" w:hAnsi="仿宋" w:eastAsia="仿宋"/>
                <w:color w:val="auto"/>
                <w:szCs w:val="21"/>
                <w:highlight w:val="none"/>
              </w:rPr>
              <w:t>2.</w:t>
            </w:r>
            <w:r>
              <w:rPr>
                <w:rFonts w:hint="eastAsia" w:ascii="仿宋" w:hAnsi="仿宋" w:eastAsia="仿宋"/>
                <w:color w:val="auto"/>
                <w:szCs w:val="21"/>
                <w:highlight w:val="none"/>
              </w:rPr>
              <w:t>分包履行合同的部分应当为采购项目的非主体、非关键性工作，不属于中标人的主要合同义务。</w:t>
            </w:r>
            <w:r>
              <w:rPr>
                <w:rFonts w:hint="eastAsia" w:ascii="仿宋" w:hAnsi="仿宋" w:eastAsia="仿宋"/>
                <w:b/>
                <w:bCs/>
                <w:color w:val="auto"/>
                <w:szCs w:val="21"/>
                <w:highlight w:val="none"/>
              </w:rPr>
              <w:t>本</w:t>
            </w:r>
            <w:r>
              <w:rPr>
                <w:rFonts w:ascii="仿宋" w:hAnsi="仿宋" w:eastAsia="仿宋"/>
                <w:b/>
                <w:bCs/>
                <w:color w:val="auto"/>
                <w:szCs w:val="21"/>
                <w:highlight w:val="none"/>
              </w:rPr>
              <w:t>项目</w:t>
            </w:r>
            <w:r>
              <w:rPr>
                <w:rFonts w:hint="eastAsia" w:ascii="仿宋" w:hAnsi="仿宋" w:eastAsia="仿宋"/>
                <w:b/>
                <w:bCs/>
                <w:color w:val="auto"/>
                <w:szCs w:val="21"/>
                <w:highlight w:val="none"/>
              </w:rPr>
              <w:t>可以分包履行的具体内容</w:t>
            </w:r>
            <w:r>
              <w:rPr>
                <w:rFonts w:hint="eastAsia" w:ascii="仿宋" w:hAnsi="仿宋" w:eastAsia="仿宋"/>
                <w:b/>
                <w:bCs/>
                <w:color w:val="auto"/>
                <w:szCs w:val="21"/>
                <w:highlight w:val="none"/>
                <w:lang w:eastAsia="zh-Hans"/>
              </w:rPr>
              <w:t>是</w:t>
            </w:r>
            <w:r>
              <w:rPr>
                <w:rFonts w:ascii="仿宋" w:hAnsi="仿宋" w:eastAsia="仿宋"/>
                <w:b/>
                <w:bCs/>
                <w:color w:val="auto"/>
                <w:szCs w:val="21"/>
                <w:highlight w:val="none"/>
                <w:lang w:eastAsia="zh-Hans"/>
              </w:rPr>
              <w:t>：</w:t>
            </w:r>
            <w:r>
              <w:rPr>
                <w:rFonts w:hint="eastAsia" w:ascii="仿宋" w:hAnsi="仿宋" w:eastAsia="仿宋"/>
                <w:b/>
                <w:bCs/>
                <w:color w:val="auto"/>
                <w:szCs w:val="21"/>
                <w:highlight w:val="none"/>
                <w:lang w:eastAsia="zh-Hans"/>
              </w:rPr>
              <w:t>三维建模</w:t>
            </w:r>
            <w:r>
              <w:rPr>
                <w:rFonts w:ascii="仿宋" w:hAnsi="仿宋" w:eastAsia="仿宋"/>
                <w:b/>
                <w:bCs/>
                <w:color w:val="auto"/>
                <w:szCs w:val="21"/>
                <w:highlight w:val="none"/>
                <w:lang w:eastAsia="zh-Hans"/>
              </w:rPr>
              <w:t>，</w:t>
            </w:r>
            <w:r>
              <w:rPr>
                <w:rFonts w:hint="eastAsia" w:ascii="仿宋" w:hAnsi="仿宋" w:eastAsia="仿宋"/>
                <w:b/>
                <w:bCs/>
                <w:color w:val="auto"/>
                <w:szCs w:val="21"/>
                <w:highlight w:val="none"/>
              </w:rPr>
              <w:t>金额或者比例</w:t>
            </w:r>
            <w:r>
              <w:rPr>
                <w:rFonts w:ascii="仿宋" w:hAnsi="仿宋" w:eastAsia="仿宋"/>
                <w:b/>
                <w:bCs/>
                <w:color w:val="auto"/>
                <w:szCs w:val="21"/>
                <w:highlight w:val="none"/>
              </w:rPr>
              <w:t>：</w:t>
            </w:r>
            <w:r>
              <w:rPr>
                <w:rFonts w:hint="eastAsia" w:ascii="仿宋" w:hAnsi="仿宋" w:eastAsia="仿宋"/>
                <w:b/>
                <w:bCs/>
                <w:color w:val="auto"/>
                <w:szCs w:val="21"/>
                <w:highlight w:val="none"/>
                <w:lang w:eastAsia="zh-Hans"/>
              </w:rPr>
              <w:t>不低于</w:t>
            </w:r>
            <w:r>
              <w:rPr>
                <w:rFonts w:hint="eastAsia" w:ascii="仿宋" w:hAnsi="仿宋" w:eastAsia="仿宋"/>
                <w:b/>
                <w:bCs/>
                <w:color w:val="auto"/>
                <w:szCs w:val="21"/>
                <w:highlight w:val="none"/>
              </w:rPr>
              <w:t>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10</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b/>
                <w:color w:val="auto"/>
                <w:szCs w:val="21"/>
                <w:highlight w:val="none"/>
              </w:rPr>
            </w:pPr>
            <w:r>
              <w:rPr>
                <w:rFonts w:hint="eastAsia" w:ascii="仿宋" w:hAnsi="仿宋" w:eastAsia="仿宋"/>
                <w:b/>
                <w:color w:val="auto"/>
                <w:szCs w:val="21"/>
                <w:highlight w:val="none"/>
              </w:rPr>
              <w:t>开标、评标工作咨询；</w:t>
            </w:r>
          </w:p>
          <w:p>
            <w:pPr>
              <w:autoSpaceDE w:val="0"/>
              <w:autoSpaceDN w:val="0"/>
              <w:adjustRightInd w:val="0"/>
              <w:snapToGrid w:val="0"/>
              <w:spacing w:after="0" w:line="360" w:lineRule="auto"/>
              <w:jc w:val="center"/>
              <w:rPr>
                <w:rFonts w:ascii="仿宋" w:hAnsi="仿宋" w:eastAsia="仿宋"/>
                <w:b/>
                <w:color w:val="auto"/>
                <w:szCs w:val="21"/>
                <w:highlight w:val="none"/>
              </w:rPr>
            </w:pPr>
            <w:r>
              <w:rPr>
                <w:rFonts w:hint="eastAsia" w:ascii="仿宋" w:hAnsi="仿宋" w:eastAsia="仿宋"/>
                <w:b/>
                <w:bCs/>
                <w:color w:val="auto"/>
                <w:szCs w:val="21"/>
                <w:highlight w:val="none"/>
              </w:rPr>
              <w:t>采购项目具体事项咨询</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hint="eastAsia" w:ascii="仿宋" w:hAnsi="仿宋" w:eastAsia="仿宋"/>
                <w:b/>
                <w:color w:val="auto"/>
                <w:szCs w:val="21"/>
                <w:highlight w:val="none"/>
                <w:lang w:eastAsia="zh-CN"/>
              </w:rPr>
            </w:pPr>
            <w:r>
              <w:rPr>
                <w:rFonts w:hint="eastAsia" w:ascii="仿宋" w:hAnsi="仿宋" w:eastAsia="仿宋"/>
                <w:b/>
                <w:color w:val="auto"/>
                <w:szCs w:val="21"/>
                <w:highlight w:val="none"/>
              </w:rPr>
              <w:t>联系人：</w:t>
            </w:r>
            <w:r>
              <w:rPr>
                <w:rFonts w:hint="eastAsia" w:ascii="仿宋" w:hAnsi="仿宋" w:eastAsia="仿宋"/>
                <w:b/>
                <w:color w:val="auto"/>
                <w:szCs w:val="21"/>
                <w:highlight w:val="none"/>
                <w:lang w:val="en-US" w:eastAsia="zh-CN"/>
              </w:rPr>
              <w:t>丁女士</w:t>
            </w:r>
          </w:p>
          <w:p>
            <w:pPr>
              <w:adjustRightInd w:val="0"/>
              <w:snapToGrid w:val="0"/>
              <w:spacing w:after="0" w:line="360" w:lineRule="auto"/>
              <w:ind w:right="105" w:rightChars="50"/>
              <w:jc w:val="left"/>
              <w:rPr>
                <w:rFonts w:hint="default" w:ascii="仿宋" w:hAnsi="仿宋" w:eastAsia="仿宋"/>
                <w:b/>
                <w:color w:val="auto"/>
                <w:szCs w:val="21"/>
                <w:highlight w:val="none"/>
                <w:lang w:val="en-US" w:eastAsia="zh-CN"/>
              </w:rPr>
            </w:pPr>
            <w:r>
              <w:rPr>
                <w:rFonts w:hint="eastAsia" w:ascii="仿宋" w:hAnsi="仿宋" w:eastAsia="仿宋"/>
                <w:b/>
                <w:color w:val="auto"/>
                <w:szCs w:val="21"/>
                <w:highlight w:val="none"/>
              </w:rPr>
              <w:t>联系电话：</w:t>
            </w:r>
            <w:r>
              <w:rPr>
                <w:rFonts w:hint="eastAsia" w:ascii="仿宋" w:hAnsi="仿宋" w:eastAsia="仿宋"/>
                <w:b/>
                <w:color w:val="auto"/>
                <w:szCs w:val="21"/>
                <w:highlight w:val="none"/>
                <w:lang w:val="zh-CN"/>
              </w:rPr>
              <w:t>028-83475775、</w:t>
            </w:r>
            <w:r>
              <w:rPr>
                <w:rFonts w:hint="eastAsia" w:ascii="仿宋" w:hAnsi="仿宋" w:eastAsia="仿宋"/>
                <w:b/>
                <w:color w:val="auto"/>
                <w:szCs w:val="21"/>
                <w:highlight w:val="none"/>
                <w:lang w:val="en-US" w:eastAsia="zh-CN"/>
              </w:rPr>
              <w:t>19108232480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11</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s="宋体"/>
                <w:color w:val="auto"/>
                <w:kern w:val="0"/>
                <w:szCs w:val="21"/>
                <w:highlight w:val="none"/>
              </w:rPr>
              <w:t>中标通知书领取</w:t>
            </w:r>
          </w:p>
        </w:tc>
        <w:tc>
          <w:tcPr>
            <w:tcW w:w="6111" w:type="dxa"/>
            <w:tcBorders>
              <w:top w:val="single" w:color="auto" w:sz="4" w:space="0"/>
              <w:bottom w:val="single" w:color="auto" w:sz="4" w:space="0"/>
            </w:tcBorders>
            <w:vAlign w:val="center"/>
          </w:tcPr>
          <w:p>
            <w:pPr>
              <w:adjustRightInd w:val="0"/>
              <w:snapToGrid w:val="0"/>
              <w:spacing w:after="0" w:line="360" w:lineRule="auto"/>
              <w:ind w:right="105" w:rightChars="50"/>
              <w:jc w:val="left"/>
              <w:rPr>
                <w:rFonts w:ascii="仿宋" w:hAnsi="仿宋" w:eastAsia="仿宋"/>
                <w:color w:val="auto"/>
                <w:szCs w:val="21"/>
                <w:highlight w:val="none"/>
              </w:rPr>
            </w:pPr>
            <w:bookmarkStart w:id="21" w:name="PO_默认文件内容_29"/>
            <w:r>
              <w:rPr>
                <w:rFonts w:hint="eastAsia" w:ascii="仿宋" w:hAnsi="仿宋" w:eastAsia="仿宋"/>
                <w:color w:val="auto"/>
                <w:szCs w:val="21"/>
                <w:highlight w:val="none"/>
                <w:lang w:val="zh-CN"/>
              </w:rPr>
              <w:t>在四川政府采购网公告中标结果同时发出中标通知书，中标供应商自行登录政府采购云平台下载中标通知书。</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right="0"/>
              <w:jc w:val="center"/>
              <w:textAlignment w:val="auto"/>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12</w:t>
            </w:r>
          </w:p>
        </w:tc>
        <w:tc>
          <w:tcPr>
            <w:tcW w:w="2552"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hint="eastAsia" w:ascii="仿宋" w:hAnsi="仿宋" w:eastAsia="仿宋" w:cs="宋体"/>
                <w:color w:val="auto"/>
                <w:kern w:val="0"/>
                <w:szCs w:val="21"/>
                <w:highlight w:val="none"/>
              </w:rPr>
            </w:pPr>
            <w:r>
              <w:rPr>
                <w:rFonts w:hint="eastAsia" w:ascii="仿宋" w:hAnsi="仿宋" w:eastAsia="仿宋" w:cs="Times New Roman"/>
                <w:color w:val="auto"/>
                <w:kern w:val="2"/>
                <w:sz w:val="21"/>
                <w:szCs w:val="21"/>
                <w:highlight w:val="none"/>
              </w:rPr>
              <w:t>供应商询问</w:t>
            </w:r>
          </w:p>
        </w:tc>
        <w:tc>
          <w:tcPr>
            <w:tcW w:w="6111" w:type="dxa"/>
            <w:tcBorders>
              <w:top w:val="single" w:color="auto" w:sz="4" w:space="0"/>
              <w:bottom w:val="single" w:color="auto" w:sz="4" w:space="0"/>
            </w:tcBorders>
            <w:vAlign w:val="center"/>
          </w:tcPr>
          <w:p>
            <w:pPr>
              <w:rPr>
                <w:rFonts w:ascii="仿宋" w:hAnsi="仿宋" w:eastAsia="仿宋"/>
                <w:color w:val="auto"/>
                <w:szCs w:val="21"/>
                <w:highlight w:val="none"/>
                <w:lang w:val="zh-CN"/>
              </w:rPr>
            </w:pPr>
            <w:r>
              <w:rPr>
                <w:rFonts w:hint="eastAsia" w:ascii="仿宋" w:hAnsi="仿宋" w:eastAsia="仿宋"/>
                <w:color w:val="auto"/>
                <w:szCs w:val="21"/>
                <w:highlight w:val="none"/>
                <w:lang w:val="zh-CN"/>
              </w:rPr>
              <w:t>根据委托代理协议约定，供应商询问由采购代理机构负责答复。</w:t>
            </w:r>
          </w:p>
          <w:p>
            <w:pPr>
              <w:rPr>
                <w:rFonts w:ascii="仿宋" w:hAnsi="仿宋" w:eastAsia="仿宋"/>
                <w:color w:val="auto"/>
                <w:szCs w:val="21"/>
                <w:highlight w:val="none"/>
                <w:lang w:val="zh-CN"/>
              </w:rPr>
            </w:pPr>
            <w:r>
              <w:rPr>
                <w:rFonts w:hint="eastAsia" w:ascii="仿宋" w:hAnsi="仿宋" w:eastAsia="仿宋"/>
                <w:color w:val="auto"/>
                <w:szCs w:val="21"/>
                <w:highlight w:val="none"/>
                <w:lang w:val="zh-CN"/>
              </w:rPr>
              <w:t>项目问题询问：</w:t>
            </w:r>
          </w:p>
          <w:p>
            <w:pPr>
              <w:adjustRightInd w:val="0"/>
              <w:snapToGrid w:val="0"/>
              <w:spacing w:after="0" w:line="360" w:lineRule="auto"/>
              <w:ind w:right="105" w:rightChars="50"/>
              <w:jc w:val="left"/>
              <w:rPr>
                <w:rFonts w:hint="eastAsia" w:ascii="仿宋" w:hAnsi="仿宋" w:eastAsia="仿宋"/>
                <w:b/>
                <w:color w:val="auto"/>
                <w:szCs w:val="21"/>
                <w:highlight w:val="none"/>
                <w:lang w:eastAsia="zh-CN"/>
              </w:rPr>
            </w:pPr>
            <w:r>
              <w:rPr>
                <w:rFonts w:hint="eastAsia" w:ascii="仿宋" w:hAnsi="仿宋" w:eastAsia="仿宋"/>
                <w:b/>
                <w:color w:val="auto"/>
                <w:szCs w:val="21"/>
                <w:highlight w:val="none"/>
              </w:rPr>
              <w:t>联系人：</w:t>
            </w:r>
            <w:r>
              <w:rPr>
                <w:rFonts w:hint="eastAsia" w:ascii="仿宋" w:hAnsi="仿宋" w:eastAsia="仿宋"/>
                <w:b/>
                <w:color w:val="auto"/>
                <w:szCs w:val="21"/>
                <w:highlight w:val="none"/>
                <w:lang w:val="en-US" w:eastAsia="zh-CN"/>
              </w:rPr>
              <w:t>丁女士</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b/>
                <w:color w:val="auto"/>
                <w:szCs w:val="21"/>
                <w:highlight w:val="none"/>
              </w:rPr>
              <w:t>联系电话：</w:t>
            </w:r>
            <w:r>
              <w:rPr>
                <w:rFonts w:hint="eastAsia" w:ascii="仿宋" w:hAnsi="仿宋" w:eastAsia="仿宋"/>
                <w:b/>
                <w:color w:val="auto"/>
                <w:szCs w:val="21"/>
                <w:highlight w:val="none"/>
                <w:lang w:val="zh-CN"/>
              </w:rPr>
              <w:t>028-83475775、</w:t>
            </w:r>
            <w:r>
              <w:rPr>
                <w:rFonts w:hint="eastAsia" w:ascii="仿宋" w:hAnsi="仿宋" w:eastAsia="仿宋"/>
                <w:b/>
                <w:color w:val="auto"/>
                <w:szCs w:val="21"/>
                <w:highlight w:val="none"/>
                <w:lang w:val="en-US" w:eastAsia="zh-CN"/>
              </w:rPr>
              <w:t>19108232480。</w:t>
            </w:r>
          </w:p>
          <w:p>
            <w:pPr>
              <w:adjustRightInd w:val="0"/>
              <w:snapToGrid w:val="0"/>
              <w:spacing w:after="0" w:line="360" w:lineRule="auto"/>
              <w:ind w:right="105" w:rightChars="50"/>
              <w:jc w:val="left"/>
              <w:rPr>
                <w:rFonts w:hint="eastAsia" w:ascii="仿宋" w:hAnsi="仿宋" w:eastAsia="仿宋"/>
                <w:color w:val="auto"/>
                <w:szCs w:val="21"/>
                <w:highlight w:val="none"/>
                <w:lang w:val="zh-CN"/>
              </w:rPr>
            </w:pPr>
            <w:r>
              <w:rPr>
                <w:rFonts w:hint="eastAsia" w:ascii="仿宋" w:hAnsi="仿宋" w:eastAsia="仿宋"/>
                <w:color w:val="auto"/>
                <w:szCs w:val="21"/>
                <w:highlight w:val="none"/>
              </w:rPr>
              <w:t>联系地址：四川省成都市高新区锦尚西一路楚峰国际中心45A03号（44层）。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rightChars="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13</w:t>
            </w:r>
          </w:p>
        </w:tc>
        <w:tc>
          <w:tcPr>
            <w:tcW w:w="2552" w:type="dxa"/>
            <w:tcBorders>
              <w:top w:val="single" w:color="auto" w:sz="4" w:space="0"/>
            </w:tcBorders>
            <w:vAlign w:val="center"/>
          </w:tcPr>
          <w:p>
            <w:pPr>
              <w:adjustRightInd w:val="0"/>
              <w:snapToGrid w:val="0"/>
              <w:spacing w:after="0" w:line="360" w:lineRule="auto"/>
              <w:ind w:left="105" w:leftChars="50" w:right="105" w:rightChars="50"/>
              <w:jc w:val="center"/>
              <w:rPr>
                <w:rFonts w:ascii="仿宋" w:hAnsi="仿宋" w:eastAsia="仿宋"/>
                <w:color w:val="auto"/>
                <w:szCs w:val="21"/>
                <w:highlight w:val="none"/>
              </w:rPr>
            </w:pPr>
            <w:r>
              <w:rPr>
                <w:rFonts w:hint="eastAsia" w:ascii="仿宋" w:hAnsi="仿宋" w:eastAsia="仿宋"/>
                <w:color w:val="auto"/>
                <w:szCs w:val="21"/>
                <w:highlight w:val="none"/>
              </w:rPr>
              <w:t>供应商质疑</w:t>
            </w:r>
          </w:p>
        </w:tc>
        <w:tc>
          <w:tcPr>
            <w:tcW w:w="6111" w:type="dxa"/>
            <w:tcBorders>
              <w:top w:val="single" w:color="auto" w:sz="4" w:space="0"/>
            </w:tcBorders>
            <w:vAlign w:val="center"/>
          </w:tcPr>
          <w:p>
            <w:pPr>
              <w:adjustRightInd w:val="0"/>
              <w:snapToGrid w:val="0"/>
              <w:spacing w:after="0" w:line="360" w:lineRule="auto"/>
              <w:ind w:right="105" w:rightChars="50"/>
              <w:jc w:val="left"/>
              <w:rPr>
                <w:rFonts w:ascii="仿宋" w:hAnsi="仿宋" w:eastAsia="仿宋"/>
                <w:color w:val="auto"/>
                <w:szCs w:val="21"/>
                <w:highlight w:val="none"/>
              </w:rPr>
            </w:pPr>
            <w:bookmarkStart w:id="22" w:name="PO_默认文件内容_30"/>
            <w:r>
              <w:rPr>
                <w:rFonts w:hint="eastAsia" w:ascii="仿宋" w:hAnsi="仿宋" w:eastAsia="仿宋"/>
                <w:color w:val="auto"/>
                <w:szCs w:val="21"/>
                <w:highlight w:val="none"/>
              </w:rPr>
              <w:t>根据委托代理协议约定，供应商质疑由采购代理机构负责答复。</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 系 人：蒋先生</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联系电话：028-83475775、18583950100。</w:t>
            </w:r>
          </w:p>
          <w:p>
            <w:pPr>
              <w:adjustRightInd w:val="0"/>
              <w:snapToGrid w:val="0"/>
              <w:spacing w:after="0"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rPr>
              <w:t>联系地址：四川省成都市高新区锦尚西一路楚峰国际中心45A03号（44层）。</w:t>
            </w:r>
          </w:p>
          <w:p>
            <w:pPr>
              <w:adjustRightInd w:val="0"/>
              <w:snapToGrid w:val="0"/>
              <w:spacing w:after="0" w:line="360" w:lineRule="auto"/>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注：根据《中华人民共和国政府采购法》等规定，供应商质疑不得超出采购文件、采购过程、采购结果的范围</w:t>
            </w:r>
            <w:bookmarkEnd w:id="22"/>
            <w:r>
              <w:rPr>
                <w:rFonts w:hint="eastAsia" w:ascii="仿宋" w:hAnsi="仿宋" w:eastAsia="仿宋"/>
                <w:color w:val="auto"/>
                <w:szCs w:val="21"/>
                <w:highlight w:val="none"/>
                <w:lang w:val="zh-CN"/>
              </w:rPr>
              <w:t>,</w:t>
            </w:r>
            <w:r>
              <w:rPr>
                <w:rFonts w:hint="eastAsia" w:ascii="仿宋" w:hAnsi="仿宋" w:eastAsia="仿宋"/>
                <w:color w:val="auto"/>
                <w:szCs w:val="21"/>
                <w:highlight w:val="none"/>
              </w:rPr>
              <w:t xml:space="preserve"> </w:t>
            </w:r>
            <w:r>
              <w:rPr>
                <w:rFonts w:hint="eastAsia" w:ascii="仿宋" w:hAnsi="仿宋" w:eastAsia="仿宋"/>
                <w:color w:val="auto"/>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rightChars="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14</w:t>
            </w:r>
          </w:p>
        </w:tc>
        <w:tc>
          <w:tcPr>
            <w:tcW w:w="2552" w:type="dxa"/>
            <w:tcBorders>
              <w:top w:val="single" w:color="auto" w:sz="4" w:space="0"/>
            </w:tcBorders>
            <w:vAlign w:val="center"/>
          </w:tcPr>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olor w:val="auto"/>
                <w:szCs w:val="21"/>
                <w:highlight w:val="none"/>
              </w:rPr>
              <w:t>供应商投诉</w:t>
            </w:r>
          </w:p>
        </w:tc>
        <w:tc>
          <w:tcPr>
            <w:tcW w:w="6111" w:type="dxa"/>
            <w:tcBorders>
              <w:top w:val="single" w:color="auto" w:sz="4" w:space="0"/>
            </w:tcBorders>
          </w:tcPr>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投诉受理单位：本采购项目同级财政部门，即成都高新区财政金融局。</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联系电话：028-82829642。</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地址：四川省成都市天府大道北段18号高新国际广场A座5层。</w:t>
            </w:r>
          </w:p>
          <w:p>
            <w:pPr>
              <w:adjustRightInd w:val="0"/>
              <w:snapToGrid w:val="0"/>
              <w:spacing w:after="0"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注：根据《中华人民共和国政府采购法实施条例》等规定，供应</w:t>
            </w:r>
          </w:p>
          <w:p>
            <w:pPr>
              <w:adjustRightInd w:val="0"/>
              <w:snapToGrid w:val="0"/>
              <w:spacing w:after="0" w:line="360" w:lineRule="auto"/>
              <w:jc w:val="left"/>
              <w:rPr>
                <w:rFonts w:ascii="仿宋" w:hAnsi="仿宋" w:eastAsia="仿宋"/>
                <w:color w:val="auto"/>
                <w:szCs w:val="21"/>
                <w:highlight w:val="none"/>
              </w:rPr>
            </w:pPr>
            <w:r>
              <w:rPr>
                <w:rFonts w:hint="eastAsia" w:ascii="仿宋" w:hAnsi="仿宋" w:eastAsia="仿宋"/>
                <w:color w:val="auto"/>
                <w:szCs w:val="21"/>
                <w:highlight w:val="none"/>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15</w:t>
            </w:r>
          </w:p>
        </w:tc>
        <w:tc>
          <w:tcPr>
            <w:tcW w:w="2552" w:type="dxa"/>
            <w:vAlign w:val="center"/>
          </w:tcPr>
          <w:p>
            <w:pPr>
              <w:adjustRightInd w:val="0"/>
              <w:snapToGrid w:val="0"/>
              <w:spacing w:after="0" w:line="360" w:lineRule="auto"/>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rPr>
              <w:t>政府采购合同</w:t>
            </w:r>
          </w:p>
          <w:p>
            <w:pPr>
              <w:autoSpaceDE w:val="0"/>
              <w:autoSpaceDN w:val="0"/>
              <w:adjustRightInd w:val="0"/>
              <w:snapToGrid w:val="0"/>
              <w:spacing w:after="0" w:line="360" w:lineRule="auto"/>
              <w:jc w:val="center"/>
              <w:rPr>
                <w:rFonts w:ascii="仿宋" w:hAnsi="仿宋" w:eastAsia="仿宋"/>
                <w:color w:val="auto"/>
                <w:szCs w:val="21"/>
                <w:highlight w:val="none"/>
              </w:rPr>
            </w:pPr>
            <w:r>
              <w:rPr>
                <w:rFonts w:hint="eastAsia" w:ascii="仿宋" w:hAnsi="仿宋" w:eastAsia="仿宋" w:cs="宋体"/>
                <w:color w:val="auto"/>
                <w:kern w:val="0"/>
                <w:szCs w:val="21"/>
                <w:highlight w:val="none"/>
              </w:rPr>
              <w:t>公告备案</w:t>
            </w:r>
          </w:p>
        </w:tc>
        <w:tc>
          <w:tcPr>
            <w:tcW w:w="6111" w:type="dxa"/>
          </w:tcPr>
          <w:p>
            <w:pPr>
              <w:adjustRightInd w:val="0"/>
              <w:snapToGrid w:val="0"/>
              <w:spacing w:after="0" w:line="360" w:lineRule="auto"/>
              <w:ind w:right="105" w:rightChars="50"/>
              <w:jc w:val="left"/>
              <w:rPr>
                <w:rFonts w:ascii="仿宋" w:hAnsi="仿宋" w:eastAsia="仿宋"/>
                <w:color w:val="auto"/>
                <w:szCs w:val="21"/>
                <w:highlight w:val="none"/>
              </w:rPr>
            </w:pPr>
            <w:bookmarkStart w:id="23" w:name="PO_默认文件内容_38"/>
            <w:r>
              <w:rPr>
                <w:rFonts w:hint="eastAsia" w:ascii="仿宋" w:hAnsi="仿宋" w:eastAsia="仿宋"/>
                <w:color w:val="auto"/>
                <w:szCs w:val="21"/>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auto"/>
                <w:szCs w:val="21"/>
                <w:highlight w:val="none"/>
                <w:lang w:val="zh-CN"/>
              </w:rPr>
              <w:t>。</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16</w:t>
            </w:r>
          </w:p>
        </w:tc>
        <w:tc>
          <w:tcPr>
            <w:tcW w:w="2552" w:type="dxa"/>
            <w:vAlign w:val="center"/>
          </w:tcPr>
          <w:p>
            <w:pPr>
              <w:pStyle w:val="46"/>
              <w:snapToGrid w:val="0"/>
              <w:spacing w:after="0" w:line="360" w:lineRule="auto"/>
              <w:jc w:val="center"/>
              <w:rPr>
                <w:rFonts w:ascii="仿宋" w:hAnsi="仿宋" w:eastAsia="仿宋" w:cs="Times New Roman"/>
                <w:color w:val="auto"/>
                <w:kern w:val="2"/>
                <w:sz w:val="21"/>
                <w:szCs w:val="21"/>
                <w:highlight w:val="none"/>
                <w:lang w:val="en-US" w:eastAsia="zh-CN" w:bidi="ar-SA"/>
              </w:rPr>
            </w:pPr>
            <w:r>
              <w:rPr>
                <w:rFonts w:hint="eastAsia" w:ascii="仿宋" w:hAnsi="仿宋" w:eastAsia="仿宋"/>
                <w:color w:val="auto"/>
                <w:sz w:val="21"/>
                <w:szCs w:val="21"/>
                <w:highlight w:val="none"/>
                <w:lang w:val="zh-CN"/>
              </w:rPr>
              <w:t>招标服务费</w:t>
            </w:r>
          </w:p>
        </w:tc>
        <w:tc>
          <w:tcPr>
            <w:tcW w:w="6111" w:type="dxa"/>
            <w:vAlign w:val="center"/>
          </w:tcPr>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en-US" w:eastAsia="zh-CN" w:bidi="ar-SA"/>
              </w:rPr>
              <w:t>本项目招标服务费按成本加合理利润的原则，</w:t>
            </w:r>
            <w:r>
              <w:rPr>
                <w:rFonts w:hint="eastAsia" w:ascii="仿宋" w:hAnsi="仿宋" w:eastAsia="仿宋" w:cs="Times New Roman"/>
                <w:color w:val="auto"/>
                <w:kern w:val="2"/>
                <w:sz w:val="21"/>
                <w:szCs w:val="21"/>
                <w:highlight w:val="none"/>
                <w:lang w:val="zh-CN" w:eastAsia="zh-CN" w:bidi="ar-SA"/>
              </w:rPr>
              <w:t>以中标金额作为计算基数，</w:t>
            </w:r>
            <w:r>
              <w:rPr>
                <w:rFonts w:hint="eastAsia" w:ascii="仿宋" w:hAnsi="仿宋" w:eastAsia="仿宋" w:cs="Times New Roman"/>
                <w:color w:val="auto"/>
                <w:kern w:val="2"/>
                <w:sz w:val="21"/>
                <w:szCs w:val="21"/>
                <w:highlight w:val="none"/>
                <w:lang w:val="en-US" w:eastAsia="zh-CN" w:bidi="ar-SA"/>
              </w:rPr>
              <w:t>按照以下收费标</w:t>
            </w:r>
            <w:r>
              <w:rPr>
                <w:rFonts w:hint="eastAsia" w:ascii="仿宋" w:hAnsi="仿宋" w:eastAsia="仿宋" w:cs="仿宋"/>
                <w:color w:val="auto"/>
                <w:kern w:val="2"/>
                <w:sz w:val="21"/>
                <w:szCs w:val="21"/>
                <w:highlight w:val="none"/>
                <w:lang w:val="en-US" w:eastAsia="zh-CN" w:bidi="ar-SA"/>
              </w:rPr>
              <w:t>准</w:t>
            </w:r>
            <w:r>
              <w:rPr>
                <w:rFonts w:hint="eastAsia" w:ascii="仿宋" w:hAnsi="仿宋" w:eastAsia="仿宋" w:cs="仿宋"/>
                <w:color w:val="auto"/>
                <w:sz w:val="21"/>
                <w:szCs w:val="21"/>
                <w:highlight w:val="none"/>
                <w:lang w:val="en-US" w:eastAsia="zh-CN"/>
              </w:rPr>
              <w:t>计算进行</w:t>
            </w:r>
            <w:r>
              <w:rPr>
                <w:rFonts w:hint="eastAsia" w:ascii="仿宋" w:hAnsi="仿宋" w:eastAsia="仿宋" w:cs="仿宋"/>
                <w:color w:val="auto"/>
                <w:kern w:val="2"/>
                <w:sz w:val="21"/>
                <w:szCs w:val="21"/>
                <w:highlight w:val="none"/>
                <w:lang w:val="en-US" w:eastAsia="zh-CN" w:bidi="ar-SA"/>
              </w:rPr>
              <w:t>收取，</w:t>
            </w:r>
            <w:r>
              <w:rPr>
                <w:rFonts w:hint="eastAsia" w:ascii="仿宋" w:hAnsi="仿宋" w:eastAsia="仿宋" w:cs="Times New Roman"/>
                <w:color w:val="auto"/>
                <w:kern w:val="2"/>
                <w:sz w:val="21"/>
                <w:szCs w:val="21"/>
                <w:highlight w:val="none"/>
                <w:lang w:val="zh-CN"/>
              </w:rPr>
              <w:t>由中标人在领取中标通知书前向招标代理机构交纳</w:t>
            </w:r>
            <w:r>
              <w:rPr>
                <w:rFonts w:hint="eastAsia" w:ascii="仿宋" w:hAnsi="仿宋" w:eastAsia="仿宋" w:cs="仿宋"/>
                <w:color w:val="auto"/>
                <w:kern w:val="2"/>
                <w:sz w:val="21"/>
                <w:szCs w:val="21"/>
                <w:highlight w:val="none"/>
                <w:lang w:val="zh-CN" w:eastAsia="zh-CN" w:bidi="ar-SA"/>
              </w:rPr>
              <w:t>。</w:t>
            </w: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s="Times New Roman"/>
                <w:color w:val="auto"/>
                <w:kern w:val="2"/>
                <w:sz w:val="21"/>
                <w:szCs w:val="21"/>
                <w:highlight w:val="none"/>
                <w:lang w:val="en-US" w:eastAsia="zh-CN" w:bidi="ar-SA"/>
              </w:rPr>
              <w:t>收费标准</w:t>
            </w:r>
            <w:r>
              <w:rPr>
                <w:rFonts w:hint="eastAsia" w:ascii="仿宋" w:hAnsi="仿宋" w:eastAsia="仿宋" w:cs="Times New Roman"/>
                <w:color w:val="auto"/>
                <w:kern w:val="2"/>
                <w:sz w:val="21"/>
                <w:szCs w:val="21"/>
                <w:highlight w:val="none"/>
                <w:lang w:val="zh-CN" w:eastAsia="zh-CN" w:bidi="ar-SA"/>
              </w:rPr>
              <w:t>（</w:t>
            </w:r>
            <w:r>
              <w:rPr>
                <w:rFonts w:hint="eastAsia" w:ascii="仿宋" w:hAnsi="仿宋" w:eastAsia="仿宋" w:cs="Times New Roman"/>
                <w:color w:val="auto"/>
                <w:kern w:val="2"/>
                <w:sz w:val="21"/>
                <w:szCs w:val="21"/>
                <w:highlight w:val="none"/>
                <w:lang w:val="en-US" w:eastAsia="zh-CN" w:bidi="ar-SA"/>
              </w:rPr>
              <w:t>费率）：</w:t>
            </w:r>
          </w:p>
          <w:p>
            <w:pPr>
              <w:pStyle w:val="46"/>
              <w:spacing w:after="0"/>
              <w:rPr>
                <w:rFonts w:hint="eastAsia" w:ascii="仿宋" w:hAnsi="仿宋" w:eastAsia="仿宋" w:cs="仿宋"/>
                <w:color w:val="auto"/>
                <w:sz w:val="21"/>
                <w:szCs w:val="21"/>
                <w:highlight w:val="none"/>
                <w:lang w:val="zh-CN"/>
              </w:rPr>
            </w:pPr>
            <w:r>
              <w:rPr>
                <w:rFonts w:hint="eastAsia" w:ascii="仿宋" w:hAnsi="仿宋" w:eastAsia="仿宋" w:cs="Times New Roman"/>
                <w:color w:val="auto"/>
                <w:kern w:val="2"/>
                <w:sz w:val="21"/>
                <w:szCs w:val="21"/>
                <w:highlight w:val="none"/>
                <w:lang w:val="zh-CN" w:eastAsia="zh-CN" w:bidi="ar-SA"/>
              </w:rPr>
              <w:drawing>
                <wp:inline distT="0" distB="0" distL="114300" distR="114300">
                  <wp:extent cx="3855720" cy="1622425"/>
                  <wp:effectExtent l="0" t="0" r="11430" b="15875"/>
                  <wp:docPr id="2" name="图片 2"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费率表"/>
                          <pic:cNvPicPr>
                            <a:picLocks noChangeAspect="1"/>
                          </pic:cNvPicPr>
                        </pic:nvPicPr>
                        <pic:blipFill>
                          <a:blip r:embed="rId18"/>
                          <a:stretch>
                            <a:fillRect/>
                          </a:stretch>
                        </pic:blipFill>
                        <pic:spPr>
                          <a:xfrm>
                            <a:off x="0" y="0"/>
                            <a:ext cx="3855720" cy="1622425"/>
                          </a:xfrm>
                          <a:prstGeom prst="rect">
                            <a:avLst/>
                          </a:prstGeom>
                        </pic:spPr>
                      </pic:pic>
                    </a:graphicData>
                  </a:graphic>
                </wp:inline>
              </w:drawing>
            </w:r>
            <w:r>
              <w:rPr>
                <w:rFonts w:hint="eastAsia" w:ascii="仿宋" w:hAnsi="仿宋" w:eastAsia="仿宋" w:cs="仿宋"/>
                <w:color w:val="auto"/>
                <w:sz w:val="21"/>
                <w:szCs w:val="21"/>
                <w:highlight w:val="none"/>
                <w:lang w:val="zh-CN"/>
              </w:rPr>
              <w:t>注: ①按本表费率计算的收费为招标代理服务全过程的收费基准价格。</w:t>
            </w:r>
          </w:p>
          <w:p>
            <w:pPr>
              <w:pStyle w:val="46"/>
              <w:spacing w:after="0"/>
              <w:rPr>
                <w:rFonts w:hint="eastAsia" w:ascii="仿宋" w:hAnsi="仿宋" w:eastAsia="仿宋" w:cs="Times New Roman"/>
                <w:color w:val="auto"/>
                <w:spacing w:val="-6"/>
                <w:kern w:val="2"/>
                <w:sz w:val="21"/>
                <w:szCs w:val="21"/>
                <w:highlight w:val="none"/>
                <w:lang w:val="zh-CN" w:eastAsia="zh-CN" w:bidi="ar-SA"/>
              </w:rPr>
            </w:pPr>
            <w:r>
              <w:rPr>
                <w:rFonts w:hint="eastAsia" w:ascii="仿宋" w:hAnsi="仿宋" w:eastAsia="仿宋" w:cs="仿宋"/>
                <w:color w:val="auto"/>
                <w:sz w:val="21"/>
                <w:szCs w:val="21"/>
                <w:highlight w:val="none"/>
                <w:lang w:val="zh-CN"/>
              </w:rPr>
              <w:t>②招标代理服务收费按差额定率累进法计算。</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spacing w:val="-6"/>
                <w:kern w:val="2"/>
                <w:sz w:val="21"/>
                <w:szCs w:val="21"/>
                <w:highlight w:val="none"/>
                <w:lang w:val="zh-CN" w:eastAsia="zh-CN" w:bidi="ar-SA"/>
              </w:rPr>
              <w:t>例如：某工程招标项目中标金额为6000万元，计算招标服务费如下：</w:t>
            </w:r>
            <w:r>
              <w:rPr>
                <w:rFonts w:hint="eastAsia" w:ascii="仿宋" w:hAnsi="仿宋" w:eastAsia="仿宋" w:cs="Times New Roman"/>
                <w:color w:val="auto"/>
                <w:kern w:val="2"/>
                <w:sz w:val="21"/>
                <w:szCs w:val="21"/>
                <w:highlight w:val="none"/>
                <w:lang w:val="zh-CN" w:eastAsia="zh-CN" w:bidi="ar-SA"/>
              </w:rPr>
              <w:t xml:space="preserve"> </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100万元×1.0%=1万元</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(500－100)万元×0.7%=2.8万元</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line="240" w:lineRule="auto"/>
              <w:ind w:right="105"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(6000－5000)万元 ×0.2%=2万元</w:t>
            </w:r>
          </w:p>
          <w:p>
            <w:pPr>
              <w:pStyle w:val="46"/>
              <w:keepNext w:val="0"/>
              <w:keepLines w:val="0"/>
              <w:pageBreakBefore w:val="0"/>
              <w:widowControl w:val="0"/>
              <w:kinsoku/>
              <w:wordWrap/>
              <w:overflowPunct/>
              <w:topLinePunct w:val="0"/>
              <w:bidi w:val="0"/>
              <w:adjustRightInd w:val="0"/>
              <w:snapToGrid w:val="0"/>
              <w:spacing w:after="0" w:line="240" w:lineRule="auto"/>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合计收费=1＋2.8+2.75+14+2=22.55万元</w:t>
            </w: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zh-CN" w:eastAsia="zh-CN" w:bidi="ar-SA"/>
              </w:rPr>
            </w:pP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收款单位：四川成与诚招标代理有限公司</w:t>
            </w:r>
          </w:p>
          <w:p>
            <w:pPr>
              <w:pStyle w:val="46"/>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开 户 行：中信银行股份有限公司成都高升路支行</w:t>
            </w:r>
          </w:p>
          <w:p>
            <w:pPr>
              <w:keepNext w:val="0"/>
              <w:keepLines w:val="0"/>
              <w:pageBreakBefore w:val="0"/>
              <w:widowControl w:val="0"/>
              <w:kinsoku/>
              <w:wordWrap/>
              <w:overflowPunct/>
              <w:topLinePunct w:val="0"/>
              <w:autoSpaceDE/>
              <w:autoSpaceDN/>
              <w:bidi w:val="0"/>
              <w:adjustRightInd w:val="0"/>
              <w:snapToGrid w:val="0"/>
              <w:spacing w:after="0" w:line="360" w:lineRule="auto"/>
              <w:ind w:right="105" w:rightChars="50"/>
              <w:textAlignment w:val="auto"/>
              <w:rPr>
                <w:rFonts w:ascii="仿宋" w:hAnsi="仿宋" w:eastAsia="宋体" w:cs="Times New Roman"/>
                <w:color w:val="auto"/>
                <w:kern w:val="2"/>
                <w:sz w:val="21"/>
                <w:szCs w:val="21"/>
                <w:highlight w:val="none"/>
                <w:lang w:val="en-US" w:eastAsia="zh-CN" w:bidi="ar-SA"/>
              </w:rPr>
            </w:pPr>
            <w:r>
              <w:rPr>
                <w:rFonts w:hint="eastAsia" w:ascii="仿宋" w:hAnsi="仿宋" w:eastAsia="仿宋" w:cs="Times New Roman"/>
                <w:b/>
                <w:bCs/>
                <w:color w:val="auto"/>
                <w:kern w:val="2"/>
                <w:sz w:val="21"/>
                <w:szCs w:val="21"/>
                <w:highlight w:val="none"/>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ascii="仿宋" w:hAnsi="仿宋" w:eastAsia="仿宋"/>
                <w:color w:val="auto"/>
                <w:szCs w:val="21"/>
                <w:highlight w:val="none"/>
              </w:rPr>
            </w:pPr>
            <w:r>
              <w:rPr>
                <w:rFonts w:hint="eastAsia" w:ascii="仿宋" w:hAnsi="仿宋" w:eastAsia="仿宋"/>
                <w:color w:val="auto"/>
                <w:szCs w:val="21"/>
                <w:highlight w:val="none"/>
              </w:rPr>
              <w:t>1</w:t>
            </w:r>
            <w:r>
              <w:rPr>
                <w:rFonts w:hint="eastAsia" w:ascii="仿宋" w:hAnsi="仿宋" w:eastAsia="仿宋"/>
                <w:color w:val="auto"/>
                <w:szCs w:val="21"/>
                <w:highlight w:val="none"/>
                <w:lang w:val="en-US" w:eastAsia="zh-CN"/>
              </w:rPr>
              <w:t>7</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color w:val="auto"/>
                <w:szCs w:val="21"/>
                <w:highlight w:val="none"/>
              </w:rPr>
            </w:pPr>
            <w:r>
              <w:rPr>
                <w:rFonts w:hint="eastAsia" w:ascii="仿宋" w:hAnsi="仿宋" w:eastAsia="仿宋"/>
                <w:color w:val="auto"/>
                <w:szCs w:val="21"/>
                <w:highlight w:val="none"/>
                <w:lang w:val="zh-CN"/>
              </w:rPr>
              <w:t>送样提醒</w:t>
            </w:r>
          </w:p>
        </w:tc>
        <w:tc>
          <w:tcPr>
            <w:tcW w:w="6111" w:type="dxa"/>
            <w:tcBorders>
              <w:left w:val="single" w:color="auto" w:sz="4" w:space="0"/>
            </w:tcBorders>
            <w:vAlign w:val="center"/>
          </w:tcPr>
          <w:p>
            <w:pPr>
              <w:adjustRightInd w:val="0"/>
              <w:snapToGrid w:val="0"/>
              <w:spacing w:after="0" w:line="360" w:lineRule="auto"/>
              <w:jc w:val="left"/>
              <w:rPr>
                <w:rFonts w:ascii="仿宋" w:hAnsi="仿宋" w:eastAsia="仿宋"/>
                <w:color w:val="auto"/>
                <w:szCs w:val="21"/>
                <w:highlight w:val="none"/>
              </w:rPr>
            </w:pPr>
            <w:r>
              <w:rPr>
                <w:rFonts w:hint="eastAsia" w:ascii="仿宋" w:hAnsi="仿宋" w:eastAsia="仿宋"/>
                <w:color w:val="auto"/>
                <w:szCs w:val="21"/>
                <w:highlight w:val="none"/>
                <w:lang w:val="en-US" w:eastAsia="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18</w:t>
            </w:r>
          </w:p>
        </w:tc>
        <w:tc>
          <w:tcPr>
            <w:tcW w:w="2552" w:type="dxa"/>
            <w:tcBorders>
              <w:right w:val="single" w:color="auto" w:sz="4" w:space="0"/>
            </w:tcBorders>
            <w:vAlign w:val="center"/>
          </w:tcPr>
          <w:p>
            <w:pPr>
              <w:adjustRightInd w:val="0"/>
              <w:snapToGrid w:val="0"/>
              <w:spacing w:after="0" w:line="360" w:lineRule="auto"/>
              <w:ind w:firstLine="105" w:firstLineChars="50"/>
              <w:jc w:val="center"/>
              <w:rPr>
                <w:rFonts w:ascii="仿宋" w:hAnsi="仿宋" w:eastAsia="仿宋"/>
                <w:color w:val="auto"/>
                <w:szCs w:val="21"/>
                <w:highlight w:val="none"/>
                <w:lang w:val="zh-CN"/>
              </w:rPr>
            </w:pPr>
            <w:r>
              <w:rPr>
                <w:rFonts w:hint="eastAsia" w:ascii="仿宋" w:hAnsi="仿宋" w:eastAsia="仿宋"/>
                <w:color w:val="auto"/>
                <w:szCs w:val="21"/>
                <w:highlight w:val="none"/>
                <w:lang w:val="zh-CN"/>
              </w:rPr>
              <w:t>承诺提醒</w:t>
            </w:r>
          </w:p>
        </w:tc>
        <w:tc>
          <w:tcPr>
            <w:tcW w:w="6111" w:type="dxa"/>
            <w:tcBorders>
              <w:left w:val="single" w:color="auto" w:sz="4" w:space="0"/>
            </w:tcBorders>
            <w:vAlign w:val="center"/>
          </w:tcPr>
          <w:p>
            <w:pPr>
              <w:adjustRightInd w:val="0"/>
              <w:snapToGrid w:val="0"/>
              <w:spacing w:after="0" w:line="360" w:lineRule="auto"/>
              <w:ind w:firstLine="0" w:firstLineChars="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19</w:t>
            </w:r>
          </w:p>
        </w:tc>
        <w:tc>
          <w:tcPr>
            <w:tcW w:w="2552" w:type="dxa"/>
            <w:tcBorders>
              <w:right w:val="single" w:color="auto" w:sz="4" w:space="0"/>
            </w:tcBorders>
            <w:vAlign w:val="center"/>
          </w:tcPr>
          <w:p>
            <w:pPr>
              <w:adjustRightInd w:val="0"/>
              <w:snapToGrid w:val="0"/>
              <w:spacing w:after="0" w:line="360" w:lineRule="auto"/>
              <w:jc w:val="center"/>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zh-CN"/>
              </w:rPr>
              <w:t>联合体（</w:t>
            </w:r>
            <w:r>
              <w:rPr>
                <w:rFonts w:hint="eastAsia" w:ascii="仿宋" w:hAnsi="仿宋" w:eastAsia="仿宋"/>
                <w:color w:val="auto"/>
                <w:szCs w:val="21"/>
                <w:highlight w:val="none"/>
                <w:lang w:val="en-US" w:eastAsia="zh-CN"/>
              </w:rPr>
              <w:t>实质性要求）</w:t>
            </w:r>
          </w:p>
        </w:tc>
        <w:tc>
          <w:tcPr>
            <w:tcW w:w="6111" w:type="dxa"/>
            <w:tcBorders>
              <w:left w:val="single" w:color="auto" w:sz="4" w:space="0"/>
            </w:tcBorders>
            <w:vAlign w:val="center"/>
          </w:tcPr>
          <w:p>
            <w:pPr>
              <w:adjustRightInd w:val="0"/>
              <w:snapToGrid w:val="0"/>
              <w:spacing w:after="0" w:line="360" w:lineRule="auto"/>
              <w:ind w:firstLine="105" w:firstLineChars="50"/>
              <w:jc w:val="left"/>
              <w:rPr>
                <w:rFonts w:hint="eastAsia" w:ascii="仿宋" w:hAnsi="仿宋" w:eastAsia="仿宋"/>
                <w:color w:val="auto"/>
                <w:szCs w:val="21"/>
                <w:highlight w:val="none"/>
                <w:lang w:val="en-US" w:eastAsia="zh-CN"/>
              </w:rPr>
            </w:pPr>
            <w:r>
              <w:rPr>
                <w:rFonts w:hint="eastAsia" w:ascii="仿宋" w:hAnsi="仿宋" w:eastAsia="仿宋"/>
                <w:color w:val="auto"/>
                <w:szCs w:val="21"/>
                <w:highlight w:val="none"/>
                <w:lang w:val="zh-CN"/>
              </w:rPr>
              <w:t xml:space="preserve">☑ 本项目不允许联合体参加 </w:t>
            </w:r>
            <w:r>
              <w:rPr>
                <w:rFonts w:hint="eastAsia" w:ascii="仿宋" w:hAnsi="仿宋" w:eastAsia="仿宋"/>
                <w:color w:val="auto"/>
                <w:szCs w:val="21"/>
                <w:highlight w:val="none"/>
                <w:lang w:val="en-US" w:eastAsia="zh-CN"/>
              </w:rPr>
              <w:t xml:space="preserve">   </w:t>
            </w:r>
          </w:p>
          <w:p>
            <w:pPr>
              <w:adjustRightInd w:val="0"/>
              <w:snapToGrid w:val="0"/>
              <w:spacing w:after="0" w:line="360" w:lineRule="auto"/>
              <w:ind w:firstLine="105" w:firstLineChars="50"/>
              <w:jc w:val="left"/>
              <w:rPr>
                <w:rFonts w:hint="eastAsia" w:ascii="仿宋" w:hAnsi="仿宋" w:eastAsia="仿宋"/>
                <w:color w:val="auto"/>
                <w:szCs w:val="21"/>
                <w:highlight w:val="none"/>
                <w:lang w:val="zh-CN" w:eastAsia="zh-CN"/>
              </w:rPr>
            </w:pPr>
            <w:r>
              <w:rPr>
                <w:rFonts w:hint="eastAsia" w:ascii="仿宋" w:hAnsi="仿宋" w:eastAsia="仿宋"/>
                <w:color w:val="auto"/>
                <w:szCs w:val="21"/>
                <w:highlight w:val="none"/>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leftChars="0" w:right="0" w:rightChars="0" w:firstLine="105" w:firstLineChars="50"/>
              <w:jc w:val="center"/>
              <w:textAlignment w:val="auto"/>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20</w:t>
            </w:r>
          </w:p>
        </w:tc>
        <w:tc>
          <w:tcPr>
            <w:tcW w:w="2552" w:type="dxa"/>
            <w:tcBorders>
              <w:right w:val="single" w:color="auto" w:sz="4" w:space="0"/>
            </w:tcBorders>
            <w:vAlign w:val="center"/>
          </w:tcPr>
          <w:p>
            <w:pPr>
              <w:pStyle w:val="46"/>
              <w:ind w:left="96" w:leftChars="0"/>
              <w:jc w:val="center"/>
              <w:rPr>
                <w:rFonts w:hint="eastAsia" w:ascii="仿宋" w:hAnsi="仿宋" w:eastAsia="仿宋"/>
                <w:color w:val="auto"/>
                <w:szCs w:val="21"/>
                <w:highlight w:val="none"/>
                <w:lang w:val="zh-CN"/>
              </w:rPr>
            </w:pPr>
            <w:r>
              <w:rPr>
                <w:rFonts w:hint="eastAsia" w:ascii="仿宋" w:hAnsi="仿宋" w:eastAsia="仿宋"/>
                <w:color w:val="auto"/>
                <w:sz w:val="21"/>
                <w:szCs w:val="21"/>
                <w:highlight w:val="none"/>
                <w:lang w:val="zh-CN"/>
              </w:rPr>
              <w:t>现场考察或标前答疑会</w:t>
            </w:r>
          </w:p>
        </w:tc>
        <w:tc>
          <w:tcPr>
            <w:tcW w:w="6111" w:type="dxa"/>
            <w:tcBorders>
              <w:left w:val="single" w:color="auto" w:sz="4" w:space="0"/>
            </w:tcBorders>
            <w:vAlign w:val="center"/>
          </w:tcPr>
          <w:p>
            <w:pPr>
              <w:pStyle w:val="46"/>
              <w:rPr>
                <w:rFonts w:hint="eastAsia" w:ascii="仿宋" w:hAnsi="仿宋" w:eastAsia="仿宋"/>
                <w:color w:val="auto"/>
                <w:szCs w:val="21"/>
                <w:highlight w:val="none"/>
                <w:lang w:val="zh-CN"/>
              </w:rPr>
            </w:pP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spacing w:after="0" w:line="360" w:lineRule="auto"/>
              <w:ind w:left="0" w:right="0" w:firstLine="105" w:firstLineChars="50"/>
              <w:jc w:val="center"/>
              <w:textAlignment w:val="auto"/>
              <w:rPr>
                <w:rFonts w:hint="default" w:ascii="仿宋" w:hAnsi="仿宋" w:eastAsia="仿宋"/>
                <w:color w:val="auto"/>
                <w:szCs w:val="21"/>
                <w:highlight w:val="none"/>
                <w:lang w:val="en-US" w:eastAsia="zh-CN"/>
              </w:rPr>
            </w:pPr>
            <w:r>
              <w:rPr>
                <w:rFonts w:hint="eastAsia" w:ascii="仿宋" w:hAnsi="仿宋" w:eastAsia="仿宋"/>
                <w:color w:val="auto"/>
                <w:szCs w:val="21"/>
                <w:highlight w:val="none"/>
                <w:lang w:val="en-US" w:eastAsia="zh-CN"/>
              </w:rPr>
              <w:t>21</w:t>
            </w:r>
          </w:p>
        </w:tc>
        <w:tc>
          <w:tcPr>
            <w:tcW w:w="2552" w:type="dxa"/>
            <w:tcBorders>
              <w:right w:val="single" w:color="auto" w:sz="4" w:space="0"/>
            </w:tcBorders>
            <w:vAlign w:val="center"/>
          </w:tcPr>
          <w:p>
            <w:pPr>
              <w:pStyle w:val="46"/>
              <w:ind w:left="96" w:leftChars="0"/>
              <w:jc w:val="center"/>
              <w:rPr>
                <w:rFonts w:hint="eastAsia" w:ascii="仿宋" w:hAnsi="仿宋" w:eastAsia="仿宋"/>
                <w:color w:val="auto"/>
                <w:szCs w:val="21"/>
                <w:highlight w:val="none"/>
                <w:lang w:val="zh-CN"/>
              </w:rPr>
            </w:pPr>
            <w:r>
              <w:rPr>
                <w:rFonts w:hint="eastAsia" w:ascii="仿宋" w:hAnsi="仿宋" w:eastAsia="仿宋"/>
                <w:color w:val="auto"/>
                <w:sz w:val="21"/>
                <w:szCs w:val="21"/>
                <w:highlight w:val="none"/>
                <w:lang w:val="zh-CN"/>
              </w:rPr>
              <w:t>温馨提示</w:t>
            </w:r>
          </w:p>
        </w:tc>
        <w:tc>
          <w:tcPr>
            <w:tcW w:w="6111" w:type="dxa"/>
            <w:tcBorders>
              <w:left w:val="single" w:color="auto" w:sz="4" w:space="0"/>
            </w:tcBorders>
            <w:vAlign w:val="center"/>
          </w:tcPr>
          <w:p>
            <w:pPr>
              <w:pStyle w:val="46"/>
              <w:rPr>
                <w:rFonts w:hint="eastAsia" w:ascii="仿宋" w:hAnsi="仿宋" w:eastAsia="仿宋"/>
                <w:color w:val="auto"/>
                <w:szCs w:val="21"/>
                <w:highlight w:val="none"/>
                <w:lang w:val="zh-CN"/>
              </w:rPr>
            </w:pPr>
            <w:r>
              <w:rPr>
                <w:rFonts w:hint="eastAsia" w:ascii="仿宋" w:hAnsi="仿宋" w:eastAsia="仿宋"/>
                <w:color w:val="auto"/>
                <w:sz w:val="21"/>
                <w:szCs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widowControl/>
        <w:spacing w:after="0" w:line="240" w:lineRule="auto"/>
        <w:jc w:val="left"/>
        <w:rPr>
          <w:rFonts w:ascii="仿宋" w:hAnsi="仿宋" w:eastAsia="仿宋"/>
          <w:color w:val="auto"/>
          <w:highlight w:val="none"/>
        </w:rPr>
      </w:pPr>
      <w:r>
        <w:rPr>
          <w:rFonts w:ascii="仿宋" w:hAnsi="仿宋" w:eastAsia="仿宋"/>
          <w:color w:val="auto"/>
          <w:highlight w:val="none"/>
        </w:rPr>
        <w:br w:type="page"/>
      </w:r>
    </w:p>
    <w:p>
      <w:pPr>
        <w:rPr>
          <w:rFonts w:ascii="仿宋" w:hAnsi="仿宋" w:eastAsia="仿宋"/>
          <w:color w:val="auto"/>
          <w:highlight w:val="none"/>
        </w:rPr>
      </w:pPr>
    </w:p>
    <w:p>
      <w:pPr>
        <w:pStyle w:val="4"/>
        <w:spacing w:line="400" w:lineRule="exact"/>
        <w:jc w:val="center"/>
        <w:rPr>
          <w:rFonts w:ascii="仿宋" w:hAnsi="仿宋" w:eastAsia="仿宋"/>
          <w:bCs w:val="0"/>
          <w:color w:val="auto"/>
          <w:highlight w:val="none"/>
        </w:rPr>
      </w:pPr>
      <w:r>
        <w:rPr>
          <w:rFonts w:hint="eastAsia" w:ascii="仿宋" w:hAnsi="仿宋" w:eastAsia="仿宋"/>
          <w:bCs w:val="0"/>
          <w:color w:val="auto"/>
          <w:highlight w:val="none"/>
        </w:rPr>
        <w:t>二、总</w:t>
      </w:r>
      <w:r>
        <w:rPr>
          <w:rFonts w:ascii="仿宋" w:hAnsi="仿宋" w:eastAsia="仿宋"/>
          <w:bCs w:val="0"/>
          <w:color w:val="auto"/>
          <w:highlight w:val="none"/>
        </w:rPr>
        <w:t xml:space="preserve">  </w:t>
      </w:r>
      <w:r>
        <w:rPr>
          <w:rFonts w:hint="eastAsia" w:ascii="仿宋" w:hAnsi="仿宋" w:eastAsia="仿宋"/>
          <w:bCs w:val="0"/>
          <w:color w:val="auto"/>
          <w:highlight w:val="none"/>
        </w:rPr>
        <w:t>则</w:t>
      </w:r>
    </w:p>
    <w:p>
      <w:pPr>
        <w:pStyle w:val="5"/>
        <w:spacing w:line="400" w:lineRule="exact"/>
        <w:ind w:firstLine="482" w:firstLineChars="200"/>
        <w:rPr>
          <w:rFonts w:ascii="仿宋" w:hAnsi="仿宋" w:eastAsia="仿宋"/>
          <w:color w:val="auto"/>
          <w:sz w:val="24"/>
          <w:szCs w:val="24"/>
          <w:highlight w:val="none"/>
        </w:rPr>
      </w:pPr>
      <w:bookmarkStart w:id="24" w:name="_Toc183582205"/>
      <w:bookmarkStart w:id="25" w:name="_Toc183682342"/>
      <w:bookmarkStart w:id="26" w:name="_Toc217446034"/>
      <w:bookmarkStart w:id="27" w:name="PO_默认文件内容_24"/>
      <w:r>
        <w:rPr>
          <w:rFonts w:ascii="仿宋" w:hAnsi="仿宋" w:eastAsia="仿宋"/>
          <w:color w:val="auto"/>
          <w:sz w:val="24"/>
          <w:szCs w:val="24"/>
          <w:highlight w:val="none"/>
        </w:rPr>
        <w:t>1.</w:t>
      </w:r>
      <w:bookmarkEnd w:id="24"/>
      <w:bookmarkEnd w:id="25"/>
      <w:r>
        <w:rPr>
          <w:rFonts w:hint="eastAsia" w:ascii="仿宋" w:hAnsi="仿宋" w:eastAsia="仿宋"/>
          <w:color w:val="auto"/>
          <w:sz w:val="24"/>
          <w:szCs w:val="24"/>
          <w:highlight w:val="none"/>
        </w:rPr>
        <w:t xml:space="preserve"> 适用范围</w:t>
      </w:r>
      <w:bookmarkEnd w:id="26"/>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 </w:t>
      </w:r>
      <w:r>
        <w:rPr>
          <w:rFonts w:hint="eastAsia" w:ascii="仿宋" w:hAnsi="仿宋" w:eastAsia="仿宋"/>
          <w:color w:val="auto"/>
          <w:sz w:val="24"/>
          <w:highlight w:val="none"/>
        </w:rPr>
        <w:t>本招标文件仅适用于本次招标采购项目。</w:t>
      </w:r>
    </w:p>
    <w:p>
      <w:pPr>
        <w:pStyle w:val="5"/>
        <w:spacing w:line="400" w:lineRule="exact"/>
        <w:ind w:firstLine="482" w:firstLineChars="200"/>
        <w:rPr>
          <w:rFonts w:ascii="仿宋" w:hAnsi="仿宋" w:eastAsia="仿宋"/>
          <w:color w:val="auto"/>
          <w:sz w:val="24"/>
          <w:highlight w:val="none"/>
        </w:rPr>
      </w:pPr>
      <w:bookmarkStart w:id="28" w:name="_Toc183682343"/>
      <w:bookmarkStart w:id="29" w:name="_Toc183582206"/>
      <w:bookmarkStart w:id="30" w:name="_Toc217446035"/>
      <w:r>
        <w:rPr>
          <w:rFonts w:ascii="仿宋" w:hAnsi="仿宋" w:eastAsia="仿宋"/>
          <w:color w:val="auto"/>
          <w:sz w:val="24"/>
          <w:highlight w:val="none"/>
        </w:rPr>
        <w:t xml:space="preserve">2. </w:t>
      </w:r>
      <w:bookmarkEnd w:id="28"/>
      <w:bookmarkEnd w:id="29"/>
      <w:r>
        <w:rPr>
          <w:rFonts w:hint="eastAsia" w:ascii="仿宋" w:hAnsi="仿宋" w:eastAsia="仿宋"/>
          <w:color w:val="auto"/>
          <w:sz w:val="24"/>
          <w:highlight w:val="none"/>
        </w:rPr>
        <w:t>有关</w:t>
      </w:r>
      <w:r>
        <w:rPr>
          <w:rFonts w:hint="eastAsia" w:ascii="仿宋" w:hAnsi="仿宋" w:eastAsia="仿宋"/>
          <w:color w:val="auto"/>
          <w:sz w:val="24"/>
          <w:szCs w:val="24"/>
          <w:highlight w:val="none"/>
        </w:rPr>
        <w:t>定义</w:t>
      </w:r>
      <w:bookmarkEnd w:id="30"/>
    </w:p>
    <w:bookmarkEnd w:id="27"/>
    <w:p>
      <w:pPr>
        <w:tabs>
          <w:tab w:val="left" w:pos="7665"/>
        </w:tabs>
        <w:spacing w:after="0" w:line="400" w:lineRule="exact"/>
        <w:ind w:firstLine="480" w:firstLineChars="200"/>
        <w:jc w:val="left"/>
        <w:rPr>
          <w:rFonts w:ascii="仿宋" w:hAnsi="仿宋" w:eastAsia="仿宋"/>
          <w:color w:val="auto"/>
          <w:sz w:val="24"/>
          <w:highlight w:val="none"/>
        </w:rPr>
      </w:pPr>
      <w:bookmarkStart w:id="31" w:name="PO_默认文件内容_35"/>
      <w:r>
        <w:rPr>
          <w:rFonts w:hint="eastAsia" w:ascii="仿宋" w:hAnsi="仿宋" w:eastAsia="仿宋"/>
          <w:color w:val="auto"/>
          <w:sz w:val="24"/>
          <w:highlight w:val="none"/>
        </w:rPr>
        <w:t xml:space="preserve">2.1 “采购人”系指依法进行政府采购的国家机关、事业单位、团体组织。本次招标的采购人是 </w:t>
      </w:r>
      <w:r>
        <w:rPr>
          <w:rFonts w:hint="eastAsia" w:ascii="仿宋" w:hAnsi="仿宋" w:eastAsia="仿宋"/>
          <w:b/>
          <w:color w:val="auto"/>
          <w:sz w:val="24"/>
          <w:highlight w:val="none"/>
          <w:u w:val="single"/>
        </w:rPr>
        <w:t>成都高新技术产业开发区公园城市建设局</w:t>
      </w:r>
      <w:r>
        <w:rPr>
          <w:rFonts w:hint="eastAsia" w:ascii="仿宋" w:hAnsi="仿宋" w:eastAsia="仿宋"/>
          <w:color w:val="auto"/>
          <w:sz w:val="24"/>
          <w:highlight w:val="none"/>
        </w:rPr>
        <w:t>。</w:t>
      </w:r>
    </w:p>
    <w:p>
      <w:pPr>
        <w:tabs>
          <w:tab w:val="left" w:pos="7665"/>
        </w:tabs>
        <w:spacing w:after="0"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2.2 “采购代理机构” 系指根据采购人的委托依法办理招标事宜的采购机构。本次招标的采购代理机构是</w:t>
      </w:r>
      <w:r>
        <w:rPr>
          <w:rFonts w:hint="eastAsia" w:ascii="仿宋" w:hAnsi="仿宋" w:eastAsia="仿宋"/>
          <w:b/>
          <w:bCs/>
          <w:color w:val="auto"/>
          <w:sz w:val="24"/>
          <w:highlight w:val="none"/>
          <w:u w:val="single"/>
        </w:rPr>
        <w:t>四川成与诚招标代理有限公司</w:t>
      </w:r>
      <w:r>
        <w:rPr>
          <w:rFonts w:hint="eastAsia" w:ascii="仿宋" w:hAnsi="仿宋" w:eastAsia="仿宋"/>
          <w:color w:val="auto"/>
          <w:sz w:val="24"/>
          <w:highlight w:val="none"/>
        </w:rPr>
        <w:t>。</w:t>
      </w:r>
    </w:p>
    <w:p>
      <w:pPr>
        <w:tabs>
          <w:tab w:val="left" w:pos="7665"/>
        </w:tabs>
        <w:spacing w:after="0"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2.3 “招标采购单位”系指“采购人”和“采购代理机构”的统称。</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2.4 “投标人”系指</w:t>
      </w:r>
      <w:r>
        <w:rPr>
          <w:rFonts w:hint="eastAsia" w:ascii="仿宋" w:hAnsi="仿宋" w:eastAsia="仿宋"/>
          <w:color w:val="auto"/>
          <w:sz w:val="24"/>
          <w:highlight w:val="none"/>
          <w:lang w:val="en-US" w:eastAsia="zh-CN"/>
        </w:rPr>
        <w:t>获取</w:t>
      </w:r>
      <w:r>
        <w:rPr>
          <w:rFonts w:hint="eastAsia" w:ascii="仿宋" w:hAnsi="仿宋" w:eastAsia="仿宋"/>
          <w:color w:val="auto"/>
          <w:sz w:val="24"/>
          <w:highlight w:val="none"/>
        </w:rPr>
        <w:t>了招标文件拟参加投标和向采购人提供货物及相应服务的供应商。</w:t>
      </w:r>
    </w:p>
    <w:p>
      <w:pPr>
        <w:pStyle w:val="5"/>
        <w:spacing w:line="400" w:lineRule="exact"/>
        <w:ind w:firstLine="482" w:firstLineChars="200"/>
        <w:rPr>
          <w:rFonts w:ascii="仿宋" w:hAnsi="仿宋" w:eastAsia="仿宋"/>
          <w:color w:val="auto"/>
          <w:sz w:val="24"/>
          <w:highlight w:val="none"/>
        </w:rPr>
      </w:pPr>
      <w:bookmarkStart w:id="32" w:name="_Toc217446036"/>
      <w:bookmarkStart w:id="33" w:name="_Toc183682344"/>
      <w:bookmarkStart w:id="34" w:name="_Toc183582207"/>
      <w:bookmarkStart w:id="35" w:name="_Toc217390843"/>
      <w:r>
        <w:rPr>
          <w:rFonts w:ascii="仿宋" w:hAnsi="仿宋" w:eastAsia="仿宋"/>
          <w:color w:val="auto"/>
          <w:sz w:val="24"/>
          <w:highlight w:val="none"/>
        </w:rPr>
        <w:t xml:space="preserve">3. </w:t>
      </w:r>
      <w:r>
        <w:rPr>
          <w:rFonts w:hint="eastAsia" w:ascii="仿宋" w:hAnsi="仿宋" w:eastAsia="仿宋"/>
          <w:color w:val="auto"/>
          <w:sz w:val="24"/>
          <w:highlight w:val="none"/>
        </w:rPr>
        <w:t>合格的投标人</w:t>
      </w:r>
      <w:bookmarkEnd w:id="32"/>
      <w:bookmarkEnd w:id="33"/>
      <w:bookmarkEnd w:id="34"/>
      <w:bookmarkEnd w:id="35"/>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合格的投标人应具备以下条件：</w:t>
      </w:r>
    </w:p>
    <w:p>
      <w:pPr>
        <w:tabs>
          <w:tab w:val="left" w:pos="7665"/>
        </w:tabs>
        <w:spacing w:line="400" w:lineRule="exact"/>
        <w:ind w:firstLine="480" w:firstLineChars="200"/>
        <w:rPr>
          <w:rFonts w:ascii="仿宋" w:hAnsi="仿宋" w:eastAsia="仿宋"/>
          <w:color w:val="auto"/>
          <w:spacing w:val="-4"/>
          <w:sz w:val="24"/>
          <w:highlight w:val="none"/>
        </w:rPr>
      </w:pPr>
      <w:r>
        <w:rPr>
          <w:rFonts w:hint="eastAsia" w:ascii="仿宋" w:hAnsi="仿宋" w:eastAsia="仿宋"/>
          <w:color w:val="auto"/>
          <w:sz w:val="24"/>
          <w:highlight w:val="none"/>
        </w:rPr>
        <w:t>（1）本招标文件规定的供应商资格条件</w:t>
      </w:r>
      <w:r>
        <w:rPr>
          <w:rFonts w:hint="eastAsia" w:ascii="仿宋" w:hAnsi="仿宋" w:eastAsia="仿宋"/>
          <w:color w:val="auto"/>
          <w:spacing w:val="-4"/>
          <w:sz w:val="24"/>
          <w:highlight w:val="none"/>
        </w:rPr>
        <w:t>；</w:t>
      </w:r>
    </w:p>
    <w:p>
      <w:pPr>
        <w:tabs>
          <w:tab w:val="left" w:pos="7665"/>
        </w:tabs>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（2）遵守国家有关的法律、法规、规章和其他政策制度；</w:t>
      </w:r>
    </w:p>
    <w:p>
      <w:pPr>
        <w:tabs>
          <w:tab w:val="left" w:pos="7665"/>
        </w:tabs>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3</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按照招标文件第一章第</w:t>
      </w:r>
      <w:r>
        <w:rPr>
          <w:rFonts w:hint="eastAsia" w:ascii="仿宋" w:hAnsi="仿宋" w:eastAsia="仿宋"/>
          <w:color w:val="auto"/>
          <w:sz w:val="24"/>
          <w:highlight w:val="none"/>
          <w:lang w:val="en-US" w:eastAsia="zh-CN"/>
        </w:rPr>
        <w:t>七</w:t>
      </w:r>
      <w:r>
        <w:rPr>
          <w:rFonts w:hint="eastAsia" w:ascii="仿宋" w:hAnsi="仿宋" w:eastAsia="仿宋"/>
          <w:color w:val="auto"/>
          <w:sz w:val="24"/>
          <w:highlight w:val="none"/>
        </w:rPr>
        <w:t>条要求规定获取了招标文件。</w:t>
      </w:r>
    </w:p>
    <w:p>
      <w:pPr>
        <w:pStyle w:val="5"/>
        <w:spacing w:line="400" w:lineRule="exact"/>
        <w:ind w:firstLine="482" w:firstLineChars="200"/>
        <w:rPr>
          <w:rFonts w:ascii="仿宋" w:hAnsi="仿宋" w:eastAsia="仿宋"/>
          <w:color w:val="auto"/>
          <w:sz w:val="24"/>
          <w:highlight w:val="none"/>
        </w:rPr>
      </w:pPr>
      <w:bookmarkStart w:id="36" w:name="_Toc217446037"/>
      <w:bookmarkStart w:id="37" w:name="_Toc183682345"/>
      <w:bookmarkStart w:id="38" w:name="_Toc183582208"/>
      <w:r>
        <w:rPr>
          <w:rFonts w:ascii="仿宋" w:hAnsi="仿宋" w:eastAsia="仿宋"/>
          <w:color w:val="auto"/>
          <w:sz w:val="24"/>
          <w:highlight w:val="none"/>
        </w:rPr>
        <w:t xml:space="preserve">4. </w:t>
      </w:r>
      <w:r>
        <w:rPr>
          <w:rFonts w:hint="eastAsia" w:ascii="仿宋" w:hAnsi="仿宋" w:eastAsia="仿宋"/>
          <w:color w:val="auto"/>
          <w:sz w:val="24"/>
          <w:highlight w:val="none"/>
        </w:rPr>
        <w:t>投标费用</w:t>
      </w:r>
      <w:bookmarkEnd w:id="36"/>
      <w:bookmarkEnd w:id="37"/>
      <w:bookmarkEnd w:id="38"/>
      <w:r>
        <w:rPr>
          <w:rFonts w:hint="eastAsia" w:ascii="仿宋" w:hAnsi="仿宋" w:eastAsia="仿宋"/>
          <w:color w:val="auto"/>
          <w:sz w:val="24"/>
          <w:szCs w:val="24"/>
          <w:highlight w:val="none"/>
        </w:rPr>
        <w:t>（实质性要求）</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投标人参加投标的有关费用由投标人自行承担。</w:t>
      </w:r>
    </w:p>
    <w:p>
      <w:pPr>
        <w:pStyle w:val="5"/>
        <w:spacing w:line="400" w:lineRule="exact"/>
        <w:ind w:firstLine="482" w:firstLineChars="200"/>
        <w:rPr>
          <w:rFonts w:ascii="仿宋" w:hAnsi="仿宋" w:eastAsia="仿宋"/>
          <w:color w:val="auto"/>
          <w:sz w:val="24"/>
          <w:highlight w:val="none"/>
        </w:rPr>
      </w:pPr>
      <w:r>
        <w:rPr>
          <w:rFonts w:ascii="仿宋" w:hAnsi="仿宋" w:eastAsia="仿宋"/>
          <w:color w:val="auto"/>
          <w:sz w:val="24"/>
          <w:highlight w:val="none"/>
        </w:rPr>
        <w:t xml:space="preserve">5. </w:t>
      </w:r>
      <w:r>
        <w:rPr>
          <w:rFonts w:hint="eastAsia" w:ascii="仿宋" w:hAnsi="仿宋" w:eastAsia="仿宋"/>
          <w:color w:val="auto"/>
          <w:sz w:val="24"/>
          <w:highlight w:val="none"/>
        </w:rPr>
        <w:t>充分、公平竞争保障措施</w:t>
      </w:r>
      <w:r>
        <w:rPr>
          <w:rFonts w:hint="eastAsia" w:ascii="仿宋" w:hAnsi="仿宋" w:eastAsia="仿宋"/>
          <w:color w:val="auto"/>
          <w:sz w:val="24"/>
          <w:szCs w:val="24"/>
          <w:highlight w:val="none"/>
        </w:rPr>
        <w:t>（实质性要求）</w:t>
      </w:r>
    </w:p>
    <w:p>
      <w:pPr>
        <w:pStyle w:val="47"/>
        <w:spacing w:line="460" w:lineRule="exact"/>
        <w:ind w:left="1" w:firstLine="482" w:firstLineChars="200"/>
        <w:rPr>
          <w:rFonts w:ascii="仿宋" w:hAnsi="仿宋" w:eastAsia="仿宋"/>
          <w:color w:val="auto"/>
          <w:sz w:val="24"/>
          <w:highlight w:val="none"/>
        </w:rPr>
      </w:pPr>
      <w:r>
        <w:rPr>
          <w:rFonts w:ascii="仿宋" w:hAnsi="仿宋" w:eastAsia="仿宋"/>
          <w:b/>
          <w:color w:val="auto"/>
          <w:sz w:val="24"/>
          <w:highlight w:val="none"/>
        </w:rPr>
        <w:t xml:space="preserve">5.1 </w:t>
      </w:r>
      <w:r>
        <w:rPr>
          <w:rFonts w:hint="eastAsia" w:ascii="仿宋" w:hAnsi="仿宋" w:eastAsia="仿宋"/>
          <w:b/>
          <w:color w:val="auto"/>
          <w:sz w:val="24"/>
          <w:highlight w:val="none"/>
        </w:rPr>
        <w:t>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spacing w:line="460" w:lineRule="exact"/>
        <w:ind w:left="1" w:firstLine="482" w:firstLineChars="200"/>
        <w:rPr>
          <w:rFonts w:ascii="仿宋" w:hAnsi="仿宋" w:eastAsia="仿宋"/>
          <w:color w:val="auto"/>
          <w:sz w:val="24"/>
          <w:highlight w:val="none"/>
        </w:rPr>
      </w:pPr>
      <w:r>
        <w:rPr>
          <w:rFonts w:ascii="仿宋" w:hAnsi="仿宋" w:eastAsia="仿宋"/>
          <w:b/>
          <w:color w:val="auto"/>
          <w:sz w:val="24"/>
          <w:highlight w:val="none"/>
        </w:rPr>
        <w:t xml:space="preserve">5.2 </w:t>
      </w:r>
      <w:r>
        <w:rPr>
          <w:rFonts w:hint="eastAsia" w:ascii="仿宋" w:hAnsi="仿宋" w:eastAsia="仿宋"/>
          <w:b/>
          <w:color w:val="auto"/>
          <w:sz w:val="24"/>
          <w:highlight w:val="none"/>
        </w:rPr>
        <w:t>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spacing w:line="460" w:lineRule="exact"/>
        <w:ind w:left="1" w:firstLine="482" w:firstLineChars="200"/>
        <w:rPr>
          <w:rFonts w:ascii="仿宋" w:hAnsi="仿宋" w:eastAsia="仿宋"/>
          <w:color w:val="auto"/>
          <w:sz w:val="24"/>
          <w:highlight w:val="none"/>
        </w:rPr>
      </w:pPr>
      <w:r>
        <w:rPr>
          <w:rFonts w:ascii="仿宋" w:hAnsi="仿宋" w:eastAsia="仿宋"/>
          <w:b/>
          <w:color w:val="auto"/>
          <w:sz w:val="24"/>
          <w:highlight w:val="none"/>
        </w:rPr>
        <w:t xml:space="preserve">5.3 </w:t>
      </w:r>
      <w:r>
        <w:rPr>
          <w:rFonts w:hint="eastAsia" w:ascii="仿宋" w:hAnsi="仿宋" w:eastAsia="仿宋"/>
          <w:b/>
          <w:color w:val="auto"/>
          <w:sz w:val="24"/>
          <w:highlight w:val="none"/>
        </w:rPr>
        <w:t>利害关系代理人处理。</w:t>
      </w:r>
      <w:bookmarkStart w:id="39" w:name="_Toc77400779"/>
      <w:bookmarkStart w:id="40" w:name="_Toc183582209"/>
      <w:bookmarkStart w:id="41" w:name="_Toc89075875"/>
      <w:bookmarkStart w:id="42" w:name="_Toc183682346"/>
      <w:bookmarkStart w:id="43" w:name="_Toc217446038"/>
      <w:r>
        <w:rPr>
          <w:rFonts w:hint="eastAsia" w:ascii="仿宋" w:hAnsi="仿宋" w:eastAsia="仿宋"/>
          <w:color w:val="auto"/>
          <w:sz w:val="24"/>
          <w:highlight w:val="none"/>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color w:val="auto"/>
          <w:highlight w:val="none"/>
        </w:rPr>
      </w:pPr>
      <w:r>
        <w:rPr>
          <w:rFonts w:hint="eastAsia" w:ascii="仿宋" w:hAnsi="仿宋" w:eastAsia="仿宋"/>
          <w:bCs w:val="0"/>
          <w:color w:val="auto"/>
          <w:highlight w:val="none"/>
        </w:rPr>
        <w:t>三、招标文件</w:t>
      </w:r>
      <w:bookmarkEnd w:id="39"/>
      <w:bookmarkEnd w:id="40"/>
      <w:bookmarkEnd w:id="41"/>
      <w:bookmarkEnd w:id="42"/>
      <w:bookmarkEnd w:id="43"/>
    </w:p>
    <w:p>
      <w:pPr>
        <w:pStyle w:val="5"/>
        <w:spacing w:line="400" w:lineRule="exact"/>
        <w:ind w:firstLine="482" w:firstLineChars="200"/>
        <w:rPr>
          <w:rFonts w:ascii="仿宋" w:hAnsi="仿宋" w:eastAsia="仿宋"/>
          <w:color w:val="auto"/>
          <w:sz w:val="24"/>
          <w:highlight w:val="none"/>
        </w:rPr>
      </w:pPr>
      <w:bookmarkStart w:id="44" w:name="_Toc183682347"/>
      <w:bookmarkStart w:id="45" w:name="_Toc217446039"/>
      <w:bookmarkStart w:id="46" w:name="_Toc183582210"/>
      <w:r>
        <w:rPr>
          <w:rFonts w:hint="eastAsia" w:ascii="仿宋" w:hAnsi="仿宋" w:eastAsia="仿宋"/>
          <w:color w:val="auto"/>
          <w:sz w:val="24"/>
          <w:highlight w:val="none"/>
        </w:rPr>
        <w:t>6．招标文件的构成</w:t>
      </w:r>
      <w:bookmarkEnd w:id="44"/>
      <w:bookmarkEnd w:id="45"/>
      <w:bookmarkEnd w:id="46"/>
    </w:p>
    <w:p>
      <w:pPr>
        <w:tabs>
          <w:tab w:val="left" w:pos="7665"/>
        </w:tabs>
        <w:spacing w:line="400" w:lineRule="exact"/>
        <w:ind w:firstLine="480" w:firstLineChars="200"/>
        <w:rPr>
          <w:rFonts w:ascii="仿宋" w:hAnsi="仿宋" w:eastAsia="仿宋"/>
          <w:color w:val="auto"/>
          <w:kern w:val="0"/>
          <w:sz w:val="24"/>
          <w:szCs w:val="22"/>
          <w:highlight w:val="none"/>
        </w:rPr>
      </w:pPr>
      <w:r>
        <w:rPr>
          <w:rFonts w:hint="eastAsia" w:ascii="仿宋" w:hAnsi="仿宋" w:eastAsia="仿宋"/>
          <w:color w:val="auto"/>
          <w:kern w:val="0"/>
          <w:sz w:val="24"/>
          <w:szCs w:val="22"/>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kern w:val="0"/>
          <w:sz w:val="24"/>
          <w:szCs w:val="22"/>
          <w:highlight w:val="none"/>
        </w:rPr>
        <w:t>（一）投标</w:t>
      </w:r>
      <w:r>
        <w:rPr>
          <w:rFonts w:hint="eastAsia" w:ascii="仿宋" w:hAnsi="仿宋" w:eastAsia="仿宋"/>
          <w:color w:val="auto"/>
          <w:sz w:val="24"/>
          <w:highlight w:val="none"/>
        </w:rPr>
        <w:t>邀请；</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（二）投标人须知；</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（三）投标文件格式；</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（四）投标人和投标产品的资格、资质性及其他类似效力要求；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w:t>
      </w:r>
      <w:r>
        <w:rPr>
          <w:rFonts w:hint="eastAsia" w:ascii="仿宋" w:hAnsi="仿宋" w:eastAsia="仿宋"/>
          <w:color w:val="auto"/>
          <w:sz w:val="24"/>
          <w:highlight w:val="none"/>
          <w:lang w:val="en-US" w:eastAsia="zh-CN"/>
        </w:rPr>
        <w:t>资格性审查要求</w:t>
      </w:r>
      <w:r>
        <w:rPr>
          <w:rFonts w:hint="eastAsia" w:ascii="仿宋" w:hAnsi="仿宋" w:eastAsia="仿宋"/>
          <w:color w:val="auto"/>
          <w:sz w:val="24"/>
          <w:highlight w:val="none"/>
        </w:rPr>
        <w:t>；</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（六）招标项目技术、</w:t>
      </w:r>
      <w:r>
        <w:rPr>
          <w:rFonts w:hint="eastAsia" w:ascii="仿宋" w:hAnsi="仿宋" w:eastAsia="仿宋"/>
          <w:color w:val="auto"/>
          <w:sz w:val="24"/>
          <w:highlight w:val="none"/>
          <w:lang w:val="en-US" w:eastAsia="zh-CN"/>
        </w:rPr>
        <w:t>服务、政府采购合同内容条款及其他商务</w:t>
      </w:r>
      <w:r>
        <w:rPr>
          <w:rFonts w:hint="eastAsia" w:ascii="仿宋" w:hAnsi="仿宋" w:eastAsia="仿宋"/>
          <w:color w:val="auto"/>
          <w:sz w:val="24"/>
          <w:highlight w:val="none"/>
        </w:rPr>
        <w:t>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（七）评标办法；</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（八）合同主要条款。</w:t>
      </w:r>
    </w:p>
    <w:p>
      <w:pPr>
        <w:pStyle w:val="5"/>
        <w:spacing w:line="400" w:lineRule="exact"/>
        <w:ind w:firstLine="482" w:firstLineChars="200"/>
        <w:rPr>
          <w:rFonts w:ascii="仿宋" w:hAnsi="仿宋" w:eastAsia="仿宋"/>
          <w:color w:val="auto"/>
          <w:sz w:val="24"/>
          <w:highlight w:val="none"/>
        </w:rPr>
      </w:pPr>
      <w:bookmarkStart w:id="47" w:name="_Toc183582211"/>
      <w:bookmarkStart w:id="48" w:name="_Toc183682348"/>
      <w:bookmarkStart w:id="49" w:name="_Toc217446040"/>
      <w:r>
        <w:rPr>
          <w:rFonts w:ascii="仿宋" w:hAnsi="仿宋" w:eastAsia="仿宋"/>
          <w:color w:val="auto"/>
          <w:sz w:val="24"/>
          <w:highlight w:val="none"/>
        </w:rPr>
        <w:t xml:space="preserve">7. </w:t>
      </w:r>
      <w:r>
        <w:rPr>
          <w:rFonts w:hint="eastAsia" w:ascii="仿宋" w:hAnsi="仿宋" w:eastAsia="仿宋"/>
          <w:color w:val="auto"/>
          <w:sz w:val="24"/>
          <w:highlight w:val="none"/>
        </w:rPr>
        <w:t>招标文件的澄清</w:t>
      </w:r>
      <w:bookmarkEnd w:id="47"/>
      <w:bookmarkEnd w:id="48"/>
      <w:r>
        <w:rPr>
          <w:rFonts w:hint="eastAsia" w:ascii="仿宋" w:hAnsi="仿宋" w:eastAsia="仿宋"/>
          <w:color w:val="auto"/>
          <w:sz w:val="24"/>
          <w:highlight w:val="none"/>
        </w:rPr>
        <w:t>和修改</w:t>
      </w:r>
      <w:bookmarkEnd w:id="49"/>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7.1 </w:t>
      </w:r>
      <w:r>
        <w:rPr>
          <w:rFonts w:hint="eastAsia" w:ascii="仿宋" w:hAnsi="仿宋" w:eastAsia="仿宋"/>
          <w:color w:val="auto"/>
          <w:sz w:val="24"/>
          <w:highlight w:val="none"/>
        </w:rPr>
        <w:t>招标采购单位可以依法对招标文件进行澄清或者修改。</w:t>
      </w:r>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7.2 </w:t>
      </w:r>
      <w:r>
        <w:rPr>
          <w:rFonts w:hint="eastAsia" w:ascii="仿宋" w:hAnsi="仿宋" w:eastAsia="仿宋"/>
          <w:color w:val="auto"/>
          <w:sz w:val="24"/>
          <w:highlight w:val="none"/>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7.3 </w:t>
      </w:r>
      <w:r>
        <w:rPr>
          <w:rFonts w:hint="eastAsia" w:ascii="仿宋" w:hAnsi="仿宋" w:eastAsia="仿宋"/>
          <w:color w:val="auto"/>
          <w:sz w:val="24"/>
          <w:highlight w:val="none"/>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更正通知</w:t>
      </w:r>
      <w:r>
        <w:rPr>
          <w:rFonts w:hint="eastAsia" w:ascii="仿宋" w:hAnsi="仿宋" w:eastAsia="仿宋"/>
          <w:color w:val="auto"/>
          <w:sz w:val="24"/>
          <w:highlight w:val="none"/>
          <w:lang w:eastAsia="zh-CN"/>
        </w:rPr>
        <w:t>通过</w:t>
      </w:r>
      <w:r>
        <w:rPr>
          <w:rFonts w:hint="eastAsia" w:ascii="仿宋" w:hAnsi="仿宋" w:eastAsia="仿宋"/>
          <w:color w:val="auto"/>
          <w:sz w:val="24"/>
          <w:highlight w:val="none"/>
        </w:rPr>
        <w:t>政府采购云平台通知所有获取招标文件的潜在</w:t>
      </w:r>
      <w:r>
        <w:rPr>
          <w:rFonts w:hint="eastAsia" w:ascii="仿宋" w:hAnsi="仿宋" w:eastAsia="仿宋"/>
          <w:color w:val="auto"/>
          <w:sz w:val="24"/>
          <w:highlight w:val="none"/>
          <w:lang w:eastAsia="zh-CN"/>
        </w:rPr>
        <w:t>供应商。</w:t>
      </w:r>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7.4 </w:t>
      </w:r>
      <w:r>
        <w:rPr>
          <w:rFonts w:hint="eastAsia" w:ascii="仿宋" w:hAnsi="仿宋" w:eastAsia="仿宋"/>
          <w:color w:val="auto"/>
          <w:sz w:val="24"/>
          <w:highlight w:val="none"/>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color w:val="auto"/>
          <w:sz w:val="24"/>
          <w:highlight w:val="none"/>
        </w:rPr>
      </w:pPr>
      <w:bookmarkStart w:id="50" w:name="_Toc208848971"/>
      <w:bookmarkStart w:id="51" w:name="_Toc217446041"/>
      <w:r>
        <w:rPr>
          <w:rFonts w:ascii="仿宋" w:hAnsi="仿宋" w:eastAsia="仿宋"/>
          <w:color w:val="auto"/>
          <w:sz w:val="24"/>
          <w:highlight w:val="none"/>
        </w:rPr>
        <w:t xml:space="preserve">8. </w:t>
      </w:r>
      <w:r>
        <w:rPr>
          <w:rFonts w:hint="eastAsia" w:ascii="仿宋" w:hAnsi="仿宋" w:eastAsia="仿宋"/>
          <w:color w:val="auto"/>
          <w:sz w:val="24"/>
          <w:highlight w:val="none"/>
        </w:rPr>
        <w:t>答疑会和现场考察</w:t>
      </w:r>
      <w:bookmarkEnd w:id="50"/>
      <w:bookmarkEnd w:id="51"/>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8.1 </w:t>
      </w:r>
      <w:r>
        <w:rPr>
          <w:rFonts w:hint="eastAsia" w:ascii="仿宋" w:hAnsi="仿宋" w:eastAsia="仿宋"/>
          <w:color w:val="auto"/>
          <w:sz w:val="24"/>
          <w:highlight w:val="none"/>
        </w:rPr>
        <w:t>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现场考察或标前答疑会时间：详见投标人须知表。</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现场考察或标前答疑会地点：详见投标人须知表。</w:t>
      </w:r>
    </w:p>
    <w:p>
      <w:pPr>
        <w:tabs>
          <w:tab w:val="left" w:pos="7665"/>
        </w:tabs>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8.2 </w:t>
      </w:r>
      <w:r>
        <w:rPr>
          <w:rFonts w:hint="eastAsia" w:ascii="仿宋" w:hAnsi="仿宋" w:eastAsia="仿宋"/>
          <w:color w:val="auto"/>
          <w:sz w:val="24"/>
          <w:highlight w:val="none"/>
        </w:rPr>
        <w:t>供应商考察现场所发生的一切费用由供应商自己承担。</w:t>
      </w:r>
    </w:p>
    <w:p>
      <w:pPr>
        <w:pStyle w:val="4"/>
        <w:spacing w:line="400" w:lineRule="exact"/>
        <w:jc w:val="center"/>
        <w:rPr>
          <w:rFonts w:ascii="仿宋" w:hAnsi="仿宋" w:eastAsia="仿宋"/>
          <w:bCs w:val="0"/>
          <w:color w:val="auto"/>
          <w:highlight w:val="none"/>
        </w:rPr>
      </w:pPr>
      <w:bookmarkStart w:id="52" w:name="_Toc77400780"/>
      <w:bookmarkStart w:id="53" w:name="_Toc183582214"/>
      <w:bookmarkStart w:id="54" w:name="_Toc89075876"/>
      <w:bookmarkStart w:id="55" w:name="_Toc183682351"/>
      <w:bookmarkStart w:id="56" w:name="_Toc217446042"/>
      <w:r>
        <w:rPr>
          <w:rFonts w:hint="eastAsia" w:ascii="仿宋" w:hAnsi="仿宋" w:eastAsia="仿宋"/>
          <w:bCs w:val="0"/>
          <w:color w:val="auto"/>
          <w:highlight w:val="none"/>
        </w:rPr>
        <w:t>四、投标文件</w:t>
      </w:r>
      <w:bookmarkEnd w:id="52"/>
      <w:bookmarkEnd w:id="53"/>
      <w:bookmarkEnd w:id="54"/>
      <w:bookmarkEnd w:id="55"/>
      <w:bookmarkEnd w:id="56"/>
    </w:p>
    <w:p>
      <w:pPr>
        <w:pStyle w:val="5"/>
        <w:spacing w:line="400" w:lineRule="exact"/>
        <w:ind w:firstLine="482" w:firstLineChars="200"/>
        <w:rPr>
          <w:rFonts w:ascii="仿宋" w:hAnsi="仿宋" w:eastAsia="仿宋"/>
          <w:bCs w:val="0"/>
          <w:color w:val="auto"/>
          <w:sz w:val="24"/>
          <w:highlight w:val="none"/>
        </w:rPr>
      </w:pPr>
      <w:bookmarkStart w:id="57" w:name="_Toc217446043"/>
      <w:bookmarkStart w:id="58" w:name="_Toc183682352"/>
      <w:bookmarkStart w:id="59" w:name="_Toc183582215"/>
      <w:r>
        <w:rPr>
          <w:rFonts w:hint="eastAsia" w:ascii="仿宋" w:hAnsi="仿宋" w:eastAsia="仿宋"/>
          <w:bCs w:val="0"/>
          <w:color w:val="auto"/>
          <w:sz w:val="24"/>
          <w:highlight w:val="none"/>
        </w:rPr>
        <w:t>9．投标文件的语言</w:t>
      </w:r>
      <w:bookmarkEnd w:id="57"/>
      <w:bookmarkEnd w:id="58"/>
      <w:bookmarkEnd w:id="59"/>
    </w:p>
    <w:p>
      <w:pPr>
        <w:tabs>
          <w:tab w:val="left" w:pos="1134"/>
        </w:tabs>
        <w:spacing w:line="360" w:lineRule="auto"/>
        <w:ind w:firstLine="480" w:firstLineChars="200"/>
        <w:jc w:val="left"/>
        <w:rPr>
          <w:rFonts w:ascii="仿宋" w:hAnsi="仿宋" w:eastAsia="仿宋"/>
          <w:color w:val="auto"/>
          <w:sz w:val="24"/>
          <w:highlight w:val="none"/>
        </w:rPr>
      </w:pPr>
      <w:bookmarkStart w:id="60" w:name="_Toc183582216"/>
      <w:bookmarkStart w:id="61" w:name="_Toc217446044"/>
      <w:bookmarkStart w:id="62" w:name="_Toc183682353"/>
      <w:r>
        <w:rPr>
          <w:rFonts w:ascii="仿宋" w:hAnsi="仿宋" w:eastAsia="仿宋"/>
          <w:color w:val="auto"/>
          <w:sz w:val="24"/>
          <w:highlight w:val="none"/>
        </w:rPr>
        <w:t xml:space="preserve">9.1 </w:t>
      </w:r>
      <w:r>
        <w:rPr>
          <w:rFonts w:hint="eastAsia" w:ascii="仿宋" w:hAnsi="仿宋" w:eastAsia="仿宋"/>
          <w:color w:val="auto"/>
          <w:sz w:val="24"/>
          <w:highlight w:val="none"/>
        </w:rPr>
        <w:t>投标人提交的投标文件以及投标人与招标采购单位就有关投标的所有来往书面文件均须使用中文。投标文件中如附有外文资料，主要部分对应翻译成中文并加盖投标人公章后附在相关外文资料后面。</w:t>
      </w:r>
      <w:r>
        <w:rPr>
          <w:rFonts w:hint="eastAsia" w:ascii="仿宋" w:hAnsi="仿宋" w:eastAsia="仿宋"/>
          <w:color w:val="auto"/>
          <w:sz w:val="24"/>
          <w:highlight w:val="none"/>
          <w:lang w:eastAsia="zh-CN"/>
        </w:rPr>
        <w:t>未翻译的外文资料，评标委员会可将其视为无效材料。</w:t>
      </w:r>
    </w:p>
    <w:p>
      <w:pPr>
        <w:tabs>
          <w:tab w:val="left" w:pos="1134"/>
        </w:tabs>
        <w:spacing w:line="360" w:lineRule="auto"/>
        <w:ind w:firstLine="480" w:firstLineChars="200"/>
        <w:jc w:val="left"/>
        <w:rPr>
          <w:rFonts w:ascii="仿宋" w:hAnsi="仿宋" w:eastAsia="仿宋"/>
          <w:color w:val="auto"/>
          <w:sz w:val="24"/>
          <w:highlight w:val="none"/>
        </w:rPr>
      </w:pPr>
      <w:r>
        <w:rPr>
          <w:rFonts w:ascii="仿宋" w:hAnsi="仿宋" w:eastAsia="仿宋"/>
          <w:color w:val="auto"/>
          <w:sz w:val="24"/>
          <w:highlight w:val="none"/>
        </w:rPr>
        <w:t xml:space="preserve">9.2 </w:t>
      </w:r>
      <w:r>
        <w:rPr>
          <w:rFonts w:hint="eastAsia" w:ascii="仿宋" w:hAnsi="仿宋" w:eastAsia="仿宋"/>
          <w:color w:val="auto"/>
          <w:sz w:val="24"/>
          <w:highlight w:val="none"/>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highlight w:val="none"/>
        </w:rPr>
      </w:pPr>
      <w:r>
        <w:rPr>
          <w:rFonts w:ascii="仿宋" w:hAnsi="仿宋" w:eastAsia="仿宋" w:cs="宋体"/>
          <w:color w:val="auto"/>
          <w:sz w:val="24"/>
          <w:highlight w:val="none"/>
        </w:rPr>
        <w:t xml:space="preserve">9.3 </w:t>
      </w:r>
      <w:r>
        <w:rPr>
          <w:rFonts w:hint="eastAsia" w:ascii="仿宋" w:hAnsi="仿宋" w:eastAsia="仿宋" w:cs="宋体"/>
          <w:color w:val="auto"/>
          <w:sz w:val="24"/>
          <w:highlight w:val="none"/>
        </w:rPr>
        <w:t>如因未翻译而造成的废标，由投标人承担。</w:t>
      </w:r>
    </w:p>
    <w:p>
      <w:pPr>
        <w:pStyle w:val="5"/>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10．计量单位</w:t>
      </w:r>
      <w:bookmarkEnd w:id="60"/>
      <w:bookmarkEnd w:id="61"/>
      <w:bookmarkEnd w:id="62"/>
      <w:r>
        <w:rPr>
          <w:rFonts w:hint="eastAsia" w:ascii="仿宋" w:hAnsi="仿宋" w:eastAsia="仿宋"/>
          <w:color w:val="auto"/>
          <w:sz w:val="24"/>
          <w:szCs w:val="24"/>
          <w:highlight w:val="none"/>
        </w:rPr>
        <w:t>（实质性要求）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color w:val="auto"/>
          <w:sz w:val="24"/>
          <w:highlight w:val="none"/>
        </w:rPr>
      </w:pPr>
      <w:bookmarkStart w:id="63" w:name="_Toc217446045"/>
      <w:r>
        <w:rPr>
          <w:rFonts w:ascii="仿宋" w:hAnsi="仿宋" w:eastAsia="仿宋"/>
          <w:color w:val="auto"/>
          <w:sz w:val="24"/>
          <w:highlight w:val="none"/>
        </w:rPr>
        <w:t xml:space="preserve">11. </w:t>
      </w:r>
      <w:r>
        <w:rPr>
          <w:rFonts w:hint="eastAsia" w:ascii="仿宋" w:hAnsi="仿宋" w:eastAsia="仿宋"/>
          <w:color w:val="auto"/>
          <w:sz w:val="24"/>
          <w:highlight w:val="none"/>
        </w:rPr>
        <w:t>投标货币</w:t>
      </w:r>
      <w:bookmarkEnd w:id="63"/>
      <w:r>
        <w:rPr>
          <w:rFonts w:hint="eastAsia" w:ascii="仿宋" w:hAnsi="仿宋" w:eastAsia="仿宋"/>
          <w:color w:val="auto"/>
          <w:sz w:val="24"/>
          <w:highlight w:val="none"/>
        </w:rPr>
        <w:t>（实质性要求）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本次招标项目的投标均以人民币报价。</w:t>
      </w:r>
    </w:p>
    <w:p>
      <w:pPr>
        <w:pStyle w:val="5"/>
        <w:spacing w:line="400" w:lineRule="exact"/>
        <w:ind w:firstLine="482" w:firstLineChars="200"/>
        <w:rPr>
          <w:rFonts w:ascii="仿宋" w:hAnsi="仿宋" w:eastAsia="仿宋"/>
          <w:color w:val="auto"/>
          <w:sz w:val="24"/>
          <w:highlight w:val="none"/>
        </w:rPr>
      </w:pPr>
      <w:bookmarkStart w:id="64" w:name="_Toc217446046"/>
      <w:bookmarkStart w:id="65" w:name="_Toc217446047"/>
      <w:r>
        <w:rPr>
          <w:rFonts w:ascii="仿宋" w:hAnsi="仿宋" w:eastAsia="仿宋"/>
          <w:color w:val="auto"/>
          <w:sz w:val="24"/>
          <w:highlight w:val="none"/>
        </w:rPr>
        <w:t xml:space="preserve">12. </w:t>
      </w:r>
      <w:r>
        <w:rPr>
          <w:rFonts w:hint="eastAsia" w:ascii="仿宋" w:hAnsi="仿宋" w:eastAsia="仿宋"/>
          <w:color w:val="auto"/>
          <w:sz w:val="24"/>
          <w:highlight w:val="none"/>
        </w:rPr>
        <w:t>联合体投标</w:t>
      </w:r>
      <w:bookmarkEnd w:id="64"/>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本项目不允许联合体参与</w:t>
      </w:r>
      <w:r>
        <w:rPr>
          <w:rFonts w:ascii="仿宋" w:hAnsi="仿宋" w:eastAsia="仿宋"/>
          <w:color w:val="auto"/>
          <w:sz w:val="24"/>
          <w:highlight w:val="none"/>
        </w:rPr>
        <w:t>）</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auto"/>
          <w:sz w:val="24"/>
          <w:highlight w:val="none"/>
        </w:rPr>
      </w:pPr>
      <w:bookmarkStart w:id="66" w:name="_Toc308164797"/>
      <w:r>
        <w:rPr>
          <w:rFonts w:ascii="仿宋" w:hAnsi="仿宋" w:eastAsia="仿宋"/>
          <w:color w:val="auto"/>
          <w:sz w:val="24"/>
          <w:highlight w:val="none"/>
        </w:rPr>
        <w:t xml:space="preserve">13. </w:t>
      </w:r>
      <w:r>
        <w:rPr>
          <w:rFonts w:hint="eastAsia" w:ascii="仿宋" w:hAnsi="仿宋" w:eastAsia="仿宋"/>
          <w:color w:val="auto"/>
          <w:sz w:val="24"/>
          <w:highlight w:val="none"/>
        </w:rPr>
        <w:t>知识产权</w:t>
      </w:r>
      <w:bookmarkEnd w:id="65"/>
      <w:bookmarkEnd w:id="66"/>
      <w:r>
        <w:rPr>
          <w:rFonts w:hint="eastAsia" w:ascii="仿宋" w:hAnsi="仿宋" w:eastAsia="仿宋"/>
          <w:color w:val="auto"/>
          <w:sz w:val="24"/>
          <w:highlight w:val="none"/>
        </w:rPr>
        <w:t>（实质性要求）</w:t>
      </w:r>
    </w:p>
    <w:p>
      <w:pPr>
        <w:pStyle w:val="13"/>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13.1 </w:t>
      </w:r>
      <w:r>
        <w:rPr>
          <w:rFonts w:hint="eastAsia" w:ascii="仿宋" w:hAnsi="仿宋" w:eastAsia="仿宋"/>
          <w:color w:val="auto"/>
          <w:sz w:val="24"/>
          <w:szCs w:val="24"/>
          <w:highlight w:val="none"/>
        </w:rPr>
        <w:t>投标人应保证在本项目使用的任何产品和服务（包括部分使用）时，不会产生因第三方提出侵犯其专利权、商标权或其它知识产权而引起的法律和经济纠纷，如</w:t>
      </w:r>
      <w:r>
        <w:rPr>
          <w:rFonts w:hint="eastAsia" w:ascii="仿宋" w:hAnsi="仿宋" w:eastAsia="仿宋"/>
          <w:color w:val="auto"/>
          <w:spacing w:val="-6"/>
          <w:sz w:val="24"/>
          <w:szCs w:val="24"/>
          <w:highlight w:val="none"/>
        </w:rPr>
        <w:t>因专利权、商标权或其它知识产权而引起法律和经济纠纷，由投标人承担所有相关责任。</w:t>
      </w:r>
    </w:p>
    <w:p>
      <w:pPr>
        <w:pStyle w:val="13"/>
        <w:spacing w:line="40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 xml:space="preserve">13.2 </w:t>
      </w:r>
      <w:r>
        <w:rPr>
          <w:rFonts w:hint="eastAsia" w:ascii="仿宋" w:hAnsi="仿宋" w:eastAsia="仿宋"/>
          <w:color w:val="auto"/>
          <w:sz w:val="24"/>
          <w:szCs w:val="24"/>
          <w:highlight w:val="none"/>
        </w:rPr>
        <w:t>采购人享有本项目实施过程中产生的知识成果及知识产权。</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13.3 </w:t>
      </w:r>
      <w:r>
        <w:rPr>
          <w:rFonts w:hint="eastAsia" w:ascii="仿宋" w:hAnsi="仿宋" w:eastAsia="仿宋"/>
          <w:color w:val="auto"/>
          <w:sz w:val="24"/>
          <w:highlight w:val="none"/>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color w:val="auto"/>
          <w:sz w:val="24"/>
          <w:highlight w:val="none"/>
        </w:rPr>
      </w:pPr>
      <w:bookmarkStart w:id="67" w:name="_Toc217446048"/>
      <w:bookmarkStart w:id="68" w:name="_Toc183682354"/>
      <w:bookmarkStart w:id="69" w:name="_Toc183582217"/>
      <w:bookmarkStart w:id="70" w:name="_Toc308164798"/>
      <w:r>
        <w:rPr>
          <w:rFonts w:hint="eastAsia" w:ascii="仿宋" w:hAnsi="仿宋" w:eastAsia="仿宋"/>
          <w:color w:val="auto"/>
          <w:sz w:val="24"/>
          <w:highlight w:val="none"/>
        </w:rPr>
        <w:t>14．投标文件的组成</w:t>
      </w:r>
      <w:bookmarkEnd w:id="67"/>
      <w:bookmarkEnd w:id="68"/>
      <w:bookmarkEnd w:id="69"/>
      <w:bookmarkEnd w:id="70"/>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文件一：资格性投标文件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严格按照第四、五章要求提供相关资格、资质性及其他类似效力要求的相关证明材料。</w:t>
      </w:r>
    </w:p>
    <w:p>
      <w:pPr>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文件二：其</w:t>
      </w:r>
      <w:r>
        <w:rPr>
          <w:rFonts w:hint="eastAsia" w:ascii="仿宋" w:hAnsi="仿宋" w:eastAsia="仿宋"/>
          <w:b/>
          <w:color w:val="auto"/>
          <w:sz w:val="24"/>
          <w:highlight w:val="none"/>
          <w:lang w:val="en-US" w:eastAsia="zh-CN"/>
        </w:rPr>
        <w:t>他</w:t>
      </w:r>
      <w:r>
        <w:rPr>
          <w:rFonts w:hint="eastAsia" w:ascii="仿宋" w:hAnsi="仿宋" w:eastAsia="仿宋"/>
          <w:b/>
          <w:color w:val="auto"/>
          <w:sz w:val="24"/>
          <w:highlight w:val="none"/>
        </w:rPr>
        <w:t>响应性投标文件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严格按照招标文件要求提供以下</w:t>
      </w:r>
      <w:r>
        <w:rPr>
          <w:rFonts w:hint="eastAsia" w:ascii="仿宋" w:hAnsi="仿宋" w:eastAsia="仿宋"/>
          <w:color w:val="auto"/>
          <w:sz w:val="24"/>
          <w:highlight w:val="none"/>
          <w:lang w:val="en-US" w:eastAsia="zh-CN"/>
        </w:rPr>
        <w:t>四</w:t>
      </w:r>
      <w:r>
        <w:rPr>
          <w:rFonts w:hint="eastAsia" w:ascii="仿宋" w:hAnsi="仿宋" w:eastAsia="仿宋"/>
          <w:color w:val="auto"/>
          <w:sz w:val="24"/>
          <w:highlight w:val="none"/>
        </w:rPr>
        <w:t>个方面的相关材料：</w:t>
      </w:r>
    </w:p>
    <w:p>
      <w:pPr>
        <w:pStyle w:val="48"/>
        <w:numPr>
          <w:ilvl w:val="0"/>
          <w:numId w:val="3"/>
        </w:numPr>
        <w:spacing w:line="400" w:lineRule="exact"/>
        <w:ind w:firstLineChars="0"/>
        <w:rPr>
          <w:rFonts w:ascii="仿宋" w:hAnsi="仿宋" w:eastAsia="仿宋"/>
          <w:bCs/>
          <w:color w:val="auto"/>
          <w:sz w:val="24"/>
          <w:highlight w:val="none"/>
        </w:rPr>
      </w:pPr>
      <w:r>
        <w:rPr>
          <w:rFonts w:hint="eastAsia" w:ascii="仿宋" w:hAnsi="仿宋" w:eastAsia="仿宋"/>
          <w:b/>
          <w:color w:val="auto"/>
          <w:sz w:val="24"/>
          <w:highlight w:val="none"/>
        </w:rPr>
        <w:t>报价部分。</w:t>
      </w:r>
    </w:p>
    <w:p>
      <w:pPr>
        <w:spacing w:line="400" w:lineRule="exact"/>
        <w:ind w:left="482"/>
        <w:rPr>
          <w:rFonts w:ascii="仿宋" w:hAnsi="仿宋" w:eastAsia="仿宋"/>
          <w:color w:val="auto"/>
          <w:sz w:val="24"/>
          <w:highlight w:val="none"/>
        </w:rPr>
      </w:pPr>
      <w:r>
        <w:rPr>
          <w:rFonts w:hint="eastAsia" w:ascii="仿宋" w:hAnsi="仿宋" w:eastAsia="仿宋"/>
          <w:color w:val="auto"/>
          <w:sz w:val="24"/>
          <w:highlight w:val="none"/>
        </w:rPr>
        <w:t xml:space="preserve">1、投标人按照招标文件要求填写的“开标一览表”、“报价明细表”（如涉及）。 </w:t>
      </w:r>
    </w:p>
    <w:p>
      <w:pPr>
        <w:spacing w:line="400" w:lineRule="exact"/>
        <w:ind w:left="482"/>
        <w:rPr>
          <w:rFonts w:ascii="仿宋" w:hAnsi="仿宋" w:eastAsia="仿宋"/>
          <w:color w:val="auto"/>
          <w:sz w:val="24"/>
          <w:highlight w:val="none"/>
        </w:rPr>
      </w:pPr>
      <w:r>
        <w:rPr>
          <w:rFonts w:hint="eastAsia" w:ascii="仿宋" w:hAnsi="仿宋" w:eastAsia="仿宋"/>
          <w:color w:val="auto"/>
          <w:sz w:val="24"/>
          <w:highlight w:val="none"/>
        </w:rPr>
        <w:t>2、本次招标报价要求：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color w:val="auto"/>
          <w:sz w:val="24"/>
          <w:highlight w:val="none"/>
        </w:rPr>
      </w:pPr>
      <w:r>
        <w:rPr>
          <w:rFonts w:hint="eastAsia" w:ascii="仿宋" w:hAnsi="仿宋" w:eastAsia="仿宋"/>
          <w:color w:val="auto"/>
          <w:sz w:val="24"/>
          <w:highlight w:val="none"/>
        </w:rPr>
        <w:t>（2）投标人每种服务只允许有一个报价，并且在合同履行过程中是固定不变的，任何有选择或可调整的报价将不予接受，并按无效投标处理（实质性要求）。</w:t>
      </w:r>
    </w:p>
    <w:p>
      <w:pPr>
        <w:spacing w:line="400" w:lineRule="exact"/>
        <w:ind w:firstLine="482" w:firstLineChars="200"/>
        <w:rPr>
          <w:rFonts w:ascii="仿宋" w:hAnsi="仿宋" w:eastAsia="仿宋"/>
          <w:b/>
          <w:bCs/>
          <w:color w:val="auto"/>
          <w:sz w:val="24"/>
          <w:highlight w:val="none"/>
        </w:rPr>
      </w:pPr>
      <w:r>
        <w:rPr>
          <w:rFonts w:hint="eastAsia" w:ascii="仿宋" w:hAnsi="仿宋" w:eastAsia="仿宋"/>
          <w:b/>
          <w:color w:val="auto"/>
          <w:sz w:val="24"/>
          <w:highlight w:val="none"/>
        </w:rPr>
        <w:t>（二）服务部分。</w:t>
      </w:r>
      <w:r>
        <w:rPr>
          <w:rFonts w:hint="eastAsia" w:ascii="仿宋" w:hAnsi="仿宋" w:eastAsia="仿宋"/>
          <w:color w:val="auto"/>
          <w:sz w:val="24"/>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（1）服务方案、项目实施方案；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（2）验收标准和验收方法；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（3）服务应答表；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（4）投标人认为需要提供的文件和资料。</w:t>
      </w:r>
    </w:p>
    <w:p>
      <w:pPr>
        <w:spacing w:line="400" w:lineRule="exact"/>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（三）商务部分。</w:t>
      </w:r>
      <w:r>
        <w:rPr>
          <w:rFonts w:hint="eastAsia" w:ascii="仿宋" w:hAnsi="仿宋" w:eastAsia="仿宋"/>
          <w:color w:val="auto"/>
          <w:sz w:val="24"/>
          <w:highlight w:val="none"/>
        </w:rPr>
        <w:t>投标人按照招标文件要求提供的有关文件及优惠承诺。包括以下内容（如涉及）：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（1）投标函；</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2</w:t>
      </w:r>
      <w:r>
        <w:rPr>
          <w:rFonts w:hint="eastAsia" w:ascii="仿宋" w:hAnsi="仿宋" w:eastAsia="仿宋"/>
          <w:color w:val="auto"/>
          <w:sz w:val="24"/>
          <w:highlight w:val="none"/>
        </w:rPr>
        <w:t>）证明投标人业绩和荣誉的有关材料复印件；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3</w:t>
      </w:r>
      <w:r>
        <w:rPr>
          <w:rFonts w:hint="eastAsia" w:ascii="仿宋" w:hAnsi="仿宋" w:eastAsia="仿宋"/>
          <w:color w:val="auto"/>
          <w:sz w:val="24"/>
          <w:highlight w:val="none"/>
        </w:rPr>
        <w:t>）商务应答表；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4</w:t>
      </w:r>
      <w:r>
        <w:rPr>
          <w:rFonts w:hint="eastAsia" w:ascii="仿宋" w:hAnsi="仿宋" w:eastAsia="仿宋"/>
          <w:color w:val="auto"/>
          <w:sz w:val="24"/>
          <w:highlight w:val="none"/>
        </w:rPr>
        <w:t>）其他投标人认为需要提供的文件和资料。</w:t>
      </w:r>
    </w:p>
    <w:p>
      <w:pPr>
        <w:spacing w:line="400" w:lineRule="exact"/>
        <w:ind w:firstLine="482" w:firstLineChars="200"/>
        <w:rPr>
          <w:rFonts w:ascii="仿宋" w:hAnsi="仿宋" w:eastAsia="仿宋"/>
          <w:color w:val="auto"/>
          <w:sz w:val="24"/>
          <w:highlight w:val="none"/>
        </w:rPr>
      </w:pPr>
      <w:r>
        <w:rPr>
          <w:rFonts w:hint="eastAsia" w:ascii="仿宋" w:hAnsi="仿宋" w:eastAsia="仿宋"/>
          <w:b/>
          <w:bCs/>
          <w:color w:val="auto"/>
          <w:sz w:val="24"/>
          <w:highlight w:val="none"/>
        </w:rPr>
        <w:t>（四）其他部分。</w:t>
      </w:r>
      <w:r>
        <w:rPr>
          <w:rFonts w:hint="eastAsia" w:ascii="仿宋" w:hAnsi="仿宋" w:eastAsia="仿宋"/>
          <w:bCs/>
          <w:color w:val="auto"/>
          <w:sz w:val="24"/>
          <w:highlight w:val="none"/>
        </w:rPr>
        <w:t>投标人按照招标文件要求作出的其他应答和承诺。</w:t>
      </w:r>
    </w:p>
    <w:p>
      <w:pPr>
        <w:pStyle w:val="5"/>
        <w:tabs>
          <w:tab w:val="left" w:pos="3480"/>
        </w:tabs>
        <w:spacing w:line="400" w:lineRule="exact"/>
        <w:ind w:firstLine="482" w:firstLineChars="200"/>
        <w:rPr>
          <w:rFonts w:ascii="仿宋" w:hAnsi="仿宋" w:eastAsia="仿宋"/>
          <w:color w:val="auto"/>
          <w:sz w:val="24"/>
          <w:highlight w:val="none"/>
        </w:rPr>
      </w:pPr>
      <w:bookmarkStart w:id="71" w:name="_Toc183682355"/>
      <w:bookmarkStart w:id="72" w:name="_Toc183582218"/>
      <w:bookmarkStart w:id="73" w:name="_Toc217446049"/>
      <w:bookmarkStart w:id="74" w:name="_Toc308164799"/>
      <w:r>
        <w:rPr>
          <w:rFonts w:hint="eastAsia" w:ascii="仿宋" w:hAnsi="仿宋" w:eastAsia="仿宋"/>
          <w:color w:val="auto"/>
          <w:sz w:val="24"/>
          <w:highlight w:val="none"/>
        </w:rPr>
        <w:t>15．投标文件格式</w:t>
      </w:r>
      <w:bookmarkEnd w:id="71"/>
      <w:bookmarkEnd w:id="72"/>
      <w:bookmarkEnd w:id="73"/>
      <w:bookmarkEnd w:id="74"/>
    </w:p>
    <w:p>
      <w:pPr>
        <w:tabs>
          <w:tab w:val="left" w:pos="7665"/>
        </w:tabs>
        <w:spacing w:line="400" w:lineRule="exact"/>
        <w:ind w:left="13" w:leftChars="6" w:firstLine="480" w:firstLineChars="200"/>
        <w:rPr>
          <w:rFonts w:ascii="仿宋" w:hAnsi="仿宋" w:eastAsia="仿宋"/>
          <w:color w:val="auto"/>
          <w:sz w:val="24"/>
          <w:highlight w:val="none"/>
        </w:rPr>
      </w:pPr>
      <w:r>
        <w:rPr>
          <w:rFonts w:ascii="仿宋" w:hAnsi="仿宋" w:eastAsia="仿宋"/>
          <w:color w:val="auto"/>
          <w:sz w:val="24"/>
          <w:highlight w:val="none"/>
        </w:rPr>
        <w:t xml:space="preserve">15.1 </w:t>
      </w:r>
      <w:r>
        <w:rPr>
          <w:rFonts w:hint="eastAsia" w:ascii="仿宋" w:hAnsi="仿宋" w:eastAsia="仿宋"/>
          <w:color w:val="auto"/>
          <w:sz w:val="24"/>
          <w:highlight w:val="none"/>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auto"/>
          <w:sz w:val="24"/>
          <w:highlight w:val="none"/>
        </w:rPr>
      </w:pPr>
      <w:r>
        <w:rPr>
          <w:rFonts w:ascii="仿宋" w:hAnsi="仿宋" w:eastAsia="仿宋"/>
          <w:color w:val="auto"/>
          <w:sz w:val="24"/>
          <w:highlight w:val="none"/>
        </w:rPr>
        <w:t xml:space="preserve">15.2 </w:t>
      </w:r>
      <w:r>
        <w:rPr>
          <w:rFonts w:hint="eastAsia" w:ascii="仿宋" w:hAnsi="仿宋" w:eastAsia="仿宋"/>
          <w:color w:val="auto"/>
          <w:sz w:val="24"/>
          <w:highlight w:val="none"/>
        </w:rPr>
        <w:t>对于没有格式要求的投标文件由投标人自行编写。</w:t>
      </w:r>
    </w:p>
    <w:p>
      <w:pPr>
        <w:pStyle w:val="5"/>
        <w:spacing w:line="400" w:lineRule="exact"/>
        <w:ind w:firstLine="482" w:firstLineChars="200"/>
        <w:rPr>
          <w:rFonts w:ascii="仿宋" w:hAnsi="仿宋" w:eastAsia="仿宋"/>
          <w:bCs w:val="0"/>
          <w:color w:val="auto"/>
          <w:sz w:val="24"/>
          <w:highlight w:val="none"/>
        </w:rPr>
      </w:pPr>
      <w:bookmarkStart w:id="75" w:name="_Toc217446051"/>
      <w:bookmarkStart w:id="76" w:name="_Toc183582224"/>
      <w:bookmarkStart w:id="77" w:name="_Toc183682361"/>
      <w:bookmarkStart w:id="78" w:name="_Toc308164801"/>
      <w:r>
        <w:rPr>
          <w:rFonts w:hint="eastAsia" w:ascii="仿宋" w:hAnsi="仿宋" w:eastAsia="仿宋"/>
          <w:bCs w:val="0"/>
          <w:color w:val="auto"/>
          <w:sz w:val="24"/>
          <w:highlight w:val="none"/>
        </w:rPr>
        <w:t>1</w:t>
      </w:r>
      <w:r>
        <w:rPr>
          <w:rFonts w:hint="eastAsia" w:ascii="仿宋" w:hAnsi="仿宋" w:eastAsia="仿宋"/>
          <w:bCs w:val="0"/>
          <w:color w:val="auto"/>
          <w:sz w:val="24"/>
          <w:highlight w:val="none"/>
          <w:lang w:val="en-US" w:eastAsia="zh-CN"/>
        </w:rPr>
        <w:t>6</w:t>
      </w:r>
      <w:r>
        <w:rPr>
          <w:rFonts w:hint="eastAsia" w:ascii="仿宋" w:hAnsi="仿宋" w:eastAsia="仿宋"/>
          <w:bCs w:val="0"/>
          <w:color w:val="auto"/>
          <w:sz w:val="24"/>
          <w:highlight w:val="none"/>
        </w:rPr>
        <w:t>．投标有效期</w:t>
      </w:r>
      <w:bookmarkEnd w:id="75"/>
      <w:bookmarkEnd w:id="76"/>
      <w:bookmarkEnd w:id="77"/>
      <w:bookmarkEnd w:id="78"/>
      <w:r>
        <w:rPr>
          <w:rFonts w:hint="eastAsia" w:ascii="仿宋" w:hAnsi="仿宋" w:eastAsia="仿宋"/>
          <w:color w:val="auto"/>
          <w:sz w:val="24"/>
          <w:szCs w:val="24"/>
          <w:highlight w:val="none"/>
        </w:rPr>
        <w:t>（实质性要求）</w:t>
      </w:r>
    </w:p>
    <w:p>
      <w:pPr>
        <w:tabs>
          <w:tab w:val="left" w:pos="7665"/>
        </w:tabs>
        <w:spacing w:line="400" w:lineRule="exact"/>
        <w:ind w:left="13" w:leftChars="6" w:firstLine="480" w:firstLineChars="200"/>
        <w:rPr>
          <w:rFonts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.1 </w:t>
      </w:r>
      <w:r>
        <w:rPr>
          <w:rFonts w:hint="eastAsia" w:ascii="仿宋" w:hAnsi="仿宋" w:eastAsia="仿宋"/>
          <w:color w:val="auto"/>
          <w:sz w:val="24"/>
          <w:highlight w:val="none"/>
        </w:rPr>
        <w:t>本项目投标有效期为投标截止时间届满后</w:t>
      </w:r>
      <w:r>
        <w:rPr>
          <w:rFonts w:ascii="仿宋" w:hAnsi="仿宋" w:eastAsia="仿宋"/>
          <w:b/>
          <w:bCs/>
          <w:color w:val="auto"/>
          <w:sz w:val="24"/>
          <w:highlight w:val="none"/>
        </w:rPr>
        <w:t>90</w:t>
      </w:r>
      <w:r>
        <w:rPr>
          <w:rFonts w:hint="eastAsia" w:ascii="仿宋" w:hAnsi="仿宋" w:eastAsia="仿宋"/>
          <w:color w:val="auto"/>
          <w:sz w:val="24"/>
          <w:highlight w:val="none"/>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hint="eastAsia" w:ascii="仿宋" w:hAnsi="仿宋" w:eastAsia="仿宋"/>
          <w:color w:val="auto"/>
          <w:sz w:val="24"/>
          <w:highlight w:val="none"/>
        </w:rPr>
      </w:pPr>
      <w:r>
        <w:rPr>
          <w:rFonts w:ascii="仿宋" w:hAnsi="仿宋" w:eastAsia="仿宋"/>
          <w:color w:val="auto"/>
          <w:sz w:val="24"/>
          <w:highlight w:val="none"/>
        </w:rPr>
        <w:t>1</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.3 </w:t>
      </w:r>
      <w:r>
        <w:rPr>
          <w:rFonts w:hint="eastAsia" w:ascii="仿宋" w:hAnsi="仿宋" w:eastAsia="仿宋"/>
          <w:color w:val="auto"/>
          <w:sz w:val="24"/>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bookmarkStart w:id="79" w:name="_Toc183582225"/>
      <w:bookmarkStart w:id="80" w:name="_Toc217446052"/>
      <w:bookmarkStart w:id="81" w:name="_Toc308164802"/>
      <w:bookmarkStart w:id="82" w:name="_Toc183682362"/>
    </w:p>
    <w:p>
      <w:pPr>
        <w:pStyle w:val="5"/>
        <w:spacing w:line="400" w:lineRule="exact"/>
        <w:ind w:firstLine="482" w:firstLineChars="200"/>
        <w:rPr>
          <w:rFonts w:hint="default" w:ascii="仿宋" w:hAnsi="仿宋" w:eastAsia="仿宋"/>
          <w:bCs w:val="0"/>
          <w:color w:val="auto"/>
          <w:sz w:val="24"/>
          <w:highlight w:val="none"/>
          <w:lang w:val="en-US" w:eastAsia="zh-CN"/>
        </w:rPr>
      </w:pPr>
      <w:r>
        <w:rPr>
          <w:rFonts w:hint="eastAsia" w:ascii="仿宋" w:hAnsi="仿宋" w:eastAsia="仿宋"/>
          <w:bCs w:val="0"/>
          <w:color w:val="auto"/>
          <w:sz w:val="24"/>
          <w:highlight w:val="none"/>
        </w:rPr>
        <w:t>1</w:t>
      </w:r>
      <w:r>
        <w:rPr>
          <w:rFonts w:hint="eastAsia" w:ascii="仿宋" w:hAnsi="仿宋" w:eastAsia="仿宋"/>
          <w:bCs w:val="0"/>
          <w:color w:val="auto"/>
          <w:sz w:val="24"/>
          <w:highlight w:val="none"/>
          <w:lang w:val="en-US" w:eastAsia="zh-CN"/>
        </w:rPr>
        <w:t>7</w:t>
      </w:r>
      <w:r>
        <w:rPr>
          <w:rFonts w:hint="eastAsia" w:ascii="仿宋" w:hAnsi="仿宋" w:eastAsia="仿宋"/>
          <w:bCs w:val="0"/>
          <w:color w:val="auto"/>
          <w:sz w:val="24"/>
          <w:highlight w:val="none"/>
        </w:rPr>
        <w:t>．投标文件的</w:t>
      </w:r>
      <w:bookmarkEnd w:id="79"/>
      <w:bookmarkEnd w:id="80"/>
      <w:bookmarkEnd w:id="81"/>
      <w:bookmarkEnd w:id="82"/>
      <w:r>
        <w:rPr>
          <w:rFonts w:hint="eastAsia" w:ascii="仿宋" w:hAnsi="仿宋" w:eastAsia="仿宋"/>
          <w:bCs w:val="0"/>
          <w:color w:val="auto"/>
          <w:sz w:val="24"/>
          <w:highlight w:val="none"/>
          <w:lang w:val="en-US" w:eastAsia="zh-CN"/>
        </w:rPr>
        <w:t>制作和签章、加密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color w:val="auto"/>
          <w:sz w:val="24"/>
          <w:highlight w:val="none"/>
        </w:rPr>
      </w:pPr>
      <w:r>
        <w:rPr>
          <w:rFonts w:hint="eastAsia" w:ascii="仿宋" w:hAnsi="仿宋" w:eastAsia="仿宋"/>
          <w:b/>
          <w:bCs/>
          <w:color w:val="auto"/>
          <w:sz w:val="24"/>
          <w:highlight w:val="none"/>
        </w:rPr>
        <w:t>17.2 资格性投标文件、其他响应性投标文件封面均应加盖投标人（法定名称）电子印章确认，不得使用投标人专用章（如经济合同章、投标专用章等）或下属单位印章代替。（实质性要求）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17.3 投标人应使用CA数字证书对投标文件进行加密。</w:t>
      </w:r>
    </w:p>
    <w:p>
      <w:pPr>
        <w:tabs>
          <w:tab w:val="left" w:pos="7665"/>
        </w:tabs>
        <w:spacing w:line="400" w:lineRule="exact"/>
        <w:ind w:left="13" w:leftChars="6" w:firstLine="360" w:firstLineChars="150"/>
        <w:rPr>
          <w:rFonts w:ascii="仿宋" w:hAnsi="仿宋" w:eastAsia="仿宋"/>
          <w:color w:val="auto"/>
          <w:sz w:val="24"/>
          <w:highlight w:val="none"/>
        </w:rPr>
      </w:pPr>
      <w:r>
        <w:rPr>
          <w:rFonts w:hint="eastAsia" w:ascii="仿宋" w:hAnsi="仿宋" w:eastAsia="仿宋"/>
          <w:color w:val="auto"/>
          <w:sz w:val="24"/>
          <w:highlight w:val="none"/>
        </w:rPr>
        <w:t>17.4 招标文件若有修改，投标人根据修改后的招标文件制作或修改并递交投标文件。</w:t>
      </w:r>
    </w:p>
    <w:p>
      <w:pPr>
        <w:tabs>
          <w:tab w:val="left" w:pos="1080"/>
        </w:tabs>
        <w:spacing w:line="40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hint="eastAsia" w:ascii="仿宋" w:hAnsi="仿宋" w:eastAsia="仿宋"/>
          <w:color w:val="auto"/>
          <w:sz w:val="24"/>
          <w:highlight w:val="none"/>
        </w:rPr>
      </w:pPr>
      <w:r>
        <w:rPr>
          <w:rFonts w:hint="eastAsia" w:ascii="仿宋" w:hAnsi="仿宋" w:eastAsia="仿宋"/>
          <w:color w:val="auto"/>
          <w:sz w:val="24"/>
          <w:highlight w:val="none"/>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color w:val="auto"/>
          <w:sz w:val="24"/>
          <w:szCs w:val="24"/>
          <w:highlight w:val="none"/>
        </w:rPr>
      </w:pPr>
      <w:bookmarkStart w:id="83" w:name="_Toc183582227"/>
      <w:bookmarkStart w:id="84" w:name="_Toc183682364"/>
      <w:bookmarkStart w:id="85" w:name="_Toc308164804"/>
      <w:bookmarkStart w:id="86" w:name="_Toc217446054"/>
      <w:r>
        <w:rPr>
          <w:rFonts w:hint="eastAsia" w:ascii="仿宋" w:hAnsi="仿宋" w:eastAsia="仿宋"/>
          <w:bCs w:val="0"/>
          <w:color w:val="auto"/>
          <w:sz w:val="24"/>
          <w:szCs w:val="24"/>
          <w:highlight w:val="none"/>
          <w:lang w:val="en-US" w:eastAsia="zh-CN"/>
        </w:rPr>
        <w:t>18</w:t>
      </w:r>
      <w:r>
        <w:rPr>
          <w:rFonts w:hint="eastAsia" w:ascii="仿宋" w:hAnsi="仿宋" w:eastAsia="仿宋"/>
          <w:bCs w:val="0"/>
          <w:color w:val="auto"/>
          <w:sz w:val="28"/>
          <w:szCs w:val="28"/>
          <w:highlight w:val="none"/>
        </w:rPr>
        <w:t>．</w:t>
      </w:r>
      <w:r>
        <w:rPr>
          <w:rFonts w:hint="eastAsia" w:ascii="仿宋" w:hAnsi="仿宋" w:eastAsia="仿宋"/>
          <w:bCs w:val="0"/>
          <w:color w:val="auto"/>
          <w:sz w:val="24"/>
          <w:szCs w:val="24"/>
          <w:highlight w:val="none"/>
        </w:rPr>
        <w:t>投标文件的</w:t>
      </w:r>
      <w:bookmarkEnd w:id="83"/>
      <w:bookmarkEnd w:id="84"/>
      <w:r>
        <w:rPr>
          <w:rFonts w:hint="eastAsia" w:ascii="仿宋" w:hAnsi="仿宋" w:eastAsia="仿宋"/>
          <w:bCs w:val="0"/>
          <w:color w:val="auto"/>
          <w:sz w:val="24"/>
          <w:szCs w:val="24"/>
          <w:highlight w:val="none"/>
        </w:rPr>
        <w:t>递交</w:t>
      </w:r>
      <w:bookmarkEnd w:id="85"/>
      <w:bookmarkEnd w:id="86"/>
    </w:p>
    <w:p>
      <w:pPr>
        <w:tabs>
          <w:tab w:val="left" w:pos="1095"/>
        </w:tabs>
        <w:spacing w:line="400" w:lineRule="exact"/>
        <w:ind w:firstLine="460" w:firstLineChars="192"/>
        <w:rPr>
          <w:rFonts w:hint="eastAsia" w:ascii="仿宋" w:hAnsi="仿宋" w:eastAsia="仿宋"/>
          <w:color w:val="auto"/>
          <w:sz w:val="24"/>
          <w:highlight w:val="none"/>
        </w:rPr>
      </w:pPr>
      <w:r>
        <w:rPr>
          <w:rFonts w:hint="eastAsia" w:ascii="仿宋" w:hAnsi="仿宋" w:eastAsia="仿宋"/>
          <w:color w:val="auto"/>
          <w:sz w:val="24"/>
          <w:highlight w:val="none"/>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hint="eastAsia" w:ascii="仿宋" w:hAnsi="仿宋" w:eastAsia="仿宋"/>
          <w:color w:val="auto"/>
          <w:sz w:val="24"/>
          <w:highlight w:val="none"/>
        </w:rPr>
      </w:pPr>
      <w:r>
        <w:rPr>
          <w:rFonts w:hint="eastAsia" w:ascii="仿宋" w:hAnsi="仿宋" w:eastAsia="仿宋"/>
          <w:color w:val="auto"/>
          <w:sz w:val="24"/>
          <w:highlight w:val="none"/>
        </w:rPr>
        <w:t>18.2投标人应充分考虑递交文件的不可预见因素，在投标截止时间后将无法递交。</w:t>
      </w:r>
      <w:bookmarkStart w:id="87" w:name="_Toc183582228"/>
      <w:bookmarkStart w:id="88" w:name="_Toc183682365"/>
      <w:bookmarkStart w:id="89" w:name="_Toc217446055"/>
    </w:p>
    <w:p>
      <w:pPr>
        <w:pStyle w:val="5"/>
        <w:spacing w:line="400" w:lineRule="exact"/>
        <w:ind w:firstLine="482" w:firstLineChars="200"/>
        <w:rPr>
          <w:rFonts w:hint="eastAsia" w:ascii="仿宋" w:hAnsi="仿宋" w:eastAsia="仿宋"/>
          <w:bCs w:val="0"/>
          <w:color w:val="auto"/>
          <w:sz w:val="24"/>
          <w:szCs w:val="24"/>
          <w:highlight w:val="none"/>
          <w:lang w:val="en-US" w:eastAsia="zh-CN"/>
        </w:rPr>
      </w:pPr>
      <w:r>
        <w:rPr>
          <w:rFonts w:hint="eastAsia" w:ascii="仿宋" w:hAnsi="仿宋" w:eastAsia="仿宋"/>
          <w:bCs w:val="0"/>
          <w:color w:val="auto"/>
          <w:sz w:val="24"/>
          <w:szCs w:val="24"/>
          <w:highlight w:val="none"/>
          <w:lang w:val="en-US" w:eastAsia="zh-CN"/>
        </w:rPr>
        <w:t>19．投标文件的补充、修改或撤</w:t>
      </w:r>
      <w:bookmarkEnd w:id="87"/>
      <w:bookmarkEnd w:id="88"/>
      <w:r>
        <w:rPr>
          <w:rFonts w:hint="eastAsia" w:ascii="仿宋" w:hAnsi="仿宋" w:eastAsia="仿宋"/>
          <w:bCs w:val="0"/>
          <w:color w:val="auto"/>
          <w:sz w:val="24"/>
          <w:szCs w:val="24"/>
          <w:highlight w:val="none"/>
          <w:lang w:val="en-US" w:eastAsia="zh-CN"/>
        </w:rPr>
        <w:t>回</w:t>
      </w:r>
      <w:bookmarkEnd w:id="89"/>
      <w:r>
        <w:rPr>
          <w:rFonts w:hint="eastAsia" w:ascii="仿宋" w:hAnsi="仿宋" w:eastAsia="仿宋"/>
          <w:bCs w:val="0"/>
          <w:color w:val="auto"/>
          <w:sz w:val="24"/>
          <w:szCs w:val="24"/>
          <w:highlight w:val="none"/>
          <w:lang w:val="en-US" w:eastAsia="zh-CN"/>
        </w:rPr>
        <w:t>。</w:t>
      </w:r>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color w:val="auto"/>
          <w:sz w:val="24"/>
          <w:highlight w:val="none"/>
        </w:rPr>
        <w:t>撤回投标文件进行补充、修改，在投标截止时间前未重新递交的，视为撤回投标文件。</w:t>
      </w:r>
    </w:p>
    <w:p>
      <w:pPr>
        <w:spacing w:line="400" w:lineRule="exact"/>
        <w:ind w:firstLine="480"/>
        <w:rPr>
          <w:rFonts w:hint="eastAsia" w:ascii="仿宋" w:hAnsi="仿宋" w:eastAsia="仿宋"/>
          <w:color w:val="auto"/>
          <w:sz w:val="24"/>
          <w:highlight w:val="none"/>
        </w:rPr>
      </w:pPr>
      <w:r>
        <w:rPr>
          <w:rFonts w:hint="eastAsia" w:ascii="仿宋" w:hAnsi="仿宋" w:eastAsia="仿宋"/>
          <w:color w:val="auto"/>
          <w:sz w:val="24"/>
          <w:highlight w:val="none"/>
        </w:rPr>
        <w:t>19.2投标截止时间后，投标人不得对其递交的投标文件做任何补充、修改。</w:t>
      </w:r>
    </w:p>
    <w:p>
      <w:pPr>
        <w:spacing w:line="400" w:lineRule="exact"/>
        <w:ind w:firstLine="472" w:firstLineChars="196"/>
        <w:outlineLvl w:val="2"/>
        <w:rPr>
          <w:rFonts w:ascii="仿宋" w:hAnsi="仿宋" w:eastAsia="仿宋"/>
          <w:b/>
          <w:bCs/>
          <w:color w:val="auto"/>
          <w:sz w:val="24"/>
          <w:highlight w:val="none"/>
        </w:rPr>
      </w:pPr>
      <w:r>
        <w:rPr>
          <w:rFonts w:hint="eastAsia" w:ascii="仿宋" w:hAnsi="仿宋" w:eastAsia="仿宋"/>
          <w:b/>
          <w:bCs/>
          <w:color w:val="auto"/>
          <w:sz w:val="24"/>
          <w:highlight w:val="none"/>
        </w:rPr>
        <w:t>20</w:t>
      </w:r>
      <w:r>
        <w:rPr>
          <w:rFonts w:hint="eastAsia" w:ascii="仿宋" w:hAnsi="仿宋"/>
          <w:color w:val="auto"/>
          <w:sz w:val="24"/>
          <w:szCs w:val="24"/>
          <w:highlight w:val="none"/>
        </w:rPr>
        <w:t xml:space="preserve">. </w:t>
      </w:r>
      <w:r>
        <w:rPr>
          <w:rFonts w:hint="eastAsia" w:ascii="仿宋" w:hAnsi="仿宋" w:eastAsia="仿宋"/>
          <w:b/>
          <w:bCs/>
          <w:color w:val="auto"/>
          <w:sz w:val="24"/>
          <w:highlight w:val="none"/>
        </w:rPr>
        <w:t>投标文件的解密</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投标人登录政府采购云平台，点击“项目采购—开标评标”模块，进入本项目“开标大厅”，等待代理机构开启解密后，进行线上解密。</w:t>
      </w:r>
      <w:r>
        <w:rPr>
          <w:rFonts w:hint="eastAsia" w:ascii="仿宋" w:hAnsi="仿宋" w:eastAsia="仿宋"/>
          <w:b/>
          <w:bCs/>
          <w:color w:val="auto"/>
          <w:sz w:val="24"/>
          <w:highlight w:val="none"/>
        </w:rPr>
        <w:t>除因</w:t>
      </w:r>
      <w:r>
        <w:rPr>
          <w:rFonts w:hint="eastAsia" w:ascii="仿宋" w:hAnsi="仿宋" w:eastAsia="仿宋"/>
          <w:b/>
          <w:bCs/>
          <w:color w:val="auto"/>
          <w:sz w:val="24"/>
          <w:highlight w:val="none"/>
          <w:lang w:eastAsia="zh-CN"/>
        </w:rPr>
        <w:t>系统发生故障</w:t>
      </w:r>
      <w:r>
        <w:rPr>
          <w:rFonts w:hint="eastAsia" w:ascii="仿宋" w:hAnsi="仿宋" w:eastAsia="仿宋"/>
          <w:b/>
          <w:bCs/>
          <w:color w:val="auto"/>
          <w:sz w:val="24"/>
          <w:highlight w:val="none"/>
          <w:lang w:val="zh-CN" w:eastAsia="zh-CN"/>
        </w:rPr>
        <w:t>（</w:t>
      </w:r>
      <w:r>
        <w:rPr>
          <w:rFonts w:hint="eastAsia" w:ascii="仿宋" w:hAnsi="仿宋" w:eastAsia="仿宋"/>
          <w:b/>
          <w:bCs/>
          <w:color w:val="auto"/>
          <w:sz w:val="24"/>
          <w:highlight w:val="none"/>
          <w:lang w:val="en-US" w:eastAsia="zh-CN"/>
        </w:rPr>
        <w:t>包括组织场所停电、断网等）</w:t>
      </w:r>
      <w:r>
        <w:rPr>
          <w:rFonts w:hint="eastAsia" w:ascii="仿宋" w:hAnsi="仿宋" w:eastAsia="仿宋"/>
          <w:b/>
          <w:bCs/>
          <w:color w:val="auto"/>
          <w:sz w:val="24"/>
          <w:highlight w:val="none"/>
          <w:lang w:eastAsia="zh-CN"/>
        </w:rPr>
        <w:t>导致投标文件无法按时解密外，投标文件未按时解密的作为无效投标处理</w:t>
      </w:r>
      <w:r>
        <w:rPr>
          <w:rFonts w:hint="eastAsia" w:ascii="仿宋" w:hAnsi="仿宋" w:eastAsia="仿宋"/>
          <w:b/>
          <w:bCs/>
          <w:color w:val="auto"/>
          <w:sz w:val="24"/>
          <w:highlight w:val="none"/>
        </w:rPr>
        <w:t>。</w:t>
      </w:r>
    </w:p>
    <w:p>
      <w:pPr>
        <w:pStyle w:val="4"/>
        <w:spacing w:line="400" w:lineRule="exact"/>
        <w:jc w:val="center"/>
        <w:rPr>
          <w:rFonts w:ascii="仿宋" w:hAnsi="仿宋" w:eastAsia="仿宋"/>
          <w:color w:val="auto"/>
          <w:highlight w:val="none"/>
        </w:rPr>
      </w:pPr>
      <w:bookmarkStart w:id="90" w:name="_Toc183682368"/>
      <w:bookmarkStart w:id="91" w:name="_Toc89075878"/>
      <w:bookmarkStart w:id="92" w:name="_Toc183582231"/>
      <w:bookmarkStart w:id="93" w:name="_Toc217446056"/>
      <w:bookmarkStart w:id="94" w:name="_Toc77400782"/>
      <w:bookmarkStart w:id="95" w:name="_Toc308164805"/>
      <w:r>
        <w:rPr>
          <w:rFonts w:hint="eastAsia" w:ascii="仿宋" w:hAnsi="仿宋" w:eastAsia="仿宋"/>
          <w:color w:val="auto"/>
          <w:highlight w:val="none"/>
        </w:rPr>
        <w:t>五、开标和中标</w:t>
      </w:r>
      <w:bookmarkEnd w:id="90"/>
      <w:bookmarkEnd w:id="91"/>
      <w:bookmarkEnd w:id="92"/>
      <w:bookmarkEnd w:id="93"/>
      <w:bookmarkEnd w:id="94"/>
      <w:bookmarkEnd w:id="95"/>
    </w:p>
    <w:p>
      <w:pPr>
        <w:pStyle w:val="5"/>
        <w:spacing w:line="400" w:lineRule="exact"/>
        <w:ind w:firstLine="482" w:firstLineChars="200"/>
        <w:rPr>
          <w:rFonts w:hint="default" w:ascii="仿宋" w:hAnsi="仿宋" w:eastAsia="仿宋"/>
          <w:bCs w:val="0"/>
          <w:color w:val="auto"/>
          <w:sz w:val="24"/>
          <w:highlight w:val="none"/>
          <w:lang w:val="en-US" w:eastAsia="zh-CN"/>
        </w:rPr>
      </w:pPr>
      <w:bookmarkStart w:id="96" w:name="_Toc183582232"/>
      <w:bookmarkStart w:id="97" w:name="_Toc183682369"/>
      <w:bookmarkStart w:id="98" w:name="_Toc308164806"/>
      <w:bookmarkStart w:id="99" w:name="_Toc217446057"/>
      <w:r>
        <w:rPr>
          <w:rFonts w:hint="eastAsia" w:ascii="仿宋" w:hAnsi="仿宋" w:eastAsia="仿宋"/>
          <w:bCs w:val="0"/>
          <w:color w:val="auto"/>
          <w:sz w:val="24"/>
          <w:highlight w:val="none"/>
          <w:lang w:val="en-US" w:eastAsia="zh-CN"/>
        </w:rPr>
        <w:t>21</w:t>
      </w:r>
      <w:bookmarkEnd w:id="96"/>
      <w:bookmarkEnd w:id="97"/>
      <w:bookmarkEnd w:id="98"/>
      <w:bookmarkEnd w:id="99"/>
      <w:r>
        <w:rPr>
          <w:rFonts w:hint="eastAsia" w:ascii="仿宋" w:hAnsi="仿宋"/>
          <w:color w:val="auto"/>
          <w:sz w:val="24"/>
          <w:szCs w:val="24"/>
          <w:highlight w:val="none"/>
        </w:rPr>
        <w:t xml:space="preserve">. </w:t>
      </w:r>
      <w:r>
        <w:rPr>
          <w:rFonts w:hint="eastAsia" w:ascii="仿宋" w:hAnsi="仿宋" w:eastAsia="仿宋"/>
          <w:bCs w:val="0"/>
          <w:color w:val="auto"/>
          <w:sz w:val="24"/>
          <w:highlight w:val="none"/>
          <w:lang w:val="en-US" w:eastAsia="zh-CN"/>
        </w:rPr>
        <w:t>开标及开标程序</w:t>
      </w:r>
    </w:p>
    <w:p>
      <w:pPr>
        <w:ind w:firstLine="480" w:firstLineChars="200"/>
        <w:rPr>
          <w:rFonts w:eastAsia="仿宋"/>
          <w:color w:val="auto"/>
          <w:highlight w:val="none"/>
        </w:rPr>
      </w:pPr>
      <w:r>
        <w:rPr>
          <w:rFonts w:hint="eastAsia" w:ascii="仿宋" w:hAnsi="仿宋" w:eastAsia="仿宋"/>
          <w:color w:val="auto"/>
          <w:sz w:val="24"/>
          <w:highlight w:val="none"/>
        </w:rPr>
        <w:t>21.1本项目为不见面开标项目。（递交电子投标文件的投标人不足3家的，不予开标。）</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提示：投标人未按时登录不见面开标系统，错过开标解密时间的，由投标人自行承担不利后果。</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21.3解密投标文件。等待代理机构开启解密后，投标人进行线上解密。开启解密后，投标人应在</w:t>
      </w:r>
      <w:r>
        <w:rPr>
          <w:rFonts w:hint="eastAsia" w:ascii="仿宋" w:hAnsi="仿宋" w:eastAsia="仿宋"/>
          <w:b/>
          <w:bCs/>
          <w:color w:val="auto"/>
          <w:sz w:val="24"/>
          <w:highlight w:val="none"/>
        </w:rPr>
        <w:t>60分钟</w:t>
      </w:r>
      <w:r>
        <w:rPr>
          <w:rFonts w:hint="eastAsia" w:ascii="仿宋" w:hAnsi="仿宋" w:eastAsia="仿宋"/>
          <w:color w:val="auto"/>
          <w:sz w:val="24"/>
          <w:highlight w:val="none"/>
        </w:rPr>
        <w:t>内，使用加密该投标文件的CA数字证书在线完成投标文件的解密。除因系统故障</w:t>
      </w:r>
      <w:r>
        <w:rPr>
          <w:rFonts w:hint="eastAsia" w:ascii="仿宋" w:hAnsi="仿宋" w:eastAsia="仿宋" w:cs="仿宋"/>
          <w:b w:val="0"/>
          <w:bCs/>
          <w:color w:val="auto"/>
          <w:sz w:val="24"/>
          <w:szCs w:val="24"/>
          <w:highlight w:val="none"/>
          <w:lang w:val="zh-CN"/>
        </w:rPr>
        <w:t>（</w:t>
      </w:r>
      <w:r>
        <w:rPr>
          <w:rFonts w:hint="eastAsia" w:ascii="仿宋" w:hAnsi="仿宋" w:eastAsia="仿宋"/>
          <w:color w:val="auto"/>
          <w:sz w:val="24"/>
          <w:highlight w:val="none"/>
          <w:lang w:val="en-US" w:eastAsia="zh-CN"/>
        </w:rPr>
        <w:t>包括组织场所停电、断网等）</w:t>
      </w:r>
      <w:r>
        <w:rPr>
          <w:rFonts w:hint="eastAsia" w:ascii="仿宋" w:hAnsi="仿宋" w:eastAsia="仿宋"/>
          <w:color w:val="auto"/>
          <w:sz w:val="24"/>
          <w:highlight w:val="none"/>
        </w:rPr>
        <w:t>导致系统无法使用外，投标人在规定的解密时间内，未成功解密的投标文件将视为无效投标文件。</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auto"/>
          <w:sz w:val="24"/>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color w:val="auto"/>
          <w:highlight w:val="none"/>
        </w:rPr>
      </w:pPr>
      <w:r>
        <w:rPr>
          <w:rFonts w:hint="eastAsia" w:ascii="仿宋" w:hAnsi="仿宋" w:eastAsia="仿宋"/>
          <w:color w:val="auto"/>
          <w:sz w:val="24"/>
          <w:highlight w:val="none"/>
        </w:rPr>
        <w:t>21.6因</w:t>
      </w:r>
      <w:r>
        <w:rPr>
          <w:rFonts w:hint="eastAsia" w:ascii="仿宋" w:hAnsi="仿宋" w:eastAsia="仿宋"/>
          <w:color w:val="auto"/>
          <w:sz w:val="24"/>
          <w:highlight w:val="none"/>
          <w:lang w:eastAsia="zh-CN"/>
        </w:rPr>
        <w:t>组织场所</w:t>
      </w:r>
      <w:r>
        <w:rPr>
          <w:rFonts w:hint="eastAsia" w:ascii="仿宋" w:hAnsi="仿宋" w:eastAsia="仿宋"/>
          <w:color w:val="auto"/>
          <w:sz w:val="24"/>
          <w:highlight w:val="none"/>
        </w:rPr>
        <w:t>断电、断网、系统故障或其他不可抗力等因素导致不见面开标系统无法正常运行的，开标活动中止或延迟，待系统恢复正常后继续进行开标活动。</w:t>
      </w:r>
    </w:p>
    <w:p>
      <w:pPr>
        <w:spacing w:line="24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21.7不见面开标过程中，各方主体均应遵守互联网有关规定，不得发表与交易活动无关的言论。</w:t>
      </w:r>
    </w:p>
    <w:p>
      <w:pPr>
        <w:pStyle w:val="5"/>
        <w:spacing w:line="400" w:lineRule="exact"/>
        <w:ind w:firstLine="482" w:firstLineChars="200"/>
        <w:rPr>
          <w:rFonts w:ascii="仿宋" w:hAnsi="仿宋" w:eastAsia="仿宋"/>
          <w:color w:val="auto"/>
          <w:sz w:val="24"/>
          <w:highlight w:val="none"/>
        </w:rPr>
      </w:pPr>
      <w:bookmarkStart w:id="100" w:name="_Toc183682375"/>
      <w:bookmarkStart w:id="101" w:name="_Toc217446063"/>
      <w:bookmarkStart w:id="102" w:name="_Toc183582238"/>
      <w:bookmarkStart w:id="103" w:name="_Toc308164809"/>
      <w:r>
        <w:rPr>
          <w:rFonts w:hint="eastAsia" w:ascii="仿宋" w:hAnsi="仿宋" w:eastAsia="仿宋"/>
          <w:color w:val="auto"/>
          <w:sz w:val="24"/>
          <w:highlight w:val="none"/>
        </w:rPr>
        <w:t>22．开评标过程存档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开标和评标过程进行全过程电子监控，并将电子监控资料存储介质留存归档。</w:t>
      </w:r>
    </w:p>
    <w:p>
      <w:pPr>
        <w:pStyle w:val="5"/>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23</w:t>
      </w:r>
      <w:r>
        <w:rPr>
          <w:rFonts w:hint="eastAsia" w:ascii="仿宋" w:hAnsi="仿宋"/>
          <w:color w:val="auto"/>
          <w:sz w:val="24"/>
          <w:szCs w:val="24"/>
          <w:highlight w:val="none"/>
        </w:rPr>
        <w:t xml:space="preserve">. </w:t>
      </w:r>
      <w:r>
        <w:rPr>
          <w:rFonts w:hint="eastAsia" w:ascii="仿宋" w:hAnsi="仿宋" w:eastAsia="仿宋"/>
          <w:color w:val="auto"/>
          <w:sz w:val="24"/>
          <w:highlight w:val="none"/>
        </w:rPr>
        <w:t>评标情况公告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color w:val="auto"/>
          <w:sz w:val="24"/>
          <w:szCs w:val="24"/>
          <w:highlight w:val="none"/>
        </w:rPr>
      </w:pPr>
      <w:r>
        <w:rPr>
          <w:rFonts w:hint="eastAsia" w:ascii="仿宋" w:hAnsi="仿宋" w:eastAsia="仿宋"/>
          <w:bCs w:val="0"/>
          <w:color w:val="auto"/>
          <w:sz w:val="24"/>
          <w:szCs w:val="24"/>
          <w:highlight w:val="none"/>
        </w:rPr>
        <w:t>24</w:t>
      </w:r>
      <w:r>
        <w:rPr>
          <w:rFonts w:hint="eastAsia" w:ascii="仿宋" w:hAnsi="仿宋"/>
          <w:color w:val="auto"/>
          <w:sz w:val="24"/>
          <w:szCs w:val="24"/>
          <w:highlight w:val="none"/>
        </w:rPr>
        <w:t xml:space="preserve">. </w:t>
      </w:r>
      <w:r>
        <w:rPr>
          <w:rFonts w:hint="eastAsia" w:ascii="仿宋" w:hAnsi="仿宋" w:eastAsia="仿宋"/>
          <w:bCs w:val="0"/>
          <w:color w:val="auto"/>
          <w:sz w:val="24"/>
          <w:szCs w:val="24"/>
          <w:highlight w:val="none"/>
        </w:rPr>
        <w:t>采购人确定中标人过程中，发现中标候选人有下列情形之一的，应当不予确定其为中标人：</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（1）发现中标候选人存在禁止参加本项目采购活动的违法行为的；</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（2）中标候选人因不可抗力，不能继续参加政府采购活动；</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（3）中标候选人无偿赠与或者低于成本价竞争；</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（4）中标候选人提供虚假材料；</w:t>
      </w:r>
    </w:p>
    <w:p>
      <w:pPr>
        <w:spacing w:after="0"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w:t>
      </w:r>
      <w:r>
        <w:rPr>
          <w:rFonts w:hint="eastAsia" w:ascii="仿宋" w:hAnsi="仿宋" w:eastAsia="仿宋"/>
          <w:color w:val="auto"/>
          <w:sz w:val="24"/>
          <w:highlight w:val="none"/>
        </w:rPr>
        <w:t>中标候选人恶意串通。</w:t>
      </w:r>
    </w:p>
    <w:p>
      <w:pPr>
        <w:pStyle w:val="5"/>
        <w:spacing w:line="400" w:lineRule="exact"/>
        <w:ind w:firstLine="482"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rPr>
        <w:t>25</w:t>
      </w:r>
      <w:r>
        <w:rPr>
          <w:rFonts w:hint="eastAsia" w:ascii="仿宋" w:hAnsi="仿宋"/>
          <w:color w:val="auto"/>
          <w:sz w:val="24"/>
          <w:szCs w:val="24"/>
          <w:highlight w:val="none"/>
        </w:rPr>
        <w:t xml:space="preserve">. </w:t>
      </w:r>
      <w:r>
        <w:rPr>
          <w:rFonts w:hint="eastAsia" w:ascii="仿宋" w:hAnsi="仿宋" w:eastAsia="仿宋"/>
          <w:bCs w:val="0"/>
          <w:color w:val="auto"/>
          <w:sz w:val="24"/>
          <w:szCs w:val="24"/>
          <w:highlight w:val="none"/>
        </w:rPr>
        <w:t>中标通知书</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hint="eastAsia" w:ascii="仿宋" w:hAnsi="仿宋" w:eastAsia="仿宋"/>
          <w:bCs/>
          <w:color w:val="auto"/>
          <w:sz w:val="24"/>
          <w:highlight w:val="none"/>
        </w:rPr>
        <w:t>.</w:t>
      </w:r>
      <w:r>
        <w:rPr>
          <w:rFonts w:hint="eastAsia" w:ascii="仿宋" w:hAnsi="仿宋" w:eastAsia="仿宋"/>
          <w:color w:val="auto"/>
          <w:sz w:val="24"/>
          <w:highlight w:val="none"/>
        </w:rPr>
        <w:t>1 中标通知书为签订政府采购合同的依据之一，是合同的有效组成部分。</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b/>
          <w:bCs/>
          <w:color w:val="auto"/>
          <w:sz w:val="24"/>
          <w:highlight w:val="none"/>
        </w:rPr>
        <w:t>25.4</w:t>
      </w:r>
      <w:r>
        <w:rPr>
          <w:rFonts w:hint="eastAsia" w:ascii="仿宋" w:hAnsi="仿宋" w:eastAsia="仿宋"/>
          <w:b/>
          <w:bCs/>
          <w:color w:val="auto"/>
          <w:sz w:val="24"/>
          <w:highlight w:val="none"/>
          <w:lang w:val="zh-CN"/>
        </w:rPr>
        <w:t>在四川政府采购网公告中标结果同时发出中标通知书，中标供应商自行登录政府采购云平台下载中标通知书</w:t>
      </w:r>
      <w:r>
        <w:rPr>
          <w:rFonts w:hint="eastAsia" w:ascii="仿宋" w:hAnsi="仿宋" w:eastAsia="仿宋"/>
          <w:color w:val="auto"/>
          <w:sz w:val="24"/>
          <w:highlight w:val="none"/>
          <w:lang w:val="zh-CN"/>
        </w:rPr>
        <w:t>。</w:t>
      </w:r>
      <w:bookmarkEnd w:id="100"/>
      <w:bookmarkEnd w:id="101"/>
      <w:bookmarkEnd w:id="102"/>
      <w:bookmarkEnd w:id="103"/>
      <w:bookmarkStart w:id="104" w:name="_Toc217446083"/>
    </w:p>
    <w:p>
      <w:pPr>
        <w:pStyle w:val="4"/>
        <w:spacing w:line="400" w:lineRule="exact"/>
        <w:jc w:val="center"/>
        <w:rPr>
          <w:rFonts w:ascii="仿宋" w:hAnsi="仿宋" w:eastAsia="仿宋"/>
          <w:color w:val="auto"/>
          <w:szCs w:val="28"/>
          <w:highlight w:val="none"/>
        </w:rPr>
      </w:pPr>
      <w:bookmarkStart w:id="105" w:name="_Toc308164810"/>
      <w:bookmarkStart w:id="106" w:name="_Toc217446064"/>
      <w:bookmarkStart w:id="107" w:name="_Toc183582240"/>
      <w:bookmarkStart w:id="108" w:name="_Toc183682377"/>
      <w:r>
        <w:rPr>
          <w:rFonts w:hint="eastAsia" w:ascii="仿宋" w:hAnsi="仿宋" w:eastAsia="仿宋"/>
          <w:color w:val="auto"/>
          <w:szCs w:val="28"/>
          <w:highlight w:val="none"/>
        </w:rPr>
        <w:t>六、签订及履行合同和验收</w:t>
      </w:r>
      <w:bookmarkEnd w:id="105"/>
      <w:bookmarkEnd w:id="106"/>
    </w:p>
    <w:p>
      <w:pPr>
        <w:pStyle w:val="5"/>
        <w:spacing w:line="400" w:lineRule="exact"/>
        <w:ind w:firstLine="482" w:firstLineChars="200"/>
        <w:rPr>
          <w:rFonts w:ascii="仿宋" w:hAnsi="仿宋" w:eastAsia="仿宋"/>
          <w:b w:val="0"/>
          <w:color w:val="auto"/>
          <w:sz w:val="24"/>
          <w:szCs w:val="24"/>
          <w:highlight w:val="none"/>
        </w:rPr>
      </w:pPr>
      <w:bookmarkStart w:id="109" w:name="_Toc217446065"/>
      <w:bookmarkStart w:id="110" w:name="_Toc308164811"/>
      <w:r>
        <w:rPr>
          <w:rFonts w:hint="eastAsia" w:ascii="仿宋" w:hAnsi="仿宋" w:eastAsia="仿宋"/>
          <w:color w:val="auto"/>
          <w:sz w:val="24"/>
          <w:highlight w:val="none"/>
          <w:lang w:val="en-US" w:eastAsia="zh-CN"/>
        </w:rPr>
        <w:t>26</w:t>
      </w:r>
      <w:r>
        <w:rPr>
          <w:rFonts w:hint="eastAsia" w:ascii="仿宋" w:hAnsi="仿宋"/>
          <w:color w:val="auto"/>
          <w:sz w:val="24"/>
          <w:szCs w:val="24"/>
          <w:highlight w:val="none"/>
        </w:rPr>
        <w:t xml:space="preserve">. </w:t>
      </w:r>
      <w:r>
        <w:rPr>
          <w:rFonts w:hint="eastAsia" w:ascii="仿宋" w:hAnsi="仿宋" w:eastAsia="仿宋"/>
          <w:color w:val="auto"/>
          <w:sz w:val="24"/>
          <w:szCs w:val="24"/>
          <w:highlight w:val="none"/>
        </w:rPr>
        <w:t>签订合同</w:t>
      </w:r>
      <w:bookmarkEnd w:id="109"/>
      <w:bookmarkEnd w:id="110"/>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.1 </w:t>
      </w:r>
      <w:r>
        <w:rPr>
          <w:rFonts w:hint="eastAsia" w:ascii="仿宋" w:hAnsi="仿宋" w:eastAsia="仿宋"/>
          <w:color w:val="auto"/>
          <w:sz w:val="24"/>
          <w:highlight w:val="none"/>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.2 </w:t>
      </w:r>
      <w:r>
        <w:rPr>
          <w:rFonts w:hint="eastAsia" w:ascii="仿宋" w:hAnsi="仿宋" w:eastAsia="仿宋"/>
          <w:color w:val="auto"/>
          <w:sz w:val="24"/>
          <w:highlight w:val="none"/>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.3 </w:t>
      </w:r>
      <w:r>
        <w:rPr>
          <w:rFonts w:hint="eastAsia" w:ascii="仿宋" w:hAnsi="仿宋" w:eastAsia="仿宋"/>
          <w:color w:val="auto"/>
          <w:sz w:val="24"/>
          <w:highlight w:val="none"/>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color w:val="auto"/>
          <w:sz w:val="24"/>
          <w:highlight w:val="none"/>
        </w:rPr>
      </w:pPr>
      <w:r>
        <w:rPr>
          <w:rFonts w:ascii="仿宋" w:hAnsi="仿宋" w:eastAsia="仿宋"/>
          <w:color w:val="auto"/>
          <w:sz w:val="24"/>
          <w:highlight w:val="none"/>
        </w:rPr>
        <w:t>2</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.4 </w:t>
      </w:r>
      <w:r>
        <w:rPr>
          <w:rFonts w:hint="eastAsia" w:ascii="仿宋" w:hAnsi="仿宋" w:eastAsia="仿宋"/>
          <w:color w:val="auto"/>
          <w:sz w:val="24"/>
          <w:highlight w:val="none"/>
        </w:rPr>
        <w:t>中标人在合同签订之后三个工作日内，将签订的合同（一式一份）发送至我司指定邮箱（</w:t>
      </w:r>
      <w:ins w:id="2" w:author="LY" w:date="2021-09-06T12:51:41Z">
        <w:r>
          <w:rPr>
            <w:rFonts w:hint="eastAsia" w:ascii="仿宋" w:hAnsi="仿宋" w:eastAsia="仿宋"/>
            <w:color w:val="auto"/>
            <w:sz w:val="24"/>
            <w:highlight w:val="none"/>
          </w:rPr>
          <w:t>luolan@sccyczb.com</w:t>
        </w:r>
      </w:ins>
      <w:r>
        <w:rPr>
          <w:rFonts w:hint="eastAsia" w:ascii="仿宋" w:hAnsi="仿宋" w:eastAsia="仿宋"/>
          <w:color w:val="auto"/>
          <w:sz w:val="24"/>
          <w:highlight w:val="none"/>
        </w:rPr>
        <w:t>）。</w:t>
      </w:r>
    </w:p>
    <w:p>
      <w:pPr>
        <w:pStyle w:val="5"/>
        <w:spacing w:line="400" w:lineRule="exact"/>
        <w:ind w:firstLine="482" w:firstLineChars="200"/>
        <w:rPr>
          <w:rFonts w:hint="eastAsia" w:ascii="仿宋" w:hAnsi="仿宋" w:eastAsia="仿宋"/>
          <w:bCs w:val="0"/>
          <w:color w:val="auto"/>
          <w:sz w:val="24"/>
          <w:szCs w:val="24"/>
          <w:highlight w:val="none"/>
        </w:rPr>
      </w:pPr>
      <w:r>
        <w:rPr>
          <w:rFonts w:hint="eastAsia" w:ascii="仿宋" w:hAnsi="仿宋" w:eastAsia="仿宋"/>
          <w:bCs w:val="0"/>
          <w:color w:val="auto"/>
          <w:sz w:val="24"/>
          <w:szCs w:val="24"/>
          <w:highlight w:val="none"/>
        </w:rPr>
        <w:t>2</w:t>
      </w:r>
      <w:r>
        <w:rPr>
          <w:rFonts w:hint="eastAsia" w:ascii="仿宋" w:hAnsi="仿宋" w:eastAsia="仿宋"/>
          <w:bCs w:val="0"/>
          <w:color w:val="auto"/>
          <w:sz w:val="24"/>
          <w:szCs w:val="24"/>
          <w:highlight w:val="none"/>
          <w:lang w:val="en-US" w:eastAsia="zh-CN"/>
        </w:rPr>
        <w:t>7</w:t>
      </w:r>
      <w:r>
        <w:rPr>
          <w:rFonts w:hint="eastAsia" w:ascii="仿宋" w:hAnsi="仿宋" w:eastAsia="仿宋"/>
          <w:bCs w:val="0"/>
          <w:color w:val="auto"/>
          <w:sz w:val="24"/>
          <w:szCs w:val="24"/>
          <w:highlight w:val="none"/>
        </w:rPr>
        <w:t>. 合同分包（实质性要求）</w:t>
      </w:r>
    </w:p>
    <w:p>
      <w:pPr>
        <w:spacing w:line="400" w:lineRule="exact"/>
        <w:ind w:firstLine="420" w:firstLineChars="175"/>
        <w:rPr>
          <w:rFonts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27.1本项目合同接受分包与否，以“投标人须知附表”勾选项为准。</w:t>
      </w:r>
    </w:p>
    <w:p>
      <w:pPr>
        <w:spacing w:line="400" w:lineRule="exact"/>
        <w:ind w:firstLine="420" w:firstLineChars="175"/>
        <w:rPr>
          <w:rFonts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27.2 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bCs w:val="0"/>
          <w:color w:val="auto"/>
          <w:sz w:val="24"/>
          <w:szCs w:val="24"/>
          <w:highlight w:val="none"/>
        </w:rPr>
      </w:pPr>
      <w:r>
        <w:rPr>
          <w:rFonts w:hint="eastAsia" w:ascii="仿宋" w:hAnsi="仿宋" w:eastAsia="仿宋"/>
          <w:bCs w:val="0"/>
          <w:color w:val="auto"/>
          <w:sz w:val="24"/>
          <w:szCs w:val="24"/>
          <w:highlight w:val="none"/>
          <w:lang w:val="en-US" w:eastAsia="zh-CN"/>
        </w:rPr>
        <w:t>28</w:t>
      </w:r>
      <w:r>
        <w:rPr>
          <w:rFonts w:hint="eastAsia" w:ascii="仿宋" w:hAnsi="仿宋"/>
          <w:color w:val="auto"/>
          <w:sz w:val="24"/>
          <w:szCs w:val="24"/>
          <w:highlight w:val="none"/>
        </w:rPr>
        <w:t xml:space="preserve">. </w:t>
      </w:r>
      <w:r>
        <w:rPr>
          <w:rFonts w:hint="eastAsia" w:ascii="仿宋" w:hAnsi="仿宋" w:eastAsia="仿宋"/>
          <w:bCs w:val="0"/>
          <w:color w:val="auto"/>
          <w:sz w:val="24"/>
          <w:szCs w:val="24"/>
          <w:highlight w:val="none"/>
        </w:rPr>
        <w:t>合同转包（实质性要求）</w:t>
      </w:r>
    </w:p>
    <w:p>
      <w:pPr>
        <w:spacing w:line="400" w:lineRule="exact"/>
        <w:ind w:firstLine="540" w:firstLineChars="225"/>
        <w:rPr>
          <w:rFonts w:ascii="仿宋" w:hAnsi="仿宋" w:eastAsia="仿宋"/>
          <w:color w:val="auto"/>
          <w:sz w:val="24"/>
          <w:highlight w:val="none"/>
        </w:rPr>
      </w:pPr>
      <w:r>
        <w:rPr>
          <w:rFonts w:hint="eastAsia" w:ascii="仿宋" w:hAnsi="仿宋" w:eastAsia="仿宋"/>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auto"/>
          <w:sz w:val="24"/>
          <w:highlight w:val="none"/>
        </w:rPr>
      </w:pPr>
      <w:r>
        <w:rPr>
          <w:rFonts w:hint="eastAsia" w:ascii="仿宋" w:hAnsi="仿宋" w:eastAsia="仿宋"/>
          <w:color w:val="auto"/>
          <w:sz w:val="24"/>
          <w:highlight w:val="none"/>
        </w:rPr>
        <w:t>中标人转包的，视同拒绝履行政府采购合同义务，将依法追究法律责任。</w:t>
      </w:r>
    </w:p>
    <w:p>
      <w:pPr>
        <w:pStyle w:val="5"/>
        <w:spacing w:line="400" w:lineRule="exact"/>
        <w:ind w:firstLine="482" w:firstLineChars="200"/>
        <w:rPr>
          <w:rFonts w:hint="eastAsia" w:ascii="仿宋" w:hAnsi="仿宋" w:eastAsia="仿宋"/>
          <w:bCs w:val="0"/>
          <w:color w:val="auto"/>
          <w:sz w:val="24"/>
          <w:szCs w:val="24"/>
          <w:highlight w:val="none"/>
        </w:rPr>
      </w:pPr>
      <w:bookmarkStart w:id="111" w:name="_Toc217446066"/>
      <w:r>
        <w:rPr>
          <w:rFonts w:hint="eastAsia" w:ascii="仿宋" w:hAnsi="仿宋" w:eastAsia="仿宋"/>
          <w:bCs w:val="0"/>
          <w:color w:val="auto"/>
          <w:sz w:val="24"/>
          <w:szCs w:val="24"/>
          <w:highlight w:val="none"/>
          <w:lang w:val="en-US" w:eastAsia="zh-CN"/>
        </w:rPr>
        <w:t>29</w:t>
      </w:r>
      <w:r>
        <w:rPr>
          <w:rFonts w:hint="eastAsia" w:ascii="仿宋" w:hAnsi="仿宋" w:eastAsia="仿宋"/>
          <w:bCs w:val="0"/>
          <w:color w:val="auto"/>
          <w:sz w:val="24"/>
          <w:szCs w:val="24"/>
          <w:highlight w:val="none"/>
        </w:rPr>
        <w:t>.</w:t>
      </w:r>
      <w:bookmarkEnd w:id="111"/>
      <w:r>
        <w:rPr>
          <w:rFonts w:hint="eastAsia" w:ascii="仿宋" w:hAnsi="仿宋" w:eastAsia="仿宋"/>
          <w:bCs w:val="0"/>
          <w:color w:val="auto"/>
          <w:sz w:val="24"/>
          <w:szCs w:val="24"/>
          <w:highlight w:val="none"/>
        </w:rPr>
        <w:t xml:space="preserve"> 补充合同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color w:val="auto"/>
          <w:sz w:val="24"/>
          <w:szCs w:val="24"/>
          <w:highlight w:val="none"/>
        </w:rPr>
      </w:pPr>
      <w:bookmarkStart w:id="112" w:name="_Toc217446068"/>
      <w:bookmarkStart w:id="113" w:name="_Toc308164812"/>
      <w:r>
        <w:rPr>
          <w:rFonts w:hint="eastAsia" w:ascii="仿宋" w:hAnsi="仿宋" w:eastAsia="仿宋"/>
          <w:color w:val="auto"/>
          <w:sz w:val="24"/>
          <w:szCs w:val="24"/>
          <w:highlight w:val="none"/>
          <w:lang w:val="en-US" w:eastAsia="zh-CN"/>
        </w:rPr>
        <w:t>30</w:t>
      </w:r>
      <w:r>
        <w:rPr>
          <w:rFonts w:ascii="仿宋" w:hAnsi="仿宋" w:eastAsia="仿宋"/>
          <w:b w:val="0"/>
          <w:color w:val="auto"/>
          <w:sz w:val="24"/>
          <w:szCs w:val="24"/>
          <w:highlight w:val="none"/>
        </w:rPr>
        <w:t xml:space="preserve">. </w:t>
      </w:r>
      <w:r>
        <w:rPr>
          <w:rFonts w:hint="eastAsia" w:ascii="仿宋" w:hAnsi="仿宋" w:eastAsia="仿宋"/>
          <w:color w:val="auto"/>
          <w:sz w:val="24"/>
          <w:szCs w:val="24"/>
          <w:highlight w:val="none"/>
        </w:rPr>
        <w:t>履约保证金</w:t>
      </w:r>
      <w:bookmarkEnd w:id="112"/>
      <w:bookmarkEnd w:id="113"/>
      <w:r>
        <w:rPr>
          <w:rFonts w:hint="eastAsia" w:ascii="仿宋" w:hAnsi="仿宋" w:eastAsia="仿宋"/>
          <w:color w:val="auto"/>
          <w:sz w:val="24"/>
          <w:szCs w:val="24"/>
          <w:highlight w:val="none"/>
        </w:rPr>
        <w:t>（</w:t>
      </w:r>
      <w:r>
        <w:rPr>
          <w:rFonts w:hint="eastAsia" w:ascii="仿宋" w:hAnsi="仿宋" w:eastAsia="仿宋"/>
          <w:color w:val="auto"/>
          <w:sz w:val="24"/>
          <w:szCs w:val="24"/>
          <w:highlight w:val="none"/>
          <w:lang w:val="en-US" w:eastAsia="zh-CN"/>
        </w:rPr>
        <w:t>本项目不收取</w:t>
      </w:r>
      <w:r>
        <w:rPr>
          <w:rFonts w:hint="eastAsia" w:ascii="仿宋" w:hAnsi="仿宋" w:eastAsia="仿宋"/>
          <w:color w:val="auto"/>
          <w:sz w:val="24"/>
          <w:szCs w:val="24"/>
          <w:highlight w:val="none"/>
        </w:rPr>
        <w:t>）</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lang w:val="en-US" w:eastAsia="zh-CN"/>
        </w:rPr>
        <w:t>0</w:t>
      </w:r>
      <w:r>
        <w:rPr>
          <w:rFonts w:ascii="仿宋" w:hAnsi="仿宋" w:eastAsia="仿宋"/>
          <w:color w:val="auto"/>
          <w:sz w:val="24"/>
          <w:highlight w:val="none"/>
        </w:rPr>
        <w:t xml:space="preserve">.1 </w:t>
      </w:r>
      <w:r>
        <w:rPr>
          <w:rFonts w:hint="eastAsia" w:ascii="仿宋" w:hAnsi="仿宋" w:eastAsia="仿宋"/>
          <w:color w:val="auto"/>
          <w:sz w:val="24"/>
          <w:highlight w:val="none"/>
        </w:rPr>
        <w:t>中标人应在合同签订之前交纳招标文件规定数额的履约保证金。</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lang w:val="en-US" w:eastAsia="zh-CN"/>
        </w:rPr>
        <w:t>0</w:t>
      </w:r>
      <w:r>
        <w:rPr>
          <w:rFonts w:ascii="仿宋" w:hAnsi="仿宋" w:eastAsia="仿宋"/>
          <w:color w:val="auto"/>
          <w:sz w:val="24"/>
          <w:highlight w:val="none"/>
        </w:rPr>
        <w:t xml:space="preserve">.2 </w:t>
      </w:r>
      <w:r>
        <w:rPr>
          <w:rFonts w:hint="eastAsia" w:ascii="仿宋" w:hAnsi="仿宋" w:eastAsia="仿宋"/>
          <w:color w:val="auto"/>
          <w:sz w:val="24"/>
          <w:highlight w:val="none"/>
        </w:rPr>
        <w:t>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color w:val="auto"/>
          <w:sz w:val="24"/>
          <w:szCs w:val="24"/>
          <w:highlight w:val="none"/>
        </w:rPr>
      </w:pPr>
      <w:bookmarkStart w:id="114" w:name="_Toc217446069"/>
      <w:bookmarkStart w:id="115" w:name="_Toc308164813"/>
      <w:r>
        <w:rPr>
          <w:rFonts w:hint="eastAsia" w:ascii="仿宋" w:hAnsi="仿宋" w:eastAsia="仿宋"/>
          <w:color w:val="auto"/>
          <w:sz w:val="24"/>
          <w:szCs w:val="24"/>
          <w:highlight w:val="none"/>
        </w:rPr>
        <w:t>3</w:t>
      </w:r>
      <w:r>
        <w:rPr>
          <w:rFonts w:hint="eastAsia" w:ascii="仿宋" w:hAnsi="仿宋" w:eastAsia="仿宋"/>
          <w:color w:val="auto"/>
          <w:sz w:val="24"/>
          <w:szCs w:val="24"/>
          <w:highlight w:val="none"/>
          <w:lang w:val="en-US" w:eastAsia="zh-CN"/>
        </w:rPr>
        <w:t>1</w:t>
      </w:r>
      <w:r>
        <w:rPr>
          <w:rFonts w:hint="eastAsia" w:ascii="仿宋" w:hAnsi="仿宋"/>
          <w:color w:val="auto"/>
          <w:sz w:val="24"/>
          <w:szCs w:val="24"/>
          <w:highlight w:val="none"/>
        </w:rPr>
        <w:t xml:space="preserve">. </w:t>
      </w:r>
      <w:r>
        <w:rPr>
          <w:rFonts w:hint="eastAsia" w:ascii="仿宋" w:hAnsi="仿宋" w:eastAsia="仿宋"/>
          <w:color w:val="auto"/>
          <w:sz w:val="24"/>
          <w:szCs w:val="24"/>
          <w:highlight w:val="none"/>
        </w:rPr>
        <w:t>合同公告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34</w:t>
      </w:r>
      <w:r>
        <w:rPr>
          <w:rFonts w:hint="eastAsia" w:ascii="仿宋" w:hAnsi="仿宋"/>
          <w:color w:val="auto"/>
          <w:sz w:val="24"/>
          <w:szCs w:val="24"/>
          <w:highlight w:val="none"/>
        </w:rPr>
        <w:t xml:space="preserve">. </w:t>
      </w:r>
      <w:r>
        <w:rPr>
          <w:rFonts w:hint="eastAsia" w:ascii="仿宋" w:hAnsi="仿宋" w:eastAsia="仿宋"/>
          <w:color w:val="auto"/>
          <w:sz w:val="24"/>
          <w:szCs w:val="24"/>
          <w:highlight w:val="none"/>
        </w:rPr>
        <w:t>合同备案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采购人应当将政府采购合同副本自签订之日起七个工作日内报同级财政部门备案。</w:t>
      </w:r>
    </w:p>
    <w:p>
      <w:pPr>
        <w:pStyle w:val="5"/>
        <w:spacing w:line="400" w:lineRule="exact"/>
        <w:ind w:firstLine="482" w:firstLineChars="200"/>
        <w:rPr>
          <w:rFonts w:ascii="仿宋" w:hAnsi="仿宋" w:eastAsia="仿宋"/>
          <w:b w:val="0"/>
          <w:color w:val="auto"/>
          <w:sz w:val="24"/>
          <w:szCs w:val="24"/>
          <w:highlight w:val="none"/>
        </w:rPr>
      </w:pPr>
      <w:r>
        <w:rPr>
          <w:rFonts w:ascii="仿宋" w:hAnsi="仿宋" w:eastAsia="仿宋"/>
          <w:color w:val="auto"/>
          <w:sz w:val="24"/>
          <w:szCs w:val="24"/>
          <w:highlight w:val="none"/>
        </w:rPr>
        <w:t>3</w:t>
      </w:r>
      <w:r>
        <w:rPr>
          <w:rFonts w:hint="eastAsia" w:ascii="仿宋" w:hAnsi="仿宋" w:eastAsia="仿宋"/>
          <w:color w:val="auto"/>
          <w:sz w:val="24"/>
          <w:szCs w:val="24"/>
          <w:highlight w:val="none"/>
          <w:lang w:val="en-US" w:eastAsia="zh-CN"/>
        </w:rPr>
        <w:t>3</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履行合同</w:t>
      </w:r>
      <w:bookmarkEnd w:id="114"/>
      <w:bookmarkEnd w:id="115"/>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lang w:val="en-US" w:eastAsia="zh-CN"/>
        </w:rPr>
        <w:t>3</w:t>
      </w:r>
      <w:r>
        <w:rPr>
          <w:rFonts w:ascii="仿宋" w:hAnsi="仿宋" w:eastAsia="仿宋"/>
          <w:color w:val="auto"/>
          <w:sz w:val="24"/>
          <w:highlight w:val="none"/>
        </w:rPr>
        <w:t xml:space="preserve">.1 </w:t>
      </w:r>
      <w:r>
        <w:rPr>
          <w:rFonts w:hint="eastAsia" w:ascii="仿宋" w:hAnsi="仿宋" w:eastAsia="仿宋"/>
          <w:color w:val="auto"/>
          <w:sz w:val="24"/>
          <w:highlight w:val="none"/>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lang w:val="en-US" w:eastAsia="zh-CN"/>
        </w:rPr>
        <w:t>3</w:t>
      </w:r>
      <w:r>
        <w:rPr>
          <w:rFonts w:ascii="仿宋" w:hAnsi="仿宋" w:eastAsia="仿宋"/>
          <w:color w:val="auto"/>
          <w:sz w:val="24"/>
          <w:highlight w:val="none"/>
        </w:rPr>
        <w:t xml:space="preserve">.2 </w:t>
      </w:r>
      <w:r>
        <w:rPr>
          <w:rFonts w:hint="eastAsia" w:ascii="仿宋" w:hAnsi="仿宋" w:eastAsia="仿宋"/>
          <w:color w:val="auto"/>
          <w:sz w:val="24"/>
          <w:highlight w:val="none"/>
        </w:rPr>
        <w:t>在合同履行过程中，如发生合同纠纷，合同双方应按照《</w:t>
      </w:r>
      <w:r>
        <w:rPr>
          <w:rFonts w:hint="eastAsia" w:ascii="仿宋" w:hAnsi="仿宋" w:eastAsia="仿宋"/>
          <w:color w:val="auto"/>
          <w:sz w:val="24"/>
          <w:highlight w:val="none"/>
          <w:lang w:val="en-US" w:eastAsia="zh-CN"/>
        </w:rPr>
        <w:t>中华人民共和国民法典</w:t>
      </w:r>
      <w:r>
        <w:rPr>
          <w:rFonts w:hint="eastAsia" w:ascii="仿宋" w:hAnsi="仿宋" w:eastAsia="仿宋"/>
          <w:color w:val="auto"/>
          <w:sz w:val="24"/>
          <w:highlight w:val="none"/>
        </w:rPr>
        <w:t>》的有关规定进行处理。</w:t>
      </w:r>
    </w:p>
    <w:p>
      <w:pPr>
        <w:pStyle w:val="5"/>
        <w:spacing w:line="400" w:lineRule="exact"/>
        <w:ind w:firstLine="482" w:firstLineChars="200"/>
        <w:rPr>
          <w:rFonts w:ascii="仿宋" w:hAnsi="仿宋" w:eastAsia="仿宋"/>
          <w:b w:val="0"/>
          <w:color w:val="auto"/>
          <w:sz w:val="24"/>
          <w:szCs w:val="24"/>
          <w:highlight w:val="none"/>
        </w:rPr>
      </w:pPr>
      <w:bookmarkStart w:id="116" w:name="_Toc217446070"/>
      <w:bookmarkStart w:id="117" w:name="_Toc308164814"/>
      <w:r>
        <w:rPr>
          <w:rFonts w:ascii="仿宋" w:hAnsi="仿宋" w:eastAsia="仿宋"/>
          <w:color w:val="auto"/>
          <w:sz w:val="24"/>
          <w:szCs w:val="24"/>
          <w:highlight w:val="none"/>
        </w:rPr>
        <w:t>3</w:t>
      </w:r>
      <w:r>
        <w:rPr>
          <w:rFonts w:hint="eastAsia" w:ascii="仿宋" w:hAnsi="仿宋" w:eastAsia="仿宋"/>
          <w:color w:val="auto"/>
          <w:sz w:val="24"/>
          <w:szCs w:val="24"/>
          <w:highlight w:val="none"/>
          <w:lang w:val="en-US" w:eastAsia="zh-CN"/>
        </w:rPr>
        <w:t>4</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验收</w:t>
      </w:r>
      <w:bookmarkEnd w:id="116"/>
      <w:bookmarkEnd w:id="117"/>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hint="eastAsia" w:ascii="仿宋" w:hAnsi="仿宋" w:eastAsia="仿宋"/>
          <w:color w:val="auto"/>
          <w:sz w:val="24"/>
          <w:highlight w:val="none"/>
          <w:lang w:val="en-US" w:eastAsia="zh-CN"/>
        </w:rPr>
        <w:t>4</w:t>
      </w:r>
      <w:r>
        <w:rPr>
          <w:rFonts w:hint="eastAsia" w:ascii="仿宋" w:hAnsi="仿宋" w:eastAsia="仿宋"/>
          <w:color w:val="auto"/>
          <w:sz w:val="24"/>
          <w:highlight w:val="none"/>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lang w:val="en-US" w:eastAsia="zh-CN"/>
        </w:rPr>
        <w:t>4</w:t>
      </w:r>
      <w:r>
        <w:rPr>
          <w:rFonts w:ascii="仿宋" w:hAnsi="仿宋" w:eastAsia="仿宋"/>
          <w:color w:val="auto"/>
          <w:sz w:val="24"/>
          <w:highlight w:val="none"/>
        </w:rPr>
        <w:t xml:space="preserve">.2 </w:t>
      </w:r>
      <w:r>
        <w:rPr>
          <w:rFonts w:hint="eastAsia" w:ascii="仿宋" w:hAnsi="仿宋" w:eastAsia="仿宋"/>
          <w:color w:val="auto"/>
          <w:sz w:val="24"/>
          <w:highlight w:val="none"/>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pPr>
        <w:pStyle w:val="5"/>
        <w:spacing w:line="400" w:lineRule="exact"/>
        <w:ind w:firstLine="482" w:firstLineChars="200"/>
        <w:rPr>
          <w:rFonts w:ascii="仿宋" w:hAnsi="仿宋" w:eastAsia="仿宋"/>
          <w:color w:val="auto"/>
          <w:sz w:val="24"/>
          <w:szCs w:val="24"/>
          <w:highlight w:val="none"/>
        </w:rPr>
      </w:pPr>
      <w:bookmarkStart w:id="119" w:name="_Toc308164818"/>
      <w:bookmarkStart w:id="120" w:name="_Toc217446077"/>
      <w:r>
        <w:rPr>
          <w:rFonts w:hint="eastAsia" w:ascii="仿宋" w:hAnsi="仿宋" w:eastAsia="仿宋"/>
          <w:color w:val="auto"/>
          <w:sz w:val="24"/>
          <w:szCs w:val="24"/>
          <w:highlight w:val="none"/>
        </w:rPr>
        <w:t>3</w:t>
      </w:r>
      <w:r>
        <w:rPr>
          <w:rFonts w:hint="eastAsia" w:ascii="仿宋" w:hAnsi="仿宋" w:eastAsia="仿宋"/>
          <w:color w:val="auto"/>
          <w:sz w:val="24"/>
          <w:szCs w:val="24"/>
          <w:highlight w:val="none"/>
          <w:lang w:val="en-US" w:eastAsia="zh-CN"/>
        </w:rPr>
        <w:t>5</w:t>
      </w:r>
      <w:r>
        <w:rPr>
          <w:rFonts w:hint="eastAsia" w:ascii="仿宋" w:hAnsi="仿宋"/>
          <w:color w:val="auto"/>
          <w:sz w:val="24"/>
          <w:szCs w:val="24"/>
          <w:highlight w:val="none"/>
        </w:rPr>
        <w:t xml:space="preserve">. </w:t>
      </w:r>
      <w:r>
        <w:rPr>
          <w:rFonts w:hint="eastAsia" w:ascii="仿宋" w:hAnsi="仿宋" w:eastAsia="仿宋"/>
          <w:color w:val="auto"/>
          <w:sz w:val="24"/>
          <w:szCs w:val="24"/>
          <w:highlight w:val="none"/>
        </w:rPr>
        <w:t>资金支付</w:t>
      </w:r>
      <w:bookmarkEnd w:id="119"/>
      <w:bookmarkEnd w:id="120"/>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采购人将按照政府采购合同规定，及时向中标供应商支付采购资金。本项目采购资金付款详见第六章商务要求中付款方式。</w:t>
      </w:r>
    </w:p>
    <w:bookmarkEnd w:id="107"/>
    <w:bookmarkEnd w:id="108"/>
    <w:bookmarkEnd w:id="118"/>
    <w:p>
      <w:pPr>
        <w:pStyle w:val="4"/>
        <w:spacing w:line="400" w:lineRule="exact"/>
        <w:jc w:val="center"/>
        <w:rPr>
          <w:rFonts w:ascii="仿宋" w:hAnsi="仿宋" w:eastAsia="仿宋"/>
          <w:color w:val="auto"/>
          <w:szCs w:val="28"/>
          <w:highlight w:val="none"/>
        </w:rPr>
      </w:pPr>
      <w:bookmarkStart w:id="121" w:name="_Toc308164815"/>
      <w:bookmarkStart w:id="122" w:name="_Toc217446074"/>
      <w:bookmarkStart w:id="123" w:name="_Toc183682380"/>
      <w:bookmarkStart w:id="124" w:name="_Toc183582243"/>
      <w:r>
        <w:rPr>
          <w:rFonts w:hint="eastAsia" w:ascii="仿宋" w:hAnsi="仿宋" w:eastAsia="仿宋"/>
          <w:color w:val="auto"/>
          <w:szCs w:val="28"/>
          <w:highlight w:val="none"/>
        </w:rPr>
        <w:t>七、投标纪律要求</w:t>
      </w:r>
      <w:bookmarkEnd w:id="121"/>
      <w:bookmarkEnd w:id="122"/>
    </w:p>
    <w:p>
      <w:pPr>
        <w:pStyle w:val="5"/>
        <w:spacing w:line="400" w:lineRule="exact"/>
        <w:ind w:firstLine="482" w:firstLineChars="200"/>
        <w:rPr>
          <w:rFonts w:ascii="仿宋" w:hAnsi="仿宋" w:eastAsia="仿宋"/>
          <w:bCs w:val="0"/>
          <w:color w:val="auto"/>
          <w:sz w:val="24"/>
          <w:szCs w:val="24"/>
          <w:highlight w:val="none"/>
        </w:rPr>
      </w:pPr>
      <w:bookmarkStart w:id="125" w:name="_Toc217446075"/>
      <w:bookmarkStart w:id="126" w:name="_Toc308164816"/>
      <w:r>
        <w:rPr>
          <w:rFonts w:ascii="仿宋" w:hAnsi="仿宋" w:eastAsia="仿宋"/>
          <w:color w:val="auto"/>
          <w:sz w:val="24"/>
          <w:highlight w:val="none"/>
        </w:rPr>
        <w:t>3</w:t>
      </w:r>
      <w:r>
        <w:rPr>
          <w:rFonts w:hint="eastAsia" w:ascii="仿宋" w:hAnsi="仿宋" w:eastAsia="仿宋"/>
          <w:color w:val="auto"/>
          <w:sz w:val="24"/>
          <w:highlight w:val="none"/>
          <w:lang w:val="en-US" w:eastAsia="zh-CN"/>
        </w:rPr>
        <w:t>6</w:t>
      </w:r>
      <w:r>
        <w:rPr>
          <w:rFonts w:ascii="仿宋" w:hAnsi="仿宋" w:eastAsia="仿宋"/>
          <w:color w:val="auto"/>
          <w:sz w:val="24"/>
          <w:highlight w:val="none"/>
        </w:rPr>
        <w:t xml:space="preserve">. </w:t>
      </w:r>
      <w:r>
        <w:rPr>
          <w:rFonts w:hint="eastAsia" w:ascii="仿宋" w:hAnsi="仿宋" w:eastAsia="仿宋"/>
          <w:bCs w:val="0"/>
          <w:color w:val="auto"/>
          <w:sz w:val="24"/>
          <w:szCs w:val="24"/>
          <w:highlight w:val="none"/>
        </w:rPr>
        <w:t>投标人</w:t>
      </w:r>
      <w:bookmarkEnd w:id="125"/>
      <w:bookmarkEnd w:id="126"/>
      <w:r>
        <w:rPr>
          <w:rFonts w:hint="eastAsia" w:ascii="仿宋" w:hAnsi="仿宋" w:eastAsia="仿宋"/>
          <w:bCs w:val="0"/>
          <w:color w:val="auto"/>
          <w:sz w:val="24"/>
          <w:szCs w:val="24"/>
          <w:highlight w:val="none"/>
        </w:rPr>
        <w:t>纪律要求</w:t>
      </w:r>
    </w:p>
    <w:p>
      <w:pPr>
        <w:pStyle w:val="9"/>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投标人应当遵循公平竞争的原则，不得恶意串通，不得妨碍其他投标人的竞争行为，不得损害采购人或者其他投标人的合法权益。</w:t>
      </w:r>
    </w:p>
    <w:p>
      <w:pPr>
        <w:pStyle w:val="9"/>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在评标过程中发现投标人有上述情形的，评标委员会应当认定其投标无效，并书面报告本级财政部门。</w:t>
      </w:r>
    </w:p>
    <w:p>
      <w:pPr>
        <w:pStyle w:val="5"/>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lang w:val="en-US" w:eastAsia="zh-CN"/>
        </w:rPr>
        <w:t>37</w:t>
      </w:r>
      <w:r>
        <w:rPr>
          <w:rFonts w:hint="eastAsia" w:ascii="仿宋" w:hAnsi="仿宋" w:eastAsia="仿宋"/>
          <w:color w:val="auto"/>
          <w:sz w:val="24"/>
          <w:highlight w:val="none"/>
        </w:rPr>
        <w:t>. 投标人参加本项目投标不得有下列情形：</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（1）提供虚假材料谋取中标；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（2）采取不正当手段诋毁、排挤其他投标人；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（3）与招标采购单位、其他投标人恶意串通；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（4）向招标采购单位、评标委员会成员行贿或者提供其他不正当利益；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（5）在招标过程中与招标采购单位进行协商谈判；</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（6）中标或者成交后无正当理由拒不与采购人签订政府采购合同；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（7）未按照采购文件确定的事项签订政府采购合同；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（8）将政府采购合同转包或者违规分包；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（9）提供假冒伪劣产品；</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（10）擅自变更、中止或者终止政府采购合同；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（11）拒绝有关部门的监督检查或者向监督检查部门提供虚假情况；</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（12）法律法规规定的其他情形。</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投标人有上述情形的，按照规定追究法律责任，具备（1）-（10）条情形之一的，同时将取消中标资格或者认定中标无效。</w:t>
      </w:r>
    </w:p>
    <w:p>
      <w:pPr>
        <w:pStyle w:val="5"/>
        <w:spacing w:line="400" w:lineRule="exact"/>
        <w:ind w:firstLine="482" w:firstLineChars="200"/>
        <w:rPr>
          <w:rFonts w:ascii="仿宋" w:hAnsi="仿宋" w:eastAsia="仿宋"/>
          <w:color w:val="auto"/>
          <w:sz w:val="24"/>
          <w:highlight w:val="none"/>
        </w:rPr>
      </w:pPr>
      <w:r>
        <w:rPr>
          <w:rFonts w:ascii="仿宋" w:hAnsi="仿宋" w:eastAsia="仿宋"/>
          <w:color w:val="auto"/>
          <w:sz w:val="24"/>
          <w:highlight w:val="none"/>
        </w:rPr>
        <w:t>38</w:t>
      </w:r>
      <w:r>
        <w:rPr>
          <w:rFonts w:hint="eastAsia" w:ascii="仿宋" w:hAnsi="仿宋"/>
          <w:color w:val="auto"/>
          <w:sz w:val="24"/>
          <w:szCs w:val="24"/>
          <w:highlight w:val="none"/>
        </w:rPr>
        <w:t xml:space="preserve">. </w:t>
      </w:r>
      <w:r>
        <w:rPr>
          <w:rFonts w:hint="eastAsia" w:ascii="仿宋" w:hAnsi="仿宋" w:eastAsia="仿宋"/>
          <w:color w:val="auto"/>
          <w:sz w:val="24"/>
          <w:highlight w:val="none"/>
        </w:rPr>
        <w:t>投标人有下列情形之一的，视为投标人串通投标，其投标无效：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（1）不同投标人的投标文件由同一单位或者个人编制；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（2）不同投标人委托同一单位或者个人办理投标事宜；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（3）不同投标人的投标文件载明的项目管理成员或者联系人员为同一人；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（4）不同投标人的投标文件异常一致或者投标报价呈规律性差异；</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（5）不同投标人的投标文件相互混装；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（6）不同投标人的投标保证金从同一单位或者个人的账户转出。</w:t>
      </w:r>
    </w:p>
    <w:p>
      <w:pPr>
        <w:pStyle w:val="4"/>
        <w:spacing w:line="400" w:lineRule="exact"/>
        <w:jc w:val="center"/>
        <w:rPr>
          <w:rFonts w:ascii="仿宋" w:hAnsi="仿宋" w:eastAsia="仿宋"/>
          <w:bCs w:val="0"/>
          <w:color w:val="auto"/>
          <w:szCs w:val="28"/>
          <w:highlight w:val="none"/>
        </w:rPr>
      </w:pPr>
      <w:bookmarkStart w:id="127" w:name="_Toc217446078"/>
      <w:bookmarkStart w:id="128" w:name="_Toc308164819"/>
      <w:r>
        <w:rPr>
          <w:rFonts w:hint="eastAsia" w:ascii="仿宋" w:hAnsi="仿宋" w:eastAsia="仿宋"/>
          <w:bCs w:val="0"/>
          <w:color w:val="auto"/>
          <w:szCs w:val="28"/>
          <w:highlight w:val="none"/>
        </w:rPr>
        <w:t>八、询问、质疑和投诉</w:t>
      </w:r>
      <w:bookmarkEnd w:id="127"/>
      <w:bookmarkEnd w:id="128"/>
      <w:bookmarkStart w:id="129" w:name="_Toc217446079"/>
    </w:p>
    <w:bookmarkEnd w:id="129"/>
    <w:p>
      <w:pPr>
        <w:widowControl/>
        <w:spacing w:line="360" w:lineRule="atLeast"/>
        <w:ind w:firstLine="472" w:firstLineChars="196"/>
        <w:jc w:val="left"/>
        <w:outlineLvl w:val="1"/>
        <w:rPr>
          <w:rFonts w:ascii="仿宋" w:hAnsi="仿宋" w:eastAsia="仿宋"/>
          <w:color w:val="auto"/>
          <w:sz w:val="24"/>
          <w:highlight w:val="none"/>
        </w:rPr>
      </w:pPr>
      <w:r>
        <w:rPr>
          <w:rFonts w:ascii="仿宋" w:hAnsi="仿宋" w:eastAsia="仿宋"/>
          <w:b/>
          <w:color w:val="auto"/>
          <w:sz w:val="24"/>
          <w:highlight w:val="none"/>
        </w:rPr>
        <w:t>3</w:t>
      </w:r>
      <w:bookmarkEnd w:id="123"/>
      <w:bookmarkEnd w:id="124"/>
      <w:r>
        <w:rPr>
          <w:rFonts w:hint="eastAsia" w:ascii="仿宋" w:hAnsi="仿宋" w:eastAsia="仿宋"/>
          <w:b/>
          <w:color w:val="auto"/>
          <w:sz w:val="24"/>
          <w:highlight w:val="none"/>
        </w:rPr>
        <w:t>9．</w:t>
      </w:r>
      <w:r>
        <w:rPr>
          <w:rFonts w:hint="eastAsia" w:ascii="仿宋" w:hAnsi="仿宋" w:eastAsia="仿宋"/>
          <w:color w:val="auto"/>
          <w:sz w:val="24"/>
          <w:highlight w:val="none"/>
        </w:rPr>
        <w:t>询问、质疑、投诉的接收和处理严格按照《中华人民共和国政府采购法》、《中华人民共和国政府采购法实施条例》、《政府采购货物和服务招标投标管理办法》、《</w:t>
      </w:r>
      <w:r>
        <w:rPr>
          <w:rFonts w:hint="eastAsia" w:ascii="仿宋" w:hAnsi="仿宋" w:eastAsia="仿宋"/>
          <w:bCs/>
          <w:color w:val="auto"/>
          <w:sz w:val="24"/>
          <w:highlight w:val="none"/>
        </w:rPr>
        <w:t>政府采购质疑和投诉办法</w:t>
      </w:r>
      <w:r>
        <w:rPr>
          <w:rFonts w:hint="eastAsia" w:ascii="仿宋" w:hAnsi="仿宋" w:eastAsia="仿宋"/>
          <w:color w:val="auto"/>
          <w:sz w:val="24"/>
          <w:highlight w:val="none"/>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color w:val="auto"/>
          <w:szCs w:val="28"/>
          <w:highlight w:val="none"/>
        </w:rPr>
      </w:pPr>
      <w:r>
        <w:rPr>
          <w:rFonts w:hint="eastAsia" w:ascii="仿宋" w:hAnsi="仿宋" w:eastAsia="仿宋"/>
          <w:bCs w:val="0"/>
          <w:color w:val="auto"/>
          <w:szCs w:val="28"/>
          <w:highlight w:val="none"/>
        </w:rPr>
        <w:t>九、其他</w:t>
      </w:r>
    </w:p>
    <w:p>
      <w:pPr>
        <w:widowControl/>
        <w:spacing w:line="360" w:lineRule="atLeast"/>
        <w:ind w:firstLine="482" w:firstLineChars="200"/>
        <w:jc w:val="left"/>
        <w:outlineLvl w:val="1"/>
        <w:rPr>
          <w:rFonts w:ascii="仿宋" w:hAnsi="仿宋" w:eastAsia="仿宋"/>
          <w:color w:val="auto"/>
          <w:sz w:val="24"/>
          <w:highlight w:val="none"/>
        </w:rPr>
      </w:pPr>
      <w:r>
        <w:rPr>
          <w:rFonts w:ascii="仿宋" w:hAnsi="仿宋" w:eastAsia="仿宋"/>
          <w:b/>
          <w:color w:val="auto"/>
          <w:sz w:val="24"/>
          <w:highlight w:val="none"/>
        </w:rPr>
        <w:t>40</w:t>
      </w:r>
      <w:r>
        <w:rPr>
          <w:rFonts w:hint="eastAsia" w:ascii="仿宋" w:hAnsi="仿宋"/>
          <w:color w:val="auto"/>
          <w:sz w:val="24"/>
          <w:szCs w:val="24"/>
          <w:highlight w:val="none"/>
        </w:rPr>
        <w:t xml:space="preserve">. </w:t>
      </w:r>
      <w:r>
        <w:rPr>
          <w:rFonts w:hint="eastAsia" w:ascii="仿宋" w:hAnsi="仿宋" w:eastAsia="仿宋"/>
          <w:color w:val="auto"/>
          <w:sz w:val="24"/>
          <w:highlight w:val="none"/>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olor w:val="auto"/>
          <w:kern w:val="0"/>
          <w:sz w:val="24"/>
          <w:highlight w:val="none"/>
        </w:rPr>
      </w:pPr>
      <w:r>
        <w:rPr>
          <w:rFonts w:hint="eastAsia" w:ascii="仿宋" w:hAnsi="仿宋" w:eastAsia="仿宋"/>
          <w:b/>
          <w:color w:val="auto"/>
          <w:sz w:val="24"/>
          <w:highlight w:val="none"/>
        </w:rPr>
        <w:t>4</w:t>
      </w:r>
      <w:r>
        <w:rPr>
          <w:rFonts w:ascii="仿宋" w:hAnsi="仿宋" w:eastAsia="仿宋"/>
          <w:b/>
          <w:color w:val="auto"/>
          <w:sz w:val="24"/>
          <w:highlight w:val="none"/>
        </w:rPr>
        <w:t>1</w:t>
      </w:r>
      <w:r>
        <w:rPr>
          <w:rFonts w:hint="eastAsia" w:ascii="仿宋" w:hAnsi="仿宋" w:eastAsia="仿宋"/>
          <w:b/>
          <w:color w:val="auto"/>
          <w:sz w:val="24"/>
          <w:highlight w:val="none"/>
        </w:rPr>
        <w:t>.（实质性要求）</w:t>
      </w:r>
      <w:r>
        <w:rPr>
          <w:rFonts w:ascii="仿宋" w:hAnsi="仿宋" w:eastAsia="仿宋"/>
          <w:color w:val="auto"/>
          <w:sz w:val="24"/>
          <w:highlight w:val="none"/>
        </w:rPr>
        <w:t>国家</w:t>
      </w:r>
      <w:r>
        <w:rPr>
          <w:rFonts w:hint="eastAsia" w:ascii="仿宋" w:hAnsi="仿宋" w:eastAsia="仿宋"/>
          <w:color w:val="auto"/>
          <w:sz w:val="24"/>
          <w:highlight w:val="none"/>
        </w:rPr>
        <w:t>或行业主管部门</w:t>
      </w:r>
      <w:r>
        <w:rPr>
          <w:rFonts w:ascii="仿宋" w:hAnsi="仿宋" w:eastAsia="仿宋"/>
          <w:color w:val="auto"/>
          <w:sz w:val="24"/>
          <w:highlight w:val="none"/>
        </w:rPr>
        <w:t>对</w:t>
      </w:r>
      <w:r>
        <w:rPr>
          <w:rFonts w:hint="eastAsia" w:ascii="仿宋" w:hAnsi="仿宋" w:eastAsia="仿宋"/>
          <w:color w:val="auto"/>
          <w:sz w:val="24"/>
          <w:highlight w:val="none"/>
        </w:rPr>
        <w:t>采购产品的</w:t>
      </w:r>
      <w:r>
        <w:rPr>
          <w:rFonts w:ascii="仿宋" w:hAnsi="仿宋" w:eastAsia="仿宋"/>
          <w:color w:val="auto"/>
          <w:sz w:val="24"/>
          <w:highlight w:val="none"/>
        </w:rPr>
        <w:t>技术</w:t>
      </w:r>
      <w:r>
        <w:rPr>
          <w:rFonts w:hint="eastAsia" w:ascii="仿宋" w:hAnsi="仿宋" w:eastAsia="仿宋"/>
          <w:color w:val="auto"/>
          <w:sz w:val="24"/>
          <w:highlight w:val="none"/>
        </w:rPr>
        <w:t>标准、</w:t>
      </w:r>
      <w:r>
        <w:rPr>
          <w:rFonts w:ascii="仿宋" w:hAnsi="仿宋" w:eastAsia="仿宋"/>
          <w:color w:val="auto"/>
          <w:sz w:val="24"/>
          <w:highlight w:val="none"/>
        </w:rPr>
        <w:t>质量</w:t>
      </w:r>
      <w:r>
        <w:rPr>
          <w:rFonts w:hint="eastAsia" w:ascii="仿宋" w:hAnsi="仿宋" w:eastAsia="仿宋"/>
          <w:color w:val="auto"/>
          <w:sz w:val="24"/>
          <w:highlight w:val="none"/>
        </w:rPr>
        <w:t>标准和资格资质条件</w:t>
      </w:r>
      <w:r>
        <w:rPr>
          <w:rFonts w:ascii="仿宋" w:hAnsi="仿宋" w:eastAsia="仿宋"/>
          <w:color w:val="auto"/>
          <w:sz w:val="24"/>
          <w:highlight w:val="none"/>
        </w:rPr>
        <w:t>等有</w:t>
      </w:r>
      <w:r>
        <w:rPr>
          <w:rFonts w:hint="eastAsia" w:ascii="仿宋" w:hAnsi="仿宋" w:eastAsia="仿宋"/>
          <w:color w:val="auto"/>
          <w:sz w:val="24"/>
          <w:highlight w:val="none"/>
        </w:rPr>
        <w:t>强制性规定</w:t>
      </w:r>
      <w:r>
        <w:rPr>
          <w:rFonts w:ascii="仿宋" w:hAnsi="仿宋" w:eastAsia="仿宋"/>
          <w:color w:val="auto"/>
          <w:sz w:val="24"/>
          <w:highlight w:val="none"/>
        </w:rPr>
        <w:t>的</w:t>
      </w:r>
      <w:r>
        <w:rPr>
          <w:rFonts w:hint="eastAsia" w:ascii="仿宋" w:hAnsi="仿宋" w:eastAsia="仿宋"/>
          <w:color w:val="auto"/>
          <w:sz w:val="24"/>
          <w:highlight w:val="none"/>
        </w:rPr>
        <w:t>，必须符合其要求。</w:t>
      </w:r>
    </w:p>
    <w:p>
      <w:pPr>
        <w:widowControl/>
        <w:spacing w:after="0" w:line="240" w:lineRule="auto"/>
        <w:jc w:val="left"/>
        <w:rPr>
          <w:rFonts w:ascii="仿宋" w:hAnsi="仿宋" w:eastAsia="仿宋"/>
          <w:color w:val="auto"/>
          <w:sz w:val="24"/>
          <w:highlight w:val="none"/>
        </w:rPr>
      </w:pPr>
      <w:bookmarkStart w:id="130" w:name="_Toc1368"/>
      <w:r>
        <w:rPr>
          <w:rFonts w:ascii="仿宋" w:hAnsi="仿宋" w:eastAsia="仿宋"/>
          <w:b/>
          <w:bCs/>
          <w:color w:val="auto"/>
          <w:sz w:val="24"/>
          <w:highlight w:val="none"/>
        </w:rPr>
        <w:br w:type="page"/>
      </w:r>
    </w:p>
    <w:p>
      <w:pPr>
        <w:pStyle w:val="3"/>
        <w:jc w:val="center"/>
        <w:rPr>
          <w:rFonts w:ascii="仿宋" w:hAnsi="仿宋" w:eastAsia="仿宋"/>
          <w:color w:val="auto"/>
          <w:sz w:val="36"/>
          <w:szCs w:val="36"/>
          <w:highlight w:val="none"/>
        </w:rPr>
      </w:pPr>
      <w:bookmarkStart w:id="131" w:name="_Toc24136"/>
      <w:r>
        <w:rPr>
          <w:rFonts w:hint="eastAsia" w:ascii="仿宋" w:hAnsi="仿宋" w:eastAsia="仿宋"/>
          <w:color w:val="auto"/>
          <w:sz w:val="36"/>
          <w:szCs w:val="36"/>
          <w:highlight w:val="none"/>
        </w:rPr>
        <w:t>第三章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投标文件格式</w:t>
      </w:r>
      <w:bookmarkEnd w:id="130"/>
      <w:bookmarkEnd w:id="131"/>
      <w:bookmarkStart w:id="132" w:name="_Toc217446082"/>
      <w:bookmarkStart w:id="133" w:name="_Toc308164821"/>
    </w:p>
    <w:p>
      <w:pPr>
        <w:widowControl/>
        <w:spacing w:line="360" w:lineRule="atLeast"/>
        <w:jc w:val="center"/>
        <w:rPr>
          <w:rFonts w:ascii="仿宋" w:hAnsi="仿宋" w:eastAsia="仿宋"/>
          <w:b/>
          <w:color w:val="auto"/>
          <w:sz w:val="24"/>
          <w:highlight w:val="none"/>
        </w:rPr>
      </w:pPr>
    </w:p>
    <w:p>
      <w:pPr>
        <w:widowControl/>
        <w:spacing w:line="360" w:lineRule="atLeas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一、本章所制投标文件格式，除格式中明确将该格式作为实质性要求的，一律不具有强制性。</w:t>
      </w:r>
    </w:p>
    <w:p>
      <w:pPr>
        <w:widowControl/>
        <w:spacing w:line="360" w:lineRule="atLeas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二、本章所制投标文件格式有关表格中的备注栏，由投标人根据自身投标情况作解释性说明，不作为必填项。</w:t>
      </w:r>
    </w:p>
    <w:p>
      <w:pPr>
        <w:widowControl/>
        <w:spacing w:line="360" w:lineRule="atLeast"/>
        <w:ind w:firstLine="470" w:firstLineChars="196"/>
        <w:rPr>
          <w:rFonts w:hint="eastAsia" w:ascii="仿宋" w:hAnsi="仿宋" w:eastAsia="仿宋"/>
          <w:color w:val="auto"/>
          <w:sz w:val="24"/>
          <w:highlight w:val="none"/>
        </w:rPr>
      </w:pPr>
      <w:r>
        <w:rPr>
          <w:rFonts w:hint="eastAsia" w:ascii="仿宋" w:hAnsi="仿宋" w:eastAsia="仿宋"/>
          <w:color w:val="auto"/>
          <w:sz w:val="24"/>
          <w:highlight w:val="none"/>
        </w:rPr>
        <w:t>三、本章所制投标文件格式中需要填写的相关内容事项，可能会与本采购项目无关，在不改变投标文件原义、不影响本项目采购需求的情况下，投标人可以不予填写，但应当注明。</w:t>
      </w:r>
    </w:p>
    <w:p>
      <w:pPr>
        <w:widowControl/>
        <w:spacing w:line="360" w:lineRule="atLeast"/>
        <w:ind w:firstLine="472" w:firstLineChars="196"/>
        <w:rPr>
          <w:rFonts w:ascii="仿宋" w:hAnsi="仿宋" w:eastAsia="仿宋"/>
          <w:color w:val="auto"/>
          <w:sz w:val="24"/>
          <w:highlight w:val="none"/>
        </w:rPr>
      </w:pPr>
      <w:r>
        <w:rPr>
          <w:rFonts w:hint="eastAsia" w:ascii="仿宋" w:hAnsi="仿宋" w:eastAsia="仿宋"/>
          <w:b/>
          <w:bCs/>
          <w:color w:val="auto"/>
          <w:sz w:val="24"/>
          <w:highlight w:val="none"/>
        </w:rPr>
        <w:t>四、提示本章中格式1-1、2-1封面，盖章为实质性要求，格式内容不作实质性要求。按照招标文件第二章17．2要求，加盖投标人（法定名称）电子印章。</w:t>
      </w:r>
    </w:p>
    <w:p>
      <w:pPr>
        <w:tabs>
          <w:tab w:val="left" w:pos="900"/>
        </w:tabs>
        <w:spacing w:line="360" w:lineRule="auto"/>
        <w:jc w:val="center"/>
        <w:rPr>
          <w:rFonts w:ascii="仿宋" w:hAnsi="仿宋" w:eastAsia="仿宋"/>
          <w:b/>
          <w:color w:val="auto"/>
          <w:sz w:val="32"/>
          <w:highlight w:val="none"/>
        </w:rPr>
      </w:pPr>
      <w:r>
        <w:rPr>
          <w:rFonts w:ascii="仿宋" w:hAnsi="仿宋" w:eastAsia="仿宋"/>
          <w:b/>
          <w:color w:val="auto"/>
          <w:sz w:val="32"/>
          <w:szCs w:val="32"/>
          <w:highlight w:val="none"/>
        </w:rPr>
        <w:br w:type="page"/>
      </w:r>
      <w:r>
        <w:rPr>
          <w:rFonts w:ascii="仿宋" w:hAnsi="仿宋" w:eastAsia="仿宋"/>
          <w:b/>
          <w:color w:val="auto"/>
          <w:sz w:val="32"/>
          <w:highlight w:val="none"/>
        </w:rPr>
        <w:t xml:space="preserve">第一部分     </w:t>
      </w:r>
      <w:r>
        <w:rPr>
          <w:rFonts w:hint="eastAsia" w:ascii="仿宋" w:hAnsi="仿宋" w:eastAsia="仿宋"/>
          <w:b/>
          <w:color w:val="auto"/>
          <w:sz w:val="32"/>
          <w:highlight w:val="none"/>
        </w:rPr>
        <w:t>“</w:t>
      </w:r>
      <w:r>
        <w:rPr>
          <w:rFonts w:ascii="仿宋" w:hAnsi="仿宋" w:eastAsia="仿宋"/>
          <w:b/>
          <w:color w:val="auto"/>
          <w:sz w:val="32"/>
          <w:highlight w:val="none"/>
        </w:rPr>
        <w:t>资格性</w:t>
      </w:r>
      <w:r>
        <w:rPr>
          <w:rFonts w:hint="eastAsia" w:ascii="仿宋" w:hAnsi="仿宋" w:eastAsia="仿宋"/>
          <w:b/>
          <w:color w:val="auto"/>
          <w:sz w:val="32"/>
          <w:highlight w:val="none"/>
        </w:rPr>
        <w:t>投标</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spacing w:after="0" w:line="360" w:lineRule="auto"/>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w:t>
      </w:r>
      <w:r>
        <w:rPr>
          <w:rFonts w:ascii="仿宋" w:hAnsi="仿宋" w:eastAsia="仿宋"/>
          <w:b/>
          <w:color w:val="auto"/>
          <w:sz w:val="32"/>
          <w:szCs w:val="32"/>
          <w:highlight w:val="none"/>
        </w:rPr>
        <w:t>1-1</w:t>
      </w:r>
    </w:p>
    <w:p>
      <w:pPr>
        <w:spacing w:after="0" w:line="360" w:lineRule="auto"/>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资格性投标文件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投标人</w:t>
      </w:r>
      <w:r>
        <w:rPr>
          <w:rFonts w:ascii="仿宋" w:hAnsi="仿宋" w:eastAsia="仿宋"/>
          <w:b/>
          <w:color w:val="auto"/>
          <w:sz w:val="32"/>
          <w:highlight w:val="none"/>
        </w:rPr>
        <w:t>名称</w:t>
      </w:r>
      <w:r>
        <w:rPr>
          <w:rFonts w:hint="eastAsia" w:ascii="仿宋" w:hAnsi="仿宋" w:eastAsia="仿宋"/>
          <w:b/>
          <w:color w:val="auto"/>
          <w:sz w:val="32"/>
          <w:highlight w:val="none"/>
        </w:rPr>
        <w:t>（电子印章）</w:t>
      </w:r>
      <w:r>
        <w:rPr>
          <w:rFonts w:ascii="仿宋" w:hAnsi="仿宋" w:eastAsia="仿宋"/>
          <w:b/>
          <w:color w:val="auto"/>
          <w:sz w:val="32"/>
          <w:highlight w:val="none"/>
        </w:rPr>
        <w:t>：</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after="0" w:line="360" w:lineRule="auto"/>
        <w:jc w:val="center"/>
        <w:outlineLvl w:val="9"/>
        <w:rPr>
          <w:rFonts w:hint="eastAsia" w:ascii="仿宋" w:hAnsi="仿宋" w:eastAsia="仿宋"/>
          <w:b/>
          <w:color w:val="auto"/>
          <w:sz w:val="32"/>
          <w:szCs w:val="32"/>
          <w:highlight w:val="none"/>
        </w:rPr>
      </w:pPr>
      <w:r>
        <w:rPr>
          <w:rFonts w:hint="eastAsia" w:ascii="仿宋" w:hAnsi="仿宋" w:eastAsia="仿宋"/>
          <w:b/>
          <w:color w:val="auto"/>
          <w:sz w:val="32"/>
          <w:highlight w:val="none"/>
        </w:rPr>
        <w:t>投标时间</w:t>
      </w:r>
      <w:r>
        <w:rPr>
          <w:rFonts w:ascii="仿宋" w:hAnsi="仿宋" w:eastAsia="仿宋"/>
          <w:b/>
          <w:color w:val="auto"/>
          <w:sz w:val="32"/>
          <w:highlight w:val="none"/>
        </w:rPr>
        <w:t>：年月日</w:t>
      </w:r>
    </w:p>
    <w:p>
      <w:pPr>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spacing w:after="0" w:line="360" w:lineRule="auto"/>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格式1-</w:t>
      </w:r>
      <w:r>
        <w:rPr>
          <w:rFonts w:hint="eastAsia" w:ascii="仿宋" w:hAnsi="仿宋" w:eastAsia="仿宋"/>
          <w:b/>
          <w:color w:val="auto"/>
          <w:sz w:val="32"/>
          <w:szCs w:val="32"/>
          <w:highlight w:val="none"/>
          <w:lang w:val="en-US" w:eastAsia="zh-CN"/>
        </w:rPr>
        <w:t>2</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一</w:t>
      </w:r>
      <w:r>
        <w:rPr>
          <w:rFonts w:hint="eastAsia" w:ascii="仿宋" w:hAnsi="仿宋" w:eastAsia="仿宋"/>
          <w:b/>
          <w:color w:val="auto"/>
          <w:sz w:val="32"/>
          <w:szCs w:val="32"/>
          <w:highlight w:val="none"/>
        </w:rPr>
        <w:t>、承诺函</w:t>
      </w:r>
    </w:p>
    <w:p>
      <w:pPr>
        <w:widowControl/>
        <w:spacing w:line="360" w:lineRule="atLeast"/>
        <w:jc w:val="center"/>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我单位作为本次采购项目的投标人，根据招标文件要求，现郑重承诺如下：</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具备《中华人民共和国政府采购法》第二十二条第一款和本项目规定的条件：</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（七）根据采购项目提出的特殊条件。</w:t>
      </w:r>
    </w:p>
    <w:p>
      <w:pPr>
        <w:widowControl/>
        <w:spacing w:line="360" w:lineRule="atLeas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期：XXXX。</w:t>
      </w:r>
    </w:p>
    <w:p>
      <w:pPr>
        <w:spacing w:line="360" w:lineRule="auto"/>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格式1-</w:t>
      </w:r>
      <w:r>
        <w:rPr>
          <w:rFonts w:hint="eastAsia" w:ascii="仿宋" w:hAnsi="仿宋" w:eastAsia="仿宋"/>
          <w:b/>
          <w:color w:val="auto"/>
          <w:sz w:val="32"/>
          <w:szCs w:val="32"/>
          <w:highlight w:val="none"/>
          <w:lang w:val="en-US" w:eastAsia="zh-CN"/>
        </w:rPr>
        <w:t>3</w:t>
      </w:r>
    </w:p>
    <w:p>
      <w:pPr>
        <w:spacing w:line="360" w:lineRule="auto"/>
        <w:ind w:firstLine="790" w:firstLineChars="246"/>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二、</w:t>
      </w:r>
      <w:r>
        <w:rPr>
          <w:rFonts w:hint="eastAsia" w:ascii="仿宋" w:hAnsi="仿宋" w:eastAsia="仿宋"/>
          <w:b/>
          <w:color w:val="auto"/>
          <w:sz w:val="32"/>
          <w:szCs w:val="32"/>
          <w:highlight w:val="none"/>
        </w:rPr>
        <w:t>投标人和投标产品其他资格、资质性及其他类似效力要求的相关证明材料</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spacing w:after="0" w:line="360" w:lineRule="auto"/>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格式1-</w:t>
      </w:r>
      <w:r>
        <w:rPr>
          <w:rFonts w:hint="eastAsia" w:ascii="仿宋" w:hAnsi="仿宋" w:eastAsia="仿宋"/>
          <w:b/>
          <w:color w:val="auto"/>
          <w:sz w:val="32"/>
          <w:szCs w:val="32"/>
          <w:highlight w:val="none"/>
          <w:lang w:val="en-US" w:eastAsia="zh-CN"/>
        </w:rPr>
        <w:t>4</w:t>
      </w:r>
    </w:p>
    <w:p>
      <w:pPr>
        <w:widowControl/>
        <w:spacing w:line="360" w:lineRule="atLeast"/>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三、</w:t>
      </w:r>
      <w:r>
        <w:rPr>
          <w:rFonts w:hint="eastAsia" w:ascii="仿宋" w:hAnsi="仿宋" w:eastAsia="仿宋"/>
          <w:b/>
          <w:color w:val="auto"/>
          <w:sz w:val="32"/>
          <w:szCs w:val="32"/>
          <w:highlight w:val="none"/>
        </w:rPr>
        <w:t>承诺函（如涉及）</w:t>
      </w:r>
    </w:p>
    <w:p>
      <w:pPr>
        <w:widowControl/>
        <w:spacing w:line="360" w:lineRule="atLeast"/>
        <w:jc w:val="center"/>
        <w:rPr>
          <w:rFonts w:ascii="仿宋" w:hAnsi="仿宋" w:eastAsia="仿宋"/>
          <w:b/>
          <w:color w:val="auto"/>
          <w:sz w:val="24"/>
          <w:highlight w:val="none"/>
        </w:rPr>
      </w:pPr>
    </w:p>
    <w:p>
      <w:pPr>
        <w:spacing w:line="360" w:lineRule="auto"/>
        <w:rPr>
          <w:rFonts w:ascii="仿宋" w:hAnsi="仿宋" w:eastAsia="仿宋" w:cs="宋体"/>
          <w:bCs/>
          <w:color w:val="auto"/>
          <w:sz w:val="24"/>
          <w:highlight w:val="none"/>
        </w:rPr>
      </w:pPr>
      <w:r>
        <w:rPr>
          <w:rFonts w:ascii="仿宋" w:hAnsi="仿宋" w:eastAsia="仿宋" w:cs="宋体"/>
          <w:bCs/>
          <w:color w:val="auto"/>
          <w:sz w:val="24"/>
          <w:highlight w:val="none"/>
        </w:rPr>
        <w:t>XXXX（采购代理机构名称）：</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我单位作为本次采购项目的投标人，现郑重承诺如下：</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根据本项目招标文件</w:t>
      </w:r>
      <w:r>
        <w:rPr>
          <w:rFonts w:ascii="仿宋" w:hAnsi="仿宋" w:eastAsia="仿宋" w:cs="宋体"/>
          <w:bCs/>
          <w:color w:val="auto"/>
          <w:sz w:val="24"/>
          <w:highlight w:val="none"/>
        </w:rPr>
        <w:t>第四章资格证明要求中第</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项，</w:t>
      </w:r>
      <w:r>
        <w:rPr>
          <w:rFonts w:ascii="仿宋" w:hAnsi="仿宋" w:eastAsia="仿宋" w:cs="宋体"/>
          <w:bCs/>
          <w:color w:val="auto"/>
          <w:sz w:val="24"/>
          <w:highlight w:val="none"/>
        </w:rPr>
        <w:t>我</w:t>
      </w:r>
      <w:r>
        <w:rPr>
          <w:rFonts w:hint="eastAsia" w:ascii="仿宋" w:hAnsi="仿宋" w:eastAsia="仿宋" w:cs="宋体"/>
          <w:bCs/>
          <w:color w:val="auto"/>
          <w:sz w:val="24"/>
          <w:highlight w:val="none"/>
        </w:rPr>
        <w:t>单位</w:t>
      </w:r>
      <w:r>
        <w:rPr>
          <w:rFonts w:ascii="仿宋" w:hAnsi="仿宋" w:eastAsia="仿宋" w:cs="宋体"/>
          <w:bCs/>
          <w:color w:val="auto"/>
          <w:sz w:val="24"/>
          <w:highlight w:val="none"/>
        </w:rPr>
        <w:t>应具备</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）。但因</w:t>
      </w:r>
      <w:r>
        <w:rPr>
          <w:rFonts w:ascii="仿宋" w:hAnsi="仿宋" w:eastAsia="仿宋" w:cs="宋体"/>
          <w:bCs/>
          <w:color w:val="auto"/>
          <w:sz w:val="24"/>
          <w:highlight w:val="none"/>
        </w:rPr>
        <w:t>我单位所在地</w:t>
      </w:r>
      <w:r>
        <w:rPr>
          <w:rFonts w:hint="eastAsia" w:ascii="仿宋" w:hAnsi="仿宋" w:eastAsia="仿宋" w:cs="宋体"/>
          <w:bCs/>
          <w:color w:val="auto"/>
          <w:sz w:val="24"/>
          <w:highlight w:val="none"/>
        </w:rPr>
        <w:t>已对</w:t>
      </w:r>
      <w:r>
        <w:rPr>
          <w:rFonts w:ascii="仿宋" w:hAnsi="仿宋" w:eastAsia="仿宋" w:cs="宋体"/>
          <w:bCs/>
          <w:color w:val="auto"/>
          <w:sz w:val="24"/>
          <w:highlight w:val="none"/>
        </w:rPr>
        <w:t>上述</w:t>
      </w:r>
      <w:r>
        <w:rPr>
          <w:rFonts w:hint="eastAsia" w:ascii="仿宋" w:hAnsi="仿宋" w:eastAsia="仿宋" w:cs="宋体"/>
          <w:bCs/>
          <w:color w:val="auto"/>
          <w:sz w:val="24"/>
          <w:highlight w:val="none"/>
        </w:rPr>
        <w:t>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实行</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故在此次采购活动</w:t>
      </w:r>
      <w:r>
        <w:rPr>
          <w:rFonts w:hint="eastAsia" w:ascii="仿宋" w:hAnsi="仿宋" w:eastAsia="仿宋" w:cs="宋体"/>
          <w:bCs/>
          <w:color w:val="auto"/>
          <w:sz w:val="24"/>
          <w:highlight w:val="none"/>
        </w:rPr>
        <w:t>中</w:t>
      </w:r>
      <w:r>
        <w:rPr>
          <w:rFonts w:ascii="仿宋" w:hAnsi="仿宋" w:eastAsia="仿宋" w:cs="宋体"/>
          <w:bCs/>
          <w:color w:val="auto"/>
          <w:sz w:val="24"/>
          <w:highlight w:val="none"/>
        </w:rPr>
        <w:t>提供</w:t>
      </w:r>
      <w:r>
        <w:rPr>
          <w:rFonts w:hint="eastAsia" w:ascii="仿宋" w:hAnsi="仿宋" w:eastAsia="仿宋" w:cs="宋体"/>
          <w:bCs/>
          <w:color w:val="auto"/>
          <w:sz w:val="24"/>
          <w:highlight w:val="none"/>
        </w:rPr>
        <w:t>满足</w:t>
      </w:r>
      <w:r>
        <w:rPr>
          <w:rFonts w:ascii="仿宋" w:hAnsi="仿宋" w:eastAsia="仿宋" w:cs="宋体"/>
          <w:bCs/>
          <w:color w:val="auto"/>
          <w:sz w:val="24"/>
          <w:highlight w:val="none"/>
        </w:rPr>
        <w:t>资格要求</w:t>
      </w:r>
      <w:r>
        <w:rPr>
          <w:rFonts w:hint="eastAsia" w:ascii="仿宋" w:hAnsi="仿宋" w:eastAsia="仿宋" w:cs="宋体"/>
          <w:bCs/>
          <w:color w:val="auto"/>
          <w:sz w:val="24"/>
          <w:highlight w:val="none"/>
        </w:rPr>
        <w:t>：</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中对</w:t>
      </w:r>
      <w:r>
        <w:rPr>
          <w:rFonts w:hint="eastAsia" w:ascii="仿宋" w:hAnsi="仿宋" w:eastAsia="仿宋" w:cs="宋体"/>
          <w:bCs/>
          <w:color w:val="auto"/>
          <w:sz w:val="24"/>
          <w:highlight w:val="none"/>
        </w:rPr>
        <w:t>该备案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描述</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投标人名称：</w:t>
      </w:r>
      <w:r>
        <w:rPr>
          <w:rFonts w:ascii="仿宋" w:hAnsi="仿宋" w:eastAsia="仿宋" w:cs="宋体"/>
          <w:bCs/>
          <w:color w:val="auto"/>
          <w:sz w:val="24"/>
          <w:highlight w:val="none"/>
        </w:rPr>
        <w:t>XXXX</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日</w:t>
      </w:r>
      <w:r>
        <w:rPr>
          <w:rFonts w:ascii="仿宋" w:hAnsi="仿宋" w:eastAsia="仿宋" w:cs="宋体"/>
          <w:bCs/>
          <w:color w:val="auto"/>
          <w:sz w:val="24"/>
          <w:highlight w:val="none"/>
        </w:rPr>
        <w:t xml:space="preserve">    </w:t>
      </w:r>
      <w:r>
        <w:rPr>
          <w:rFonts w:hint="eastAsia" w:ascii="仿宋" w:hAnsi="仿宋" w:eastAsia="仿宋" w:cs="宋体"/>
          <w:bCs/>
          <w:color w:val="auto"/>
          <w:sz w:val="24"/>
          <w:highlight w:val="none"/>
        </w:rPr>
        <w:t>期：</w:t>
      </w:r>
      <w:r>
        <w:rPr>
          <w:rFonts w:ascii="仿宋" w:hAnsi="仿宋" w:eastAsia="仿宋" w:cs="宋体"/>
          <w:bCs/>
          <w:color w:val="auto"/>
          <w:sz w:val="24"/>
          <w:highlight w:val="none"/>
        </w:rPr>
        <w:t>XXXX。</w:t>
      </w:r>
    </w:p>
    <w:p>
      <w:pPr>
        <w:spacing w:line="360" w:lineRule="auto"/>
        <w:rPr>
          <w:rFonts w:hint="eastAsia"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w:t>
      </w:r>
      <w:r>
        <w:rPr>
          <w:rFonts w:ascii="仿宋" w:hAnsi="仿宋" w:eastAsia="仿宋" w:cs="宋体"/>
          <w:bCs/>
          <w:color w:val="auto"/>
          <w:sz w:val="24"/>
          <w:highlight w:val="none"/>
        </w:rPr>
        <w:t>1.根据国务院办公厅关于加快推进“多证合一”改革的指导意见（国办发</w:t>
      </w:r>
      <w:r>
        <w:rPr>
          <w:rFonts w:hint="eastAsia" w:ascii="仿宋" w:hAnsi="仿宋" w:eastAsia="仿宋"/>
          <w:color w:val="auto"/>
          <w:sz w:val="24"/>
          <w:highlight w:val="none"/>
        </w:rPr>
        <w:t>〔201</w:t>
      </w:r>
      <w:r>
        <w:rPr>
          <w:rFonts w:hint="eastAsia" w:ascii="仿宋" w:hAnsi="仿宋"/>
          <w:color w:val="auto"/>
          <w:sz w:val="24"/>
          <w:highlight w:val="none"/>
          <w:lang w:val="en-US" w:eastAsia="zh-CN"/>
        </w:rPr>
        <w:t>7</w:t>
      </w:r>
      <w:r>
        <w:rPr>
          <w:rFonts w:hint="eastAsia" w:ascii="仿宋" w:hAnsi="仿宋" w:eastAsia="仿宋"/>
          <w:color w:val="auto"/>
          <w:sz w:val="24"/>
          <w:highlight w:val="none"/>
        </w:rPr>
        <w:t>〕</w:t>
      </w:r>
      <w:r>
        <w:rPr>
          <w:rFonts w:ascii="仿宋" w:hAnsi="仿宋" w:eastAsia="仿宋" w:cs="宋体"/>
          <w:bCs/>
          <w:color w:val="auto"/>
          <w:sz w:val="24"/>
          <w:highlight w:val="none"/>
        </w:rPr>
        <w:t>41号）等政策要求，</w:t>
      </w:r>
      <w:r>
        <w:rPr>
          <w:rFonts w:ascii="仿宋" w:hAnsi="仿宋" w:eastAsia="仿宋" w:cs="宋体"/>
          <w:b/>
          <w:bCs/>
          <w:color w:val="auto"/>
          <w:sz w:val="24"/>
          <w:highlight w:val="none"/>
        </w:rPr>
        <w:t>若资格要求涉及的登记、备案等有关事项和各类证照已实行多证合一导致供应商无法提供该类证明材料的</w:t>
      </w:r>
      <w:r>
        <w:rPr>
          <w:rFonts w:ascii="仿宋" w:hAnsi="仿宋" w:eastAsia="仿宋" w:cs="宋体"/>
          <w:bCs/>
          <w:color w:val="auto"/>
          <w:sz w:val="24"/>
          <w:highlight w:val="none"/>
        </w:rPr>
        <w:t>，供应商须提供</w:t>
      </w:r>
      <w:r>
        <w:rPr>
          <w:rFonts w:hint="eastAsia" w:ascii="仿宋" w:hAnsi="仿宋" w:eastAsia="仿宋" w:cs="宋体"/>
          <w:bCs/>
          <w:color w:val="auto"/>
          <w:sz w:val="24"/>
          <w:highlight w:val="none"/>
        </w:rPr>
        <w:t>该</w:t>
      </w:r>
      <w:r>
        <w:rPr>
          <w:rFonts w:ascii="仿宋" w:hAnsi="仿宋" w:eastAsia="仿宋" w:cs="宋体"/>
          <w:bCs/>
          <w:color w:val="auto"/>
          <w:sz w:val="24"/>
          <w:highlight w:val="none"/>
        </w:rPr>
        <w:t>承诺。</w:t>
      </w:r>
    </w:p>
    <w:p>
      <w:pPr>
        <w:spacing w:line="360" w:lineRule="auto"/>
        <w:ind w:firstLine="360" w:firstLineChars="150"/>
        <w:rPr>
          <w:rFonts w:ascii="仿宋" w:hAnsi="仿宋" w:eastAsia="仿宋" w:cs="宋体"/>
          <w:bCs/>
          <w:color w:val="auto"/>
          <w:sz w:val="24"/>
          <w:highlight w:val="none"/>
        </w:rPr>
      </w:pPr>
      <w:r>
        <w:rPr>
          <w:rFonts w:ascii="仿宋" w:hAnsi="仿宋" w:eastAsia="仿宋" w:cs="宋体"/>
          <w:bCs/>
          <w:color w:val="auto"/>
          <w:sz w:val="24"/>
          <w:highlight w:val="none"/>
        </w:rPr>
        <w:t>2.若</w:t>
      </w:r>
      <w:r>
        <w:rPr>
          <w:rFonts w:hint="eastAsia" w:ascii="仿宋" w:hAnsi="仿宋" w:eastAsia="仿宋" w:cs="宋体"/>
          <w:bCs/>
          <w:color w:val="auto"/>
          <w:sz w:val="24"/>
          <w:highlight w:val="none"/>
        </w:rPr>
        <w:t>已提供</w:t>
      </w:r>
      <w:r>
        <w:rPr>
          <w:rFonts w:ascii="仿宋" w:hAnsi="仿宋" w:eastAsia="仿宋" w:cs="宋体"/>
          <w:bCs/>
          <w:color w:val="auto"/>
          <w:sz w:val="24"/>
          <w:highlight w:val="none"/>
        </w:rPr>
        <w:t>资格要求涉及的登记、备案等有关事项和各类证照</w:t>
      </w:r>
      <w:r>
        <w:rPr>
          <w:rFonts w:hint="eastAsia" w:ascii="仿宋" w:hAnsi="仿宋" w:eastAsia="仿宋" w:cs="宋体"/>
          <w:bCs/>
          <w:color w:val="auto"/>
          <w:sz w:val="24"/>
          <w:highlight w:val="none"/>
        </w:rPr>
        <w:t>的证明材料，无需提供该承诺。</w:t>
      </w:r>
    </w:p>
    <w:p>
      <w:pPr>
        <w:spacing w:line="360" w:lineRule="auto"/>
        <w:ind w:firstLine="360" w:firstLineChars="150"/>
        <w:rPr>
          <w:rFonts w:ascii="仿宋" w:hAnsi="仿宋" w:eastAsia="仿宋" w:cs="宋体"/>
          <w:bCs/>
          <w:color w:val="auto"/>
          <w:sz w:val="24"/>
          <w:highlight w:val="none"/>
        </w:rPr>
      </w:pPr>
      <w:r>
        <w:rPr>
          <w:rFonts w:ascii="仿宋" w:hAnsi="仿宋" w:eastAsia="仿宋" w:cs="宋体"/>
          <w:bCs/>
          <w:color w:val="auto"/>
          <w:sz w:val="24"/>
          <w:highlight w:val="none"/>
        </w:rPr>
        <w:t>3.若本项目资格要求不涉及，无需提供该承诺。</w:t>
      </w:r>
    </w:p>
    <w:p>
      <w:pPr>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spacing w:after="0" w:line="360" w:lineRule="auto"/>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rPr>
        <w:t>格式</w:t>
      </w:r>
      <w:r>
        <w:rPr>
          <w:rFonts w:hint="eastAsia" w:ascii="仿宋" w:hAnsi="仿宋" w:eastAsia="仿宋"/>
          <w:b/>
          <w:color w:val="auto"/>
          <w:sz w:val="32"/>
          <w:szCs w:val="32"/>
          <w:highlight w:val="none"/>
          <w:lang w:val="en-US" w:eastAsia="zh-CN"/>
        </w:rPr>
        <w:t>1</w:t>
      </w:r>
      <w:r>
        <w:rPr>
          <w:rFonts w:hint="eastAsia" w:ascii="仿宋" w:hAnsi="仿宋" w:eastAsia="仿宋"/>
          <w:b/>
          <w:color w:val="auto"/>
          <w:sz w:val="32"/>
          <w:szCs w:val="32"/>
          <w:highlight w:val="none"/>
        </w:rPr>
        <w:t>-</w:t>
      </w:r>
      <w:r>
        <w:rPr>
          <w:rFonts w:hint="eastAsia" w:ascii="仿宋" w:hAnsi="仿宋" w:eastAsia="仿宋"/>
          <w:b/>
          <w:color w:val="auto"/>
          <w:sz w:val="32"/>
          <w:szCs w:val="32"/>
          <w:highlight w:val="none"/>
          <w:lang w:val="en-US" w:eastAsia="zh-CN"/>
        </w:rPr>
        <w:t>5</w:t>
      </w:r>
    </w:p>
    <w:p>
      <w:pPr>
        <w:spacing w:after="0" w:line="360" w:lineRule="auto"/>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四</w:t>
      </w:r>
      <w:r>
        <w:rPr>
          <w:rFonts w:hint="eastAsia" w:ascii="仿宋" w:hAnsi="仿宋" w:eastAsia="仿宋"/>
          <w:b/>
          <w:color w:val="auto"/>
          <w:sz w:val="32"/>
          <w:szCs w:val="32"/>
          <w:highlight w:val="none"/>
        </w:rPr>
        <w:t>、</w:t>
      </w:r>
      <w:bookmarkStart w:id="134" w:name="_bookmark1"/>
      <w:bookmarkEnd w:id="134"/>
      <w:bookmarkStart w:id="135" w:name="_Toc14002"/>
      <w:r>
        <w:rPr>
          <w:rFonts w:hint="eastAsia" w:ascii="仿宋" w:hAnsi="仿宋" w:eastAsia="仿宋"/>
          <w:b/>
          <w:color w:val="auto"/>
          <w:sz w:val="32"/>
          <w:szCs w:val="32"/>
          <w:highlight w:val="none"/>
        </w:rPr>
        <w:t>中小企业声明函（服务）</w:t>
      </w:r>
      <w:bookmarkEnd w:id="135"/>
    </w:p>
    <w:p>
      <w:pPr>
        <w:pStyle w:val="17"/>
        <w:spacing w:line="360" w:lineRule="auto"/>
        <w:ind w:left="0" w:leftChars="0"/>
        <w:rPr>
          <w:rFonts w:asciiTheme="minorEastAsia" w:hAnsiTheme="minorEastAsia"/>
          <w:b/>
          <w:color w:val="auto"/>
          <w:szCs w:val="21"/>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szCs w:val="24"/>
          <w:highlight w:val="none"/>
          <w:u w:val="single"/>
        </w:rPr>
        <w:t xml:space="preserve">（单位名称） </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rPr>
        <w:t xml:space="preserve">（项目名称） </w:t>
      </w:r>
      <w:r>
        <w:rPr>
          <w:rFonts w:hint="eastAsia" w:ascii="仿宋" w:hAnsi="仿宋" w:eastAsia="仿宋" w:cs="仿宋"/>
          <w:color w:val="auto"/>
          <w:sz w:val="24"/>
          <w:szCs w:val="24"/>
          <w:highlight w:val="none"/>
        </w:rPr>
        <w:t>采购活动，服务全部由符合政策要求的中小企业承接。相关企业（含联合体中的中小企业、签订分包意向协议的中小企业）的具体情况如下：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1.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；承接企业为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从业人员、营业收入、资产总额填报上一年度数据，无上一年度数据的新成立企业可不填报。</w:t>
      </w:r>
    </w:p>
    <w:p>
      <w:pPr>
        <w:spacing w:after="0" w:line="360" w:lineRule="auto"/>
        <w:jc w:val="left"/>
        <w:rPr>
          <w:rFonts w:hint="eastAsia" w:ascii="仿宋" w:hAnsi="仿宋" w:eastAsia="仿宋"/>
          <w:color w:val="auto"/>
          <w:sz w:val="24"/>
          <w:highlight w:val="none"/>
        </w:rPr>
      </w:pPr>
    </w:p>
    <w:p>
      <w:pPr>
        <w:spacing w:line="360" w:lineRule="auto"/>
        <w:rPr>
          <w:rFonts w:ascii="仿宋" w:hAnsi="仿宋" w:eastAsia="仿宋" w:cs="宋体"/>
          <w:color w:val="auto"/>
          <w:sz w:val="24"/>
          <w:highlight w:val="none"/>
        </w:rPr>
      </w:pPr>
      <w:r>
        <w:rPr>
          <w:rFonts w:ascii="仿宋" w:hAnsi="仿宋" w:eastAsia="仿宋" w:cs="宋体"/>
          <w:color w:val="auto"/>
          <w:sz w:val="24"/>
          <w:highlight w:val="none"/>
        </w:rPr>
        <w:br w:type="page"/>
      </w:r>
    </w:p>
    <w:p>
      <w:pPr>
        <w:spacing w:after="0" w:line="360" w:lineRule="auto"/>
        <w:jc w:val="both"/>
        <w:outlineLvl w:val="1"/>
        <w:rPr>
          <w:rFonts w:hint="default"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rPr>
        <w:t>格式</w:t>
      </w:r>
      <w:r>
        <w:rPr>
          <w:rFonts w:hint="eastAsia" w:ascii="仿宋" w:hAnsi="仿宋" w:eastAsia="仿宋"/>
          <w:b/>
          <w:color w:val="auto"/>
          <w:sz w:val="32"/>
          <w:szCs w:val="32"/>
          <w:highlight w:val="none"/>
          <w:lang w:val="en-US" w:eastAsia="zh-CN"/>
        </w:rPr>
        <w:t>1-6</w:t>
      </w:r>
    </w:p>
    <w:p>
      <w:pPr>
        <w:spacing w:after="0" w:line="360" w:lineRule="auto"/>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五</w:t>
      </w:r>
      <w:r>
        <w:rPr>
          <w:rFonts w:hint="eastAsia" w:ascii="仿宋" w:hAnsi="仿宋" w:eastAsia="仿宋"/>
          <w:b/>
          <w:color w:val="auto"/>
          <w:sz w:val="32"/>
          <w:szCs w:val="32"/>
          <w:highlight w:val="none"/>
        </w:rPr>
        <w:t>、残疾人福利性单位声明函</w:t>
      </w:r>
    </w:p>
    <w:p>
      <w:pPr>
        <w:spacing w:line="588" w:lineRule="exact"/>
        <w:rPr>
          <w:rFonts w:ascii="仿宋" w:hAnsi="仿宋" w:eastAsia="仿宋" w:cs="宋体"/>
          <w:b/>
          <w:color w:val="auto"/>
          <w:spacing w:val="6"/>
          <w:sz w:val="24"/>
          <w:highlight w:val="none"/>
        </w:rPr>
      </w:pP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本单位郑重声明，根据《财政部</w:t>
      </w:r>
      <w:r>
        <w:rPr>
          <w:rFonts w:ascii="仿宋" w:hAnsi="仿宋" w:eastAsia="仿宋" w:cs="宋体"/>
          <w:color w:val="auto"/>
          <w:spacing w:val="6"/>
          <w:sz w:val="24"/>
          <w:highlight w:val="none"/>
        </w:rPr>
        <w:t xml:space="preserve"> </w:t>
      </w:r>
      <w:r>
        <w:rPr>
          <w:rFonts w:hint="eastAsia" w:ascii="仿宋" w:hAnsi="仿宋" w:eastAsia="仿宋" w:cs="宋体"/>
          <w:color w:val="auto"/>
          <w:spacing w:val="6"/>
          <w:sz w:val="24"/>
          <w:highlight w:val="none"/>
        </w:rPr>
        <w:t>民政部</w:t>
      </w:r>
      <w:r>
        <w:rPr>
          <w:rFonts w:ascii="仿宋" w:hAnsi="仿宋" w:eastAsia="仿宋" w:cs="宋体"/>
          <w:color w:val="auto"/>
          <w:spacing w:val="6"/>
          <w:sz w:val="24"/>
          <w:highlight w:val="none"/>
        </w:rPr>
        <w:t xml:space="preserve"> </w:t>
      </w:r>
      <w:r>
        <w:rPr>
          <w:rFonts w:hint="eastAsia" w:ascii="仿宋" w:hAnsi="仿宋" w:eastAsia="仿宋" w:cs="宋体"/>
          <w:color w:val="auto"/>
          <w:spacing w:val="6"/>
          <w:sz w:val="24"/>
          <w:highlight w:val="none"/>
        </w:rPr>
        <w:t>中国残疾人联合会关于促进残疾人就业政府采购政策的通知》（财库</w:t>
      </w:r>
      <w:r>
        <w:rPr>
          <w:rFonts w:hint="eastAsia" w:ascii="仿宋" w:hAnsi="仿宋" w:eastAsia="仿宋" w:cs="宋体"/>
          <w:color w:val="auto"/>
          <w:sz w:val="24"/>
          <w:highlight w:val="none"/>
        </w:rPr>
        <w:t>〔</w:t>
      </w:r>
      <w:r>
        <w:rPr>
          <w:rFonts w:ascii="仿宋" w:hAnsi="仿宋" w:eastAsia="仿宋" w:cs="宋体"/>
          <w:color w:val="auto"/>
          <w:sz w:val="24"/>
          <w:highlight w:val="none"/>
        </w:rPr>
        <w:t>2017〕 141</w:t>
      </w:r>
      <w:r>
        <w:rPr>
          <w:rFonts w:hint="eastAsia" w:ascii="仿宋" w:hAnsi="仿宋" w:eastAsia="仿宋" w:cs="宋体"/>
          <w:color w:val="auto"/>
          <w:spacing w:val="6"/>
          <w:sz w:val="24"/>
          <w:highlight w:val="none"/>
        </w:rPr>
        <w:t>号）的规定，本单位为符合条件的残疾人福利性单位，且本单位参加</w:t>
      </w:r>
      <w:r>
        <w:rPr>
          <w:rFonts w:ascii="仿宋" w:hAnsi="仿宋" w:eastAsia="仿宋" w:cs="宋体"/>
          <w:color w:val="auto"/>
          <w:spacing w:val="6"/>
          <w:sz w:val="24"/>
          <w:highlight w:val="none"/>
        </w:rPr>
        <w:t>_</w:t>
      </w:r>
      <w:r>
        <w:rPr>
          <w:rFonts w:ascii="仿宋" w:hAnsi="仿宋" w:eastAsia="仿宋"/>
          <w:color w:val="auto"/>
          <w:sz w:val="24"/>
          <w:highlight w:val="none"/>
          <w:u w:val="single"/>
        </w:rPr>
        <w:t>XXXX</w:t>
      </w:r>
      <w:r>
        <w:rPr>
          <w:rFonts w:ascii="仿宋" w:hAnsi="仿宋" w:eastAsia="仿宋" w:cs="宋体"/>
          <w:color w:val="auto"/>
          <w:spacing w:val="6"/>
          <w:sz w:val="24"/>
          <w:highlight w:val="none"/>
        </w:rPr>
        <w:t>_单位的</w:t>
      </w:r>
      <w:r>
        <w:rPr>
          <w:rFonts w:ascii="仿宋" w:hAnsi="仿宋" w:eastAsia="仿宋"/>
          <w:color w:val="auto"/>
          <w:sz w:val="24"/>
          <w:highlight w:val="none"/>
          <w:u w:val="single"/>
        </w:rPr>
        <w:t>XXXX</w:t>
      </w:r>
      <w:r>
        <w:rPr>
          <w:rFonts w:ascii="仿宋" w:hAnsi="仿宋" w:eastAsia="仿宋" w:cs="宋体"/>
          <w:color w:val="auto"/>
          <w:spacing w:val="6"/>
          <w:sz w:val="24"/>
          <w:highlight w:val="none"/>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本单位对上述声明的真实性负责。如有虚假，将依法承担相应责任。</w:t>
      </w:r>
    </w:p>
    <w:p>
      <w:pPr>
        <w:spacing w:line="588" w:lineRule="exact"/>
        <w:rPr>
          <w:rFonts w:ascii="仿宋" w:hAnsi="仿宋" w:eastAsia="仿宋" w:cs="宋体"/>
          <w:color w:val="auto"/>
          <w:spacing w:val="6"/>
          <w:sz w:val="24"/>
          <w:highlight w:val="none"/>
        </w:rPr>
      </w:pPr>
    </w:p>
    <w:p>
      <w:pPr>
        <w:spacing w:line="588" w:lineRule="exact"/>
        <w:rPr>
          <w:rFonts w:ascii="仿宋" w:hAnsi="仿宋" w:eastAsia="仿宋" w:cs="宋体"/>
          <w:color w:val="auto"/>
          <w:spacing w:val="6"/>
          <w:sz w:val="24"/>
          <w:highlight w:val="none"/>
        </w:rPr>
      </w:pPr>
    </w:p>
    <w:p>
      <w:pPr>
        <w:tabs>
          <w:tab w:val="left" w:pos="4860"/>
        </w:tabs>
        <w:spacing w:line="588" w:lineRule="exact"/>
        <w:ind w:right="156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单位名称（盖章）：</w:t>
      </w:r>
    </w:p>
    <w:p>
      <w:pPr>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日</w:t>
      </w:r>
      <w:r>
        <w:rPr>
          <w:rFonts w:ascii="仿宋" w:hAnsi="仿宋" w:eastAsia="仿宋" w:cs="宋体"/>
          <w:color w:val="auto"/>
          <w:spacing w:val="6"/>
          <w:sz w:val="24"/>
          <w:highlight w:val="none"/>
        </w:rPr>
        <w:t xml:space="preserve">  </w:t>
      </w:r>
      <w:r>
        <w:rPr>
          <w:rFonts w:hint="eastAsia" w:ascii="仿宋" w:hAnsi="仿宋" w:eastAsia="仿宋" w:cs="宋体"/>
          <w:color w:val="auto"/>
          <w:spacing w:val="6"/>
          <w:sz w:val="24"/>
          <w:highlight w:val="none"/>
        </w:rPr>
        <w:t>期：</w:t>
      </w: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numPr>
          <w:ilvl w:val="0"/>
          <w:numId w:val="4"/>
        </w:num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残疾人福利性单位视同小型、微型企业，享受预留份额、评审中价格扣除等促进中小企业发展的政府采购政策。残疾人福利性单位属于小型、微型企业的，不重复享受政策。</w:t>
      </w:r>
    </w:p>
    <w:p>
      <w:pPr>
        <w:spacing w:after="0" w:line="36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rPr>
        <w:t>投标人为非残疾人福利性单位的，可不提供此声明。</w:t>
      </w:r>
    </w:p>
    <w:p>
      <w:pPr>
        <w:spacing w:after="0" w:line="24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rPr>
        <w:br w:type="page"/>
      </w:r>
    </w:p>
    <w:p>
      <w:pPr>
        <w:spacing w:after="0" w:line="360" w:lineRule="auto"/>
        <w:jc w:val="left"/>
        <w:outlineLvl w:val="1"/>
        <w:rPr>
          <w:rFonts w:hint="default"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rPr>
        <w:t>格式</w:t>
      </w:r>
      <w:r>
        <w:rPr>
          <w:rFonts w:hint="eastAsia" w:ascii="仿宋" w:hAnsi="仿宋" w:eastAsia="仿宋"/>
          <w:b/>
          <w:color w:val="auto"/>
          <w:sz w:val="32"/>
          <w:szCs w:val="32"/>
          <w:highlight w:val="none"/>
          <w:lang w:val="en-US" w:eastAsia="zh-CN"/>
        </w:rPr>
        <w:t>1-7</w:t>
      </w:r>
    </w:p>
    <w:p>
      <w:pPr>
        <w:widowControl/>
        <w:spacing w:line="360" w:lineRule="atLeast"/>
        <w:jc w:val="center"/>
        <w:outlineLvl w:val="1"/>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六</w:t>
      </w:r>
      <w:r>
        <w:rPr>
          <w:rFonts w:hint="eastAsia" w:ascii="仿宋" w:hAnsi="仿宋" w:eastAsia="仿宋" w:cs="仿宋"/>
          <w:b/>
          <w:color w:val="auto"/>
          <w:sz w:val="32"/>
          <w:szCs w:val="32"/>
          <w:highlight w:val="none"/>
        </w:rPr>
        <w:t>、监狱企业</w:t>
      </w:r>
    </w:p>
    <w:p>
      <w:pPr>
        <w:spacing w:after="0" w:line="360" w:lineRule="auto"/>
        <w:ind w:firstLine="480" w:firstLineChars="200"/>
        <w:jc w:val="left"/>
        <w:rPr>
          <w:rFonts w:hint="eastAsia"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根据</w:t>
      </w:r>
      <w:r>
        <w:rPr>
          <w:rFonts w:hint="eastAsia" w:ascii="仿宋" w:hAnsi="仿宋" w:eastAsia="仿宋" w:cs="仿宋"/>
          <w:color w:val="auto"/>
          <w:sz w:val="24"/>
          <w:highlight w:val="none"/>
        </w:rPr>
        <w:t>《政府采购支持监狱企业发展有关问题的通知》</w:t>
      </w:r>
      <w:r>
        <w:rPr>
          <w:rFonts w:hint="eastAsia" w:ascii="仿宋" w:hAnsi="仿宋" w:eastAsia="仿宋"/>
          <w:color w:val="auto"/>
          <w:sz w:val="24"/>
          <w:highlight w:val="none"/>
        </w:rPr>
        <w:t>（财库〔</w:t>
      </w:r>
      <w:r>
        <w:rPr>
          <w:rFonts w:ascii="仿宋" w:hAnsi="仿宋" w:eastAsia="仿宋"/>
          <w:color w:val="auto"/>
          <w:sz w:val="24"/>
          <w:highlight w:val="none"/>
        </w:rPr>
        <w:t>2014〕68号）的规定</w:t>
      </w:r>
      <w:r>
        <w:rPr>
          <w:rFonts w:hint="eastAsia" w:ascii="仿宋" w:hAnsi="仿宋" w:eastAsia="仿宋"/>
          <w:color w:val="auto"/>
          <w:sz w:val="24"/>
          <w:highlight w:val="none"/>
        </w:rPr>
        <w:t>监狱企业参加采购活动的，应</w:t>
      </w:r>
      <w:r>
        <w:rPr>
          <w:rFonts w:hint="eastAsia" w:ascii="仿宋" w:hAnsi="仿宋" w:eastAsia="仿宋" w:cs="宋体"/>
          <w:color w:val="auto"/>
          <w:sz w:val="24"/>
          <w:highlight w:val="none"/>
        </w:rPr>
        <w:t>提供由省级以上监狱管理局、戒毒管理局</w:t>
      </w:r>
      <w:r>
        <w:rPr>
          <w:rFonts w:ascii="仿宋" w:hAnsi="仿宋" w:eastAsia="仿宋" w:cs="宋体"/>
          <w:color w:val="auto"/>
          <w:sz w:val="24"/>
          <w:highlight w:val="none"/>
        </w:rPr>
        <w:t>(含新疆生产建设兵团)出具的属于监狱企业的证明文件。</w:t>
      </w:r>
    </w:p>
    <w:p>
      <w:pPr>
        <w:spacing w:after="0" w:line="360" w:lineRule="auto"/>
        <w:jc w:val="left"/>
        <w:rPr>
          <w:rFonts w:hint="eastAsia" w:ascii="仿宋" w:hAnsi="仿宋" w:eastAsia="仿宋" w:cs="宋体"/>
          <w:color w:val="auto"/>
          <w:sz w:val="24"/>
          <w:highlight w:val="none"/>
        </w:rPr>
      </w:pPr>
    </w:p>
    <w:p>
      <w:p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after="0" w:line="360" w:lineRule="auto"/>
        <w:rPr>
          <w:rFonts w:ascii="仿宋" w:hAnsi="仿宋" w:eastAsia="仿宋" w:cs="宋体"/>
          <w:color w:val="auto"/>
          <w:sz w:val="24"/>
          <w:highlight w:val="none"/>
        </w:rPr>
      </w:pPr>
      <w:r>
        <w:rPr>
          <w:rFonts w:ascii="仿宋" w:hAnsi="仿宋" w:eastAsia="仿宋" w:cs="宋体"/>
          <w:color w:val="auto"/>
          <w:sz w:val="24"/>
          <w:highlight w:val="none"/>
        </w:rPr>
        <w:t>1、投标人符合《政府采购支持监狱企业发展有关问题的通知》（财库〔2014〕68号）规定的划分标准为监狱企业</w:t>
      </w:r>
      <w:r>
        <w:rPr>
          <w:rFonts w:hint="eastAsia" w:ascii="仿宋" w:hAnsi="仿宋" w:eastAsia="仿宋" w:cs="宋体"/>
          <w:color w:val="auto"/>
          <w:sz w:val="24"/>
          <w:highlight w:val="none"/>
          <w:lang w:val="en-US" w:eastAsia="zh-CN"/>
        </w:rPr>
        <w:t>的</w:t>
      </w:r>
      <w:r>
        <w:rPr>
          <w:rFonts w:ascii="仿宋" w:hAnsi="仿宋" w:eastAsia="仿宋" w:cs="宋体"/>
          <w:color w:val="auto"/>
          <w:sz w:val="24"/>
          <w:highlight w:val="none"/>
        </w:rPr>
        <w:t>适用。</w:t>
      </w:r>
    </w:p>
    <w:p>
      <w:pPr>
        <w:numPr>
          <w:ilvl w:val="-1"/>
          <w:numId w:val="0"/>
        </w:numPr>
        <w:spacing w:line="300" w:lineRule="exact"/>
        <w:rPr>
          <w:rFonts w:ascii="仿宋" w:hAnsi="仿宋" w:eastAsia="仿宋" w:cs="宋体"/>
          <w:color w:val="auto"/>
          <w:sz w:val="24"/>
          <w:highlight w:val="none"/>
        </w:rPr>
      </w:pPr>
      <w:r>
        <w:rPr>
          <w:rFonts w:ascii="仿宋" w:hAnsi="仿宋" w:eastAsia="仿宋" w:cs="宋体"/>
          <w:color w:val="auto"/>
          <w:sz w:val="24"/>
          <w:highlight w:val="none"/>
        </w:rPr>
        <w:t>2、在政府采购活动中，监狱企业视同小型、微型企业，享受预留份额、评审中</w:t>
      </w:r>
      <w:r>
        <w:rPr>
          <w:rFonts w:hint="eastAsia" w:ascii="仿宋" w:hAnsi="仿宋" w:eastAsia="仿宋" w:cs="宋体"/>
          <w:color w:val="auto"/>
          <w:sz w:val="24"/>
          <w:highlight w:val="none"/>
        </w:rPr>
        <w:t>价格扣除等政府采购促进中小企业发展的政府采购政策。</w:t>
      </w:r>
    </w:p>
    <w:p>
      <w:pPr>
        <w:pStyle w:val="12"/>
        <w:rPr>
          <w:color w:val="auto"/>
          <w:highlight w:val="none"/>
        </w:rPr>
      </w:pPr>
    </w:p>
    <w:p>
      <w:pPr>
        <w:tabs>
          <w:tab w:val="left" w:pos="900"/>
        </w:tabs>
        <w:spacing w:line="360" w:lineRule="auto"/>
        <w:jc w:val="center"/>
        <w:rPr>
          <w:rFonts w:ascii="仿宋" w:hAnsi="仿宋" w:eastAsia="仿宋"/>
          <w:b/>
          <w:color w:val="auto"/>
          <w:sz w:val="32"/>
          <w:highlight w:val="none"/>
        </w:rPr>
      </w:pPr>
      <w:r>
        <w:rPr>
          <w:rFonts w:ascii="仿宋" w:hAnsi="仿宋" w:eastAsia="仿宋"/>
          <w:b/>
          <w:color w:val="auto"/>
          <w:sz w:val="32"/>
          <w:szCs w:val="32"/>
          <w:highlight w:val="none"/>
        </w:rPr>
        <w:br w:type="page"/>
      </w:r>
      <w:r>
        <w:rPr>
          <w:rFonts w:ascii="仿宋" w:hAnsi="仿宋" w:eastAsia="仿宋"/>
          <w:b/>
          <w:color w:val="auto"/>
          <w:sz w:val="32"/>
          <w:highlight w:val="none"/>
        </w:rPr>
        <w:t>第</w:t>
      </w:r>
      <w:r>
        <w:rPr>
          <w:rFonts w:hint="eastAsia" w:ascii="仿宋" w:hAnsi="仿宋" w:eastAsia="仿宋"/>
          <w:b/>
          <w:color w:val="auto"/>
          <w:sz w:val="32"/>
          <w:highlight w:val="none"/>
        </w:rPr>
        <w:t>二</w:t>
      </w:r>
      <w:r>
        <w:rPr>
          <w:rFonts w:ascii="仿宋" w:hAnsi="仿宋" w:eastAsia="仿宋"/>
          <w:b/>
          <w:color w:val="auto"/>
          <w:sz w:val="32"/>
          <w:highlight w:val="none"/>
        </w:rPr>
        <w:t xml:space="preserve">部分     </w:t>
      </w:r>
      <w:r>
        <w:rPr>
          <w:rFonts w:hint="eastAsia" w:ascii="仿宋" w:hAnsi="仿宋" w:eastAsia="仿宋"/>
          <w:b/>
          <w:color w:val="auto"/>
          <w:sz w:val="32"/>
          <w:highlight w:val="none"/>
        </w:rPr>
        <w:t>“其他响应性投标</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格式2-1</w:t>
      </w:r>
    </w:p>
    <w:p>
      <w:pPr>
        <w:spacing w:after="0" w:line="360" w:lineRule="auto"/>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其他响应性投标文件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投</w:t>
      </w:r>
      <w:r>
        <w:rPr>
          <w:rFonts w:ascii="仿宋" w:hAnsi="仿宋" w:eastAsia="仿宋"/>
          <w:b/>
          <w:color w:val="auto"/>
          <w:sz w:val="32"/>
          <w:highlight w:val="none"/>
        </w:rPr>
        <w:t xml:space="preserve"> </w:t>
      </w:r>
      <w:r>
        <w:rPr>
          <w:rFonts w:hint="eastAsia" w:ascii="仿宋" w:hAnsi="仿宋" w:eastAsia="仿宋"/>
          <w:b/>
          <w:color w:val="auto"/>
          <w:sz w:val="32"/>
          <w:highlight w:val="none"/>
        </w:rPr>
        <w:t>标</w:t>
      </w:r>
      <w:r>
        <w:rPr>
          <w:rFonts w:ascii="仿宋" w:hAnsi="仿宋" w:eastAsia="仿宋"/>
          <w:b/>
          <w:color w:val="auto"/>
          <w:sz w:val="32"/>
          <w:highlight w:val="none"/>
        </w:rPr>
        <w:t xml:space="preserve"> </w:t>
      </w:r>
      <w:r>
        <w:rPr>
          <w:rFonts w:hint="eastAsia" w:ascii="仿宋" w:hAnsi="仿宋" w:eastAsia="仿宋"/>
          <w:b/>
          <w:color w:val="auto"/>
          <w:sz w:val="32"/>
          <w:highlight w:val="none"/>
        </w:rPr>
        <w:t>人</w:t>
      </w:r>
      <w:r>
        <w:rPr>
          <w:rFonts w:ascii="仿宋" w:hAnsi="仿宋" w:eastAsia="仿宋"/>
          <w:b/>
          <w:color w:val="auto"/>
          <w:sz w:val="32"/>
          <w:highlight w:val="none"/>
        </w:rPr>
        <w:t>名称</w:t>
      </w:r>
      <w:r>
        <w:rPr>
          <w:rFonts w:hint="eastAsia" w:ascii="仿宋" w:hAnsi="仿宋" w:eastAsia="仿宋"/>
          <w:b/>
          <w:color w:val="auto"/>
          <w:sz w:val="32"/>
          <w:highlight w:val="none"/>
          <w:lang w:eastAsia="zh-CN"/>
        </w:rPr>
        <w:t>（</w:t>
      </w:r>
      <w:r>
        <w:rPr>
          <w:rFonts w:hint="eastAsia" w:ascii="仿宋" w:hAnsi="仿宋" w:eastAsia="仿宋"/>
          <w:b/>
          <w:color w:val="auto"/>
          <w:sz w:val="32"/>
          <w:highlight w:val="none"/>
          <w:lang w:val="en-US" w:eastAsia="zh-CN"/>
        </w:rPr>
        <w:t>电子印章</w:t>
      </w:r>
      <w:r>
        <w:rPr>
          <w:rFonts w:hint="eastAsia" w:ascii="仿宋" w:hAnsi="仿宋" w:eastAsia="仿宋"/>
          <w:b/>
          <w:color w:val="auto"/>
          <w:sz w:val="32"/>
          <w:highlight w:val="none"/>
          <w:lang w:eastAsia="zh-CN"/>
        </w:rPr>
        <w:t>）</w:t>
      </w:r>
      <w:r>
        <w:rPr>
          <w:rFonts w:ascii="仿宋" w:hAnsi="仿宋" w:eastAsia="仿宋"/>
          <w:b/>
          <w:color w:val="auto"/>
          <w:sz w:val="32"/>
          <w:highlight w:val="none"/>
        </w:rPr>
        <w:t>：</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w:t>
      </w:r>
      <w:r>
        <w:rPr>
          <w:rFonts w:ascii="仿宋" w:hAnsi="仿宋" w:eastAsia="仿宋"/>
          <w:b/>
          <w:color w:val="auto"/>
          <w:sz w:val="32"/>
          <w:highlight w:val="none"/>
        </w:rPr>
        <w:t xml:space="preserve">        </w:t>
      </w:r>
      <w:r>
        <w:rPr>
          <w:rFonts w:hint="eastAsia" w:ascii="仿宋" w:hAnsi="仿宋" w:eastAsia="仿宋"/>
          <w:b/>
          <w:color w:val="auto"/>
          <w:sz w:val="32"/>
          <w:highlight w:val="none"/>
        </w:rPr>
        <w:t>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center"/>
        <w:rPr>
          <w:rFonts w:ascii="仿宋" w:hAnsi="仿宋" w:eastAsia="仿宋"/>
          <w:b/>
          <w:color w:val="auto"/>
          <w:sz w:val="32"/>
          <w:highlight w:val="none"/>
        </w:rPr>
      </w:pPr>
      <w:r>
        <w:rPr>
          <w:rFonts w:hint="eastAsia" w:ascii="仿宋" w:hAnsi="仿宋" w:eastAsia="仿宋"/>
          <w:b/>
          <w:color w:val="auto"/>
          <w:sz w:val="32"/>
          <w:highlight w:val="none"/>
        </w:rPr>
        <w:t>投标时间</w:t>
      </w:r>
      <w:r>
        <w:rPr>
          <w:rFonts w:ascii="仿宋" w:hAnsi="仿宋" w:eastAsia="仿宋"/>
          <w:b/>
          <w:color w:val="auto"/>
          <w:sz w:val="32"/>
          <w:highlight w:val="none"/>
        </w:rPr>
        <w:t>：</w:t>
      </w:r>
      <w:r>
        <w:rPr>
          <w:rFonts w:hint="eastAsia" w:ascii="仿宋" w:hAnsi="仿宋" w:eastAsia="仿宋"/>
          <w:b/>
          <w:color w:val="auto"/>
          <w:sz w:val="32"/>
          <w:highlight w:val="none"/>
        </w:rPr>
        <w:t xml:space="preserve"> </w:t>
      </w:r>
      <w:r>
        <w:rPr>
          <w:rFonts w:ascii="仿宋" w:hAnsi="仿宋" w:eastAsia="仿宋"/>
          <w:b/>
          <w:color w:val="auto"/>
          <w:sz w:val="32"/>
          <w:highlight w:val="none"/>
        </w:rPr>
        <w:t>年</w:t>
      </w:r>
      <w:r>
        <w:rPr>
          <w:rFonts w:hint="eastAsia" w:ascii="仿宋" w:hAnsi="仿宋" w:eastAsia="仿宋"/>
          <w:b/>
          <w:color w:val="auto"/>
          <w:sz w:val="32"/>
          <w:highlight w:val="none"/>
        </w:rPr>
        <w:t xml:space="preserve"> </w:t>
      </w:r>
      <w:r>
        <w:rPr>
          <w:rFonts w:ascii="仿宋" w:hAnsi="仿宋" w:eastAsia="仿宋"/>
          <w:b/>
          <w:color w:val="auto"/>
          <w:sz w:val="32"/>
          <w:highlight w:val="none"/>
        </w:rPr>
        <w:t>月</w:t>
      </w:r>
      <w:r>
        <w:rPr>
          <w:rFonts w:hint="eastAsia" w:ascii="仿宋" w:hAnsi="仿宋" w:eastAsia="仿宋"/>
          <w:b/>
          <w:color w:val="auto"/>
          <w:sz w:val="32"/>
          <w:highlight w:val="none"/>
        </w:rPr>
        <w:t xml:space="preserve"> </w:t>
      </w:r>
      <w:r>
        <w:rPr>
          <w:rFonts w:ascii="仿宋" w:hAnsi="仿宋" w:eastAsia="仿宋"/>
          <w:b/>
          <w:color w:val="auto"/>
          <w:sz w:val="32"/>
          <w:highlight w:val="none"/>
        </w:rPr>
        <w:t>日</w:t>
      </w:r>
    </w:p>
    <w:p>
      <w:pPr>
        <w:widowControl/>
        <w:spacing w:after="0" w:line="240" w:lineRule="auto"/>
        <w:jc w:val="left"/>
        <w:rPr>
          <w:rFonts w:ascii="仿宋" w:hAnsi="仿宋" w:eastAsia="仿宋"/>
          <w:b/>
          <w:color w:val="auto"/>
          <w:sz w:val="32"/>
          <w:highlight w:val="none"/>
        </w:rPr>
      </w:pPr>
      <w:r>
        <w:rPr>
          <w:rFonts w:ascii="仿宋" w:hAnsi="仿宋" w:eastAsia="仿宋"/>
          <w:b/>
          <w:color w:val="auto"/>
          <w:sz w:val="32"/>
          <w:highlight w:val="none"/>
        </w:rPr>
        <w:br w:type="page"/>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格式2-2</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一、投标函</w:t>
      </w:r>
      <w:bookmarkEnd w:id="132"/>
      <w:bookmarkEnd w:id="133"/>
    </w:p>
    <w:p>
      <w:pPr>
        <w:widowControl/>
        <w:spacing w:line="360" w:lineRule="atLeast"/>
        <w:jc w:val="center"/>
        <w:rPr>
          <w:rFonts w:ascii="仿宋" w:hAnsi="仿宋" w:eastAsia="仿宋"/>
          <w:b/>
          <w:color w:val="auto"/>
          <w:sz w:val="24"/>
          <w:highlight w:val="none"/>
        </w:rPr>
      </w:pPr>
    </w:p>
    <w:p>
      <w:pPr>
        <w:widowControl/>
        <w:spacing w:line="360" w:lineRule="auto"/>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我方全面研究了“</w:t>
      </w:r>
      <w:r>
        <w:rPr>
          <w:rFonts w:ascii="仿宋" w:hAnsi="仿宋" w:eastAsia="仿宋"/>
          <w:color w:val="auto"/>
          <w:sz w:val="24"/>
          <w:highlight w:val="none"/>
          <w:u w:val="single"/>
        </w:rPr>
        <w:t>XXXXXXXX</w:t>
      </w:r>
      <w:r>
        <w:rPr>
          <w:rFonts w:hint="eastAsia" w:ascii="仿宋" w:hAnsi="仿宋" w:eastAsia="仿宋"/>
          <w:color w:val="auto"/>
          <w:sz w:val="24"/>
          <w:highlight w:val="none"/>
        </w:rPr>
        <w:t>”项目（招标编号：</w:t>
      </w:r>
      <w:r>
        <w:rPr>
          <w:rFonts w:ascii="仿宋" w:hAnsi="仿宋" w:eastAsia="仿宋"/>
          <w:color w:val="auto"/>
          <w:sz w:val="24"/>
          <w:highlight w:val="none"/>
          <w:u w:val="single"/>
        </w:rPr>
        <w:t>XXXX</w:t>
      </w:r>
      <w:r>
        <w:rPr>
          <w:rFonts w:hint="eastAsia" w:ascii="仿宋" w:hAnsi="仿宋" w:eastAsia="仿宋"/>
          <w:color w:val="auto"/>
          <w:sz w:val="24"/>
          <w:highlight w:val="none"/>
        </w:rPr>
        <w:t>）招标文件，决定参加贵单位组织的本项目投标。</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一、我方自愿按照招标文件规定的各项要求向采购人提供所需服务。</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二、一旦我方中标，我方将严格履行政府采购合同规定的责任和义务。</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三</w:t>
      </w:r>
      <w:r>
        <w:rPr>
          <w:rFonts w:hint="eastAsia" w:ascii="仿宋" w:hAnsi="仿宋" w:eastAsia="仿宋"/>
          <w:color w:val="auto"/>
          <w:sz w:val="24"/>
          <w:highlight w:val="none"/>
        </w:rPr>
        <w:t>、我方同意本次招标的投标有效期为投标截止时间届满后</w:t>
      </w:r>
      <w:r>
        <w:rPr>
          <w:rFonts w:ascii="仿宋" w:hAnsi="仿宋" w:eastAsia="仿宋"/>
          <w:color w:val="auto"/>
          <w:sz w:val="24"/>
          <w:highlight w:val="none"/>
          <w:u w:val="single"/>
        </w:rPr>
        <w:t>XXXX</w:t>
      </w:r>
      <w:r>
        <w:rPr>
          <w:rFonts w:hint="eastAsia" w:ascii="仿宋" w:hAnsi="仿宋" w:eastAsia="仿宋"/>
          <w:color w:val="auto"/>
          <w:sz w:val="24"/>
          <w:highlight w:val="none"/>
        </w:rPr>
        <w:t>天，并同意招标文件中其他关于投标有效期的实质性要求。</w:t>
      </w:r>
    </w:p>
    <w:p>
      <w:pPr>
        <w:widowControl/>
        <w:spacing w:line="360" w:lineRule="auto"/>
        <w:ind w:firstLine="470" w:firstLineChars="196"/>
        <w:jc w:val="left"/>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四</w:t>
      </w:r>
      <w:r>
        <w:rPr>
          <w:rFonts w:hint="eastAsia" w:ascii="仿宋" w:hAnsi="仿宋" w:eastAsia="仿宋"/>
          <w:color w:val="auto"/>
          <w:sz w:val="24"/>
          <w:highlight w:val="none"/>
        </w:rPr>
        <w:t>、我方愿意提供贵单位可能另外要求的，与投标有关的文件资料，并保证我方已提供和将要提供的文件资料是真实、准确的。</w:t>
      </w:r>
    </w:p>
    <w:p>
      <w:pPr>
        <w:pStyle w:val="2"/>
        <w:rPr>
          <w:color w:val="auto"/>
          <w:highlight w:val="none"/>
        </w:rPr>
      </w:pP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通讯地址：XXXX。</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邮政编码：XXXX。</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联系电话：XXXX。</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传</w:t>
      </w:r>
      <w:r>
        <w:rPr>
          <w:rFonts w:ascii="仿宋" w:hAnsi="仿宋" w:eastAsia="仿宋"/>
          <w:color w:val="auto"/>
          <w:sz w:val="24"/>
          <w:highlight w:val="none"/>
        </w:rPr>
        <w:t xml:space="preserve">    </w:t>
      </w:r>
      <w:r>
        <w:rPr>
          <w:rFonts w:hint="eastAsia" w:ascii="仿宋" w:hAnsi="仿宋" w:eastAsia="仿宋"/>
          <w:color w:val="auto"/>
          <w:sz w:val="24"/>
          <w:highlight w:val="none"/>
        </w:rPr>
        <w:t>真：XXXX。</w:t>
      </w:r>
    </w:p>
    <w:p>
      <w:pPr>
        <w:widowControl/>
        <w:spacing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w:t>
      </w:r>
      <w:r>
        <w:rPr>
          <w:rFonts w:ascii="仿宋" w:hAnsi="仿宋" w:eastAsia="仿宋"/>
          <w:color w:val="auto"/>
          <w:sz w:val="24"/>
          <w:highlight w:val="none"/>
        </w:rPr>
        <w:t xml:space="preserve">    </w:t>
      </w:r>
      <w:r>
        <w:rPr>
          <w:rFonts w:hint="eastAsia" w:ascii="仿宋" w:hAnsi="仿宋" w:eastAsia="仿宋"/>
          <w:color w:val="auto"/>
          <w:sz w:val="24"/>
          <w:highlight w:val="none"/>
        </w:rPr>
        <w:t>期：XXXX年XXXX月XXXX日。</w:t>
      </w:r>
    </w:p>
    <w:p>
      <w:pPr>
        <w:spacing w:after="0" w:line="360" w:lineRule="auto"/>
        <w:rPr>
          <w:rFonts w:ascii="仿宋" w:hAnsi="仿宋" w:eastAsia="仿宋"/>
          <w:b/>
          <w:color w:val="auto"/>
          <w:sz w:val="32"/>
          <w:szCs w:val="32"/>
          <w:highlight w:val="none"/>
        </w:rPr>
      </w:pPr>
      <w:bookmarkStart w:id="136" w:name="_Toc308164824"/>
      <w:r>
        <w:rPr>
          <w:rFonts w:ascii="仿宋" w:hAnsi="仿宋" w:eastAsia="仿宋"/>
          <w:b/>
          <w:color w:val="auto"/>
          <w:sz w:val="32"/>
          <w:szCs w:val="32"/>
          <w:highlight w:val="none"/>
        </w:rPr>
        <w:br w:type="page"/>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格式2-3</w:t>
      </w:r>
    </w:p>
    <w:p>
      <w:pPr>
        <w:widowControl/>
        <w:spacing w:after="0" w:line="240" w:lineRule="auto"/>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二、承诺函</w:t>
      </w:r>
    </w:p>
    <w:p>
      <w:pPr>
        <w:widowControl/>
        <w:spacing w:after="0" w:line="240" w:lineRule="auto"/>
        <w:jc w:val="center"/>
        <w:rPr>
          <w:rFonts w:ascii="仿宋" w:hAnsi="仿宋" w:eastAsia="仿宋"/>
          <w:b/>
          <w:color w:val="auto"/>
          <w:sz w:val="24"/>
          <w:highlight w:val="none"/>
        </w:rPr>
      </w:pPr>
    </w:p>
    <w:p>
      <w:pPr>
        <w:widowControl/>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我方作为本次采购项目的投标人，根据招标文件要求，现郑重承诺如下：</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一、我方已认真阅读并接受本项目招标文件第二章的全部实质性要求</w:t>
      </w:r>
      <w:r>
        <w:rPr>
          <w:rFonts w:ascii="仿宋" w:hAnsi="仿宋" w:eastAsia="仿宋"/>
          <w:color w:val="auto"/>
          <w:sz w:val="24"/>
          <w:highlight w:val="none"/>
        </w:rPr>
        <w:t>，如对招标文件有异议，</w:t>
      </w:r>
      <w:r>
        <w:rPr>
          <w:rFonts w:hint="eastAsia" w:ascii="仿宋" w:hAnsi="仿宋" w:eastAsia="仿宋"/>
          <w:color w:val="auto"/>
          <w:sz w:val="24"/>
          <w:highlight w:val="none"/>
        </w:rPr>
        <w:t>已</w:t>
      </w:r>
      <w:r>
        <w:rPr>
          <w:rFonts w:ascii="仿宋" w:hAnsi="仿宋" w:eastAsia="仿宋"/>
          <w:color w:val="auto"/>
          <w:sz w:val="24"/>
          <w:highlight w:val="none"/>
        </w:rPr>
        <w:t>依法进行维权救济，不存在对招标文件有异议的同时又参加投标以求侥幸中标或者为实现其他非法目的的行为。</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二、参加本次招标采购活动，不存在与单位负责人为同一人或者存在直接控股、管理关系的其他供应商参与同一合同项下的政府采购活动的行为。</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w:t>
      </w:r>
      <w:r>
        <w:rPr>
          <w:rFonts w:ascii="仿宋" w:hAnsi="仿宋" w:eastAsia="仿宋"/>
          <w:color w:val="auto"/>
          <w:sz w:val="24"/>
          <w:highlight w:val="none"/>
        </w:rPr>
        <w:t>、</w:t>
      </w:r>
      <w:r>
        <w:rPr>
          <w:rFonts w:hint="eastAsia" w:ascii="仿宋" w:hAnsi="仿宋" w:eastAsia="仿宋"/>
          <w:color w:val="auto"/>
          <w:sz w:val="24"/>
          <w:highlight w:val="none"/>
        </w:rPr>
        <w:t>为采购项目提供整体设计、规范编制或者项目管理、监理、检测等服务的供应商，不得再参加该采购项目的其他采购活动，我方</w:t>
      </w:r>
      <w:r>
        <w:rPr>
          <w:rFonts w:ascii="仿宋" w:hAnsi="仿宋" w:eastAsia="仿宋"/>
          <w:color w:val="auto"/>
          <w:sz w:val="24"/>
          <w:highlight w:val="none"/>
        </w:rPr>
        <w:t>承诺</w:t>
      </w:r>
      <w:r>
        <w:rPr>
          <w:rFonts w:hint="eastAsia" w:ascii="仿宋" w:hAnsi="仿宋" w:eastAsia="仿宋"/>
          <w:color w:val="auto"/>
          <w:sz w:val="24"/>
          <w:highlight w:val="none"/>
        </w:rPr>
        <w:t>不属于此类禁止参加本项目的供应商</w:t>
      </w:r>
      <w:r>
        <w:rPr>
          <w:rFonts w:ascii="仿宋" w:hAnsi="仿宋" w:eastAsia="仿宋"/>
          <w:color w:val="auto"/>
          <w:sz w:val="24"/>
          <w:highlight w:val="none"/>
        </w:rPr>
        <w:t>。</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四、参加本次招标采购活动，不存在和其他供应商在同一合同项下的采购项目中，同时委托同一个自然人、同一家庭的人员、同一单位的人员作为代理人的行为。</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五</w:t>
      </w:r>
      <w:r>
        <w:rPr>
          <w:rFonts w:hint="eastAsia" w:ascii="仿宋" w:hAnsi="仿宋" w:eastAsia="仿宋"/>
          <w:color w:val="auto"/>
          <w:sz w:val="24"/>
          <w:highlight w:val="none"/>
        </w:rPr>
        <w:t>、投标文件中提供的能够给予我方带来优惠、好处的任何材料资料和技术、服务、商务、响应产品等响应承诺情况都是真实的、有效的、合法的。</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六</w:t>
      </w:r>
      <w:r>
        <w:rPr>
          <w:rFonts w:hint="eastAsia" w:ascii="仿宋" w:hAnsi="仿宋" w:eastAsia="仿宋"/>
          <w:color w:val="auto"/>
          <w:sz w:val="24"/>
          <w:highlight w:val="none"/>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七</w:t>
      </w:r>
      <w:r>
        <w:rPr>
          <w:rFonts w:hint="eastAsia" w:ascii="仿宋" w:hAnsi="仿宋" w:eastAsia="仿宋"/>
          <w:color w:val="auto"/>
          <w:sz w:val="24"/>
          <w:highlight w:val="none"/>
        </w:rPr>
        <w:t>、国家或行业主管部门对采购产品的技术标准、质量标准和资格资质条件等有强制性规定的，我方</w:t>
      </w:r>
      <w:r>
        <w:rPr>
          <w:rFonts w:ascii="仿宋" w:hAnsi="仿宋" w:eastAsia="仿宋"/>
          <w:color w:val="auto"/>
          <w:sz w:val="24"/>
          <w:highlight w:val="none"/>
        </w:rPr>
        <w:t>承诺符合其要求。</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lang w:val="en-US" w:eastAsia="zh-CN"/>
        </w:rPr>
        <w:t>八</w:t>
      </w:r>
      <w:r>
        <w:rPr>
          <w:rFonts w:hint="eastAsia" w:ascii="仿宋" w:hAnsi="仿宋" w:eastAsia="仿宋"/>
          <w:color w:val="auto"/>
          <w:sz w:val="24"/>
          <w:highlight w:val="none"/>
        </w:rPr>
        <w:t>、参加本次招标采购活动，</w:t>
      </w:r>
      <w:r>
        <w:rPr>
          <w:rFonts w:ascii="仿宋" w:hAnsi="仿宋" w:eastAsia="仿宋"/>
          <w:color w:val="auto"/>
          <w:sz w:val="24"/>
          <w:highlight w:val="none"/>
        </w:rPr>
        <w:t>我方</w:t>
      </w:r>
      <w:r>
        <w:rPr>
          <w:rFonts w:hint="eastAsia" w:ascii="仿宋" w:hAnsi="仿宋" w:eastAsia="仿宋"/>
          <w:color w:val="auto"/>
          <w:sz w:val="24"/>
          <w:highlight w:val="none"/>
        </w:rPr>
        <w:t>完全同意</w:t>
      </w:r>
      <w:r>
        <w:rPr>
          <w:rFonts w:ascii="仿宋" w:hAnsi="仿宋" w:eastAsia="仿宋"/>
          <w:color w:val="auto"/>
          <w:sz w:val="24"/>
          <w:highlight w:val="none"/>
        </w:rPr>
        <w:t>招标文件第二章关于“</w:t>
      </w:r>
      <w:r>
        <w:rPr>
          <w:rFonts w:hint="eastAsia" w:ascii="仿宋" w:hAnsi="仿宋" w:eastAsia="仿宋"/>
          <w:color w:val="auto"/>
          <w:sz w:val="24"/>
          <w:highlight w:val="none"/>
        </w:rPr>
        <w:t>投标</w:t>
      </w:r>
      <w:r>
        <w:rPr>
          <w:rFonts w:ascii="仿宋" w:hAnsi="仿宋" w:eastAsia="仿宋"/>
          <w:color w:val="auto"/>
          <w:sz w:val="24"/>
          <w:highlight w:val="none"/>
        </w:rPr>
        <w:t>费用”</w:t>
      </w:r>
      <w:r>
        <w:rPr>
          <w:rFonts w:hint="eastAsia" w:ascii="仿宋" w:hAnsi="仿宋" w:eastAsia="仿宋"/>
          <w:color w:val="auto"/>
          <w:sz w:val="24"/>
          <w:highlight w:val="none"/>
        </w:rPr>
        <w:t>、“合同</w:t>
      </w:r>
      <w:r>
        <w:rPr>
          <w:rFonts w:ascii="仿宋" w:hAnsi="仿宋" w:eastAsia="仿宋"/>
          <w:color w:val="auto"/>
          <w:sz w:val="24"/>
          <w:highlight w:val="none"/>
        </w:rPr>
        <w:t>分包</w:t>
      </w:r>
      <w:r>
        <w:rPr>
          <w:rFonts w:hint="eastAsia" w:ascii="仿宋" w:hAnsi="仿宋" w:eastAsia="仿宋"/>
          <w:color w:val="auto"/>
          <w:sz w:val="24"/>
          <w:highlight w:val="none"/>
        </w:rPr>
        <w:t>”、</w:t>
      </w:r>
      <w:r>
        <w:rPr>
          <w:rFonts w:ascii="仿宋" w:hAnsi="仿宋" w:eastAsia="仿宋"/>
          <w:color w:val="auto"/>
          <w:sz w:val="24"/>
          <w:highlight w:val="none"/>
        </w:rPr>
        <w:t>“</w:t>
      </w:r>
      <w:r>
        <w:rPr>
          <w:rFonts w:hint="eastAsia" w:ascii="仿宋" w:hAnsi="仿宋" w:eastAsia="仿宋"/>
          <w:color w:val="auto"/>
          <w:sz w:val="24"/>
          <w:highlight w:val="none"/>
        </w:rPr>
        <w:t>合同</w:t>
      </w:r>
      <w:r>
        <w:rPr>
          <w:rFonts w:ascii="仿宋" w:hAnsi="仿宋" w:eastAsia="仿宋"/>
          <w:color w:val="auto"/>
          <w:sz w:val="24"/>
          <w:highlight w:val="none"/>
        </w:rPr>
        <w:t>转包”</w:t>
      </w:r>
      <w:r>
        <w:rPr>
          <w:rFonts w:hint="eastAsia" w:ascii="仿宋" w:hAnsi="仿宋" w:eastAsia="仿宋"/>
          <w:color w:val="auto"/>
          <w:sz w:val="24"/>
          <w:highlight w:val="none"/>
        </w:rPr>
        <w:t>、</w:t>
      </w:r>
      <w:r>
        <w:rPr>
          <w:rFonts w:ascii="仿宋" w:hAnsi="仿宋" w:eastAsia="仿宋"/>
          <w:color w:val="auto"/>
          <w:sz w:val="24"/>
          <w:highlight w:val="none"/>
        </w:rPr>
        <w:t>“</w:t>
      </w:r>
      <w:r>
        <w:rPr>
          <w:rFonts w:hint="eastAsia" w:ascii="仿宋" w:hAnsi="仿宋" w:eastAsia="仿宋"/>
          <w:color w:val="auto"/>
          <w:sz w:val="24"/>
          <w:highlight w:val="none"/>
        </w:rPr>
        <w:t>履约</w:t>
      </w:r>
      <w:r>
        <w:rPr>
          <w:rFonts w:ascii="仿宋" w:hAnsi="仿宋" w:eastAsia="仿宋"/>
          <w:color w:val="auto"/>
          <w:sz w:val="24"/>
          <w:highlight w:val="none"/>
        </w:rPr>
        <w:t>保证金”</w:t>
      </w:r>
      <w:r>
        <w:rPr>
          <w:rFonts w:hint="eastAsia" w:ascii="仿宋" w:hAnsi="仿宋" w:eastAsia="仿宋"/>
          <w:color w:val="auto"/>
          <w:sz w:val="24"/>
          <w:highlight w:val="none"/>
        </w:rPr>
        <w:t>的</w:t>
      </w:r>
      <w:r>
        <w:rPr>
          <w:rFonts w:ascii="仿宋" w:hAnsi="仿宋" w:eastAsia="仿宋"/>
          <w:color w:val="auto"/>
          <w:sz w:val="24"/>
          <w:highlight w:val="none"/>
        </w:rPr>
        <w:t>实质性要求</w:t>
      </w:r>
      <w:r>
        <w:rPr>
          <w:rFonts w:hint="eastAsia" w:ascii="仿宋" w:hAnsi="仿宋" w:eastAsia="仿宋"/>
          <w:color w:val="auto"/>
          <w:sz w:val="24"/>
          <w:highlight w:val="none"/>
        </w:rPr>
        <w:t>，</w:t>
      </w:r>
      <w:r>
        <w:rPr>
          <w:rFonts w:ascii="仿宋" w:hAnsi="仿宋" w:eastAsia="仿宋"/>
          <w:color w:val="auto"/>
          <w:sz w:val="24"/>
          <w:highlight w:val="none"/>
        </w:rPr>
        <w:t>并承诺严格按照招标文件要求</w:t>
      </w:r>
      <w:r>
        <w:rPr>
          <w:rFonts w:hint="eastAsia" w:ascii="仿宋" w:hAnsi="仿宋" w:eastAsia="仿宋"/>
          <w:color w:val="auto"/>
          <w:sz w:val="24"/>
          <w:highlight w:val="none"/>
        </w:rPr>
        <w:t>履行</w:t>
      </w:r>
      <w:r>
        <w:rPr>
          <w:rFonts w:ascii="仿宋" w:hAnsi="仿宋" w:eastAsia="仿宋"/>
          <w:color w:val="auto"/>
          <w:sz w:val="24"/>
          <w:highlight w:val="none"/>
        </w:rPr>
        <w:t>。</w:t>
      </w:r>
    </w:p>
    <w:p>
      <w:pPr>
        <w:widowControl/>
        <w:spacing w:after="0" w:line="360" w:lineRule="auto"/>
        <w:ind w:firstLine="480" w:firstLineChars="200"/>
        <w:jc w:val="left"/>
        <w:rPr>
          <w:rFonts w:ascii="仿宋" w:hAnsi="仿宋" w:eastAsia="仿宋"/>
          <w:color w:val="auto"/>
          <w:sz w:val="24"/>
          <w:highlight w:val="none"/>
        </w:rPr>
      </w:pPr>
      <w:ins w:id="3" w:author="LY" w:date="2021-09-06T13:04:50Z">
        <w:r>
          <w:rPr>
            <w:rFonts w:hint="eastAsia" w:ascii="仿宋" w:hAnsi="仿宋" w:eastAsia="仿宋"/>
            <w:color w:val="auto"/>
            <w:sz w:val="24"/>
            <w:highlight w:val="none"/>
            <w:lang w:val="en-US" w:eastAsia="zh-CN"/>
          </w:rPr>
          <w:t>九</w:t>
        </w:r>
      </w:ins>
      <w:r>
        <w:rPr>
          <w:rFonts w:ascii="仿宋" w:hAnsi="仿宋" w:eastAsia="仿宋"/>
          <w:color w:val="auto"/>
          <w:sz w:val="24"/>
          <w:highlight w:val="none"/>
        </w:rPr>
        <w:t>、</w:t>
      </w:r>
      <w:r>
        <w:rPr>
          <w:rFonts w:hint="eastAsia" w:ascii="仿宋" w:hAnsi="仿宋" w:eastAsia="仿宋"/>
          <w:color w:val="auto"/>
          <w:sz w:val="24"/>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auto"/>
          <w:sz w:val="24"/>
          <w:highlight w:val="none"/>
        </w:rPr>
        <w:t>承诺</w:t>
      </w:r>
      <w:r>
        <w:rPr>
          <w:rFonts w:hint="eastAsia" w:ascii="仿宋" w:hAnsi="仿宋" w:eastAsia="仿宋"/>
          <w:color w:val="auto"/>
          <w:sz w:val="24"/>
          <w:highlight w:val="none"/>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十、本次投标报价是响应招标项目要求的全部工作内容的价格体现，包括完成本项目所需的一切费用。</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color w:val="auto"/>
          <w:sz w:val="24"/>
          <w:highlight w:val="none"/>
        </w:rPr>
      </w:pPr>
    </w:p>
    <w:p>
      <w:pPr>
        <w:widowControl/>
        <w:spacing w:after="0"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after="0"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    期：XXXX。</w:t>
      </w:r>
    </w:p>
    <w:p>
      <w:pPr>
        <w:widowControl/>
        <w:spacing w:after="0" w:line="240" w:lineRule="auto"/>
        <w:ind w:firstLine="0" w:firstLineChars="0"/>
        <w:jc w:val="left"/>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center"/>
        <w:rPr>
          <w:rFonts w:ascii="仿宋" w:hAnsi="仿宋" w:eastAsia="仿宋"/>
          <w:b/>
          <w:color w:val="auto"/>
          <w:sz w:val="32"/>
          <w:szCs w:val="32"/>
          <w:highlight w:val="none"/>
        </w:rPr>
      </w:pPr>
      <w:r>
        <w:rPr>
          <w:rFonts w:ascii="仿宋" w:hAnsi="仿宋" w:eastAsia="仿宋"/>
          <w:b/>
          <w:color w:val="auto"/>
          <w:sz w:val="32"/>
          <w:szCs w:val="32"/>
          <w:highlight w:val="none"/>
        </w:rPr>
        <w:t>关联单位申明函</w:t>
      </w:r>
    </w:p>
    <w:p>
      <w:pPr>
        <w:widowControl/>
        <w:spacing w:after="0" w:line="360" w:lineRule="auto"/>
        <w:jc w:val="left"/>
        <w:rPr>
          <w:rFonts w:ascii="仿宋" w:hAnsi="仿宋" w:eastAsia="仿宋"/>
          <w:color w:val="auto"/>
          <w:sz w:val="24"/>
          <w:highlight w:val="none"/>
        </w:rPr>
      </w:pPr>
    </w:p>
    <w:p>
      <w:pPr>
        <w:widowControl/>
        <w:spacing w:after="0" w:line="360" w:lineRule="auto"/>
        <w:jc w:val="lef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我方作为本次采购项目的投标人，根据招标文件要求，现郑重承诺如下：</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本项目与我方存在直接控股关系的单位为：XXX；存在管理关系单位为：XXX</w:t>
      </w:r>
    </w:p>
    <w:p>
      <w:pPr>
        <w:widowControl/>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我方对上述承诺的内容事项真实性负责。如经查实上述承诺的内容事项存在虚假，我方愿意接受以提供虚假材料谋取中标追究法律责任。</w:t>
      </w:r>
    </w:p>
    <w:p>
      <w:pPr>
        <w:widowControl/>
        <w:spacing w:after="0" w:line="360" w:lineRule="auto"/>
        <w:ind w:firstLine="470" w:firstLineChars="196"/>
        <w:jc w:val="left"/>
        <w:rPr>
          <w:rFonts w:ascii="仿宋" w:hAnsi="仿宋" w:eastAsia="仿宋"/>
          <w:color w:val="auto"/>
          <w:sz w:val="24"/>
          <w:highlight w:val="none"/>
        </w:rPr>
      </w:pPr>
    </w:p>
    <w:p>
      <w:pPr>
        <w:widowControl/>
        <w:spacing w:after="0"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after="0" w:line="360" w:lineRule="auto"/>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日    期：XXXX。</w:t>
      </w:r>
    </w:p>
    <w:p>
      <w:pPr>
        <w:widowControl/>
        <w:spacing w:after="0" w:line="240" w:lineRule="auto"/>
        <w:jc w:val="left"/>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格式2-4</w:t>
      </w:r>
    </w:p>
    <w:bookmarkEnd w:id="104"/>
    <w:bookmarkEnd w:id="136"/>
    <w:p>
      <w:pPr>
        <w:spacing w:line="400" w:lineRule="exact"/>
        <w:ind w:firstLine="643" w:firstLineChars="200"/>
        <w:jc w:val="center"/>
        <w:outlineLvl w:val="1"/>
        <w:rPr>
          <w:rFonts w:ascii="仿宋" w:hAnsi="仿宋" w:eastAsia="仿宋"/>
          <w:b/>
          <w:color w:val="auto"/>
          <w:sz w:val="32"/>
          <w:szCs w:val="32"/>
          <w:highlight w:val="none"/>
        </w:rPr>
      </w:pPr>
      <w:bookmarkStart w:id="137" w:name="_Toc217446085"/>
      <w:r>
        <w:rPr>
          <w:rFonts w:hint="eastAsia" w:ascii="仿宋" w:hAnsi="仿宋" w:eastAsia="仿宋"/>
          <w:b/>
          <w:color w:val="auto"/>
          <w:sz w:val="32"/>
          <w:szCs w:val="32"/>
          <w:highlight w:val="none"/>
        </w:rPr>
        <w:t>三、开标一览表</w:t>
      </w:r>
      <w:bookmarkEnd w:id="137"/>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第XX包</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346"/>
        <w:gridCol w:w="1377"/>
        <w:gridCol w:w="2026"/>
        <w:gridCol w:w="3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43"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序号</w:t>
            </w:r>
          </w:p>
        </w:tc>
        <w:tc>
          <w:tcPr>
            <w:tcW w:w="1485" w:type="pct"/>
            <w:gridSpan w:val="2"/>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服务内容</w:t>
            </w:r>
          </w:p>
        </w:tc>
        <w:tc>
          <w:tcPr>
            <w:tcW w:w="1104" w:type="pct"/>
            <w:vAlign w:val="center"/>
          </w:tcPr>
          <w:p>
            <w:pPr>
              <w:spacing w:line="360" w:lineRule="auto"/>
              <w:jc w:val="center"/>
              <w:rPr>
                <w:rFonts w:hint="eastAsia" w:ascii="仿宋" w:hAnsi="仿宋" w:eastAsia="仿宋" w:cs="宋体"/>
                <w:bCs/>
                <w:color w:val="auto"/>
                <w:kern w:val="0"/>
                <w:sz w:val="24"/>
                <w:highlight w:val="none"/>
                <w:lang w:val="en-US" w:eastAsia="zh-CN"/>
              </w:rPr>
            </w:pPr>
            <w:r>
              <w:rPr>
                <w:rFonts w:hint="eastAsia" w:ascii="仿宋" w:hAnsi="仿宋" w:eastAsia="仿宋" w:cs="宋体"/>
                <w:bCs/>
                <w:color w:val="auto"/>
                <w:kern w:val="0"/>
                <w:sz w:val="24"/>
                <w:highlight w:val="none"/>
              </w:rPr>
              <w:t>服务</w:t>
            </w:r>
            <w:r>
              <w:rPr>
                <w:rFonts w:hint="eastAsia" w:ascii="仿宋" w:hAnsi="仿宋" w:eastAsia="仿宋" w:cs="宋体"/>
                <w:bCs/>
                <w:color w:val="auto"/>
                <w:kern w:val="0"/>
                <w:sz w:val="24"/>
                <w:highlight w:val="none"/>
                <w:lang w:val="en-US" w:eastAsia="zh-CN"/>
              </w:rPr>
              <w:t>期限</w:t>
            </w:r>
          </w:p>
        </w:tc>
        <w:tc>
          <w:tcPr>
            <w:tcW w:w="1966"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43" w:type="pct"/>
            <w:vAlign w:val="center"/>
          </w:tcPr>
          <w:p>
            <w:pPr>
              <w:widowControl/>
              <w:spacing w:line="360" w:lineRule="auto"/>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1</w:t>
            </w:r>
          </w:p>
        </w:tc>
        <w:tc>
          <w:tcPr>
            <w:tcW w:w="1485" w:type="pct"/>
            <w:gridSpan w:val="2"/>
            <w:vAlign w:val="center"/>
          </w:tcPr>
          <w:p>
            <w:pPr>
              <w:widowControl/>
              <w:spacing w:line="360" w:lineRule="auto"/>
              <w:jc w:val="center"/>
              <w:rPr>
                <w:rFonts w:ascii="仿宋" w:hAnsi="仿宋" w:eastAsia="仿宋" w:cs="宋体"/>
                <w:bCs/>
                <w:color w:val="auto"/>
                <w:kern w:val="0"/>
                <w:sz w:val="24"/>
                <w:highlight w:val="none"/>
              </w:rPr>
            </w:pPr>
          </w:p>
        </w:tc>
        <w:tc>
          <w:tcPr>
            <w:tcW w:w="1104" w:type="pct"/>
            <w:vAlign w:val="center"/>
          </w:tcPr>
          <w:p>
            <w:pPr>
              <w:spacing w:line="360" w:lineRule="auto"/>
              <w:jc w:val="center"/>
              <w:rPr>
                <w:rFonts w:ascii="仿宋" w:hAnsi="仿宋" w:eastAsia="仿宋" w:cs="宋体"/>
                <w:bCs/>
                <w:color w:val="auto"/>
                <w:kern w:val="0"/>
                <w:sz w:val="24"/>
                <w:highlight w:val="none"/>
              </w:rPr>
            </w:pPr>
          </w:p>
        </w:tc>
        <w:tc>
          <w:tcPr>
            <w:tcW w:w="1966" w:type="pct"/>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2</w:t>
            </w:r>
          </w:p>
        </w:tc>
        <w:tc>
          <w:tcPr>
            <w:tcW w:w="1485" w:type="pct"/>
            <w:gridSpan w:val="2"/>
            <w:vAlign w:val="center"/>
          </w:tcPr>
          <w:p>
            <w:pPr>
              <w:widowControl/>
              <w:spacing w:line="360" w:lineRule="auto"/>
              <w:jc w:val="center"/>
              <w:rPr>
                <w:rFonts w:ascii="仿宋" w:hAnsi="仿宋" w:eastAsia="仿宋" w:cs="宋体"/>
                <w:bCs/>
                <w:color w:val="auto"/>
                <w:kern w:val="0"/>
                <w:sz w:val="24"/>
                <w:highlight w:val="none"/>
              </w:rPr>
            </w:pPr>
          </w:p>
        </w:tc>
        <w:tc>
          <w:tcPr>
            <w:tcW w:w="1104" w:type="pct"/>
            <w:vAlign w:val="center"/>
          </w:tcPr>
          <w:p>
            <w:pPr>
              <w:spacing w:line="360" w:lineRule="auto"/>
              <w:jc w:val="center"/>
              <w:rPr>
                <w:rFonts w:ascii="仿宋" w:hAnsi="仿宋" w:eastAsia="仿宋" w:cs="宋体"/>
                <w:bCs/>
                <w:color w:val="auto"/>
                <w:kern w:val="0"/>
                <w:sz w:val="24"/>
                <w:highlight w:val="none"/>
              </w:rPr>
            </w:pPr>
          </w:p>
        </w:tc>
        <w:tc>
          <w:tcPr>
            <w:tcW w:w="1966" w:type="pct"/>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443" w:type="pct"/>
            <w:vAlign w:val="center"/>
          </w:tcPr>
          <w:p>
            <w:pPr>
              <w:widowControl/>
              <w:spacing w:line="360" w:lineRule="auto"/>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3</w:t>
            </w:r>
          </w:p>
        </w:tc>
        <w:tc>
          <w:tcPr>
            <w:tcW w:w="1485" w:type="pct"/>
            <w:gridSpan w:val="2"/>
            <w:vAlign w:val="center"/>
          </w:tcPr>
          <w:p>
            <w:pPr>
              <w:widowControl/>
              <w:spacing w:line="360" w:lineRule="auto"/>
              <w:jc w:val="center"/>
              <w:rPr>
                <w:rFonts w:ascii="仿宋" w:hAnsi="仿宋" w:eastAsia="仿宋" w:cs="宋体"/>
                <w:bCs/>
                <w:color w:val="auto"/>
                <w:kern w:val="0"/>
                <w:sz w:val="24"/>
                <w:highlight w:val="none"/>
              </w:rPr>
            </w:pPr>
          </w:p>
        </w:tc>
        <w:tc>
          <w:tcPr>
            <w:tcW w:w="1104" w:type="pct"/>
            <w:vAlign w:val="center"/>
          </w:tcPr>
          <w:p>
            <w:pPr>
              <w:spacing w:line="360" w:lineRule="auto"/>
              <w:jc w:val="center"/>
              <w:rPr>
                <w:rFonts w:ascii="仿宋" w:hAnsi="仿宋" w:eastAsia="仿宋" w:cs="宋体"/>
                <w:bCs/>
                <w:color w:val="auto"/>
                <w:kern w:val="0"/>
                <w:sz w:val="24"/>
                <w:highlight w:val="none"/>
              </w:rPr>
            </w:pPr>
          </w:p>
        </w:tc>
        <w:tc>
          <w:tcPr>
            <w:tcW w:w="1966" w:type="pct"/>
            <w:vAlign w:val="center"/>
          </w:tcPr>
          <w:p>
            <w:pPr>
              <w:widowControl/>
              <w:spacing w:line="360" w:lineRule="auto"/>
              <w:jc w:val="center"/>
              <w:rPr>
                <w:rFonts w:ascii="仿宋" w:hAnsi="仿宋" w:eastAsia="仿宋" w:cs="宋体"/>
                <w:bCs/>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033" w:type="pct"/>
            <w:gridSpan w:val="4"/>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合</w:t>
            </w:r>
            <w:r>
              <w:rPr>
                <w:rFonts w:ascii="仿宋" w:hAnsi="仿宋" w:eastAsia="仿宋" w:cs="宋体"/>
                <w:color w:val="auto"/>
                <w:kern w:val="0"/>
                <w:sz w:val="24"/>
                <w:highlight w:val="none"/>
              </w:rPr>
              <w:t xml:space="preserve">  </w:t>
            </w:r>
            <w:r>
              <w:rPr>
                <w:rFonts w:hint="eastAsia" w:ascii="仿宋" w:hAnsi="仿宋" w:eastAsia="仿宋" w:cs="宋体"/>
                <w:color w:val="auto"/>
                <w:kern w:val="0"/>
                <w:sz w:val="24"/>
                <w:highlight w:val="none"/>
              </w:rPr>
              <w:t>计</w:t>
            </w:r>
            <w:r>
              <w:rPr>
                <w:rFonts w:ascii="仿宋" w:hAnsi="仿宋" w:eastAsia="仿宋" w:cs="宋体"/>
                <w:color w:val="auto"/>
                <w:kern w:val="0"/>
                <w:sz w:val="24"/>
                <w:highlight w:val="none"/>
              </w:rPr>
              <w:t>(万元)</w:t>
            </w:r>
          </w:p>
        </w:tc>
        <w:tc>
          <w:tcPr>
            <w:tcW w:w="1966" w:type="pct"/>
            <w:vAlign w:val="center"/>
          </w:tcPr>
          <w:p>
            <w:pPr>
              <w:widowControl/>
              <w:spacing w:line="360" w:lineRule="auto"/>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1177" w:type="pct"/>
            <w:gridSpan w:val="2"/>
            <w:vAlign w:val="center"/>
          </w:tcPr>
          <w:p>
            <w:pPr>
              <w:widowControl/>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投标总价</w:t>
            </w:r>
          </w:p>
        </w:tc>
        <w:tc>
          <w:tcPr>
            <w:tcW w:w="3822" w:type="pct"/>
            <w:gridSpan w:val="3"/>
            <w:vAlign w:val="center"/>
          </w:tcPr>
          <w:p>
            <w:pPr>
              <w:widowControl/>
              <w:spacing w:line="360" w:lineRule="auto"/>
              <w:rPr>
                <w:rFonts w:ascii="仿宋" w:hAnsi="仿宋" w:eastAsia="仿宋" w:cs="宋体"/>
                <w:color w:val="auto"/>
                <w:kern w:val="0"/>
                <w:sz w:val="24"/>
                <w:highlight w:val="none"/>
              </w:rPr>
            </w:pPr>
            <w:r>
              <w:rPr>
                <w:rFonts w:hint="eastAsia" w:ascii="仿宋" w:hAnsi="仿宋" w:eastAsia="仿宋"/>
                <w:b/>
                <w:color w:val="auto"/>
                <w:sz w:val="24"/>
                <w:highlight w:val="none"/>
              </w:rPr>
              <w:t>人民币大写：（人民币小写：万元）</w:t>
            </w:r>
          </w:p>
        </w:tc>
      </w:tr>
    </w:tbl>
    <w:p>
      <w:pPr>
        <w:widowControl/>
        <w:spacing w:line="360" w:lineRule="atLeast"/>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 xml:space="preserve">注：1. 报价应是最终用户验收合格后的总价，包括人工、保险、代理、培训、税费等实施本次采购项目的所有费用。 </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rPr>
        <w:t>、“开标一览表”以包为单位填写。</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b/>
          <w:color w:val="auto"/>
          <w:sz w:val="24"/>
          <w:highlight w:val="none"/>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eastAsia="仿宋"/>
          <w:color w:val="auto"/>
          <w:sz w:val="24"/>
          <w:highlight w:val="none"/>
        </w:rPr>
        <w:t>投标日期：XXXX。</w:t>
      </w:r>
    </w:p>
    <w:p>
      <w:pPr>
        <w:spacing w:after="0" w:line="360" w:lineRule="auto"/>
        <w:jc w:val="left"/>
        <w:outlineLvl w:val="1"/>
        <w:rPr>
          <w:rFonts w:hint="eastAsia" w:ascii="仿宋" w:hAnsi="仿宋" w:eastAsia="仿宋"/>
          <w:b/>
          <w:color w:val="auto"/>
          <w:sz w:val="32"/>
          <w:szCs w:val="32"/>
          <w:highlight w:val="none"/>
        </w:rPr>
      </w:pPr>
      <w:bookmarkStart w:id="138" w:name="_Toc217446086"/>
      <w:r>
        <w:rPr>
          <w:rFonts w:hint="eastAsia" w:ascii="仿宋" w:hAnsi="仿宋" w:eastAsia="仿宋"/>
          <w:b/>
          <w:color w:val="auto"/>
          <w:sz w:val="32"/>
          <w:szCs w:val="32"/>
          <w:highlight w:val="none"/>
        </w:rPr>
        <w:t>格式2-5</w:t>
      </w:r>
    </w:p>
    <w:p>
      <w:pPr>
        <w:widowControl/>
        <w:spacing w:after="0"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四、分项报价明细表</w:t>
      </w:r>
      <w:bookmarkEnd w:id="138"/>
    </w:p>
    <w:p>
      <w:pPr>
        <w:widowControl/>
        <w:spacing w:after="0" w:line="360" w:lineRule="atLeast"/>
        <w:ind w:firstLine="472" w:firstLineChars="196"/>
        <w:jc w:val="left"/>
        <w:rPr>
          <w:rFonts w:ascii="仿宋" w:hAnsi="仿宋" w:eastAsia="仿宋"/>
          <w:b/>
          <w:color w:val="auto"/>
          <w:sz w:val="24"/>
          <w:highlight w:val="none"/>
        </w:rPr>
      </w:pPr>
    </w:p>
    <w:p>
      <w:pPr>
        <w:widowControl/>
        <w:spacing w:after="0" w:line="360" w:lineRule="atLeast"/>
        <w:jc w:val="left"/>
        <w:rPr>
          <w:rFonts w:ascii="仿宋" w:hAnsi="仿宋" w:eastAsia="仿宋"/>
          <w:color w:val="auto"/>
          <w:sz w:val="24"/>
          <w:highlight w:val="none"/>
        </w:rPr>
      </w:pPr>
      <w:r>
        <w:rPr>
          <w:rFonts w:hint="eastAsia" w:ascii="仿宋" w:hAnsi="仿宋" w:eastAsia="仿宋"/>
          <w:color w:val="auto"/>
          <w:sz w:val="24"/>
          <w:highlight w:val="none"/>
        </w:rPr>
        <w:t>第XX包</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4417"/>
        <w:gridCol w:w="3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before="156" w:beforeLines="50" w:after="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序号</w:t>
            </w:r>
          </w:p>
        </w:tc>
        <w:tc>
          <w:tcPr>
            <w:tcW w:w="2407" w:type="pct"/>
            <w:vAlign w:val="center"/>
          </w:tcPr>
          <w:p>
            <w:pPr>
              <w:pStyle w:val="16"/>
              <w:spacing w:before="156" w:beforeLines="50" w:after="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服务内容</w:t>
            </w:r>
          </w:p>
        </w:tc>
        <w:tc>
          <w:tcPr>
            <w:tcW w:w="2042" w:type="pct"/>
            <w:vAlign w:val="center"/>
          </w:tcPr>
          <w:p>
            <w:pPr>
              <w:pStyle w:val="16"/>
              <w:spacing w:before="156" w:beforeLines="50" w:after="0"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auto"/>
                <w:sz w:val="24"/>
                <w:highlight w:val="none"/>
              </w:rPr>
            </w:pPr>
            <w:r>
              <w:rPr>
                <w:rFonts w:ascii="仿宋" w:hAnsi="仿宋" w:eastAsia="仿宋"/>
                <w:color w:val="auto"/>
                <w:sz w:val="24"/>
                <w:highlight w:val="none"/>
              </w:rPr>
              <w:t>1</w:t>
            </w: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auto"/>
                <w:sz w:val="24"/>
                <w:highlight w:val="none"/>
              </w:rPr>
            </w:pPr>
            <w:r>
              <w:rPr>
                <w:rFonts w:ascii="仿宋" w:hAnsi="仿宋" w:eastAsia="仿宋"/>
                <w:color w:val="auto"/>
                <w:sz w:val="24"/>
                <w:highlight w:val="none"/>
              </w:rPr>
              <w:t>2</w:t>
            </w: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snapToGrid w:val="0"/>
              <w:spacing w:after="0" w:line="360" w:lineRule="auto"/>
              <w:jc w:val="center"/>
              <w:rPr>
                <w:rFonts w:ascii="仿宋" w:hAnsi="仿宋" w:eastAsia="仿宋"/>
                <w:color w:val="auto"/>
                <w:sz w:val="24"/>
                <w:highlight w:val="none"/>
              </w:rPr>
            </w:pPr>
            <w:r>
              <w:rPr>
                <w:rFonts w:ascii="仿宋" w:hAnsi="仿宋" w:eastAsia="仿宋"/>
                <w:color w:val="auto"/>
                <w:sz w:val="24"/>
                <w:highlight w:val="none"/>
              </w:rPr>
              <w:t>3</w:t>
            </w: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r>
              <w:rPr>
                <w:rFonts w:ascii="仿宋" w:hAnsi="仿宋" w:eastAsia="仿宋"/>
                <w:color w:val="auto"/>
                <w:kern w:val="0"/>
                <w:sz w:val="24"/>
                <w:highlight w:val="none"/>
              </w:rPr>
              <w:t>…</w:t>
            </w: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9" w:type="pct"/>
            <w:vAlign w:val="center"/>
          </w:tcPr>
          <w:p>
            <w:pPr>
              <w:pStyle w:val="16"/>
              <w:spacing w:after="0" w:line="360" w:lineRule="auto"/>
              <w:jc w:val="center"/>
              <w:rPr>
                <w:rFonts w:ascii="仿宋" w:hAnsi="仿宋" w:eastAsia="仿宋"/>
                <w:color w:val="auto"/>
                <w:kern w:val="0"/>
                <w:sz w:val="24"/>
                <w:highlight w:val="none"/>
              </w:rPr>
            </w:pPr>
          </w:p>
        </w:tc>
        <w:tc>
          <w:tcPr>
            <w:tcW w:w="2407" w:type="pct"/>
            <w:vAlign w:val="center"/>
          </w:tcPr>
          <w:p>
            <w:pPr>
              <w:pStyle w:val="16"/>
              <w:spacing w:after="0" w:line="360" w:lineRule="auto"/>
              <w:jc w:val="center"/>
              <w:rPr>
                <w:rFonts w:ascii="仿宋" w:hAnsi="仿宋" w:eastAsia="仿宋"/>
                <w:color w:val="auto"/>
                <w:kern w:val="0"/>
                <w:sz w:val="24"/>
                <w:highlight w:val="none"/>
              </w:rPr>
            </w:pP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7" w:type="pct"/>
            <w:gridSpan w:val="2"/>
            <w:vAlign w:val="center"/>
          </w:tcPr>
          <w:p>
            <w:pPr>
              <w:pStyle w:val="16"/>
              <w:spacing w:after="0" w:line="360" w:lineRule="auto"/>
              <w:ind w:firstLine="361" w:firstLineChars="150"/>
              <w:rPr>
                <w:rFonts w:ascii="仿宋" w:hAnsi="仿宋" w:eastAsia="仿宋"/>
                <w:b/>
                <w:color w:val="auto"/>
                <w:kern w:val="0"/>
                <w:sz w:val="24"/>
                <w:highlight w:val="none"/>
              </w:rPr>
            </w:pPr>
            <w:r>
              <w:rPr>
                <w:rFonts w:hint="eastAsia" w:ascii="仿宋" w:hAnsi="仿宋" w:eastAsia="仿宋"/>
                <w:b/>
                <w:color w:val="auto"/>
                <w:kern w:val="0"/>
                <w:sz w:val="24"/>
                <w:highlight w:val="none"/>
              </w:rPr>
              <w:t>总</w:t>
            </w:r>
            <w:r>
              <w:rPr>
                <w:rFonts w:ascii="仿宋" w:hAnsi="仿宋" w:eastAsia="仿宋"/>
                <w:b/>
                <w:color w:val="auto"/>
                <w:kern w:val="0"/>
                <w:sz w:val="24"/>
                <w:highlight w:val="none"/>
              </w:rPr>
              <w:t xml:space="preserve">    </w:t>
            </w:r>
            <w:r>
              <w:rPr>
                <w:rFonts w:hint="eastAsia" w:ascii="仿宋" w:hAnsi="仿宋" w:eastAsia="仿宋"/>
                <w:b/>
                <w:color w:val="auto"/>
                <w:kern w:val="0"/>
                <w:sz w:val="24"/>
                <w:highlight w:val="none"/>
              </w:rPr>
              <w:t>价</w:t>
            </w:r>
            <w:r>
              <w:rPr>
                <w:rFonts w:ascii="仿宋" w:hAnsi="仿宋" w:eastAsia="仿宋"/>
                <w:b/>
                <w:color w:val="auto"/>
                <w:kern w:val="0"/>
                <w:sz w:val="24"/>
                <w:highlight w:val="none"/>
              </w:rPr>
              <w:t>(万元)</w:t>
            </w:r>
          </w:p>
        </w:tc>
        <w:tc>
          <w:tcPr>
            <w:tcW w:w="2042" w:type="pct"/>
            <w:vAlign w:val="center"/>
          </w:tcPr>
          <w:p>
            <w:pPr>
              <w:pStyle w:val="16"/>
              <w:spacing w:after="0" w:line="360" w:lineRule="auto"/>
              <w:jc w:val="center"/>
              <w:rPr>
                <w:rFonts w:ascii="仿宋" w:hAnsi="仿宋" w:eastAsia="仿宋"/>
                <w:color w:val="auto"/>
                <w:kern w:val="0"/>
                <w:sz w:val="24"/>
                <w:highlight w:val="none"/>
              </w:rPr>
            </w:pPr>
          </w:p>
        </w:tc>
      </w:tr>
    </w:tbl>
    <w:p>
      <w:pPr>
        <w:widowControl/>
        <w:spacing w:after="0" w:line="360" w:lineRule="atLeast"/>
        <w:jc w:val="left"/>
        <w:rPr>
          <w:rFonts w:ascii="仿宋" w:hAnsi="仿宋" w:eastAsia="仿宋"/>
          <w:color w:val="auto"/>
          <w:sz w:val="24"/>
          <w:highlight w:val="none"/>
        </w:rPr>
      </w:pP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注：1、投标人应按“分项报价明细表”的格式详细报出投标总价的各个组成部分的报价。</w:t>
      </w: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2、“分项报价明细表”各分项报价合计应当与“开标一览表”报价合计相等。</w:t>
      </w:r>
    </w:p>
    <w:p>
      <w:pPr>
        <w:widowControl/>
        <w:spacing w:after="0" w:line="360" w:lineRule="atLeast"/>
        <w:ind w:firstLine="472" w:firstLineChars="196"/>
        <w:jc w:val="left"/>
        <w:rPr>
          <w:rFonts w:ascii="仿宋" w:hAnsi="仿宋" w:eastAsia="仿宋"/>
          <w:b/>
          <w:color w:val="auto"/>
          <w:sz w:val="24"/>
          <w:highlight w:val="none"/>
        </w:rPr>
      </w:pPr>
    </w:p>
    <w:p>
      <w:pPr>
        <w:widowControl/>
        <w:spacing w:after="0" w:line="360" w:lineRule="atLeast"/>
        <w:ind w:firstLine="472" w:firstLineChars="196"/>
        <w:jc w:val="left"/>
        <w:rPr>
          <w:rFonts w:ascii="仿宋" w:hAnsi="仿宋" w:eastAsia="仿宋"/>
          <w:b/>
          <w:color w:val="auto"/>
          <w:sz w:val="24"/>
          <w:highlight w:val="none"/>
        </w:rPr>
      </w:pP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投标日期：XXXX。</w:t>
      </w:r>
      <w:bookmarkStart w:id="139" w:name="_Toc217446087"/>
    </w:p>
    <w:p>
      <w:pPr>
        <w:widowControl/>
        <w:spacing w:line="360" w:lineRule="atLeast"/>
        <w:jc w:val="left"/>
        <w:rPr>
          <w:rFonts w:ascii="仿宋" w:hAnsi="仿宋" w:eastAsia="仿宋"/>
          <w:color w:val="auto"/>
          <w:sz w:val="24"/>
          <w:highlight w:val="none"/>
        </w:rPr>
      </w:pPr>
      <w:r>
        <w:rPr>
          <w:rFonts w:ascii="仿宋" w:hAnsi="仿宋" w:eastAsia="仿宋"/>
          <w:color w:val="auto"/>
          <w:sz w:val="24"/>
          <w:highlight w:val="none"/>
        </w:rPr>
        <w:br w:type="page"/>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格式2-6</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五、商务应答表</w:t>
      </w:r>
      <w:bookmarkEnd w:id="139"/>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8"/>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序号</w:t>
            </w:r>
          </w:p>
        </w:tc>
        <w:tc>
          <w:tcPr>
            <w:tcW w:w="95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包号</w:t>
            </w:r>
          </w:p>
        </w:tc>
        <w:tc>
          <w:tcPr>
            <w:tcW w:w="1516" w:type="dxa"/>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招标要求</w:t>
            </w:r>
          </w:p>
        </w:tc>
        <w:tc>
          <w:tcPr>
            <w:tcW w:w="4852" w:type="dxa"/>
            <w:vAlign w:val="center"/>
          </w:tcPr>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956" w:type="dxa"/>
          </w:tcPr>
          <w:p>
            <w:pPr>
              <w:widowControl/>
              <w:spacing w:line="360" w:lineRule="atLeast"/>
              <w:ind w:firstLine="470" w:firstLineChars="196"/>
              <w:jc w:val="left"/>
              <w:rPr>
                <w:rFonts w:ascii="仿宋" w:hAnsi="仿宋" w:eastAsia="仿宋"/>
                <w:color w:val="auto"/>
                <w:sz w:val="24"/>
                <w:highlight w:val="none"/>
              </w:rPr>
            </w:pPr>
          </w:p>
        </w:tc>
        <w:tc>
          <w:tcPr>
            <w:tcW w:w="1516" w:type="dxa"/>
          </w:tcPr>
          <w:p>
            <w:pPr>
              <w:widowControl/>
              <w:spacing w:line="360" w:lineRule="atLeast"/>
              <w:ind w:firstLine="470" w:firstLineChars="196"/>
              <w:jc w:val="left"/>
              <w:rPr>
                <w:rFonts w:ascii="仿宋" w:hAnsi="仿宋" w:eastAsia="仿宋"/>
                <w:color w:val="auto"/>
                <w:sz w:val="24"/>
                <w:highlight w:val="none"/>
              </w:rPr>
            </w:pPr>
          </w:p>
        </w:tc>
        <w:tc>
          <w:tcPr>
            <w:tcW w:w="4852" w:type="dxa"/>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w:t>
      </w:r>
      <w:r>
        <w:rPr>
          <w:rFonts w:ascii="仿宋" w:hAnsi="仿宋" w:eastAsia="仿宋"/>
          <w:color w:val="auto"/>
          <w:sz w:val="24"/>
          <w:highlight w:val="none"/>
        </w:rPr>
        <w:t xml:space="preserve"> </w:t>
      </w:r>
      <w:r>
        <w:rPr>
          <w:rFonts w:hint="eastAsia" w:ascii="仿宋" w:hAnsi="仿宋" w:eastAsia="仿宋"/>
          <w:color w:val="auto"/>
          <w:sz w:val="24"/>
          <w:highlight w:val="none"/>
        </w:rPr>
        <w:t>供应商必须把招标文件</w:t>
      </w:r>
      <w:r>
        <w:rPr>
          <w:rFonts w:hint="eastAsia" w:ascii="仿宋" w:hAnsi="仿宋" w:eastAsia="仿宋"/>
          <w:b/>
          <w:bCs/>
          <w:color w:val="auto"/>
          <w:sz w:val="24"/>
          <w:highlight w:val="none"/>
        </w:rPr>
        <w:t>第六章全部商务要求</w:t>
      </w:r>
      <w:r>
        <w:rPr>
          <w:rFonts w:hint="eastAsia" w:ascii="仿宋" w:hAnsi="仿宋" w:eastAsia="仿宋"/>
          <w:color w:val="auto"/>
          <w:sz w:val="24"/>
          <w:highlight w:val="none"/>
        </w:rPr>
        <w:t>列入此表。</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2．按照招标项目商务要求的顺序逐条对应填写。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spacing w:after="0" w:line="240" w:lineRule="auto"/>
        <w:jc w:val="left"/>
        <w:outlineLvl w:val="9"/>
        <w:rPr>
          <w:rFonts w:hint="eastAsia" w:ascii="仿宋" w:hAnsi="仿宋" w:eastAsia="仿宋"/>
          <w:b/>
          <w:color w:val="auto"/>
          <w:sz w:val="32"/>
          <w:szCs w:val="32"/>
          <w:highlight w:val="none"/>
        </w:rPr>
      </w:pPr>
      <w:bookmarkStart w:id="140" w:name="_Toc217446088"/>
      <w:r>
        <w:rPr>
          <w:rFonts w:hint="eastAsia" w:ascii="仿宋" w:hAnsi="仿宋" w:eastAsia="仿宋"/>
          <w:b/>
          <w:color w:val="auto"/>
          <w:sz w:val="32"/>
          <w:szCs w:val="32"/>
          <w:highlight w:val="none"/>
        </w:rPr>
        <w:br w:type="page"/>
      </w:r>
    </w:p>
    <w:p>
      <w:pPr>
        <w:spacing w:after="0" w:line="360" w:lineRule="auto"/>
        <w:jc w:val="left"/>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7</w:t>
      </w:r>
    </w:p>
    <w:p>
      <w:pPr>
        <w:widowControl/>
        <w:spacing w:after="0"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六</w:t>
      </w:r>
      <w:r>
        <w:rPr>
          <w:rFonts w:hint="eastAsia" w:ascii="仿宋" w:hAnsi="仿宋" w:eastAsia="仿宋"/>
          <w:b/>
          <w:color w:val="auto"/>
          <w:sz w:val="32"/>
          <w:szCs w:val="32"/>
          <w:highlight w:val="none"/>
        </w:rPr>
        <w:t>、投标人基本情况表</w:t>
      </w:r>
      <w:bookmarkEnd w:id="140"/>
    </w:p>
    <w:tbl>
      <w:tblPr>
        <w:tblStyle w:val="28"/>
        <w:tblW w:w="4999"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7"/>
        <w:gridCol w:w="1068"/>
        <w:gridCol w:w="1383"/>
        <w:gridCol w:w="1392"/>
        <w:gridCol w:w="1473"/>
        <w:gridCol w:w="176"/>
        <w:gridCol w:w="771"/>
        <w:gridCol w:w="121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投标人名称</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注册地址</w:t>
            </w:r>
          </w:p>
        </w:tc>
        <w:tc>
          <w:tcPr>
            <w:tcW w:w="2095" w:type="pct"/>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803"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邮政编码</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Merge w:val="restar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联系方式</w:t>
            </w:r>
          </w:p>
        </w:tc>
        <w:tc>
          <w:tcPr>
            <w:tcW w:w="582"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联系人</w:t>
            </w:r>
          </w:p>
        </w:tc>
        <w:tc>
          <w:tcPr>
            <w:tcW w:w="1513"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803"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5" w:type="pct"/>
            <w:vMerge w:val="continue"/>
            <w:vAlign w:val="center"/>
          </w:tcPr>
          <w:p>
            <w:pPr>
              <w:spacing w:after="0"/>
              <w:rPr>
                <w:rFonts w:ascii="仿宋" w:hAnsi="仿宋" w:eastAsia="仿宋"/>
                <w:color w:val="auto"/>
                <w:highlight w:val="none"/>
              </w:rPr>
            </w:pPr>
          </w:p>
        </w:tc>
        <w:tc>
          <w:tcPr>
            <w:tcW w:w="582"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传真</w:t>
            </w:r>
          </w:p>
        </w:tc>
        <w:tc>
          <w:tcPr>
            <w:tcW w:w="1513"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803"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网址</w:t>
            </w:r>
          </w:p>
        </w:tc>
        <w:tc>
          <w:tcPr>
            <w:tcW w:w="1175" w:type="pct"/>
            <w:gridSpan w:val="3"/>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组织结构</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法定代表人/单位负责人</w:t>
            </w:r>
          </w:p>
        </w:tc>
        <w:tc>
          <w:tcPr>
            <w:tcW w:w="582"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姓名</w:t>
            </w:r>
          </w:p>
        </w:tc>
        <w:tc>
          <w:tcPr>
            <w:tcW w:w="754"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技术职称</w:t>
            </w:r>
          </w:p>
        </w:tc>
        <w:tc>
          <w:tcPr>
            <w:tcW w:w="803"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516"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658"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技术负责人</w:t>
            </w:r>
          </w:p>
        </w:tc>
        <w:tc>
          <w:tcPr>
            <w:tcW w:w="582"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姓名</w:t>
            </w:r>
          </w:p>
        </w:tc>
        <w:tc>
          <w:tcPr>
            <w:tcW w:w="754"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技术职称</w:t>
            </w:r>
          </w:p>
        </w:tc>
        <w:tc>
          <w:tcPr>
            <w:tcW w:w="803"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516"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电话</w:t>
            </w:r>
          </w:p>
        </w:tc>
        <w:tc>
          <w:tcPr>
            <w:tcW w:w="658"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成立时间</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2737" w:type="pct"/>
            <w:gridSpan w:val="5"/>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企业资质等级</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Merge w:val="restart"/>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其中</w:t>
            </w:r>
          </w:p>
        </w:tc>
        <w:tc>
          <w:tcPr>
            <w:tcW w:w="899"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项目经理</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营业执照号</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Merge w:val="continue"/>
            <w:vAlign w:val="center"/>
          </w:tcPr>
          <w:p>
            <w:pPr>
              <w:spacing w:after="0"/>
              <w:rPr>
                <w:rFonts w:ascii="仿宋" w:hAnsi="仿宋" w:eastAsia="仿宋"/>
                <w:color w:val="auto"/>
                <w:highlight w:val="none"/>
              </w:rPr>
            </w:pPr>
          </w:p>
        </w:tc>
        <w:tc>
          <w:tcPr>
            <w:tcW w:w="899"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高级职称人员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注册资金</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Merge w:val="continue"/>
            <w:vAlign w:val="center"/>
          </w:tcPr>
          <w:p>
            <w:pPr>
              <w:spacing w:after="0"/>
              <w:rPr>
                <w:rFonts w:ascii="仿宋" w:hAnsi="仿宋" w:eastAsia="仿宋"/>
                <w:color w:val="auto"/>
                <w:highlight w:val="none"/>
              </w:rPr>
            </w:pPr>
          </w:p>
        </w:tc>
        <w:tc>
          <w:tcPr>
            <w:tcW w:w="899"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中级职称人员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开户银行</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Merge w:val="continue"/>
            <w:vAlign w:val="center"/>
          </w:tcPr>
          <w:p>
            <w:pPr>
              <w:spacing w:after="0"/>
              <w:rPr>
                <w:rFonts w:ascii="仿宋" w:hAnsi="仿宋" w:eastAsia="仿宋"/>
                <w:color w:val="auto"/>
                <w:highlight w:val="none"/>
              </w:rPr>
            </w:pPr>
          </w:p>
        </w:tc>
        <w:tc>
          <w:tcPr>
            <w:tcW w:w="899" w:type="pct"/>
            <w:gridSpan w:val="2"/>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初级职称人员</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5" w:type="pct"/>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账号</w:t>
            </w:r>
          </w:p>
        </w:tc>
        <w:tc>
          <w:tcPr>
            <w:tcW w:w="1336"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c>
          <w:tcPr>
            <w:tcW w:w="759" w:type="pct"/>
            <w:vMerge w:val="continue"/>
            <w:vAlign w:val="center"/>
          </w:tcPr>
          <w:p>
            <w:pPr>
              <w:spacing w:after="0"/>
              <w:rPr>
                <w:rFonts w:ascii="仿宋" w:hAnsi="仿宋" w:eastAsia="仿宋"/>
                <w:color w:val="auto"/>
                <w:highlight w:val="none"/>
              </w:rPr>
            </w:pPr>
          </w:p>
        </w:tc>
        <w:tc>
          <w:tcPr>
            <w:tcW w:w="89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技工</w:t>
            </w:r>
          </w:p>
        </w:tc>
        <w:tc>
          <w:tcPr>
            <w:tcW w:w="1079" w:type="pct"/>
            <w:gridSpan w:val="2"/>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5" w:type="pct"/>
            <w:vAlign w:val="center"/>
          </w:tcPr>
          <w:p>
            <w:pPr>
              <w:widowControl/>
              <w:spacing w:after="0"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经营范围</w:t>
            </w:r>
          </w:p>
        </w:tc>
        <w:tc>
          <w:tcPr>
            <w:tcW w:w="4074" w:type="pct"/>
            <w:gridSpan w:val="7"/>
            <w:vAlign w:val="center"/>
          </w:tcPr>
          <w:p>
            <w:pPr>
              <w:widowControl/>
              <w:spacing w:after="0" w:line="360" w:lineRule="atLeast"/>
              <w:ind w:firstLine="470" w:firstLineChars="196"/>
              <w:jc w:val="left"/>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5" w:type="pct"/>
          </w:tcPr>
          <w:p>
            <w:pPr>
              <w:widowControl/>
              <w:spacing w:after="0"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备注</w:t>
            </w:r>
          </w:p>
        </w:tc>
        <w:tc>
          <w:tcPr>
            <w:tcW w:w="4074" w:type="pct"/>
            <w:gridSpan w:val="7"/>
          </w:tcPr>
          <w:p>
            <w:pPr>
              <w:widowControl/>
              <w:spacing w:after="0" w:line="360" w:lineRule="atLeast"/>
              <w:ind w:firstLine="470" w:firstLineChars="196"/>
              <w:jc w:val="left"/>
              <w:outlineLvl w:val="1"/>
              <w:rPr>
                <w:rFonts w:ascii="仿宋" w:hAnsi="仿宋" w:eastAsia="仿宋"/>
                <w:color w:val="auto"/>
                <w:sz w:val="24"/>
                <w:highlight w:val="none"/>
              </w:rPr>
            </w:pPr>
          </w:p>
        </w:tc>
      </w:tr>
    </w:tbl>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after="0"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w:t>
      </w:r>
      <w:r>
        <w:rPr>
          <w:rFonts w:ascii="仿宋" w:hAnsi="仿宋" w:eastAsia="仿宋"/>
          <w:color w:val="auto"/>
          <w:sz w:val="24"/>
          <w:highlight w:val="none"/>
        </w:rPr>
        <w:t xml:space="preserve"> </w:t>
      </w:r>
      <w:r>
        <w:rPr>
          <w:rFonts w:hint="eastAsia" w:ascii="仿宋" w:hAnsi="仿宋" w:eastAsia="仿宋"/>
          <w:color w:val="auto"/>
          <w:sz w:val="24"/>
          <w:highlight w:val="none"/>
        </w:rPr>
        <w:t>XXXX。</w:t>
      </w:r>
    </w:p>
    <w:p>
      <w:pPr>
        <w:spacing w:line="360" w:lineRule="auto"/>
        <w:rPr>
          <w:rFonts w:ascii="仿宋" w:hAnsi="仿宋" w:eastAsia="仿宋"/>
          <w:b/>
          <w:color w:val="auto"/>
          <w:sz w:val="36"/>
          <w:szCs w:val="36"/>
          <w:highlight w:val="none"/>
        </w:rPr>
      </w:pPr>
      <w:bookmarkStart w:id="141" w:name="_Toc217446089"/>
      <w:r>
        <w:rPr>
          <w:rFonts w:ascii="仿宋" w:hAnsi="仿宋" w:eastAsia="仿宋"/>
          <w:b/>
          <w:color w:val="auto"/>
          <w:sz w:val="36"/>
          <w:szCs w:val="36"/>
          <w:highlight w:val="none"/>
        </w:rPr>
        <w:br w:type="page"/>
      </w:r>
    </w:p>
    <w:p>
      <w:pPr>
        <w:spacing w:after="0" w:line="360" w:lineRule="auto"/>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8</w:t>
      </w:r>
    </w:p>
    <w:p>
      <w:pPr>
        <w:widowControl/>
        <w:spacing w:line="360" w:lineRule="atLeast"/>
        <w:jc w:val="center"/>
        <w:outlineLvl w:val="1"/>
        <w:rPr>
          <w:rFonts w:ascii="仿宋" w:hAnsi="仿宋" w:eastAsia="仿宋"/>
          <w:b/>
          <w:color w:val="auto"/>
          <w:sz w:val="36"/>
          <w:szCs w:val="36"/>
          <w:highlight w:val="none"/>
        </w:rPr>
      </w:pPr>
      <w:r>
        <w:rPr>
          <w:rFonts w:hint="eastAsia" w:ascii="仿宋" w:hAnsi="仿宋" w:eastAsia="仿宋"/>
          <w:b/>
          <w:color w:val="auto"/>
          <w:sz w:val="36"/>
          <w:szCs w:val="36"/>
          <w:highlight w:val="none"/>
          <w:lang w:val="en-US" w:eastAsia="zh-CN"/>
        </w:rPr>
        <w:t>七</w:t>
      </w:r>
      <w:r>
        <w:rPr>
          <w:rFonts w:hint="eastAsia" w:ascii="仿宋" w:hAnsi="仿宋" w:eastAsia="仿宋"/>
          <w:b/>
          <w:color w:val="auto"/>
          <w:sz w:val="36"/>
          <w:szCs w:val="36"/>
          <w:highlight w:val="none"/>
        </w:rPr>
        <w:t>、类似项目业绩一览表</w:t>
      </w:r>
      <w:bookmarkEnd w:id="141"/>
    </w:p>
    <w:p>
      <w:pPr>
        <w:widowControl/>
        <w:spacing w:line="360" w:lineRule="atLeast"/>
        <w:ind w:firstLine="472" w:firstLineChars="196"/>
        <w:jc w:val="left"/>
        <w:rPr>
          <w:rFonts w:ascii="仿宋" w:hAnsi="仿宋" w:eastAsia="仿宋"/>
          <w:b/>
          <w:color w:val="auto"/>
          <w:sz w:val="24"/>
          <w:highlight w:val="none"/>
        </w:rPr>
      </w:pP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0"/>
        <w:gridCol w:w="1403"/>
        <w:gridCol w:w="1235"/>
        <w:gridCol w:w="1338"/>
        <w:gridCol w:w="11"/>
        <w:gridCol w:w="1725"/>
        <w:gridCol w:w="10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年份</w:t>
            </w:r>
          </w:p>
        </w:tc>
        <w:tc>
          <w:tcPr>
            <w:tcW w:w="844"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用户名称</w:t>
            </w:r>
          </w:p>
        </w:tc>
        <w:tc>
          <w:tcPr>
            <w:tcW w:w="774"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681"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完成时间</w:t>
            </w:r>
          </w:p>
        </w:tc>
        <w:tc>
          <w:tcPr>
            <w:tcW w:w="738"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合同金额</w:t>
            </w:r>
          </w:p>
        </w:tc>
        <w:tc>
          <w:tcPr>
            <w:tcW w:w="956" w:type="pct"/>
            <w:gridSpan w:val="2"/>
            <w:tcBorders>
              <w:right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是否通过验收</w:t>
            </w:r>
          </w:p>
        </w:tc>
        <w:tc>
          <w:tcPr>
            <w:tcW w:w="581" w:type="pct"/>
            <w:tcBorders>
              <w:left w:val="single" w:color="auto" w:sz="4" w:space="0"/>
            </w:tcBorders>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38" w:type="pct"/>
            <w:vAlign w:val="center"/>
          </w:tcPr>
          <w:p>
            <w:pPr>
              <w:widowControl/>
              <w:spacing w:line="360" w:lineRule="atLeast"/>
              <w:ind w:firstLine="470" w:firstLineChars="196"/>
              <w:jc w:val="left"/>
              <w:rPr>
                <w:rFonts w:ascii="仿宋" w:hAnsi="仿宋" w:eastAsia="仿宋"/>
                <w:color w:val="auto"/>
                <w:sz w:val="24"/>
                <w:highlight w:val="none"/>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38" w:type="pct"/>
            <w:vAlign w:val="center"/>
          </w:tcPr>
          <w:p>
            <w:pPr>
              <w:widowControl/>
              <w:spacing w:line="360" w:lineRule="atLeast"/>
              <w:ind w:firstLine="470" w:firstLineChars="196"/>
              <w:jc w:val="left"/>
              <w:rPr>
                <w:rFonts w:ascii="仿宋" w:hAnsi="仿宋" w:eastAsia="仿宋"/>
                <w:color w:val="auto"/>
                <w:sz w:val="24"/>
                <w:highlight w:val="none"/>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38" w:type="pct"/>
            <w:vAlign w:val="center"/>
          </w:tcPr>
          <w:p>
            <w:pPr>
              <w:widowControl/>
              <w:spacing w:line="360" w:lineRule="atLeast"/>
              <w:ind w:firstLine="470" w:firstLineChars="196"/>
              <w:jc w:val="left"/>
              <w:rPr>
                <w:rFonts w:ascii="仿宋" w:hAnsi="仿宋" w:eastAsia="仿宋"/>
                <w:color w:val="auto"/>
                <w:sz w:val="24"/>
                <w:highlight w:val="none"/>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38" w:type="pct"/>
            <w:vAlign w:val="center"/>
          </w:tcPr>
          <w:p>
            <w:pPr>
              <w:widowControl/>
              <w:spacing w:line="360" w:lineRule="atLeast"/>
              <w:ind w:firstLine="470" w:firstLineChars="196"/>
              <w:jc w:val="left"/>
              <w:rPr>
                <w:rFonts w:ascii="仿宋" w:hAnsi="仿宋" w:eastAsia="仿宋"/>
                <w:color w:val="auto"/>
                <w:sz w:val="24"/>
                <w:highlight w:val="none"/>
              </w:rPr>
            </w:pPr>
          </w:p>
        </w:tc>
        <w:tc>
          <w:tcPr>
            <w:tcW w:w="956"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844" w:type="pct"/>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74" w:type="pct"/>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681" w:type="pct"/>
            <w:tcBorders>
              <w:top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c>
          <w:tcPr>
            <w:tcW w:w="581" w:type="pct"/>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注：以上业绩需提供招标文件要求的有关书面证明材料。</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w:t>
      </w:r>
    </w:p>
    <w:p>
      <w:pPr>
        <w:widowControl/>
        <w:spacing w:line="360" w:lineRule="atLeast"/>
        <w:ind w:firstLine="470" w:firstLineChars="196"/>
        <w:jc w:val="left"/>
        <w:rPr>
          <w:rFonts w:ascii="仿宋" w:hAnsi="仿宋" w:eastAsia="仿宋"/>
          <w:b/>
          <w:color w:val="auto"/>
          <w:sz w:val="32"/>
          <w:szCs w:val="32"/>
          <w:highlight w:val="none"/>
        </w:rPr>
      </w:pPr>
      <w:r>
        <w:rPr>
          <w:rFonts w:hint="eastAsia" w:ascii="仿宋" w:hAnsi="仿宋" w:eastAsia="仿宋"/>
          <w:color w:val="auto"/>
          <w:sz w:val="24"/>
          <w:highlight w:val="none"/>
        </w:rPr>
        <w:t>投标日期:</w:t>
      </w:r>
      <w:r>
        <w:rPr>
          <w:rFonts w:ascii="仿宋" w:hAnsi="仿宋" w:eastAsia="仿宋"/>
          <w:color w:val="auto"/>
          <w:sz w:val="24"/>
          <w:highlight w:val="none"/>
        </w:rPr>
        <w:t xml:space="preserve"> </w:t>
      </w:r>
      <w:r>
        <w:rPr>
          <w:rFonts w:hint="eastAsia" w:ascii="仿宋" w:hAnsi="仿宋" w:eastAsia="仿宋"/>
          <w:color w:val="auto"/>
          <w:sz w:val="24"/>
          <w:highlight w:val="none"/>
        </w:rPr>
        <w:t>XXXX。</w:t>
      </w:r>
      <w:bookmarkStart w:id="142" w:name="_Toc217446090"/>
      <w:r>
        <w:rPr>
          <w:rFonts w:ascii="仿宋" w:hAnsi="仿宋" w:eastAsia="仿宋"/>
          <w:b/>
          <w:color w:val="auto"/>
          <w:sz w:val="32"/>
          <w:szCs w:val="32"/>
          <w:highlight w:val="none"/>
        </w:rPr>
        <w:br w:type="page"/>
      </w:r>
    </w:p>
    <w:p>
      <w:pPr>
        <w:spacing w:after="0" w:line="360" w:lineRule="auto"/>
        <w:jc w:val="left"/>
        <w:outlineLvl w:val="1"/>
        <w:rPr>
          <w:rFonts w:hint="eastAsia" w:ascii="仿宋" w:hAnsi="仿宋" w:eastAsia="仿宋"/>
          <w:b/>
          <w:color w:val="auto"/>
          <w:sz w:val="32"/>
          <w:szCs w:val="32"/>
          <w:highlight w:val="none"/>
          <w:lang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9</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八</w:t>
      </w:r>
      <w:r>
        <w:rPr>
          <w:rFonts w:hint="eastAsia" w:ascii="仿宋" w:hAnsi="仿宋" w:eastAsia="仿宋"/>
          <w:b/>
          <w:color w:val="auto"/>
          <w:sz w:val="32"/>
          <w:szCs w:val="32"/>
          <w:highlight w:val="none"/>
        </w:rPr>
        <w:t>、服务应答表</w:t>
      </w:r>
      <w:bookmarkEnd w:id="142"/>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029"/>
        <w:gridCol w:w="2104"/>
        <w:gridCol w:w="2455"/>
        <w:gridCol w:w="2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序号</w:t>
            </w:r>
          </w:p>
        </w:tc>
        <w:tc>
          <w:tcPr>
            <w:tcW w:w="561"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 xml:space="preserve">包号 </w:t>
            </w:r>
          </w:p>
        </w:tc>
        <w:tc>
          <w:tcPr>
            <w:tcW w:w="1147"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招标文件条目号</w:t>
            </w:r>
          </w:p>
        </w:tc>
        <w:tc>
          <w:tcPr>
            <w:tcW w:w="1338"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招标文件要求</w:t>
            </w:r>
          </w:p>
        </w:tc>
        <w:tc>
          <w:tcPr>
            <w:tcW w:w="1490"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1147" w:type="pct"/>
          </w:tcPr>
          <w:p>
            <w:pPr>
              <w:widowControl/>
              <w:spacing w:line="360" w:lineRule="atLeast"/>
              <w:ind w:firstLine="470" w:firstLineChars="196"/>
              <w:jc w:val="left"/>
              <w:rPr>
                <w:rFonts w:ascii="仿宋" w:hAnsi="仿宋" w:eastAsia="仿宋"/>
                <w:color w:val="auto"/>
                <w:sz w:val="24"/>
                <w:highlight w:val="none"/>
              </w:rPr>
            </w:pPr>
          </w:p>
        </w:tc>
        <w:tc>
          <w:tcPr>
            <w:tcW w:w="1338" w:type="pct"/>
          </w:tcPr>
          <w:p>
            <w:pPr>
              <w:widowControl/>
              <w:spacing w:line="360" w:lineRule="atLeast"/>
              <w:ind w:firstLine="470" w:firstLineChars="196"/>
              <w:jc w:val="left"/>
              <w:rPr>
                <w:rFonts w:ascii="仿宋" w:hAnsi="仿宋" w:eastAsia="仿宋"/>
                <w:color w:val="auto"/>
                <w:sz w:val="24"/>
                <w:highlight w:val="none"/>
              </w:rPr>
            </w:pPr>
          </w:p>
        </w:tc>
        <w:tc>
          <w:tcPr>
            <w:tcW w:w="1490" w:type="pct"/>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注：1.</w:t>
      </w:r>
      <w:r>
        <w:rPr>
          <w:rFonts w:ascii="仿宋" w:hAnsi="仿宋" w:eastAsia="仿宋"/>
          <w:color w:val="auto"/>
          <w:sz w:val="24"/>
          <w:highlight w:val="none"/>
        </w:rPr>
        <w:t xml:space="preserve"> </w:t>
      </w:r>
      <w:r>
        <w:rPr>
          <w:rFonts w:hint="eastAsia" w:ascii="仿宋" w:hAnsi="仿宋" w:eastAsia="仿宋"/>
          <w:color w:val="auto"/>
          <w:sz w:val="24"/>
          <w:highlight w:val="none"/>
        </w:rPr>
        <w:t>供应商必须把招标文件</w:t>
      </w:r>
      <w:r>
        <w:rPr>
          <w:rFonts w:hint="eastAsia" w:ascii="仿宋" w:hAnsi="仿宋" w:eastAsia="仿宋"/>
          <w:b/>
          <w:bCs/>
          <w:color w:val="auto"/>
          <w:sz w:val="24"/>
          <w:highlight w:val="none"/>
        </w:rPr>
        <w:t>第六章技术服务要求全部</w:t>
      </w:r>
      <w:r>
        <w:rPr>
          <w:rFonts w:hint="eastAsia" w:ascii="仿宋" w:hAnsi="仿宋" w:eastAsia="仿宋"/>
          <w:color w:val="auto"/>
          <w:sz w:val="24"/>
          <w:highlight w:val="none"/>
        </w:rPr>
        <w:t>列入此表。</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2．按照招标项目技术要求的顺序逐条对应填写。</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3．供应商必须据实填写，不得虚假填写，否则将取消其投标或中标资格。</w:t>
      </w:r>
    </w:p>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w:t>
      </w:r>
      <w:r>
        <w:rPr>
          <w:rFonts w:ascii="仿宋" w:hAnsi="仿宋" w:eastAsia="仿宋"/>
          <w:color w:val="auto"/>
          <w:sz w:val="24"/>
          <w:highlight w:val="none"/>
        </w:rPr>
        <w:t xml:space="preserve"> </w:t>
      </w:r>
      <w:r>
        <w:rPr>
          <w:rFonts w:hint="eastAsia" w:ascii="仿宋" w:hAnsi="仿宋" w:eastAsia="仿宋"/>
          <w:color w:val="auto"/>
          <w:sz w:val="24"/>
          <w:highlight w:val="none"/>
        </w:rPr>
        <w:t>XXXX。</w:t>
      </w:r>
    </w:p>
    <w:p>
      <w:pPr>
        <w:widowControl/>
        <w:spacing w:line="360" w:lineRule="atLeast"/>
        <w:ind w:firstLine="470" w:firstLineChars="196"/>
        <w:jc w:val="left"/>
        <w:rPr>
          <w:rFonts w:ascii="仿宋" w:hAnsi="仿宋" w:eastAsia="仿宋"/>
          <w:color w:val="auto"/>
          <w:sz w:val="24"/>
          <w:highlight w:val="none"/>
        </w:rPr>
      </w:pPr>
    </w:p>
    <w:p>
      <w:pPr>
        <w:spacing w:line="360" w:lineRule="auto"/>
        <w:rPr>
          <w:rFonts w:ascii="仿宋" w:hAnsi="仿宋" w:eastAsia="仿宋"/>
          <w:b/>
          <w:color w:val="auto"/>
          <w:sz w:val="32"/>
          <w:szCs w:val="32"/>
          <w:highlight w:val="none"/>
        </w:rPr>
      </w:pPr>
      <w:bookmarkStart w:id="143" w:name="_Toc217446091"/>
      <w:r>
        <w:rPr>
          <w:rFonts w:ascii="仿宋" w:hAnsi="仿宋" w:eastAsia="仿宋"/>
          <w:b/>
          <w:color w:val="auto"/>
          <w:sz w:val="32"/>
          <w:szCs w:val="32"/>
          <w:highlight w:val="none"/>
        </w:rPr>
        <w:br w:type="page"/>
      </w:r>
    </w:p>
    <w:p>
      <w:pPr>
        <w:spacing w:after="0" w:line="360" w:lineRule="auto"/>
        <w:jc w:val="left"/>
        <w:outlineLvl w:val="1"/>
        <w:rPr>
          <w:rFonts w:hint="default"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rPr>
        <w:t>格式2-</w:t>
      </w:r>
      <w:r>
        <w:rPr>
          <w:rFonts w:hint="eastAsia" w:ascii="仿宋" w:hAnsi="仿宋" w:eastAsia="仿宋"/>
          <w:b/>
          <w:color w:val="auto"/>
          <w:sz w:val="32"/>
          <w:szCs w:val="32"/>
          <w:highlight w:val="none"/>
          <w:lang w:val="en-US" w:eastAsia="zh-CN"/>
        </w:rPr>
        <w:t>10</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lang w:val="en-US" w:eastAsia="zh-CN"/>
        </w:rPr>
        <w:t>九</w:t>
      </w:r>
      <w:r>
        <w:rPr>
          <w:rFonts w:hint="eastAsia" w:ascii="仿宋" w:hAnsi="仿宋" w:eastAsia="仿宋"/>
          <w:b/>
          <w:color w:val="auto"/>
          <w:sz w:val="32"/>
          <w:szCs w:val="32"/>
          <w:highlight w:val="none"/>
        </w:rPr>
        <w:t>、投标人本项目管理、技术、服务人员情况表</w:t>
      </w:r>
      <w:bookmarkEnd w:id="143"/>
    </w:p>
    <w:p>
      <w:pPr>
        <w:widowControl/>
        <w:spacing w:line="360" w:lineRule="atLeast"/>
        <w:ind w:firstLine="472" w:firstLineChars="196"/>
        <w:jc w:val="left"/>
        <w:rPr>
          <w:rFonts w:ascii="仿宋" w:hAnsi="仿宋" w:eastAsia="仿宋"/>
          <w:b/>
          <w:color w:val="auto"/>
          <w:sz w:val="24"/>
          <w:highlight w:val="none"/>
        </w:rPr>
      </w:pP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招标编号：</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976"/>
        <w:gridCol w:w="977"/>
        <w:gridCol w:w="977"/>
        <w:gridCol w:w="977"/>
        <w:gridCol w:w="1030"/>
        <w:gridCol w:w="1162"/>
        <w:gridCol w:w="1026"/>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类别</w:t>
            </w:r>
          </w:p>
        </w:tc>
        <w:tc>
          <w:tcPr>
            <w:tcW w:w="532" w:type="pct"/>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职务</w:t>
            </w:r>
          </w:p>
        </w:tc>
        <w:tc>
          <w:tcPr>
            <w:tcW w:w="532" w:type="pct"/>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姓名</w:t>
            </w:r>
          </w:p>
        </w:tc>
        <w:tc>
          <w:tcPr>
            <w:tcW w:w="532" w:type="pct"/>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职称</w:t>
            </w:r>
          </w:p>
        </w:tc>
        <w:tc>
          <w:tcPr>
            <w:tcW w:w="532" w:type="pct"/>
            <w:vMerge w:val="restar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常住地</w:t>
            </w:r>
          </w:p>
        </w:tc>
        <w:tc>
          <w:tcPr>
            <w:tcW w:w="2238" w:type="pct"/>
            <w:gridSpan w:val="4"/>
            <w:vAlign w:val="center"/>
          </w:tcPr>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vAlign w:val="center"/>
          </w:tcPr>
          <w:p>
            <w:pPr>
              <w:rPr>
                <w:rFonts w:ascii="仿宋" w:hAnsi="仿宋" w:eastAsia="仿宋"/>
                <w:color w:val="auto"/>
                <w:highlight w:val="none"/>
              </w:rPr>
            </w:pPr>
          </w:p>
        </w:tc>
        <w:tc>
          <w:tcPr>
            <w:tcW w:w="532" w:type="pct"/>
            <w:vMerge w:val="continue"/>
            <w:vAlign w:val="center"/>
          </w:tcPr>
          <w:p>
            <w:pPr>
              <w:rPr>
                <w:rFonts w:ascii="仿宋" w:hAnsi="仿宋" w:eastAsia="仿宋"/>
                <w:color w:val="auto"/>
                <w:highlight w:val="none"/>
              </w:rPr>
            </w:pPr>
          </w:p>
        </w:tc>
        <w:tc>
          <w:tcPr>
            <w:tcW w:w="532" w:type="pct"/>
            <w:vMerge w:val="continue"/>
            <w:vAlign w:val="center"/>
          </w:tcPr>
          <w:p>
            <w:pPr>
              <w:rPr>
                <w:rFonts w:ascii="仿宋" w:hAnsi="仿宋" w:eastAsia="仿宋"/>
                <w:color w:val="auto"/>
                <w:highlight w:val="none"/>
              </w:rPr>
            </w:pPr>
          </w:p>
        </w:tc>
        <w:tc>
          <w:tcPr>
            <w:tcW w:w="532" w:type="pct"/>
            <w:vMerge w:val="continue"/>
            <w:vAlign w:val="center"/>
          </w:tcPr>
          <w:p>
            <w:pPr>
              <w:rPr>
                <w:rFonts w:ascii="仿宋" w:hAnsi="仿宋" w:eastAsia="仿宋"/>
                <w:color w:val="auto"/>
                <w:highlight w:val="none"/>
              </w:rPr>
            </w:pPr>
          </w:p>
        </w:tc>
        <w:tc>
          <w:tcPr>
            <w:tcW w:w="532" w:type="pct"/>
            <w:vMerge w:val="continue"/>
            <w:vAlign w:val="center"/>
          </w:tcPr>
          <w:p>
            <w:pPr>
              <w:rPr>
                <w:rFonts w:ascii="仿宋" w:hAnsi="仿宋" w:eastAsia="仿宋"/>
                <w:color w:val="auto"/>
                <w:highlight w:val="none"/>
              </w:rPr>
            </w:pPr>
          </w:p>
        </w:tc>
        <w:tc>
          <w:tcPr>
            <w:tcW w:w="561"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证书</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名称</w:t>
            </w:r>
          </w:p>
        </w:tc>
        <w:tc>
          <w:tcPr>
            <w:tcW w:w="633"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级别</w:t>
            </w:r>
          </w:p>
        </w:tc>
        <w:tc>
          <w:tcPr>
            <w:tcW w:w="559"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证号</w:t>
            </w:r>
          </w:p>
        </w:tc>
        <w:tc>
          <w:tcPr>
            <w:tcW w:w="484" w:type="pct"/>
            <w:vAlign w:val="center"/>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管理</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人员</w:t>
            </w: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color w:val="auto"/>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color w:val="auto"/>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技术</w:t>
            </w:r>
          </w:p>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人员</w:t>
            </w: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continue"/>
          </w:tcPr>
          <w:p>
            <w:pPr>
              <w:rPr>
                <w:rFonts w:ascii="仿宋" w:hAnsi="仿宋" w:eastAsia="仿宋"/>
                <w:color w:val="auto"/>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Pr>
          <w:p>
            <w:pPr>
              <w:rPr>
                <w:rFonts w:ascii="仿宋" w:hAnsi="仿宋" w:eastAsia="仿宋"/>
                <w:color w:val="auto"/>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29" w:type="pct"/>
            <w:vMerge w:val="restart"/>
          </w:tcPr>
          <w:p>
            <w:pPr>
              <w:widowControl/>
              <w:spacing w:line="360" w:lineRule="atLeast"/>
              <w:jc w:val="left"/>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29" w:type="pct"/>
            <w:vMerge w:val="continue"/>
            <w:tcBorders>
              <w:bottom w:val="single" w:color="auto" w:sz="4" w:space="0"/>
            </w:tcBorders>
          </w:tcPr>
          <w:p>
            <w:pPr>
              <w:rPr>
                <w:rFonts w:ascii="仿宋" w:hAnsi="仿宋" w:eastAsia="仿宋"/>
                <w:color w:val="auto"/>
                <w:highlight w:val="none"/>
              </w:rPr>
            </w:pPr>
          </w:p>
        </w:tc>
        <w:tc>
          <w:tcPr>
            <w:tcW w:w="532" w:type="pct"/>
            <w:tcBorders>
              <w:bottom w:val="single" w:color="auto" w:sz="4" w:space="0"/>
            </w:tcBorders>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32" w:type="pct"/>
          </w:tcPr>
          <w:p>
            <w:pPr>
              <w:widowControl/>
              <w:spacing w:line="360" w:lineRule="atLeast"/>
              <w:ind w:firstLine="470" w:firstLineChars="196"/>
              <w:jc w:val="left"/>
              <w:rPr>
                <w:rFonts w:ascii="仿宋" w:hAnsi="仿宋" w:eastAsia="仿宋"/>
                <w:color w:val="auto"/>
                <w:sz w:val="24"/>
                <w:highlight w:val="none"/>
              </w:rPr>
            </w:pPr>
          </w:p>
        </w:tc>
        <w:tc>
          <w:tcPr>
            <w:tcW w:w="561" w:type="pct"/>
          </w:tcPr>
          <w:p>
            <w:pPr>
              <w:widowControl/>
              <w:spacing w:line="360" w:lineRule="atLeast"/>
              <w:ind w:firstLine="470" w:firstLineChars="196"/>
              <w:jc w:val="left"/>
              <w:rPr>
                <w:rFonts w:ascii="仿宋" w:hAnsi="仿宋" w:eastAsia="仿宋"/>
                <w:color w:val="auto"/>
                <w:sz w:val="24"/>
                <w:highlight w:val="none"/>
              </w:rPr>
            </w:pPr>
          </w:p>
        </w:tc>
        <w:tc>
          <w:tcPr>
            <w:tcW w:w="633" w:type="pct"/>
          </w:tcPr>
          <w:p>
            <w:pPr>
              <w:widowControl/>
              <w:spacing w:line="360" w:lineRule="atLeast"/>
              <w:ind w:firstLine="470" w:firstLineChars="196"/>
              <w:jc w:val="left"/>
              <w:rPr>
                <w:rFonts w:ascii="仿宋" w:hAnsi="仿宋" w:eastAsia="仿宋"/>
                <w:color w:val="auto"/>
                <w:sz w:val="24"/>
                <w:highlight w:val="none"/>
              </w:rPr>
            </w:pPr>
          </w:p>
        </w:tc>
        <w:tc>
          <w:tcPr>
            <w:tcW w:w="559" w:type="pct"/>
          </w:tcPr>
          <w:p>
            <w:pPr>
              <w:widowControl/>
              <w:spacing w:line="360" w:lineRule="atLeast"/>
              <w:ind w:firstLine="470" w:firstLineChars="196"/>
              <w:jc w:val="left"/>
              <w:rPr>
                <w:rFonts w:ascii="仿宋" w:hAnsi="仿宋" w:eastAsia="仿宋"/>
                <w:color w:val="auto"/>
                <w:sz w:val="24"/>
                <w:highlight w:val="none"/>
              </w:rPr>
            </w:pPr>
          </w:p>
        </w:tc>
        <w:tc>
          <w:tcPr>
            <w:tcW w:w="484" w:type="pct"/>
          </w:tcPr>
          <w:p>
            <w:pPr>
              <w:widowControl/>
              <w:spacing w:line="360" w:lineRule="atLeast"/>
              <w:ind w:firstLine="470" w:firstLineChars="196"/>
              <w:jc w:val="left"/>
              <w:rPr>
                <w:rFonts w:ascii="仿宋" w:hAnsi="仿宋" w:eastAsia="仿宋"/>
                <w:color w:val="auto"/>
                <w:sz w:val="24"/>
                <w:highlight w:val="none"/>
              </w:rPr>
            </w:pPr>
          </w:p>
        </w:tc>
      </w:tr>
    </w:tbl>
    <w:p>
      <w:pPr>
        <w:widowControl/>
        <w:spacing w:line="360" w:lineRule="atLeast"/>
        <w:ind w:firstLine="470" w:firstLineChars="196"/>
        <w:jc w:val="left"/>
        <w:rPr>
          <w:rFonts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备注：此表填写的管理人员将作为判定87号令第37条依据。</w:t>
      </w:r>
    </w:p>
    <w:p>
      <w:pPr>
        <w:widowControl/>
        <w:spacing w:line="360" w:lineRule="atLeast"/>
        <w:ind w:firstLine="470" w:firstLineChars="196"/>
        <w:jc w:val="left"/>
        <w:rPr>
          <w:rFonts w:hint="eastAsia" w:ascii="仿宋" w:hAnsi="仿宋" w:eastAsia="仿宋"/>
          <w:color w:val="auto"/>
          <w:sz w:val="24"/>
          <w:highlight w:val="none"/>
        </w:rPr>
      </w:pP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投标人名称：XXXX</w:t>
      </w:r>
    </w:p>
    <w:p>
      <w:pPr>
        <w:widowControl/>
        <w:spacing w:line="360" w:lineRule="atLeast"/>
        <w:ind w:firstLine="470" w:firstLineChars="196"/>
        <w:jc w:val="left"/>
        <w:rPr>
          <w:rFonts w:ascii="仿宋" w:hAnsi="仿宋" w:eastAsia="仿宋"/>
          <w:color w:val="auto"/>
          <w:sz w:val="24"/>
          <w:highlight w:val="none"/>
        </w:rPr>
      </w:pPr>
      <w:r>
        <w:rPr>
          <w:rFonts w:hint="eastAsia" w:ascii="仿宋" w:hAnsi="仿宋" w:eastAsia="仿宋"/>
          <w:color w:val="auto"/>
          <w:sz w:val="24"/>
          <w:highlight w:val="none"/>
        </w:rPr>
        <w:t>投标日期:</w:t>
      </w:r>
      <w:r>
        <w:rPr>
          <w:rFonts w:ascii="仿宋" w:hAnsi="仿宋" w:eastAsia="仿宋"/>
          <w:color w:val="auto"/>
          <w:sz w:val="24"/>
          <w:highlight w:val="none"/>
        </w:rPr>
        <w:t xml:space="preserve"> </w:t>
      </w:r>
      <w:r>
        <w:rPr>
          <w:rFonts w:hint="eastAsia" w:ascii="仿宋" w:hAnsi="仿宋" w:eastAsia="仿宋"/>
          <w:color w:val="auto"/>
          <w:sz w:val="24"/>
          <w:highlight w:val="none"/>
        </w:rPr>
        <w:t>XXXX。</w:t>
      </w:r>
    </w:p>
    <w:p>
      <w:pPr>
        <w:widowControl/>
        <w:spacing w:line="360" w:lineRule="atLeast"/>
        <w:ind w:firstLine="472" w:firstLineChars="196"/>
        <w:jc w:val="left"/>
        <w:rPr>
          <w:rFonts w:ascii="仿宋" w:hAnsi="仿宋" w:eastAsia="仿宋"/>
          <w:b/>
          <w:color w:val="auto"/>
          <w:sz w:val="24"/>
          <w:highlight w:val="none"/>
        </w:rPr>
      </w:pPr>
    </w:p>
    <w:p>
      <w:pPr>
        <w:bidi w:val="0"/>
        <w:rPr>
          <w:rFonts w:ascii="仿宋" w:hAnsi="仿宋" w:eastAsia="仿宋" w:cs="宋体"/>
          <w:color w:val="auto"/>
          <w:spacing w:val="6"/>
          <w:sz w:val="24"/>
          <w:highlight w:val="none"/>
        </w:rPr>
      </w:pPr>
      <w:r>
        <w:rPr>
          <w:rFonts w:ascii="仿宋" w:hAnsi="仿宋" w:eastAsia="仿宋"/>
          <w:b/>
          <w:color w:val="auto"/>
          <w:sz w:val="24"/>
          <w:highlight w:val="none"/>
        </w:rPr>
        <w:br w:type="page"/>
      </w:r>
      <w:bookmarkStart w:id="144" w:name="_Toc28495"/>
    </w:p>
    <w:p>
      <w:pPr>
        <w:spacing w:line="300" w:lineRule="exact"/>
        <w:rPr>
          <w:rFonts w:ascii="仿宋" w:hAnsi="仿宋" w:eastAsia="仿宋" w:cs="宋体"/>
          <w:color w:val="auto"/>
          <w:sz w:val="24"/>
          <w:highlight w:val="none"/>
        </w:rPr>
        <w:sectPr>
          <w:footerReference r:id="rId14" w:type="default"/>
          <w:pgSz w:w="11905" w:h="16838"/>
          <w:pgMar w:top="1440" w:right="1474" w:bottom="1440" w:left="1474" w:header="425" w:footer="992" w:gutter="0"/>
          <w:pgNumType w:fmt="decimal"/>
          <w:cols w:space="0" w:num="1"/>
          <w:titlePg/>
          <w:rtlGutter w:val="0"/>
          <w:docGrid w:linePitch="312" w:charSpace="0"/>
        </w:sectPr>
      </w:pPr>
    </w:p>
    <w:p>
      <w:pPr>
        <w:pStyle w:val="3"/>
        <w:spacing w:line="240" w:lineRule="auto"/>
        <w:jc w:val="center"/>
        <w:rPr>
          <w:rFonts w:ascii="仿宋" w:hAnsi="仿宋" w:eastAsia="仿宋"/>
          <w:color w:val="auto"/>
          <w:sz w:val="36"/>
          <w:szCs w:val="36"/>
          <w:highlight w:val="none"/>
        </w:rPr>
      </w:pPr>
      <w:bookmarkStart w:id="145" w:name="_Toc32359"/>
      <w:r>
        <w:rPr>
          <w:rFonts w:hint="eastAsia" w:ascii="仿宋" w:hAnsi="仿宋" w:eastAsia="仿宋"/>
          <w:color w:val="auto"/>
          <w:sz w:val="36"/>
          <w:szCs w:val="36"/>
          <w:highlight w:val="none"/>
        </w:rPr>
        <w:t>第四章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投标人和投标产品的资格、资质性及其他类似效力要求</w:t>
      </w:r>
      <w:bookmarkEnd w:id="144"/>
      <w:bookmarkEnd w:id="145"/>
    </w:p>
    <w:p>
      <w:pPr>
        <w:pStyle w:val="4"/>
        <w:spacing w:line="3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一、投标人资格、资质性及其他类似效力要求</w:t>
      </w:r>
    </w:p>
    <w:p>
      <w:pPr>
        <w:pStyle w:val="44"/>
        <w:spacing w:line="420" w:lineRule="exact"/>
        <w:ind w:firstLine="0" w:firstLineChars="0"/>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（一）资格要求：</w:t>
      </w:r>
      <w:r>
        <w:rPr>
          <w:rFonts w:hint="eastAsia" w:ascii="仿宋" w:hAnsi="仿宋" w:eastAsia="仿宋"/>
          <w:b/>
          <w:bCs/>
          <w:color w:val="auto"/>
          <w:sz w:val="24"/>
          <w:highlight w:val="none"/>
          <w:lang w:eastAsia="zh-CN"/>
        </w:rPr>
        <w:t>详见第五章资格性审查。</w:t>
      </w:r>
    </w:p>
    <w:p>
      <w:pPr>
        <w:pStyle w:val="44"/>
        <w:spacing w:line="420" w:lineRule="exact"/>
        <w:ind w:firstLine="0" w:firstLineChars="0"/>
        <w:rPr>
          <w:rFonts w:ascii="仿宋" w:hAnsi="仿宋" w:eastAsia="仿宋"/>
          <w:b/>
          <w:bCs/>
          <w:color w:val="auto"/>
          <w:sz w:val="24"/>
          <w:highlight w:val="none"/>
        </w:rPr>
      </w:pPr>
      <w:r>
        <w:rPr>
          <w:rFonts w:hint="eastAsia" w:ascii="仿宋" w:hAnsi="仿宋" w:eastAsia="仿宋"/>
          <w:b/>
          <w:bCs/>
          <w:color w:val="auto"/>
          <w:sz w:val="24"/>
          <w:highlight w:val="none"/>
        </w:rPr>
        <w:t>（二）资质性要求：</w:t>
      </w:r>
      <w:r>
        <w:rPr>
          <w:rFonts w:hint="eastAsia" w:ascii="仿宋" w:hAnsi="仿宋" w:eastAsia="仿宋"/>
          <w:b/>
          <w:bCs/>
          <w:color w:val="auto"/>
          <w:sz w:val="24"/>
          <w:highlight w:val="none"/>
          <w:lang w:eastAsia="zh-CN"/>
        </w:rPr>
        <w:t>详见第五章资格性审查。</w:t>
      </w:r>
    </w:p>
    <w:p>
      <w:pPr>
        <w:pStyle w:val="44"/>
        <w:spacing w:line="420" w:lineRule="exact"/>
        <w:ind w:firstLine="0" w:firstLineChars="0"/>
        <w:rPr>
          <w:rFonts w:ascii="仿宋" w:hAnsi="仿宋" w:eastAsia="仿宋"/>
          <w:b/>
          <w:color w:val="auto"/>
          <w:sz w:val="24"/>
          <w:highlight w:val="none"/>
        </w:rPr>
      </w:pPr>
      <w:r>
        <w:rPr>
          <w:rFonts w:hint="eastAsia" w:ascii="仿宋" w:hAnsi="仿宋" w:eastAsia="仿宋"/>
          <w:b/>
          <w:bCs/>
          <w:color w:val="auto"/>
          <w:sz w:val="24"/>
          <w:highlight w:val="none"/>
        </w:rPr>
        <w:t>（三）其他类似效力要求：</w:t>
      </w:r>
      <w:r>
        <w:rPr>
          <w:rFonts w:hint="eastAsia" w:ascii="仿宋" w:hAnsi="仿宋" w:eastAsia="仿宋"/>
          <w:b/>
          <w:bCs/>
          <w:color w:val="auto"/>
          <w:sz w:val="24"/>
          <w:highlight w:val="none"/>
          <w:lang w:eastAsia="zh-CN"/>
        </w:rPr>
        <w:t>详见第五章资格性审查。</w:t>
      </w:r>
    </w:p>
    <w:p>
      <w:pPr>
        <w:pStyle w:val="4"/>
        <w:spacing w:line="360" w:lineRule="exact"/>
        <w:rPr>
          <w:rFonts w:ascii="仿宋" w:hAnsi="仿宋" w:eastAsia="仿宋"/>
          <w:color w:val="auto"/>
          <w:sz w:val="24"/>
          <w:szCs w:val="24"/>
          <w:highlight w:val="none"/>
        </w:rPr>
      </w:pPr>
      <w:r>
        <w:rPr>
          <w:rFonts w:hint="eastAsia" w:ascii="仿宋" w:hAnsi="仿宋" w:eastAsia="仿宋"/>
          <w:b w:val="0"/>
          <w:bCs w:val="0"/>
          <w:color w:val="auto"/>
          <w:sz w:val="24"/>
          <w:szCs w:val="24"/>
          <w:highlight w:val="none"/>
        </w:rPr>
        <w:t>二、</w:t>
      </w:r>
      <w:r>
        <w:rPr>
          <w:rFonts w:hint="eastAsia" w:ascii="仿宋" w:hAnsi="仿宋" w:eastAsia="仿宋"/>
          <w:color w:val="auto"/>
          <w:sz w:val="24"/>
          <w:szCs w:val="24"/>
          <w:highlight w:val="none"/>
        </w:rPr>
        <w:t>投标产品的资格、资质性及其他具有类似效力的要求</w:t>
      </w:r>
    </w:p>
    <w:p>
      <w:pPr>
        <w:rPr>
          <w:rFonts w:ascii="仿宋" w:hAnsi="仿宋" w:eastAsia="仿宋"/>
          <w:b/>
          <w:bCs/>
          <w:color w:val="auto"/>
          <w:sz w:val="24"/>
          <w:highlight w:val="none"/>
        </w:rPr>
      </w:pPr>
      <w:r>
        <w:rPr>
          <w:rFonts w:hint="eastAsia" w:ascii="仿宋" w:hAnsi="仿宋" w:eastAsia="仿宋"/>
          <w:b/>
          <w:bCs/>
          <w:color w:val="auto"/>
          <w:sz w:val="24"/>
          <w:highlight w:val="none"/>
        </w:rPr>
        <w:t>（一）资格要求：</w:t>
      </w:r>
      <w:r>
        <w:rPr>
          <w:rFonts w:hint="eastAsia" w:ascii="仿宋" w:hAnsi="仿宋" w:eastAsia="仿宋"/>
          <w:b/>
          <w:bCs/>
          <w:color w:val="auto"/>
          <w:sz w:val="24"/>
          <w:highlight w:val="none"/>
          <w:lang w:eastAsia="zh-CN"/>
        </w:rPr>
        <w:t>详见第五章资格性审查。</w:t>
      </w:r>
    </w:p>
    <w:p>
      <w:pPr>
        <w:rPr>
          <w:rFonts w:ascii="仿宋" w:hAnsi="仿宋" w:eastAsia="仿宋"/>
          <w:b/>
          <w:bCs/>
          <w:color w:val="auto"/>
          <w:sz w:val="24"/>
          <w:highlight w:val="none"/>
        </w:rPr>
      </w:pPr>
      <w:r>
        <w:rPr>
          <w:rFonts w:hint="eastAsia" w:ascii="仿宋" w:hAnsi="仿宋" w:eastAsia="仿宋"/>
          <w:b/>
          <w:bCs/>
          <w:color w:val="auto"/>
          <w:sz w:val="24"/>
          <w:highlight w:val="none"/>
        </w:rPr>
        <w:t>（二）资质性要求：</w:t>
      </w:r>
      <w:r>
        <w:rPr>
          <w:rFonts w:hint="eastAsia" w:ascii="仿宋" w:hAnsi="仿宋" w:eastAsia="仿宋"/>
          <w:b/>
          <w:bCs/>
          <w:color w:val="auto"/>
          <w:sz w:val="24"/>
          <w:highlight w:val="none"/>
          <w:lang w:eastAsia="zh-CN"/>
        </w:rPr>
        <w:t>详见第五章资格性审查。</w:t>
      </w:r>
    </w:p>
    <w:p>
      <w:pPr>
        <w:pStyle w:val="44"/>
        <w:spacing w:line="420" w:lineRule="exact"/>
        <w:ind w:firstLine="0" w:firstLineChars="0"/>
        <w:rPr>
          <w:rFonts w:ascii="仿宋" w:hAnsi="仿宋" w:eastAsia="仿宋"/>
          <w:b/>
          <w:color w:val="auto"/>
          <w:sz w:val="24"/>
          <w:highlight w:val="none"/>
        </w:rPr>
      </w:pPr>
      <w:r>
        <w:rPr>
          <w:rFonts w:hint="eastAsia" w:ascii="仿宋" w:hAnsi="仿宋" w:eastAsia="仿宋"/>
          <w:b/>
          <w:bCs/>
          <w:color w:val="auto"/>
          <w:sz w:val="24"/>
          <w:highlight w:val="none"/>
        </w:rPr>
        <w:t>（三）其他类似效力要求：</w:t>
      </w:r>
      <w:r>
        <w:rPr>
          <w:rFonts w:hint="eastAsia" w:ascii="仿宋" w:hAnsi="仿宋" w:eastAsia="仿宋"/>
          <w:b/>
          <w:bCs/>
          <w:color w:val="auto"/>
          <w:sz w:val="24"/>
          <w:highlight w:val="none"/>
          <w:lang w:eastAsia="zh-CN"/>
        </w:rPr>
        <w:t>详见第五章资格性审查。</w:t>
      </w:r>
    </w:p>
    <w:p>
      <w:pPr>
        <w:pStyle w:val="44"/>
        <w:numPr>
          <w:ilvl w:val="0"/>
          <w:numId w:val="0"/>
        </w:numPr>
        <w:spacing w:line="420" w:lineRule="exact"/>
        <w:rPr>
          <w:rFonts w:ascii="仿宋" w:hAnsi="仿宋" w:eastAsia="仿宋"/>
          <w:b/>
          <w:color w:val="auto"/>
          <w:sz w:val="24"/>
          <w:highlight w:val="none"/>
        </w:rPr>
      </w:pPr>
    </w:p>
    <w:p>
      <w:pPr>
        <w:pStyle w:val="3"/>
        <w:spacing w:line="240" w:lineRule="auto"/>
        <w:jc w:val="center"/>
        <w:rPr>
          <w:rFonts w:hint="default" w:ascii="仿宋" w:hAnsi="仿宋" w:eastAsia="仿宋"/>
          <w:color w:val="auto"/>
          <w:sz w:val="36"/>
          <w:szCs w:val="36"/>
          <w:highlight w:val="none"/>
          <w:lang w:val="en-US" w:eastAsia="zh-CN"/>
        </w:rPr>
      </w:pPr>
      <w:bookmarkStart w:id="146" w:name="_Toc1588"/>
      <w:r>
        <w:rPr>
          <w:rFonts w:ascii="仿宋" w:hAnsi="仿宋" w:eastAsia="仿宋"/>
          <w:color w:val="auto"/>
          <w:sz w:val="36"/>
          <w:szCs w:val="36"/>
          <w:highlight w:val="none"/>
        </w:rPr>
        <w:br w:type="page"/>
      </w:r>
      <w:bookmarkStart w:id="147" w:name="_Toc13090"/>
      <w:r>
        <w:rPr>
          <w:rFonts w:hint="eastAsia" w:ascii="仿宋" w:hAnsi="仿宋" w:eastAsia="仿宋"/>
          <w:color w:val="auto"/>
          <w:sz w:val="36"/>
          <w:szCs w:val="36"/>
          <w:highlight w:val="none"/>
        </w:rPr>
        <w:t>第五章</w:t>
      </w:r>
      <w:r>
        <w:rPr>
          <w:rFonts w:ascii="仿宋" w:hAnsi="仿宋" w:eastAsia="仿宋"/>
          <w:color w:val="auto"/>
          <w:sz w:val="36"/>
          <w:szCs w:val="36"/>
          <w:highlight w:val="none"/>
        </w:rPr>
        <w:t xml:space="preserve">  </w:t>
      </w:r>
      <w:bookmarkEnd w:id="146"/>
      <w:r>
        <w:rPr>
          <w:rFonts w:hint="eastAsia" w:ascii="仿宋" w:hAnsi="仿宋" w:eastAsia="仿宋"/>
          <w:color w:val="auto"/>
          <w:sz w:val="36"/>
          <w:szCs w:val="36"/>
          <w:highlight w:val="none"/>
          <w:lang w:val="en-US" w:eastAsia="zh-CN"/>
        </w:rPr>
        <w:t>资格性审查要求</w:t>
      </w:r>
      <w:bookmarkEnd w:id="147"/>
    </w:p>
    <w:p>
      <w:pPr>
        <w:rPr>
          <w:rFonts w:ascii="仿宋" w:hAnsi="仿宋" w:eastAsia="仿宋"/>
          <w:color w:val="auto"/>
          <w:highlight w:val="none"/>
        </w:rPr>
      </w:pPr>
    </w:p>
    <w:p>
      <w:pPr>
        <w:spacing w:line="360" w:lineRule="auto"/>
        <w:jc w:val="left"/>
        <w:rPr>
          <w:rFonts w:ascii="仿宋" w:hAnsi="仿宋" w:eastAsia="仿宋"/>
          <w:b/>
          <w:bCs/>
          <w:color w:val="auto"/>
          <w:sz w:val="28"/>
          <w:szCs w:val="28"/>
          <w:highlight w:val="none"/>
        </w:rPr>
      </w:pPr>
      <w:r>
        <w:rPr>
          <w:rFonts w:hint="eastAsia" w:ascii="仿宋" w:hAnsi="仿宋" w:eastAsia="仿宋"/>
          <w:b/>
          <w:bCs/>
          <w:color w:val="auto"/>
          <w:sz w:val="28"/>
          <w:szCs w:val="28"/>
          <w:highlight w:val="none"/>
        </w:rPr>
        <w:t>采购人或者采购代理机构应当依法对投标人的资格进行审查，资格审查内容详见下表。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523"/>
        <w:gridCol w:w="3886"/>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资格</w:t>
            </w:r>
            <w:r>
              <w:rPr>
                <w:rFonts w:hint="eastAsia" w:ascii="仿宋" w:hAnsi="仿宋" w:eastAsia="仿宋" w:cs="仿宋"/>
                <w:b/>
                <w:color w:val="auto"/>
                <w:sz w:val="24"/>
                <w:highlight w:val="none"/>
                <w:lang w:eastAsia="zh-CN"/>
              </w:rPr>
              <w:t>性</w:t>
            </w:r>
            <w:r>
              <w:rPr>
                <w:rFonts w:hint="eastAsia" w:ascii="仿宋" w:hAnsi="仿宋" w:eastAsia="仿宋" w:cs="仿宋"/>
                <w:b/>
                <w:color w:val="auto"/>
                <w:sz w:val="24"/>
                <w:highlight w:val="none"/>
              </w:rPr>
              <w:t>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 w:type="pct"/>
            <w:vAlign w:val="center"/>
          </w:tcPr>
          <w:p>
            <w:pPr>
              <w:tabs>
                <w:tab w:val="left" w:pos="851"/>
              </w:tabs>
              <w:spacing w:line="240" w:lineRule="auto"/>
              <w:jc w:val="center"/>
              <w:rPr>
                <w:rFonts w:ascii="仿宋" w:hAnsi="仿宋" w:eastAsia="仿宋" w:cs="仿宋"/>
                <w:b/>
                <w:bCs w:val="0"/>
                <w:color w:val="auto"/>
                <w:sz w:val="24"/>
                <w:highlight w:val="none"/>
              </w:rPr>
            </w:pPr>
            <w:r>
              <w:rPr>
                <w:rFonts w:hint="eastAsia" w:ascii="仿宋" w:hAnsi="仿宋" w:eastAsia="仿宋" w:cs="仿宋"/>
                <w:b/>
                <w:bCs w:val="0"/>
                <w:color w:val="auto"/>
                <w:sz w:val="24"/>
                <w:highlight w:val="none"/>
              </w:rPr>
              <w:t>序号</w:t>
            </w:r>
          </w:p>
        </w:tc>
        <w:tc>
          <w:tcPr>
            <w:tcW w:w="1375" w:type="pct"/>
            <w:vAlign w:val="center"/>
          </w:tcPr>
          <w:p>
            <w:pPr>
              <w:tabs>
                <w:tab w:val="left" w:pos="851"/>
              </w:tabs>
              <w:spacing w:line="240" w:lineRule="auto"/>
              <w:jc w:val="center"/>
              <w:rPr>
                <w:rFonts w:ascii="仿宋" w:hAnsi="仿宋" w:eastAsia="仿宋" w:cs="仿宋"/>
                <w:b/>
                <w:bCs w:val="0"/>
                <w:color w:val="auto"/>
                <w:sz w:val="24"/>
                <w:highlight w:val="none"/>
              </w:rPr>
            </w:pPr>
            <w:r>
              <w:rPr>
                <w:rFonts w:hint="eastAsia" w:ascii="仿宋" w:hAnsi="仿宋" w:eastAsia="仿宋" w:cs="仿宋"/>
                <w:b/>
                <w:bCs w:val="0"/>
                <w:color w:val="auto"/>
                <w:sz w:val="24"/>
                <w:highlight w:val="none"/>
              </w:rPr>
              <w:t>第四章  投标人和投标产品的资格、资质性及其他类似效力要求</w:t>
            </w:r>
          </w:p>
        </w:tc>
        <w:tc>
          <w:tcPr>
            <w:tcW w:w="2118" w:type="pct"/>
            <w:vAlign w:val="center"/>
          </w:tcPr>
          <w:p>
            <w:pPr>
              <w:tabs>
                <w:tab w:val="left" w:pos="851"/>
              </w:tabs>
              <w:spacing w:line="240" w:lineRule="auto"/>
              <w:jc w:val="center"/>
              <w:rPr>
                <w:rFonts w:ascii="仿宋" w:hAnsi="仿宋" w:eastAsia="仿宋" w:cs="仿宋"/>
                <w:b/>
                <w:bCs w:val="0"/>
                <w:color w:val="auto"/>
                <w:sz w:val="24"/>
                <w:highlight w:val="none"/>
              </w:rPr>
            </w:pPr>
            <w:r>
              <w:rPr>
                <w:rFonts w:hint="eastAsia" w:ascii="仿宋" w:hAnsi="仿宋" w:eastAsia="仿宋" w:cs="仿宋"/>
                <w:b/>
                <w:bCs w:val="0"/>
                <w:color w:val="auto"/>
                <w:sz w:val="24"/>
                <w:highlight w:val="none"/>
              </w:rPr>
              <w:t>资格审查要求</w:t>
            </w:r>
          </w:p>
        </w:tc>
        <w:tc>
          <w:tcPr>
            <w:tcW w:w="1048" w:type="pct"/>
            <w:vAlign w:val="center"/>
          </w:tcPr>
          <w:p>
            <w:pPr>
              <w:spacing w:line="240" w:lineRule="auto"/>
              <w:jc w:val="center"/>
              <w:rPr>
                <w:rFonts w:ascii="仿宋" w:hAnsi="仿宋" w:eastAsia="仿宋" w:cs="仿宋"/>
                <w:b/>
                <w:bCs w:val="0"/>
                <w:color w:val="auto"/>
                <w:sz w:val="24"/>
                <w:highlight w:val="none"/>
              </w:rPr>
            </w:pPr>
            <w:r>
              <w:rPr>
                <w:rFonts w:hint="eastAsia" w:ascii="仿宋" w:hAnsi="仿宋" w:eastAsia="仿宋"/>
                <w:b/>
                <w:bCs w:val="0"/>
                <w:color w:val="auto"/>
                <w:sz w:val="24"/>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458" w:type="pct"/>
            <w:vMerge w:val="restar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1375" w:type="pct"/>
            <w:vMerge w:val="restar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1、满足《中华人民共和国政府采购法》第二十二条规定；</w:t>
            </w:r>
          </w:p>
        </w:tc>
        <w:tc>
          <w:tcPr>
            <w:tcW w:w="2118" w:type="pct"/>
            <w:vAlign w:val="center"/>
          </w:tcPr>
          <w:p>
            <w:pPr>
              <w:pStyle w:val="44"/>
              <w:spacing w:line="240" w:lineRule="auto"/>
              <w:ind w:firstLine="0" w:firstLineChars="0"/>
              <w:rPr>
                <w:rFonts w:ascii="仿宋" w:hAnsi="仿宋" w:eastAsia="仿宋" w:cs="仿宋"/>
                <w:bCs/>
                <w:color w:val="auto"/>
                <w:sz w:val="24"/>
                <w:highlight w:val="none"/>
              </w:rPr>
            </w:pPr>
            <w:r>
              <w:rPr>
                <w:rFonts w:hint="eastAsia" w:ascii="仿宋" w:hAnsi="仿宋" w:eastAsia="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spacing w:line="240" w:lineRule="auto"/>
              <w:rPr>
                <w:rFonts w:hint="eastAsia" w:ascii="仿宋" w:hAnsi="仿宋" w:eastAsia="仿宋"/>
                <w:color w:val="auto"/>
                <w:sz w:val="24"/>
                <w:highlight w:val="none"/>
              </w:rPr>
            </w:pPr>
            <w:r>
              <w:rPr>
                <w:rFonts w:hint="eastAsia" w:ascii="仿宋" w:hAnsi="仿宋" w:eastAsia="仿宋"/>
                <w:color w:val="auto"/>
                <w:sz w:val="24"/>
                <w:highlight w:val="none"/>
              </w:rPr>
              <w:t>1.2、具备良好商业信誉的证明材料（可提供承诺函，格式详见第三章）</w:t>
            </w:r>
          </w:p>
          <w:p>
            <w:pPr>
              <w:spacing w:line="240" w:lineRule="auto"/>
              <w:rPr>
                <w:rFonts w:hint="eastAsia" w:ascii="仿宋" w:hAnsi="仿宋" w:eastAsia="仿宋"/>
                <w:color w:val="auto"/>
                <w:sz w:val="24"/>
                <w:highlight w:val="none"/>
              </w:rPr>
            </w:pPr>
            <w:r>
              <w:rPr>
                <w:rFonts w:hint="eastAsia" w:ascii="仿宋" w:hAnsi="仿宋" w:eastAsia="仿宋"/>
                <w:color w:val="auto"/>
                <w:sz w:val="24"/>
                <w:highlight w:val="none"/>
                <w:lang w:eastAsia="zh-CN"/>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pStyle w:val="44"/>
              <w:spacing w:line="240" w:lineRule="auto"/>
              <w:ind w:firstLine="0" w:firstLineChars="0"/>
              <w:rPr>
                <w:rFonts w:ascii="仿宋" w:hAnsi="仿宋" w:eastAsia="仿宋" w:cs="仿宋"/>
                <w:bCs/>
                <w:color w:val="auto"/>
                <w:sz w:val="24"/>
                <w:highlight w:val="none"/>
              </w:rPr>
            </w:pPr>
            <w:r>
              <w:rPr>
                <w:rFonts w:hint="eastAsia" w:ascii="仿宋" w:hAnsi="仿宋" w:eastAsia="仿宋"/>
                <w:color w:val="auto"/>
                <w:sz w:val="24"/>
                <w:highlight w:val="none"/>
              </w:rPr>
              <w:t>1.3、具备健全的财务会计制度的证明材料；｛注：①可提供20</w:t>
            </w:r>
            <w:r>
              <w:rPr>
                <w:rFonts w:hint="eastAsia" w:ascii="仿宋" w:hAnsi="仿宋" w:eastAsia="仿宋"/>
                <w:color w:val="auto"/>
                <w:sz w:val="24"/>
                <w:highlight w:val="none"/>
                <w:lang w:val="en-US" w:eastAsia="zh-CN"/>
              </w:rPr>
              <w:t>19</w:t>
            </w:r>
            <w:r>
              <w:rPr>
                <w:rFonts w:hint="eastAsia" w:ascii="仿宋" w:hAnsi="仿宋" w:eastAsia="仿宋"/>
                <w:color w:val="auto"/>
                <w:sz w:val="24"/>
                <w:highlight w:val="none"/>
              </w:rPr>
              <w:t>或20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年度经审计的财务报告复印件（包含审计报告和审计报告中所涉及的财务报表和报表附注），②也可提供20</w:t>
            </w:r>
            <w:r>
              <w:rPr>
                <w:rFonts w:hint="eastAsia" w:ascii="仿宋" w:hAnsi="仿宋" w:eastAsia="仿宋"/>
                <w:color w:val="auto"/>
                <w:sz w:val="24"/>
                <w:highlight w:val="none"/>
                <w:lang w:val="en-US" w:eastAsia="zh-CN"/>
              </w:rPr>
              <w:t>19</w:t>
            </w:r>
            <w:r>
              <w:rPr>
                <w:rFonts w:hint="eastAsia" w:ascii="仿宋" w:hAnsi="仿宋" w:eastAsia="仿宋"/>
                <w:color w:val="auto"/>
                <w:sz w:val="24"/>
                <w:highlight w:val="none"/>
              </w:rPr>
              <w:t>或20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auto"/>
                <w:sz w:val="24"/>
                <w:highlight w:val="none"/>
              </w:rPr>
              <w:t>部门印章</w:t>
            </w:r>
            <w:r>
              <w:rPr>
                <w:rFonts w:hint="eastAsia" w:ascii="仿宋" w:hAnsi="仿宋" w:eastAsia="仿宋"/>
                <w:color w:val="auto"/>
                <w:sz w:val="24"/>
                <w:highlight w:val="none"/>
              </w:rPr>
              <w:t>的公司章程复印件。｝</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spacing w:line="240" w:lineRule="auto"/>
              <w:rPr>
                <w:rFonts w:ascii="仿宋" w:hAnsi="仿宋" w:eastAsia="仿宋" w:cs="仿宋"/>
                <w:bCs/>
                <w:color w:val="auto"/>
                <w:sz w:val="24"/>
                <w:highlight w:val="none"/>
              </w:rPr>
            </w:pPr>
            <w:r>
              <w:rPr>
                <w:rFonts w:hint="eastAsia" w:ascii="仿宋" w:hAnsi="仿宋" w:eastAsia="仿宋"/>
                <w:color w:val="auto"/>
                <w:sz w:val="24"/>
                <w:highlight w:val="none"/>
              </w:rPr>
              <w:t>1.4、具有依法缴纳税收和社会保障资金的良好记录（可提供承诺函，格式详见第三章）；</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pStyle w:val="44"/>
              <w:spacing w:line="240" w:lineRule="auto"/>
              <w:ind w:firstLine="0" w:firstLineChars="0"/>
              <w:rPr>
                <w:rFonts w:ascii="仿宋" w:hAnsi="仿宋" w:eastAsia="仿宋"/>
                <w:color w:val="auto"/>
                <w:sz w:val="24"/>
                <w:highlight w:val="none"/>
              </w:rPr>
            </w:pPr>
            <w:r>
              <w:rPr>
                <w:rFonts w:hint="eastAsia" w:ascii="仿宋" w:hAnsi="仿宋" w:eastAsia="仿宋"/>
                <w:color w:val="auto"/>
                <w:sz w:val="24"/>
                <w:highlight w:val="none"/>
              </w:rPr>
              <w:t>1.5、具备履行合同所必需的设备和专业技术能力的证明材料（可提供承诺函，格式详见第三章）；</w:t>
            </w:r>
          </w:p>
          <w:p>
            <w:pPr>
              <w:spacing w:line="240" w:lineRule="auto"/>
              <w:rPr>
                <w:rFonts w:ascii="仿宋" w:hAnsi="仿宋" w:eastAsia="仿宋" w:cs="仿宋"/>
                <w:bCs/>
                <w:color w:val="auto"/>
                <w:sz w:val="24"/>
                <w:highlight w:val="none"/>
              </w:rPr>
            </w:pP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pStyle w:val="44"/>
              <w:spacing w:line="240" w:lineRule="auto"/>
              <w:ind w:firstLine="0" w:firstLineChars="0"/>
              <w:rPr>
                <w:rFonts w:hint="eastAsia" w:ascii="仿宋" w:hAnsi="仿宋" w:eastAsia="仿宋"/>
                <w:color w:val="auto"/>
                <w:sz w:val="24"/>
                <w:highlight w:val="none"/>
              </w:rPr>
            </w:pPr>
            <w:r>
              <w:rPr>
                <w:rFonts w:hint="eastAsia" w:ascii="仿宋" w:hAnsi="仿宋" w:eastAsia="仿宋"/>
                <w:color w:val="auto"/>
                <w:sz w:val="24"/>
                <w:highlight w:val="none"/>
              </w:rPr>
              <w:t>1.6、参加政府采购活动前3年内在经营活动中没有重大违法记录的承诺函（格式详见第三章）；</w:t>
            </w:r>
          </w:p>
          <w:p>
            <w:pPr>
              <w:pStyle w:val="44"/>
              <w:spacing w:line="240" w:lineRule="auto"/>
              <w:ind w:firstLine="0" w:firstLineChars="0"/>
              <w:rPr>
                <w:rFonts w:ascii="仿宋" w:hAnsi="仿宋" w:eastAsia="仿宋" w:cs="仿宋"/>
                <w:bCs/>
                <w:color w:val="auto"/>
                <w:sz w:val="24"/>
                <w:highlight w:val="none"/>
              </w:rPr>
            </w:pPr>
            <w:r>
              <w:rPr>
                <w:rFonts w:hint="eastAsia" w:ascii="仿宋" w:hAnsi="仿宋" w:eastAsia="仿宋" w:cs="仿宋"/>
                <w:b w:val="0"/>
                <w:bCs/>
                <w:color w:val="auto"/>
                <w:sz w:val="24"/>
                <w:szCs w:val="24"/>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Merge w:val="continue"/>
            <w:vAlign w:val="center"/>
          </w:tcPr>
          <w:p>
            <w:pPr>
              <w:spacing w:line="240" w:lineRule="auto"/>
              <w:jc w:val="center"/>
              <w:rPr>
                <w:rFonts w:ascii="仿宋" w:hAnsi="仿宋" w:eastAsia="仿宋" w:cs="仿宋"/>
                <w:bCs/>
                <w:color w:val="auto"/>
                <w:sz w:val="24"/>
                <w:highlight w:val="none"/>
              </w:rPr>
            </w:pPr>
          </w:p>
        </w:tc>
        <w:tc>
          <w:tcPr>
            <w:tcW w:w="1375" w:type="pct"/>
            <w:vMerge w:val="continue"/>
            <w:vAlign w:val="center"/>
          </w:tcPr>
          <w:p>
            <w:pPr>
              <w:spacing w:line="240" w:lineRule="auto"/>
              <w:rPr>
                <w:rFonts w:ascii="仿宋" w:hAnsi="仿宋" w:eastAsia="仿宋" w:cs="仿宋"/>
                <w:bCs/>
                <w:color w:val="auto"/>
                <w:sz w:val="24"/>
                <w:highlight w:val="none"/>
              </w:rPr>
            </w:pPr>
          </w:p>
        </w:tc>
        <w:tc>
          <w:tcPr>
            <w:tcW w:w="2118" w:type="pct"/>
            <w:vAlign w:val="center"/>
          </w:tcPr>
          <w:p>
            <w:pPr>
              <w:spacing w:line="240" w:lineRule="auto"/>
              <w:rPr>
                <w:rFonts w:ascii="仿宋" w:hAnsi="仿宋" w:eastAsia="仿宋" w:cs="仿宋"/>
                <w:bCs/>
                <w:color w:val="auto"/>
                <w:sz w:val="24"/>
                <w:highlight w:val="none"/>
              </w:rPr>
            </w:pPr>
            <w:r>
              <w:rPr>
                <w:rFonts w:hint="eastAsia" w:ascii="仿宋" w:hAnsi="仿宋" w:eastAsia="仿宋"/>
                <w:color w:val="auto"/>
                <w:sz w:val="24"/>
                <w:highlight w:val="none"/>
              </w:rPr>
              <w:t>1.7、具备法律、行政法规规定的其他条件的证明材料（可提供承诺函，格式详见第三章）；</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1375" w:type="pct"/>
            <w:vAlign w:val="center"/>
          </w:tcPr>
          <w:p>
            <w:pPr>
              <w:tabs>
                <w:tab w:val="left" w:pos="7665"/>
              </w:tabs>
              <w:spacing w:line="240" w:lineRule="auto"/>
              <w:rPr>
                <w:rFonts w:hint="default" w:ascii="仿宋" w:hAnsi="仿宋" w:eastAsia="仿宋" w:cs="仿宋"/>
                <w:bCs/>
                <w:color w:val="auto"/>
                <w:sz w:val="24"/>
                <w:highlight w:val="none"/>
                <w:lang w:val="en-US" w:eastAsia="zh-CN"/>
              </w:rPr>
            </w:pPr>
            <w:r>
              <w:rPr>
                <w:rFonts w:hint="eastAsia" w:ascii="仿宋" w:hAnsi="仿宋" w:eastAsia="仿宋" w:cs="宋体"/>
                <w:color w:val="auto"/>
                <w:sz w:val="24"/>
                <w:highlight w:val="none"/>
              </w:rPr>
              <w:t>2、落实政府采购政策需满足的资格要求：本项目预留份额面向中小企业采购（监狱企业、残疾人福利性单位均视同小微企业），若以</w:t>
            </w:r>
            <w:r>
              <w:rPr>
                <w:rFonts w:hint="eastAsia" w:ascii="仿宋" w:hAnsi="仿宋" w:eastAsia="仿宋" w:cs="宋体"/>
                <w:color w:val="auto"/>
                <w:sz w:val="24"/>
                <w:highlight w:val="none"/>
                <w:lang w:val="en-US" w:eastAsia="zh-CN"/>
              </w:rPr>
              <w:t>合同分包</w:t>
            </w:r>
            <w:r>
              <w:rPr>
                <w:rFonts w:hint="eastAsia" w:ascii="仿宋" w:hAnsi="仿宋" w:eastAsia="仿宋" w:cs="宋体"/>
                <w:color w:val="auto"/>
                <w:sz w:val="24"/>
                <w:highlight w:val="none"/>
              </w:rPr>
              <w:t>形式参加的，分包意向协议中中小企业合同金额应当达到合同总金额30%。</w:t>
            </w:r>
          </w:p>
        </w:tc>
        <w:tc>
          <w:tcPr>
            <w:tcW w:w="2118" w:type="pct"/>
            <w:vAlign w:val="center"/>
          </w:tcPr>
          <w:p>
            <w:pPr>
              <w:pStyle w:val="44"/>
              <w:spacing w:line="240" w:lineRule="auto"/>
              <w:ind w:firstLine="0" w:firstLineChars="0"/>
              <w:rPr>
                <w:rFonts w:hint="default" w:ascii="仿宋" w:hAnsi="仿宋" w:eastAsia="仿宋" w:cs="仿宋"/>
                <w:bCs/>
                <w:color w:val="auto"/>
                <w:sz w:val="24"/>
                <w:highlight w:val="none"/>
                <w:lang w:val="en-US" w:eastAsia="zh-CN"/>
              </w:rPr>
            </w:pPr>
            <w:r>
              <w:rPr>
                <w:rFonts w:hint="eastAsia" w:ascii="仿宋" w:hAnsi="仿宋" w:eastAsia="仿宋" w:cs="宋体"/>
                <w:color w:val="auto"/>
                <w:sz w:val="24"/>
                <w:highlight w:val="none"/>
              </w:rPr>
              <w:t>2.落实政府采购政策需满足的资格要求：本项目预留份额面向中小企业采购（监狱企业、残疾人福利性单位均视同小微企业），若以</w:t>
            </w:r>
            <w:r>
              <w:rPr>
                <w:rFonts w:hint="eastAsia" w:ascii="仿宋" w:hAnsi="仿宋" w:eastAsia="仿宋" w:cs="宋体"/>
                <w:color w:val="auto"/>
                <w:sz w:val="24"/>
                <w:highlight w:val="none"/>
                <w:lang w:val="en-US" w:eastAsia="zh-CN"/>
              </w:rPr>
              <w:t>合同分包</w:t>
            </w:r>
            <w:r>
              <w:rPr>
                <w:rFonts w:hint="eastAsia" w:ascii="仿宋" w:hAnsi="仿宋" w:eastAsia="仿宋" w:cs="宋体"/>
                <w:color w:val="auto"/>
                <w:sz w:val="24"/>
                <w:highlight w:val="none"/>
              </w:rPr>
              <w:t>形式参加的，分包意向协议中中小企业合同金额应当达到合同总金额30%。</w:t>
            </w:r>
            <w:r>
              <w:rPr>
                <w:rFonts w:hint="eastAsia" w:ascii="仿宋" w:hAnsi="仿宋" w:eastAsia="仿宋" w:cs="宋体"/>
                <w:color w:val="auto"/>
                <w:sz w:val="24"/>
                <w:highlight w:val="none"/>
                <w:lang w:val="en-US" w:eastAsia="zh-CN"/>
              </w:rPr>
              <w:t>[</w:t>
            </w:r>
            <w:r>
              <w:rPr>
                <w:rFonts w:hint="eastAsia" w:ascii="仿宋" w:hAnsi="仿宋" w:eastAsia="仿宋" w:cs="宋体"/>
                <w:color w:val="auto"/>
                <w:sz w:val="24"/>
                <w:highlight w:val="none"/>
              </w:rPr>
              <w:t>提供中小企业声明函或残疾人福利性单位声明函或由省级以上监狱管理局、戒毒管理局(含新疆生产建设兵团)出具的属于监狱企业的证明文件</w:t>
            </w:r>
            <w:r>
              <w:rPr>
                <w:rFonts w:hint="eastAsia" w:ascii="仿宋" w:hAnsi="仿宋" w:eastAsia="仿宋" w:cs="宋体"/>
                <w:color w:val="auto"/>
                <w:sz w:val="24"/>
                <w:highlight w:val="none"/>
                <w:lang w:eastAsia="zh-CN"/>
              </w:rPr>
              <w:t>；</w:t>
            </w:r>
            <w:r>
              <w:rPr>
                <w:rFonts w:hint="eastAsia" w:ascii="仿宋" w:hAnsi="仿宋" w:eastAsia="仿宋" w:cs="宋体"/>
                <w:color w:val="auto"/>
                <w:sz w:val="24"/>
                <w:highlight w:val="none"/>
                <w:lang w:val="en-US" w:eastAsia="zh-CN"/>
              </w:rPr>
              <w:t>若以合同分包形式参加的同时提供分包意向协议，</w:t>
            </w:r>
            <w:r>
              <w:rPr>
                <w:rFonts w:hint="eastAsia" w:ascii="仿宋" w:hAnsi="仿宋" w:eastAsia="仿宋" w:cs="宋体"/>
                <w:b w:val="0"/>
                <w:bCs w:val="0"/>
                <w:color w:val="auto"/>
                <w:sz w:val="24"/>
                <w:highlight w:val="none"/>
                <w:lang w:val="en-US" w:eastAsia="zh-CN"/>
              </w:rPr>
              <w:t>并</w:t>
            </w:r>
            <w:r>
              <w:rPr>
                <w:rFonts w:hint="eastAsia" w:ascii="仿宋" w:hAnsi="仿宋" w:eastAsia="仿宋" w:cs="宋体"/>
                <w:color w:val="auto"/>
                <w:sz w:val="24"/>
                <w:highlight w:val="none"/>
                <w:lang w:val="en-US" w:eastAsia="zh-CN"/>
              </w:rPr>
              <w:t>载明分包承担主体</w:t>
            </w:r>
            <w:r>
              <w:rPr>
                <w:rFonts w:hint="eastAsia" w:ascii="仿宋" w:hAnsi="仿宋" w:eastAsia="仿宋"/>
                <w:color w:val="auto"/>
                <w:szCs w:val="21"/>
                <w:highlight w:val="none"/>
              </w:rPr>
              <w:t>分</w:t>
            </w:r>
            <w:r>
              <w:rPr>
                <w:rFonts w:hint="eastAsia" w:ascii="仿宋" w:hAnsi="仿宋" w:eastAsia="仿宋" w:cs="宋体"/>
                <w:color w:val="auto"/>
                <w:sz w:val="24"/>
                <w:szCs w:val="24"/>
                <w:highlight w:val="none"/>
              </w:rPr>
              <w:t>包履行的具体内容、金额或者比例</w:t>
            </w:r>
            <w:r>
              <w:rPr>
                <w:rFonts w:hint="eastAsia" w:ascii="仿宋" w:hAnsi="仿宋" w:eastAsia="仿宋" w:cs="宋体"/>
                <w:color w:val="auto"/>
                <w:sz w:val="24"/>
                <w:szCs w:val="24"/>
                <w:highlight w:val="none"/>
                <w:lang w:eastAsia="zh-CN"/>
              </w:rPr>
              <w:t>。</w:t>
            </w:r>
            <w:r>
              <w:rPr>
                <w:rFonts w:hint="eastAsia" w:ascii="仿宋" w:hAnsi="仿宋" w:eastAsia="仿宋" w:cs="宋体"/>
                <w:color w:val="auto"/>
                <w:sz w:val="24"/>
                <w:highlight w:val="none"/>
                <w:lang w:val="en-US" w:eastAsia="zh-CN"/>
              </w:rPr>
              <w:t>）</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 w:type="pc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1375" w:type="pct"/>
            <w:vAlign w:val="center"/>
          </w:tcPr>
          <w:p>
            <w:pPr>
              <w:tabs>
                <w:tab w:val="left" w:pos="7665"/>
              </w:tabs>
              <w:spacing w:line="240" w:lineRule="auto"/>
              <w:rPr>
                <w:rFonts w:hint="eastAsia" w:ascii="仿宋" w:hAnsi="仿宋" w:eastAsia="仿宋" w:cs="宋体"/>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w:t>
            </w:r>
            <w:r>
              <w:rPr>
                <w:rFonts w:hint="eastAsia" w:ascii="仿宋" w:hAnsi="仿宋" w:eastAsia="仿宋" w:cs="宋体"/>
                <w:color w:val="auto"/>
                <w:sz w:val="24"/>
                <w:highlight w:val="none"/>
              </w:rPr>
              <w:t>本项目的特定资格要求：</w:t>
            </w:r>
          </w:p>
          <w:p>
            <w:pPr>
              <w:tabs>
                <w:tab w:val="left" w:pos="7665"/>
              </w:tabs>
              <w:spacing w:line="240" w:lineRule="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3.1投标人具有国家测绘地理信息行政主管部门颁发的测绘资质证书（地理信息系统工程为乙级及以上资质）。</w:t>
            </w:r>
          </w:p>
          <w:p>
            <w:pPr>
              <w:tabs>
                <w:tab w:val="left" w:pos="7665"/>
              </w:tabs>
              <w:spacing w:after="0" w:line="240" w:lineRule="auto"/>
              <w:ind w:firstLine="0" w:firstLineChars="0"/>
              <w:rPr>
                <w:rFonts w:hint="eastAsia" w:ascii="仿宋" w:hAnsi="仿宋" w:eastAsia="仿宋" w:cs="宋体"/>
                <w:b w:val="0"/>
                <w:bCs w:val="0"/>
                <w:color w:val="auto"/>
                <w:sz w:val="24"/>
                <w:highlight w:val="none"/>
                <w:lang w:val="en-US" w:eastAsia="zh-CN"/>
              </w:rPr>
            </w:pPr>
            <w:r>
              <w:rPr>
                <w:rFonts w:hint="eastAsia" w:ascii="仿宋" w:hAnsi="仿宋" w:eastAsia="仿宋" w:cs="宋体"/>
                <w:b w:val="0"/>
                <w:bCs w:val="0"/>
                <w:color w:val="auto"/>
                <w:sz w:val="24"/>
                <w:highlight w:val="none"/>
                <w:lang w:val="en-US" w:eastAsia="zh-CN"/>
              </w:rPr>
              <w:t>3.2以合同分包形式参加投标的：</w:t>
            </w:r>
          </w:p>
          <w:p>
            <w:pPr>
              <w:tabs>
                <w:tab w:val="left" w:pos="7665"/>
              </w:tabs>
              <w:spacing w:after="0" w:line="240" w:lineRule="auto"/>
              <w:ind w:firstLine="0" w:firstLineChars="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（1）投标人及分包承担主体各方均应当符合《政府采购法》第二十二条第一款规定的条件，并提交分包意向协议，载明分包承担主体</w:t>
            </w:r>
            <w:r>
              <w:rPr>
                <w:rFonts w:hint="eastAsia" w:ascii="仿宋" w:hAnsi="仿宋" w:eastAsia="仿宋"/>
                <w:color w:val="auto"/>
                <w:szCs w:val="21"/>
                <w:highlight w:val="none"/>
              </w:rPr>
              <w:t>分</w:t>
            </w:r>
            <w:r>
              <w:rPr>
                <w:rFonts w:hint="eastAsia" w:ascii="仿宋" w:hAnsi="仿宋" w:eastAsia="仿宋" w:cs="宋体"/>
                <w:color w:val="auto"/>
                <w:sz w:val="24"/>
                <w:szCs w:val="24"/>
                <w:highlight w:val="none"/>
              </w:rPr>
              <w:t>包履行的具体内容、金额或者比例</w:t>
            </w:r>
            <w:r>
              <w:rPr>
                <w:rFonts w:hint="eastAsia" w:ascii="仿宋" w:hAnsi="仿宋" w:eastAsia="仿宋" w:cs="宋体"/>
                <w:color w:val="auto"/>
                <w:sz w:val="24"/>
                <w:highlight w:val="none"/>
                <w:lang w:val="en-US" w:eastAsia="zh-CN"/>
              </w:rPr>
              <w:t>。</w:t>
            </w:r>
          </w:p>
          <w:p>
            <w:pPr>
              <w:tabs>
                <w:tab w:val="left" w:pos="7665"/>
              </w:tabs>
              <w:spacing w:after="0" w:line="240" w:lineRule="auto"/>
              <w:ind w:firstLine="0" w:firstLineChars="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（2）分包承担主体按照分包意向协议分工承担分包工作的，应当具备相应资质条件。</w:t>
            </w:r>
          </w:p>
          <w:p>
            <w:pPr>
              <w:tabs>
                <w:tab w:val="left" w:pos="7665"/>
              </w:tabs>
              <w:spacing w:after="0" w:line="240" w:lineRule="auto"/>
              <w:rPr>
                <w:rFonts w:ascii="仿宋" w:hAnsi="仿宋" w:eastAsia="仿宋" w:cs="仿宋"/>
                <w:bCs/>
                <w:color w:val="auto"/>
                <w:sz w:val="24"/>
                <w:highlight w:val="none"/>
              </w:rPr>
            </w:pPr>
            <w:r>
              <w:rPr>
                <w:rFonts w:hint="eastAsia" w:ascii="仿宋" w:hAnsi="仿宋" w:eastAsia="仿宋" w:cs="宋体"/>
                <w:color w:val="auto"/>
                <w:sz w:val="24"/>
                <w:highlight w:val="none"/>
                <w:lang w:val="en-US" w:eastAsia="zh-CN"/>
              </w:rPr>
              <w:t>（3）投标人载明的分包承担主体不得再单独参加或者作为其他投标人的分包承担主体参加同一合同项下的政府采购活动。</w:t>
            </w:r>
          </w:p>
        </w:tc>
        <w:tc>
          <w:tcPr>
            <w:tcW w:w="2118" w:type="pct"/>
            <w:vAlign w:val="center"/>
          </w:tcPr>
          <w:p>
            <w:pPr>
              <w:tabs>
                <w:tab w:val="left" w:pos="7665"/>
              </w:tabs>
              <w:spacing w:line="240" w:lineRule="auto"/>
              <w:rPr>
                <w:rFonts w:ascii="仿宋" w:hAnsi="仿宋" w:eastAsia="仿宋" w:cs="宋体"/>
                <w:color w:val="auto"/>
                <w:sz w:val="24"/>
                <w:highlight w:val="none"/>
              </w:rPr>
            </w:pPr>
            <w:r>
              <w:rPr>
                <w:rFonts w:hint="eastAsia" w:ascii="仿宋" w:hAnsi="仿宋" w:eastAsia="仿宋" w:cs="宋体"/>
                <w:color w:val="auto"/>
                <w:sz w:val="24"/>
                <w:highlight w:val="none"/>
              </w:rPr>
              <w:t>3</w:t>
            </w:r>
            <w:r>
              <w:rPr>
                <w:rFonts w:ascii="仿宋" w:hAnsi="仿宋" w:eastAsia="仿宋" w:cs="宋体"/>
                <w:color w:val="auto"/>
                <w:sz w:val="24"/>
                <w:highlight w:val="none"/>
              </w:rPr>
              <w:t>.</w:t>
            </w:r>
            <w:r>
              <w:rPr>
                <w:rFonts w:hint="eastAsia" w:ascii="仿宋" w:hAnsi="仿宋" w:eastAsia="仿宋" w:cs="宋体"/>
                <w:color w:val="auto"/>
                <w:sz w:val="24"/>
                <w:highlight w:val="none"/>
              </w:rPr>
              <w:t>本项目的特定资格要求：</w:t>
            </w:r>
            <w:r>
              <w:rPr>
                <w:rFonts w:hint="eastAsia" w:ascii="仿宋" w:hAnsi="仿宋" w:eastAsia="仿宋" w:cs="宋体"/>
                <w:color w:val="auto"/>
                <w:sz w:val="24"/>
                <w:highlight w:val="none"/>
                <w:lang w:val="en-US" w:eastAsia="zh-CN"/>
              </w:rPr>
              <w:t>3.1投标人具有国家测绘地理信息行政主管部门颁发的测绘资质证书（地理信息系统工程为乙级及以上资质）。（提供证书复印件并加盖公章）</w:t>
            </w:r>
          </w:p>
          <w:p>
            <w:pPr>
              <w:tabs>
                <w:tab w:val="left" w:pos="7665"/>
              </w:tabs>
              <w:spacing w:after="0" w:line="240" w:lineRule="auto"/>
              <w:ind w:firstLine="0" w:firstLineChars="0"/>
              <w:rPr>
                <w:rFonts w:hint="eastAsia" w:ascii="仿宋" w:hAnsi="仿宋" w:eastAsia="仿宋" w:cs="宋体"/>
                <w:b w:val="0"/>
                <w:bCs w:val="0"/>
                <w:color w:val="auto"/>
                <w:sz w:val="24"/>
                <w:highlight w:val="none"/>
                <w:lang w:val="en-US" w:eastAsia="zh-CN"/>
              </w:rPr>
            </w:pPr>
            <w:r>
              <w:rPr>
                <w:rFonts w:hint="eastAsia" w:ascii="仿宋" w:hAnsi="仿宋" w:eastAsia="仿宋" w:cs="宋体"/>
                <w:b w:val="0"/>
                <w:bCs w:val="0"/>
                <w:color w:val="auto"/>
                <w:sz w:val="24"/>
                <w:highlight w:val="none"/>
                <w:lang w:val="en-US" w:eastAsia="zh-CN"/>
              </w:rPr>
              <w:t>3.2以合同分包形式参加投标的：</w:t>
            </w:r>
          </w:p>
          <w:p>
            <w:pPr>
              <w:tabs>
                <w:tab w:val="left" w:pos="7665"/>
              </w:tabs>
              <w:spacing w:after="0" w:line="240" w:lineRule="auto"/>
              <w:ind w:firstLine="0" w:firstLineChars="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（1）投标人及分包承担主体各方均应当符合《政府采购法》第二十二条第一款规定的条件，并提交分包意向协议，载明分包承担主体</w:t>
            </w:r>
            <w:r>
              <w:rPr>
                <w:rFonts w:hint="eastAsia" w:ascii="仿宋" w:hAnsi="仿宋" w:eastAsia="仿宋"/>
                <w:color w:val="auto"/>
                <w:szCs w:val="21"/>
                <w:highlight w:val="none"/>
              </w:rPr>
              <w:t>分</w:t>
            </w:r>
            <w:r>
              <w:rPr>
                <w:rFonts w:hint="eastAsia" w:ascii="仿宋" w:hAnsi="仿宋" w:eastAsia="仿宋" w:cs="宋体"/>
                <w:color w:val="auto"/>
                <w:sz w:val="24"/>
                <w:szCs w:val="24"/>
                <w:highlight w:val="none"/>
              </w:rPr>
              <w:t>包履行的具体内容、金额或者比例</w:t>
            </w:r>
            <w:r>
              <w:rPr>
                <w:rFonts w:hint="eastAsia" w:ascii="仿宋" w:hAnsi="仿宋" w:eastAsia="仿宋" w:cs="宋体"/>
                <w:color w:val="auto"/>
                <w:sz w:val="24"/>
                <w:highlight w:val="none"/>
                <w:lang w:val="en-US" w:eastAsia="zh-CN"/>
              </w:rPr>
              <w:t>。</w:t>
            </w:r>
          </w:p>
          <w:p>
            <w:pPr>
              <w:tabs>
                <w:tab w:val="left" w:pos="7665"/>
              </w:tabs>
              <w:spacing w:after="0" w:line="240" w:lineRule="auto"/>
              <w:ind w:firstLine="0" w:firstLineChars="0"/>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（2）分包承担主体按照分包意向协议分工承担分包工作的，应当具备相应资质条件。</w:t>
            </w:r>
          </w:p>
          <w:p>
            <w:pPr>
              <w:spacing w:line="24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（3）投标人载明的分包承担主体不得再单独参加或者作为其他投标人的分包承担主体参加同一合同项下的政府采购活动。</w:t>
            </w:r>
          </w:p>
          <w:p>
            <w:pPr>
              <w:spacing w:line="240" w:lineRule="auto"/>
              <w:rPr>
                <w:rFonts w:ascii="仿宋" w:hAnsi="仿宋" w:eastAsia="仿宋" w:cs="仿宋"/>
                <w:bCs/>
                <w:color w:val="auto"/>
                <w:sz w:val="24"/>
                <w:highlight w:val="none"/>
              </w:rPr>
            </w:pPr>
            <w:r>
              <w:rPr>
                <w:rFonts w:hint="eastAsia" w:ascii="仿宋" w:hAnsi="仿宋" w:eastAsia="仿宋" w:cs="宋体"/>
                <w:color w:val="auto"/>
                <w:kern w:val="2"/>
                <w:sz w:val="24"/>
                <w:szCs w:val="24"/>
                <w:highlight w:val="none"/>
                <w:lang w:val="en-US" w:eastAsia="zh-CN" w:bidi="ar-SA"/>
              </w:rPr>
              <w:t>注：根据国务院办公厅关于加快推进“多证合一”改革的指导意见（国办发</w:t>
            </w:r>
            <w:r>
              <w:rPr>
                <w:rFonts w:hint="eastAsia" w:ascii="仿宋" w:hAnsi="仿宋" w:eastAsia="仿宋" w:cs="仿宋"/>
                <w:b w:val="0"/>
                <w:bCs/>
                <w:color w:val="auto"/>
                <w:sz w:val="24"/>
                <w:szCs w:val="24"/>
                <w:highlight w:val="none"/>
                <w:lang w:eastAsia="zh-CN"/>
              </w:rPr>
              <w:t>〔201</w:t>
            </w:r>
            <w:r>
              <w:rPr>
                <w:rFonts w:hint="eastAsia" w:ascii="仿宋" w:hAnsi="仿宋" w:eastAsia="仿宋" w:cs="仿宋"/>
                <w:b w:val="0"/>
                <w:bCs/>
                <w:color w:val="auto"/>
                <w:sz w:val="24"/>
                <w:szCs w:val="24"/>
                <w:highlight w:val="none"/>
                <w:lang w:val="en-US" w:eastAsia="zh-CN"/>
              </w:rPr>
              <w:t>7</w:t>
            </w:r>
            <w:r>
              <w:rPr>
                <w:rFonts w:hint="eastAsia" w:ascii="仿宋" w:hAnsi="仿宋" w:eastAsia="仿宋" w:cs="仿宋"/>
                <w:b w:val="0"/>
                <w:bCs/>
                <w:color w:val="auto"/>
                <w:sz w:val="24"/>
                <w:szCs w:val="24"/>
                <w:highlight w:val="none"/>
                <w:lang w:eastAsia="zh-CN"/>
              </w:rPr>
              <w:t>〕</w:t>
            </w:r>
            <w:r>
              <w:rPr>
                <w:rFonts w:hint="eastAsia" w:ascii="仿宋" w:hAnsi="仿宋" w:eastAsia="仿宋" w:cs="宋体"/>
                <w:color w:val="auto"/>
                <w:kern w:val="2"/>
                <w:sz w:val="24"/>
                <w:szCs w:val="24"/>
                <w:highlight w:val="none"/>
                <w:lang w:val="en-US" w:eastAsia="zh-CN" w:bidi="ar-SA"/>
              </w:rPr>
              <w:t xml:space="preserve">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048" w:type="pct"/>
            <w:vAlign w:val="center"/>
          </w:tcPr>
          <w:p>
            <w:pPr>
              <w:spacing w:line="240" w:lineRule="auto"/>
              <w:rPr>
                <w:rFonts w:hint="eastAsia" w:ascii="仿宋" w:hAnsi="仿宋" w:eastAsia="宋体" w:cs="仿宋"/>
                <w:bCs/>
                <w:color w:val="auto"/>
                <w:sz w:val="24"/>
                <w:highlight w:val="none"/>
                <w:lang w:eastAsia="zh-CN"/>
              </w:rPr>
            </w:pPr>
            <w:r>
              <w:rPr>
                <w:rFonts w:hint="eastAsia" w:ascii="仿宋" w:hAnsi="仿宋" w:eastAsia="仿宋" w:cs="仿宋"/>
                <w:bCs/>
                <w:color w:val="auto"/>
                <w:sz w:val="24"/>
                <w:highlight w:val="none"/>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Cs/>
                <w:color w:val="auto"/>
                <w:sz w:val="24"/>
                <w:highlight w:val="none"/>
              </w:rPr>
              <w:t>根据上传内容</w:t>
            </w:r>
            <w:r>
              <w:rPr>
                <w:rFonts w:hint="eastAsia" w:ascii="仿宋" w:hAnsi="仿宋" w:eastAsia="仿宋"/>
                <w:color w:val="auto"/>
                <w:sz w:val="24"/>
                <w:highlight w:val="none"/>
              </w:rPr>
              <w:t>对投标人的资格进行审查。</w:t>
            </w:r>
            <w:r>
              <w:rPr>
                <w:rStyle w:val="33"/>
                <w:rFonts w:hint="eastAsia" w:ascii="仿宋" w:hAnsi="仿宋" w:eastAsia="仿宋" w:cs="仿宋"/>
                <w:color w:val="auto"/>
                <w:highlight w:val="none"/>
                <w:lang w:eastAsia="zh-CN"/>
              </w:rPr>
              <w:t>若涉及“多证合一”，投标人</w:t>
            </w:r>
            <w:r>
              <w:rPr>
                <w:rStyle w:val="33"/>
                <w:rFonts w:hint="eastAsia" w:ascii="仿宋" w:hAnsi="仿宋" w:eastAsia="仿宋" w:cs="仿宋"/>
                <w:color w:val="auto"/>
                <w:highlight w:val="none"/>
                <w:lang w:val="en-US" w:eastAsia="zh-CN"/>
              </w:rPr>
              <w:t>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1375" w:type="pct"/>
            <w:vAlign w:val="center"/>
          </w:tcPr>
          <w:p>
            <w:pPr>
              <w:spacing w:after="0" w:line="240" w:lineRule="auto"/>
              <w:ind w:right="105" w:rightChars="50"/>
              <w:rPr>
                <w:rFonts w:ascii="仿宋" w:hAnsi="仿宋" w:eastAsia="仿宋" w:cs="仿宋"/>
                <w:bCs/>
                <w:color w:val="auto"/>
                <w:sz w:val="24"/>
                <w:highlight w:val="none"/>
              </w:rPr>
            </w:pPr>
            <w:r>
              <w:rPr>
                <w:rFonts w:hint="eastAsia" w:ascii="仿宋" w:hAnsi="仿宋" w:eastAsia="仿宋" w:cs="宋体"/>
                <w:color w:val="auto"/>
                <w:sz w:val="24"/>
                <w:highlight w:val="none"/>
              </w:rPr>
              <w:t>4、</w:t>
            </w:r>
            <w:r>
              <w:rPr>
                <w:rFonts w:hint="eastAsia" w:ascii="仿宋" w:hAnsi="仿宋" w:eastAsia="仿宋"/>
                <w:color w:val="auto"/>
                <w:sz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2118" w:type="pct"/>
            <w:vAlign w:val="center"/>
          </w:tcPr>
          <w:p>
            <w:pPr>
              <w:spacing w:line="240" w:lineRule="auto"/>
              <w:rPr>
                <w:rFonts w:ascii="仿宋" w:hAnsi="仿宋" w:eastAsia="仿宋" w:cs="仿宋"/>
                <w:bCs/>
                <w:color w:val="auto"/>
                <w:sz w:val="24"/>
                <w:highlight w:val="none"/>
              </w:rPr>
            </w:pPr>
            <w:r>
              <w:rPr>
                <w:rFonts w:hint="eastAsia" w:ascii="仿宋" w:hAnsi="仿宋" w:eastAsia="仿宋" w:cs="宋体"/>
                <w:color w:val="auto"/>
                <w:sz w:val="24"/>
                <w:highlight w:val="none"/>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highlight w:val="none"/>
              </w:rPr>
              <w:t>（此项由采购人或采购代理机构查询，投标人不提供证明材料）</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458" w:type="pc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1375" w:type="pct"/>
            <w:vAlign w:val="center"/>
          </w:tcPr>
          <w:p>
            <w:pPr>
              <w:pStyle w:val="44"/>
              <w:spacing w:line="240" w:lineRule="auto"/>
              <w:ind w:firstLine="0" w:firstLineChars="0"/>
              <w:rPr>
                <w:rFonts w:hint="eastAsia" w:ascii="仿宋" w:hAnsi="仿宋" w:eastAsia="仿宋" w:cs="仿宋"/>
                <w:bCs/>
                <w:color w:val="auto"/>
                <w:sz w:val="24"/>
                <w:highlight w:val="none"/>
                <w:lang w:val="en-US" w:eastAsia="zh-CN"/>
              </w:rPr>
            </w:pPr>
            <w:r>
              <w:rPr>
                <w:rFonts w:hint="eastAsia" w:ascii="仿宋" w:hAnsi="仿宋" w:eastAsia="仿宋"/>
                <w:b/>
                <w:bCs/>
                <w:color w:val="auto"/>
                <w:sz w:val="24"/>
                <w:highlight w:val="none"/>
              </w:rPr>
              <w:t>资质性要求：</w:t>
            </w:r>
            <w:r>
              <w:rPr>
                <w:rFonts w:hint="eastAsia" w:ascii="仿宋" w:hAnsi="仿宋" w:eastAsia="仿宋"/>
                <w:b/>
                <w:bCs/>
                <w:color w:val="auto"/>
                <w:sz w:val="24"/>
                <w:highlight w:val="none"/>
                <w:lang w:val="en-US" w:eastAsia="zh-CN"/>
              </w:rPr>
              <w:t>无。</w:t>
            </w:r>
          </w:p>
        </w:tc>
        <w:tc>
          <w:tcPr>
            <w:tcW w:w="2118" w:type="pct"/>
            <w:vAlign w:val="center"/>
          </w:tcPr>
          <w:p>
            <w:pPr>
              <w:spacing w:line="240" w:lineRule="auto"/>
              <w:rPr>
                <w:rFonts w:hint="default" w:ascii="仿宋" w:hAnsi="仿宋" w:eastAsia="仿宋" w:cs="仿宋"/>
                <w:bCs/>
                <w:color w:val="auto"/>
                <w:sz w:val="24"/>
                <w:highlight w:val="none"/>
                <w:lang w:val="en-US" w:eastAsia="zh-CN"/>
              </w:rPr>
            </w:pPr>
            <w:r>
              <w:rPr>
                <w:rFonts w:hint="eastAsia" w:ascii="仿宋" w:hAnsi="仿宋" w:eastAsia="仿宋"/>
                <w:b/>
                <w:bCs/>
                <w:color w:val="auto"/>
                <w:sz w:val="24"/>
                <w:highlight w:val="none"/>
              </w:rPr>
              <w:t>资质性要求：</w:t>
            </w:r>
            <w:r>
              <w:rPr>
                <w:rFonts w:hint="eastAsia" w:ascii="仿宋" w:hAnsi="仿宋" w:eastAsia="仿宋" w:cs="仿宋"/>
                <w:bCs/>
                <w:color w:val="auto"/>
                <w:sz w:val="24"/>
                <w:highlight w:val="none"/>
                <w:lang w:val="en-US" w:eastAsia="zh-CN"/>
              </w:rPr>
              <w:t>无。</w:t>
            </w:r>
          </w:p>
        </w:tc>
        <w:tc>
          <w:tcPr>
            <w:tcW w:w="104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458" w:type="pct"/>
            <w:vAlign w:val="center"/>
          </w:tcPr>
          <w:p>
            <w:pPr>
              <w:spacing w:line="240" w:lineRule="auto"/>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6</w:t>
            </w:r>
          </w:p>
        </w:tc>
        <w:tc>
          <w:tcPr>
            <w:tcW w:w="1375" w:type="pct"/>
            <w:vAlign w:val="center"/>
          </w:tcPr>
          <w:p>
            <w:pPr>
              <w:pStyle w:val="44"/>
              <w:spacing w:line="240" w:lineRule="auto"/>
              <w:ind w:firstLine="0" w:firstLineChars="0"/>
              <w:rPr>
                <w:rFonts w:hint="eastAsia" w:ascii="仿宋" w:hAnsi="仿宋" w:eastAsia="仿宋" w:cs="仿宋"/>
                <w:bCs/>
                <w:color w:val="auto"/>
                <w:sz w:val="24"/>
                <w:highlight w:val="none"/>
                <w:lang w:val="en-US" w:eastAsia="zh-CN"/>
              </w:rPr>
            </w:pPr>
            <w:r>
              <w:rPr>
                <w:rFonts w:hint="eastAsia" w:ascii="仿宋" w:hAnsi="仿宋" w:eastAsia="仿宋"/>
                <w:b/>
                <w:bCs/>
                <w:color w:val="auto"/>
                <w:sz w:val="24"/>
                <w:highlight w:val="none"/>
              </w:rPr>
              <w:t>其他类似效力要求：</w:t>
            </w:r>
            <w:r>
              <w:rPr>
                <w:rFonts w:hint="eastAsia" w:ascii="仿宋" w:hAnsi="仿宋" w:eastAsia="仿宋"/>
                <w:b/>
                <w:bCs/>
                <w:color w:val="auto"/>
                <w:sz w:val="24"/>
                <w:highlight w:val="none"/>
                <w:lang w:val="en-US" w:eastAsia="zh-CN"/>
              </w:rPr>
              <w:t>无。</w:t>
            </w:r>
          </w:p>
        </w:tc>
        <w:tc>
          <w:tcPr>
            <w:tcW w:w="2118"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default" w:ascii="仿宋" w:hAnsi="仿宋" w:eastAsia="仿宋" w:cs="仿宋"/>
                <w:bCs/>
                <w:color w:val="auto"/>
                <w:sz w:val="24"/>
                <w:highlight w:val="none"/>
                <w:lang w:val="en-US" w:eastAsia="zh-CN"/>
              </w:rPr>
            </w:pPr>
            <w:r>
              <w:rPr>
                <w:rFonts w:hint="eastAsia" w:ascii="仿宋" w:hAnsi="仿宋" w:eastAsia="仿宋"/>
                <w:b/>
                <w:bCs/>
                <w:color w:val="auto"/>
                <w:sz w:val="24"/>
                <w:highlight w:val="none"/>
              </w:rPr>
              <w:t>其他类似效力要求：</w:t>
            </w:r>
            <w:r>
              <w:rPr>
                <w:rFonts w:hint="eastAsia" w:ascii="仿宋" w:hAnsi="仿宋" w:eastAsia="仿宋"/>
                <w:color w:val="auto"/>
                <w:sz w:val="24"/>
                <w:highlight w:val="none"/>
                <w:lang w:val="en-US" w:eastAsia="zh-CN"/>
              </w:rPr>
              <w:t>无。</w:t>
            </w:r>
          </w:p>
        </w:tc>
        <w:tc>
          <w:tcPr>
            <w:tcW w:w="1048" w:type="pct"/>
            <w:vAlign w:val="center"/>
          </w:tcPr>
          <w:p>
            <w:pPr>
              <w:spacing w:line="24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投标人可上传空白页，上传内容不作资格审查。</w:t>
            </w:r>
          </w:p>
        </w:tc>
      </w:tr>
    </w:tbl>
    <w:p>
      <w:pPr>
        <w:rPr>
          <w:rFonts w:ascii="仿宋" w:hAnsi="仿宋" w:eastAsia="仿宋"/>
          <w:color w:val="auto"/>
          <w:highlight w:val="none"/>
        </w:rPr>
      </w:pPr>
    </w:p>
    <w:p>
      <w:pPr>
        <w:ind w:firstLine="0" w:firstLineChars="0"/>
        <w:rPr>
          <w:rFonts w:ascii="仿宋" w:hAnsi="仿宋" w:eastAsia="仿宋" w:cs="宋体"/>
          <w:b/>
          <w:color w:val="auto"/>
          <w:kern w:val="0"/>
          <w:sz w:val="24"/>
          <w:highlight w:val="none"/>
        </w:rPr>
      </w:pPr>
      <w:bookmarkStart w:id="148" w:name="_Toc217446093"/>
    </w:p>
    <w:p>
      <w:pPr>
        <w:spacing w:line="360" w:lineRule="auto"/>
        <w:rPr>
          <w:rFonts w:ascii="仿宋" w:hAnsi="仿宋" w:eastAsia="仿宋"/>
          <w:color w:val="auto"/>
          <w:sz w:val="36"/>
          <w:szCs w:val="36"/>
          <w:highlight w:val="none"/>
        </w:rPr>
        <w:sectPr>
          <w:pgSz w:w="11905" w:h="16838"/>
          <w:pgMar w:top="1440" w:right="1474" w:bottom="1440" w:left="1474" w:header="425" w:footer="992" w:gutter="0"/>
          <w:pgNumType w:fmt="decimal"/>
          <w:cols w:space="0" w:num="1"/>
          <w:titlePg/>
          <w:rtlGutter w:val="0"/>
          <w:docGrid w:linePitch="312" w:charSpace="0"/>
        </w:sectPr>
      </w:pPr>
    </w:p>
    <w:p>
      <w:pPr>
        <w:pStyle w:val="3"/>
        <w:spacing w:line="240" w:lineRule="auto"/>
        <w:jc w:val="center"/>
        <w:rPr>
          <w:rFonts w:ascii="仿宋" w:hAnsi="仿宋" w:eastAsia="仿宋"/>
          <w:color w:val="auto"/>
          <w:sz w:val="36"/>
          <w:szCs w:val="36"/>
          <w:highlight w:val="none"/>
        </w:rPr>
      </w:pPr>
      <w:bookmarkStart w:id="149" w:name="_Toc5020"/>
      <w:r>
        <w:rPr>
          <w:rFonts w:hint="eastAsia" w:ascii="仿宋" w:hAnsi="仿宋" w:eastAsia="仿宋"/>
          <w:color w:val="auto"/>
          <w:sz w:val="36"/>
          <w:szCs w:val="36"/>
          <w:highlight w:val="none"/>
        </w:rPr>
        <w:t>第六章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招标项目技术、服务、政府采购合同内容条款及其他商务要求</w:t>
      </w:r>
      <w:bookmarkEnd w:id="149"/>
    </w:p>
    <w:bookmarkEnd w:id="148"/>
    <w:p>
      <w:pPr>
        <w:spacing w:line="360" w:lineRule="auto"/>
        <w:rPr>
          <w:rFonts w:ascii="仿宋" w:hAnsi="仿宋" w:eastAsia="仿宋"/>
          <w:b/>
          <w:color w:val="auto"/>
          <w:sz w:val="24"/>
          <w:highlight w:val="none"/>
        </w:rPr>
      </w:pPr>
      <w:bookmarkStart w:id="150" w:name="_Toc217446094"/>
      <w:bookmarkStart w:id="151" w:name="_Toc24786"/>
      <w:bookmarkStart w:id="152" w:name="_Toc31835"/>
      <w:r>
        <w:rPr>
          <w:rFonts w:hint="eastAsia" w:ascii="仿宋" w:hAnsi="仿宋" w:eastAsia="仿宋"/>
          <w:b/>
          <w:color w:val="auto"/>
          <w:sz w:val="24"/>
          <w:highlight w:val="none"/>
        </w:rPr>
        <w:t>前提：</w:t>
      </w:r>
      <w:r>
        <w:rPr>
          <w:rFonts w:ascii="仿宋" w:hAnsi="仿宋" w:eastAsia="仿宋"/>
          <w:b/>
          <w:bCs/>
          <w:color w:val="auto"/>
          <w:sz w:val="24"/>
          <w:highlight w:val="none"/>
        </w:rPr>
        <w:t>本章中标注“</w:t>
      </w:r>
      <w:r>
        <w:rPr>
          <w:rFonts w:hint="eastAsia" w:ascii="仿宋" w:hAnsi="仿宋" w:eastAsia="仿宋"/>
          <w:b/>
          <w:bCs/>
          <w:color w:val="auto"/>
          <w:sz w:val="24"/>
          <w:highlight w:val="none"/>
        </w:rPr>
        <w:t>★</w:t>
      </w:r>
      <w:r>
        <w:rPr>
          <w:rFonts w:ascii="仿宋" w:hAnsi="仿宋" w:eastAsia="仿宋"/>
          <w:b/>
          <w:bCs/>
          <w:color w:val="auto"/>
          <w:sz w:val="24"/>
          <w:highlight w:val="none"/>
        </w:rPr>
        <w:t>”号的条款为实质性要求，</w:t>
      </w:r>
      <w:r>
        <w:rPr>
          <w:rFonts w:hint="eastAsia" w:ascii="仿宋" w:hAnsi="仿宋" w:eastAsia="仿宋"/>
          <w:b/>
          <w:bCs/>
          <w:color w:val="auto"/>
          <w:sz w:val="24"/>
          <w:highlight w:val="none"/>
        </w:rPr>
        <w:t>投标人</w:t>
      </w:r>
      <w:r>
        <w:rPr>
          <w:rFonts w:ascii="仿宋" w:hAnsi="仿宋" w:eastAsia="仿宋"/>
          <w:b/>
          <w:bCs/>
          <w:color w:val="auto"/>
          <w:sz w:val="24"/>
          <w:highlight w:val="none"/>
        </w:rPr>
        <w:t>应全部满足</w:t>
      </w:r>
      <w:r>
        <w:rPr>
          <w:rFonts w:hint="eastAsia" w:ascii="仿宋" w:hAnsi="仿宋" w:eastAsia="仿宋"/>
          <w:b/>
          <w:bCs/>
          <w:color w:val="auto"/>
          <w:sz w:val="24"/>
          <w:highlight w:val="none"/>
        </w:rPr>
        <w:t>，否则其投标文件按照无效处理。标注“▲”的为重要条款，具体详见综合评分明细表。</w:t>
      </w:r>
      <w:bookmarkEnd w:id="150"/>
    </w:p>
    <w:p>
      <w:pPr>
        <w:pStyle w:val="4"/>
        <w:spacing w:line="400" w:lineRule="exact"/>
        <w:rPr>
          <w:rFonts w:ascii="仿宋" w:hAnsi="仿宋" w:eastAsia="仿宋"/>
          <w:color w:val="auto"/>
          <w:sz w:val="24"/>
          <w:szCs w:val="24"/>
          <w:highlight w:val="none"/>
        </w:rPr>
      </w:pPr>
      <w:r>
        <w:rPr>
          <w:rFonts w:ascii="仿宋" w:hAnsi="仿宋" w:eastAsia="仿宋"/>
          <w:color w:val="auto"/>
          <w:sz w:val="24"/>
          <w:szCs w:val="24"/>
          <w:highlight w:val="none"/>
        </w:rPr>
        <w:t>一</w:t>
      </w:r>
      <w:r>
        <w:rPr>
          <w:rFonts w:hint="eastAsia" w:ascii="仿宋" w:hAnsi="仿宋" w:eastAsia="仿宋"/>
          <w:color w:val="auto"/>
          <w:sz w:val="24"/>
          <w:szCs w:val="24"/>
          <w:highlight w:val="none"/>
        </w:rPr>
        <w:t>、</w:t>
      </w:r>
      <w:r>
        <w:rPr>
          <w:rFonts w:ascii="仿宋" w:hAnsi="仿宋" w:eastAsia="仿宋"/>
          <w:color w:val="auto"/>
          <w:sz w:val="24"/>
          <w:szCs w:val="24"/>
          <w:highlight w:val="none"/>
        </w:rPr>
        <w:t>项目概述</w:t>
      </w:r>
    </w:p>
    <w:p>
      <w:pPr>
        <w:tabs>
          <w:tab w:val="left" w:pos="6938"/>
        </w:tabs>
        <w:spacing w:line="400" w:lineRule="exact"/>
        <w:outlineLvl w:val="2"/>
        <w:rPr>
          <w:rFonts w:ascii="仿宋" w:hAnsi="仿宋" w:eastAsia="仿宋" w:cs="仿宋"/>
          <w:b/>
          <w:bCs/>
          <w:color w:val="auto"/>
          <w:sz w:val="24"/>
          <w:highlight w:val="none"/>
        </w:rPr>
      </w:pPr>
      <w:r>
        <w:rPr>
          <w:rFonts w:hint="eastAsia" w:ascii="仿宋" w:hAnsi="仿宋" w:eastAsia="仿宋" w:cs="仿宋"/>
          <w:b/>
          <w:bCs/>
          <w:color w:val="auto"/>
          <w:sz w:val="24"/>
          <w:highlight w:val="none"/>
        </w:rPr>
        <w:t>1.项目概况</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随着成都市高新区经济的快速发展，部门之间的信息数据交流日益频繁，由于成都市高新区政府部门之间缺乏信息数据交换共享平台，没有明确的信息共享交换机制，部门之间对数据信息的需求不断增强，建设相关信息共享交换云平台已经成为成都市高新区政府亟待解决的问题。</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成都高新区时空大数据平台（一期）已经完成初步建设，时空基础数据、专题数据、新型测绘数据都已经完成建库工作，时空数据平台已具备基本数据共享服务能力。采购人迫切希望将基础服务、专题应用服务运用到业务部门处理中，为业务工作提供基础支撑，发挥时空数据服务的价值。</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次项目将围绕国家对时空大数据平台建设的指导与要求，紧密结合成都市高新区推进智慧城市建设的总体目标，为进一步发挥时空大数据平台在成都市高新区发展中的基础性作用，推进全区政务信息资源的开放共享，现提出通过融合多时空、多源、异构时空信息数据，建成地下地上一体、二三维一体的时空信息大数据中心，通过云平台的搭建以及智慧应用推广，为成都市高新区各部门各行业提供综合地理信息分析与应用服务，有效提升政府管理和服务水平，提高城市管理效率、节约资源，促进城市可持续发展。</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项目现状说明：</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①数据现状</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成都高新区时空大数据平台汇聚了丰富的时空基础地理信息数据，包括矢量、影像、兴趣点、地名地址、三维模型、倾斜摄影以及专题、空间规划数据、新型测绘数据和部分智能感知数据等，共4大类、740 G数据成果，发布71项数据服务。</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②平台现状</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基于SuperMap GIS 9D产品，已建设了时空大数据管理系统和资源展示系统。其中时空大数据管理系统，支撑时空大数据从数据处理、质检、建库、制图、发布全流程，提高时空大数据管理与维护的安全性和高效性；资源展示系统提供时空数据展示和对比、查询统计、空间分析、专题图制图等功能，实现了时空大数据从无到有，从看到用。</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③支撑环境现状</w:t>
      </w:r>
    </w:p>
    <w:p>
      <w:pPr>
        <w:tabs>
          <w:tab w:val="left" w:pos="6938"/>
        </w:tabs>
        <w:spacing w:after="0"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成都高新区在2018年启动，后续将逐步整合完善云计算中心资源，建成能满足未来5-10年全区党政及社会相关应用需求计算能力以及存储能力。通过建设全区统一的云计算中心，集约整合政府各部门硬件基础设施，以云计算中心为基础建设部署智慧城市应用项目。</w:t>
      </w:r>
    </w:p>
    <w:p>
      <w:pPr>
        <w:tabs>
          <w:tab w:val="left" w:pos="6938"/>
        </w:tabs>
        <w:spacing w:line="400" w:lineRule="exact"/>
        <w:outlineLvl w:val="2"/>
        <w:rPr>
          <w:rFonts w:ascii="仿宋" w:hAnsi="仿宋" w:eastAsia="仿宋" w:cs="仿宋"/>
          <w:b/>
          <w:bCs/>
          <w:color w:val="auto"/>
          <w:sz w:val="24"/>
          <w:highlight w:val="none"/>
        </w:rPr>
      </w:pPr>
      <w:r>
        <w:rPr>
          <w:rFonts w:hint="eastAsia" w:ascii="仿宋" w:hAnsi="仿宋" w:eastAsia="仿宋" w:cs="仿宋"/>
          <w:b/>
          <w:bCs/>
          <w:color w:val="auto"/>
          <w:sz w:val="24"/>
          <w:highlight w:val="none"/>
        </w:rPr>
        <w:t>2.服务名称及所属行业：</w:t>
      </w:r>
    </w:p>
    <w:tbl>
      <w:tblPr>
        <w:tblStyle w:val="29"/>
        <w:tblW w:w="48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4513"/>
        <w:gridCol w:w="2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92" w:type="pct"/>
            <w:vMerge w:val="restart"/>
            <w:vAlign w:val="center"/>
          </w:tcPr>
          <w:p>
            <w:pPr>
              <w:pStyle w:val="9"/>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包号：01</w:t>
            </w:r>
          </w:p>
        </w:tc>
        <w:tc>
          <w:tcPr>
            <w:tcW w:w="2553" w:type="pct"/>
            <w:vAlign w:val="center"/>
          </w:tcPr>
          <w:p>
            <w:pPr>
              <w:pStyle w:val="9"/>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标的名称</w:t>
            </w:r>
          </w:p>
        </w:tc>
        <w:tc>
          <w:tcPr>
            <w:tcW w:w="1654" w:type="pct"/>
            <w:vAlign w:val="center"/>
          </w:tcPr>
          <w:p>
            <w:pPr>
              <w:pStyle w:val="9"/>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792" w:type="pct"/>
            <w:vMerge w:val="continue"/>
            <w:vAlign w:val="center"/>
          </w:tcPr>
          <w:p>
            <w:pPr>
              <w:pStyle w:val="9"/>
              <w:spacing w:line="400" w:lineRule="exact"/>
              <w:ind w:firstLine="0" w:firstLineChars="0"/>
              <w:jc w:val="center"/>
              <w:rPr>
                <w:rFonts w:ascii="仿宋" w:hAnsi="仿宋" w:eastAsia="仿宋" w:cs="仿宋"/>
                <w:bCs/>
                <w:color w:val="auto"/>
                <w:sz w:val="24"/>
                <w:highlight w:val="none"/>
              </w:rPr>
            </w:pPr>
          </w:p>
        </w:tc>
        <w:tc>
          <w:tcPr>
            <w:tcW w:w="2553" w:type="pct"/>
            <w:vAlign w:val="center"/>
          </w:tcPr>
          <w:p>
            <w:pPr>
              <w:pStyle w:val="9"/>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智慧高新区时空数据应用系统建设</w:t>
            </w:r>
          </w:p>
        </w:tc>
        <w:tc>
          <w:tcPr>
            <w:tcW w:w="1654" w:type="pct"/>
            <w:vAlign w:val="center"/>
          </w:tcPr>
          <w:p>
            <w:pPr>
              <w:pStyle w:val="9"/>
              <w:spacing w:line="400" w:lineRule="exact"/>
              <w:ind w:firstLine="0" w:firstLine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软件和信息技术服务业</w:t>
            </w:r>
          </w:p>
        </w:tc>
      </w:tr>
    </w:tbl>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w:t>
      </w:r>
      <w:r>
        <w:rPr>
          <w:rFonts w:ascii="仿宋" w:hAnsi="仿宋" w:eastAsia="仿宋"/>
          <w:color w:val="auto"/>
          <w:sz w:val="24"/>
          <w:szCs w:val="24"/>
          <w:highlight w:val="none"/>
        </w:rPr>
        <w:t>二</w:t>
      </w:r>
      <w:r>
        <w:rPr>
          <w:rFonts w:hint="eastAsia" w:ascii="仿宋" w:hAnsi="仿宋" w:eastAsia="仿宋"/>
          <w:color w:val="auto"/>
          <w:sz w:val="24"/>
          <w:szCs w:val="24"/>
          <w:highlight w:val="none"/>
        </w:rPr>
        <w:t>、</w:t>
      </w:r>
      <w:r>
        <w:rPr>
          <w:rFonts w:ascii="仿宋" w:hAnsi="仿宋" w:eastAsia="仿宋"/>
          <w:color w:val="auto"/>
          <w:sz w:val="24"/>
          <w:szCs w:val="24"/>
          <w:highlight w:val="none"/>
        </w:rPr>
        <w:t>商务要求</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1、服务期限：自合同生效之日起6个月内完成本项目所有建设内容，进入试运行阶段；试运行时间不少于1个月。</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2、服务地点：采购人指定地点。</w:t>
      </w:r>
    </w:p>
    <w:p>
      <w:pPr>
        <w:tabs>
          <w:tab w:val="left" w:pos="6938"/>
        </w:tabs>
        <w:spacing w:after="0" w:line="360" w:lineRule="auto"/>
        <w:rPr>
          <w:rFonts w:ascii="仿宋" w:hAnsi="仿宋" w:eastAsia="仿宋" w:cs="仿宋"/>
          <w:b/>
          <w:bCs/>
          <w:color w:val="auto"/>
          <w:sz w:val="24"/>
          <w:highlight w:val="none"/>
        </w:rPr>
      </w:pPr>
      <w:r>
        <w:rPr>
          <w:rFonts w:hint="eastAsia" w:ascii="仿宋" w:hAnsi="仿宋" w:eastAsia="仿宋" w:cs="仿宋"/>
          <w:color w:val="auto"/>
          <w:sz w:val="24"/>
          <w:highlight w:val="none"/>
        </w:rPr>
        <w:t>3、付款方式：合同签订后10个工作日，采购人支付中标人合同总金额的40%项目费用；平台试运行符合要求后，采购人支付中标人合同总金额的3</w:t>
      </w:r>
      <w:r>
        <w:rPr>
          <w:rFonts w:ascii="仿宋" w:hAnsi="仿宋" w:eastAsia="仿宋" w:cs="仿宋"/>
          <w:color w:val="auto"/>
          <w:sz w:val="24"/>
          <w:highlight w:val="none"/>
        </w:rPr>
        <w:t>5</w:t>
      </w:r>
      <w:r>
        <w:rPr>
          <w:rFonts w:hint="eastAsia" w:ascii="仿宋" w:hAnsi="仿宋" w:eastAsia="仿宋" w:cs="仿宋"/>
          <w:color w:val="auto"/>
          <w:sz w:val="24"/>
          <w:highlight w:val="none"/>
        </w:rPr>
        <w:t>%项目费用；整个项目验收完成后，采购人支付中标人合同总金额的20%项目费用；1年的运维期满后，采购人支付中标人</w:t>
      </w:r>
      <w:r>
        <w:rPr>
          <w:rFonts w:ascii="仿宋" w:hAnsi="仿宋" w:eastAsia="仿宋" w:cs="仿宋"/>
          <w:color w:val="auto"/>
          <w:sz w:val="24"/>
          <w:highlight w:val="none"/>
        </w:rPr>
        <w:t>5</w:t>
      </w:r>
      <w:r>
        <w:rPr>
          <w:rFonts w:hint="eastAsia" w:ascii="仿宋" w:hAnsi="仿宋" w:eastAsia="仿宋" w:cs="仿宋"/>
          <w:color w:val="auto"/>
          <w:sz w:val="24"/>
          <w:highlight w:val="none"/>
        </w:rPr>
        <w:t>%项目费用。</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履约验收：严格按照《财政部关于进一步加强政府采购需求和履约验收管理的指导意见》（财库〔2016〕205号）等政府采购相关法律法规的要求，招标文件的要求和投标文件的承诺与合同约定的内容进行验收。根据国家相关规定及行业验收规范、标准执行。</w:t>
      </w:r>
    </w:p>
    <w:p>
      <w:pPr>
        <w:spacing w:after="0" w:line="360" w:lineRule="auto"/>
        <w:rPr>
          <w:rFonts w:ascii="仿宋" w:hAnsi="仿宋" w:eastAsia="仿宋" w:cs="仿宋"/>
          <w:color w:val="auto"/>
          <w:sz w:val="24"/>
          <w:highlight w:val="none"/>
        </w:rPr>
      </w:pPr>
      <w:bookmarkStart w:id="153" w:name="_Toc23153"/>
      <w:bookmarkStart w:id="154" w:name="_Toc351921208"/>
      <w:r>
        <w:rPr>
          <w:rFonts w:hint="eastAsia" w:ascii="仿宋" w:hAnsi="仿宋" w:eastAsia="仿宋" w:cs="仿宋"/>
          <w:color w:val="auto"/>
          <w:sz w:val="24"/>
          <w:highlight w:val="none"/>
        </w:rPr>
        <w:t>5、项目人员要求</w:t>
      </w:r>
      <w:bookmarkEnd w:id="153"/>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5.1投标人需要对此项目建立专门的项目组，</w:t>
      </w:r>
      <w:r>
        <w:rPr>
          <w:rFonts w:hint="eastAsia" w:ascii="仿宋" w:hAnsi="仿宋" w:eastAsia="仿宋" w:cs="仿宋"/>
          <w:color w:val="auto"/>
          <w:sz w:val="24"/>
          <w:highlight w:val="none"/>
          <w:lang w:eastAsia="zh-Hans"/>
        </w:rPr>
        <w:t>其中项目经理一名</w:t>
      </w:r>
      <w:r>
        <w:rPr>
          <w:rFonts w:ascii="仿宋" w:hAnsi="仿宋" w:eastAsia="仿宋" w:cs="仿宋"/>
          <w:color w:val="auto"/>
          <w:sz w:val="24"/>
          <w:highlight w:val="none"/>
          <w:lang w:eastAsia="zh-Hans"/>
        </w:rPr>
        <w:t>、</w:t>
      </w:r>
      <w:r>
        <w:rPr>
          <w:rFonts w:hint="eastAsia" w:ascii="仿宋" w:hAnsi="仿宋" w:eastAsia="仿宋" w:cs="仿宋"/>
          <w:color w:val="auto"/>
          <w:sz w:val="24"/>
          <w:highlight w:val="none"/>
          <w:lang w:eastAsia="zh-Hans"/>
        </w:rPr>
        <w:t>项目技术负责人一名</w:t>
      </w:r>
      <w:r>
        <w:rPr>
          <w:rFonts w:ascii="仿宋" w:hAnsi="仿宋" w:eastAsia="仿宋" w:cs="仿宋"/>
          <w:color w:val="auto"/>
          <w:sz w:val="24"/>
          <w:highlight w:val="none"/>
          <w:lang w:eastAsia="zh-Hans"/>
        </w:rPr>
        <w:t>，</w:t>
      </w:r>
      <w:r>
        <w:rPr>
          <w:rFonts w:hint="eastAsia" w:ascii="仿宋" w:hAnsi="仿宋" w:eastAsia="仿宋" w:cs="仿宋"/>
          <w:color w:val="auto"/>
          <w:sz w:val="24"/>
          <w:highlight w:val="none"/>
          <w:lang w:eastAsia="zh-Hans"/>
        </w:rPr>
        <w:t>项目实施人员不少于四名</w:t>
      </w:r>
      <w:r>
        <w:rPr>
          <w:rFonts w:hint="eastAsia" w:ascii="仿宋" w:hAnsi="仿宋" w:eastAsia="仿宋" w:cs="仿宋"/>
          <w:color w:val="auto"/>
          <w:sz w:val="24"/>
          <w:highlight w:val="none"/>
        </w:rPr>
        <w:t>。项目组成员必须稳定、专职于本项目工作，项目组人员的变更需提前1个月向采购人提交书面申请，并经过采购人的同意。</w:t>
      </w:r>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5.2投标人需任命一名项目经理，要求：</w:t>
      </w:r>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①对工作的背景十分熟悉，具备足够的项目管理的经验和能力；</w:t>
      </w:r>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②对本项目团队成员有完全控制和管理权力，并且得到投标人在工作进展期间能做出日常决定的充分授权；</w:t>
      </w:r>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③在正常工作时间或任何其他采购人认为需要的时间，都能联系到。</w:t>
      </w:r>
    </w:p>
    <w:p>
      <w:pPr>
        <w:pStyle w:val="52"/>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5.3在本项目实施过程中，采购人认为中标人项目经理无法有效组织项目成员完成该项目所要求的工作内容时，有权要求中标人更换项目经理，中标人应无条件接受。</w:t>
      </w:r>
      <w:bookmarkEnd w:id="154"/>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6、售后服务</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6.1中标人有责任在保证安全和质量的前提下提供技术服务，包括：系统运维服务、技术咨询、使用说明书、维护说明书等。</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6.2中标人应向采购人提供必要的技术资料，包括安装手册、用户使用手册等。</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6.3售后服务期内中标人提供软件升级服务。</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6.4中标人应对其售后服务、技术支持方面的情况做出说明，中标人需提供7×24小时技术服务。</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6.5中标人应承诺在系统发生严重故障的情况下，能在</w:t>
      </w:r>
      <w:r>
        <w:rPr>
          <w:rFonts w:ascii="仿宋" w:hAnsi="仿宋" w:eastAsia="仿宋" w:cs="仿宋"/>
          <w:color w:val="auto"/>
          <w:sz w:val="24"/>
          <w:highlight w:val="none"/>
        </w:rPr>
        <w:t>2</w:t>
      </w:r>
      <w:r>
        <w:rPr>
          <w:rFonts w:hint="eastAsia" w:ascii="仿宋" w:hAnsi="仿宋" w:eastAsia="仿宋" w:cs="仿宋"/>
          <w:color w:val="auto"/>
          <w:sz w:val="24"/>
          <w:highlight w:val="none"/>
          <w:lang w:eastAsia="zh-Hans"/>
        </w:rPr>
        <w:t>小时</w:t>
      </w:r>
      <w:r>
        <w:rPr>
          <w:rFonts w:hint="eastAsia" w:ascii="仿宋" w:hAnsi="仿宋" w:eastAsia="仿宋" w:cs="仿宋"/>
          <w:color w:val="auto"/>
          <w:sz w:val="24"/>
          <w:highlight w:val="none"/>
        </w:rPr>
        <w:t>内赶赴现场和排除故障。</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6.6中标人应根据采购人的业务发展需求，提供面向业务技术人员、系统运维人员等的技术培训。</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7、项目建成并通过验收后，中标人需提供为期12个月的运维期。运维期间运维团队将主要做如下工作：</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①根据平台和系统业务对安全性需求，制定相应的系统安全维护服务方案，对平台和系统涉及的软硬件提供安全维护服务；</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②对软硬件故障进行升级或维修服务；对系统问题，确属于项目建设要求的，将提供完善服务；</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③对网络运行状态、系统运行日志的监测和分析，及时发出故障报警或故障隐患报告，以便维护人员排除故障或消除故障隐患。</w:t>
      </w:r>
    </w:p>
    <w:p>
      <w:pPr>
        <w:tabs>
          <w:tab w:val="left" w:pos="6938"/>
        </w:tabs>
        <w:spacing w:after="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8、其他未尽事宜在签订合同时约定。</w:t>
      </w:r>
    </w:p>
    <w:p>
      <w:pPr>
        <w:pStyle w:val="4"/>
        <w:spacing w:line="400" w:lineRule="exact"/>
        <w:rPr>
          <w:rFonts w:ascii="仿宋" w:hAnsi="仿宋" w:eastAsia="仿宋"/>
          <w:b w:val="0"/>
          <w:color w:val="auto"/>
          <w:sz w:val="24"/>
          <w:szCs w:val="24"/>
          <w:highlight w:val="none"/>
        </w:rPr>
      </w:pPr>
      <w:r>
        <w:rPr>
          <w:rFonts w:ascii="仿宋" w:hAnsi="仿宋" w:eastAsia="仿宋"/>
          <w:color w:val="auto"/>
          <w:sz w:val="24"/>
          <w:szCs w:val="24"/>
          <w:highlight w:val="none"/>
        </w:rPr>
        <w:t>三</w:t>
      </w:r>
      <w:r>
        <w:rPr>
          <w:rFonts w:hint="eastAsia" w:ascii="仿宋" w:hAnsi="仿宋" w:eastAsia="仿宋"/>
          <w:color w:val="auto"/>
          <w:sz w:val="24"/>
          <w:szCs w:val="24"/>
          <w:highlight w:val="none"/>
        </w:rPr>
        <w:t>、</w:t>
      </w:r>
      <w:r>
        <w:rPr>
          <w:rFonts w:ascii="仿宋" w:hAnsi="仿宋" w:eastAsia="仿宋"/>
          <w:color w:val="auto"/>
          <w:sz w:val="24"/>
          <w:szCs w:val="24"/>
          <w:highlight w:val="none"/>
        </w:rPr>
        <w:t>服务要求</w:t>
      </w:r>
    </w:p>
    <w:p>
      <w:pPr>
        <w:pStyle w:val="5"/>
        <w:spacing w:before="0" w:after="0" w:line="360" w:lineRule="auto"/>
        <w:rPr>
          <w:rFonts w:ascii="仿宋" w:hAnsi="仿宋" w:eastAsia="仿宋" w:cs="仿宋"/>
          <w:color w:val="auto"/>
          <w:sz w:val="24"/>
          <w:szCs w:val="24"/>
          <w:highlight w:val="none"/>
        </w:rPr>
      </w:pPr>
      <w:bookmarkStart w:id="155" w:name="_Toc77005940"/>
      <w:r>
        <w:rPr>
          <w:rFonts w:hint="eastAsia" w:ascii="仿宋" w:hAnsi="仿宋" w:eastAsia="仿宋" w:cs="仿宋"/>
          <w:color w:val="auto"/>
          <w:sz w:val="24"/>
          <w:szCs w:val="24"/>
          <w:highlight w:val="none"/>
        </w:rPr>
        <w:t>1、建设目标及内容（本条包含2项一般条款）</w:t>
      </w:r>
    </w:p>
    <w:p>
      <w:pPr>
        <w:pStyle w:val="6"/>
        <w:numPr>
          <w:ilvl w:val="3"/>
          <w:numId w:val="0"/>
        </w:numPr>
        <w:spacing w:before="0" w:after="0"/>
        <w:rPr>
          <w:rFonts w:ascii="仿宋" w:hAnsi="仿宋" w:eastAsia="仿宋" w:cs="仿宋"/>
          <w:color w:val="auto"/>
          <w:szCs w:val="24"/>
          <w:highlight w:val="none"/>
        </w:rPr>
      </w:pPr>
      <w:r>
        <w:rPr>
          <w:rFonts w:hint="eastAsia" w:ascii="仿宋" w:hAnsi="仿宋" w:eastAsia="仿宋" w:cs="仿宋"/>
          <w:color w:val="auto"/>
          <w:szCs w:val="24"/>
          <w:highlight w:val="none"/>
        </w:rPr>
        <w:t>1.1建设目标</w:t>
      </w:r>
      <w:bookmarkEnd w:id="155"/>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在智慧高新区的整体框架下，依托云计算、物联网等技术，基于采购人现有时空大数据成果，扩展大比例尺、高分辨率基础地理信息，新建三维数据模型、物联网节点、建筑物等信息，丰富时空大数据库，通过地理信息服务总线，形成以云中心、桌面平台、移动平台为主要内容的智慧高新区时空大数据平台，全面对接将要建设的智慧应用，建设建设项目分布、用地报征审批系统等示范应用，促进和发展高新区各行业部门、企业的专题地理空间应用系统，加快“智慧高新区”建设过程。</w:t>
      </w:r>
    </w:p>
    <w:p>
      <w:pPr>
        <w:pStyle w:val="6"/>
        <w:numPr>
          <w:ilvl w:val="3"/>
          <w:numId w:val="0"/>
        </w:numPr>
        <w:spacing w:before="0" w:after="0"/>
        <w:rPr>
          <w:rFonts w:ascii="仿宋" w:hAnsi="仿宋" w:eastAsia="仿宋" w:cs="仿宋"/>
          <w:color w:val="auto"/>
          <w:szCs w:val="24"/>
          <w:highlight w:val="none"/>
        </w:rPr>
      </w:pPr>
      <w:bookmarkStart w:id="156" w:name="_Toc77005942"/>
      <w:r>
        <w:rPr>
          <w:rFonts w:hint="eastAsia" w:ascii="仿宋" w:hAnsi="仿宋" w:eastAsia="仿宋" w:cs="仿宋"/>
          <w:color w:val="auto"/>
          <w:szCs w:val="24"/>
          <w:highlight w:val="none"/>
        </w:rPr>
        <w:t>1.2建设内容</w:t>
      </w:r>
      <w:bookmarkEnd w:id="156"/>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结合高新区实际情况，本次项目建设内容主要包括如下几个方面：</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①时空大数据建设：三维模型数据建设，建设项目地理实体数据建设，基础数据、智能感知数据、专题数据扩充。</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②智慧应用建设：用地报征审批系统、建设项目分布系统。</w:t>
      </w:r>
    </w:p>
    <w:p>
      <w:pPr>
        <w:pStyle w:val="5"/>
        <w:spacing w:before="0" w:after="0"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2、总体建设要求（本条包含2项一般条款）</w:t>
      </w:r>
    </w:p>
    <w:p>
      <w:pPr>
        <w:pStyle w:val="6"/>
        <w:numPr>
          <w:ilvl w:val="3"/>
          <w:numId w:val="0"/>
        </w:numPr>
        <w:tabs>
          <w:tab w:val="left" w:pos="576"/>
        </w:tabs>
        <w:spacing w:before="0" w:after="0"/>
        <w:rPr>
          <w:rFonts w:ascii="仿宋" w:hAnsi="仿宋" w:eastAsia="仿宋" w:cs="仿宋"/>
          <w:color w:val="auto"/>
          <w:szCs w:val="24"/>
          <w:highlight w:val="none"/>
        </w:rPr>
      </w:pPr>
      <w:bookmarkStart w:id="157" w:name="_Toc23886"/>
      <w:r>
        <w:rPr>
          <w:rFonts w:hint="eastAsia" w:ascii="仿宋" w:hAnsi="仿宋" w:eastAsia="仿宋" w:cs="仿宋"/>
          <w:color w:val="auto"/>
          <w:szCs w:val="24"/>
          <w:highlight w:val="none"/>
        </w:rPr>
        <w:t>2.1总体技术要求</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项目总体技术路线基于微服务架构，利用大数据技术，实现二三维一体化，须支持智能集群和多层服务聚合。</w:t>
      </w:r>
    </w:p>
    <w:p>
      <w:pPr>
        <w:pStyle w:val="6"/>
        <w:numPr>
          <w:ilvl w:val="3"/>
          <w:numId w:val="0"/>
        </w:numPr>
        <w:tabs>
          <w:tab w:val="left" w:pos="576"/>
        </w:tabs>
        <w:spacing w:before="0" w:after="0"/>
        <w:rPr>
          <w:rFonts w:ascii="仿宋" w:hAnsi="仿宋" w:eastAsia="仿宋" w:cs="仿宋"/>
          <w:color w:val="auto"/>
          <w:szCs w:val="24"/>
          <w:highlight w:val="none"/>
        </w:rPr>
      </w:pPr>
      <w:r>
        <w:rPr>
          <w:rFonts w:hint="eastAsia" w:ascii="仿宋" w:hAnsi="仿宋" w:eastAsia="仿宋" w:cs="仿宋"/>
          <w:color w:val="auto"/>
          <w:szCs w:val="24"/>
          <w:highlight w:val="none"/>
        </w:rPr>
        <w:t>2.2项目性能指标</w:t>
      </w:r>
      <w:bookmarkEnd w:id="157"/>
    </w:p>
    <w:p>
      <w:pPr>
        <w:pStyle w:val="53"/>
        <w:spacing w:after="0"/>
        <w:ind w:firstLine="480"/>
        <w:rPr>
          <w:rFonts w:ascii="仿宋" w:hAnsi="仿宋" w:eastAsia="仿宋" w:cs="仿宋"/>
          <w:color w:val="auto"/>
          <w:sz w:val="24"/>
          <w:highlight w:val="none"/>
        </w:rPr>
      </w:pPr>
      <w:r>
        <w:rPr>
          <w:rFonts w:hint="eastAsia" w:ascii="仿宋" w:hAnsi="仿宋" w:eastAsia="仿宋" w:cs="仿宋"/>
          <w:color w:val="auto"/>
          <w:sz w:val="24"/>
          <w:highlight w:val="none"/>
        </w:rPr>
        <w:t>为了保证系统的使用效果，在性能方面，应满足：</w:t>
      </w:r>
    </w:p>
    <w:p>
      <w:pPr>
        <w:pStyle w:val="53"/>
        <w:spacing w:after="0"/>
        <w:ind w:left="56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lang w:val="en-US"/>
        </w:rPr>
        <w:t>①</w:t>
      </w:r>
      <w:r>
        <w:rPr>
          <w:rFonts w:hint="eastAsia" w:ascii="仿宋" w:hAnsi="仿宋" w:eastAsia="仿宋" w:cs="仿宋"/>
          <w:color w:val="auto"/>
          <w:sz w:val="24"/>
          <w:highlight w:val="none"/>
        </w:rPr>
        <w:t>地图浏览，响应时间不超过1秒；地图查询时间，不超过2秒；</w:t>
      </w:r>
    </w:p>
    <w:p>
      <w:pPr>
        <w:pStyle w:val="53"/>
        <w:spacing w:after="0"/>
        <w:ind w:left="56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lang w:val="en-US"/>
        </w:rPr>
        <w:t>②</w:t>
      </w:r>
      <w:r>
        <w:rPr>
          <w:rFonts w:hint="eastAsia" w:ascii="仿宋" w:hAnsi="仿宋" w:eastAsia="仿宋" w:cs="仿宋"/>
          <w:color w:val="auto"/>
          <w:sz w:val="24"/>
          <w:highlight w:val="none"/>
        </w:rPr>
        <w:t>面向政务应用的系统，并发量应考虑支持</w:t>
      </w:r>
      <w:r>
        <w:rPr>
          <w:rFonts w:hint="eastAsia" w:ascii="仿宋" w:hAnsi="仿宋" w:eastAsia="仿宋" w:cs="仿宋"/>
          <w:color w:val="auto"/>
          <w:sz w:val="24"/>
          <w:highlight w:val="none"/>
          <w:lang w:val="en-US" w:eastAsia="zh-CN"/>
        </w:rPr>
        <w:t>不少于</w:t>
      </w:r>
      <w:r>
        <w:rPr>
          <w:rFonts w:hint="eastAsia" w:ascii="仿宋" w:hAnsi="仿宋" w:eastAsia="仿宋" w:cs="仿宋"/>
          <w:color w:val="auto"/>
          <w:sz w:val="24"/>
          <w:highlight w:val="none"/>
        </w:rPr>
        <w:t>100人；</w:t>
      </w:r>
    </w:p>
    <w:p>
      <w:pPr>
        <w:pStyle w:val="53"/>
        <w:spacing w:after="0"/>
        <w:ind w:left="560" w:firstLine="0" w:firstLineChars="0"/>
        <w:rPr>
          <w:rFonts w:ascii="仿宋" w:hAnsi="仿宋" w:eastAsia="仿宋" w:cs="仿宋"/>
          <w:color w:val="auto"/>
          <w:sz w:val="24"/>
          <w:highlight w:val="none"/>
        </w:rPr>
      </w:pPr>
      <w:r>
        <w:rPr>
          <w:rFonts w:hint="eastAsia" w:ascii="仿宋" w:hAnsi="仿宋" w:eastAsia="仿宋" w:cs="仿宋"/>
          <w:color w:val="auto"/>
          <w:sz w:val="24"/>
          <w:highlight w:val="none"/>
          <w:lang w:val="en-US"/>
        </w:rPr>
        <w:t>③</w:t>
      </w:r>
      <w:r>
        <w:rPr>
          <w:rFonts w:hint="eastAsia" w:ascii="仿宋" w:hAnsi="仿宋" w:eastAsia="仿宋" w:cs="仿宋"/>
          <w:color w:val="auto"/>
          <w:sz w:val="24"/>
          <w:highlight w:val="none"/>
        </w:rPr>
        <w:t>系统连续运行时间不少于7*24小时。</w:t>
      </w:r>
    </w:p>
    <w:p>
      <w:pPr>
        <w:pStyle w:val="5"/>
        <w:spacing w:before="0" w:after="0"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3、建设内容</w:t>
      </w:r>
    </w:p>
    <w:p>
      <w:pPr>
        <w:pStyle w:val="6"/>
        <w:numPr>
          <w:ilvl w:val="3"/>
          <w:numId w:val="0"/>
        </w:numPr>
        <w:spacing w:before="0" w:after="0"/>
        <w:rPr>
          <w:rFonts w:ascii="仿宋" w:hAnsi="仿宋" w:eastAsia="仿宋" w:cs="仿宋"/>
          <w:color w:val="auto"/>
          <w:szCs w:val="24"/>
          <w:highlight w:val="none"/>
        </w:rPr>
      </w:pPr>
      <w:r>
        <w:rPr>
          <w:rFonts w:hint="eastAsia" w:ascii="仿宋" w:hAnsi="仿宋" w:eastAsia="仿宋" w:cs="仿宋"/>
          <w:color w:val="auto"/>
          <w:szCs w:val="24"/>
          <w:highlight w:val="none"/>
        </w:rPr>
        <w:t>3.1应用系统建设（本条包含3项一般条款）</w:t>
      </w:r>
    </w:p>
    <w:p>
      <w:pPr>
        <w:pStyle w:val="7"/>
        <w:numPr>
          <w:ilvl w:val="4"/>
          <w:numId w:val="0"/>
        </w:numPr>
        <w:tabs>
          <w:tab w:val="left" w:pos="360"/>
        </w:tabs>
        <w:spacing w:before="0" w:after="0"/>
        <w:rPr>
          <w:rFonts w:ascii="仿宋" w:hAnsi="仿宋" w:eastAsia="仿宋" w:cs="仿宋"/>
          <w:color w:val="auto"/>
          <w:sz w:val="24"/>
          <w:szCs w:val="24"/>
          <w:highlight w:val="none"/>
        </w:rPr>
      </w:pPr>
      <w:bookmarkStart w:id="158" w:name="_Toc77005986"/>
      <w:bookmarkStart w:id="159" w:name="_Toc67932836"/>
      <w:r>
        <w:rPr>
          <w:rFonts w:hint="eastAsia" w:ascii="仿宋" w:hAnsi="仿宋" w:eastAsia="仿宋" w:cs="仿宋"/>
          <w:color w:val="auto"/>
          <w:sz w:val="24"/>
          <w:szCs w:val="24"/>
          <w:highlight w:val="none"/>
        </w:rPr>
        <w:t>3.1.1建设项目分布系统</w:t>
      </w:r>
      <w:bookmarkEnd w:id="158"/>
      <w:bookmarkEnd w:id="159"/>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以二三维一体化为基础底板，展示高新区建设项目三维模型场景具体位置、项目具体用地范围以及闲置土地范围分布。</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对高新区建设项目进行分类展示和统计，</w:t>
      </w:r>
      <w:bookmarkStart w:id="160" w:name="_Hlk56100915"/>
      <w:r>
        <w:rPr>
          <w:rFonts w:hint="eastAsia" w:ascii="仿宋" w:hAnsi="仿宋" w:eastAsia="仿宋" w:cs="仿宋"/>
          <w:color w:val="auto"/>
          <w:sz w:val="24"/>
          <w:highlight w:val="none"/>
        </w:rPr>
        <w:t>包括目标分类、功能分类、建设情况分类展示</w:t>
      </w:r>
      <w:bookmarkEnd w:id="160"/>
      <w:r>
        <w:rPr>
          <w:rFonts w:hint="eastAsia" w:ascii="仿宋" w:hAnsi="仿宋" w:eastAsia="仿宋" w:cs="仿宋"/>
          <w:color w:val="auto"/>
          <w:sz w:val="24"/>
          <w:highlight w:val="none"/>
        </w:rPr>
        <w:t>；支持按建设情况（已完工、在建、拟建）分颜色展示项目；支持按土地情况（已划拨、未划拨、已出让、未出让、集体土地等土地性质）分色块展示。</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支持对重点项目三维模型建模方案对比分析，支持鸟瞰、环绕浏览项目模型、支持分析查看周边市政设施、景观、构筑物的空间关系，支持查看重点项目的属性信息包括承建企业、投资金额、项目建设状态；对在建项目支持对接项目建设施工现场相关物联网感知数据，如视频监控等查看项目详细情况。</w:t>
      </w:r>
    </w:p>
    <w:p>
      <w:pPr>
        <w:pStyle w:val="7"/>
        <w:numPr>
          <w:ilvl w:val="4"/>
          <w:numId w:val="0"/>
        </w:numPr>
        <w:tabs>
          <w:tab w:val="left" w:pos="360"/>
        </w:tabs>
        <w:spacing w:before="0" w:after="0"/>
        <w:rPr>
          <w:rFonts w:ascii="仿宋" w:hAnsi="仿宋" w:eastAsia="仿宋" w:cs="仿宋"/>
          <w:color w:val="auto"/>
          <w:sz w:val="24"/>
          <w:szCs w:val="24"/>
          <w:highlight w:val="none"/>
        </w:rPr>
      </w:pPr>
      <w:bookmarkStart w:id="161" w:name="_Toc67932837"/>
      <w:bookmarkStart w:id="162" w:name="_Toc77005987"/>
      <w:bookmarkStart w:id="163" w:name="_Toc46416461"/>
      <w:r>
        <w:rPr>
          <w:rFonts w:hint="eastAsia" w:ascii="仿宋" w:hAnsi="仿宋" w:eastAsia="仿宋" w:cs="仿宋"/>
          <w:color w:val="auto"/>
          <w:sz w:val="24"/>
          <w:szCs w:val="24"/>
          <w:highlight w:val="none"/>
        </w:rPr>
        <w:t>3.1.2用地报征审批系统</w:t>
      </w:r>
      <w:bookmarkEnd w:id="161"/>
      <w:bookmarkEnd w:id="162"/>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项目用地报征流程全过程记录，附件文档资料存档。通过时空大数据提供审查辅助分析结果，包括规划审查、违法审查、林地审查，为规划局和城管审查提供分析数据依据；录入征地事务中心应对征地中居民拆迁、安置方案以及和社保局对接预存等过程资料；选择过程资料文档，形成符合市、省上传报征格式，录入到市自然资源一张图系统。</w:t>
      </w:r>
      <w:bookmarkEnd w:id="163"/>
    </w:p>
    <w:p>
      <w:pPr>
        <w:pStyle w:val="7"/>
        <w:numPr>
          <w:ilvl w:val="4"/>
          <w:numId w:val="0"/>
        </w:numPr>
        <w:tabs>
          <w:tab w:val="left" w:pos="360"/>
        </w:tabs>
        <w:spacing w:before="0" w:after="0"/>
        <w:rPr>
          <w:rFonts w:ascii="仿宋" w:hAnsi="仿宋" w:eastAsia="仿宋" w:cs="仿宋"/>
          <w:color w:val="auto"/>
          <w:sz w:val="24"/>
          <w:szCs w:val="24"/>
          <w:highlight w:val="none"/>
        </w:rPr>
      </w:pPr>
      <w:bookmarkStart w:id="164" w:name="_Toc77005988"/>
      <w:r>
        <w:rPr>
          <w:rFonts w:hint="eastAsia" w:ascii="仿宋" w:hAnsi="仿宋" w:eastAsia="仿宋" w:cs="仿宋"/>
          <w:color w:val="auto"/>
          <w:sz w:val="24"/>
          <w:szCs w:val="24"/>
          <w:highlight w:val="none"/>
        </w:rPr>
        <w:t>3.1.3各子项之间关联性描述</w:t>
      </w:r>
      <w:bookmarkEnd w:id="164"/>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成都高新区时空数据应用系统项目各子项总体关系是以公园城市建设局现有时空大数据成果为核心，为建设建设项目分布展示提供数据展示、分析、预警、工具等基础支撑，通过”建设项目分布系统”对高新区建设项目进行分类展示和统计，包括目标分类、功能分类、建设情况分类展示；开展用地报征审批系统建设，通过后台服务管理系统调用“时空云大数据平台”基础数据为用地报征审批系统提供底图服务，实现地图定位、空间分析、巡查轨迹查看等地图应用功能，通过时空大数据提供审查辅助分析结果，包括规划审查、违法审查、林地审查，为规划局和城管审查提供分析数据依据。</w:t>
      </w:r>
    </w:p>
    <w:p>
      <w:pPr>
        <w:pStyle w:val="6"/>
        <w:numPr>
          <w:ilvl w:val="3"/>
          <w:numId w:val="0"/>
        </w:numPr>
        <w:spacing w:before="0" w:after="0"/>
        <w:rPr>
          <w:rFonts w:ascii="仿宋" w:hAnsi="仿宋" w:eastAsia="仿宋" w:cs="仿宋"/>
          <w:color w:val="auto"/>
          <w:szCs w:val="24"/>
          <w:highlight w:val="none"/>
        </w:rPr>
      </w:pPr>
      <w:bookmarkStart w:id="165" w:name="_Toc77005990"/>
      <w:r>
        <w:rPr>
          <w:rFonts w:hint="eastAsia" w:ascii="仿宋" w:hAnsi="仿宋" w:eastAsia="仿宋" w:cs="仿宋"/>
          <w:color w:val="auto"/>
          <w:szCs w:val="24"/>
          <w:highlight w:val="none"/>
        </w:rPr>
        <w:t>3.2信息资源目录</w:t>
      </w:r>
      <w:bookmarkEnd w:id="165"/>
      <w:r>
        <w:rPr>
          <w:rFonts w:hint="eastAsia" w:ascii="仿宋" w:hAnsi="仿宋" w:eastAsia="仿宋" w:cs="仿宋"/>
          <w:color w:val="auto"/>
          <w:szCs w:val="24"/>
          <w:highlight w:val="none"/>
        </w:rPr>
        <w:t>（本条包含1项一般条款）</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建设项目分布系统和用地报征审批系统主要数据项包含：</w:t>
      </w:r>
      <w:bookmarkStart w:id="166" w:name="_Hlk13134887"/>
      <w:r>
        <w:rPr>
          <w:rFonts w:hint="eastAsia" w:ascii="仿宋" w:hAnsi="仿宋" w:eastAsia="仿宋" w:cs="仿宋"/>
          <w:color w:val="auto"/>
          <w:sz w:val="24"/>
          <w:highlight w:val="none"/>
        </w:rPr>
        <w:t>建设项目地块信息、建设项目三维模型、建设项目三证一书信息、土地征收与储备情况、土地利用情况、不动产登记情况、土地综合整治与耕地保护情况。</w:t>
      </w:r>
      <w:bookmarkEnd w:id="166"/>
    </w:p>
    <w:p>
      <w:pPr>
        <w:pStyle w:val="6"/>
        <w:numPr>
          <w:ilvl w:val="3"/>
          <w:numId w:val="0"/>
        </w:numPr>
        <w:spacing w:before="0" w:after="0"/>
        <w:rPr>
          <w:rFonts w:ascii="仿宋" w:hAnsi="仿宋" w:eastAsia="仿宋" w:cs="仿宋"/>
          <w:color w:val="auto"/>
          <w:szCs w:val="24"/>
          <w:highlight w:val="none"/>
        </w:rPr>
      </w:pPr>
      <w:bookmarkStart w:id="167" w:name="_Toc77005991"/>
      <w:r>
        <w:rPr>
          <w:rFonts w:hint="eastAsia" w:ascii="仿宋" w:hAnsi="仿宋" w:eastAsia="仿宋" w:cs="仿宋"/>
          <w:color w:val="auto"/>
          <w:szCs w:val="24"/>
          <w:highlight w:val="none"/>
        </w:rPr>
        <w:t>3.3信息标准化建设方案</w:t>
      </w:r>
      <w:bookmarkEnd w:id="167"/>
      <w:r>
        <w:rPr>
          <w:rFonts w:hint="eastAsia" w:ascii="仿宋" w:hAnsi="仿宋" w:eastAsia="仿宋" w:cs="仿宋"/>
          <w:color w:val="auto"/>
          <w:szCs w:val="24"/>
          <w:highlight w:val="none"/>
        </w:rPr>
        <w:t>（本条包含2项一般条款）</w:t>
      </w:r>
    </w:p>
    <w:p>
      <w:pPr>
        <w:pStyle w:val="7"/>
        <w:numPr>
          <w:ilvl w:val="4"/>
          <w:numId w:val="0"/>
        </w:numPr>
        <w:spacing w:before="0" w:after="0"/>
        <w:rPr>
          <w:rFonts w:ascii="仿宋" w:hAnsi="仿宋" w:eastAsia="仿宋" w:cs="仿宋"/>
          <w:color w:val="auto"/>
          <w:sz w:val="24"/>
          <w:szCs w:val="24"/>
          <w:highlight w:val="none"/>
        </w:rPr>
      </w:pPr>
      <w:bookmarkStart w:id="168" w:name="_Toc77005992"/>
      <w:bookmarkStart w:id="169" w:name="_Toc70065622"/>
      <w:bookmarkStart w:id="170" w:name="_Toc25229874"/>
      <w:r>
        <w:rPr>
          <w:rFonts w:hint="eastAsia" w:ascii="仿宋" w:hAnsi="仿宋" w:eastAsia="仿宋" w:cs="仿宋"/>
          <w:color w:val="auto"/>
          <w:sz w:val="24"/>
          <w:szCs w:val="24"/>
          <w:highlight w:val="none"/>
        </w:rPr>
        <w:t>3.3.1三维模型数据规范</w:t>
      </w:r>
      <w:bookmarkEnd w:id="168"/>
      <w:bookmarkEnd w:id="169"/>
      <w:bookmarkEnd w:id="170"/>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本规范，主要规定城市三维模型数据的数据获取、处理、建模、质检、验收以及数据更新维护等环节的工作要求，为统一城市三维模型制作技术，及时、准确地为智慧城市建设提供城市三维建模技术服务。</w:t>
      </w:r>
    </w:p>
    <w:p>
      <w:pPr>
        <w:pStyle w:val="7"/>
        <w:numPr>
          <w:ilvl w:val="4"/>
          <w:numId w:val="0"/>
        </w:numPr>
        <w:spacing w:before="0" w:after="0"/>
        <w:rPr>
          <w:rFonts w:ascii="仿宋" w:hAnsi="仿宋" w:eastAsia="仿宋" w:cs="仿宋"/>
          <w:color w:val="auto"/>
          <w:sz w:val="24"/>
          <w:szCs w:val="24"/>
          <w:highlight w:val="none"/>
        </w:rPr>
      </w:pPr>
      <w:bookmarkStart w:id="171" w:name="_Toc77005993"/>
      <w:bookmarkStart w:id="172" w:name="_Toc70065626"/>
      <w:bookmarkStart w:id="173" w:name="_Toc25229876"/>
      <w:r>
        <w:rPr>
          <w:rFonts w:hint="eastAsia" w:ascii="仿宋" w:hAnsi="仿宋" w:eastAsia="仿宋" w:cs="仿宋"/>
          <w:color w:val="auto"/>
          <w:sz w:val="24"/>
          <w:szCs w:val="24"/>
          <w:highlight w:val="none"/>
        </w:rPr>
        <w:t>3.3.2其它相关标准规范</w:t>
      </w:r>
      <w:bookmarkEnd w:id="171"/>
      <w:bookmarkEnd w:id="172"/>
      <w:bookmarkEnd w:id="173"/>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包括平台的使用手册、保密协议等其它相关标准规范。</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使用手册较完整、全面的阐述了系统配置、体系架构、功能特点、服务内容等等各方面内容。</w:t>
      </w:r>
    </w:p>
    <w:p>
      <w:pPr>
        <w:pStyle w:val="6"/>
        <w:numPr>
          <w:ilvl w:val="2"/>
          <w:numId w:val="0"/>
        </w:numPr>
        <w:spacing w:before="0" w:after="0"/>
        <w:rPr>
          <w:rFonts w:ascii="仿宋" w:hAnsi="仿宋" w:eastAsia="仿宋" w:cs="仿宋"/>
          <w:color w:val="auto"/>
          <w:szCs w:val="24"/>
          <w:highlight w:val="none"/>
        </w:rPr>
      </w:pPr>
      <w:bookmarkStart w:id="174" w:name="_Toc77005994"/>
      <w:r>
        <w:rPr>
          <w:rFonts w:hint="eastAsia" w:ascii="仿宋" w:hAnsi="仿宋" w:eastAsia="仿宋" w:cs="仿宋"/>
          <w:color w:val="auto"/>
          <w:szCs w:val="24"/>
          <w:highlight w:val="none"/>
        </w:rPr>
        <w:t>3.4信息共享建设</w:t>
      </w:r>
      <w:bookmarkEnd w:id="174"/>
      <w:r>
        <w:rPr>
          <w:rFonts w:hint="eastAsia" w:ascii="仿宋" w:hAnsi="仿宋" w:eastAsia="仿宋" w:cs="仿宋"/>
          <w:color w:val="auto"/>
          <w:szCs w:val="24"/>
          <w:highlight w:val="none"/>
        </w:rPr>
        <w:t>（本条包含1项一般条款）</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信息共享需求主要是内部共享，即市规划和自然资源局各业务处室、局属事业单位及区（市）县局的信息共享，通过建成的信息平台实现数据共享和交换，提供储备土地数据服务和数据支持。</w:t>
      </w:r>
    </w:p>
    <w:p>
      <w:pPr>
        <w:pStyle w:val="6"/>
        <w:numPr>
          <w:ilvl w:val="2"/>
          <w:numId w:val="0"/>
        </w:numPr>
        <w:spacing w:before="0" w:after="0"/>
        <w:rPr>
          <w:rFonts w:ascii="仿宋" w:hAnsi="仿宋" w:eastAsia="仿宋" w:cs="仿宋"/>
          <w:color w:val="auto"/>
          <w:szCs w:val="24"/>
          <w:highlight w:val="none"/>
        </w:rPr>
      </w:pPr>
      <w:bookmarkStart w:id="175" w:name="_Toc77005995"/>
      <w:r>
        <w:rPr>
          <w:rFonts w:hint="eastAsia" w:ascii="仿宋" w:hAnsi="仿宋" w:eastAsia="仿宋" w:cs="仿宋"/>
          <w:color w:val="auto"/>
          <w:szCs w:val="24"/>
          <w:highlight w:val="none"/>
        </w:rPr>
        <w:t>3.5时空大数据库建设</w:t>
      </w:r>
      <w:bookmarkEnd w:id="175"/>
      <w:r>
        <w:rPr>
          <w:rFonts w:hint="eastAsia" w:ascii="仿宋" w:hAnsi="仿宋" w:eastAsia="仿宋" w:cs="仿宋"/>
          <w:color w:val="auto"/>
          <w:szCs w:val="24"/>
          <w:highlight w:val="none"/>
        </w:rPr>
        <w:t>内容（本条包含1项一般条款）</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基于高新区现有时空大数据库，扩充建设三维模型数据、项目地理实体数据、基础数据、智能感知数据和专题数据。</w:t>
      </w:r>
    </w:p>
    <w:p>
      <w:pPr>
        <w:pStyle w:val="52"/>
        <w:spacing w:after="0" w:line="360" w:lineRule="auto"/>
        <w:ind w:left="480"/>
        <w:rPr>
          <w:rFonts w:ascii="仿宋" w:hAnsi="仿宋" w:eastAsia="仿宋" w:cs="仿宋"/>
          <w:color w:val="auto"/>
          <w:sz w:val="24"/>
          <w:highlight w:val="none"/>
        </w:rPr>
      </w:pPr>
      <w:r>
        <w:rPr>
          <w:rFonts w:hint="eastAsia" w:ascii="仿宋" w:hAnsi="仿宋" w:eastAsia="仿宋" w:cs="仿宋"/>
          <w:color w:val="auto"/>
          <w:sz w:val="24"/>
          <w:highlight w:val="none"/>
        </w:rPr>
        <w:t>①三维模型数据建设</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生产高新南区中心城区138个建设项目共计约26.77平方公里三维精细模型数据，通过3Dmax模型转换工具，轻量化处理入库，形成二三维一体化场景底板。</w:t>
      </w:r>
    </w:p>
    <w:p>
      <w:pPr>
        <w:pStyle w:val="52"/>
        <w:spacing w:after="0" w:line="360" w:lineRule="auto"/>
        <w:ind w:left="480"/>
        <w:rPr>
          <w:rFonts w:ascii="仿宋" w:hAnsi="仿宋" w:eastAsia="仿宋" w:cs="仿宋"/>
          <w:color w:val="auto"/>
          <w:sz w:val="24"/>
          <w:highlight w:val="none"/>
        </w:rPr>
      </w:pPr>
      <w:r>
        <w:rPr>
          <w:rFonts w:hint="eastAsia" w:ascii="仿宋" w:hAnsi="仿宋" w:eastAsia="仿宋" w:cs="仿宋"/>
          <w:color w:val="auto"/>
          <w:sz w:val="24"/>
          <w:highlight w:val="none"/>
        </w:rPr>
        <w:t>②专题数据</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包括高新区总体规划数据、土地地类数据、建设用地管制区数据、生态保护红线、永久基本农田数据。</w:t>
      </w:r>
    </w:p>
    <w:p>
      <w:pPr>
        <w:pStyle w:val="52"/>
        <w:spacing w:after="0" w:line="360" w:lineRule="auto"/>
        <w:ind w:left="480"/>
        <w:rPr>
          <w:rFonts w:ascii="仿宋" w:hAnsi="仿宋" w:eastAsia="仿宋" w:cs="仿宋"/>
          <w:color w:val="auto"/>
          <w:sz w:val="24"/>
          <w:highlight w:val="none"/>
        </w:rPr>
      </w:pPr>
      <w:r>
        <w:rPr>
          <w:rFonts w:hint="eastAsia" w:ascii="仿宋" w:hAnsi="仿宋" w:eastAsia="仿宋" w:cs="仿宋"/>
          <w:color w:val="auto"/>
          <w:sz w:val="24"/>
          <w:highlight w:val="none"/>
        </w:rPr>
        <w:t>③项目实体数据</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构建建设项目地理实体数据，包括建设项目地块信息、不动产信息、建筑物属性信息、项目三证一书信息等。</w:t>
      </w:r>
    </w:p>
    <w:p>
      <w:pPr>
        <w:pStyle w:val="52"/>
        <w:spacing w:after="0" w:line="360" w:lineRule="auto"/>
        <w:ind w:left="480"/>
        <w:rPr>
          <w:rFonts w:ascii="仿宋" w:hAnsi="仿宋" w:eastAsia="仿宋" w:cs="仿宋"/>
          <w:color w:val="auto"/>
          <w:sz w:val="24"/>
          <w:highlight w:val="none"/>
        </w:rPr>
      </w:pPr>
      <w:r>
        <w:rPr>
          <w:rFonts w:hint="eastAsia" w:ascii="仿宋" w:hAnsi="仿宋" w:eastAsia="仿宋" w:cs="仿宋"/>
          <w:color w:val="auto"/>
          <w:sz w:val="24"/>
          <w:highlight w:val="none"/>
        </w:rPr>
        <w:t>④智能感知数据</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包括建设项目物联网数据对接入库，如视屏监控、防尘监控、安全监管等智能感知对接。</w:t>
      </w:r>
    </w:p>
    <w:p>
      <w:pPr>
        <w:pStyle w:val="6"/>
        <w:numPr>
          <w:ilvl w:val="2"/>
          <w:numId w:val="0"/>
        </w:numPr>
        <w:spacing w:before="0" w:after="0"/>
        <w:rPr>
          <w:rFonts w:ascii="仿宋" w:hAnsi="仿宋" w:eastAsia="仿宋" w:cs="仿宋"/>
          <w:color w:val="auto"/>
          <w:szCs w:val="24"/>
          <w:highlight w:val="none"/>
        </w:rPr>
      </w:pPr>
      <w:bookmarkStart w:id="176" w:name="_Toc77006005"/>
      <w:r>
        <w:rPr>
          <w:rFonts w:hint="eastAsia" w:ascii="仿宋" w:hAnsi="仿宋" w:eastAsia="仿宋" w:cs="仿宋"/>
          <w:color w:val="auto"/>
          <w:szCs w:val="24"/>
          <w:highlight w:val="none"/>
        </w:rPr>
        <w:t>3.6运行维护建设方案</w:t>
      </w:r>
      <w:bookmarkEnd w:id="176"/>
      <w:r>
        <w:rPr>
          <w:rFonts w:hint="eastAsia" w:ascii="仿宋" w:hAnsi="仿宋" w:eastAsia="仿宋" w:cs="仿宋"/>
          <w:color w:val="auto"/>
          <w:szCs w:val="24"/>
          <w:highlight w:val="none"/>
        </w:rPr>
        <w:t>（本条包含1项一般条款）</w:t>
      </w:r>
    </w:p>
    <w:p>
      <w:pPr>
        <w:pStyle w:val="52"/>
        <w:spacing w:after="0" w:line="360" w:lineRule="auto"/>
        <w:ind w:firstLine="480"/>
        <w:rPr>
          <w:rFonts w:ascii="仿宋" w:hAnsi="仿宋" w:eastAsia="仿宋" w:cs="仿宋"/>
          <w:color w:val="auto"/>
          <w:sz w:val="24"/>
          <w:highlight w:val="none"/>
        </w:rPr>
      </w:pPr>
      <w:r>
        <w:rPr>
          <w:rFonts w:hint="eastAsia" w:ascii="仿宋" w:hAnsi="仿宋" w:eastAsia="仿宋" w:cs="仿宋"/>
          <w:color w:val="auto"/>
          <w:sz w:val="24"/>
          <w:highlight w:val="none"/>
        </w:rPr>
        <w:t>系统在进入运维阶段后，为提高系统的持续服务能力及可靠性，在运维管理体系的设计上需要考虑维护队伍、维护流程、维护机制等因素，本项目需建设完整运维管理体系，形成常态化运维机制。</w:t>
      </w:r>
    </w:p>
    <w:p>
      <w:pPr>
        <w:pStyle w:val="5"/>
        <w:spacing w:before="0" w:after="0" w:line="360" w:lineRule="auto"/>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4、其他相关要求（本条包含1项重要条款）</w:t>
      </w:r>
    </w:p>
    <w:p>
      <w:pPr>
        <w:tabs>
          <w:tab w:val="left" w:pos="6938"/>
        </w:tabs>
        <w:spacing w:after="0" w:line="360" w:lineRule="auto"/>
        <w:rPr>
          <w:color w:val="auto"/>
          <w:highlight w:val="none"/>
        </w:rPr>
      </w:pPr>
      <w:r>
        <w:rPr>
          <w:rFonts w:hint="eastAsia" w:ascii="仿宋" w:hAnsi="仿宋" w:eastAsia="仿宋"/>
          <w:b/>
          <w:bCs/>
          <w:color w:val="auto"/>
          <w:sz w:val="24"/>
          <w:highlight w:val="none"/>
        </w:rPr>
        <w:t>▲</w:t>
      </w:r>
      <w:r>
        <w:rPr>
          <w:rFonts w:hint="eastAsia" w:ascii="仿宋" w:hAnsi="仿宋" w:eastAsia="仿宋" w:cs="仿宋"/>
          <w:color w:val="auto"/>
          <w:sz w:val="24"/>
          <w:highlight w:val="none"/>
        </w:rPr>
        <w:t>4.1投标人结合项目建设内容进行工作进度细化，明确项目关键时间节点及递交物。</w:t>
      </w:r>
    </w:p>
    <w:tbl>
      <w:tblPr>
        <w:tblStyle w:val="29"/>
        <w:tblW w:w="8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1950"/>
        <w:gridCol w:w="6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阶段</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项目启动</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了解项目建设内容，收集相关文档，分析潜在</w:t>
            </w:r>
            <w:r>
              <w:rPr>
                <w:rFonts w:hint="eastAsia" w:ascii="仿宋" w:hAnsi="仿宋" w:eastAsia="仿宋" w:cs="仿宋"/>
                <w:color w:val="auto"/>
                <w:sz w:val="24"/>
                <w:highlight w:val="none"/>
                <w:lang w:val="en-US" w:eastAsia="zh-CN"/>
              </w:rPr>
              <w:t>问题</w:t>
            </w:r>
            <w:r>
              <w:rPr>
                <w:rFonts w:hint="eastAsia" w:ascii="仿宋" w:hAnsi="仿宋" w:eastAsia="仿宋" w:cs="仿宋"/>
                <w:color w:val="auto"/>
                <w:sz w:val="24"/>
                <w:highlight w:val="none"/>
              </w:rPr>
              <w:t>，准备实施方案分析项目相关重要人员，了解采购人和中标人的项目组状况，初步确定双方小组成员及初步的项目范围说明书、项目总体计划等。由项目经理申请建立项目配置管理库。双方确定实施团队人员，制定奖惩制定；对项目组进行相关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需求调研与分析</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制定需求调研计划、编写需求调研模版、填写调研过程记录、根据需求调研记录编写需求分析报告、为采购人讲解需求分析报告并补充采购人需求、采购人对需求分析进行签字确认。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总体设计</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根据项目总体方案与需求分析文档进行时空大数平台总体设计和平台软件各系统功能界定，编写项目总体设计。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标准规范建设</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包含数据建库规范、服务规范和平台运行管理机制。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支撑环境建设</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基于现有的1套SuperMap标准版桌面GIS，1套SuperMap组件包括空间数据库、空间分析、网络分析等组件，1套SuperMap服务GIS标准版加三维拓展模块,和时空数据管理系统以及展示系统，开发本次应用系统。本次服务器和数据库等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时空大数据建设</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完成基础时空数据、公共专题数据、物联网实时感知数据、互联网在线抓取数据处理、时空化、建库、入库、发布工作。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平台软件开发</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完成时空大数据平台系统、建设项目分布系统、用地报征审批系统部署与定制开发，支持外部系统对接等工作。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系统测试</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进行系统部署与测试工作。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项目预验收</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项目预验收。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系统试运行</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系统试运行、试运行问题记录、试运行问题修改。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用户培训</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进行系统管理员用户手册编写、进行统运行与维护软件用户手册编写、集中组织进行系统运行与维护软件管理员培训、集中组织进行系统运行与维护软件用户操作培训。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项目终验</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项目最终验收。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1"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950"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项目维护服务</w:t>
            </w:r>
          </w:p>
        </w:tc>
        <w:tc>
          <w:tcPr>
            <w:tcW w:w="6196" w:type="dxa"/>
            <w:vAlign w:val="center"/>
          </w:tcPr>
          <w:p>
            <w:pPr>
              <w:pStyle w:val="12"/>
              <w:spacing w:after="0"/>
              <w:rPr>
                <w:rFonts w:ascii="仿宋" w:hAnsi="仿宋" w:eastAsia="仿宋" w:cs="仿宋"/>
                <w:color w:val="auto"/>
                <w:sz w:val="24"/>
                <w:highlight w:val="none"/>
              </w:rPr>
            </w:pPr>
            <w:r>
              <w:rPr>
                <w:rFonts w:hint="eastAsia" w:ascii="仿宋" w:hAnsi="仿宋" w:eastAsia="仿宋" w:cs="仿宋"/>
                <w:color w:val="auto"/>
                <w:sz w:val="24"/>
                <w:highlight w:val="none"/>
              </w:rPr>
              <w:t>系统日常运行与维护。</w:t>
            </w:r>
          </w:p>
        </w:tc>
      </w:tr>
    </w:tbl>
    <w:p>
      <w:pPr>
        <w:pStyle w:val="12"/>
        <w:rPr>
          <w:rFonts w:hint="eastAsia"/>
          <w:color w:val="auto"/>
          <w:highlight w:val="none"/>
          <w:lang w:val="en-US" w:eastAsia="zh-CN"/>
        </w:rPr>
      </w:pPr>
    </w:p>
    <w:p>
      <w:pPr>
        <w:rPr>
          <w:rFonts w:hint="eastAsia" w:ascii="仿宋" w:hAnsi="仿宋" w:eastAsia="仿宋"/>
          <w:color w:val="auto"/>
          <w:sz w:val="36"/>
          <w:szCs w:val="36"/>
          <w:highlight w:val="none"/>
        </w:rPr>
      </w:pPr>
      <w:r>
        <w:rPr>
          <w:rFonts w:hint="eastAsia" w:ascii="仿宋" w:hAnsi="仿宋" w:eastAsia="仿宋"/>
          <w:color w:val="auto"/>
          <w:sz w:val="36"/>
          <w:szCs w:val="36"/>
          <w:highlight w:val="none"/>
        </w:rPr>
        <w:br w:type="page"/>
      </w:r>
    </w:p>
    <w:p>
      <w:pPr>
        <w:pStyle w:val="3"/>
        <w:spacing w:line="400" w:lineRule="exact"/>
        <w:jc w:val="center"/>
        <w:rPr>
          <w:rFonts w:ascii="仿宋" w:hAnsi="仿宋" w:eastAsia="仿宋"/>
          <w:color w:val="auto"/>
          <w:sz w:val="36"/>
          <w:szCs w:val="36"/>
          <w:highlight w:val="none"/>
        </w:rPr>
      </w:pPr>
      <w:r>
        <w:rPr>
          <w:rFonts w:hint="eastAsia" w:ascii="仿宋" w:hAnsi="仿宋" w:eastAsia="仿宋"/>
          <w:color w:val="auto"/>
          <w:sz w:val="36"/>
          <w:szCs w:val="36"/>
          <w:highlight w:val="none"/>
        </w:rPr>
        <w:t>第七章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评标办法</w:t>
      </w:r>
      <w:bookmarkEnd w:id="151"/>
      <w:bookmarkEnd w:id="152"/>
      <w:bookmarkStart w:id="177" w:name="_Hlt101846155"/>
      <w:bookmarkEnd w:id="177"/>
      <w:bookmarkStart w:id="178" w:name="_Toc217446097"/>
      <w:bookmarkStart w:id="179" w:name="_Toc183682415"/>
      <w:bookmarkStart w:id="180" w:name="_Toc183582280"/>
      <w:bookmarkStart w:id="181" w:name="_Toc208849007"/>
    </w:p>
    <w:p>
      <w:pPr>
        <w:pStyle w:val="4"/>
        <w:ind w:firstLine="482" w:firstLineChars="200"/>
        <w:rPr>
          <w:rFonts w:ascii="仿宋" w:hAnsi="仿宋" w:eastAsia="仿宋"/>
          <w:color w:val="auto"/>
          <w:sz w:val="24"/>
          <w:szCs w:val="24"/>
          <w:highlight w:val="none"/>
        </w:rPr>
      </w:pPr>
      <w:r>
        <w:rPr>
          <w:rFonts w:ascii="仿宋" w:hAnsi="仿宋" w:eastAsia="仿宋"/>
          <w:color w:val="auto"/>
          <w:sz w:val="24"/>
          <w:szCs w:val="24"/>
          <w:highlight w:val="none"/>
        </w:rPr>
        <w:t>1</w:t>
      </w:r>
      <w:r>
        <w:rPr>
          <w:rFonts w:hint="eastAsia" w:ascii="仿宋" w:hAnsi="仿宋" w:eastAsia="仿宋"/>
          <w:color w:val="auto"/>
          <w:sz w:val="24"/>
          <w:highlight w:val="none"/>
        </w:rPr>
        <w:t>．</w:t>
      </w:r>
      <w:r>
        <w:rPr>
          <w:rFonts w:hint="eastAsia" w:ascii="仿宋" w:hAnsi="仿宋" w:eastAsia="仿宋"/>
          <w:color w:val="auto"/>
          <w:sz w:val="24"/>
          <w:szCs w:val="24"/>
          <w:highlight w:val="none"/>
        </w:rPr>
        <w:t>总则</w:t>
      </w:r>
      <w:bookmarkEnd w:id="178"/>
      <w:bookmarkEnd w:id="179"/>
      <w:bookmarkEnd w:id="180"/>
      <w:bookmarkEnd w:id="181"/>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1.1 </w:t>
      </w:r>
      <w:r>
        <w:rPr>
          <w:rFonts w:hint="eastAsia" w:ascii="仿宋" w:hAnsi="仿宋" w:eastAsia="仿宋"/>
          <w:color w:val="auto"/>
          <w:sz w:val="24"/>
          <w:highlight w:val="none"/>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1.2 </w:t>
      </w:r>
      <w:r>
        <w:rPr>
          <w:rFonts w:hint="eastAsia" w:ascii="仿宋" w:hAnsi="仿宋" w:eastAsia="仿宋"/>
          <w:color w:val="auto"/>
          <w:sz w:val="24"/>
          <w:highlight w:val="none"/>
        </w:rPr>
        <w:t>公开招标采购项目开标结束后，采购人或者采购代理机构应当依法对投标人的资格进行审查。依据法律法规和本招标文件的规定，对投标文件是否按照规定要求提供资格性证明材料</w:t>
      </w:r>
      <w:r>
        <w:rPr>
          <w:rFonts w:hint="eastAsia" w:ascii="仿宋" w:hAnsi="仿宋" w:eastAsia="仿宋"/>
          <w:color w:val="auto"/>
          <w:sz w:val="24"/>
          <w:highlight w:val="none"/>
          <w:lang w:val="en-US" w:eastAsia="zh-CN"/>
        </w:rPr>
        <w:t>等进行审查</w:t>
      </w:r>
      <w:r>
        <w:rPr>
          <w:rFonts w:hint="eastAsia" w:ascii="仿宋" w:hAnsi="仿宋" w:eastAsia="仿宋"/>
          <w:color w:val="auto"/>
          <w:sz w:val="24"/>
          <w:highlight w:val="none"/>
        </w:rPr>
        <w:t>，以确定投标供应商是否具备投标资格。</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合格投标人不足三家的，不得评标。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1.3 </w:t>
      </w:r>
      <w:r>
        <w:rPr>
          <w:rFonts w:hint="eastAsia" w:ascii="仿宋" w:hAnsi="仿宋" w:eastAsia="仿宋"/>
          <w:color w:val="auto"/>
          <w:sz w:val="24"/>
          <w:highlight w:val="none"/>
        </w:rPr>
        <w:t>评标工作应遵循公平、公正、科学及择优的原则，并以相同的评标程序和标准对待所有的投标人。</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1.4 </w:t>
      </w:r>
      <w:r>
        <w:rPr>
          <w:rFonts w:hint="eastAsia" w:ascii="仿宋" w:hAnsi="仿宋" w:eastAsia="仿宋"/>
          <w:color w:val="auto"/>
          <w:sz w:val="24"/>
          <w:highlight w:val="none"/>
        </w:rPr>
        <w:t>评标委员会按照招标文件规定的评标方法和标准进行评标，并独立履行下列职责：</w:t>
      </w:r>
    </w:p>
    <w:p>
      <w:pPr>
        <w:spacing w:line="400" w:lineRule="exact"/>
        <w:ind w:firstLine="480" w:firstLineChars="200"/>
        <w:rPr>
          <w:rFonts w:ascii="仿宋" w:hAnsi="仿宋" w:eastAsia="仿宋"/>
          <w:color w:val="auto"/>
          <w:sz w:val="24"/>
          <w:highlight w:val="none"/>
        </w:rPr>
      </w:pPr>
      <w:bookmarkStart w:id="182" w:name="_Toc217446098"/>
      <w:r>
        <w:rPr>
          <w:rFonts w:hint="eastAsia" w:ascii="仿宋" w:hAnsi="仿宋" w:eastAsia="仿宋"/>
          <w:color w:val="auto"/>
          <w:sz w:val="24"/>
          <w:highlight w:val="none"/>
        </w:rPr>
        <w:t>（一）熟悉和理解招标文件；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（二）审查供应商（已通过资格审查）的投标文件是否满足招标文件要求，并作出评价；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（四）推荐中标候选供应商，或者受采购人委托确定中标供应商；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（五）起草评标报告并进行签署；</w:t>
      </w:r>
    </w:p>
    <w:p>
      <w:pPr>
        <w:spacing w:line="400" w:lineRule="exact"/>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（六）向招标采购单位、财政部门或者其他监督部门报告非法干预评标工作的行为；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（七）法律、法规和规章规定的其他职责。</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1.5 </w:t>
      </w:r>
      <w:r>
        <w:rPr>
          <w:rFonts w:hint="eastAsia" w:ascii="仿宋" w:hAnsi="仿宋" w:eastAsia="仿宋"/>
          <w:color w:val="auto"/>
          <w:sz w:val="24"/>
          <w:highlight w:val="none"/>
        </w:rPr>
        <w:t>评标过程独立、保密。投标人非法干预评标过程的行为将导致其投标文件作为无效处理。</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1.6 </w:t>
      </w:r>
      <w:r>
        <w:rPr>
          <w:rFonts w:hint="eastAsia" w:ascii="仿宋" w:hAnsi="仿宋" w:eastAsia="仿宋"/>
          <w:color w:val="auto"/>
          <w:sz w:val="24"/>
          <w:highlight w:val="none"/>
        </w:rPr>
        <w:t>评标委员会评价投标文件的响应性，对于投标人而言，除评标委员会要求其澄清、说明或者更正而提供的资料外，仅依据投标文件本身的内容，不寻求其他外部证据。</w:t>
      </w:r>
    </w:p>
    <w:p>
      <w:pPr>
        <w:pStyle w:val="4"/>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w:t>
      </w:r>
      <w:r>
        <w:rPr>
          <w:rFonts w:hint="eastAsia" w:ascii="仿宋" w:hAnsi="仿宋" w:eastAsia="仿宋"/>
          <w:color w:val="auto"/>
          <w:sz w:val="24"/>
          <w:highlight w:val="none"/>
        </w:rPr>
        <w:t>．</w:t>
      </w:r>
      <w:r>
        <w:rPr>
          <w:rFonts w:hint="eastAsia" w:ascii="仿宋" w:hAnsi="仿宋" w:eastAsia="仿宋"/>
          <w:color w:val="auto"/>
          <w:sz w:val="24"/>
          <w:szCs w:val="24"/>
          <w:highlight w:val="none"/>
        </w:rPr>
        <w:t>评标</w:t>
      </w:r>
      <w:bookmarkEnd w:id="182"/>
      <w:r>
        <w:rPr>
          <w:rFonts w:hint="eastAsia" w:ascii="仿宋" w:hAnsi="仿宋" w:eastAsia="仿宋"/>
          <w:color w:val="auto"/>
          <w:sz w:val="24"/>
          <w:szCs w:val="24"/>
          <w:highlight w:val="none"/>
        </w:rPr>
        <w:t>方法</w:t>
      </w:r>
    </w:p>
    <w:p>
      <w:pPr>
        <w:spacing w:line="360" w:lineRule="auto"/>
        <w:ind w:firstLine="480" w:firstLineChars="200"/>
        <w:rPr>
          <w:rFonts w:ascii="仿宋" w:hAnsi="仿宋" w:eastAsia="仿宋"/>
          <w:color w:val="auto"/>
          <w:sz w:val="24"/>
          <w:highlight w:val="none"/>
        </w:rPr>
      </w:pPr>
      <w:bookmarkStart w:id="183" w:name="_Toc217446103"/>
      <w:bookmarkStart w:id="184" w:name="_Toc217446099"/>
      <w:r>
        <w:rPr>
          <w:rFonts w:ascii="仿宋" w:hAnsi="仿宋" w:eastAsia="仿宋"/>
          <w:color w:val="auto"/>
          <w:sz w:val="24"/>
          <w:highlight w:val="none"/>
        </w:rPr>
        <w:t>2.1本项目评标方法为：</w:t>
      </w:r>
      <w:r>
        <w:rPr>
          <w:rFonts w:hint="eastAsia" w:ascii="仿宋" w:hAnsi="仿宋" w:eastAsia="仿宋"/>
          <w:b/>
          <w:bCs/>
          <w:color w:val="auto"/>
          <w:sz w:val="24"/>
          <w:highlight w:val="none"/>
        </w:rPr>
        <w:t>综合评分法</w:t>
      </w:r>
      <w:r>
        <w:rPr>
          <w:rFonts w:hint="eastAsia" w:ascii="仿宋" w:hAnsi="仿宋" w:eastAsia="仿宋"/>
          <w:color w:val="auto"/>
          <w:sz w:val="24"/>
          <w:highlight w:val="none"/>
        </w:rPr>
        <w:t>。</w:t>
      </w:r>
    </w:p>
    <w:p>
      <w:pPr>
        <w:pStyle w:val="4"/>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w:t>
      </w:r>
      <w:r>
        <w:rPr>
          <w:rFonts w:hint="eastAsia" w:ascii="仿宋" w:hAnsi="仿宋" w:eastAsia="仿宋"/>
          <w:color w:val="auto"/>
          <w:sz w:val="24"/>
          <w:highlight w:val="none"/>
        </w:rPr>
        <w:t>．</w:t>
      </w:r>
      <w:r>
        <w:rPr>
          <w:rFonts w:hint="eastAsia" w:ascii="仿宋" w:hAnsi="仿宋" w:eastAsia="仿宋"/>
          <w:color w:val="auto"/>
          <w:sz w:val="24"/>
          <w:szCs w:val="24"/>
          <w:highlight w:val="none"/>
        </w:rPr>
        <w:t>评标程序</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3.1熟悉和理解招标文件和停止评标。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（1）招标文件的规定存在歧义、重大缺陷的；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（2）招标文件明显以不合理条件对供应商实行差别待遇或者歧视待遇的；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（6）招标文件将投标人的资格条件列为评分因素的；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（7）招标文件有违反国家其他有关强制性规定的情形。</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3.2符合性检查。</w:t>
      </w:r>
    </w:p>
    <w:p>
      <w:pPr>
        <w:spacing w:line="400" w:lineRule="exact"/>
        <w:ind w:firstLine="480" w:firstLineChars="200"/>
        <w:rPr>
          <w:rFonts w:hint="eastAsia" w:ascii="仿宋" w:hAnsi="仿宋" w:eastAsia="仿宋"/>
          <w:color w:val="auto"/>
          <w:sz w:val="24"/>
          <w:highlight w:val="none"/>
        </w:rPr>
      </w:pPr>
      <w:r>
        <w:rPr>
          <w:rFonts w:hint="eastAsia" w:ascii="仿宋" w:hAnsi="仿宋" w:eastAsia="仿宋"/>
          <w:color w:val="auto"/>
          <w:sz w:val="24"/>
          <w:highlight w:val="none"/>
        </w:rPr>
        <w:t>3.2.1评标委员会依据本招标文件的</w:t>
      </w:r>
      <w:r>
        <w:rPr>
          <w:rFonts w:hint="eastAsia" w:ascii="仿宋" w:hAnsi="仿宋" w:eastAsia="仿宋"/>
          <w:b/>
          <w:bCs/>
          <w:color w:val="auto"/>
          <w:sz w:val="24"/>
          <w:highlight w:val="none"/>
        </w:rPr>
        <w:t>实质性要求及无效投标情形</w:t>
      </w:r>
      <w:r>
        <w:rPr>
          <w:rFonts w:hint="eastAsia" w:ascii="仿宋" w:hAnsi="仿宋" w:eastAsia="仿宋"/>
          <w:color w:val="auto"/>
          <w:sz w:val="24"/>
          <w:highlight w:val="none"/>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5983"/>
        <w:gridCol w:w="2411"/>
        <w:gridCol w:w="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tabs>
                <w:tab w:val="left" w:pos="851"/>
              </w:tabs>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序号</w:t>
            </w:r>
          </w:p>
        </w:tc>
        <w:tc>
          <w:tcPr>
            <w:tcW w:w="3261" w:type="pct"/>
            <w:vAlign w:val="center"/>
          </w:tcPr>
          <w:p>
            <w:pPr>
              <w:keepNext w:val="0"/>
              <w:keepLines w:val="0"/>
              <w:pageBreakBefore w:val="0"/>
              <w:tabs>
                <w:tab w:val="left" w:pos="851"/>
              </w:tabs>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招标文件条目</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实质性要求及无效投标情形</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1</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rPr>
              <w:t>招标文件第二章一、投标人须知附表序号1采购预算</w:t>
            </w:r>
            <w:r>
              <w:rPr>
                <w:rFonts w:hint="eastAsia" w:ascii="仿宋" w:hAnsi="仿宋" w:eastAsia="仿宋" w:cs="仿宋"/>
                <w:b/>
                <w:bCs w:val="0"/>
                <w:color w:val="auto"/>
                <w:sz w:val="24"/>
                <w:highlight w:val="none"/>
                <w:lang w:eastAsia="zh-CN"/>
              </w:rPr>
              <w:t>、</w:t>
            </w:r>
            <w:r>
              <w:rPr>
                <w:rFonts w:hint="eastAsia" w:ascii="仿宋" w:hAnsi="仿宋" w:eastAsia="仿宋" w:cs="仿宋"/>
                <w:b/>
                <w:bCs w:val="0"/>
                <w:color w:val="auto"/>
                <w:sz w:val="24"/>
                <w:highlight w:val="none"/>
                <w:lang w:val="en-US" w:eastAsia="zh-CN"/>
              </w:rPr>
              <w:t>最高限价</w:t>
            </w:r>
            <w:r>
              <w:rPr>
                <w:rFonts w:hint="eastAsia" w:ascii="仿宋" w:hAnsi="仿宋" w:eastAsia="仿宋" w:cs="仿宋"/>
                <w:b/>
                <w:bCs w:val="0"/>
                <w:color w:val="auto"/>
                <w:sz w:val="24"/>
                <w:highlight w:val="none"/>
                <w:lang w:eastAsia="zh-CN"/>
              </w:rPr>
              <w:t>：</w:t>
            </w:r>
          </w:p>
          <w:p>
            <w:pPr>
              <w:keepNext w:val="0"/>
              <w:keepLines w:val="0"/>
              <w:pageBreakBefore w:val="0"/>
              <w:widowControl/>
              <w:kinsoku/>
              <w:wordWrap/>
              <w:overflowPunct/>
              <w:topLinePunct w:val="0"/>
              <w:bidi w:val="0"/>
              <w:snapToGrid/>
              <w:spacing w:after="0" w:line="240" w:lineRule="auto"/>
              <w:ind w:left="0" w:right="0" w:rightChars="0"/>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本项目采购预算为</w:t>
            </w:r>
            <w:r>
              <w:rPr>
                <w:rFonts w:hint="eastAsia" w:ascii="仿宋" w:hAnsi="仿宋" w:eastAsia="仿宋" w:cs="仿宋"/>
                <w:bCs/>
                <w:color w:val="auto"/>
                <w:kern w:val="0"/>
                <w:sz w:val="24"/>
                <w:highlight w:val="none"/>
                <w:lang w:val="en-US" w:eastAsia="zh-CN"/>
              </w:rPr>
              <w:t>212.2</w:t>
            </w:r>
            <w:r>
              <w:rPr>
                <w:rFonts w:hint="eastAsia" w:ascii="仿宋" w:hAnsi="仿宋" w:eastAsia="仿宋" w:cs="仿宋"/>
                <w:bCs/>
                <w:color w:val="auto"/>
                <w:kern w:val="0"/>
                <w:sz w:val="24"/>
                <w:highlight w:val="none"/>
              </w:rPr>
              <w:t>万元</w:t>
            </w:r>
          </w:p>
          <w:p>
            <w:pPr>
              <w:keepNext w:val="0"/>
              <w:keepLines w:val="0"/>
              <w:pageBreakBefore w:val="0"/>
              <w:widowControl/>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超过采购预算的投标为无效投标。</w:t>
            </w:r>
          </w:p>
          <w:p>
            <w:pPr>
              <w:keepNext w:val="0"/>
              <w:keepLines w:val="0"/>
              <w:pageBreakBefore w:val="0"/>
              <w:widowControl/>
              <w:kinsoku/>
              <w:wordWrap/>
              <w:overflowPunct/>
              <w:topLinePunct w:val="0"/>
              <w:bidi w:val="0"/>
              <w:snapToGrid/>
              <w:spacing w:after="0" w:line="240" w:lineRule="auto"/>
              <w:ind w:left="0" w:right="0" w:rightChars="0"/>
              <w:rPr>
                <w:rFonts w:ascii="仿宋" w:hAnsi="仿宋" w:eastAsia="仿宋" w:cs="仿宋"/>
                <w:bCs/>
                <w:color w:val="auto"/>
                <w:kern w:val="0"/>
                <w:sz w:val="24"/>
                <w:highlight w:val="none"/>
              </w:rPr>
            </w:pPr>
            <w:r>
              <w:rPr>
                <w:rFonts w:hint="eastAsia" w:ascii="仿宋" w:hAnsi="仿宋" w:eastAsia="仿宋" w:cs="仿宋"/>
                <w:bCs/>
                <w:color w:val="auto"/>
                <w:kern w:val="0"/>
                <w:sz w:val="24"/>
                <w:highlight w:val="none"/>
              </w:rPr>
              <w:t>本项目最高限价为</w:t>
            </w:r>
            <w:r>
              <w:rPr>
                <w:rFonts w:hint="eastAsia" w:ascii="仿宋" w:hAnsi="仿宋" w:eastAsia="仿宋" w:cs="仿宋"/>
                <w:bCs/>
                <w:color w:val="auto"/>
                <w:kern w:val="0"/>
                <w:sz w:val="24"/>
                <w:highlight w:val="none"/>
                <w:lang w:val="en-US" w:eastAsia="zh-CN"/>
              </w:rPr>
              <w:t>212.2</w:t>
            </w:r>
            <w:r>
              <w:rPr>
                <w:rFonts w:hint="eastAsia" w:ascii="仿宋" w:hAnsi="仿宋" w:eastAsia="仿宋" w:cs="仿宋"/>
                <w:bCs/>
                <w:color w:val="auto"/>
                <w:kern w:val="0"/>
                <w:sz w:val="24"/>
                <w:highlight w:val="none"/>
              </w:rPr>
              <w:t>万元</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超过最高限价的报价为无效投标。</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b w:val="0"/>
                <w:bCs/>
                <w:color w:val="auto"/>
                <w:sz w:val="24"/>
                <w:szCs w:val="24"/>
                <w:highlight w:val="none"/>
                <w:vertAlign w:val="baseline"/>
                <w:lang w:val="en-US" w:eastAsia="zh-CN"/>
              </w:rPr>
              <w:t>按照</w:t>
            </w:r>
            <w:r>
              <w:rPr>
                <w:rFonts w:hint="eastAsia" w:ascii="仿宋" w:hAnsi="仿宋" w:eastAsia="仿宋" w:cs="仿宋"/>
                <w:bCs/>
                <w:color w:val="auto"/>
                <w:sz w:val="24"/>
                <w:highlight w:val="none"/>
              </w:rPr>
              <w:t>招标文件第三章格式2-4填写。评标委员会对上传内容按照招标文件要求进行评审。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2</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Cs/>
                <w:color w:val="auto"/>
                <w:highlight w:val="none"/>
                <w:lang w:eastAsia="zh-CN"/>
              </w:rPr>
            </w:pPr>
            <w:r>
              <w:rPr>
                <w:rFonts w:hint="eastAsia" w:ascii="仿宋" w:hAnsi="仿宋" w:eastAsia="仿宋" w:cs="仿宋"/>
                <w:b/>
                <w:bCs w:val="0"/>
                <w:color w:val="auto"/>
                <w:sz w:val="24"/>
                <w:highlight w:val="none"/>
              </w:rPr>
              <w:t>招标文件第二章一、投标人须知附表序号2不正当竞争预防措施</w:t>
            </w:r>
            <w:r>
              <w:rPr>
                <w:rFonts w:hint="eastAsia" w:ascii="仿宋" w:hAnsi="仿宋" w:eastAsia="仿宋" w:cs="仿宋"/>
                <w:b/>
                <w:bCs w:val="0"/>
                <w:color w:val="auto"/>
                <w:sz w:val="24"/>
                <w:highlight w:val="none"/>
                <w:lang w:eastAsia="zh-CN"/>
              </w:rPr>
              <w:t>：</w:t>
            </w:r>
          </w:p>
          <w:p>
            <w:pPr>
              <w:pStyle w:val="46"/>
              <w:keepNext w:val="0"/>
              <w:keepLines w:val="0"/>
              <w:pageBreakBefore w:val="0"/>
              <w:kinsoku/>
              <w:wordWrap/>
              <w:overflowPunct/>
              <w:topLinePunct w:val="0"/>
              <w:bidi w:val="0"/>
              <w:snapToGrid/>
              <w:spacing w:after="0" w:line="240" w:lineRule="auto"/>
              <w:ind w:left="0" w:right="0" w:rightChars="0"/>
              <w:jc w:val="both"/>
              <w:rPr>
                <w:rFonts w:ascii="仿宋" w:hAnsi="仿宋" w:eastAsia="仿宋" w:cs="仿宋"/>
                <w:bCs/>
                <w:color w:val="auto"/>
                <w:highlight w:val="none"/>
              </w:rPr>
            </w:pPr>
            <w:r>
              <w:rPr>
                <w:rFonts w:hint="eastAsia" w:ascii="仿宋" w:hAnsi="仿宋" w:eastAsia="仿宋" w:cs="仿宋"/>
                <w:bCs/>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注：</w:t>
            </w:r>
            <w:r>
              <w:rPr>
                <w:rFonts w:hint="eastAsia" w:ascii="仿宋" w:hAnsi="仿宋" w:eastAsia="仿宋" w:cs="仿宋"/>
                <w:bCs/>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Cs/>
                <w:color w:val="auto"/>
                <w:sz w:val="24"/>
                <w:highlight w:val="none"/>
              </w:rPr>
              <w:t>30分钟，供应商已明确表示澄清、说明完毕的除外</w:t>
            </w:r>
            <w:r>
              <w:rPr>
                <w:rFonts w:hint="eastAsia" w:ascii="仿宋" w:hAnsi="仿宋" w:eastAsia="仿宋" w:cs="仿宋"/>
                <w:bCs/>
                <w:color w:val="auto"/>
                <w:sz w:val="24"/>
                <w:highlight w:val="none"/>
                <w:lang w:val="zh-CN"/>
              </w:rPr>
              <w:t>）。如因系统故障（</w:t>
            </w:r>
            <w:r>
              <w:rPr>
                <w:rFonts w:hint="eastAsia" w:ascii="仿宋" w:hAnsi="仿宋" w:eastAsia="仿宋" w:cs="仿宋"/>
                <w:bCs/>
                <w:color w:val="auto"/>
                <w:sz w:val="24"/>
                <w:highlight w:val="none"/>
                <w:lang w:val="en-US" w:eastAsia="zh-CN"/>
              </w:rPr>
              <w:t>包括组织场所停电、断网等）</w:t>
            </w:r>
            <w:r>
              <w:rPr>
                <w:rFonts w:hint="eastAsia" w:ascii="仿宋" w:hAnsi="仿宋" w:eastAsia="仿宋" w:cs="仿宋"/>
                <w:bCs/>
                <w:color w:val="auto"/>
                <w:sz w:val="24"/>
                <w:highlight w:val="none"/>
                <w:lang w:val="zh-CN"/>
              </w:rPr>
              <w:t>导致系统无法使用的，由投标人按评标委员会的要求进行澄清或者说明。</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上传空白页即可，不对本项上传的材料作符合性审查。若有需要请按评标委员会要求提供书面说明、相关证明材料</w:t>
            </w:r>
            <w:r>
              <w:rPr>
                <w:rFonts w:hint="eastAsia" w:ascii="仿宋" w:hAnsi="仿宋" w:eastAsia="仿宋" w:cs="仿宋"/>
                <w:bCs/>
                <w:color w:val="auto"/>
                <w:sz w:val="24"/>
                <w:highlight w:val="none"/>
                <w:lang w:val="zh-CN"/>
              </w:rPr>
              <w:t>（如涉及）</w:t>
            </w:r>
            <w:r>
              <w:rPr>
                <w:rFonts w:hint="eastAsia" w:ascii="仿宋" w:hAnsi="仿宋" w:eastAsia="仿宋" w:cs="仿宋"/>
                <w:bCs/>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3</w:t>
            </w:r>
          </w:p>
        </w:tc>
        <w:tc>
          <w:tcPr>
            <w:tcW w:w="3261" w:type="pct"/>
            <w:vAlign w:val="center"/>
          </w:tcPr>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eastAsia="zh-CN"/>
              </w:rPr>
            </w:pPr>
            <w:r>
              <w:rPr>
                <w:rFonts w:hint="eastAsia" w:ascii="仿宋" w:hAnsi="仿宋" w:eastAsia="仿宋" w:cs="仿宋"/>
                <w:b/>
                <w:bCs w:val="0"/>
                <w:color w:val="auto"/>
                <w:sz w:val="24"/>
                <w:highlight w:val="none"/>
              </w:rPr>
              <w:t>招标文件第二章一、投标人须知附表序号3进口产品</w:t>
            </w:r>
            <w:r>
              <w:rPr>
                <w:rFonts w:hint="eastAsia" w:ascii="仿宋" w:hAnsi="仿宋" w:eastAsia="仿宋" w:cs="仿宋"/>
                <w:b/>
                <w:bCs w:val="0"/>
                <w:color w:val="auto"/>
                <w:sz w:val="24"/>
                <w:highlight w:val="none"/>
                <w:lang w:eastAsia="zh-CN"/>
              </w:rPr>
              <w:t>：</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本项目招标文件中未载明“允许采购进口产品”的产品，视为拒绝进口产品参与竞争，供应商以进口产品投标时，将按无效投标处理。载明“允许采购进口产品”的产品，不限制国产产品参与竞争。</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cs="仿宋"/>
                <w:bCs/>
                <w:color w:val="auto"/>
                <w:sz w:val="24"/>
                <w:highlight w:val="none"/>
              </w:rPr>
            </w:pPr>
            <w:r>
              <w:rPr>
                <w:rFonts w:hint="eastAsia" w:ascii="仿宋" w:hAnsi="仿宋" w:eastAsia="仿宋" w:cs="仿宋"/>
                <w:bCs/>
                <w:color w:val="auto"/>
                <w:sz w:val="24"/>
                <w:highlight w:val="none"/>
              </w:rPr>
              <w:t>上传空白页即可，不对本项上传的材料作符合性审查。评标委员会根据投标产品响应情况评审。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4</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rPr>
              <w:t>招标文件第二章一、投标人须知附表序号5节能、环保及无线局域网产品政府采购政策</w:t>
            </w:r>
            <w:r>
              <w:rPr>
                <w:rFonts w:hint="eastAsia" w:ascii="仿宋" w:hAnsi="仿宋" w:eastAsia="仿宋" w:cs="仿宋"/>
                <w:b/>
                <w:bCs w:val="0"/>
                <w:color w:val="auto"/>
                <w:sz w:val="24"/>
                <w:highlight w:val="none"/>
                <w:lang w:eastAsia="zh-CN"/>
              </w:rPr>
              <w:t>：</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一、节能、环保产品政府采购政策：</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本项目采购的产品属于品目清单强制采购范围的，供应商应按上述要求提供产品认证证书复印件并加盖供应商单位公章，否则投标无效。</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5</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rPr>
              <w:t>招标文件第二章一、投标人须知附表序号9合同分包</w:t>
            </w:r>
            <w:r>
              <w:rPr>
                <w:rFonts w:hint="eastAsia" w:ascii="仿宋" w:hAnsi="仿宋" w:eastAsia="仿宋" w:cs="仿宋"/>
                <w:b/>
                <w:bCs w:val="0"/>
                <w:color w:val="auto"/>
                <w:sz w:val="24"/>
                <w:highlight w:val="none"/>
                <w:lang w:eastAsia="zh-CN"/>
              </w:rPr>
              <w:t>：</w:t>
            </w:r>
          </w:p>
          <w:p>
            <w:pPr>
              <w:pStyle w:val="46"/>
              <w:keepNext w:val="0"/>
              <w:keepLines w:val="0"/>
              <w:pageBreakBefore w:val="0"/>
              <w:kinsoku/>
              <w:wordWrap/>
              <w:overflowPunct/>
              <w:topLinePunct w:val="0"/>
              <w:bidi w:val="0"/>
              <w:snapToGrid/>
              <w:spacing w:after="0" w:line="240" w:lineRule="auto"/>
              <w:ind w:right="0" w:rightChars="0"/>
              <w:jc w:val="both"/>
              <w:rPr>
                <w:rFonts w:ascii="仿宋" w:hAnsi="仿宋" w:eastAsia="仿宋" w:cs="仿宋"/>
                <w:bCs/>
                <w:color w:val="auto"/>
                <w:kern w:val="2"/>
                <w:highlight w:val="none"/>
              </w:rPr>
            </w:pPr>
            <w:r>
              <w:rPr>
                <w:rFonts w:hint="eastAsia" w:ascii="仿宋" w:hAnsi="仿宋" w:eastAsia="仿宋" w:cs="仿宋"/>
                <w:bCs/>
                <w:color w:val="auto"/>
                <w:kern w:val="2"/>
                <w:highlight w:val="none"/>
                <w:lang w:eastAsia="zh-CN"/>
              </w:rPr>
              <w:t>□</w:t>
            </w:r>
            <w:r>
              <w:rPr>
                <w:rFonts w:hint="eastAsia" w:ascii="仿宋" w:hAnsi="仿宋" w:eastAsia="仿宋" w:cs="仿宋"/>
                <w:bCs/>
                <w:color w:val="auto"/>
                <w:kern w:val="2"/>
                <w:highlight w:val="none"/>
              </w:rPr>
              <w:t>本项目不接受合同分包。</w:t>
            </w:r>
          </w:p>
          <w:p>
            <w:pPr>
              <w:pStyle w:val="46"/>
              <w:keepNext w:val="0"/>
              <w:keepLines w:val="0"/>
              <w:pageBreakBefore w:val="0"/>
              <w:kinsoku/>
              <w:wordWrap/>
              <w:overflowPunct/>
              <w:topLinePunct w:val="0"/>
              <w:bidi w:val="0"/>
              <w:snapToGrid/>
              <w:spacing w:after="0" w:line="240" w:lineRule="auto"/>
              <w:ind w:right="0" w:rightChars="0"/>
              <w:jc w:val="both"/>
              <w:rPr>
                <w:rFonts w:ascii="仿宋" w:hAnsi="仿宋" w:eastAsia="仿宋" w:cs="仿宋"/>
                <w:bCs/>
                <w:color w:val="auto"/>
                <w:kern w:val="2"/>
                <w:highlight w:val="none"/>
              </w:rPr>
            </w:pPr>
            <w:r>
              <w:rPr>
                <w:rFonts w:hint="eastAsia" w:ascii="仿宋" w:hAnsi="仿宋" w:eastAsia="仿宋" w:cs="仿宋"/>
                <w:bCs/>
                <w:color w:val="auto"/>
                <w:kern w:val="2"/>
                <w:highlight w:val="none"/>
                <w:lang w:eastAsia="zh-CN"/>
              </w:rPr>
              <w:t>☑</w:t>
            </w:r>
            <w:r>
              <w:rPr>
                <w:rFonts w:hint="eastAsia" w:ascii="仿宋" w:hAnsi="仿宋" w:eastAsia="仿宋" w:cs="仿宋"/>
                <w:bCs/>
                <w:color w:val="auto"/>
                <w:kern w:val="2"/>
                <w:highlight w:val="none"/>
              </w:rPr>
              <w:t>本项目接受合同分包，具体要求如下：</w:t>
            </w:r>
          </w:p>
          <w:p>
            <w:pPr>
              <w:pStyle w:val="46"/>
              <w:keepNext w:val="0"/>
              <w:keepLines w:val="0"/>
              <w:pageBreakBefore w:val="0"/>
              <w:kinsoku/>
              <w:wordWrap/>
              <w:overflowPunct/>
              <w:topLinePunct w:val="0"/>
              <w:bidi w:val="0"/>
              <w:snapToGrid/>
              <w:spacing w:after="0" w:line="240" w:lineRule="auto"/>
              <w:ind w:right="0" w:rightChars="0"/>
              <w:jc w:val="both"/>
              <w:rPr>
                <w:rFonts w:ascii="仿宋" w:hAnsi="仿宋" w:eastAsia="仿宋" w:cs="仿宋"/>
                <w:bCs/>
                <w:color w:val="auto"/>
                <w:kern w:val="2"/>
                <w:highlight w:val="none"/>
              </w:rPr>
            </w:pPr>
            <w:r>
              <w:rPr>
                <w:rFonts w:hint="eastAsia" w:ascii="仿宋" w:hAnsi="仿宋" w:eastAsia="仿宋" w:cs="仿宋"/>
                <w:bCs/>
                <w:color w:val="auto"/>
                <w:kern w:val="2"/>
                <w:highlight w:val="none"/>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2.分包履行合同的部分应当为采购项目的非主体、非关键性工作，不属于中标人的主要合同义务。本项目可以分包履行的具体内容是：三维建模，金额或者比例：不低于30%。</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color w:val="auto"/>
                <w:sz w:val="24"/>
                <w:szCs w:val="28"/>
                <w:highlight w:val="none"/>
              </w:rPr>
              <w:t>按照要求上传证明材料。评标委员会根据招标文件要求进行评审。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6</w:t>
            </w:r>
          </w:p>
        </w:tc>
        <w:tc>
          <w:tcPr>
            <w:tcW w:w="3261" w:type="pct"/>
            <w:vAlign w:val="center"/>
          </w:tcPr>
          <w:p>
            <w:pPr>
              <w:pStyle w:val="46"/>
              <w:keepNext w:val="0"/>
              <w:keepLines w:val="0"/>
              <w:pageBreakBefore w:val="0"/>
              <w:kinsoku/>
              <w:wordWrap/>
              <w:overflowPunct/>
              <w:topLinePunct w:val="0"/>
              <w:bidi w:val="0"/>
              <w:snapToGrid/>
              <w:spacing w:after="0" w:line="240" w:lineRule="auto"/>
              <w:ind w:left="0" w:right="0" w:rightChars="0"/>
              <w:jc w:val="both"/>
              <w:rPr>
                <w:rFonts w:hint="eastAsia" w:ascii="仿宋" w:hAnsi="仿宋" w:eastAsia="仿宋" w:cs="仿宋"/>
                <w:b/>
                <w:bCs w:val="0"/>
                <w:color w:val="auto"/>
                <w:kern w:val="2"/>
                <w:sz w:val="24"/>
                <w:szCs w:val="24"/>
                <w:highlight w:val="none"/>
                <w:lang w:val="zh-CN" w:eastAsia="zh-CN" w:bidi="ar-SA"/>
              </w:rPr>
            </w:pPr>
            <w:r>
              <w:rPr>
                <w:rFonts w:hint="eastAsia" w:ascii="仿宋" w:hAnsi="仿宋" w:eastAsia="仿宋" w:cs="仿宋"/>
                <w:b/>
                <w:bCs w:val="0"/>
                <w:color w:val="auto"/>
                <w:kern w:val="2"/>
                <w:sz w:val="24"/>
                <w:szCs w:val="24"/>
                <w:highlight w:val="none"/>
                <w:lang w:val="en-US" w:eastAsia="zh-CN" w:bidi="ar-SA"/>
              </w:rPr>
              <w:t>招标文件第二章一、投标人须知附表序号19</w:t>
            </w:r>
            <w:r>
              <w:rPr>
                <w:rFonts w:hint="eastAsia" w:ascii="仿宋" w:hAnsi="仿宋" w:eastAsia="仿宋" w:cs="仿宋"/>
                <w:b/>
                <w:bCs w:val="0"/>
                <w:color w:val="auto"/>
                <w:kern w:val="2"/>
                <w:sz w:val="24"/>
                <w:szCs w:val="24"/>
                <w:highlight w:val="none"/>
                <w:lang w:val="zh-CN" w:eastAsia="zh-CN" w:bidi="ar-SA"/>
              </w:rPr>
              <w:t>联合体：</w:t>
            </w:r>
          </w:p>
          <w:p>
            <w:pPr>
              <w:pStyle w:val="46"/>
              <w:keepNext w:val="0"/>
              <w:keepLines w:val="0"/>
              <w:pageBreakBefore w:val="0"/>
              <w:kinsoku/>
              <w:wordWrap/>
              <w:overflowPunct/>
              <w:topLinePunct w:val="0"/>
              <w:bidi w:val="0"/>
              <w:snapToGrid/>
              <w:spacing w:after="0" w:line="240" w:lineRule="auto"/>
              <w:ind w:left="0" w:right="0" w:rightChars="0"/>
              <w:jc w:val="both"/>
              <w:rPr>
                <w:rFonts w:ascii="仿宋" w:hAnsi="仿宋" w:eastAsia="仿宋" w:cs="仿宋"/>
                <w:bCs/>
                <w:color w:val="auto"/>
                <w:highlight w:val="none"/>
                <w:lang w:val="zh-CN"/>
              </w:rPr>
            </w:pPr>
            <w:r>
              <w:rPr>
                <w:rFonts w:hint="eastAsia" w:ascii="仿宋" w:hAnsi="仿宋" w:eastAsia="仿宋" w:cs="仿宋"/>
                <w:bCs/>
                <w:color w:val="auto"/>
                <w:kern w:val="2"/>
                <w:highlight w:val="none"/>
              </w:rPr>
              <w:t>☑</w:t>
            </w:r>
            <w:r>
              <w:rPr>
                <w:rFonts w:hint="eastAsia" w:ascii="仿宋" w:hAnsi="仿宋" w:eastAsia="仿宋" w:cs="仿宋"/>
                <w:bCs/>
                <w:color w:val="auto"/>
                <w:highlight w:val="none"/>
                <w:lang w:val="zh-CN"/>
              </w:rPr>
              <w:t xml:space="preserve">本项目不允许联合体参加    </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□本项目允许联合体参加</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7</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rPr>
              <w:t>招标文件</w:t>
            </w:r>
            <w:r>
              <w:rPr>
                <w:rFonts w:hint="eastAsia" w:ascii="仿宋" w:hAnsi="仿宋" w:eastAsia="仿宋" w:cs="仿宋"/>
                <w:b/>
                <w:bCs w:val="0"/>
                <w:color w:val="auto"/>
                <w:sz w:val="24"/>
                <w:highlight w:val="none"/>
                <w:lang w:val="zh-CN"/>
              </w:rPr>
              <w:t>第二章</w:t>
            </w:r>
            <w:r>
              <w:rPr>
                <w:rFonts w:hint="eastAsia" w:ascii="仿宋" w:hAnsi="仿宋" w:eastAsia="仿宋" w:cs="仿宋"/>
                <w:b/>
                <w:bCs w:val="0"/>
                <w:color w:val="auto"/>
                <w:sz w:val="24"/>
                <w:highlight w:val="none"/>
              </w:rPr>
              <w:t>4.</w:t>
            </w:r>
            <w:r>
              <w:rPr>
                <w:rFonts w:hint="eastAsia" w:ascii="仿宋" w:hAnsi="仿宋" w:eastAsia="仿宋" w:cs="仿宋"/>
                <w:b/>
                <w:bCs w:val="0"/>
                <w:color w:val="auto"/>
                <w:sz w:val="24"/>
                <w:highlight w:val="none"/>
                <w:lang w:val="zh-CN"/>
              </w:rPr>
              <w:t>投标费用：</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投标人参加投标的有关费用由投标人自行承担。</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b w:val="0"/>
                <w:bCs/>
                <w:color w:val="auto"/>
                <w:sz w:val="24"/>
                <w:szCs w:val="24"/>
                <w:highlight w:val="none"/>
                <w:vertAlign w:val="baseline"/>
                <w:lang w:val="en-US" w:eastAsia="zh-CN"/>
              </w:rPr>
              <w:t>按照</w:t>
            </w:r>
            <w:r>
              <w:rPr>
                <w:rFonts w:hint="eastAsia" w:ascii="仿宋" w:hAnsi="仿宋" w:eastAsia="仿宋" w:cs="仿宋"/>
                <w:bCs/>
                <w:color w:val="auto"/>
                <w:sz w:val="24"/>
                <w:highlight w:val="none"/>
              </w:rPr>
              <w:t>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t>8</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rPr>
              <w:t>招标文件</w:t>
            </w:r>
            <w:r>
              <w:rPr>
                <w:rFonts w:hint="eastAsia" w:ascii="仿宋" w:hAnsi="仿宋" w:eastAsia="仿宋" w:cs="仿宋"/>
                <w:b/>
                <w:bCs w:val="0"/>
                <w:color w:val="auto"/>
                <w:sz w:val="24"/>
                <w:highlight w:val="none"/>
                <w:lang w:val="zh-CN"/>
              </w:rPr>
              <w:t>第二章5.充分、公平竞争保障措施：</w:t>
            </w:r>
          </w:p>
          <w:p>
            <w:pPr>
              <w:pStyle w:val="47"/>
              <w:keepNext w:val="0"/>
              <w:keepLines w:val="0"/>
              <w:pageBreakBefore w:val="0"/>
              <w:kinsoku/>
              <w:wordWrap/>
              <w:overflowPunct/>
              <w:topLinePunct w:val="0"/>
              <w:bidi w:val="0"/>
              <w:snapToGrid/>
              <w:spacing w:after="0" w:line="240" w:lineRule="auto"/>
              <w:ind w:right="0" w:rightChars="0"/>
              <w:rPr>
                <w:rFonts w:ascii="仿宋" w:hAnsi="仿宋" w:eastAsia="仿宋"/>
                <w:color w:val="auto"/>
                <w:sz w:val="24"/>
                <w:highlight w:val="none"/>
              </w:rPr>
            </w:pPr>
            <w:r>
              <w:rPr>
                <w:rFonts w:ascii="仿宋" w:hAnsi="仿宋" w:eastAsia="仿宋"/>
                <w:b/>
                <w:color w:val="auto"/>
                <w:sz w:val="24"/>
                <w:highlight w:val="none"/>
              </w:rPr>
              <w:t xml:space="preserve">5.1 </w:t>
            </w:r>
            <w:r>
              <w:rPr>
                <w:rFonts w:hint="eastAsia" w:ascii="仿宋" w:hAnsi="仿宋" w:eastAsia="仿宋"/>
                <w:b/>
                <w:color w:val="auto"/>
                <w:sz w:val="24"/>
                <w:highlight w:val="none"/>
              </w:rPr>
              <w:t>利害关系供应商处理。</w:t>
            </w:r>
            <w:r>
              <w:rPr>
                <w:rFonts w:hint="eastAsia" w:ascii="仿宋" w:hAnsi="仿宋" w:eastAsia="仿宋"/>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7"/>
              <w:keepNext w:val="0"/>
              <w:keepLines w:val="0"/>
              <w:pageBreakBefore w:val="0"/>
              <w:kinsoku/>
              <w:wordWrap/>
              <w:overflowPunct/>
              <w:topLinePunct w:val="0"/>
              <w:bidi w:val="0"/>
              <w:snapToGrid/>
              <w:spacing w:after="0" w:line="240" w:lineRule="auto"/>
              <w:ind w:right="0" w:rightChars="0"/>
              <w:rPr>
                <w:rFonts w:ascii="仿宋" w:hAnsi="仿宋" w:eastAsia="仿宋"/>
                <w:color w:val="auto"/>
                <w:sz w:val="24"/>
                <w:highlight w:val="none"/>
              </w:rPr>
            </w:pPr>
            <w:r>
              <w:rPr>
                <w:rFonts w:ascii="仿宋" w:hAnsi="仿宋" w:eastAsia="仿宋"/>
                <w:b/>
                <w:color w:val="auto"/>
                <w:sz w:val="24"/>
                <w:highlight w:val="none"/>
              </w:rPr>
              <w:t xml:space="preserve">5.2 </w:t>
            </w:r>
            <w:r>
              <w:rPr>
                <w:rFonts w:hint="eastAsia" w:ascii="仿宋" w:hAnsi="仿宋" w:eastAsia="仿宋"/>
                <w:b/>
                <w:color w:val="auto"/>
                <w:sz w:val="24"/>
                <w:highlight w:val="none"/>
              </w:rPr>
              <w:t>前期参与供应商处理。</w:t>
            </w:r>
            <w:r>
              <w:rPr>
                <w:rFonts w:hint="eastAsia" w:ascii="仿宋" w:hAnsi="仿宋" w:eastAsia="仿宋"/>
                <w:color w:val="auto"/>
                <w:sz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7"/>
              <w:keepNext w:val="0"/>
              <w:keepLines w:val="0"/>
              <w:pageBreakBefore w:val="0"/>
              <w:kinsoku/>
              <w:wordWrap/>
              <w:overflowPunct/>
              <w:topLinePunct w:val="0"/>
              <w:bidi w:val="0"/>
              <w:snapToGrid/>
              <w:spacing w:after="0" w:line="240" w:lineRule="auto"/>
              <w:ind w:right="0" w:rightChars="0"/>
              <w:rPr>
                <w:rFonts w:ascii="仿宋" w:hAnsi="仿宋" w:eastAsia="仿宋" w:cs="仿宋"/>
                <w:bCs/>
                <w:color w:val="auto"/>
                <w:sz w:val="24"/>
                <w:szCs w:val="24"/>
                <w:highlight w:val="none"/>
              </w:rPr>
            </w:pPr>
            <w:r>
              <w:rPr>
                <w:rFonts w:ascii="仿宋" w:hAnsi="仿宋" w:eastAsia="仿宋"/>
                <w:b/>
                <w:color w:val="auto"/>
                <w:sz w:val="24"/>
                <w:highlight w:val="none"/>
              </w:rPr>
              <w:t xml:space="preserve">5.3 </w:t>
            </w:r>
            <w:r>
              <w:rPr>
                <w:rFonts w:hint="eastAsia" w:ascii="仿宋" w:hAnsi="仿宋" w:eastAsia="仿宋"/>
                <w:b/>
                <w:color w:val="auto"/>
                <w:sz w:val="24"/>
                <w:highlight w:val="none"/>
              </w:rPr>
              <w:t>利害关系代理人处理。</w:t>
            </w:r>
            <w:r>
              <w:rPr>
                <w:rFonts w:hint="eastAsia" w:ascii="仿宋" w:hAnsi="仿宋" w:eastAsia="仿宋"/>
                <w:color w:val="auto"/>
                <w:sz w:val="24"/>
                <w:highlight w:val="none"/>
              </w:rPr>
              <w:t>2家以上的供应商不得在同一合同项下的采购项目中，同时委托同一个自然人、同一家庭的人员、同一单位的人员作为其代理人，否则，其投标文件作为无效处理。</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b w:val="0"/>
                <w:bCs/>
                <w:color w:val="auto"/>
                <w:sz w:val="24"/>
                <w:szCs w:val="24"/>
                <w:highlight w:val="none"/>
                <w:vertAlign w:val="baseline"/>
                <w:lang w:val="en-US" w:eastAsia="zh-CN"/>
              </w:rPr>
              <w:t>按照</w:t>
            </w:r>
            <w:r>
              <w:rPr>
                <w:rFonts w:hint="eastAsia" w:ascii="仿宋" w:hAnsi="仿宋" w:eastAsia="仿宋" w:cs="仿宋"/>
                <w:bCs/>
                <w:color w:val="auto"/>
                <w:sz w:val="24"/>
                <w:highlight w:val="none"/>
              </w:rPr>
              <w:t>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9</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rPr>
              <w:t>招标文件</w:t>
            </w:r>
            <w:r>
              <w:rPr>
                <w:rFonts w:hint="eastAsia" w:ascii="仿宋" w:hAnsi="仿宋" w:eastAsia="仿宋" w:cs="仿宋"/>
                <w:b/>
                <w:bCs w:val="0"/>
                <w:color w:val="auto"/>
                <w:sz w:val="24"/>
                <w:highlight w:val="none"/>
                <w:lang w:val="zh-CN"/>
              </w:rPr>
              <w:t>第二章10．计量单位：</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除招标文件中另有规定外，本次采购项目所有合同项下的投标均采用国家法定的计量单位。</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r>
              <w:rPr>
                <w:rFonts w:hint="eastAsia" w:ascii="仿宋" w:hAnsi="仿宋" w:eastAsia="仿宋" w:cs="仿宋"/>
                <w:bCs/>
                <w:color w:val="auto"/>
                <w:sz w:val="24"/>
                <w:highlight w:val="none"/>
                <w:lang w:eastAsia="zh-CN"/>
              </w:rPr>
              <w:t>评标委员会</w:t>
            </w:r>
            <w:r>
              <w:rPr>
                <w:rFonts w:hint="eastAsia" w:ascii="仿宋" w:hAnsi="仿宋" w:eastAsia="仿宋" w:cs="仿宋"/>
                <w:bCs/>
                <w:color w:val="auto"/>
                <w:sz w:val="24"/>
                <w:highlight w:val="none"/>
              </w:rPr>
              <w:t>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0</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招标文件第二章11. 投标货币：</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lang w:val="zh-CN"/>
              </w:rPr>
              <w:t>本次招标项目的投标均以人民币报价。</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r>
              <w:rPr>
                <w:rFonts w:hint="eastAsia" w:ascii="仿宋" w:hAnsi="仿宋" w:eastAsia="仿宋" w:cs="仿宋"/>
                <w:bCs/>
                <w:color w:val="auto"/>
                <w:sz w:val="24"/>
                <w:highlight w:val="none"/>
                <w:lang w:eastAsia="zh-CN"/>
              </w:rPr>
              <w:t>评标委员会</w:t>
            </w:r>
            <w:r>
              <w:rPr>
                <w:rFonts w:hint="eastAsia" w:ascii="仿宋" w:hAnsi="仿宋" w:eastAsia="仿宋" w:cs="仿宋"/>
                <w:bCs/>
                <w:color w:val="auto"/>
                <w:sz w:val="24"/>
                <w:highlight w:val="none"/>
              </w:rPr>
              <w:t>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1</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招标文件第二章13. 知识产权：</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13.2 采购人享有本项目实施过程中产生的知识成果及知识产权。</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 xml:space="preserve">13.4 如采用投标人所不拥有的知识产权，则在投标报价中必须包括合法获取该知识产权的相关费用。 </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b w:val="0"/>
                <w:bCs/>
                <w:color w:val="auto"/>
                <w:sz w:val="24"/>
                <w:szCs w:val="24"/>
                <w:highlight w:val="none"/>
                <w:vertAlign w:val="baseline"/>
                <w:lang w:val="en-US" w:eastAsia="zh-CN"/>
              </w:rPr>
              <w:t>按照</w:t>
            </w:r>
            <w:r>
              <w:rPr>
                <w:rFonts w:hint="eastAsia" w:ascii="仿宋" w:hAnsi="仿宋" w:eastAsia="仿宋" w:cs="仿宋"/>
                <w:bCs/>
                <w:color w:val="auto"/>
                <w:sz w:val="24"/>
                <w:highlight w:val="none"/>
              </w:rPr>
              <w:t>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2</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招标文件第二章14．投标文件的组成，其他响应性投标文件（一）报价部分：</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2、本次招标报价要求：</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（1）投标人的报价是投标人响应招标项目要求的全部工作内容的价格体现，包括投标人完成本项目所需的一切费用。</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w:t>
            </w:r>
            <w:r>
              <w:rPr>
                <w:rFonts w:hint="eastAsia" w:ascii="仿宋" w:hAnsi="仿宋" w:eastAsia="仿宋" w:cs="仿宋"/>
                <w:b w:val="0"/>
                <w:bCs/>
                <w:color w:val="auto"/>
                <w:sz w:val="24"/>
                <w:szCs w:val="24"/>
                <w:highlight w:val="none"/>
                <w:vertAlign w:val="baseline"/>
                <w:lang w:val="en-US" w:eastAsia="zh-CN"/>
              </w:rPr>
              <w:t>按照</w:t>
            </w:r>
            <w:r>
              <w:rPr>
                <w:rFonts w:hint="eastAsia" w:ascii="仿宋" w:hAnsi="仿宋" w:eastAsia="仿宋" w:cs="仿宋"/>
                <w:bCs/>
                <w:color w:val="auto"/>
                <w:sz w:val="24"/>
                <w:highlight w:val="none"/>
              </w:rPr>
              <w:t>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leftChars="0" w:right="0" w:rightChars="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13</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招标文件第二章14．投标文件的组成，其他响应性投标文件（一）报价部分：</w:t>
            </w:r>
          </w:p>
          <w:p>
            <w:pPr>
              <w:keepNext w:val="0"/>
              <w:keepLines w:val="0"/>
              <w:pageBreakBefore w:val="0"/>
              <w:numPr>
                <w:ilvl w:val="0"/>
                <w:numId w:val="0"/>
              </w:numPr>
              <w:kinsoku/>
              <w:wordWrap/>
              <w:overflowPunct/>
              <w:topLinePunct w:val="0"/>
              <w:bidi w:val="0"/>
              <w:snapToGrid/>
              <w:spacing w:after="0" w:line="240" w:lineRule="auto"/>
              <w:ind w:right="0" w:rightChars="0"/>
              <w:rPr>
                <w:rFonts w:ascii="仿宋" w:hAnsi="仿宋" w:eastAsia="仿宋"/>
                <w:color w:val="auto"/>
                <w:sz w:val="24"/>
                <w:highlight w:val="none"/>
              </w:rPr>
            </w:pPr>
            <w:r>
              <w:rPr>
                <w:rFonts w:hint="eastAsia" w:ascii="仿宋" w:hAnsi="仿宋" w:eastAsia="仿宋" w:cs="仿宋"/>
                <w:bCs/>
                <w:color w:val="auto"/>
                <w:sz w:val="24"/>
                <w:highlight w:val="none"/>
                <w:lang w:val="zh-CN"/>
              </w:rPr>
              <w:t>（</w:t>
            </w:r>
            <w:r>
              <w:rPr>
                <w:rFonts w:hint="eastAsia" w:ascii="仿宋" w:hAnsi="仿宋" w:eastAsia="仿宋" w:cs="仿宋"/>
                <w:bCs/>
                <w:color w:val="auto"/>
                <w:sz w:val="24"/>
                <w:highlight w:val="none"/>
                <w:lang w:val="en-US" w:eastAsia="zh-CN"/>
              </w:rPr>
              <w:t>1）</w:t>
            </w:r>
            <w:r>
              <w:rPr>
                <w:rFonts w:hint="eastAsia" w:ascii="仿宋" w:hAnsi="仿宋" w:eastAsia="仿宋"/>
                <w:color w:val="auto"/>
                <w:sz w:val="24"/>
                <w:highlight w:val="none"/>
              </w:rPr>
              <w:t>本次招标报价要求：</w:t>
            </w:r>
          </w:p>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（2）投标人每种</w:t>
            </w:r>
            <w:r>
              <w:rPr>
                <w:rFonts w:hint="eastAsia" w:ascii="仿宋" w:hAnsi="仿宋" w:eastAsia="仿宋" w:cs="仿宋"/>
                <w:bCs/>
                <w:color w:val="auto"/>
                <w:sz w:val="24"/>
                <w:highlight w:val="none"/>
                <w:lang w:val="en-US" w:eastAsia="zh-CN"/>
              </w:rPr>
              <w:t>服务</w:t>
            </w:r>
            <w:r>
              <w:rPr>
                <w:rFonts w:hint="eastAsia" w:ascii="仿宋" w:hAnsi="仿宋" w:eastAsia="仿宋" w:cs="仿宋"/>
                <w:bCs/>
                <w:color w:val="auto"/>
                <w:sz w:val="24"/>
                <w:highlight w:val="none"/>
                <w:lang w:val="zh-CN"/>
              </w:rPr>
              <w:t>只允许有一个报价，并且在合同履行过程中是固定不变的，任何有选择或可调整的报价将不予接受，并按无效投标处理。</w:t>
            </w:r>
          </w:p>
        </w:tc>
        <w:tc>
          <w:tcPr>
            <w:tcW w:w="1314" w:type="pct"/>
            <w:vAlign w:val="center"/>
          </w:tcPr>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4</w:t>
            </w:r>
          </w:p>
        </w:tc>
        <w:tc>
          <w:tcPr>
            <w:tcW w:w="3261" w:type="pct"/>
            <w:vAlign w:val="center"/>
          </w:tcPr>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招标文件第二章16．投标有效期：</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15</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招标文件第二章17．投标文件的制作和签章、加密：</w:t>
            </w:r>
          </w:p>
          <w:p>
            <w:pPr>
              <w:keepNext w:val="0"/>
              <w:keepLines w:val="0"/>
              <w:pageBreakBefore w:val="0"/>
              <w:tabs>
                <w:tab w:val="left" w:pos="7665"/>
              </w:tabs>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17.2 资格性投标文件、其他响应性投标文件封面均应加盖投标人（法定名称）电子印章，不得使用投标人专用章（如经济合同章、投标专用章等）或下属单位印章代替。</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上传空白页即可，</w:t>
            </w:r>
            <w:r>
              <w:rPr>
                <w:rFonts w:hint="eastAsia" w:ascii="仿宋" w:hAnsi="仿宋" w:eastAsia="仿宋" w:cs="仿宋"/>
                <w:color w:val="auto"/>
                <w:sz w:val="24"/>
                <w:szCs w:val="28"/>
                <w:highlight w:val="none"/>
              </w:rPr>
              <w:t>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ascii="仿宋" w:hAnsi="仿宋" w:eastAsia="仿宋" w:cs="仿宋"/>
                <w:bCs/>
                <w:color w:val="auto"/>
                <w:sz w:val="24"/>
                <w:highlight w:val="none"/>
              </w:rPr>
            </w:pPr>
          </w:p>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eastAsia" w:ascii="仿宋" w:hAnsi="仿宋" w:eastAsia="仿宋" w:cs="仿宋"/>
                <w:bCs/>
                <w:color w:val="auto"/>
                <w:sz w:val="24"/>
                <w:highlight w:val="none"/>
                <w:lang w:val="en-US" w:eastAsia="zh-CN"/>
              </w:rPr>
              <w:t>6</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招标文件第二章27.合同分包：</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27.1本项目合同接受分包与否，以“投标人须知附表”勾选项为准。</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default" w:ascii="仿宋" w:hAnsi="仿宋" w:eastAsia="仿宋" w:cs="仿宋"/>
                <w:bCs/>
                <w:color w:val="auto"/>
                <w:sz w:val="24"/>
                <w:highlight w:val="none"/>
                <w:lang w:val="en-US" w:eastAsia="zh-CN"/>
              </w:rPr>
              <w:t>7</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招标文件第二章2</w:t>
            </w:r>
            <w:r>
              <w:rPr>
                <w:rFonts w:hint="eastAsia" w:ascii="仿宋" w:hAnsi="仿宋" w:eastAsia="仿宋" w:cs="仿宋"/>
                <w:b/>
                <w:bCs w:val="0"/>
                <w:color w:val="auto"/>
                <w:sz w:val="24"/>
                <w:highlight w:val="none"/>
              </w:rPr>
              <w:t>8</w:t>
            </w:r>
            <w:r>
              <w:rPr>
                <w:rFonts w:hint="eastAsia" w:ascii="仿宋" w:hAnsi="仿宋" w:eastAsia="仿宋" w:cs="仿宋"/>
                <w:b/>
                <w:bCs w:val="0"/>
                <w:color w:val="auto"/>
                <w:sz w:val="24"/>
                <w:highlight w:val="none"/>
                <w:lang w:val="zh-CN"/>
              </w:rPr>
              <w:t>.合同</w:t>
            </w:r>
            <w:r>
              <w:rPr>
                <w:rFonts w:hint="eastAsia" w:ascii="仿宋" w:hAnsi="仿宋" w:eastAsia="仿宋" w:cs="仿宋"/>
                <w:b/>
                <w:bCs w:val="0"/>
                <w:color w:val="auto"/>
                <w:sz w:val="24"/>
                <w:highlight w:val="none"/>
                <w:lang w:val="en-US" w:eastAsia="zh-CN"/>
              </w:rPr>
              <w:t>转</w:t>
            </w:r>
            <w:r>
              <w:rPr>
                <w:rFonts w:hint="eastAsia" w:ascii="仿宋" w:hAnsi="仿宋" w:eastAsia="仿宋" w:cs="仿宋"/>
                <w:b/>
                <w:bCs w:val="0"/>
                <w:color w:val="auto"/>
                <w:sz w:val="24"/>
                <w:highlight w:val="none"/>
                <w:lang w:val="zh-CN"/>
              </w:rPr>
              <w:t>包：</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中标人转包的，视同拒绝履行政府采购合同义务，将依法追究法律责任。</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1</w:t>
            </w:r>
            <w:r>
              <w:rPr>
                <w:rFonts w:hint="default" w:ascii="仿宋" w:hAnsi="仿宋" w:eastAsia="仿宋" w:cs="仿宋"/>
                <w:bCs/>
                <w:color w:val="auto"/>
                <w:sz w:val="24"/>
                <w:highlight w:val="none"/>
                <w:lang w:val="en-US" w:eastAsia="zh-CN"/>
              </w:rPr>
              <w:t>8</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zh-CN"/>
              </w:rPr>
            </w:pPr>
            <w:r>
              <w:rPr>
                <w:rFonts w:hint="eastAsia" w:ascii="仿宋" w:hAnsi="仿宋" w:eastAsia="仿宋" w:cs="仿宋"/>
                <w:b/>
                <w:bCs w:val="0"/>
                <w:color w:val="auto"/>
                <w:sz w:val="24"/>
                <w:highlight w:val="none"/>
                <w:lang w:val="zh-CN"/>
              </w:rPr>
              <w:t>招标文件第二章30. 履约保证金：</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color w:val="auto"/>
                <w:sz w:val="24"/>
                <w:highlight w:val="none"/>
              </w:rPr>
            </w:pPr>
            <w:r>
              <w:rPr>
                <w:rFonts w:hint="eastAsia" w:ascii="仿宋" w:hAnsi="仿宋" w:eastAsia="仿宋" w:cs="仿宋"/>
                <w:color w:val="auto"/>
                <w:sz w:val="24"/>
                <w:highlight w:val="none"/>
              </w:rPr>
              <w:t>30.1 中标人应在合同签订之前交纳招标文件规定数额的履约保证金。</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color w:val="auto"/>
                <w:sz w:val="24"/>
                <w:highlight w:val="none"/>
              </w:rPr>
              <w:t>30.2 如果中标人在规定的合同签订时间内，没有按照招标文件的规定交纳履约保证金，且又无正当理由的，将视为放弃中标。</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leftChars="0" w:right="0" w:rightChars="0"/>
              <w:jc w:val="center"/>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1</w:t>
            </w:r>
            <w:r>
              <w:rPr>
                <w:rFonts w:hint="default" w:ascii="仿宋" w:hAnsi="仿宋" w:eastAsia="仿宋" w:cs="仿宋"/>
                <w:bCs/>
                <w:color w:val="auto"/>
                <w:sz w:val="24"/>
                <w:highlight w:val="none"/>
                <w:lang w:val="en-US" w:eastAsia="zh-CN"/>
              </w:rPr>
              <w:t>9</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val="en-US" w:eastAsia="zh-CN"/>
              </w:rPr>
            </w:pPr>
            <w:r>
              <w:rPr>
                <w:rFonts w:hint="eastAsia" w:ascii="仿宋" w:hAnsi="仿宋" w:eastAsia="仿宋" w:cs="仿宋"/>
                <w:b/>
                <w:bCs w:val="0"/>
                <w:color w:val="auto"/>
                <w:sz w:val="24"/>
                <w:highlight w:val="none"/>
                <w:lang w:val="zh-CN"/>
              </w:rPr>
              <w:t>招标文件第二章</w:t>
            </w:r>
            <w:r>
              <w:rPr>
                <w:rFonts w:hint="eastAsia" w:ascii="仿宋" w:hAnsi="仿宋" w:eastAsia="仿宋" w:cs="仿宋"/>
                <w:b/>
                <w:bCs w:val="0"/>
                <w:color w:val="auto"/>
                <w:sz w:val="24"/>
                <w:highlight w:val="none"/>
                <w:lang w:val="en-US" w:eastAsia="zh-CN"/>
              </w:rPr>
              <w:t>38：</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b/>
                <w:bCs/>
                <w:color w:val="auto"/>
                <w:sz w:val="24"/>
                <w:highlight w:val="none"/>
              </w:rPr>
              <w:t>投标人有下列情形之一的，视为投标</w:t>
            </w:r>
            <w:r>
              <w:rPr>
                <w:rFonts w:hint="eastAsia" w:ascii="仿宋" w:hAnsi="仿宋" w:eastAsia="仿宋" w:cs="仿宋"/>
                <w:bCs/>
                <w:color w:val="auto"/>
                <w:sz w:val="24"/>
                <w:highlight w:val="none"/>
                <w:lang w:val="zh-CN"/>
              </w:rPr>
              <w:t>人串通投标，其投标无效：</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（1）不同投标人的投标文件由同一单位或者个人编制；</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（2）不同投标人委托同一单位或者个人办理投标事宜；</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（3）不同投标人的投标文件载明的项目管理成员或者联系人员为同一人；</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（4）不同投标人的投标文件异常一致或者投标报价呈规律性差异；</w:t>
            </w:r>
          </w:p>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（5）不同投标人的投标文件相互混装；</w:t>
            </w:r>
          </w:p>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color w:val="auto"/>
                <w:sz w:val="24"/>
                <w:highlight w:val="none"/>
              </w:rPr>
            </w:pPr>
            <w:r>
              <w:rPr>
                <w:rFonts w:hint="eastAsia" w:ascii="仿宋" w:hAnsi="仿宋" w:eastAsia="仿宋" w:cs="仿宋"/>
                <w:bCs/>
                <w:color w:val="auto"/>
                <w:sz w:val="24"/>
                <w:highlight w:val="none"/>
                <w:lang w:val="zh-CN"/>
              </w:rPr>
              <w:t>（6）不同投标人的投标保证金从同一单位或者个人的账户转出。</w:t>
            </w:r>
          </w:p>
        </w:tc>
        <w:tc>
          <w:tcPr>
            <w:tcW w:w="1314" w:type="pct"/>
            <w:vAlign w:val="center"/>
          </w:tcPr>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20</w:t>
            </w:r>
          </w:p>
        </w:tc>
        <w:tc>
          <w:tcPr>
            <w:tcW w:w="3261" w:type="pct"/>
            <w:vAlign w:val="center"/>
          </w:tcPr>
          <w:p>
            <w:pPr>
              <w:keepNext w:val="0"/>
              <w:keepLines w:val="0"/>
              <w:pageBreakBefore w:val="0"/>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lang w:val="zh-CN"/>
              </w:rPr>
              <w:t>招标文件第二章</w:t>
            </w:r>
            <w:r>
              <w:rPr>
                <w:rFonts w:hint="eastAsia" w:ascii="仿宋" w:hAnsi="仿宋" w:eastAsia="仿宋" w:cs="仿宋"/>
                <w:b/>
                <w:bCs w:val="0"/>
                <w:color w:val="auto"/>
                <w:sz w:val="24"/>
                <w:highlight w:val="none"/>
              </w:rPr>
              <w:t>41</w:t>
            </w:r>
            <w:r>
              <w:rPr>
                <w:rFonts w:hint="eastAsia" w:ascii="仿宋" w:hAnsi="仿宋" w:eastAsia="仿宋" w:cs="仿宋"/>
                <w:b/>
                <w:bCs w:val="0"/>
                <w:color w:val="auto"/>
                <w:sz w:val="24"/>
                <w:highlight w:val="none"/>
                <w:lang w:eastAsia="zh-CN"/>
              </w:rPr>
              <w:t>：</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lang w:val="zh-CN"/>
              </w:rPr>
            </w:pPr>
            <w:r>
              <w:rPr>
                <w:rFonts w:hint="eastAsia" w:ascii="仿宋" w:hAnsi="仿宋" w:eastAsia="仿宋" w:cs="仿宋"/>
                <w:bCs/>
                <w:color w:val="auto"/>
                <w:sz w:val="24"/>
                <w:highlight w:val="none"/>
                <w:lang w:val="zh-CN"/>
              </w:rPr>
              <w:t>国家或行业主管部门对采购产品的技术标准、质量标准和资格资质条件等有强制性规定的，必须符合其要求。</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leftChars="0" w:right="0" w:rightChars="0"/>
              <w:jc w:val="center"/>
              <w:rPr>
                <w:rFonts w:hint="default" w:ascii="仿宋" w:hAnsi="仿宋" w:eastAsia="仿宋" w:cs="仿宋"/>
                <w:bCs/>
                <w:color w:val="auto"/>
                <w:sz w:val="24"/>
                <w:highlight w:val="none"/>
                <w:lang w:val="en-US"/>
              </w:rPr>
            </w:pPr>
            <w:r>
              <w:rPr>
                <w:rFonts w:hint="eastAsia" w:ascii="仿宋" w:hAnsi="仿宋" w:eastAsia="仿宋" w:cs="仿宋"/>
                <w:bCs/>
                <w:color w:val="auto"/>
                <w:sz w:val="24"/>
                <w:highlight w:val="none"/>
                <w:lang w:val="en-US" w:eastAsia="zh-CN"/>
              </w:rPr>
              <w:t>21</w:t>
            </w:r>
          </w:p>
        </w:tc>
        <w:tc>
          <w:tcPr>
            <w:tcW w:w="3261" w:type="pct"/>
            <w:vAlign w:val="center"/>
          </w:tcPr>
          <w:p>
            <w:pPr>
              <w:keepNext w:val="0"/>
              <w:keepLines w:val="0"/>
              <w:pageBreakBefore w:val="0"/>
              <w:widowControl/>
              <w:kinsoku/>
              <w:wordWrap/>
              <w:overflowPunct/>
              <w:topLinePunct w:val="0"/>
              <w:bidi w:val="0"/>
              <w:snapToGrid/>
              <w:spacing w:after="0" w:line="240" w:lineRule="auto"/>
              <w:ind w:left="0" w:right="0" w:rightChars="0"/>
              <w:rPr>
                <w:rFonts w:hint="eastAsia" w:ascii="仿宋" w:hAnsi="仿宋" w:eastAsia="仿宋" w:cs="仿宋"/>
                <w:b/>
                <w:bCs w:val="0"/>
                <w:color w:val="auto"/>
                <w:sz w:val="24"/>
                <w:highlight w:val="none"/>
                <w:lang w:eastAsia="zh-CN"/>
              </w:rPr>
            </w:pPr>
            <w:r>
              <w:rPr>
                <w:rFonts w:hint="eastAsia" w:ascii="仿宋" w:hAnsi="仿宋" w:eastAsia="仿宋" w:cs="仿宋"/>
                <w:b/>
                <w:bCs w:val="0"/>
                <w:color w:val="auto"/>
                <w:sz w:val="24"/>
                <w:highlight w:val="none"/>
              </w:rPr>
              <w:t>招标文件第七章3.2.3</w:t>
            </w:r>
            <w:r>
              <w:rPr>
                <w:rFonts w:hint="eastAsia" w:ascii="仿宋" w:hAnsi="仿宋" w:eastAsia="仿宋" w:cs="仿宋"/>
                <w:b/>
                <w:bCs w:val="0"/>
                <w:color w:val="auto"/>
                <w:sz w:val="24"/>
                <w:highlight w:val="none"/>
                <w:lang w:eastAsia="zh-CN"/>
              </w:rPr>
              <w:t>：</w:t>
            </w:r>
          </w:p>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lang w:val="en-US" w:eastAsia="zh-CN"/>
              </w:rPr>
              <w:t>一）</w:t>
            </w:r>
            <w:r>
              <w:rPr>
                <w:rFonts w:hint="eastAsia" w:ascii="仿宋" w:hAnsi="仿宋" w:eastAsia="仿宋" w:cs="仿宋"/>
                <w:bCs/>
                <w:color w:val="auto"/>
                <w:sz w:val="24"/>
                <w:highlight w:val="none"/>
              </w:rPr>
              <w:t>投标文件组成明显不符合招标文件的规定要求，影响评标委员会评判的；</w:t>
            </w:r>
          </w:p>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bCs/>
                <w:color w:val="auto"/>
                <w:sz w:val="24"/>
                <w:highlight w:val="none"/>
                <w:lang w:val="zh-CN"/>
              </w:rPr>
            </w:pPr>
            <w:r>
              <w:rPr>
                <w:rFonts w:hint="eastAsia" w:ascii="仿宋" w:hAnsi="仿宋" w:eastAsia="仿宋" w:cs="仿宋"/>
                <w:bCs/>
                <w:color w:val="auto"/>
                <w:sz w:val="24"/>
                <w:highlight w:val="none"/>
              </w:rPr>
              <w:t>（二）投标文件未按招标文件第二章17.2要求盖电子印章的；</w:t>
            </w:r>
          </w:p>
        </w:tc>
        <w:tc>
          <w:tcPr>
            <w:tcW w:w="1314" w:type="pct"/>
            <w:vAlign w:val="center"/>
          </w:tcPr>
          <w:p>
            <w:pPr>
              <w:keepNext w:val="0"/>
              <w:keepLines w:val="0"/>
              <w:pageBreakBefore w:val="0"/>
              <w:kinsoku/>
              <w:wordWrap/>
              <w:overflowPunct/>
              <w:topLinePunct w:val="0"/>
              <w:bidi w:val="0"/>
              <w:snapToGrid/>
              <w:spacing w:after="0" w:line="240" w:lineRule="auto"/>
              <w:ind w:left="0" w:leftChars="0" w:right="0" w:rightChars="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上传空白页即可，评标委员会根据投标文件按照招标文件第七章3.2.3第（一）、（二）项进行评审。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pct"/>
          <w:trHeight w:val="0" w:hRule="atLeast"/>
        </w:trPr>
        <w:tc>
          <w:tcPr>
            <w:tcW w:w="406" w:type="pct"/>
            <w:vAlign w:val="center"/>
          </w:tcPr>
          <w:p>
            <w:pPr>
              <w:keepNext w:val="0"/>
              <w:keepLines w:val="0"/>
              <w:pageBreakBefore w:val="0"/>
              <w:kinsoku/>
              <w:wordWrap/>
              <w:overflowPunct/>
              <w:topLinePunct w:val="0"/>
              <w:bidi w:val="0"/>
              <w:snapToGrid/>
              <w:spacing w:after="0" w:line="240" w:lineRule="auto"/>
              <w:ind w:left="0" w:right="0" w:rightChars="0"/>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22</w:t>
            </w:r>
          </w:p>
        </w:tc>
        <w:tc>
          <w:tcPr>
            <w:tcW w:w="3261" w:type="pct"/>
            <w:vAlign w:val="center"/>
          </w:tcPr>
          <w:p>
            <w:pPr>
              <w:keepNext w:val="0"/>
              <w:keepLines w:val="0"/>
              <w:pageBreakBefore w:val="0"/>
              <w:kinsoku/>
              <w:wordWrap/>
              <w:overflowPunct/>
              <w:topLinePunct w:val="0"/>
              <w:bidi w:val="0"/>
              <w:snapToGrid/>
              <w:spacing w:line="240" w:lineRule="auto"/>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b/>
                <w:bCs w:val="0"/>
                <w:color w:val="auto"/>
                <w:sz w:val="24"/>
                <w:highlight w:val="none"/>
                <w:lang w:eastAsia="zh-CN"/>
              </w:rPr>
              <w:t>招标文件第六章“</w:t>
            </w:r>
            <w:r>
              <w:rPr>
                <w:rFonts w:hint="eastAsia" w:ascii="仿宋" w:hAnsi="仿宋" w:eastAsia="仿宋" w:cs="仿宋"/>
                <w:b/>
                <w:bCs w:val="0"/>
                <w:color w:val="auto"/>
                <w:sz w:val="24"/>
                <w:highlight w:val="none"/>
                <w:lang w:val="en-US" w:eastAsia="zh-CN"/>
              </w:rPr>
              <w:t>二、商务要求</w:t>
            </w:r>
            <w:r>
              <w:rPr>
                <w:rFonts w:hint="eastAsia" w:ascii="仿宋" w:hAnsi="仿宋" w:eastAsia="仿宋" w:cs="仿宋"/>
                <w:b/>
                <w:bCs w:val="0"/>
                <w:color w:val="auto"/>
                <w:sz w:val="24"/>
                <w:highlight w:val="none"/>
                <w:lang w:eastAsia="zh-CN"/>
              </w:rPr>
              <w:t>”</w:t>
            </w:r>
            <w:r>
              <w:rPr>
                <w:rFonts w:hint="eastAsia" w:ascii="仿宋" w:hAnsi="仿宋" w:eastAsia="仿宋" w:cs="仿宋"/>
                <w:b/>
                <w:bCs w:val="0"/>
                <w:color w:val="auto"/>
                <w:sz w:val="24"/>
                <w:highlight w:val="none"/>
                <w:lang w:val="en-US" w:eastAsia="zh-CN"/>
              </w:rPr>
              <w:t>的实质性要求</w:t>
            </w:r>
            <w:r>
              <w:rPr>
                <w:rFonts w:hint="eastAsia" w:ascii="仿宋" w:hAnsi="仿宋" w:eastAsia="仿宋" w:cs="仿宋"/>
                <w:b/>
                <w:bCs w:val="0"/>
                <w:color w:val="auto"/>
                <w:sz w:val="24"/>
                <w:highlight w:val="none"/>
                <w:lang w:eastAsia="zh-CN"/>
              </w:rPr>
              <w:t>：</w:t>
            </w:r>
          </w:p>
          <w:p>
            <w:pPr>
              <w:keepNext w:val="0"/>
              <w:keepLines w:val="0"/>
              <w:pageBreakBefore w:val="0"/>
              <w:kinsoku/>
              <w:wordWrap/>
              <w:overflowPunct/>
              <w:topLinePunct w:val="0"/>
              <w:bidi w:val="0"/>
              <w:snapToGrid/>
              <w:spacing w:line="240" w:lineRule="auto"/>
              <w:ind w:left="0" w:leftChars="0" w:right="0" w:rightChars="0"/>
              <w:rPr>
                <w:rFonts w:hint="eastAsia" w:ascii="仿宋" w:hAnsi="仿宋" w:eastAsia="仿宋" w:cs="仿宋"/>
                <w:bCs/>
                <w:color w:val="auto"/>
                <w:sz w:val="21"/>
                <w:szCs w:val="21"/>
                <w:highlight w:val="none"/>
              </w:rPr>
            </w:pPr>
            <w:r>
              <w:rPr>
                <w:rFonts w:hint="eastAsia" w:ascii="仿宋" w:hAnsi="仿宋" w:eastAsia="仿宋" w:cs="仿宋"/>
                <w:bCs/>
                <w:color w:val="auto"/>
                <w:sz w:val="24"/>
                <w:highlight w:val="none"/>
                <w:lang w:val="en-US" w:eastAsia="zh-CN"/>
              </w:rPr>
              <w:t>详见商务要求第1-8条</w:t>
            </w:r>
          </w:p>
        </w:tc>
        <w:tc>
          <w:tcPr>
            <w:tcW w:w="1314" w:type="pct"/>
            <w:vAlign w:val="center"/>
          </w:tcPr>
          <w:p>
            <w:pPr>
              <w:keepNext w:val="0"/>
              <w:keepLines w:val="0"/>
              <w:pageBreakBefore w:val="0"/>
              <w:kinsoku/>
              <w:wordWrap/>
              <w:overflowPunct/>
              <w:topLinePunct w:val="0"/>
              <w:bidi w:val="0"/>
              <w:snapToGrid/>
              <w:spacing w:after="0" w:line="240" w:lineRule="auto"/>
              <w:ind w:left="0" w:right="0" w:rightChars="0"/>
              <w:rPr>
                <w:rFonts w:ascii="仿宋" w:hAnsi="仿宋" w:eastAsia="仿宋" w:cs="仿宋"/>
                <w:bCs/>
                <w:color w:val="auto"/>
                <w:sz w:val="24"/>
                <w:highlight w:val="none"/>
              </w:rPr>
            </w:pPr>
            <w:r>
              <w:rPr>
                <w:rFonts w:hint="eastAsia" w:ascii="仿宋" w:hAnsi="仿宋" w:eastAsia="仿宋" w:cs="仿宋"/>
                <w:bCs/>
                <w:color w:val="auto"/>
                <w:sz w:val="24"/>
                <w:highlight w:val="none"/>
              </w:rPr>
              <w:t>投标人按照招标文件第三章格式2-6填写，评标委员会根据上传内容评审。</w:t>
            </w:r>
          </w:p>
        </w:tc>
      </w:tr>
    </w:tbl>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（一）投标文件组成明显不符合招标文件的规定要求，影响评标委员会评判的；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（二）投标文件未按招标文件</w:t>
      </w:r>
      <w:r>
        <w:rPr>
          <w:rFonts w:hint="eastAsia" w:ascii="仿宋" w:hAnsi="仿宋" w:eastAsia="仿宋"/>
          <w:b/>
          <w:bCs/>
          <w:color w:val="auto"/>
          <w:sz w:val="24"/>
          <w:highlight w:val="none"/>
        </w:rPr>
        <w:t>第二章17.2</w:t>
      </w:r>
      <w:r>
        <w:rPr>
          <w:rFonts w:hint="eastAsia" w:ascii="仿宋" w:hAnsi="仿宋" w:eastAsia="仿宋"/>
          <w:color w:val="auto"/>
          <w:sz w:val="24"/>
          <w:highlight w:val="none"/>
        </w:rPr>
        <w:t>要求盖电子印章的。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（一）招标公告刊登的媒体名称、开标日期和地点；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（二）获取招标文件的投标人名单和评标委员会成员名单；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（三）评标方法和标准；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（四）开标记录和评标情况及说明，包括无效投标人名单及原因；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（五）评标结果和中标候选供应商排序表；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（六）评标委员会授标建议；</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（七）报价最高的投标人为中标候选人的，评标委员会应当对其报价的合理性予以特别说明。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3.8供应商应当书面澄清、说明或者更正。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3.8.2</w:t>
      </w:r>
      <w:r>
        <w:rPr>
          <w:rFonts w:hint="eastAsia" w:ascii="仿宋" w:hAnsi="仿宋" w:eastAsia="仿宋"/>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auto"/>
          <w:sz w:val="24"/>
          <w:highlight w:val="none"/>
        </w:rPr>
        <w:t>澄清、说明或者更正不影响投标文件的效力，有效的澄清、说明或者更正材料，是投标文件的组成部分。</w:t>
      </w:r>
      <w:r>
        <w:rPr>
          <w:rFonts w:hint="eastAsia" w:ascii="仿宋" w:hAnsi="仿宋" w:eastAsia="仿宋"/>
          <w:color w:val="auto"/>
          <w:sz w:val="24"/>
          <w:highlight w:val="none"/>
          <w:lang w:val="zh-CN"/>
        </w:rPr>
        <w:t>如因系统故障（</w:t>
      </w:r>
      <w:r>
        <w:rPr>
          <w:rFonts w:hint="eastAsia" w:ascii="仿宋" w:hAnsi="仿宋" w:eastAsia="仿宋"/>
          <w:color w:val="auto"/>
          <w:sz w:val="24"/>
          <w:highlight w:val="none"/>
          <w:lang w:val="en-US" w:eastAsia="zh-CN"/>
        </w:rPr>
        <w:t>包括组织场所停电、断网等）</w:t>
      </w:r>
      <w:r>
        <w:rPr>
          <w:rFonts w:hint="eastAsia" w:ascii="仿宋" w:hAnsi="仿宋" w:eastAsia="仿宋"/>
          <w:color w:val="auto"/>
          <w:sz w:val="24"/>
          <w:highlight w:val="none"/>
          <w:lang w:val="zh-CN"/>
        </w:rPr>
        <w:t>导致系统无法使用的，由投标人按评标委员会的要求进行澄清或者说明。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（一）按财政部规定应当在评标时不予承认的投标文件内容事项；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（二）投标文件中已经明确的内容事项；</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3.8.4 </w:t>
      </w:r>
      <w:r>
        <w:rPr>
          <w:rFonts w:hint="eastAsia" w:ascii="仿宋" w:hAnsi="仿宋" w:eastAsia="仿宋"/>
          <w:color w:val="auto"/>
          <w:sz w:val="24"/>
          <w:highlight w:val="none"/>
        </w:rPr>
        <w:t>本项目采购过程中，投标文件报价出现前后不一致的，按照下列规定修正：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（二）大写金额和小写金额不一致的，以大写金额为准；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（三）单价金额小数点或者百分比有明显错位的，以开标一览表的总价为准，并修改单价；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（四）总价金额与按单价汇总金额不一致的，以单价金额计算结果为准。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注：评标委员会当积极履行澄清、说明或者更正的职责，不得滥用权力。供应商的投标文件应当要求澄清、说明或者更正的，不得未经澄清、说明或者更正而直接作无效投标处理。</w:t>
      </w:r>
    </w:p>
    <w:p>
      <w:pPr>
        <w:pStyle w:val="46"/>
        <w:ind w:firstLine="480" w:firstLineChars="200"/>
        <w:jc w:val="both"/>
        <w:rPr>
          <w:rFonts w:hint="eastAsia" w:ascii="仿宋" w:hAnsi="仿宋" w:eastAsia="仿宋"/>
          <w:color w:val="auto"/>
          <w:highlight w:val="none"/>
        </w:rPr>
      </w:pPr>
      <w:r>
        <w:rPr>
          <w:rFonts w:ascii="仿宋" w:hAnsi="仿宋" w:eastAsia="仿宋"/>
          <w:color w:val="auto"/>
          <w:highlight w:val="none"/>
        </w:rPr>
        <w:t xml:space="preserve">3.9 </w:t>
      </w:r>
      <w:r>
        <w:rPr>
          <w:rFonts w:hint="eastAsia" w:ascii="仿宋" w:hAnsi="仿宋" w:eastAsia="仿宋"/>
          <w:color w:val="auto"/>
          <w:highlight w:val="none"/>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6"/>
        <w:ind w:firstLine="482" w:firstLineChars="200"/>
        <w:jc w:val="both"/>
        <w:rPr>
          <w:rFonts w:ascii="仿宋" w:hAnsi="仿宋" w:eastAsia="仿宋"/>
          <w:color w:val="auto"/>
          <w:highlight w:val="none"/>
        </w:rPr>
      </w:pPr>
      <w:r>
        <w:rPr>
          <w:rFonts w:hint="eastAsia" w:ascii="仿宋" w:hAnsi="仿宋" w:eastAsia="仿宋"/>
          <w:b/>
          <w:bCs/>
          <w:color w:val="auto"/>
          <w:highlight w:val="none"/>
        </w:rPr>
        <w:t>注：</w:t>
      </w:r>
      <w:r>
        <w:rPr>
          <w:rFonts w:hint="eastAsia" w:ascii="仿宋" w:hAnsi="仿宋" w:eastAsia="仿宋"/>
          <w:b/>
          <w:bCs/>
          <w:color w:val="auto"/>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highlight w:val="none"/>
        </w:rPr>
        <w:t>30分钟，供应商已明确表示澄清、说明完毕的除外</w:t>
      </w:r>
      <w:r>
        <w:rPr>
          <w:rFonts w:hint="eastAsia" w:ascii="仿宋" w:hAnsi="仿宋" w:eastAsia="仿宋"/>
          <w:b/>
          <w:bCs/>
          <w:color w:val="auto"/>
          <w:highlight w:val="none"/>
          <w:lang w:val="zh-CN"/>
        </w:rPr>
        <w:t>）。如因系统故障（</w:t>
      </w:r>
      <w:r>
        <w:rPr>
          <w:rFonts w:hint="eastAsia" w:ascii="仿宋" w:hAnsi="仿宋" w:eastAsia="仿宋"/>
          <w:b/>
          <w:bCs/>
          <w:color w:val="auto"/>
          <w:highlight w:val="none"/>
          <w:lang w:val="en-US" w:eastAsia="zh-CN"/>
        </w:rPr>
        <w:t>包括组织场所停电、断网等）</w:t>
      </w:r>
      <w:r>
        <w:rPr>
          <w:rFonts w:hint="eastAsia" w:ascii="仿宋" w:hAnsi="仿宋" w:eastAsia="仿宋"/>
          <w:b/>
          <w:bCs/>
          <w:color w:val="auto"/>
          <w:highlight w:val="none"/>
          <w:lang w:val="zh-CN"/>
        </w:rPr>
        <w:t>导致系统无法使用的，由投标人按评标委员会的要求进行澄清或者说明。</w:t>
      </w:r>
    </w:p>
    <w:p>
      <w:pPr>
        <w:pStyle w:val="46"/>
        <w:ind w:firstLine="480" w:firstLineChars="200"/>
        <w:jc w:val="both"/>
        <w:rPr>
          <w:rFonts w:ascii="仿宋" w:hAnsi="仿宋" w:eastAsia="仿宋"/>
          <w:color w:val="auto"/>
          <w:highlight w:val="none"/>
        </w:rPr>
      </w:pPr>
      <w:r>
        <w:rPr>
          <w:rFonts w:ascii="仿宋" w:hAnsi="仿宋" w:eastAsia="仿宋"/>
          <w:color w:val="auto"/>
          <w:highlight w:val="none"/>
        </w:rPr>
        <w:t>3.10招标采购单位现场复核评标结果。</w:t>
      </w:r>
    </w:p>
    <w:p>
      <w:pPr>
        <w:pStyle w:val="46"/>
        <w:ind w:firstLine="480" w:firstLineChars="200"/>
        <w:jc w:val="both"/>
        <w:rPr>
          <w:rFonts w:ascii="仿宋" w:hAnsi="仿宋" w:eastAsia="仿宋"/>
          <w:color w:val="auto"/>
          <w:highlight w:val="none"/>
        </w:rPr>
      </w:pPr>
      <w:r>
        <w:rPr>
          <w:rFonts w:ascii="仿宋" w:hAnsi="仿宋" w:eastAsia="仿宋"/>
          <w:color w:val="auto"/>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（一）分值汇总计算错误的；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（二）分项评分超出评分标准范围的；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（三）客观评分不一致的；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（四）经评标委员会认定评分畸高畸低的。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6"/>
        <w:ind w:firstLine="480" w:firstLineChars="200"/>
        <w:jc w:val="both"/>
        <w:rPr>
          <w:rFonts w:ascii="仿宋" w:hAnsi="仿宋" w:eastAsia="仿宋"/>
          <w:color w:val="auto"/>
          <w:highlight w:val="none"/>
        </w:rPr>
      </w:pPr>
      <w:r>
        <w:rPr>
          <w:rFonts w:ascii="仿宋" w:hAnsi="仿宋" w:eastAsia="仿宋"/>
          <w:color w:val="auto"/>
          <w:highlight w:val="none"/>
        </w:rPr>
        <w:t>3.10.2有下列情形之一的，不得修改评标结果或者重新评审：</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（一）招标采购单位现场复核时，复核工作人员数量不足的；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（二）招标采购单位现场复核时，没有采购监督人员现场监督的；</w:t>
      </w:r>
    </w:p>
    <w:p>
      <w:pPr>
        <w:pStyle w:val="46"/>
        <w:ind w:firstLine="480" w:firstLineChars="200"/>
        <w:jc w:val="both"/>
        <w:rPr>
          <w:rFonts w:ascii="仿宋" w:hAnsi="仿宋" w:eastAsia="仿宋"/>
          <w:color w:val="auto"/>
          <w:highlight w:val="none"/>
        </w:rPr>
      </w:pPr>
      <w:r>
        <w:rPr>
          <w:rFonts w:hint="eastAsia" w:ascii="仿宋" w:hAnsi="仿宋" w:eastAsia="仿宋"/>
          <w:color w:val="auto"/>
          <w:highlight w:val="none"/>
        </w:rPr>
        <w:t>（三）招标采购单位现场复核内容超出规定范围的；</w:t>
      </w:r>
    </w:p>
    <w:p>
      <w:pPr>
        <w:pStyle w:val="46"/>
        <w:ind w:firstLine="480" w:firstLineChars="200"/>
        <w:jc w:val="both"/>
        <w:rPr>
          <w:rFonts w:hint="eastAsia" w:ascii="仿宋" w:hAnsi="仿宋" w:eastAsia="仿宋"/>
          <w:color w:val="auto"/>
          <w:highlight w:val="none"/>
        </w:rPr>
      </w:pPr>
      <w:r>
        <w:rPr>
          <w:rFonts w:hint="eastAsia" w:ascii="仿宋" w:hAnsi="仿宋" w:eastAsia="仿宋"/>
          <w:color w:val="auto"/>
          <w:highlight w:val="none"/>
        </w:rPr>
        <w:t>（四）招标采购单位未提供书面建议的。</w:t>
      </w:r>
    </w:p>
    <w:p>
      <w:pPr>
        <w:pStyle w:val="46"/>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 xml:space="preserve">3.10.3出现下列情形之一的，应当中止电子化采购活动，并保留相关证明材料备查： </w:t>
      </w:r>
    </w:p>
    <w:p>
      <w:pPr>
        <w:pStyle w:val="46"/>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（一）系统发生故障（包括感染病毒、应用或数据库出错）而无法正常使用的；</w:t>
      </w:r>
    </w:p>
    <w:p>
      <w:pPr>
        <w:pStyle w:val="46"/>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（二）因组织场所停电、断网等原因，导致采购活动无法继续通过交易系统实施的；</w:t>
      </w:r>
    </w:p>
    <w:p>
      <w:pPr>
        <w:pStyle w:val="46"/>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（三）其他无法保证电子化交易的公平、公正和安全的情况。</w:t>
      </w:r>
    </w:p>
    <w:p>
      <w:pPr>
        <w:pStyle w:val="46"/>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出现前款规定的情形，不影响采购公平、公正的，待上述情形消除后继续组织采购活动；影响或者可能影响采购公平、公正的，应当依法废标或者终止采购活动。</w:t>
      </w:r>
    </w:p>
    <w:p>
      <w:pPr>
        <w:pStyle w:val="4"/>
        <w:ind w:firstLine="482" w:firstLineChars="200"/>
        <w:rPr>
          <w:rFonts w:ascii="仿宋" w:hAnsi="仿宋" w:eastAsia="仿宋"/>
          <w:color w:val="auto"/>
          <w:sz w:val="24"/>
          <w:szCs w:val="24"/>
          <w:highlight w:val="none"/>
        </w:rPr>
      </w:pPr>
      <w:r>
        <w:rPr>
          <w:rFonts w:ascii="仿宋" w:hAnsi="仿宋" w:eastAsia="仿宋"/>
          <w:color w:val="auto"/>
          <w:sz w:val="24"/>
          <w:szCs w:val="24"/>
          <w:highlight w:val="none"/>
        </w:rPr>
        <w:t>4</w:t>
      </w:r>
      <w:r>
        <w:rPr>
          <w:rFonts w:hint="eastAsia" w:ascii="仿宋" w:hAnsi="仿宋" w:eastAsia="仿宋"/>
          <w:color w:val="auto"/>
          <w:sz w:val="24"/>
          <w:highlight w:val="none"/>
        </w:rPr>
        <w:t>．</w:t>
      </w:r>
      <w:r>
        <w:rPr>
          <w:rFonts w:hint="eastAsia" w:ascii="仿宋" w:hAnsi="仿宋" w:eastAsia="仿宋"/>
          <w:color w:val="auto"/>
          <w:sz w:val="24"/>
          <w:szCs w:val="24"/>
          <w:highlight w:val="none"/>
        </w:rPr>
        <w:t>评标细则及标准</w:t>
      </w:r>
      <w:bookmarkEnd w:id="183"/>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4.1本项目采用综合评分法，评分因素详见综合评分明细表。</w:t>
      </w:r>
    </w:p>
    <w:p>
      <w:pPr>
        <w:pStyle w:val="46"/>
        <w:ind w:firstLine="480" w:firstLineChars="200"/>
        <w:jc w:val="both"/>
        <w:rPr>
          <w:rFonts w:ascii="仿宋" w:hAnsi="仿宋" w:eastAsia="仿宋"/>
          <w:color w:val="auto"/>
          <w:highlight w:val="none"/>
        </w:rPr>
      </w:pPr>
      <w:r>
        <w:rPr>
          <w:rFonts w:ascii="仿宋" w:hAnsi="仿宋" w:eastAsia="仿宋"/>
          <w:color w:val="auto"/>
          <w:highlight w:val="none"/>
        </w:rPr>
        <w:t xml:space="preserve">4.2 </w:t>
      </w:r>
      <w:r>
        <w:rPr>
          <w:rFonts w:hint="eastAsia" w:ascii="仿宋" w:hAnsi="仿宋" w:eastAsia="仿宋"/>
          <w:color w:val="auto"/>
          <w:highlight w:val="none"/>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4.3综合评分明细表</w:t>
      </w:r>
    </w:p>
    <w:p>
      <w:pPr>
        <w:pStyle w:val="13"/>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4.3.1综合评分明细表的制定以科学合理、降低评委会自由裁量权为原则。</w:t>
      </w:r>
    </w:p>
    <w:p>
      <w:pPr>
        <w:widowControl/>
        <w:ind w:firstLine="480" w:firstLineChars="200"/>
        <w:jc w:val="left"/>
        <w:rPr>
          <w:rFonts w:ascii="仿宋" w:hAnsi="仿宋" w:eastAsia="仿宋"/>
          <w:color w:val="auto"/>
          <w:sz w:val="24"/>
          <w:highlight w:val="none"/>
        </w:rPr>
      </w:pPr>
      <w:r>
        <w:rPr>
          <w:rFonts w:ascii="仿宋" w:hAnsi="仿宋" w:eastAsia="仿宋"/>
          <w:color w:val="auto"/>
          <w:sz w:val="24"/>
          <w:highlight w:val="none"/>
        </w:rPr>
        <w:t xml:space="preserve">4.3.2 </w:t>
      </w:r>
      <w:r>
        <w:rPr>
          <w:rFonts w:hint="eastAsia" w:ascii="仿宋" w:hAnsi="仿宋" w:eastAsia="仿宋"/>
          <w:color w:val="auto"/>
          <w:sz w:val="24"/>
          <w:highlight w:val="none"/>
        </w:rPr>
        <w:t>综合评分明细表按须知表中的相关要求进行价格调整，再参与价格分评审。</w:t>
      </w:r>
    </w:p>
    <w:p>
      <w:pPr>
        <w:pStyle w:val="13"/>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4.3.3综合评分明细表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1110"/>
        <w:gridCol w:w="720"/>
        <w:gridCol w:w="5187"/>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497" w:type="dxa"/>
            <w:shd w:val="clear" w:color="auto" w:fill="auto"/>
            <w:vAlign w:val="center"/>
          </w:tcPr>
          <w:p>
            <w:pPr>
              <w:widowControl/>
              <w:adjustRightInd w:val="0"/>
              <w:snapToGrid w:val="0"/>
              <w:spacing w:after="0" w:line="240" w:lineRule="auto"/>
              <w:jc w:val="center"/>
              <w:rPr>
                <w:rFonts w:ascii="仿宋" w:hAnsi="仿宋" w:eastAsia="仿宋" w:cs="仿宋"/>
                <w:b/>
                <w:bCs/>
                <w:color w:val="auto"/>
                <w:szCs w:val="21"/>
                <w:highlight w:val="none"/>
              </w:rPr>
            </w:pPr>
            <w:r>
              <w:rPr>
                <w:rFonts w:hint="eastAsia" w:ascii="仿宋" w:hAnsi="仿宋" w:eastAsia="仿宋" w:cs="仿宋"/>
                <w:bCs/>
                <w:color w:val="auto"/>
                <w:szCs w:val="21"/>
                <w:highlight w:val="none"/>
              </w:rPr>
              <w:t>序号</w:t>
            </w:r>
          </w:p>
        </w:tc>
        <w:tc>
          <w:tcPr>
            <w:tcW w:w="1110" w:type="dxa"/>
            <w:shd w:val="clear" w:color="auto" w:fill="auto"/>
            <w:vAlign w:val="center"/>
          </w:tcPr>
          <w:p>
            <w:pPr>
              <w:widowControl/>
              <w:adjustRightInd w:val="0"/>
              <w:snapToGrid w:val="0"/>
              <w:spacing w:after="0" w:line="240" w:lineRule="auto"/>
              <w:jc w:val="center"/>
              <w:rPr>
                <w:rFonts w:ascii="仿宋" w:hAnsi="仿宋" w:eastAsia="仿宋" w:cs="仿宋"/>
                <w:b/>
                <w:bCs/>
                <w:color w:val="auto"/>
                <w:szCs w:val="21"/>
                <w:highlight w:val="none"/>
              </w:rPr>
            </w:pPr>
            <w:r>
              <w:rPr>
                <w:rFonts w:hint="eastAsia" w:ascii="仿宋" w:hAnsi="仿宋" w:eastAsia="仿宋" w:cs="仿宋"/>
                <w:bCs/>
                <w:color w:val="auto"/>
                <w:szCs w:val="21"/>
                <w:highlight w:val="none"/>
              </w:rPr>
              <w:t>评分因素</w:t>
            </w:r>
          </w:p>
        </w:tc>
        <w:tc>
          <w:tcPr>
            <w:tcW w:w="720" w:type="dxa"/>
            <w:shd w:val="clear" w:color="auto" w:fill="auto"/>
            <w:vAlign w:val="center"/>
          </w:tcPr>
          <w:p>
            <w:pPr>
              <w:widowControl/>
              <w:adjustRightInd w:val="0"/>
              <w:snapToGrid w:val="0"/>
              <w:spacing w:after="0" w:line="240" w:lineRule="auto"/>
              <w:jc w:val="center"/>
              <w:rPr>
                <w:rFonts w:ascii="仿宋" w:hAnsi="仿宋" w:eastAsia="仿宋" w:cs="仿宋"/>
                <w:b/>
                <w:bCs/>
                <w:color w:val="auto"/>
                <w:szCs w:val="21"/>
                <w:highlight w:val="none"/>
              </w:rPr>
            </w:pPr>
            <w:r>
              <w:rPr>
                <w:rFonts w:hint="eastAsia" w:ascii="仿宋" w:hAnsi="仿宋" w:eastAsia="仿宋" w:cs="仿宋"/>
                <w:bCs/>
                <w:color w:val="auto"/>
                <w:szCs w:val="21"/>
                <w:highlight w:val="none"/>
              </w:rPr>
              <w:t>权重分值</w:t>
            </w:r>
          </w:p>
        </w:tc>
        <w:tc>
          <w:tcPr>
            <w:tcW w:w="5187" w:type="dxa"/>
            <w:shd w:val="clear" w:color="auto" w:fill="auto"/>
            <w:vAlign w:val="center"/>
          </w:tcPr>
          <w:p>
            <w:pPr>
              <w:widowControl/>
              <w:adjustRightInd w:val="0"/>
              <w:snapToGrid w:val="0"/>
              <w:spacing w:after="0" w:line="240" w:lineRule="auto"/>
              <w:jc w:val="center"/>
              <w:rPr>
                <w:rFonts w:ascii="仿宋" w:hAnsi="仿宋" w:eastAsia="仿宋" w:cs="仿宋"/>
                <w:b/>
                <w:bCs/>
                <w:color w:val="auto"/>
                <w:szCs w:val="21"/>
                <w:highlight w:val="none"/>
              </w:rPr>
            </w:pPr>
            <w:r>
              <w:rPr>
                <w:rFonts w:hint="eastAsia" w:ascii="仿宋" w:hAnsi="仿宋" w:eastAsia="仿宋" w:cs="仿宋"/>
                <w:bCs/>
                <w:color w:val="auto"/>
                <w:szCs w:val="21"/>
                <w:highlight w:val="none"/>
              </w:rPr>
              <w:t>评分依据</w:t>
            </w:r>
          </w:p>
        </w:tc>
        <w:tc>
          <w:tcPr>
            <w:tcW w:w="1324" w:type="dxa"/>
            <w:shd w:val="clear" w:color="auto" w:fill="auto"/>
            <w:vAlign w:val="center"/>
          </w:tcPr>
          <w:p>
            <w:pPr>
              <w:widowControl/>
              <w:adjustRightInd w:val="0"/>
              <w:snapToGrid w:val="0"/>
              <w:spacing w:after="0" w:line="240" w:lineRule="auto"/>
              <w:jc w:val="center"/>
              <w:rPr>
                <w:rFonts w:ascii="仿宋" w:hAnsi="仿宋" w:eastAsia="仿宋" w:cs="仿宋"/>
                <w:b/>
                <w:bCs/>
                <w:color w:val="auto"/>
                <w:szCs w:val="21"/>
                <w:highlight w:val="none"/>
              </w:rPr>
            </w:pPr>
            <w:r>
              <w:rPr>
                <w:rFonts w:hint="eastAsia" w:ascii="仿宋" w:hAnsi="仿宋" w:eastAsia="仿宋" w:cs="仿宋"/>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97" w:type="dxa"/>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1</w:t>
            </w:r>
          </w:p>
        </w:tc>
        <w:tc>
          <w:tcPr>
            <w:tcW w:w="1110" w:type="dxa"/>
            <w:shd w:val="clear" w:color="auto" w:fill="auto"/>
            <w:vAlign w:val="center"/>
          </w:tcPr>
          <w:p>
            <w:pPr>
              <w:adjustRightInd w:val="0"/>
              <w:snapToGrid w:val="0"/>
              <w:spacing w:after="0" w:line="240" w:lineRule="auto"/>
              <w:rPr>
                <w:rFonts w:ascii="仿宋" w:hAnsi="仿宋" w:eastAsia="仿宋" w:cs="仿宋"/>
                <w:b/>
                <w:bCs/>
                <w:color w:val="auto"/>
                <w:szCs w:val="21"/>
                <w:highlight w:val="none"/>
              </w:rPr>
            </w:pPr>
            <w:r>
              <w:rPr>
                <w:rFonts w:hint="eastAsia" w:ascii="仿宋" w:hAnsi="仿宋" w:eastAsia="仿宋" w:cs="仿宋"/>
                <w:color w:val="auto"/>
                <w:szCs w:val="21"/>
                <w:highlight w:val="none"/>
              </w:rPr>
              <w:t>报价</w:t>
            </w:r>
          </w:p>
        </w:tc>
        <w:tc>
          <w:tcPr>
            <w:tcW w:w="720" w:type="dxa"/>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10分</w:t>
            </w:r>
          </w:p>
        </w:tc>
        <w:tc>
          <w:tcPr>
            <w:tcW w:w="5187" w:type="dxa"/>
            <w:shd w:val="clear" w:color="auto" w:fill="auto"/>
            <w:vAlign w:val="center"/>
          </w:tcPr>
          <w:p>
            <w:pPr>
              <w:widowControl/>
              <w:adjustRightInd w:val="0"/>
              <w:snapToGrid w:val="0"/>
              <w:spacing w:after="0"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满足招标文件要求且投标价格最低的报价为基准价，其价格分为满分。其他投标人的价格分统一按照下列公式计算：报价得分=(基准价／报价)×10</w:t>
            </w:r>
          </w:p>
        </w:tc>
        <w:tc>
          <w:tcPr>
            <w:tcW w:w="1324" w:type="dxa"/>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497" w:type="dxa"/>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2</w:t>
            </w:r>
          </w:p>
        </w:tc>
        <w:tc>
          <w:tcPr>
            <w:tcW w:w="1110" w:type="dxa"/>
            <w:shd w:val="clear" w:color="auto" w:fill="auto"/>
            <w:vAlign w:val="center"/>
          </w:tcPr>
          <w:p>
            <w:pPr>
              <w:adjustRightInd w:val="0"/>
              <w:snapToGrid w:val="0"/>
              <w:spacing w:after="0" w:line="240" w:lineRule="auto"/>
              <w:rPr>
                <w:rFonts w:ascii="仿宋" w:hAnsi="仿宋" w:eastAsia="仿宋" w:cs="仿宋"/>
                <w:color w:val="auto"/>
                <w:szCs w:val="21"/>
                <w:highlight w:val="none"/>
              </w:rPr>
            </w:pPr>
            <w:r>
              <w:rPr>
                <w:rFonts w:hint="eastAsia" w:ascii="仿宋" w:hAnsi="仿宋" w:eastAsia="仿宋" w:cs="仿宋"/>
                <w:color w:val="auto"/>
                <w:szCs w:val="21"/>
                <w:highlight w:val="none"/>
              </w:rPr>
              <w:t>服务要求</w:t>
            </w:r>
          </w:p>
        </w:tc>
        <w:tc>
          <w:tcPr>
            <w:tcW w:w="720" w:type="dxa"/>
            <w:shd w:val="clear" w:color="auto" w:fill="auto"/>
            <w:vAlign w:val="center"/>
          </w:tcPr>
          <w:p>
            <w:pPr>
              <w:widowControl/>
              <w:adjustRightInd w:val="0"/>
              <w:snapToGrid w:val="0"/>
              <w:spacing w:after="0"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10分</w:t>
            </w:r>
          </w:p>
        </w:tc>
        <w:tc>
          <w:tcPr>
            <w:tcW w:w="5187" w:type="dxa"/>
            <w:shd w:val="clear" w:color="auto" w:fill="auto"/>
            <w:vAlign w:val="center"/>
          </w:tcPr>
          <w:p>
            <w:pPr>
              <w:pStyle w:val="11"/>
              <w:rPr>
                <w:rFonts w:ascii="仿宋" w:hAnsi="仿宋" w:eastAsia="仿宋"/>
                <w:b/>
                <w:bCs/>
                <w:color w:val="auto"/>
                <w:szCs w:val="21"/>
                <w:highlight w:val="none"/>
              </w:rPr>
            </w:pPr>
            <w:r>
              <w:rPr>
                <w:rFonts w:hint="eastAsia" w:ascii="仿宋" w:hAnsi="仿宋" w:eastAsia="仿宋"/>
                <w:color w:val="auto"/>
                <w:szCs w:val="21"/>
                <w:highlight w:val="none"/>
              </w:rPr>
              <w:t>招标文件第六章“三、服务要求”中</w:t>
            </w:r>
            <w:r>
              <w:rPr>
                <w:rFonts w:hint="eastAsia" w:ascii="仿宋" w:hAnsi="仿宋" w:eastAsia="仿宋" w:cs="仿宋"/>
                <w:b/>
                <w:bCs/>
                <w:color w:val="auto"/>
                <w:szCs w:val="21"/>
                <w:highlight w:val="none"/>
              </w:rPr>
              <w:t>“▲”条款共1条，一般条款共13条。</w:t>
            </w:r>
          </w:p>
          <w:p>
            <w:pPr>
              <w:pStyle w:val="11"/>
              <w:rPr>
                <w:rFonts w:ascii="仿宋" w:hAnsi="仿宋" w:eastAsia="仿宋"/>
                <w:color w:val="auto"/>
                <w:szCs w:val="21"/>
                <w:highlight w:val="none"/>
              </w:rPr>
            </w:pPr>
            <w:r>
              <w:rPr>
                <w:rFonts w:hint="eastAsia" w:ascii="仿宋" w:hAnsi="仿宋" w:eastAsia="仿宋"/>
                <w:color w:val="auto"/>
                <w:szCs w:val="21"/>
                <w:highlight w:val="none"/>
              </w:rPr>
              <w:t>完全满足上述条款没有负偏离得满分10分。</w:t>
            </w:r>
          </w:p>
          <w:p>
            <w:pPr>
              <w:pStyle w:val="11"/>
              <w:rPr>
                <w:color w:val="auto"/>
                <w:highlight w:val="none"/>
              </w:rPr>
            </w:pPr>
            <w:r>
              <w:rPr>
                <w:rFonts w:hint="eastAsia" w:ascii="仿宋" w:hAnsi="仿宋" w:eastAsia="仿宋"/>
                <w:color w:val="auto"/>
                <w:szCs w:val="21"/>
                <w:highlight w:val="none"/>
              </w:rPr>
              <w:t>低于招标文件要求的（负偏离），</w:t>
            </w:r>
            <w:r>
              <w:rPr>
                <w:rFonts w:hint="eastAsia" w:ascii="仿宋" w:hAnsi="仿宋" w:eastAsia="仿宋" w:cs="仿宋"/>
                <w:color w:val="auto"/>
                <w:szCs w:val="21"/>
                <w:highlight w:val="none"/>
              </w:rPr>
              <w:t>“▲”条款</w:t>
            </w:r>
            <w:r>
              <w:rPr>
                <w:rFonts w:hint="eastAsia" w:ascii="仿宋" w:hAnsi="仿宋" w:eastAsia="仿宋"/>
                <w:color w:val="auto"/>
                <w:szCs w:val="21"/>
                <w:highlight w:val="none"/>
              </w:rPr>
              <w:t>每一项扣3.5分，最多扣3.5分；</w:t>
            </w:r>
            <w:r>
              <w:rPr>
                <w:rFonts w:hint="eastAsia" w:ascii="仿宋" w:hAnsi="仿宋" w:eastAsia="仿宋" w:cs="仿宋"/>
                <w:color w:val="auto"/>
                <w:szCs w:val="21"/>
                <w:highlight w:val="none"/>
              </w:rPr>
              <w:t>一般条款</w:t>
            </w:r>
            <w:r>
              <w:rPr>
                <w:rFonts w:hint="eastAsia" w:ascii="仿宋" w:hAnsi="仿宋" w:eastAsia="仿宋"/>
                <w:color w:val="auto"/>
                <w:szCs w:val="21"/>
                <w:highlight w:val="none"/>
              </w:rPr>
              <w:t>每一项扣0.5分，最多扣6.5分。本项总分扣完为止。</w:t>
            </w:r>
          </w:p>
          <w:p>
            <w:pPr>
              <w:widowControl/>
              <w:adjustRightInd w:val="0"/>
              <w:snapToGrid w:val="0"/>
              <w:spacing w:after="0"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注：①针对服务要求条款的响应，如果招标文件第六章“技术服务要求”条款对佐证材料有要求的应按要求提供，否则对应条款将视为不满足。②一般条款指未标注“★”或“▲”的条款</w:t>
            </w:r>
            <w:r>
              <w:rPr>
                <w:rFonts w:hint="eastAsia" w:ascii="仿宋" w:hAnsi="仿宋" w:cs="仿宋"/>
                <w:color w:val="auto"/>
                <w:szCs w:val="21"/>
                <w:highlight w:val="none"/>
              </w:rPr>
              <w:t>。</w:t>
            </w:r>
            <w:r>
              <w:rPr>
                <w:rFonts w:hint="eastAsia" w:ascii="仿宋" w:hAnsi="仿宋" w:eastAsia="仿宋" w:cs="仿宋"/>
                <w:color w:val="auto"/>
                <w:szCs w:val="21"/>
                <w:highlight w:val="none"/>
              </w:rPr>
              <w:t>③“★”条款是本项目的实质性要求，投标人未全部满足的按照无效投标处理，不再用于打分。</w:t>
            </w:r>
          </w:p>
        </w:tc>
        <w:tc>
          <w:tcPr>
            <w:tcW w:w="1324" w:type="dxa"/>
            <w:shd w:val="clear" w:color="auto" w:fill="auto"/>
            <w:vAlign w:val="center"/>
          </w:tcPr>
          <w:p>
            <w:pPr>
              <w:spacing w:line="240" w:lineRule="auto"/>
              <w:rPr>
                <w:rFonts w:ascii="仿宋" w:hAnsi="仿宋" w:eastAsia="仿宋" w:cs="仿宋"/>
                <w:color w:val="auto"/>
                <w:szCs w:val="21"/>
                <w:highlight w:val="none"/>
              </w:rPr>
            </w:pPr>
            <w:r>
              <w:rPr>
                <w:rFonts w:hint="eastAsia" w:ascii="仿宋" w:hAnsi="仿宋" w:eastAsia="仿宋" w:cs="仿宋"/>
                <w:color w:val="auto"/>
                <w:szCs w:val="21"/>
                <w:highlight w:val="none"/>
              </w:rPr>
              <w:t>技术类评分因素</w:t>
            </w:r>
          </w:p>
          <w:p>
            <w:pPr>
              <w:widowControl/>
              <w:adjustRightInd w:val="0"/>
              <w:snapToGrid w:val="0"/>
              <w:spacing w:after="0"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(投标人须认真核实所有技术支持资料，并对其在投标文件中提供的技术支持资料的真实性负责，并承担由此带来的一切法律责任和后果。）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497" w:type="dxa"/>
            <w:vMerge w:val="restart"/>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3</w:t>
            </w:r>
          </w:p>
        </w:tc>
        <w:tc>
          <w:tcPr>
            <w:tcW w:w="1110" w:type="dxa"/>
            <w:vMerge w:val="restart"/>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bCs/>
                <w:color w:val="auto"/>
                <w:szCs w:val="21"/>
                <w:highlight w:val="none"/>
              </w:rPr>
              <w:t>技术服务方案</w:t>
            </w: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11分</w:t>
            </w:r>
          </w:p>
        </w:tc>
        <w:tc>
          <w:tcPr>
            <w:tcW w:w="5187" w:type="dxa"/>
            <w:shd w:val="clear" w:color="auto" w:fill="auto"/>
            <w:vAlign w:val="center"/>
          </w:tcPr>
          <w:p>
            <w:pPr>
              <w:widowControl/>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现状与需求分析：</w:t>
            </w:r>
          </w:p>
          <w:p>
            <w:pPr>
              <w:widowControl/>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对项目现状进行分析描述，包括：①智慧高新时空大数据平台的总体技术架构、②系统功能模块、③部署运行模式；以上3项内容齐全的得6分，每缺少一个部分扣2分；内容描述存在不完整、前后矛盾、不符合项目及当地实际情况中任何一种情形或其他不足之处的，每有一处扣1分，每项最多扣2分。</w:t>
            </w:r>
          </w:p>
          <w:p>
            <w:pPr>
              <w:widowControl/>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提供针对本项目业务、功能、支撑环境等的需求分析,包括：①智慧高新时空大数据平台信息化存在问题、②政策需求、③系统需求、④数据需求、⑤用户需求和其他需求；以上5项内容齐全的得5分，每缺少一个部分扣1分；内容描述存在不完整、前后矛盾、不符合项目及当地实际情况中任何一种情形或其他不足之处的，每有一处扣0.5分，每项最多扣1分。</w:t>
            </w:r>
          </w:p>
          <w:p>
            <w:pPr>
              <w:widowControl/>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restart"/>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497" w:type="dxa"/>
            <w:vMerge w:val="continue"/>
            <w:shd w:val="clear" w:color="auto" w:fill="auto"/>
            <w:vAlign w:val="center"/>
          </w:tcPr>
          <w:p>
            <w:pPr>
              <w:widowControl/>
              <w:adjustRightInd w:val="0"/>
              <w:snapToGrid w:val="0"/>
              <w:spacing w:after="0" w:line="240" w:lineRule="auto"/>
              <w:jc w:val="center"/>
              <w:rPr>
                <w:bCs/>
                <w:color w:val="auto"/>
                <w:highlight w:val="none"/>
              </w:rPr>
            </w:pPr>
          </w:p>
        </w:tc>
        <w:tc>
          <w:tcPr>
            <w:tcW w:w="1110" w:type="dxa"/>
            <w:vMerge w:val="continue"/>
            <w:shd w:val="clear" w:color="auto" w:fill="auto"/>
            <w:vAlign w:val="center"/>
          </w:tcPr>
          <w:p>
            <w:pPr>
              <w:widowControl/>
              <w:adjustRightInd w:val="0"/>
              <w:snapToGrid w:val="0"/>
              <w:spacing w:after="0" w:line="240" w:lineRule="auto"/>
              <w:jc w:val="left"/>
              <w:rPr>
                <w:color w:val="auto"/>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14分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总体方案与技术设计：</w:t>
            </w:r>
          </w:p>
          <w:p>
            <w:pPr>
              <w:adjustRightInd w:val="0"/>
              <w:snapToGrid w:val="0"/>
              <w:spacing w:after="0" w:line="240" w:lineRule="auto"/>
              <w:jc w:val="left"/>
              <w:rPr>
                <w:color w:val="auto"/>
                <w:highlight w:val="none"/>
              </w:rPr>
            </w:pPr>
            <w:r>
              <w:rPr>
                <w:rFonts w:hint="eastAsia" w:ascii="仿宋" w:hAnsi="仿宋" w:eastAsia="仿宋" w:cs="仿宋"/>
                <w:bCs/>
                <w:color w:val="auto"/>
                <w:szCs w:val="21"/>
                <w:highlight w:val="none"/>
              </w:rPr>
              <w:t>1、对项目总体方案进行描述，包括：①技术大纲、②总体架构、③任务、④技术路线、⑤工作内容；以上5项内容齐全的得5分，每缺少一个部分扣1分；内容描述存在不完整、前后矛盾、不符合项目及当地实际情况中任何一种情形或其他不足之处的，每有一处扣0.5分，每项最多扣1分。</w:t>
            </w:r>
          </w:p>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2、对能和智慧高新时空大数据平台实现对接的技术线路进行描述，包括：①具有良好的兼容性与扩展性、②能提供地理信息应用分析的动态图形化、③地理要素三维线型实现等关键技术问题及解决方案；以上3项内容齐全的得6分，每缺少一个部分扣2分；内容描述存在不完整、前后矛盾、不符合项目及当地实际情况中任何一种情形或其他不足之处的，每有一处扣1分，每项最多扣2分。（提供相关证明材料复印件并加盖公章）</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3、对技术方案进行描述，包括：①与倾斜摄影测量数据处理软件、②数据库、③操作系统，都具有良好的兼容性；以上3项内容齐全的得3分，每缺少一个部分扣1分；内容描述存在不完整、前后矛盾、不符合项目及当地实际情况中任何一种情形或其他不足之处的，每有一处扣0.5分，每项最多扣1分。（提供相关兼容性证明复印件并加盖公章）</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497" w:type="dxa"/>
            <w:vMerge w:val="continue"/>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6分</w:t>
            </w:r>
          </w:p>
        </w:tc>
        <w:tc>
          <w:tcPr>
            <w:tcW w:w="5187" w:type="dxa"/>
            <w:shd w:val="clear" w:color="auto" w:fill="auto"/>
            <w:vAlign w:val="center"/>
          </w:tcPr>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时空大数据：</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根据招标文件要求，对时空大数据扩展建设内容进行描述，包括：①数据库设计、②信息资源目录建设方案、③部署逻辑；以上3项内容齐全的得6分，每缺少一个部分扣2分；内容描述存在不完整、前后矛盾、不符合项目及当地实际情况中任何一种情形或其他不足之处的，每有一处扣1分，每项最多扣2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497" w:type="dxa"/>
            <w:vMerge w:val="continue"/>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3分</w:t>
            </w:r>
          </w:p>
        </w:tc>
        <w:tc>
          <w:tcPr>
            <w:tcW w:w="5187" w:type="dxa"/>
            <w:shd w:val="clear" w:color="auto" w:fill="auto"/>
            <w:vAlign w:val="center"/>
          </w:tcPr>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应用系统建设：</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根据招标文件要求的系统及功能模块，对应用系统建设内容进行描述，包括：①建设项目分布系统、②用地报征审批系统、③各项之间关联性描述；以上3项内容齐全的得3分，每缺少一个部分扣1分；内容描述存在不完整、前后矛盾、不符合项目及当地实际情况中任何一种情形或其他不足之处的，每有一处扣0.5分，每项最多扣1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497" w:type="dxa"/>
            <w:vMerge w:val="continue"/>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2分</w:t>
            </w:r>
          </w:p>
        </w:tc>
        <w:tc>
          <w:tcPr>
            <w:tcW w:w="5187" w:type="dxa"/>
            <w:shd w:val="clear" w:color="auto" w:fill="auto"/>
            <w:vAlign w:val="center"/>
          </w:tcPr>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标准规范：</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根据招标文件的要求，对标准规范进行描述，包括：①提供标准规范建设思路、②清晰描述每类规范的范围定义和主要内容；以上2项内容齐全的得2分，每缺少一个部分扣1分；内容描述存在不完整、前后矛盾、不符合项目及当地实际情况中任何一种情形或其他不足之处的，每有一处扣0.5分，每项最多扣1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497" w:type="dxa"/>
            <w:vMerge w:val="continue"/>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2分</w:t>
            </w:r>
          </w:p>
        </w:tc>
        <w:tc>
          <w:tcPr>
            <w:tcW w:w="5187" w:type="dxa"/>
            <w:shd w:val="clear" w:color="auto" w:fill="auto"/>
            <w:vAlign w:val="center"/>
          </w:tcPr>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支撑环境：</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根据招标文件的要求，对本项目需要的基础软硬件配置及网络环境结合现状进行设计，描述与分析合理可行的，得2分；内容描述存在不完整、前后矛盾、不符合项目及当地实际情况中任何一种情形或其他不足之处的，每有一处扣1分，本项最多扣2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97" w:type="dxa"/>
            <w:vMerge w:val="restart"/>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4</w:t>
            </w:r>
          </w:p>
        </w:tc>
        <w:tc>
          <w:tcPr>
            <w:tcW w:w="1110" w:type="dxa"/>
            <w:vMerge w:val="restart"/>
            <w:shd w:val="clear" w:color="auto" w:fill="auto"/>
            <w:vAlign w:val="center"/>
          </w:tcPr>
          <w:p>
            <w:pPr>
              <w:widowControl/>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项目管理与实施方案</w:t>
            </w: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5分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对项目管理与实施方案进行描述，包括：①项目实施进度安排合理、②有明确的人员安排、③项目施工计划和项目进度甘特图、④合理的项目管理制度、⑤合理的质量保障措施；以上5项内容齐全的得5分，每缺少一个部分扣1分；内容描述存在不完整、前后矛盾、不符合项目及当地实际情况中任何一种情形或其他不足之处的，每有一处扣0.5分，每项最多扣1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restart"/>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97" w:type="dxa"/>
            <w:vMerge w:val="continue"/>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3分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制定详细的培训方案，可操作性强，培训方案应包括：①培训对象、②培训地点、③培训目标、④培训内容、⑤培训方式、⑥反馈与考核；以上6项内容齐全的得3分，每缺少一个部分扣0.5分；内容描述存在不完整、前后矛盾、不符合项目及当地实际情况中任何一种情形或其他不足之处的，每有一处扣0.25分，每项最多扣0.5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（注：其他不足之处是指内容照抄照搬、凭空编造、科学原理错误以及不可能实现的夸大情形等。）</w:t>
            </w:r>
          </w:p>
        </w:tc>
        <w:tc>
          <w:tcPr>
            <w:tcW w:w="1324" w:type="dxa"/>
            <w:vMerge w:val="continue"/>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97" w:type="dxa"/>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5</w:t>
            </w:r>
          </w:p>
        </w:tc>
        <w:tc>
          <w:tcPr>
            <w:tcW w:w="1110" w:type="dxa"/>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bCs/>
                <w:color w:val="auto"/>
                <w:szCs w:val="21"/>
                <w:highlight w:val="none"/>
              </w:rPr>
              <w:t>人员配置</w:t>
            </w: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8分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1、项目经理具有测绘类高级工程师及以上职称的,得3分。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2、项目技术负责人同时具有系统架构师（高级）和系统分析师（高级）证书的得3分，否则不得分。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3、项目实施人员具有人力资源和社会保障局颁发的信息系统项目管理师（高级）和PMP（项目管理专业人员证书）证书的，每有一名得0.5分，最多得2分。</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（提供劳动合同或在职证明复印件与证书复印件并加盖公章，不提供不得分，同一人不能重复得分）</w:t>
            </w:r>
          </w:p>
        </w:tc>
        <w:tc>
          <w:tcPr>
            <w:tcW w:w="1324" w:type="dxa"/>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497" w:type="dxa"/>
            <w:vMerge w:val="restart"/>
            <w:shd w:val="clear" w:color="auto" w:fill="auto"/>
            <w:vAlign w:val="center"/>
          </w:tcPr>
          <w:p>
            <w:pPr>
              <w:widowControl/>
              <w:adjustRightInd w:val="0"/>
              <w:snapToGrid w:val="0"/>
              <w:spacing w:after="0"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6</w:t>
            </w:r>
          </w:p>
        </w:tc>
        <w:tc>
          <w:tcPr>
            <w:tcW w:w="1110" w:type="dxa"/>
            <w:vMerge w:val="restart"/>
            <w:shd w:val="clear" w:color="auto" w:fill="auto"/>
            <w:vAlign w:val="center"/>
          </w:tcPr>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履约能力</w:t>
            </w: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8分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投标人承接过时空大数据系统建设类似项目建设案例并通过验收的，每个得0.5分，最多得8分。（提供合同及验收报告复印件并加盖公章）</w:t>
            </w:r>
          </w:p>
        </w:tc>
        <w:tc>
          <w:tcPr>
            <w:tcW w:w="1324" w:type="dxa"/>
            <w:vMerge w:val="restart"/>
            <w:shd w:val="clear" w:color="auto" w:fill="auto"/>
            <w:vAlign w:val="center"/>
          </w:tcPr>
          <w:p>
            <w:pPr>
              <w:widowControl/>
              <w:adjustRightInd w:val="0"/>
              <w:snapToGrid w:val="0"/>
              <w:spacing w:after="0" w:line="24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共同评分因素</w:t>
            </w:r>
          </w:p>
          <w:p>
            <w:pPr>
              <w:widowControl/>
              <w:adjustRightInd w:val="0"/>
              <w:snapToGrid w:val="0"/>
              <w:spacing w:after="0" w:line="240" w:lineRule="auto"/>
              <w:jc w:val="left"/>
              <w:rPr>
                <w:rFonts w:ascii="仿宋" w:hAnsi="仿宋" w:eastAsia="仿宋" w:cs="仿宋"/>
                <w:b/>
                <w:bCs/>
                <w:color w:val="auto"/>
                <w:szCs w:val="21"/>
                <w:highlight w:val="none"/>
              </w:rPr>
            </w:pPr>
            <w:r>
              <w:rPr>
                <w:rFonts w:hint="eastAsia" w:ascii="仿宋" w:hAnsi="仿宋" w:eastAsia="仿宋" w:cs="仿宋"/>
                <w:color w:val="auto"/>
                <w:szCs w:val="21"/>
                <w:highlight w:val="none"/>
              </w:rPr>
              <w:t>（同一案例不能重复得分）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97" w:type="dxa"/>
            <w:vMerge w:val="continue"/>
            <w:shd w:val="clear" w:color="auto" w:fill="auto"/>
            <w:vAlign w:val="center"/>
          </w:tcPr>
          <w:p>
            <w:pPr>
              <w:autoSpaceDN w:val="0"/>
              <w:spacing w:line="240" w:lineRule="auto"/>
              <w:jc w:val="center"/>
              <w:rPr>
                <w:rFonts w:ascii="仿宋" w:hAnsi="仿宋" w:eastAsia="仿宋" w:cs="仿宋"/>
                <w:bCs/>
                <w:color w:val="auto"/>
                <w:szCs w:val="21"/>
                <w:highlight w:val="none"/>
              </w:rPr>
            </w:pPr>
          </w:p>
        </w:tc>
        <w:tc>
          <w:tcPr>
            <w:tcW w:w="1110" w:type="dxa"/>
            <w:vMerge w:val="continue"/>
            <w:shd w:val="clear" w:color="auto" w:fill="auto"/>
            <w:vAlign w:val="center"/>
          </w:tcPr>
          <w:p>
            <w:pPr>
              <w:widowControl/>
              <w:adjustRightInd w:val="0"/>
              <w:snapToGrid w:val="0"/>
              <w:spacing w:after="0" w:line="240" w:lineRule="auto"/>
              <w:jc w:val="left"/>
              <w:rPr>
                <w:rFonts w:ascii="仿宋" w:hAnsi="仿宋" w:eastAsia="仿宋" w:cs="仿宋"/>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4分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投标人承接过分布系统、用地报征审批系统、信息共享、时空数据建库以及三维建模等类似应用系统案例并通过验收的，每个得0.5分，最高得4分。（提供合同及验收报告复印件并加盖公章）</w:t>
            </w:r>
          </w:p>
        </w:tc>
        <w:tc>
          <w:tcPr>
            <w:tcW w:w="1324" w:type="dxa"/>
            <w:vMerge w:val="continue"/>
            <w:shd w:val="clear" w:color="auto" w:fill="auto"/>
            <w:vAlign w:val="center"/>
          </w:tcPr>
          <w:p>
            <w:pPr>
              <w:widowControl/>
              <w:adjustRightInd w:val="0"/>
              <w:snapToGrid w:val="0"/>
              <w:spacing w:after="0" w:line="240" w:lineRule="auto"/>
              <w:jc w:val="left"/>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97" w:type="dxa"/>
            <w:vMerge w:val="restart"/>
            <w:shd w:val="clear" w:color="auto" w:fill="auto"/>
            <w:vAlign w:val="center"/>
          </w:tcPr>
          <w:p>
            <w:pPr>
              <w:autoSpaceDN w:val="0"/>
              <w:spacing w:line="240" w:lineRule="auto"/>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7</w:t>
            </w:r>
          </w:p>
        </w:tc>
        <w:tc>
          <w:tcPr>
            <w:tcW w:w="1110" w:type="dxa"/>
            <w:vMerge w:val="restart"/>
            <w:shd w:val="clear" w:color="auto" w:fill="auto"/>
            <w:vAlign w:val="center"/>
          </w:tcPr>
          <w:p>
            <w:pPr>
              <w:autoSpaceDN w:val="0"/>
              <w:spacing w:line="240" w:lineRule="auto"/>
              <w:jc w:val="center"/>
              <w:rPr>
                <w:rFonts w:ascii="仿宋" w:hAnsi="仿宋" w:eastAsia="仿宋" w:cs="仿宋"/>
                <w:bCs/>
                <w:color w:val="auto"/>
                <w:szCs w:val="21"/>
                <w:highlight w:val="none"/>
              </w:rPr>
            </w:pPr>
            <w:r>
              <w:rPr>
                <w:rFonts w:hint="eastAsia" w:ascii="仿宋" w:hAnsi="仿宋" w:eastAsia="仿宋" w:cs="仿宋"/>
                <w:color w:val="auto"/>
                <w:szCs w:val="21"/>
                <w:highlight w:val="none"/>
              </w:rPr>
              <w:t>综合实力</w:t>
            </w: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6分</w:t>
            </w:r>
          </w:p>
        </w:tc>
        <w:tc>
          <w:tcPr>
            <w:tcW w:w="5187" w:type="dxa"/>
            <w:shd w:val="clear" w:color="auto" w:fill="auto"/>
            <w:vAlign w:val="center"/>
          </w:tcPr>
          <w:p>
            <w:pPr>
              <w:adjustRightInd w:val="0"/>
              <w:snapToGrid w:val="0"/>
              <w:spacing w:after="0" w:line="240" w:lineRule="auto"/>
              <w:jc w:val="left"/>
              <w:rPr>
                <w:rFonts w:hint="eastAsia" w:ascii="仿宋" w:hAnsi="仿宋" w:eastAsia="仿宋" w:cs="仿宋"/>
                <w:bCs/>
                <w:color w:val="auto"/>
                <w:szCs w:val="21"/>
                <w:highlight w:val="none"/>
                <w:lang w:eastAsia="zh-CN"/>
              </w:rPr>
            </w:pPr>
            <w:r>
              <w:rPr>
                <w:rFonts w:hint="eastAsia" w:ascii="仿宋" w:hAnsi="仿宋" w:eastAsia="仿宋" w:cs="仿宋"/>
                <w:bCs/>
                <w:color w:val="auto"/>
                <w:szCs w:val="21"/>
                <w:highlight w:val="none"/>
              </w:rPr>
              <w:t>1、参与国家时空大数据与云平台技术大纲修订的，得2分。（提供相关证明材料复印件并加盖公章）</w:t>
            </w:r>
          </w:p>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2、具有时空大数据与共享交换云平台、时空大数据处理与挖掘等相关的系统产品，可进行定制开发，每具有一个得2分，最多得4分。（提供软件著作权复印件并加盖公章）</w:t>
            </w:r>
          </w:p>
        </w:tc>
        <w:tc>
          <w:tcPr>
            <w:tcW w:w="1324" w:type="dxa"/>
            <w:vMerge w:val="restart"/>
            <w:shd w:val="clear" w:color="auto" w:fill="auto"/>
            <w:vAlign w:val="center"/>
          </w:tcPr>
          <w:p>
            <w:pPr>
              <w:autoSpaceDN w:val="0"/>
              <w:spacing w:line="240" w:lineRule="auto"/>
              <w:rPr>
                <w:rFonts w:ascii="仿宋" w:hAnsi="仿宋" w:eastAsia="仿宋" w:cs="仿宋"/>
                <w:b/>
                <w:bCs/>
                <w:color w:val="auto"/>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97" w:type="dxa"/>
            <w:vMerge w:val="continue"/>
            <w:shd w:val="clear" w:color="auto" w:fill="auto"/>
            <w:vAlign w:val="center"/>
          </w:tcPr>
          <w:p>
            <w:pPr>
              <w:autoSpaceDN w:val="0"/>
              <w:spacing w:line="240" w:lineRule="auto"/>
              <w:rPr>
                <w:color w:val="auto"/>
                <w:highlight w:val="none"/>
              </w:rPr>
            </w:pPr>
          </w:p>
        </w:tc>
        <w:tc>
          <w:tcPr>
            <w:tcW w:w="1110" w:type="dxa"/>
            <w:vMerge w:val="continue"/>
            <w:shd w:val="clear" w:color="auto" w:fill="auto"/>
            <w:vAlign w:val="center"/>
          </w:tcPr>
          <w:p>
            <w:pPr>
              <w:autoSpaceDN w:val="0"/>
              <w:spacing w:line="240" w:lineRule="auto"/>
              <w:rPr>
                <w:color w:val="auto"/>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4分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具有质量管理体系认证证书、</w:t>
            </w:r>
            <w:r>
              <w:rPr>
                <w:rFonts w:hint="eastAsia" w:ascii="仿宋" w:hAnsi="仿宋" w:eastAsia="仿宋" w:cs="仿宋"/>
                <w:bCs/>
                <w:color w:val="auto"/>
                <w:szCs w:val="21"/>
                <w:highlight w:val="none"/>
                <w:lang w:val="en-US" w:eastAsia="zh-CN"/>
              </w:rPr>
              <w:t>IT</w:t>
            </w:r>
            <w:r>
              <w:rPr>
                <w:rFonts w:hint="eastAsia" w:ascii="仿宋" w:hAnsi="仿宋" w:eastAsia="仿宋" w:cs="仿宋"/>
                <w:bCs/>
                <w:color w:val="auto"/>
                <w:szCs w:val="21"/>
                <w:highlight w:val="none"/>
              </w:rPr>
              <w:t>服务管理体系认证证书、环境管理体系认证证书、职业健康安全管理体系认证证书的，每具有一个得1分，本项最多得4分，不提供不得分。（提供相关证书复印件并加盖公章）</w:t>
            </w:r>
          </w:p>
        </w:tc>
        <w:tc>
          <w:tcPr>
            <w:tcW w:w="1324"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97"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c>
          <w:tcPr>
            <w:tcW w:w="1110"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3分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具备支持基于现有GIS平台产品开发相关应用系统技术实力的，得3分。（提供相关技术支撑证明材料</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基于现有GIS平台开发的应用系统合同</w:t>
            </w:r>
            <w:r>
              <w:rPr>
                <w:rFonts w:hint="eastAsia" w:ascii="仿宋" w:hAnsi="仿宋" w:eastAsia="仿宋" w:cs="仿宋"/>
                <w:bCs/>
                <w:color w:val="auto"/>
                <w:szCs w:val="21"/>
                <w:highlight w:val="none"/>
                <w:lang w:val="en-US" w:eastAsia="zh-CN"/>
              </w:rPr>
              <w:t>和</w:t>
            </w:r>
            <w:r>
              <w:rPr>
                <w:rFonts w:hint="eastAsia" w:ascii="仿宋" w:hAnsi="仿宋" w:eastAsia="仿宋" w:cs="仿宋"/>
                <w:bCs/>
                <w:color w:val="auto"/>
                <w:szCs w:val="21"/>
                <w:highlight w:val="none"/>
              </w:rPr>
              <w:t>验收合格证明，并加盖公章）</w:t>
            </w:r>
          </w:p>
        </w:tc>
        <w:tc>
          <w:tcPr>
            <w:tcW w:w="1324"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97"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c>
          <w:tcPr>
            <w:tcW w:w="1110"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c>
          <w:tcPr>
            <w:tcW w:w="720"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1分</w:t>
            </w:r>
          </w:p>
        </w:tc>
        <w:tc>
          <w:tcPr>
            <w:tcW w:w="5187" w:type="dxa"/>
            <w:shd w:val="clear" w:color="auto" w:fill="auto"/>
            <w:vAlign w:val="center"/>
          </w:tcPr>
          <w:p>
            <w:pPr>
              <w:adjustRightInd w:val="0"/>
              <w:snapToGrid w:val="0"/>
              <w:spacing w:after="0" w:line="240" w:lineRule="auto"/>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具有地理信息类国家标准规范编制能力的，得1分。（提供相关证明材料复印件并加盖公章）</w:t>
            </w:r>
          </w:p>
        </w:tc>
        <w:tc>
          <w:tcPr>
            <w:tcW w:w="1324" w:type="dxa"/>
            <w:vMerge w:val="continue"/>
            <w:shd w:val="clear" w:color="auto" w:fill="auto"/>
            <w:vAlign w:val="center"/>
          </w:tcPr>
          <w:p>
            <w:pPr>
              <w:autoSpaceDN w:val="0"/>
              <w:spacing w:line="240" w:lineRule="auto"/>
              <w:rPr>
                <w:rFonts w:ascii="仿宋" w:hAnsi="仿宋" w:eastAsia="仿宋" w:cs="仿宋"/>
                <w:color w:val="auto"/>
                <w:szCs w:val="21"/>
                <w:highlight w:val="none"/>
              </w:rPr>
            </w:pPr>
          </w:p>
        </w:tc>
      </w:tr>
    </w:tbl>
    <w:p>
      <w:pPr>
        <w:ind w:firstLine="360" w:firstLineChars="150"/>
        <w:rPr>
          <w:rFonts w:ascii="仿宋" w:hAnsi="仿宋" w:eastAsia="仿宋"/>
          <w:color w:val="auto"/>
          <w:sz w:val="24"/>
          <w:highlight w:val="none"/>
        </w:rPr>
      </w:pPr>
      <w:r>
        <w:rPr>
          <w:rFonts w:hint="eastAsia" w:ascii="仿宋" w:hAnsi="仿宋" w:eastAsia="仿宋"/>
          <w:color w:val="auto"/>
          <w:sz w:val="24"/>
          <w:highlight w:val="none"/>
        </w:rPr>
        <w:t>注：</w:t>
      </w:r>
      <w:r>
        <w:rPr>
          <w:rFonts w:ascii="仿宋" w:hAnsi="仿宋" w:eastAsia="仿宋"/>
          <w:color w:val="auto"/>
          <w:sz w:val="24"/>
          <w:highlight w:val="none"/>
        </w:rPr>
        <w:t xml:space="preserve"> </w:t>
      </w:r>
      <w:r>
        <w:rPr>
          <w:rFonts w:hint="eastAsia" w:ascii="仿宋" w:hAnsi="仿宋" w:eastAsia="仿宋"/>
          <w:color w:val="auto"/>
          <w:sz w:val="24"/>
          <w:highlight w:val="none"/>
        </w:rPr>
        <w:t>评分的取值按四舍五入法，保留小数点后两位。</w:t>
      </w:r>
    </w:p>
    <w:p>
      <w:pPr>
        <w:pStyle w:val="11"/>
        <w:ind w:firstLine="420" w:firstLineChars="175"/>
        <w:rPr>
          <w:rFonts w:hint="eastAsia" w:ascii="仿宋" w:hAnsi="仿宋" w:eastAsia="仿宋"/>
          <w:color w:val="auto"/>
          <w:sz w:val="24"/>
          <w:highlight w:val="none"/>
        </w:rPr>
      </w:pPr>
      <w:bookmarkStart w:id="185" w:name="_Toc217446059"/>
      <w:r>
        <w:rPr>
          <w:rFonts w:hint="eastAsia" w:ascii="仿宋" w:hAnsi="仿宋" w:eastAsia="仿宋"/>
          <w:color w:val="auto"/>
          <w:sz w:val="24"/>
          <w:highlight w:val="none"/>
        </w:rPr>
        <w:t>4.3.4 本次综合评分法由评标委员会各成员独立对通过初审（资格检查和符合性检查）的投标人的投标文件进行评审和打分，</w:t>
      </w:r>
    </w:p>
    <w:p>
      <w:pPr>
        <w:pStyle w:val="11"/>
        <w:ind w:firstLine="480" w:firstLineChars="200"/>
        <w:rPr>
          <w:rFonts w:ascii="仿宋" w:hAnsi="仿宋" w:eastAsia="仿宋"/>
          <w:color w:val="auto"/>
          <w:sz w:val="24"/>
          <w:highlight w:val="none"/>
        </w:rPr>
      </w:pPr>
      <w:r>
        <w:rPr>
          <w:rFonts w:hint="eastAsia" w:ascii="仿宋" w:hAnsi="仿宋" w:eastAsia="仿宋"/>
          <w:color w:val="auto"/>
          <w:sz w:val="24"/>
          <w:highlight w:val="none"/>
        </w:rPr>
        <w:t>评标得分＝（A1＋A2＋……＋An）/N</w:t>
      </w:r>
      <w:r>
        <w:rPr>
          <w:rFonts w:ascii="仿宋" w:hAnsi="仿宋" w:eastAsia="仿宋"/>
          <w:color w:val="auto"/>
          <w:sz w:val="24"/>
          <w:highlight w:val="none"/>
          <w:vertAlign w:val="subscript"/>
        </w:rPr>
        <w:t>A</w:t>
      </w:r>
      <w:r>
        <w:rPr>
          <w:rFonts w:hint="eastAsia" w:ascii="仿宋" w:hAnsi="仿宋" w:eastAsia="仿宋"/>
          <w:color w:val="auto"/>
          <w:sz w:val="24"/>
          <w:highlight w:val="none"/>
        </w:rPr>
        <w:t>＋（B1＋B2＋……＋Bn）/</w:t>
      </w:r>
      <w:r>
        <w:rPr>
          <w:rFonts w:ascii="仿宋" w:hAnsi="仿宋" w:eastAsia="仿宋"/>
          <w:color w:val="auto"/>
          <w:sz w:val="24"/>
          <w:highlight w:val="none"/>
        </w:rPr>
        <w:t xml:space="preserve"> N</w:t>
      </w:r>
      <w:r>
        <w:rPr>
          <w:rFonts w:ascii="仿宋" w:hAnsi="仿宋" w:eastAsia="仿宋"/>
          <w:color w:val="auto"/>
          <w:sz w:val="24"/>
          <w:highlight w:val="none"/>
          <w:vertAlign w:val="subscript"/>
        </w:rPr>
        <w:t>B</w:t>
      </w:r>
      <w:r>
        <w:rPr>
          <w:rFonts w:hint="eastAsia" w:ascii="仿宋" w:hAnsi="仿宋" w:eastAsia="仿宋"/>
          <w:color w:val="auto"/>
          <w:sz w:val="24"/>
          <w:highlight w:val="none"/>
        </w:rPr>
        <w:t>＋（C1＋C2＋……＋Cn）/</w:t>
      </w:r>
      <w:r>
        <w:rPr>
          <w:rFonts w:ascii="仿宋" w:hAnsi="仿宋" w:eastAsia="仿宋"/>
          <w:color w:val="auto"/>
          <w:sz w:val="24"/>
          <w:highlight w:val="none"/>
        </w:rPr>
        <w:t xml:space="preserve"> N</w:t>
      </w:r>
      <w:r>
        <w:rPr>
          <w:rFonts w:ascii="仿宋" w:hAnsi="仿宋" w:eastAsia="仿宋"/>
          <w:color w:val="auto"/>
          <w:sz w:val="24"/>
          <w:highlight w:val="none"/>
          <w:vertAlign w:val="subscript"/>
        </w:rPr>
        <w:t>C</w:t>
      </w:r>
      <w:r>
        <w:rPr>
          <w:rFonts w:hint="eastAsia" w:ascii="仿宋" w:hAnsi="仿宋" w:eastAsia="仿宋"/>
          <w:color w:val="auto"/>
          <w:sz w:val="24"/>
          <w:highlight w:val="none"/>
        </w:rPr>
        <w:t>＋（D1＋D2＋……＋Dn）/</w:t>
      </w:r>
      <w:r>
        <w:rPr>
          <w:rFonts w:ascii="仿宋" w:hAnsi="仿宋" w:eastAsia="仿宋"/>
          <w:color w:val="auto"/>
          <w:sz w:val="24"/>
          <w:highlight w:val="none"/>
        </w:rPr>
        <w:t xml:space="preserve"> N</w:t>
      </w:r>
      <w:r>
        <w:rPr>
          <w:rFonts w:ascii="仿宋" w:hAnsi="仿宋" w:eastAsia="仿宋"/>
          <w:color w:val="auto"/>
          <w:sz w:val="24"/>
          <w:highlight w:val="none"/>
          <w:vertAlign w:val="subscript"/>
        </w:rPr>
        <w:t>D</w:t>
      </w:r>
    </w:p>
    <w:p>
      <w:pPr>
        <w:pStyle w:val="11"/>
        <w:ind w:firstLine="480" w:firstLineChars="200"/>
        <w:rPr>
          <w:rFonts w:ascii="仿宋" w:hAnsi="仿宋" w:eastAsia="仿宋"/>
          <w:bCs/>
          <w:color w:val="auto"/>
          <w:sz w:val="24"/>
          <w:highlight w:val="none"/>
        </w:rPr>
      </w:pPr>
      <w:r>
        <w:rPr>
          <w:rFonts w:hint="eastAsia" w:ascii="仿宋" w:hAnsi="仿宋" w:eastAsia="仿宋"/>
          <w:color w:val="auto"/>
          <w:sz w:val="24"/>
          <w:highlight w:val="none"/>
        </w:rPr>
        <w:t>A1、A2……An分别为每个经济类评委（经济类专家）的打分，N</w:t>
      </w:r>
      <w:r>
        <w:rPr>
          <w:rFonts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为经济类评委（经济类专家）人数；B1、B2＋……Bn</w:t>
      </w:r>
      <w:r>
        <w:rPr>
          <w:rFonts w:ascii="仿宋" w:hAnsi="仿宋" w:eastAsia="仿宋"/>
          <w:color w:val="auto"/>
          <w:sz w:val="24"/>
          <w:highlight w:val="none"/>
        </w:rPr>
        <w:t xml:space="preserve"> </w:t>
      </w:r>
      <w:r>
        <w:rPr>
          <w:rFonts w:hint="eastAsia" w:ascii="仿宋" w:hAnsi="仿宋" w:eastAsia="仿宋"/>
          <w:color w:val="auto"/>
          <w:sz w:val="24"/>
          <w:highlight w:val="none"/>
        </w:rPr>
        <w:t>分别为每个技术类评委（技术类专家和采购人代表）的打分，N</w:t>
      </w:r>
      <w:r>
        <w:rPr>
          <w:rFonts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为技术类评委（技术类专家和采购人代表）人数；C1、C2……Cn</w:t>
      </w:r>
      <w:r>
        <w:rPr>
          <w:rFonts w:ascii="仿宋" w:hAnsi="仿宋" w:eastAsia="仿宋"/>
          <w:color w:val="auto"/>
          <w:sz w:val="24"/>
          <w:highlight w:val="none"/>
        </w:rPr>
        <w:t xml:space="preserve"> </w:t>
      </w:r>
      <w:r>
        <w:rPr>
          <w:rFonts w:hint="eastAsia" w:ascii="仿宋" w:hAnsi="仿宋" w:eastAsia="仿宋"/>
          <w:color w:val="auto"/>
          <w:sz w:val="24"/>
          <w:highlight w:val="none"/>
        </w:rPr>
        <w:t>分别为每个政策合同类评委（法律类专家）的打分，N</w:t>
      </w:r>
      <w:r>
        <w:rPr>
          <w:rFonts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r>
        <w:rPr>
          <w:rFonts w:hint="eastAsia" w:ascii="仿宋" w:hAnsi="仿宋" w:eastAsia="仿宋" w:cs="Times New Roman"/>
          <w:color w:val="auto"/>
          <w:spacing w:val="-6"/>
          <w:kern w:val="2"/>
          <w:sz w:val="24"/>
          <w:szCs w:val="24"/>
          <w:highlight w:val="none"/>
          <w:lang w:val="en-US" w:eastAsia="zh-CN" w:bidi="ar-SA"/>
        </w:rPr>
        <w:t>D1、D2……Dn 分别为评审委员会每个成员的打分（共同评分类），Nd为评标委员会人数。</w:t>
      </w:r>
    </w:p>
    <w:bookmarkEnd w:id="185"/>
    <w:p>
      <w:pPr>
        <w:pStyle w:val="4"/>
        <w:spacing w:line="400" w:lineRule="exact"/>
        <w:ind w:firstLine="472" w:firstLineChars="196"/>
        <w:rPr>
          <w:rFonts w:ascii="仿宋" w:hAnsi="仿宋" w:eastAsia="仿宋"/>
          <w:color w:val="auto"/>
          <w:sz w:val="24"/>
          <w:szCs w:val="24"/>
          <w:highlight w:val="none"/>
        </w:rPr>
      </w:pPr>
      <w:bookmarkStart w:id="186" w:name="_Toc217446060"/>
      <w:r>
        <w:rPr>
          <w:rFonts w:hint="eastAsia" w:ascii="仿宋" w:hAnsi="仿宋" w:eastAsia="仿宋"/>
          <w:color w:val="auto"/>
          <w:sz w:val="24"/>
          <w:szCs w:val="24"/>
          <w:highlight w:val="none"/>
        </w:rPr>
        <w:t>5</w:t>
      </w:r>
      <w:r>
        <w:rPr>
          <w:rFonts w:hint="eastAsia" w:ascii="仿宋" w:hAnsi="仿宋" w:eastAsia="仿宋"/>
          <w:color w:val="auto"/>
          <w:sz w:val="24"/>
          <w:highlight w:val="none"/>
        </w:rPr>
        <w:t>．</w:t>
      </w:r>
      <w:r>
        <w:rPr>
          <w:rFonts w:hint="eastAsia" w:ascii="仿宋" w:hAnsi="仿宋" w:eastAsia="仿宋"/>
          <w:color w:val="auto"/>
          <w:sz w:val="24"/>
          <w:szCs w:val="24"/>
          <w:highlight w:val="none"/>
        </w:rPr>
        <w:t>废</w:t>
      </w:r>
      <w:r>
        <w:rPr>
          <w:rFonts w:ascii="仿宋" w:hAnsi="仿宋" w:eastAsia="仿宋"/>
          <w:color w:val="auto"/>
          <w:sz w:val="24"/>
          <w:szCs w:val="24"/>
          <w:highlight w:val="none"/>
        </w:rPr>
        <w:t xml:space="preserve"> </w:t>
      </w:r>
      <w:r>
        <w:rPr>
          <w:rFonts w:hint="eastAsia" w:ascii="仿宋" w:hAnsi="仿宋" w:eastAsia="仿宋"/>
          <w:color w:val="auto"/>
          <w:sz w:val="24"/>
          <w:szCs w:val="24"/>
          <w:highlight w:val="none"/>
        </w:rPr>
        <w:t>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5.1本次政府采购活动中，出现下列情形之一的，予以废标：</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（1）符合专业条件的供应商或者对招标文件作实质响应的供应商不足三家的；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（2）出现影响采购公正的违法、违规行为的；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（3）投标人的报价均超过了采购预算，采购人不能支付的；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（4）因重大变故，采购任务取消的。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6</w:t>
      </w:r>
      <w:r>
        <w:rPr>
          <w:rFonts w:hint="eastAsia" w:ascii="仿宋" w:hAnsi="仿宋" w:eastAsia="仿宋"/>
          <w:color w:val="auto"/>
          <w:sz w:val="24"/>
          <w:highlight w:val="none"/>
        </w:rPr>
        <w:t>．</w:t>
      </w:r>
      <w:r>
        <w:rPr>
          <w:rFonts w:hint="eastAsia" w:ascii="仿宋" w:hAnsi="仿宋" w:eastAsia="仿宋"/>
          <w:color w:val="auto"/>
          <w:sz w:val="24"/>
          <w:szCs w:val="24"/>
          <w:highlight w:val="none"/>
        </w:rPr>
        <w:t>定标</w:t>
      </w:r>
      <w:bookmarkEnd w:id="186"/>
      <w:bookmarkStart w:id="187" w:name="_Toc217446061"/>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6.1. </w:t>
      </w:r>
      <w:r>
        <w:rPr>
          <w:rFonts w:hint="eastAsia" w:ascii="仿宋" w:hAnsi="仿宋" w:eastAsia="仿宋"/>
          <w:color w:val="auto"/>
          <w:sz w:val="24"/>
          <w:highlight w:val="none"/>
        </w:rPr>
        <w:t>定标原则</w:t>
      </w:r>
      <w:bookmarkEnd w:id="187"/>
      <w:r>
        <w:rPr>
          <w:rFonts w:hint="eastAsia" w:ascii="仿宋" w:hAnsi="仿宋" w:eastAsia="仿宋"/>
          <w:color w:val="auto"/>
          <w:sz w:val="24"/>
          <w:highlight w:val="none"/>
        </w:rPr>
        <w:t>：本项目根据评标委员会推荐的中标候选供应商名单，按顺序确定中标供应商。</w:t>
      </w:r>
    </w:p>
    <w:p>
      <w:pPr>
        <w:spacing w:line="400" w:lineRule="exact"/>
        <w:ind w:firstLine="480" w:firstLineChars="200"/>
        <w:rPr>
          <w:rFonts w:ascii="仿宋" w:hAnsi="仿宋" w:eastAsia="仿宋"/>
          <w:color w:val="auto"/>
          <w:sz w:val="24"/>
          <w:highlight w:val="none"/>
        </w:rPr>
      </w:pPr>
      <w:bookmarkStart w:id="188" w:name="_Toc217446062"/>
      <w:r>
        <w:rPr>
          <w:rFonts w:ascii="仿宋" w:hAnsi="仿宋" w:eastAsia="仿宋"/>
          <w:color w:val="auto"/>
          <w:sz w:val="24"/>
          <w:highlight w:val="none"/>
        </w:rPr>
        <w:t xml:space="preserve">6.2. </w:t>
      </w:r>
      <w:r>
        <w:rPr>
          <w:rFonts w:hint="eastAsia" w:ascii="仿宋" w:hAnsi="仿宋" w:eastAsia="仿宋"/>
          <w:color w:val="auto"/>
          <w:sz w:val="24"/>
          <w:highlight w:val="none"/>
        </w:rPr>
        <w:t>定标程序</w:t>
      </w:r>
      <w:bookmarkEnd w:id="188"/>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6.2.1 </w:t>
      </w:r>
      <w:r>
        <w:rPr>
          <w:rFonts w:hint="eastAsia" w:ascii="仿宋" w:hAnsi="仿宋" w:eastAsia="仿宋"/>
          <w:color w:val="auto"/>
          <w:sz w:val="24"/>
          <w:highlight w:val="none"/>
        </w:rPr>
        <w:t>评标委员会将评标情况写出书面报告，推荐中标候选供应商。</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6.2.2 </w:t>
      </w:r>
      <w:r>
        <w:rPr>
          <w:rFonts w:hint="eastAsia" w:ascii="仿宋" w:hAnsi="仿宋" w:eastAsia="仿宋"/>
          <w:color w:val="auto"/>
          <w:sz w:val="24"/>
          <w:highlight w:val="none"/>
        </w:rPr>
        <w:t>采购代理机构在评标结束后2个工作日内将评标报告送采购人。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6.2.4 </w:t>
      </w:r>
      <w:r>
        <w:rPr>
          <w:rFonts w:hint="eastAsia" w:ascii="仿宋" w:hAnsi="仿宋" w:eastAsia="仿宋"/>
          <w:color w:val="auto"/>
          <w:sz w:val="24"/>
          <w:highlight w:val="none"/>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auto"/>
          <w:sz w:val="24"/>
          <w:highlight w:val="none"/>
        </w:rPr>
      </w:pPr>
      <w:r>
        <w:rPr>
          <w:rFonts w:ascii="仿宋" w:hAnsi="仿宋" w:eastAsia="仿宋"/>
          <w:color w:val="auto"/>
          <w:sz w:val="24"/>
          <w:highlight w:val="none"/>
        </w:rPr>
        <w:t xml:space="preserve">6.2.5 </w:t>
      </w:r>
      <w:r>
        <w:rPr>
          <w:rFonts w:hint="eastAsia" w:ascii="仿宋" w:hAnsi="仿宋" w:eastAsia="仿宋"/>
          <w:color w:val="auto"/>
          <w:sz w:val="24"/>
          <w:highlight w:val="none"/>
        </w:rPr>
        <w:t>招标采购单位不退回投标人投标文件和其他投标资料。</w:t>
      </w:r>
    </w:p>
    <w:bookmarkEnd w:id="184"/>
    <w:p>
      <w:pPr>
        <w:pStyle w:val="4"/>
        <w:spacing w:line="400" w:lineRule="exact"/>
        <w:ind w:firstLine="482"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lang w:val="en-US" w:eastAsia="zh-CN"/>
        </w:rPr>
        <w:t>7</w:t>
      </w:r>
      <w:r>
        <w:rPr>
          <w:rFonts w:hint="eastAsia" w:ascii="仿宋" w:hAnsi="仿宋" w:eastAsia="仿宋"/>
          <w:color w:val="auto"/>
          <w:sz w:val="24"/>
          <w:highlight w:val="none"/>
        </w:rPr>
        <w:t>．</w:t>
      </w:r>
      <w:r>
        <w:rPr>
          <w:rFonts w:hint="eastAsia" w:ascii="仿宋" w:hAnsi="仿宋" w:eastAsia="仿宋"/>
          <w:bCs w:val="0"/>
          <w:color w:val="auto"/>
          <w:sz w:val="24"/>
          <w:szCs w:val="24"/>
          <w:highlight w:val="none"/>
        </w:rPr>
        <w:t>评标专家在政府采购活动中应当遵守以下工作纪律：</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（一）遵行《政府采购法》第十二条和《政府采购法实施条例》第九条及财政部关于回避的规定。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（二）评标前，应当将通讯工具或者相关电子设备交由招标采购单位统一保管。</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（六）服从评标现场招标采购单位的现场秩序管理，接受评标现场监督人员的合法监督。</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color w:val="auto"/>
          <w:sz w:val="36"/>
          <w:szCs w:val="36"/>
          <w:highlight w:val="none"/>
        </w:rPr>
      </w:pPr>
      <w:bookmarkStart w:id="189" w:name="_Toc23042"/>
      <w:r>
        <w:rPr>
          <w:rFonts w:ascii="仿宋" w:hAnsi="仿宋" w:eastAsia="仿宋"/>
          <w:color w:val="auto"/>
          <w:sz w:val="36"/>
          <w:szCs w:val="36"/>
          <w:highlight w:val="none"/>
        </w:rPr>
        <w:br w:type="page"/>
      </w:r>
      <w:bookmarkStart w:id="190" w:name="_Toc20745"/>
      <w:r>
        <w:rPr>
          <w:rFonts w:hint="eastAsia" w:ascii="仿宋" w:hAnsi="仿宋" w:eastAsia="仿宋"/>
          <w:color w:val="auto"/>
          <w:sz w:val="36"/>
          <w:szCs w:val="36"/>
          <w:highlight w:val="none"/>
        </w:rPr>
        <w:t>第八章</w:t>
      </w:r>
      <w:r>
        <w:rPr>
          <w:rFonts w:ascii="仿宋" w:hAnsi="仿宋" w:eastAsia="仿宋"/>
          <w:color w:val="auto"/>
          <w:sz w:val="36"/>
          <w:szCs w:val="36"/>
          <w:highlight w:val="none"/>
        </w:rPr>
        <w:t xml:space="preserve">  </w:t>
      </w:r>
      <w:r>
        <w:rPr>
          <w:rFonts w:hint="eastAsia" w:ascii="仿宋" w:hAnsi="仿宋" w:eastAsia="仿宋"/>
          <w:color w:val="auto"/>
          <w:sz w:val="36"/>
          <w:szCs w:val="36"/>
          <w:highlight w:val="none"/>
        </w:rPr>
        <w:t>政府采购合同</w:t>
      </w:r>
      <w:bookmarkEnd w:id="189"/>
      <w:bookmarkEnd w:id="190"/>
    </w:p>
    <w:p>
      <w:pPr>
        <w:keepNext w:val="0"/>
        <w:keepLines w:val="0"/>
        <w:pageBreakBefore w:val="0"/>
        <w:widowControl w:val="0"/>
        <w:kinsoku/>
        <w:wordWrap/>
        <w:overflowPunct/>
        <w:topLinePunct w:val="0"/>
        <w:bidi w:val="0"/>
        <w:spacing w:after="0" w:line="360" w:lineRule="auto"/>
        <w:jc w:val="center"/>
        <w:textAlignment w:val="auto"/>
        <w:rPr>
          <w:rFonts w:ascii="方正小标宋简体" w:hAnsi="楷体" w:eastAsia="方正小标宋简体"/>
          <w:color w:val="auto"/>
          <w:sz w:val="44"/>
          <w:szCs w:val="44"/>
          <w:highlight w:val="none"/>
        </w:rPr>
      </w:pPr>
      <w:r>
        <w:rPr>
          <w:rFonts w:hint="eastAsia" w:ascii="方正小标宋简体" w:hAnsi="楷体" w:eastAsia="方正小标宋简体"/>
          <w:color w:val="auto"/>
          <w:sz w:val="44"/>
          <w:szCs w:val="44"/>
          <w:highlight w:val="none"/>
        </w:rPr>
        <w:t>【咨询服务】采购合同</w:t>
      </w:r>
    </w:p>
    <w:p>
      <w:pPr>
        <w:keepNext w:val="0"/>
        <w:keepLines w:val="0"/>
        <w:pageBreakBefore w:val="0"/>
        <w:widowControl w:val="0"/>
        <w:kinsoku/>
        <w:wordWrap/>
        <w:overflowPunct/>
        <w:topLinePunct w:val="0"/>
        <w:bidi w:val="0"/>
        <w:spacing w:after="0" w:line="360" w:lineRule="auto"/>
        <w:jc w:val="right"/>
        <w:textAlignment w:val="auto"/>
        <w:rPr>
          <w:rFonts w:ascii="楷体" w:hAnsi="楷体" w:eastAsia="楷体"/>
          <w:color w:val="auto"/>
          <w:sz w:val="32"/>
          <w:szCs w:val="32"/>
          <w:highlight w:val="none"/>
        </w:rPr>
      </w:pPr>
      <w:r>
        <w:rPr>
          <w:rFonts w:hint="eastAsia" w:ascii="楷体" w:hAnsi="楷体" w:eastAsia="楷体"/>
          <w:color w:val="auto"/>
          <w:sz w:val="32"/>
          <w:szCs w:val="32"/>
          <w:highlight w:val="none"/>
        </w:rPr>
        <w:t>编号：</w:t>
      </w:r>
    </w:p>
    <w:p>
      <w:pPr>
        <w:keepNext w:val="0"/>
        <w:keepLines w:val="0"/>
        <w:pageBreakBefore w:val="0"/>
        <w:widowControl w:val="0"/>
        <w:kinsoku/>
        <w:wordWrap/>
        <w:overflowPunct/>
        <w:topLinePunct w:val="0"/>
        <w:bidi w:val="0"/>
        <w:spacing w:after="0" w:line="360" w:lineRule="auto"/>
        <w:textAlignment w:val="auto"/>
        <w:rPr>
          <w:rFonts w:ascii="楷体" w:hAnsi="楷体" w:eastAsia="楷体"/>
          <w:color w:val="auto"/>
          <w:sz w:val="32"/>
          <w:szCs w:val="32"/>
          <w:highlight w:val="none"/>
          <w:u w:val="single"/>
        </w:rPr>
      </w:pPr>
      <w:r>
        <w:rPr>
          <w:rFonts w:hint="eastAsia" w:ascii="楷体" w:hAnsi="楷体" w:eastAsia="楷体"/>
          <w:color w:val="auto"/>
          <w:sz w:val="32"/>
          <w:szCs w:val="32"/>
          <w:highlight w:val="none"/>
        </w:rPr>
        <w:t>采购方（甲方）：</w:t>
      </w:r>
      <w:r>
        <w:rPr>
          <w:rFonts w:hint="eastAsia" w:ascii="楷体" w:hAnsi="楷体" w:eastAsia="楷体"/>
          <w:color w:val="auto"/>
          <w:sz w:val="32"/>
          <w:szCs w:val="32"/>
          <w:highlight w:val="none"/>
          <w:u w:val="single"/>
        </w:rPr>
        <w:t xml:space="preserve"> </w:t>
      </w:r>
      <w:r>
        <w:rPr>
          <w:rFonts w:ascii="楷体" w:hAnsi="楷体" w:eastAsia="楷体"/>
          <w:color w:val="auto"/>
          <w:sz w:val="32"/>
          <w:szCs w:val="32"/>
          <w:highlight w:val="none"/>
          <w:u w:val="single"/>
        </w:rPr>
        <w:t xml:space="preserve">                                </w:t>
      </w:r>
    </w:p>
    <w:p>
      <w:pPr>
        <w:keepNext w:val="0"/>
        <w:keepLines w:val="0"/>
        <w:pageBreakBefore w:val="0"/>
        <w:widowControl w:val="0"/>
        <w:kinsoku/>
        <w:wordWrap/>
        <w:overflowPunct/>
        <w:topLinePunct w:val="0"/>
        <w:bidi w:val="0"/>
        <w:spacing w:after="0" w:line="360" w:lineRule="auto"/>
        <w:textAlignment w:val="auto"/>
        <w:rPr>
          <w:rFonts w:ascii="楷体" w:hAnsi="楷体" w:eastAsia="楷体"/>
          <w:color w:val="auto"/>
          <w:sz w:val="32"/>
          <w:szCs w:val="32"/>
          <w:highlight w:val="none"/>
        </w:rPr>
      </w:pPr>
      <w:r>
        <w:rPr>
          <w:rFonts w:hint="eastAsia" w:ascii="楷体" w:hAnsi="楷体" w:eastAsia="楷体"/>
          <w:color w:val="auto"/>
          <w:sz w:val="32"/>
          <w:szCs w:val="32"/>
          <w:highlight w:val="none"/>
        </w:rPr>
        <w:t>供应商（乙方）：</w:t>
      </w:r>
      <w:r>
        <w:rPr>
          <w:rFonts w:hint="eastAsia" w:ascii="楷体" w:hAnsi="楷体" w:eastAsia="楷体"/>
          <w:color w:val="auto"/>
          <w:sz w:val="32"/>
          <w:szCs w:val="32"/>
          <w:highlight w:val="none"/>
          <w:u w:val="single"/>
        </w:rPr>
        <w:t xml:space="preserve"> </w:t>
      </w:r>
      <w:r>
        <w:rPr>
          <w:rFonts w:ascii="楷体" w:hAnsi="楷体" w:eastAsia="楷体"/>
          <w:color w:val="auto"/>
          <w:sz w:val="32"/>
          <w:szCs w:val="32"/>
          <w:highlight w:val="none"/>
          <w:u w:val="single"/>
        </w:rPr>
        <w:t xml:space="preserve">                                </w:t>
      </w:r>
    </w:p>
    <w:p>
      <w:pPr>
        <w:keepNext w:val="0"/>
        <w:keepLines w:val="0"/>
        <w:pageBreakBefore w:val="0"/>
        <w:widowControl w:val="0"/>
        <w:kinsoku/>
        <w:wordWrap/>
        <w:overflowPunct/>
        <w:topLinePunct w:val="0"/>
        <w:bidi w:val="0"/>
        <w:spacing w:after="0" w:line="360" w:lineRule="auto"/>
        <w:textAlignment w:val="auto"/>
        <w:rPr>
          <w:rFonts w:ascii="楷体" w:hAnsi="楷体" w:eastAsia="楷体"/>
          <w:color w:val="auto"/>
          <w:szCs w:val="28"/>
          <w:highlight w:val="none"/>
        </w:rPr>
      </w:pPr>
    </w:p>
    <w:p>
      <w:pPr>
        <w:keepNext w:val="0"/>
        <w:keepLines w:val="0"/>
        <w:pageBreakBefore w:val="0"/>
        <w:widowControl w:val="0"/>
        <w:kinsoku/>
        <w:wordWrap/>
        <w:overflowPunct/>
        <w:topLinePunct w:val="0"/>
        <w:bidi w:val="0"/>
        <w:spacing w:after="0" w:line="360" w:lineRule="auto"/>
        <w:ind w:firstLine="640" w:firstLineChars="20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根据《中华人民共和国政府采购法》《中华人民共和国民法典》等法律法规，以及【项目名称】的《招标文件》、《投标文件》及《中标通知书》等文件，甲、乙双方同意订立本合同。</w:t>
      </w:r>
    </w:p>
    <w:p>
      <w:pPr>
        <w:keepNext w:val="0"/>
        <w:keepLines w:val="0"/>
        <w:pageBreakBefore w:val="0"/>
        <w:widowControl w:val="0"/>
        <w:kinsoku/>
        <w:wordWrap/>
        <w:overflowPunct/>
        <w:topLinePunct w:val="0"/>
        <w:bidi w:val="0"/>
        <w:spacing w:after="0" w:line="360" w:lineRule="auto"/>
        <w:ind w:firstLine="640" w:firstLineChars="200"/>
        <w:textAlignment w:val="auto"/>
        <w:rPr>
          <w:rFonts w:ascii="Times New Roman" w:hAnsi="Times New Roman" w:eastAsia="方正仿宋"/>
          <w:color w:val="auto"/>
          <w:sz w:val="32"/>
          <w:szCs w:val="32"/>
          <w:highlight w:val="none"/>
        </w:rPr>
      </w:pP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hint="eastAsia" w:ascii="方正黑体" w:hAnsi="Times New Roman" w:eastAsia="方正黑体"/>
          <w:color w:val="auto"/>
          <w:sz w:val="32"/>
          <w:szCs w:val="32"/>
          <w:highlight w:val="none"/>
        </w:rPr>
        <w:t>服务内容</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乙方向甲方提供【】服务，在合同期内，乙方须遵循合同约定的工作内容，完成【】咨询服务任务，为甲方提出可实施、能落地的【】服务，并提交【】成果报告。</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服务周期</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服务周期：【】年，自本合同签订之日起计算。</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合同价款及支付方式</w:t>
      </w:r>
    </w:p>
    <w:p>
      <w:pPr>
        <w:pStyle w:val="45"/>
        <w:keepNext w:val="0"/>
        <w:keepLines w:val="0"/>
        <w:pageBreakBefore w:val="0"/>
        <w:widowControl w:val="0"/>
        <w:numPr>
          <w:ilvl w:val="1"/>
          <w:numId w:val="6"/>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本合同总价（含税）为人民币</w:t>
      </w:r>
      <w:r>
        <w:rPr>
          <w:rFonts w:eastAsia="方正仿宋" w:cs="Times New Roman"/>
          <w:color w:val="auto"/>
          <w:sz w:val="32"/>
          <w:szCs w:val="32"/>
          <w:highlight w:val="none"/>
          <w:u w:val="single"/>
        </w:rPr>
        <w:t xml:space="preserve">         （大写：     </w:t>
      </w:r>
      <w:r>
        <w:rPr>
          <w:rFonts w:eastAsia="方正仿宋" w:cs="Times New Roman"/>
          <w:color w:val="auto"/>
          <w:sz w:val="32"/>
          <w:szCs w:val="32"/>
          <w:highlight w:val="none"/>
        </w:rPr>
        <w:t>元），该合同总价已包含本次【】服务所产生的全部费用，包括且不限于为完成本合同约定工作内容所发生的成本、利润、管理费、税金、风险费等全部费用。</w:t>
      </w:r>
    </w:p>
    <w:p>
      <w:pPr>
        <w:pStyle w:val="45"/>
        <w:keepNext w:val="0"/>
        <w:keepLines w:val="0"/>
        <w:pageBreakBefore w:val="0"/>
        <w:widowControl w:val="0"/>
        <w:numPr>
          <w:ilvl w:val="1"/>
          <w:numId w:val="6"/>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付款方式：分两期支付</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3.2.1 第一期费用：自本合同签订之日起30个工作日内，甲方向乙方支付本合同总价的【】%；</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3.2.2 第二期费用：在本合同服务周期届满，且乙方提交的成果报告经验收合格后30个工作日内，甲方向乙方支付至本合同总价的100%。</w:t>
      </w:r>
    </w:p>
    <w:p>
      <w:pPr>
        <w:pStyle w:val="45"/>
        <w:keepNext w:val="0"/>
        <w:keepLines w:val="0"/>
        <w:pageBreakBefore w:val="0"/>
        <w:widowControl w:val="0"/>
        <w:numPr>
          <w:ilvl w:val="1"/>
          <w:numId w:val="6"/>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乙方应在甲方付款前向甲方提供</w:t>
      </w:r>
      <w:r>
        <w:rPr>
          <w:rFonts w:hint="eastAsia" w:eastAsia="方正仿宋" w:cs="Times New Roman"/>
          <w:color w:val="auto"/>
          <w:sz w:val="32"/>
          <w:szCs w:val="32"/>
          <w:highlight w:val="none"/>
        </w:rPr>
        <w:t>合法</w:t>
      </w:r>
      <w:r>
        <w:rPr>
          <w:rFonts w:eastAsia="方正仿宋" w:cs="Times New Roman"/>
          <w:color w:val="auto"/>
          <w:sz w:val="32"/>
          <w:szCs w:val="32"/>
          <w:highlight w:val="none"/>
        </w:rPr>
        <w:t>有效的发票，甲方在收到相应发票后15个工作日内付款。乙方若未能提供符合要求的发票，甲方有权拒绝付款，且不承担由此造成的任何违约责任。</w:t>
      </w:r>
    </w:p>
    <w:p>
      <w:pPr>
        <w:pStyle w:val="45"/>
        <w:keepNext w:val="0"/>
        <w:keepLines w:val="0"/>
        <w:pageBreakBefore w:val="0"/>
        <w:widowControl w:val="0"/>
        <w:numPr>
          <w:ilvl w:val="1"/>
          <w:numId w:val="6"/>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甲方应按上述条款的约定将合同款汇入乙方指定的汇款账户：</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开户行：</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开户名：</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账</w:t>
      </w:r>
      <w:r>
        <w:rPr>
          <w:rFonts w:hint="eastAsia" w:eastAsia="方正仿宋" w:cs="Times New Roman"/>
          <w:color w:val="auto"/>
          <w:sz w:val="32"/>
          <w:szCs w:val="32"/>
          <w:highlight w:val="none"/>
        </w:rPr>
        <w:t xml:space="preserve">  </w:t>
      </w:r>
      <w:r>
        <w:rPr>
          <w:rFonts w:eastAsia="方正仿宋" w:cs="Times New Roman"/>
          <w:color w:val="auto"/>
          <w:sz w:val="32"/>
          <w:szCs w:val="32"/>
          <w:highlight w:val="none"/>
        </w:rPr>
        <w:t>号：</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服务人员要求</w:t>
      </w:r>
    </w:p>
    <w:p>
      <w:pPr>
        <w:pStyle w:val="56"/>
        <w:keepNext w:val="0"/>
        <w:keepLines w:val="0"/>
        <w:pageBreakBefore w:val="0"/>
        <w:widowControl w:val="0"/>
        <w:numPr>
          <w:ilvl w:val="1"/>
          <w:numId w:val="7"/>
        </w:numPr>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乙方指派</w:t>
      </w:r>
      <w:r>
        <w:rPr>
          <w:rFonts w:ascii="Times New Roman" w:hAnsi="Times New Roman" w:eastAsia="方正仿宋"/>
          <w:color w:val="auto"/>
          <w:sz w:val="32"/>
          <w:szCs w:val="32"/>
          <w:highlight w:val="none"/>
          <w:u w:val="single"/>
        </w:rPr>
        <w:t xml:space="preserve">      （邮箱：【】，手机：【】）；      （邮箱：【】，手机：【】）为甲方提供【】的全程服务工作。</w:t>
      </w:r>
    </w:p>
    <w:p>
      <w:pPr>
        <w:pStyle w:val="56"/>
        <w:keepNext w:val="0"/>
        <w:keepLines w:val="0"/>
        <w:pageBreakBefore w:val="0"/>
        <w:widowControl w:val="0"/>
        <w:numPr>
          <w:ilvl w:val="1"/>
          <w:numId w:val="7"/>
        </w:numPr>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除因患病或个人原因离职的情形外，乙方不得随意更换本项目组人员，若需更换，应提前提出并与甲方协商确定，且更换后人员资历不得低于原人员。若双方在合作中，甲方对乙方个别人员的专业能力提出异议，乙方须根据甲方要求及时更换人员。</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成果提交及验收</w:t>
      </w:r>
    </w:p>
    <w:p>
      <w:pPr>
        <w:pStyle w:val="45"/>
        <w:keepNext w:val="0"/>
        <w:keepLines w:val="0"/>
        <w:pageBreakBefore w:val="0"/>
        <w:widowControl w:val="0"/>
        <w:numPr>
          <w:ilvl w:val="1"/>
          <w:numId w:val="8"/>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本项目实施服务各阶段需要进行确认的文档或交付成果等事项必须由甲方以书面形式进行确认。</w:t>
      </w:r>
    </w:p>
    <w:p>
      <w:pPr>
        <w:pStyle w:val="45"/>
        <w:keepNext w:val="0"/>
        <w:keepLines w:val="0"/>
        <w:pageBreakBefore w:val="0"/>
        <w:widowControl w:val="0"/>
        <w:numPr>
          <w:ilvl w:val="1"/>
          <w:numId w:val="8"/>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自乙方提交文档或交付成果之日起十个工作日内,甲方应对文档或交付成果进行确认。如果甲方认为乙方的实施服务不符合约定的，乙方应在三个工作日内做相应的改进并重新提交，甲方应在乙方重新提交之日起十个工作日内书面确认。</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甲方的权利义务</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甲方应按本合同约定时间按时足额支付货款。</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甲方应提供乙方所需的与本项目相关的资料，协助乙方开展相关工作。</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甲方有权随时了解掌握项目工作进度情况，并要求乙方按甲方要求修正方案。</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甲方认定乙方部分服务人员专业能力不符合本项目要求的，甲方有权根据项目实施情况要求乙方更换项目组成员。</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甲方有权组织对项目成果文件的验收并在支付完本合同项下全部费用后享有所有与本项目相关的成果文件及过程文件的知识产权。</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按照政府审计要求，甲方有权组织对项目的审计工作。</w:t>
      </w:r>
    </w:p>
    <w:p>
      <w:pPr>
        <w:pStyle w:val="45"/>
        <w:keepNext w:val="0"/>
        <w:keepLines w:val="0"/>
        <w:pageBreakBefore w:val="0"/>
        <w:widowControl w:val="0"/>
        <w:numPr>
          <w:ilvl w:val="1"/>
          <w:numId w:val="9"/>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乙方的权利义务</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乙方应严格按照投标文件组建项目团队，指定本项目负责人及联络人，与甲方人员沟通、确认项目工作，进行内部工作交接，严格按照本合同约定完成项目各阶段工作，并向甲方交付成果报告。</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服务期间，乙方应对项目的进度、质量、成果负责。严格按照本合同约定的工作内容及时间要求保质保量完成服务工作。</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乙方有义务协助甲方开展项目审计工作，配合提供项目决算表及相关发票。</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遵守本合同第十二条及第十三条所规定的知识产权及保密方面的义务。</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乙方不得将本合同转包、分包给第三人。</w:t>
      </w:r>
    </w:p>
    <w:p>
      <w:pPr>
        <w:pStyle w:val="56"/>
        <w:keepNext w:val="0"/>
        <w:keepLines w:val="0"/>
        <w:pageBreakBefore w:val="0"/>
        <w:widowControl w:val="0"/>
        <w:numPr>
          <w:ilvl w:val="1"/>
          <w:numId w:val="10"/>
        </w:numPr>
        <w:kinsoku/>
        <w:wordWrap/>
        <w:overflowPunct/>
        <w:topLinePunct w:val="0"/>
        <w:autoSpaceDE w:val="0"/>
        <w:autoSpaceDN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hint="eastAsia" w:ascii="方正黑体" w:hAnsi="Times New Roman" w:eastAsia="方正黑体"/>
          <w:color w:val="auto"/>
          <w:sz w:val="32"/>
          <w:szCs w:val="32"/>
          <w:highlight w:val="none"/>
        </w:rPr>
        <w:t>违约责任</w:t>
      </w:r>
    </w:p>
    <w:p>
      <w:pPr>
        <w:pStyle w:val="45"/>
        <w:keepNext w:val="0"/>
        <w:keepLines w:val="0"/>
        <w:pageBreakBefore w:val="0"/>
        <w:widowControl w:val="0"/>
        <w:numPr>
          <w:ilvl w:val="1"/>
          <w:numId w:val="11"/>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未按本合同约定日期向甲方提交成果报告的，应承担逾期交付的违约责任，每逾期一日，按本合同总价款的万分之五向甲方支付违约金。逾期超过【】日，甲方还有权解除合同，乙方除按前述方式应向甲方支付违约金外，还应退还甲方已支付的合同价款。</w:t>
      </w:r>
    </w:p>
    <w:p>
      <w:pPr>
        <w:pStyle w:val="45"/>
        <w:keepNext w:val="0"/>
        <w:keepLines w:val="0"/>
        <w:pageBreakBefore w:val="0"/>
        <w:widowControl w:val="0"/>
        <w:numPr>
          <w:ilvl w:val="1"/>
          <w:numId w:val="11"/>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 xml:space="preserve">乙方提交的成果报告不符合约定或经相关部门认定为不合格的，乙方应当在三个工作日内按照甲方要求重新出具合格报告，返工、修改期间发生的费用由乙方自行承担。由此导致逾期提交合格成果报告的，甲方有权按本合同第8.1款向乙方收取违约金。如果乙方在约定的时间内仍未能出具或出具的成果报告仍不合格的，甲方有权解除合同，乙方应当向甲方退还甲方已支付的合同价款，并支付合同总价20%违约金。 </w:t>
      </w:r>
    </w:p>
    <w:p>
      <w:pPr>
        <w:pStyle w:val="45"/>
        <w:keepNext w:val="0"/>
        <w:keepLines w:val="0"/>
        <w:pageBreakBefore w:val="0"/>
        <w:widowControl w:val="0"/>
        <w:numPr>
          <w:ilvl w:val="1"/>
          <w:numId w:val="11"/>
        </w:numPr>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乙方应向甲方支付的违约金，甲方有权在应付未付款中扣除，应付未付货款不足以弥补甲方损失的，甲方可继续向乙方追偿。</w:t>
      </w:r>
    </w:p>
    <w:p>
      <w:pPr>
        <w:pStyle w:val="45"/>
        <w:keepNext w:val="0"/>
        <w:keepLines w:val="0"/>
        <w:pageBreakBefore w:val="0"/>
        <w:widowControl w:val="0"/>
        <w:numPr>
          <w:ilvl w:val="1"/>
          <w:numId w:val="11"/>
        </w:numPr>
        <w:tabs>
          <w:tab w:val="left" w:pos="1276"/>
        </w:tabs>
        <w:kinsoku/>
        <w:wordWrap/>
        <w:overflowPunct/>
        <w:topLinePunct w:val="0"/>
        <w:bidi w:val="0"/>
        <w:spacing w:after="0" w:line="360" w:lineRule="auto"/>
        <w:ind w:left="0"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乙方违反本合同约定的，应承担甲方为维护其合法权益所支付的一切费用，包括但不限于诉讼费、保全费、律师费等。</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hint="eastAsia" w:ascii="方正黑体" w:hAnsi="Times New Roman" w:eastAsia="方正黑体"/>
          <w:color w:val="auto"/>
          <w:sz w:val="32"/>
          <w:szCs w:val="32"/>
          <w:highlight w:val="none"/>
        </w:rPr>
        <w:t>争议解决</w:t>
      </w:r>
    </w:p>
    <w:p>
      <w:pPr>
        <w:keepNext w:val="0"/>
        <w:keepLines w:val="0"/>
        <w:pageBreakBefore w:val="0"/>
        <w:widowControl w:val="0"/>
        <w:kinsoku/>
        <w:wordWrap/>
        <w:overflowPunct/>
        <w:topLinePunct w:val="0"/>
        <w:bidi w:val="0"/>
        <w:spacing w:after="0" w:line="360" w:lineRule="auto"/>
        <w:ind w:firstLine="640" w:firstLineChars="20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因本合同或执行本合同所引起的一切争议均应由甲乙双方通过友好协商的方式解决；协商不成时，任何一方可向甲方所在地人民法院提起诉讼。</w:t>
      </w:r>
    </w:p>
    <w:p>
      <w:pPr>
        <w:pStyle w:val="56"/>
        <w:keepNext w:val="0"/>
        <w:keepLines w:val="0"/>
        <w:pageBreakBefore w:val="0"/>
        <w:widowControl w:val="0"/>
        <w:numPr>
          <w:ilvl w:val="0"/>
          <w:numId w:val="5"/>
        </w:numPr>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通知与送达</w:t>
      </w:r>
    </w:p>
    <w:p>
      <w:pPr>
        <w:pStyle w:val="56"/>
        <w:keepNext w:val="0"/>
        <w:keepLines w:val="0"/>
        <w:pageBreakBefore w:val="0"/>
        <w:widowControl w:val="0"/>
        <w:numPr>
          <w:ilvl w:val="1"/>
          <w:numId w:val="12"/>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以本合同为目的或与之相关的任何通知均应以亲自递交、邮递或特快专递发至本合同第10.3条列明的联系地址和/或联系方式，否则不发生效力。如果拟接受通知的合同一方的联系地址和/或联系方式发生变更，则联系地址变更方应在发生变更情况之日起1日内以书面形式通知另一方。</w:t>
      </w:r>
    </w:p>
    <w:p>
      <w:pPr>
        <w:pStyle w:val="56"/>
        <w:keepNext w:val="0"/>
        <w:keepLines w:val="0"/>
        <w:pageBreakBefore w:val="0"/>
        <w:widowControl w:val="0"/>
        <w:numPr>
          <w:ilvl w:val="1"/>
          <w:numId w:val="12"/>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通知被视为送达的日期应按如下方法决定：</w:t>
      </w:r>
    </w:p>
    <w:p>
      <w:pPr>
        <w:pStyle w:val="56"/>
        <w:keepNext w:val="0"/>
        <w:keepLines w:val="0"/>
        <w:pageBreakBefore w:val="0"/>
        <w:widowControl w:val="0"/>
        <w:numPr>
          <w:ilvl w:val="2"/>
          <w:numId w:val="12"/>
        </w:numPr>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专人递交的通知在专人递交之时视为有效送达；</w:t>
      </w:r>
    </w:p>
    <w:p>
      <w:pPr>
        <w:pStyle w:val="56"/>
        <w:keepNext w:val="0"/>
        <w:keepLines w:val="0"/>
        <w:pageBreakBefore w:val="0"/>
        <w:widowControl w:val="0"/>
        <w:numPr>
          <w:ilvl w:val="2"/>
          <w:numId w:val="12"/>
        </w:numPr>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以挂号信件发出的通知，应在寄出日（以邮戳为准）后第7日视为有效送达；</w:t>
      </w:r>
    </w:p>
    <w:p>
      <w:pPr>
        <w:pStyle w:val="56"/>
        <w:keepNext w:val="0"/>
        <w:keepLines w:val="0"/>
        <w:pageBreakBefore w:val="0"/>
        <w:widowControl w:val="0"/>
        <w:numPr>
          <w:ilvl w:val="2"/>
          <w:numId w:val="12"/>
        </w:numPr>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以快递发送的通知应于交予合法的快递服务发送后第3日视为有效送达。</w:t>
      </w:r>
    </w:p>
    <w:p>
      <w:pPr>
        <w:pStyle w:val="56"/>
        <w:keepNext w:val="0"/>
        <w:keepLines w:val="0"/>
        <w:pageBreakBefore w:val="0"/>
        <w:widowControl w:val="0"/>
        <w:numPr>
          <w:ilvl w:val="1"/>
          <w:numId w:val="12"/>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双方承诺签订本合同时提供的有效联系地址为：</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 xml:space="preserve">甲方： </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地址：</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 xml:space="preserve">电话：              </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 xml:space="preserve">乙方：           </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地址：</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 xml:space="preserve">电话：              </w:t>
      </w:r>
    </w:p>
    <w:p>
      <w:pPr>
        <w:pStyle w:val="56"/>
        <w:keepNext w:val="0"/>
        <w:keepLines w:val="0"/>
        <w:pageBreakBefore w:val="0"/>
        <w:widowControl w:val="0"/>
        <w:kinsoku/>
        <w:wordWrap/>
        <w:overflowPunct/>
        <w:topLinePunct w:val="0"/>
        <w:bidi w:val="0"/>
        <w:spacing w:after="0" w:line="360" w:lineRule="auto"/>
        <w:ind w:firstLine="640"/>
        <w:textAlignment w:val="auto"/>
        <w:rPr>
          <w:rFonts w:ascii="Times New Roman" w:hAnsi="Times New Roman" w:eastAsia="方正仿宋"/>
          <w:color w:val="auto"/>
          <w:sz w:val="32"/>
          <w:szCs w:val="32"/>
          <w:highlight w:val="none"/>
        </w:rPr>
      </w:pPr>
    </w:p>
    <w:p>
      <w:pPr>
        <w:pStyle w:val="56"/>
        <w:keepNext w:val="0"/>
        <w:keepLines w:val="0"/>
        <w:pageBreakBefore w:val="0"/>
        <w:widowControl w:val="0"/>
        <w:numPr>
          <w:ilvl w:val="0"/>
          <w:numId w:val="5"/>
        </w:numPr>
        <w:tabs>
          <w:tab w:val="left" w:pos="1843"/>
        </w:tabs>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不可抗力</w:t>
      </w:r>
    </w:p>
    <w:p>
      <w:pPr>
        <w:pStyle w:val="56"/>
        <w:keepNext w:val="0"/>
        <w:keepLines w:val="0"/>
        <w:pageBreakBefore w:val="0"/>
        <w:widowControl w:val="0"/>
        <w:numPr>
          <w:ilvl w:val="1"/>
          <w:numId w:val="13"/>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不可抗力是指不能预见、不能避免并不能克服的客观情况</w:t>
      </w:r>
      <w:r>
        <w:rPr>
          <w:rFonts w:hint="eastAsia" w:ascii="Times New Roman" w:hAnsi="Times New Roman" w:eastAsia="方正仿宋"/>
          <w:color w:val="auto"/>
          <w:sz w:val="32"/>
          <w:szCs w:val="32"/>
          <w:highlight w:val="none"/>
        </w:rPr>
        <w:t>，</w:t>
      </w:r>
      <w:r>
        <w:rPr>
          <w:rFonts w:ascii="Times New Roman" w:hAnsi="Times New Roman" w:eastAsia="方正仿宋"/>
          <w:color w:val="auto"/>
          <w:sz w:val="32"/>
          <w:szCs w:val="32"/>
          <w:highlight w:val="none"/>
        </w:rPr>
        <w:t>对于市场环境变化、乙方经营状况严重恶化及生产安排不周等情形，包括战争、严重火灾、水灾、台风，地震等人力不可抗拒的因素引起的延误和影响无论严重程度如何，均不理解为不可抗力。</w:t>
      </w:r>
    </w:p>
    <w:p>
      <w:pPr>
        <w:pStyle w:val="56"/>
        <w:keepNext w:val="0"/>
        <w:keepLines w:val="0"/>
        <w:pageBreakBefore w:val="0"/>
        <w:widowControl w:val="0"/>
        <w:numPr>
          <w:ilvl w:val="1"/>
          <w:numId w:val="13"/>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当甲方或乙方因不可抗力的影响不能履行合同时，履行合同的时间将予以顺延，延长期与不可抗力影响期相同但合同价格不因此而改变。</w:t>
      </w:r>
    </w:p>
    <w:p>
      <w:pPr>
        <w:pStyle w:val="56"/>
        <w:keepNext w:val="0"/>
        <w:keepLines w:val="0"/>
        <w:pageBreakBefore w:val="0"/>
        <w:widowControl w:val="0"/>
        <w:numPr>
          <w:ilvl w:val="1"/>
          <w:numId w:val="13"/>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不可抗力发生后，受影响方应立即将不可抗力发生的情况通知另一方，双方应努力采取必要措施，密切配合减少不可抗力的影响。不可抗力的影响消除后应立即通知另一方。</w:t>
      </w:r>
    </w:p>
    <w:p>
      <w:pPr>
        <w:pStyle w:val="56"/>
        <w:keepNext w:val="0"/>
        <w:keepLines w:val="0"/>
        <w:pageBreakBefore w:val="0"/>
        <w:widowControl w:val="0"/>
        <w:numPr>
          <w:ilvl w:val="1"/>
          <w:numId w:val="13"/>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甲、乙任何一方如确因不可抗力的原因，不能履行本合同时，应及时向对方通知不能履行或须延期履行、部分履行合同的理由。在取得对方主管机关证明后，本合同可以不履行或延期履行或部分履行，并免予承担违约责任。</w:t>
      </w:r>
    </w:p>
    <w:p>
      <w:pPr>
        <w:pStyle w:val="56"/>
        <w:keepNext w:val="0"/>
        <w:keepLines w:val="0"/>
        <w:pageBreakBefore w:val="0"/>
        <w:widowControl w:val="0"/>
        <w:numPr>
          <w:ilvl w:val="0"/>
          <w:numId w:val="5"/>
        </w:numPr>
        <w:tabs>
          <w:tab w:val="left" w:pos="1843"/>
        </w:tabs>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知识产权</w:t>
      </w:r>
    </w:p>
    <w:p>
      <w:pPr>
        <w:pStyle w:val="45"/>
        <w:keepNext w:val="0"/>
        <w:keepLines w:val="0"/>
        <w:pageBreakBefore w:val="0"/>
        <w:widowControl w:val="0"/>
        <w:kinsoku/>
        <w:wordWrap/>
        <w:overflowPunct/>
        <w:topLinePunct w:val="0"/>
        <w:bidi w:val="0"/>
        <w:spacing w:after="0" w:line="360" w:lineRule="auto"/>
        <w:ind w:firstLine="640"/>
        <w:textAlignment w:val="auto"/>
        <w:rPr>
          <w:rFonts w:eastAsia="方正仿宋" w:cs="Times New Roman"/>
          <w:color w:val="auto"/>
          <w:sz w:val="32"/>
          <w:szCs w:val="32"/>
          <w:highlight w:val="none"/>
        </w:rPr>
      </w:pPr>
      <w:r>
        <w:rPr>
          <w:rFonts w:eastAsia="方正仿宋" w:cs="Times New Roman"/>
          <w:color w:val="auto"/>
          <w:sz w:val="32"/>
          <w:szCs w:val="32"/>
          <w:highlight w:val="none"/>
        </w:rPr>
        <w:t>乙方提供给甲方使用的成果报告不应侵犯任何第三方的知识产权。如果发生任何第三方索赔、指控或诉讼的情形，乙方应承担由此引起的全部法律责任和经济责任。</w:t>
      </w:r>
    </w:p>
    <w:p>
      <w:pPr>
        <w:pStyle w:val="56"/>
        <w:keepNext w:val="0"/>
        <w:keepLines w:val="0"/>
        <w:pageBreakBefore w:val="0"/>
        <w:widowControl w:val="0"/>
        <w:numPr>
          <w:ilvl w:val="0"/>
          <w:numId w:val="5"/>
        </w:numPr>
        <w:tabs>
          <w:tab w:val="left" w:pos="1843"/>
        </w:tabs>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保密</w:t>
      </w:r>
    </w:p>
    <w:p>
      <w:pPr>
        <w:pStyle w:val="56"/>
        <w:keepNext w:val="0"/>
        <w:keepLines w:val="0"/>
        <w:pageBreakBefore w:val="0"/>
        <w:widowControl w:val="0"/>
        <w:numPr>
          <w:ilvl w:val="1"/>
          <w:numId w:val="14"/>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甲方交给乙方的所有相关业务和技术方面的书面或其它形式的资料和信息都为保密资料。乙方未经甲方书面同意不得向第三方（包括新闻媒体）公开和披露任何保密资料或以其他方式使用保密资料。乙方须确保其工作人员不向第三方（包括新闻媒体）公开或披露任何保密资料或以其它方式使用保密资料。</w:t>
      </w:r>
    </w:p>
    <w:p>
      <w:pPr>
        <w:pStyle w:val="56"/>
        <w:keepNext w:val="0"/>
        <w:keepLines w:val="0"/>
        <w:pageBreakBefore w:val="0"/>
        <w:widowControl w:val="0"/>
        <w:numPr>
          <w:ilvl w:val="1"/>
          <w:numId w:val="14"/>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一方未行使、迟延行使或部分行使其权利，并不意味该保密义务被放弃；某一权利不行使并不意味着其它权利被放弃。</w:t>
      </w:r>
    </w:p>
    <w:p>
      <w:pPr>
        <w:pStyle w:val="56"/>
        <w:keepNext w:val="0"/>
        <w:keepLines w:val="0"/>
        <w:pageBreakBefore w:val="0"/>
        <w:widowControl w:val="0"/>
        <w:numPr>
          <w:ilvl w:val="1"/>
          <w:numId w:val="14"/>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如乙方违反本保密义务，甲方有权采取其它必要的补救措施，由乙方承担由此产生的合理费用，并赔偿甲方经济损失。</w:t>
      </w:r>
    </w:p>
    <w:p>
      <w:pPr>
        <w:pStyle w:val="56"/>
        <w:keepNext w:val="0"/>
        <w:keepLines w:val="0"/>
        <w:pageBreakBefore w:val="0"/>
        <w:widowControl w:val="0"/>
        <w:numPr>
          <w:ilvl w:val="1"/>
          <w:numId w:val="14"/>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双方对知识产权和保密所承担的义务，无论本合同变更、解除或终止，其知识产权及保密义务仍然有效。</w:t>
      </w:r>
    </w:p>
    <w:p>
      <w:pPr>
        <w:pStyle w:val="56"/>
        <w:keepNext w:val="0"/>
        <w:keepLines w:val="0"/>
        <w:pageBreakBefore w:val="0"/>
        <w:widowControl w:val="0"/>
        <w:numPr>
          <w:ilvl w:val="0"/>
          <w:numId w:val="5"/>
        </w:numPr>
        <w:tabs>
          <w:tab w:val="left" w:pos="1843"/>
        </w:tabs>
        <w:kinsoku/>
        <w:wordWrap/>
        <w:overflowPunct/>
        <w:topLinePunct w:val="0"/>
        <w:bidi w:val="0"/>
        <w:adjustRightInd/>
        <w:snapToGrid/>
        <w:spacing w:after="0" w:line="360" w:lineRule="auto"/>
        <w:ind w:left="0" w:firstLine="640"/>
        <w:textAlignment w:val="auto"/>
        <w:rPr>
          <w:rFonts w:ascii="方正黑体" w:hAnsi="Times New Roman" w:eastAsia="方正黑体"/>
          <w:color w:val="auto"/>
          <w:sz w:val="32"/>
          <w:szCs w:val="32"/>
          <w:highlight w:val="none"/>
        </w:rPr>
      </w:pPr>
      <w:r>
        <w:rPr>
          <w:rFonts w:ascii="方正黑体" w:hAnsi="Times New Roman" w:eastAsia="方正黑体"/>
          <w:color w:val="auto"/>
          <w:sz w:val="32"/>
          <w:szCs w:val="32"/>
          <w:highlight w:val="none"/>
        </w:rPr>
        <w:t>其他</w:t>
      </w:r>
    </w:p>
    <w:p>
      <w:pPr>
        <w:pStyle w:val="56"/>
        <w:keepNext w:val="0"/>
        <w:keepLines w:val="0"/>
        <w:pageBreakBefore w:val="0"/>
        <w:widowControl w:val="0"/>
        <w:numPr>
          <w:ilvl w:val="1"/>
          <w:numId w:val="15"/>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本合同自甲乙双方法定代表人或授权代表签字或加盖公章之日起生效。</w:t>
      </w:r>
    </w:p>
    <w:p>
      <w:pPr>
        <w:pStyle w:val="56"/>
        <w:keepNext w:val="0"/>
        <w:keepLines w:val="0"/>
        <w:pageBreakBefore w:val="0"/>
        <w:widowControl w:val="0"/>
        <w:numPr>
          <w:ilvl w:val="1"/>
          <w:numId w:val="15"/>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本合同适用中华人民共和国法律，并依据中华人民共和国法律解释。</w:t>
      </w:r>
    </w:p>
    <w:p>
      <w:pPr>
        <w:pStyle w:val="56"/>
        <w:keepNext w:val="0"/>
        <w:keepLines w:val="0"/>
        <w:pageBreakBefore w:val="0"/>
        <w:widowControl w:val="0"/>
        <w:numPr>
          <w:ilvl w:val="1"/>
          <w:numId w:val="15"/>
        </w:numPr>
        <w:tabs>
          <w:tab w:val="left" w:pos="1418"/>
        </w:tabs>
        <w:kinsoku/>
        <w:wordWrap/>
        <w:overflowPunct/>
        <w:topLinePunct w:val="0"/>
        <w:bidi w:val="0"/>
        <w:adjustRightInd/>
        <w:snapToGrid/>
        <w:spacing w:after="0" w:line="360" w:lineRule="auto"/>
        <w:ind w:left="0" w:firstLine="640"/>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本合同一式【】份，甲方【】份，乙方【】份。</w:t>
      </w: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甲方（盖章）：                  乙方（盖章）：</w:t>
      </w: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r>
        <w:rPr>
          <w:rFonts w:ascii="Times New Roman" w:hAnsi="Times New Roman" w:eastAsia="方正仿宋"/>
          <w:color w:val="auto"/>
          <w:sz w:val="32"/>
          <w:szCs w:val="32"/>
          <w:highlight w:val="none"/>
        </w:rPr>
        <w:t>法定代表人或授权代表：          法定代表人或授权代表：</w:t>
      </w:r>
    </w:p>
    <w:p>
      <w:pPr>
        <w:keepNext w:val="0"/>
        <w:keepLines w:val="0"/>
        <w:pageBreakBefore w:val="0"/>
        <w:widowControl w:val="0"/>
        <w:kinsoku/>
        <w:wordWrap/>
        <w:overflowPunct/>
        <w:topLinePunct w:val="0"/>
        <w:bidi w:val="0"/>
        <w:spacing w:after="0" w:line="360" w:lineRule="auto"/>
        <w:textAlignment w:val="auto"/>
        <w:rPr>
          <w:rFonts w:ascii="Times New Roman" w:hAnsi="Times New Roman" w:eastAsia="方正仿宋"/>
          <w:color w:val="auto"/>
          <w:sz w:val="32"/>
          <w:szCs w:val="32"/>
          <w:highlight w:val="none"/>
        </w:rPr>
      </w:pPr>
    </w:p>
    <w:p>
      <w:pPr>
        <w:pStyle w:val="2"/>
        <w:keepNext w:val="0"/>
        <w:keepLines w:val="0"/>
        <w:pageBreakBefore w:val="0"/>
        <w:widowControl w:val="0"/>
        <w:kinsoku/>
        <w:wordWrap/>
        <w:overflowPunct/>
        <w:topLinePunct w:val="0"/>
        <w:bidi w:val="0"/>
        <w:spacing w:after="0" w:afterLines="0" w:line="360" w:lineRule="auto"/>
        <w:textAlignment w:val="auto"/>
        <w:rPr>
          <w:color w:val="auto"/>
          <w:highlight w:val="none"/>
        </w:rPr>
        <w:sectPr>
          <w:pgSz w:w="11905" w:h="16838"/>
          <w:pgMar w:top="1440" w:right="1474" w:bottom="1440" w:left="1474" w:header="425" w:footer="992" w:gutter="0"/>
          <w:pgNumType w:fmt="decimal"/>
          <w:cols w:space="0" w:num="1"/>
          <w:titlePg/>
          <w:rtlGutter w:val="0"/>
          <w:docGrid w:linePitch="312" w:charSpace="0"/>
        </w:sectPr>
      </w:pPr>
      <w:r>
        <w:rPr>
          <w:rFonts w:ascii="Times New Roman" w:hAnsi="Times New Roman" w:eastAsia="方正仿宋"/>
          <w:color w:val="auto"/>
          <w:sz w:val="32"/>
          <w:szCs w:val="32"/>
          <w:highlight w:val="none"/>
        </w:rPr>
        <w:t>合同签订日期：【】年【】月【】日</w:t>
      </w:r>
    </w:p>
    <w:bookmarkEnd w:id="31"/>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附件一：川财采</w:t>
      </w:r>
      <w:r>
        <w:rPr>
          <w:rFonts w:hint="eastAsia" w:ascii="仿宋" w:hAnsi="仿宋" w:eastAsia="仿宋" w:cs="Times New Roman"/>
          <w:b/>
          <w:bCs w:val="0"/>
          <w:color w:val="auto"/>
          <w:sz w:val="32"/>
          <w:szCs w:val="32"/>
          <w:highlight w:val="none"/>
        </w:rPr>
        <w:t>〔</w:t>
      </w:r>
      <w:r>
        <w:rPr>
          <w:rFonts w:hint="eastAsia" w:ascii="仿宋" w:hAnsi="仿宋" w:eastAsia="仿宋" w:cs="Times New Roman"/>
          <w:b/>
          <w:color w:val="auto"/>
          <w:sz w:val="32"/>
          <w:szCs w:val="32"/>
          <w:highlight w:val="none"/>
          <w:lang w:val="en-US" w:eastAsia="zh-CN"/>
        </w:rPr>
        <w:t>20</w:t>
      </w:r>
      <w:r>
        <w:rPr>
          <w:rFonts w:hint="eastAsia" w:ascii="仿宋" w:hAnsi="仿宋" w:cs="Times New Roman"/>
          <w:b/>
          <w:color w:val="auto"/>
          <w:sz w:val="32"/>
          <w:szCs w:val="32"/>
          <w:highlight w:val="none"/>
          <w:lang w:val="en-US" w:eastAsia="zh-CN"/>
        </w:rPr>
        <w:t>18</w:t>
      </w:r>
      <w:r>
        <w:rPr>
          <w:rFonts w:hint="eastAsia" w:ascii="仿宋" w:hAnsi="仿宋" w:eastAsia="仿宋" w:cs="Times New Roman"/>
          <w:b/>
          <w:bCs w:val="0"/>
          <w:color w:val="auto"/>
          <w:sz w:val="32"/>
          <w:szCs w:val="32"/>
          <w:highlight w:val="none"/>
        </w:rPr>
        <w:t>〕</w:t>
      </w:r>
      <w:r>
        <w:rPr>
          <w:rFonts w:hint="eastAsia" w:ascii="仿宋" w:hAnsi="仿宋" w:eastAsia="仿宋"/>
          <w:b/>
          <w:color w:val="auto"/>
          <w:sz w:val="32"/>
          <w:szCs w:val="32"/>
          <w:highlight w:val="none"/>
          <w:lang w:val="en-US" w:eastAsia="zh-CN"/>
        </w:rPr>
        <w:t>123号</w:t>
      </w:r>
    </w:p>
    <w:p>
      <w:pPr>
        <w:rPr>
          <w:rFonts w:ascii="仿宋" w:hAnsi="仿宋"/>
          <w:color w:val="auto"/>
          <w:highlight w:val="none"/>
        </w:rPr>
      </w:pPr>
      <w:r>
        <w:rPr>
          <w:rFonts w:ascii="仿宋" w:hAnsi="仿宋"/>
          <w:color w:val="auto"/>
          <w:highlight w:val="none"/>
        </w:rPr>
        <w:drawing>
          <wp:inline distT="0" distB="0" distL="0" distR="0">
            <wp:extent cx="5666740" cy="8050530"/>
            <wp:effectExtent l="0" t="0" r="2540" b="1143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66740" cy="8050530"/>
                    </a:xfrm>
                    <a:prstGeom prst="rect">
                      <a:avLst/>
                    </a:prstGeom>
                    <a:noFill/>
                    <a:ln>
                      <a:noFill/>
                    </a:ln>
                  </pic:spPr>
                </pic:pic>
              </a:graphicData>
            </a:graphic>
          </wp:inline>
        </w:drawing>
      </w:r>
    </w:p>
    <w:p>
      <w:pPr>
        <w:rPr>
          <w:rFonts w:ascii="仿宋" w:hAnsi="仿宋"/>
          <w:color w:val="auto"/>
          <w:highlight w:val="none"/>
        </w:rPr>
      </w:pPr>
      <w:r>
        <w:rPr>
          <w:rFonts w:ascii="仿宋" w:hAnsi="仿宋"/>
          <w:color w:val="auto"/>
          <w:highlight w:val="none"/>
        </w:rPr>
        <w:drawing>
          <wp:inline distT="0" distB="0" distL="0" distR="0">
            <wp:extent cx="5796915" cy="8134985"/>
            <wp:effectExtent l="0" t="0" r="13335" b="18415"/>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37220"/>
            <wp:effectExtent l="0" t="0" r="2540" b="1143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279765"/>
            <wp:effectExtent l="0" t="0" r="2540" b="6985"/>
            <wp:docPr id="28" name="图片 28"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color w:val="auto"/>
          <w:highlight w:val="none"/>
        </w:rPr>
        <w:br w:type="page"/>
      </w:r>
    </w:p>
    <w:p>
      <w:pPr>
        <w:rPr>
          <w:rFonts w:ascii="仿宋" w:hAnsi="仿宋"/>
          <w:color w:val="auto"/>
          <w:highlight w:val="none"/>
        </w:rPr>
      </w:pPr>
      <w:r>
        <w:rPr>
          <w:rFonts w:ascii="仿宋" w:hAnsi="仿宋"/>
          <w:color w:val="auto"/>
          <w:highlight w:val="none"/>
        </w:rPr>
        <w:drawing>
          <wp:inline distT="0" distB="0" distL="0" distR="0">
            <wp:extent cx="5941060" cy="8197850"/>
            <wp:effectExtent l="0" t="0" r="2540" b="1270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color w:val="auto"/>
          <w:highlight w:val="none"/>
        </w:rPr>
        <w:drawing>
          <wp:inline distT="0" distB="0" distL="0" distR="0">
            <wp:extent cx="5941060" cy="8289290"/>
            <wp:effectExtent l="0" t="0" r="2540" b="1651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br w:type="page"/>
      </w:r>
    </w:p>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附件二：成财采〔20</w:t>
      </w:r>
      <w:r>
        <w:rPr>
          <w:rFonts w:hint="eastAsia" w:ascii="仿宋" w:hAnsi="仿宋"/>
          <w:b/>
          <w:color w:val="auto"/>
          <w:sz w:val="32"/>
          <w:szCs w:val="32"/>
          <w:highlight w:val="none"/>
          <w:lang w:val="en-US" w:eastAsia="zh-CN"/>
        </w:rPr>
        <w:t>19</w:t>
      </w:r>
      <w:r>
        <w:rPr>
          <w:rFonts w:hint="eastAsia" w:ascii="仿宋" w:hAnsi="仿宋" w:eastAsia="仿宋"/>
          <w:b/>
          <w:color w:val="auto"/>
          <w:sz w:val="32"/>
          <w:szCs w:val="32"/>
          <w:highlight w:val="none"/>
          <w:lang w:val="en-US" w:eastAsia="zh-CN"/>
        </w:rPr>
        <w:t>〕17号</w:t>
      </w:r>
    </w:p>
    <w:p>
      <w:pPr>
        <w:rPr>
          <w:rFonts w:ascii="仿宋" w:hAnsi="仿宋"/>
          <w:color w:val="auto"/>
          <w:highlight w:val="none"/>
        </w:rPr>
      </w:pPr>
      <w:r>
        <w:rPr>
          <w:rFonts w:hint="eastAsia" w:ascii="仿宋" w:hAnsi="仿宋"/>
          <w:color w:val="auto"/>
          <w:highlight w:val="none"/>
        </w:rPr>
        <w:drawing>
          <wp:inline distT="0" distB="0" distL="0" distR="0">
            <wp:extent cx="5971540" cy="7998460"/>
            <wp:effectExtent l="0" t="0" r="1016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10580" cy="8364220"/>
            <wp:effectExtent l="0" t="0" r="1397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30900" cy="7664450"/>
            <wp:effectExtent l="0" t="0" r="12700"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59780" cy="7603490"/>
            <wp:effectExtent l="0" t="0" r="762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75655" cy="8314690"/>
            <wp:effectExtent l="0" t="0" r="10795" b="10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70905" cy="8053705"/>
            <wp:effectExtent l="0" t="0" r="10795"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color w:val="auto"/>
          <w:highlight w:val="none"/>
        </w:rPr>
      </w:pPr>
      <w:r>
        <w:rPr>
          <w:rFonts w:hint="eastAsia" w:ascii="仿宋" w:hAnsi="仿宋"/>
          <w:color w:val="auto"/>
          <w:highlight w:val="none"/>
        </w:rPr>
        <w:drawing>
          <wp:inline distT="0" distB="0" distL="0" distR="0">
            <wp:extent cx="5920105" cy="8364220"/>
            <wp:effectExtent l="0" t="0" r="444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68035" cy="7672705"/>
            <wp:effectExtent l="0" t="0" r="1841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6010910" cy="7740015"/>
            <wp:effectExtent l="0" t="0" r="8890" b="133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r>
        <w:rPr>
          <w:rFonts w:hint="eastAsia" w:ascii="仿宋" w:hAnsi="仿宋"/>
          <w:color w:val="auto"/>
          <w:highlight w:val="none"/>
        </w:rPr>
        <w:drawing>
          <wp:inline distT="0" distB="0" distL="0" distR="0">
            <wp:extent cx="5899785" cy="8348980"/>
            <wp:effectExtent l="0" t="0" r="5715" b="139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color w:val="auto"/>
          <w:highlight w:val="none"/>
        </w:rPr>
      </w:pPr>
    </w:p>
    <w:p>
      <w:pPr>
        <w:rPr>
          <w:rFonts w:ascii="仿宋" w:hAnsi="仿宋"/>
          <w:color w:val="auto"/>
          <w:highlight w:val="none"/>
        </w:rPr>
      </w:pPr>
    </w:p>
    <w:p>
      <w:pPr>
        <w:rPr>
          <w:rFonts w:hint="eastAsia" w:ascii="仿宋" w:hAnsi="仿宋"/>
          <w:color w:val="auto"/>
          <w:highlight w:val="none"/>
        </w:rPr>
      </w:pPr>
      <w:r>
        <w:rPr>
          <w:rFonts w:hint="eastAsia" w:ascii="仿宋" w:hAnsi="仿宋"/>
          <w:color w:val="auto"/>
          <w:highlight w:val="none"/>
        </w:rPr>
        <w:drawing>
          <wp:inline distT="0" distB="0" distL="0" distR="0">
            <wp:extent cx="5970905" cy="7463790"/>
            <wp:effectExtent l="0" t="0" r="10795"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9"/>
        <w:ind w:firstLine="0"/>
        <w:rPr>
          <w:rFonts w:hint="eastAsia" w:ascii="仿宋" w:hAnsi="仿宋"/>
          <w:color w:val="auto"/>
          <w:highlight w:val="none"/>
        </w:rPr>
      </w:pPr>
    </w:p>
    <w:p>
      <w:pPr>
        <w:pStyle w:val="9"/>
        <w:ind w:firstLine="0"/>
        <w:rPr>
          <w:rFonts w:hint="eastAsia" w:ascii="仿宋" w:hAnsi="仿宋"/>
          <w:color w:val="auto"/>
          <w:highlight w:val="none"/>
        </w:rPr>
      </w:pPr>
    </w:p>
    <w:p>
      <w:pPr>
        <w:widowControl/>
        <w:spacing w:line="360" w:lineRule="atLeast"/>
        <w:jc w:val="left"/>
        <w:outlineLvl w:val="1"/>
        <w:rPr>
          <w:rFonts w:hint="eastAsia" w:ascii="仿宋" w:hAnsi="仿宋" w:eastAsia="仿宋"/>
          <w:b/>
          <w:color w:val="auto"/>
          <w:sz w:val="32"/>
          <w:szCs w:val="32"/>
          <w:highlight w:val="none"/>
          <w:lang w:val="en-US" w:eastAsia="zh-CN"/>
        </w:rPr>
      </w:pPr>
      <w:r>
        <w:rPr>
          <w:rFonts w:hint="eastAsia" w:ascii="仿宋" w:hAnsi="仿宋" w:eastAsia="仿宋"/>
          <w:b/>
          <w:color w:val="auto"/>
          <w:sz w:val="32"/>
          <w:szCs w:val="32"/>
          <w:highlight w:val="none"/>
          <w:lang w:val="en-US" w:eastAsia="zh-CN"/>
        </w:rPr>
        <w:t>附件</w:t>
      </w:r>
      <w:r>
        <w:rPr>
          <w:rFonts w:hint="eastAsia" w:ascii="仿宋" w:hAnsi="仿宋"/>
          <w:b/>
          <w:color w:val="auto"/>
          <w:sz w:val="32"/>
          <w:szCs w:val="32"/>
          <w:highlight w:val="none"/>
          <w:lang w:val="en-US" w:eastAsia="zh-CN"/>
        </w:rPr>
        <w:t>三</w:t>
      </w:r>
      <w:r>
        <w:rPr>
          <w:rFonts w:hint="eastAsia" w:ascii="仿宋" w:hAnsi="仿宋" w:eastAsia="仿宋"/>
          <w:b/>
          <w:color w:val="auto"/>
          <w:sz w:val="32"/>
          <w:szCs w:val="32"/>
          <w:highlight w:val="none"/>
          <w:lang w:val="en-US" w:eastAsia="zh-CN"/>
        </w:rPr>
        <w:t>：成财采</w:t>
      </w:r>
      <w:r>
        <w:rPr>
          <w:rFonts w:hint="eastAsia" w:ascii="仿宋" w:hAnsi="仿宋" w:eastAsia="仿宋" w:cs="Times New Roman"/>
          <w:b/>
          <w:bCs w:val="0"/>
          <w:color w:val="auto"/>
          <w:sz w:val="32"/>
          <w:szCs w:val="32"/>
          <w:highlight w:val="none"/>
        </w:rPr>
        <w:t>〔</w:t>
      </w:r>
      <w:r>
        <w:rPr>
          <w:rFonts w:hint="eastAsia" w:ascii="仿宋" w:hAnsi="仿宋" w:eastAsia="仿宋"/>
          <w:b/>
          <w:color w:val="auto"/>
          <w:sz w:val="32"/>
          <w:szCs w:val="32"/>
          <w:highlight w:val="none"/>
          <w:lang w:val="en-US" w:eastAsia="zh-CN"/>
        </w:rPr>
        <w:t>20</w:t>
      </w:r>
      <w:r>
        <w:rPr>
          <w:rFonts w:hint="eastAsia" w:ascii="仿宋" w:hAnsi="仿宋"/>
          <w:b/>
          <w:color w:val="auto"/>
          <w:sz w:val="32"/>
          <w:szCs w:val="32"/>
          <w:highlight w:val="none"/>
          <w:lang w:val="en-US" w:eastAsia="zh-CN"/>
        </w:rPr>
        <w:t>20</w:t>
      </w:r>
      <w:r>
        <w:rPr>
          <w:rFonts w:hint="eastAsia" w:ascii="仿宋" w:hAnsi="仿宋" w:eastAsia="仿宋" w:cs="Times New Roman"/>
          <w:b/>
          <w:bCs w:val="0"/>
          <w:color w:val="auto"/>
          <w:sz w:val="32"/>
          <w:szCs w:val="32"/>
          <w:highlight w:val="none"/>
        </w:rPr>
        <w:t>〕</w:t>
      </w:r>
      <w:r>
        <w:rPr>
          <w:rFonts w:hint="eastAsia" w:ascii="仿宋" w:hAnsi="仿宋"/>
          <w:b/>
          <w:color w:val="auto"/>
          <w:sz w:val="32"/>
          <w:szCs w:val="32"/>
          <w:highlight w:val="none"/>
          <w:lang w:val="en-US" w:eastAsia="zh-CN"/>
        </w:rPr>
        <w:t>20</w:t>
      </w:r>
      <w:r>
        <w:rPr>
          <w:rFonts w:hint="eastAsia" w:ascii="仿宋" w:hAnsi="仿宋" w:eastAsia="仿宋"/>
          <w:b/>
          <w:color w:val="auto"/>
          <w:sz w:val="32"/>
          <w:szCs w:val="32"/>
          <w:highlight w:val="none"/>
          <w:lang w:val="en-US" w:eastAsia="zh-CN"/>
        </w:rPr>
        <w:t>号</w:t>
      </w:r>
    </w:p>
    <w:p>
      <w:pPr>
        <w:pStyle w:val="9"/>
        <w:ind w:firstLine="0"/>
        <w:rPr>
          <w:color w:val="auto"/>
          <w:highlight w:val="none"/>
        </w:rPr>
      </w:pPr>
    </w:p>
    <w:p>
      <w:pPr>
        <w:rPr>
          <w:color w:val="auto"/>
          <w:highlight w:val="none"/>
        </w:rPr>
      </w:pPr>
      <w:r>
        <w:rPr>
          <w:color w:val="auto"/>
          <w:highlight w:val="none"/>
        </w:rPr>
        <w:drawing>
          <wp:inline distT="0" distB="0" distL="0" distR="0">
            <wp:extent cx="5760085" cy="7719060"/>
            <wp:effectExtent l="0" t="0" r="12065" b="1524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eastAsia="zh-CN"/>
        </w:rPr>
        <w:br w:type="page"/>
      </w:r>
    </w:p>
    <w:p>
      <w:pPr>
        <w:numPr>
          <w:ilvl w:val="0"/>
          <w:numId w:val="0"/>
        </w:numPr>
        <w:outlineLvl w:val="1"/>
        <w:rPr>
          <w:rFonts w:hint="eastAsia" w:ascii="仿宋" w:hAnsi="仿宋" w:eastAsia="仿宋" w:cs="仿宋"/>
          <w:b/>
          <w:bCs/>
          <w:color w:val="auto"/>
          <w:sz w:val="24"/>
          <w:szCs w:val="32"/>
          <w:highlight w:val="none"/>
          <w:lang w:eastAsia="zh-CN"/>
        </w:rPr>
      </w:pPr>
      <w:r>
        <w:rPr>
          <w:rFonts w:hint="eastAsia" w:ascii="仿宋" w:hAnsi="仿宋" w:eastAsia="仿宋" w:cs="仿宋"/>
          <w:b/>
          <w:bCs/>
          <w:color w:val="auto"/>
          <w:sz w:val="24"/>
          <w:szCs w:val="32"/>
          <w:highlight w:val="none"/>
          <w:lang w:eastAsia="zh-CN"/>
        </w:rPr>
        <w:t>附件</w:t>
      </w:r>
      <w:r>
        <w:rPr>
          <w:rFonts w:hint="eastAsia" w:ascii="仿宋" w:hAnsi="仿宋" w:eastAsia="仿宋" w:cs="仿宋"/>
          <w:b/>
          <w:bCs/>
          <w:color w:val="auto"/>
          <w:sz w:val="24"/>
          <w:szCs w:val="32"/>
          <w:highlight w:val="none"/>
          <w:lang w:val="en-US" w:eastAsia="zh-CN"/>
        </w:rPr>
        <w:t>四</w:t>
      </w:r>
      <w:r>
        <w:rPr>
          <w:rFonts w:hint="eastAsia" w:ascii="仿宋" w:hAnsi="仿宋" w:eastAsia="仿宋" w:cs="仿宋"/>
          <w:b/>
          <w:bCs/>
          <w:color w:val="auto"/>
          <w:sz w:val="24"/>
          <w:szCs w:val="32"/>
          <w:highlight w:val="none"/>
          <w:lang w:eastAsia="zh-CN"/>
        </w:rPr>
        <w:t>：政府采购云平台使用介绍</w:t>
      </w:r>
    </w:p>
    <w:p>
      <w:pPr>
        <w:numPr>
          <w:ilvl w:val="0"/>
          <w:numId w:val="0"/>
        </w:numPr>
        <w:rPr>
          <w:rFonts w:hint="eastAsia" w:ascii="仿宋" w:hAnsi="仿宋" w:eastAsia="仿宋" w:cs="仿宋"/>
          <w:b/>
          <w:bCs/>
          <w:color w:val="auto"/>
          <w:sz w:val="24"/>
          <w:szCs w:val="32"/>
          <w:highlight w:val="none"/>
          <w:lang w:eastAsia="zh-CN"/>
        </w:rPr>
      </w:pPr>
      <w:r>
        <w:rPr>
          <w:rFonts w:hint="eastAsia" w:ascii="仿宋" w:hAnsi="仿宋" w:eastAsia="仿宋" w:cs="仿宋"/>
          <w:b/>
          <w:bCs/>
          <w:color w:val="auto"/>
          <w:sz w:val="24"/>
          <w:szCs w:val="32"/>
          <w:highlight w:val="none"/>
          <w:lang w:val="en-US" w:eastAsia="zh-CN"/>
        </w:rPr>
        <w:t>1.</w:t>
      </w:r>
      <w:r>
        <w:rPr>
          <w:rFonts w:hint="eastAsia" w:ascii="仿宋" w:hAnsi="仿宋" w:eastAsia="仿宋" w:cs="仿宋"/>
          <w:b/>
          <w:bCs/>
          <w:color w:val="auto"/>
          <w:sz w:val="24"/>
          <w:szCs w:val="32"/>
          <w:highlight w:val="none"/>
          <w:lang w:eastAsia="zh-CN"/>
        </w:rPr>
        <w:t>输入网址：</w:t>
      </w:r>
      <w:r>
        <w:rPr>
          <w:rFonts w:hint="eastAsia" w:ascii="仿宋" w:hAnsi="仿宋" w:eastAsia="仿宋" w:cs="仿宋"/>
          <w:b/>
          <w:bCs/>
          <w:color w:val="auto"/>
          <w:sz w:val="24"/>
          <w:szCs w:val="32"/>
          <w:highlight w:val="none"/>
          <w:lang w:eastAsia="zh-CN"/>
        </w:rPr>
        <w:fldChar w:fldCharType="begin"/>
      </w:r>
      <w:r>
        <w:rPr>
          <w:rFonts w:hint="eastAsia" w:ascii="仿宋" w:hAnsi="仿宋" w:eastAsia="仿宋" w:cs="仿宋"/>
          <w:b/>
          <w:bCs/>
          <w:color w:val="auto"/>
          <w:sz w:val="24"/>
          <w:szCs w:val="32"/>
          <w:highlight w:val="none"/>
          <w:lang w:eastAsia="zh-CN"/>
        </w:rPr>
        <w:instrText xml:space="preserve"> HYPERLINK "https://www.zcygov.cn" </w:instrText>
      </w:r>
      <w:r>
        <w:rPr>
          <w:rFonts w:hint="eastAsia" w:ascii="仿宋" w:hAnsi="仿宋" w:eastAsia="仿宋" w:cs="仿宋"/>
          <w:b/>
          <w:bCs/>
          <w:color w:val="auto"/>
          <w:sz w:val="24"/>
          <w:szCs w:val="32"/>
          <w:highlight w:val="none"/>
          <w:lang w:eastAsia="zh-CN"/>
        </w:rPr>
        <w:fldChar w:fldCharType="separate"/>
      </w:r>
      <w:r>
        <w:rPr>
          <w:rStyle w:val="32"/>
          <w:rFonts w:hint="eastAsia" w:ascii="仿宋" w:hAnsi="仿宋" w:eastAsia="仿宋" w:cs="仿宋"/>
          <w:b/>
          <w:bCs/>
          <w:color w:val="auto"/>
          <w:sz w:val="24"/>
          <w:szCs w:val="32"/>
          <w:highlight w:val="none"/>
          <w:lang w:eastAsia="zh-CN"/>
        </w:rPr>
        <w:t>https://www.zcygov.cn</w:t>
      </w:r>
      <w:r>
        <w:rPr>
          <w:rFonts w:hint="eastAsia" w:ascii="仿宋" w:hAnsi="仿宋" w:eastAsia="仿宋" w:cs="仿宋"/>
          <w:b/>
          <w:bCs/>
          <w:color w:val="auto"/>
          <w:sz w:val="24"/>
          <w:szCs w:val="32"/>
          <w:highlight w:val="none"/>
          <w:lang w:eastAsia="zh-CN"/>
        </w:rPr>
        <w:fldChar w:fldCharType="end"/>
      </w:r>
    </w:p>
    <w:p>
      <w:pPr>
        <w:numPr>
          <w:ilvl w:val="0"/>
          <w:numId w:val="0"/>
        </w:numPr>
        <w:rPr>
          <w:rFonts w:hint="eastAsia" w:ascii="仿宋" w:hAnsi="仿宋" w:eastAsia="仿宋" w:cs="仿宋"/>
          <w:b/>
          <w:bCs/>
          <w:color w:val="auto"/>
          <w:sz w:val="24"/>
          <w:szCs w:val="32"/>
          <w:highlight w:val="none"/>
          <w:lang w:val="en-US" w:eastAsia="zh-CN"/>
        </w:rPr>
      </w:pPr>
      <w:r>
        <w:rPr>
          <w:rFonts w:hint="eastAsia" w:ascii="仿宋" w:hAnsi="仿宋" w:eastAsia="仿宋" w:cs="仿宋"/>
          <w:b/>
          <w:bCs/>
          <w:color w:val="auto"/>
          <w:sz w:val="24"/>
          <w:szCs w:val="32"/>
          <w:highlight w:val="none"/>
          <w:lang w:val="en-US" w:eastAsia="zh-CN"/>
        </w:rPr>
        <w:t>2.选择与项目对应的行政区域如：四川省-成都市-成都市本级</w:t>
      </w:r>
    </w:p>
    <w:p>
      <w:pPr>
        <w:numPr>
          <w:ilvl w:val="0"/>
          <w:numId w:val="0"/>
        </w:numPr>
        <w:rPr>
          <w:color w:val="auto"/>
          <w:highlight w:val="none"/>
        </w:rPr>
      </w:pPr>
      <w:r>
        <w:rPr>
          <w:color w:val="auto"/>
          <w:highlight w:val="none"/>
        </w:rPr>
        <w:drawing>
          <wp:inline distT="0" distB="0" distL="114300" distR="114300">
            <wp:extent cx="5760085" cy="3602990"/>
            <wp:effectExtent l="0" t="0" r="12065" b="165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8"/>
                    <a:stretch>
                      <a:fillRect/>
                    </a:stretch>
                  </pic:blipFill>
                  <pic:spPr>
                    <a:xfrm>
                      <a:off x="0" y="0"/>
                      <a:ext cx="5760085" cy="3602990"/>
                    </a:xfrm>
                    <a:prstGeom prst="rect">
                      <a:avLst/>
                    </a:prstGeom>
                    <a:noFill/>
                    <a:ln>
                      <a:noFill/>
                    </a:ln>
                  </pic:spPr>
                </pic:pic>
              </a:graphicData>
            </a:graphic>
          </wp:inline>
        </w:drawing>
      </w:r>
    </w:p>
    <w:p>
      <w:pPr>
        <w:numPr>
          <w:ilvl w:val="0"/>
          <w:numId w:val="0"/>
        </w:numPr>
        <w:rPr>
          <w:color w:val="auto"/>
          <w:highlight w:val="none"/>
        </w:rPr>
      </w:pPr>
    </w:p>
    <w:p>
      <w:pPr>
        <w:numPr>
          <w:ilvl w:val="0"/>
          <w:numId w:val="16"/>
        </w:num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点击操作指南-供应商</w:t>
      </w:r>
    </w:p>
    <w:p>
      <w:pPr>
        <w:numPr>
          <w:ilvl w:val="0"/>
          <w:numId w:val="0"/>
        </w:numPr>
        <w:rPr>
          <w:rFonts w:hint="eastAsia" w:ascii="宋体" w:hAnsi="宋体" w:eastAsia="宋体" w:cs="宋体"/>
          <w:b/>
          <w:bCs/>
          <w:color w:val="auto"/>
          <w:sz w:val="24"/>
          <w:szCs w:val="32"/>
          <w:highlight w:val="none"/>
          <w:lang w:val="en-US" w:eastAsia="zh-CN"/>
        </w:rPr>
      </w:pPr>
      <w:r>
        <w:rPr>
          <w:color w:val="auto"/>
          <w:highlight w:val="none"/>
        </w:rPr>
        <w:drawing>
          <wp:inline distT="0" distB="0" distL="114300" distR="114300">
            <wp:extent cx="5760085" cy="298259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9"/>
                    <a:stretch>
                      <a:fillRect/>
                    </a:stretch>
                  </pic:blipFill>
                  <pic:spPr>
                    <a:xfrm>
                      <a:off x="0" y="0"/>
                      <a:ext cx="5760085" cy="2982595"/>
                    </a:xfrm>
                    <a:prstGeom prst="rect">
                      <a:avLst/>
                    </a:prstGeom>
                    <a:noFill/>
                    <a:ln>
                      <a:noFill/>
                    </a:ln>
                  </pic:spPr>
                </pic:pic>
              </a:graphicData>
            </a:graphic>
          </wp:inline>
        </w:drawing>
      </w:r>
      <w:r>
        <w:rPr>
          <w:color w:val="auto"/>
          <w:highlight w:val="none"/>
        </w:rPr>
        <w:br w:type="page"/>
      </w:r>
      <w:r>
        <w:rPr>
          <w:rFonts w:hint="eastAsia" w:ascii="宋体" w:hAnsi="宋体" w:eastAsia="宋体" w:cs="宋体"/>
          <w:b/>
          <w:bCs/>
          <w:color w:val="auto"/>
          <w:sz w:val="24"/>
          <w:szCs w:val="32"/>
          <w:highlight w:val="none"/>
          <w:lang w:val="en-US" w:eastAsia="zh-CN"/>
        </w:rPr>
        <w:t>4.进入政采云供应商学习专题页面</w:t>
      </w:r>
    </w:p>
    <w:p>
      <w:pPr>
        <w:numPr>
          <w:ilvl w:val="0"/>
          <w:numId w:val="0"/>
        </w:numPr>
        <w:rPr>
          <w:rFonts w:hint="eastAsia"/>
          <w:b/>
          <w:bCs/>
          <w:color w:val="auto"/>
          <w:highlight w:val="none"/>
          <w:lang w:val="en-US" w:eastAsia="zh-CN"/>
        </w:rPr>
      </w:pPr>
      <w:r>
        <w:rPr>
          <w:rFonts w:hint="eastAsia"/>
          <w:b/>
          <w:bCs/>
          <w:color w:val="auto"/>
          <w:highlight w:val="none"/>
          <w:lang w:val="en-US" w:eastAsia="zh-CN"/>
        </w:rPr>
        <w:t>（https://edu.zcygov.cn/luban/xxzt-chengdu-gys?utm=a0017.b1347.cl50.5.0917bc90b7bb11eb807c353645758db6）</w:t>
      </w:r>
    </w:p>
    <w:p>
      <w:pPr>
        <w:numPr>
          <w:ilvl w:val="0"/>
          <w:numId w:val="0"/>
        </w:numPr>
        <w:ind w:leftChars="0"/>
        <w:rPr>
          <w:rFonts w:hint="default"/>
          <w:color w:val="auto"/>
          <w:highlight w:val="none"/>
          <w:lang w:val="en-US" w:eastAsia="zh-CN"/>
        </w:rPr>
      </w:pPr>
      <w:r>
        <w:rPr>
          <w:color w:val="auto"/>
          <w:highlight w:val="none"/>
        </w:rPr>
        <w:drawing>
          <wp:inline distT="0" distB="0" distL="114300" distR="114300">
            <wp:extent cx="5760085" cy="2867025"/>
            <wp:effectExtent l="0" t="0" r="12065" b="952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50"/>
                    <a:stretch>
                      <a:fillRect/>
                    </a:stretch>
                  </pic:blipFill>
                  <pic:spPr>
                    <a:xfrm>
                      <a:off x="0" y="0"/>
                      <a:ext cx="5760085" cy="2867025"/>
                    </a:xfrm>
                    <a:prstGeom prst="rect">
                      <a:avLst/>
                    </a:prstGeom>
                    <a:noFill/>
                    <a:ln>
                      <a:noFill/>
                    </a:ln>
                  </pic:spPr>
                </pic:pic>
              </a:graphicData>
            </a:graphic>
          </wp:inline>
        </w:drawing>
      </w:r>
    </w:p>
    <w:p>
      <w:pPr>
        <w:numPr>
          <w:ilvl w:val="0"/>
          <w:numId w:val="0"/>
        </w:numPr>
        <w:ind w:leftChars="0"/>
        <w:rPr>
          <w:rFonts w:hint="eastAsia" w:ascii="宋体" w:hAnsi="宋体" w:cs="宋体"/>
          <w:b/>
          <w:bCs/>
          <w:color w:val="auto"/>
          <w:sz w:val="24"/>
          <w:szCs w:val="32"/>
          <w:highlight w:val="none"/>
          <w:lang w:val="en-US" w:eastAsia="zh-CN"/>
        </w:rPr>
      </w:pPr>
    </w:p>
    <w:p>
      <w:pPr>
        <w:numPr>
          <w:ilvl w:val="0"/>
          <w:numId w:val="0"/>
        </w:numPr>
        <w:ind w:leftChars="0"/>
        <w:rPr>
          <w:rFonts w:hint="eastAsia" w:ascii="宋体" w:hAnsi="宋体" w:cs="宋体"/>
          <w:b/>
          <w:bCs/>
          <w:color w:val="auto"/>
          <w:sz w:val="24"/>
          <w:szCs w:val="32"/>
          <w:highlight w:val="none"/>
          <w:lang w:val="en-US" w:eastAsia="zh-CN"/>
        </w:rPr>
      </w:pPr>
      <w:r>
        <w:rPr>
          <w:rFonts w:hint="eastAsia" w:ascii="宋体" w:hAnsi="宋体" w:cs="宋体"/>
          <w:b/>
          <w:bCs/>
          <w:color w:val="auto"/>
          <w:sz w:val="24"/>
          <w:szCs w:val="32"/>
          <w:highlight w:val="none"/>
          <w:lang w:val="en-US" w:eastAsia="zh-CN"/>
        </w:rPr>
        <w:t>5.供应商资讯服务渠道</w:t>
      </w:r>
    </w:p>
    <w:p>
      <w:pPr>
        <w:numPr>
          <w:ilvl w:val="0"/>
          <w:numId w:val="0"/>
        </w:numPr>
        <w:ind w:leftChars="0"/>
        <w:rPr>
          <w:color w:val="auto"/>
          <w:highlight w:val="none"/>
        </w:rPr>
      </w:pPr>
      <w:r>
        <w:rPr>
          <w:color w:val="auto"/>
          <w:highlight w:val="none"/>
        </w:rPr>
        <w:drawing>
          <wp:inline distT="0" distB="0" distL="114300" distR="114300">
            <wp:extent cx="5760085" cy="2065020"/>
            <wp:effectExtent l="0" t="0" r="12065" b="1143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5760085" cy="2065020"/>
                    </a:xfrm>
                    <a:prstGeom prst="rect">
                      <a:avLst/>
                    </a:prstGeom>
                    <a:noFill/>
                    <a:ln>
                      <a:noFill/>
                    </a:ln>
                  </pic:spPr>
                </pic:pic>
              </a:graphicData>
            </a:graphic>
          </wp:inline>
        </w:drawing>
      </w:r>
    </w:p>
    <w:p>
      <w:pPr>
        <w:numPr>
          <w:ilvl w:val="0"/>
          <w:numId w:val="0"/>
        </w:numPr>
        <w:ind w:leftChars="0"/>
        <w:rPr>
          <w:rFonts w:hint="eastAsia"/>
          <w:color w:val="auto"/>
          <w:highlight w:val="none"/>
          <w:lang w:val="en-US" w:eastAsia="zh-CN"/>
        </w:rPr>
      </w:pPr>
      <w:r>
        <w:rPr>
          <w:color w:val="auto"/>
          <w:highlight w:val="none"/>
        </w:rPr>
        <w:br w:type="page"/>
      </w:r>
      <w:r>
        <w:rPr>
          <w:rFonts w:hint="eastAsia" w:ascii="宋体" w:hAnsi="宋体" w:eastAsia="宋体" w:cs="宋体"/>
          <w:b/>
          <w:bCs/>
          <w:color w:val="auto"/>
          <w:sz w:val="24"/>
          <w:szCs w:val="32"/>
          <w:highlight w:val="none"/>
          <w:lang w:val="en-US" w:eastAsia="zh-CN"/>
        </w:rPr>
        <w:t>6.</w:t>
      </w:r>
      <w:r>
        <w:rPr>
          <w:rFonts w:hint="eastAsia" w:ascii="宋体" w:hAnsi="宋体" w:eastAsia="宋体" w:cs="宋体"/>
          <w:b/>
          <w:bCs/>
          <w:color w:val="auto"/>
          <w:sz w:val="24"/>
          <w:szCs w:val="32"/>
          <w:highlight w:val="none"/>
          <w:lang w:eastAsia="zh-CN"/>
        </w:rPr>
        <w:t>入驻政府采购云平台（注册）</w:t>
      </w:r>
    </w:p>
    <w:p>
      <w:pPr>
        <w:numPr>
          <w:ilvl w:val="0"/>
          <w:numId w:val="0"/>
        </w:numPr>
        <w:ind w:leftChars="0"/>
        <w:rPr>
          <w:color w:val="auto"/>
          <w:highlight w:val="none"/>
        </w:rPr>
      </w:pPr>
      <w:r>
        <w:rPr>
          <w:color w:val="auto"/>
          <w:highlight w:val="none"/>
        </w:rPr>
        <w:drawing>
          <wp:inline distT="0" distB="0" distL="114300" distR="114300">
            <wp:extent cx="5760085" cy="2345055"/>
            <wp:effectExtent l="0" t="0" r="12065" b="1714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52"/>
                    <a:stretch>
                      <a:fillRect/>
                    </a:stretch>
                  </pic:blipFill>
                  <pic:spPr>
                    <a:xfrm>
                      <a:off x="0" y="0"/>
                      <a:ext cx="5760085" cy="2345055"/>
                    </a:xfrm>
                    <a:prstGeom prst="rect">
                      <a:avLst/>
                    </a:prstGeom>
                    <a:noFill/>
                    <a:ln>
                      <a:noFill/>
                    </a:ln>
                  </pic:spPr>
                </pic:pic>
              </a:graphicData>
            </a:graphic>
          </wp:inline>
        </w:drawing>
      </w:r>
    </w:p>
    <w:p>
      <w:pPr>
        <w:numPr>
          <w:ilvl w:val="0"/>
          <w:numId w:val="0"/>
        </w:numPr>
        <w:ind w:leftChars="0"/>
        <w:rPr>
          <w:rFonts w:hint="eastAsia"/>
          <w:color w:val="auto"/>
          <w:highlight w:val="none"/>
          <w:lang w:val="en-US" w:eastAsia="zh-CN"/>
        </w:rPr>
      </w:pPr>
      <w:r>
        <w:rPr>
          <w:rFonts w:hint="eastAsia" w:ascii="宋体" w:hAnsi="宋体" w:eastAsia="宋体" w:cs="宋体"/>
          <w:b/>
          <w:bCs/>
          <w:color w:val="auto"/>
          <w:sz w:val="24"/>
          <w:szCs w:val="32"/>
          <w:highlight w:val="none"/>
          <w:lang w:val="en-US" w:eastAsia="zh-CN"/>
        </w:rPr>
        <w:t>7.下载《供应商政府采购项目电子交易操作指南》</w:t>
      </w:r>
    </w:p>
    <w:p>
      <w:pPr>
        <w:rPr>
          <w:color w:val="auto"/>
          <w:highlight w:val="none"/>
        </w:rPr>
      </w:pPr>
      <w:r>
        <w:rPr>
          <w:color w:val="auto"/>
          <w:highlight w:val="none"/>
        </w:rPr>
        <w:drawing>
          <wp:inline distT="0" distB="0" distL="114300" distR="114300">
            <wp:extent cx="5760085" cy="3191510"/>
            <wp:effectExtent l="0" t="0" r="12065" b="8890"/>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3"/>
                    <a:stretch>
                      <a:fillRect/>
                    </a:stretch>
                  </pic:blipFill>
                  <pic:spPr>
                    <a:xfrm>
                      <a:off x="0" y="0"/>
                      <a:ext cx="5760085" cy="3191510"/>
                    </a:xfrm>
                    <a:prstGeom prst="rect">
                      <a:avLst/>
                    </a:prstGeom>
                    <a:noFill/>
                    <a:ln>
                      <a:noFill/>
                    </a:ln>
                  </pic:spPr>
                </pic:pic>
              </a:graphicData>
            </a:graphic>
          </wp:inline>
        </w:drawing>
      </w:r>
    </w:p>
    <w:p>
      <w:pPr>
        <w:pStyle w:val="9"/>
        <w:rPr>
          <w:color w:val="auto"/>
          <w:highlight w:val="none"/>
        </w:rPr>
      </w:pPr>
    </w:p>
    <w:p>
      <w:pPr>
        <w:rPr>
          <w:color w:val="auto"/>
          <w:highlight w:val="none"/>
        </w:rPr>
      </w:pPr>
    </w:p>
    <w:sectPr>
      <w:footerReference r:id="rId15" w:type="default"/>
      <w:pgSz w:w="11905" w:h="16838"/>
      <w:pgMar w:top="1440" w:right="1474" w:bottom="1440" w:left="1474" w:header="425" w:footer="992" w:gutter="0"/>
      <w:pgNumType w:fmt="decimal"/>
      <w:cols w:space="0" w:num="1"/>
      <w:rtlGutter w:val="0"/>
      <w:docGrid w:type="lines"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Eʩ">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华文隶书">
    <w:altName w:val="微软雅黑"/>
    <w:panose1 w:val="02010800040101010101"/>
    <w:charset w:val="86"/>
    <w:family w:val="auto"/>
    <w:pitch w:val="default"/>
    <w:sig w:usb0="00000000" w:usb1="0000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方正小标宋简体">
    <w:altName w:val="黑体"/>
    <w:panose1 w:val="03000509000000000000"/>
    <w:charset w:val="86"/>
    <w:family w:val="auto"/>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仿宋">
    <w:altName w:val="仿宋"/>
    <w:panose1 w:val="03000509000000000000"/>
    <w:charset w:val="86"/>
    <w:family w:val="script"/>
    <w:pitch w:val="default"/>
    <w:sig w:usb0="00000000" w:usb1="00000000" w:usb2="00000010" w:usb3="00000000" w:csb0="00040000" w:csb1="00000000"/>
  </w:font>
  <w:font w:name="方正黑体">
    <w:altName w:val="黑体"/>
    <w:panose1 w:val="03000509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separate"/>
    </w:r>
    <w:r>
      <w:rPr>
        <w:rStyle w:val="31"/>
      </w:rPr>
      <w:t>2</w:t>
    </w:r>
    <w:r>
      <w:fldChar w:fldCharType="end"/>
    </w:r>
  </w:p>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center"/>
                            <w:rPr>
                              <w:rStyle w:val="31"/>
                            </w:rPr>
                          </w:pPr>
                          <w:r>
                            <w:fldChar w:fldCharType="begin"/>
                          </w:r>
                          <w:r>
                            <w:rPr>
                              <w:rStyle w:val="31"/>
                            </w:rPr>
                            <w:instrText xml:space="preserve">PAGE  </w:instrText>
                          </w:r>
                          <w:r>
                            <w:fldChar w:fldCharType="separate"/>
                          </w:r>
                          <w:r>
                            <w:rPr>
                              <w:rStyle w:val="31"/>
                            </w:rP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9"/>
                      <w:jc w:val="center"/>
                      <w:rPr>
                        <w:rStyle w:val="31"/>
                      </w:rPr>
                    </w:pPr>
                    <w:r>
                      <w:fldChar w:fldCharType="begin"/>
                    </w:r>
                    <w:r>
                      <w:rPr>
                        <w:rStyle w:val="31"/>
                      </w:rPr>
                      <w:instrText xml:space="preserve">PAGE  </w:instrText>
                    </w:r>
                    <w:r>
                      <w:fldChar w:fldCharType="separate"/>
                    </w:r>
                    <w:r>
                      <w:rPr>
                        <w:rStyle w:val="31"/>
                      </w:rP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jc w:val="center"/>
                            <w:rPr>
                              <w:rStyle w:val="31"/>
                            </w:rPr>
                          </w:pPr>
                          <w:r>
                            <w:fldChar w:fldCharType="begin"/>
                          </w:r>
                          <w:r>
                            <w:rPr>
                              <w:rStyle w:val="31"/>
                            </w:rPr>
                            <w:instrText xml:space="preserve">PAGE  </w:instrText>
                          </w:r>
                          <w:r>
                            <w:fldChar w:fldCharType="separate"/>
                          </w:r>
                          <w:r>
                            <w:rPr>
                              <w:rStyle w:val="31"/>
                            </w:rP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9"/>
                      <w:jc w:val="center"/>
                      <w:rPr>
                        <w:rStyle w:val="31"/>
                      </w:rPr>
                    </w:pPr>
                    <w:r>
                      <w:fldChar w:fldCharType="begin"/>
                    </w:r>
                    <w:r>
                      <w:rPr>
                        <w:rStyle w:val="31"/>
                      </w:rPr>
                      <w:instrText xml:space="preserve">PAGE  </w:instrText>
                    </w:r>
                    <w:r>
                      <w:fldChar w:fldCharType="separate"/>
                    </w:r>
                    <w:r>
                      <w:rPr>
                        <w:rStyle w:val="31"/>
                      </w:rPr>
                      <w:t>46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separate"/>
    </w:r>
    <w:r>
      <w:rPr>
        <w:rStyle w:val="31"/>
      </w:rPr>
      <w:t>97</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-7620</wp:posOffset>
          </wp:positionH>
          <wp:positionV relativeFrom="paragraph">
            <wp:posOffset>-62865</wp:posOffset>
          </wp:positionV>
          <wp:extent cx="2219325" cy="474980"/>
          <wp:effectExtent l="0" t="0" r="3175" b="8255"/>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hint="eastAsia"/>
      </w:rPr>
      <w:drawing>
        <wp:anchor distT="0" distB="0" distL="114300" distR="114300" simplePos="0" relativeHeight="251659264"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64" name="图片 6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after="0" w:line="240" w:lineRule="auto"/>
      <w:jc w:val="right"/>
      <w:rPr>
        <w:rFonts w:ascii="华文隶书" w:hAnsi="华文行楷" w:eastAsia="华文隶书" w:cs="华文行楷"/>
        <w:color w:val="F28221"/>
        <w:sz w:val="20"/>
        <w:szCs w:val="28"/>
      </w:rPr>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rPr>
        <w:rFonts w:hint="eastAsia" w:ascii="华文隶书" w:hAnsi="华文行楷" w:eastAsia="华文隶书" w:cs="华文行楷"/>
        <w:color w:val="F28221"/>
        <w:sz w:val="20"/>
        <w:szCs w:val="28"/>
      </w:rPr>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0"/>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2A6ED"/>
    <w:multiLevelType w:val="singleLevel"/>
    <w:tmpl w:val="B662A6ED"/>
    <w:lvl w:ilvl="0" w:tentative="0">
      <w:start w:val="1"/>
      <w:numFmt w:val="decimal"/>
      <w:suff w:val="nothing"/>
      <w:lvlText w:val="（%1）"/>
      <w:lvlJc w:val="left"/>
    </w:lvl>
  </w:abstractNum>
  <w:abstractNum w:abstractNumId="1">
    <w:nsid w:val="05D14D6B"/>
    <w:multiLevelType w:val="multilevel"/>
    <w:tmpl w:val="05D14D6B"/>
    <w:lvl w:ilvl="0" w:tentative="0">
      <w:start w:val="6"/>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2">
    <w:nsid w:val="0A2D077E"/>
    <w:multiLevelType w:val="multilevel"/>
    <w:tmpl w:val="0A2D077E"/>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1621137C"/>
    <w:multiLevelType w:val="multilevel"/>
    <w:tmpl w:val="1621137C"/>
    <w:lvl w:ilvl="0" w:tentative="0">
      <w:start w:val="7"/>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5">
    <w:nsid w:val="2A3147CB"/>
    <w:multiLevelType w:val="multilevel"/>
    <w:tmpl w:val="2A3147CB"/>
    <w:lvl w:ilvl="0" w:tentative="0">
      <w:start w:val="3"/>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6">
    <w:nsid w:val="2E7F786F"/>
    <w:multiLevelType w:val="multilevel"/>
    <w:tmpl w:val="2E7F786F"/>
    <w:lvl w:ilvl="0" w:tentative="0">
      <w:start w:val="8"/>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7">
    <w:nsid w:val="36726A7D"/>
    <w:multiLevelType w:val="multilevel"/>
    <w:tmpl w:val="36726A7D"/>
    <w:lvl w:ilvl="0" w:tentative="0">
      <w:start w:val="10"/>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8">
    <w:nsid w:val="3C204BC4"/>
    <w:multiLevelType w:val="multilevel"/>
    <w:tmpl w:val="3C204BC4"/>
    <w:lvl w:ilvl="0" w:tentative="0">
      <w:start w:val="11"/>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9">
    <w:nsid w:val="47F83D60"/>
    <w:multiLevelType w:val="multilevel"/>
    <w:tmpl w:val="47F83D60"/>
    <w:lvl w:ilvl="0" w:tentative="0">
      <w:start w:val="5"/>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0">
    <w:nsid w:val="4BA711A8"/>
    <w:multiLevelType w:val="multilevel"/>
    <w:tmpl w:val="4BA711A8"/>
    <w:lvl w:ilvl="0" w:tentative="0">
      <w:start w:val="4"/>
      <w:numFmt w:val="decimal"/>
      <w:lvlText w:val="%1"/>
      <w:lvlJc w:val="left"/>
      <w:pPr>
        <w:ind w:left="420" w:hanging="42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1">
    <w:nsid w:val="4F2A3E9A"/>
    <w:multiLevelType w:val="multilevel"/>
    <w:tmpl w:val="4F2A3E9A"/>
    <w:lvl w:ilvl="0" w:tentative="0">
      <w:start w:val="13"/>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2">
    <w:nsid w:val="59C07086"/>
    <w:multiLevelType w:val="singleLevel"/>
    <w:tmpl w:val="59C07086"/>
    <w:lvl w:ilvl="0" w:tentative="0">
      <w:start w:val="1"/>
      <w:numFmt w:val="decimal"/>
      <w:suff w:val="nothing"/>
      <w:lvlText w:val="%1、"/>
      <w:lvlJc w:val="left"/>
    </w:lvl>
  </w:abstractNum>
  <w:abstractNum w:abstractNumId="13">
    <w:nsid w:val="5FBE577B"/>
    <w:multiLevelType w:val="multilevel"/>
    <w:tmpl w:val="5FBE577B"/>
    <w:lvl w:ilvl="0" w:tentative="0">
      <w:start w:val="1"/>
      <w:numFmt w:val="chineseCountingThousand"/>
      <w:suff w:val="space"/>
      <w:lvlText w:val="%1、"/>
      <w:lvlJc w:val="left"/>
      <w:pPr>
        <w:ind w:left="0" w:firstLine="0"/>
      </w:pPr>
      <w:rPr>
        <w:rFonts w:hint="eastAsia"/>
        <w:vanish/>
      </w:rPr>
    </w:lvl>
    <w:lvl w:ilvl="1" w:tentative="0">
      <w:start w:val="1"/>
      <w:numFmt w:val="decimal"/>
      <w:isLgl/>
      <w:suff w:val="space"/>
      <w:lvlText w:val="%1.%2"/>
      <w:lvlJc w:val="left"/>
      <w:pPr>
        <w:ind w:left="0" w:firstLine="0"/>
      </w:pPr>
      <w:rPr>
        <w:rFonts w:hint="eastAsia" w:ascii="黑体" w:hAnsi="黑体" w:eastAsia="黑体"/>
      </w:rPr>
    </w:lvl>
    <w:lvl w:ilvl="2" w:tentative="0">
      <w:start w:val="1"/>
      <w:numFmt w:val="decimal"/>
      <w:isLgl/>
      <w:suff w:val="space"/>
      <w:lvlText w:val="%1.%2.%3"/>
      <w:lvlJc w:val="left"/>
      <w:pPr>
        <w:ind w:left="0" w:firstLine="0"/>
      </w:pPr>
      <w:rPr>
        <w:rFonts w:hint="eastAsia" w:ascii="Times New Roman" w:hAnsi="Times New Roman" w:cs="Times New Roman"/>
        <w:b w:val="0"/>
        <w:i w:val="0"/>
        <w:iCs w:val="0"/>
        <w:caps w:val="0"/>
        <w:smallCaps w:val="0"/>
        <w:strike w:val="0"/>
        <w:dstrike w:val="0"/>
        <w:vanish w:val="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
      <w:isLgl/>
      <w:suff w:val="space"/>
      <w:lvlText w:val="3.7.1.%4"/>
      <w:lvlJc w:val="left"/>
      <w:pPr>
        <w:ind w:left="0" w:firstLine="0"/>
      </w:pPr>
      <w:rPr>
        <w:rFonts w:hint="eastAsia" w:ascii="黑体" w:hAnsi="黑体" w:eastAsia="黑体"/>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7"/>
      <w:isLgl/>
      <w:suff w:val="space"/>
      <w:lvlText w:val="%1.%2.%3.%4.%5"/>
      <w:lvlJc w:val="left"/>
      <w:pPr>
        <w:ind w:left="0" w:firstLine="0"/>
      </w:pPr>
      <w:rPr>
        <w:rFonts w:hint="eastAsia" w:ascii="黑体" w:hAnsi="黑体" w:eastAsia="黑体"/>
        <w:b w:val="0"/>
        <w:sz w:val="24"/>
      </w:rPr>
    </w:lvl>
    <w:lvl w:ilvl="5" w:tentative="0">
      <w:start w:val="1"/>
      <w:numFmt w:val="decimal"/>
      <w:isLgl/>
      <w:suff w:val="space"/>
      <w:lvlText w:val="%1.%2.%3.%4.%5.%6"/>
      <w:lvlJc w:val="left"/>
      <w:pPr>
        <w:ind w:left="0" w:firstLine="0"/>
      </w:pPr>
      <w:rPr>
        <w:rFonts w:hint="eastAsia"/>
      </w:rPr>
    </w:lvl>
    <w:lvl w:ilvl="6" w:tentative="0">
      <w:start w:val="1"/>
      <w:numFmt w:val="decimal"/>
      <w:suff w:val="space"/>
      <w:lvlText w:val="（%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4">
    <w:nsid w:val="67242E80"/>
    <w:multiLevelType w:val="multilevel"/>
    <w:tmpl w:val="67242E80"/>
    <w:lvl w:ilvl="0" w:tentative="0">
      <w:start w:val="13"/>
      <w:numFmt w:val="decimal"/>
      <w:lvlText w:val="%1"/>
      <w:lvlJc w:val="left"/>
      <w:pPr>
        <w:ind w:left="560" w:hanging="5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3"/>
  </w:num>
  <w:num w:numId="2">
    <w:abstractNumId w:val="0"/>
  </w:num>
  <w:num w:numId="3">
    <w:abstractNumId w:val="15"/>
  </w:num>
  <w:num w:numId="4">
    <w:abstractNumId w:val="12"/>
  </w:num>
  <w:num w:numId="5">
    <w:abstractNumId w:val="2"/>
  </w:num>
  <w:num w:numId="6">
    <w:abstractNumId w:val="5"/>
  </w:num>
  <w:num w:numId="7">
    <w:abstractNumId w:val="10"/>
  </w:num>
  <w:num w:numId="8">
    <w:abstractNumId w:val="9"/>
  </w:num>
  <w:num w:numId="9">
    <w:abstractNumId w:val="1"/>
  </w:num>
  <w:num w:numId="10">
    <w:abstractNumId w:val="4"/>
  </w:num>
  <w:num w:numId="11">
    <w:abstractNumId w:val="6"/>
  </w:num>
  <w:num w:numId="12">
    <w:abstractNumId w:val="7"/>
  </w:num>
  <w:num w:numId="13">
    <w:abstractNumId w:val="8"/>
  </w:num>
  <w:num w:numId="14">
    <w:abstractNumId w:val="11"/>
  </w:num>
  <w:num w:numId="15">
    <w:abstractNumId w:val="14"/>
  </w:num>
  <w:num w:numId="16">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Y">
    <w15:presenceInfo w15:providerId="None" w15:userId="L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5DD3"/>
    <w:rsid w:val="00012AD0"/>
    <w:rsid w:val="00013ADD"/>
    <w:rsid w:val="00020B5C"/>
    <w:rsid w:val="0003159C"/>
    <w:rsid w:val="0003174E"/>
    <w:rsid w:val="0003636B"/>
    <w:rsid w:val="00036EEF"/>
    <w:rsid w:val="0003748E"/>
    <w:rsid w:val="000504B2"/>
    <w:rsid w:val="000608CE"/>
    <w:rsid w:val="00080C10"/>
    <w:rsid w:val="00082BFC"/>
    <w:rsid w:val="00084443"/>
    <w:rsid w:val="00084ED2"/>
    <w:rsid w:val="000964BE"/>
    <w:rsid w:val="000A138A"/>
    <w:rsid w:val="000A1718"/>
    <w:rsid w:val="000A246A"/>
    <w:rsid w:val="000A6E82"/>
    <w:rsid w:val="000A70F2"/>
    <w:rsid w:val="000B20FB"/>
    <w:rsid w:val="000B6577"/>
    <w:rsid w:val="000C209D"/>
    <w:rsid w:val="000C297C"/>
    <w:rsid w:val="000C6FE5"/>
    <w:rsid w:val="000D22E0"/>
    <w:rsid w:val="000D611D"/>
    <w:rsid w:val="000D717B"/>
    <w:rsid w:val="000E1D50"/>
    <w:rsid w:val="000E21F8"/>
    <w:rsid w:val="000F2BED"/>
    <w:rsid w:val="000F3201"/>
    <w:rsid w:val="000F789C"/>
    <w:rsid w:val="00101EDC"/>
    <w:rsid w:val="00101FA6"/>
    <w:rsid w:val="00102E8C"/>
    <w:rsid w:val="00103B64"/>
    <w:rsid w:val="00106212"/>
    <w:rsid w:val="001068FD"/>
    <w:rsid w:val="00114138"/>
    <w:rsid w:val="00120F20"/>
    <w:rsid w:val="001300AD"/>
    <w:rsid w:val="001324D0"/>
    <w:rsid w:val="00132EA0"/>
    <w:rsid w:val="001428A0"/>
    <w:rsid w:val="001442A1"/>
    <w:rsid w:val="00151E37"/>
    <w:rsid w:val="00155AAC"/>
    <w:rsid w:val="00175D34"/>
    <w:rsid w:val="001833F5"/>
    <w:rsid w:val="001924CA"/>
    <w:rsid w:val="001976B7"/>
    <w:rsid w:val="001A34F3"/>
    <w:rsid w:val="001A5C03"/>
    <w:rsid w:val="001A6131"/>
    <w:rsid w:val="001B1735"/>
    <w:rsid w:val="001B3D1C"/>
    <w:rsid w:val="001B4294"/>
    <w:rsid w:val="001B6171"/>
    <w:rsid w:val="001C03A0"/>
    <w:rsid w:val="001C2181"/>
    <w:rsid w:val="001C6ECA"/>
    <w:rsid w:val="001D4B8D"/>
    <w:rsid w:val="001E1ED1"/>
    <w:rsid w:val="001E7DDD"/>
    <w:rsid w:val="001F1371"/>
    <w:rsid w:val="00204A0D"/>
    <w:rsid w:val="002120E1"/>
    <w:rsid w:val="002129B6"/>
    <w:rsid w:val="00213E1D"/>
    <w:rsid w:val="002216D6"/>
    <w:rsid w:val="002219F1"/>
    <w:rsid w:val="00223F63"/>
    <w:rsid w:val="0023234A"/>
    <w:rsid w:val="00243F3F"/>
    <w:rsid w:val="00245839"/>
    <w:rsid w:val="00261B14"/>
    <w:rsid w:val="002636ED"/>
    <w:rsid w:val="002678E1"/>
    <w:rsid w:val="002703ED"/>
    <w:rsid w:val="00285CF5"/>
    <w:rsid w:val="00286A2D"/>
    <w:rsid w:val="002A44C8"/>
    <w:rsid w:val="002B2897"/>
    <w:rsid w:val="002B3F90"/>
    <w:rsid w:val="002B5934"/>
    <w:rsid w:val="002B6198"/>
    <w:rsid w:val="002B734E"/>
    <w:rsid w:val="002C1197"/>
    <w:rsid w:val="002D2655"/>
    <w:rsid w:val="002F2C9B"/>
    <w:rsid w:val="002F56EB"/>
    <w:rsid w:val="002F5B9B"/>
    <w:rsid w:val="00301AC0"/>
    <w:rsid w:val="00303552"/>
    <w:rsid w:val="00303E08"/>
    <w:rsid w:val="00314A71"/>
    <w:rsid w:val="0031619E"/>
    <w:rsid w:val="0033181B"/>
    <w:rsid w:val="00340DA5"/>
    <w:rsid w:val="0034212B"/>
    <w:rsid w:val="003523E4"/>
    <w:rsid w:val="00353219"/>
    <w:rsid w:val="00363398"/>
    <w:rsid w:val="003651A1"/>
    <w:rsid w:val="003738E0"/>
    <w:rsid w:val="00374D58"/>
    <w:rsid w:val="0038006F"/>
    <w:rsid w:val="00381DA3"/>
    <w:rsid w:val="003A0382"/>
    <w:rsid w:val="003A1953"/>
    <w:rsid w:val="003A377C"/>
    <w:rsid w:val="003A4DC9"/>
    <w:rsid w:val="003B2DCF"/>
    <w:rsid w:val="003C2287"/>
    <w:rsid w:val="003C6641"/>
    <w:rsid w:val="003D13BA"/>
    <w:rsid w:val="003E1ABC"/>
    <w:rsid w:val="003E207C"/>
    <w:rsid w:val="003E77F8"/>
    <w:rsid w:val="003E7E7A"/>
    <w:rsid w:val="003F0AB3"/>
    <w:rsid w:val="003F5469"/>
    <w:rsid w:val="003F5BCC"/>
    <w:rsid w:val="00400DA8"/>
    <w:rsid w:val="00406398"/>
    <w:rsid w:val="00410564"/>
    <w:rsid w:val="00412BD8"/>
    <w:rsid w:val="00414296"/>
    <w:rsid w:val="00422803"/>
    <w:rsid w:val="00440990"/>
    <w:rsid w:val="00445E84"/>
    <w:rsid w:val="00447D55"/>
    <w:rsid w:val="00450099"/>
    <w:rsid w:val="0045072B"/>
    <w:rsid w:val="00460537"/>
    <w:rsid w:val="004669AB"/>
    <w:rsid w:val="00470F57"/>
    <w:rsid w:val="00475D4E"/>
    <w:rsid w:val="00476799"/>
    <w:rsid w:val="0047730B"/>
    <w:rsid w:val="00482EF1"/>
    <w:rsid w:val="004941BE"/>
    <w:rsid w:val="004B0037"/>
    <w:rsid w:val="004C7F53"/>
    <w:rsid w:val="004D104E"/>
    <w:rsid w:val="004D1906"/>
    <w:rsid w:val="004F18F5"/>
    <w:rsid w:val="004F7496"/>
    <w:rsid w:val="0050463C"/>
    <w:rsid w:val="00517396"/>
    <w:rsid w:val="00521311"/>
    <w:rsid w:val="00522DAA"/>
    <w:rsid w:val="00523645"/>
    <w:rsid w:val="00550AED"/>
    <w:rsid w:val="005548CD"/>
    <w:rsid w:val="00563B72"/>
    <w:rsid w:val="005662BB"/>
    <w:rsid w:val="005717CE"/>
    <w:rsid w:val="005772D0"/>
    <w:rsid w:val="00592FA0"/>
    <w:rsid w:val="00593D74"/>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F5D17"/>
    <w:rsid w:val="00600D64"/>
    <w:rsid w:val="006026E5"/>
    <w:rsid w:val="00613911"/>
    <w:rsid w:val="006200BC"/>
    <w:rsid w:val="00621179"/>
    <w:rsid w:val="006243C6"/>
    <w:rsid w:val="0063357F"/>
    <w:rsid w:val="00635EF8"/>
    <w:rsid w:val="00646C87"/>
    <w:rsid w:val="00662E2F"/>
    <w:rsid w:val="0067387B"/>
    <w:rsid w:val="00681856"/>
    <w:rsid w:val="00683A41"/>
    <w:rsid w:val="006853DD"/>
    <w:rsid w:val="006A1067"/>
    <w:rsid w:val="006A5C53"/>
    <w:rsid w:val="006C0888"/>
    <w:rsid w:val="006C287B"/>
    <w:rsid w:val="006D5B77"/>
    <w:rsid w:val="006D68EE"/>
    <w:rsid w:val="006E0AC8"/>
    <w:rsid w:val="006F1ACB"/>
    <w:rsid w:val="006F2FC8"/>
    <w:rsid w:val="006F518F"/>
    <w:rsid w:val="007012C6"/>
    <w:rsid w:val="007014F1"/>
    <w:rsid w:val="00707412"/>
    <w:rsid w:val="0071016D"/>
    <w:rsid w:val="00712E8B"/>
    <w:rsid w:val="0072289E"/>
    <w:rsid w:val="007244E6"/>
    <w:rsid w:val="00727576"/>
    <w:rsid w:val="00727F70"/>
    <w:rsid w:val="00737D7E"/>
    <w:rsid w:val="0074232E"/>
    <w:rsid w:val="00752227"/>
    <w:rsid w:val="0076081B"/>
    <w:rsid w:val="00761BF0"/>
    <w:rsid w:val="007710FF"/>
    <w:rsid w:val="007729D3"/>
    <w:rsid w:val="00780725"/>
    <w:rsid w:val="00791C59"/>
    <w:rsid w:val="007A06CA"/>
    <w:rsid w:val="007A21C4"/>
    <w:rsid w:val="007A5395"/>
    <w:rsid w:val="007A683D"/>
    <w:rsid w:val="007A6B90"/>
    <w:rsid w:val="007C0E57"/>
    <w:rsid w:val="007C2E13"/>
    <w:rsid w:val="007C4463"/>
    <w:rsid w:val="007D0EDC"/>
    <w:rsid w:val="007D1567"/>
    <w:rsid w:val="007D60B4"/>
    <w:rsid w:val="00802EA2"/>
    <w:rsid w:val="00804993"/>
    <w:rsid w:val="00807AA2"/>
    <w:rsid w:val="00810496"/>
    <w:rsid w:val="008120D6"/>
    <w:rsid w:val="00812F02"/>
    <w:rsid w:val="00813725"/>
    <w:rsid w:val="00813DEB"/>
    <w:rsid w:val="00814FCC"/>
    <w:rsid w:val="00822F80"/>
    <w:rsid w:val="00827C4C"/>
    <w:rsid w:val="00831363"/>
    <w:rsid w:val="00835F45"/>
    <w:rsid w:val="0083602E"/>
    <w:rsid w:val="00840854"/>
    <w:rsid w:val="008455A7"/>
    <w:rsid w:val="00846872"/>
    <w:rsid w:val="008547C1"/>
    <w:rsid w:val="00860A8B"/>
    <w:rsid w:val="00864303"/>
    <w:rsid w:val="00864F1F"/>
    <w:rsid w:val="00874357"/>
    <w:rsid w:val="00880309"/>
    <w:rsid w:val="00882228"/>
    <w:rsid w:val="00884F0B"/>
    <w:rsid w:val="0088578D"/>
    <w:rsid w:val="00893DAE"/>
    <w:rsid w:val="008B3181"/>
    <w:rsid w:val="008C3587"/>
    <w:rsid w:val="008C3996"/>
    <w:rsid w:val="008C3E93"/>
    <w:rsid w:val="008D5047"/>
    <w:rsid w:val="008E4F83"/>
    <w:rsid w:val="008E5C45"/>
    <w:rsid w:val="008F1AF9"/>
    <w:rsid w:val="00902161"/>
    <w:rsid w:val="00904A04"/>
    <w:rsid w:val="00905CB9"/>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92DFA"/>
    <w:rsid w:val="00996F31"/>
    <w:rsid w:val="009979FD"/>
    <w:rsid w:val="009A55F3"/>
    <w:rsid w:val="009B10BE"/>
    <w:rsid w:val="009B78C2"/>
    <w:rsid w:val="009C29A3"/>
    <w:rsid w:val="009C517C"/>
    <w:rsid w:val="009C5643"/>
    <w:rsid w:val="009C6DAD"/>
    <w:rsid w:val="009D5343"/>
    <w:rsid w:val="009D55C4"/>
    <w:rsid w:val="009E0530"/>
    <w:rsid w:val="009E49C7"/>
    <w:rsid w:val="009E7598"/>
    <w:rsid w:val="009F2F4A"/>
    <w:rsid w:val="009F4CCF"/>
    <w:rsid w:val="009F4CEA"/>
    <w:rsid w:val="00A03844"/>
    <w:rsid w:val="00A20E85"/>
    <w:rsid w:val="00A403CB"/>
    <w:rsid w:val="00A42BDC"/>
    <w:rsid w:val="00A44B42"/>
    <w:rsid w:val="00A53715"/>
    <w:rsid w:val="00A55A7F"/>
    <w:rsid w:val="00A63064"/>
    <w:rsid w:val="00A63261"/>
    <w:rsid w:val="00A70669"/>
    <w:rsid w:val="00A84FEB"/>
    <w:rsid w:val="00A977EC"/>
    <w:rsid w:val="00A97A6F"/>
    <w:rsid w:val="00AB131C"/>
    <w:rsid w:val="00AC1677"/>
    <w:rsid w:val="00AC42B7"/>
    <w:rsid w:val="00AC5B81"/>
    <w:rsid w:val="00AD0386"/>
    <w:rsid w:val="00AD36EA"/>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45F68"/>
    <w:rsid w:val="00B52066"/>
    <w:rsid w:val="00B53500"/>
    <w:rsid w:val="00B54455"/>
    <w:rsid w:val="00B54E66"/>
    <w:rsid w:val="00B54EE8"/>
    <w:rsid w:val="00B80536"/>
    <w:rsid w:val="00B960A9"/>
    <w:rsid w:val="00B97136"/>
    <w:rsid w:val="00BA0384"/>
    <w:rsid w:val="00BA0A8B"/>
    <w:rsid w:val="00BB0F71"/>
    <w:rsid w:val="00BC1157"/>
    <w:rsid w:val="00BC1700"/>
    <w:rsid w:val="00BC3165"/>
    <w:rsid w:val="00BC58A7"/>
    <w:rsid w:val="00BC7B90"/>
    <w:rsid w:val="00BE414D"/>
    <w:rsid w:val="00BE547C"/>
    <w:rsid w:val="00C017FE"/>
    <w:rsid w:val="00C049EB"/>
    <w:rsid w:val="00C06829"/>
    <w:rsid w:val="00C421B6"/>
    <w:rsid w:val="00C508C1"/>
    <w:rsid w:val="00C54267"/>
    <w:rsid w:val="00C603AA"/>
    <w:rsid w:val="00C6242C"/>
    <w:rsid w:val="00C64E97"/>
    <w:rsid w:val="00C758E2"/>
    <w:rsid w:val="00C92C88"/>
    <w:rsid w:val="00C96206"/>
    <w:rsid w:val="00C967AF"/>
    <w:rsid w:val="00CD2E71"/>
    <w:rsid w:val="00CE0EED"/>
    <w:rsid w:val="00CE4310"/>
    <w:rsid w:val="00CE4D4F"/>
    <w:rsid w:val="00CE4D93"/>
    <w:rsid w:val="00CE796D"/>
    <w:rsid w:val="00CE7D39"/>
    <w:rsid w:val="00CF27A1"/>
    <w:rsid w:val="00D05321"/>
    <w:rsid w:val="00D144B4"/>
    <w:rsid w:val="00D14F4B"/>
    <w:rsid w:val="00D23A6E"/>
    <w:rsid w:val="00D24346"/>
    <w:rsid w:val="00D25B44"/>
    <w:rsid w:val="00D27FD8"/>
    <w:rsid w:val="00D37117"/>
    <w:rsid w:val="00D422DA"/>
    <w:rsid w:val="00D43CA1"/>
    <w:rsid w:val="00D453B3"/>
    <w:rsid w:val="00D473B6"/>
    <w:rsid w:val="00D50515"/>
    <w:rsid w:val="00D52D79"/>
    <w:rsid w:val="00D611F5"/>
    <w:rsid w:val="00D61C23"/>
    <w:rsid w:val="00D67157"/>
    <w:rsid w:val="00D7091B"/>
    <w:rsid w:val="00D737D3"/>
    <w:rsid w:val="00D73B4C"/>
    <w:rsid w:val="00D7441E"/>
    <w:rsid w:val="00D805D4"/>
    <w:rsid w:val="00D91963"/>
    <w:rsid w:val="00D91D3F"/>
    <w:rsid w:val="00D932FE"/>
    <w:rsid w:val="00D95E46"/>
    <w:rsid w:val="00DA4A29"/>
    <w:rsid w:val="00DA51BA"/>
    <w:rsid w:val="00DA61CE"/>
    <w:rsid w:val="00DC05AA"/>
    <w:rsid w:val="00DC18EA"/>
    <w:rsid w:val="00DC1A76"/>
    <w:rsid w:val="00DC432D"/>
    <w:rsid w:val="00DD3E62"/>
    <w:rsid w:val="00DD4C4F"/>
    <w:rsid w:val="00DE238E"/>
    <w:rsid w:val="00DE3801"/>
    <w:rsid w:val="00DF1201"/>
    <w:rsid w:val="00DF59FE"/>
    <w:rsid w:val="00E01326"/>
    <w:rsid w:val="00E13D86"/>
    <w:rsid w:val="00E21FCF"/>
    <w:rsid w:val="00E22201"/>
    <w:rsid w:val="00E32B91"/>
    <w:rsid w:val="00E46283"/>
    <w:rsid w:val="00E51536"/>
    <w:rsid w:val="00E5235C"/>
    <w:rsid w:val="00E527B7"/>
    <w:rsid w:val="00E52F39"/>
    <w:rsid w:val="00E54656"/>
    <w:rsid w:val="00E55CA7"/>
    <w:rsid w:val="00E60A0E"/>
    <w:rsid w:val="00E610B4"/>
    <w:rsid w:val="00E6226C"/>
    <w:rsid w:val="00E64F68"/>
    <w:rsid w:val="00E71C7D"/>
    <w:rsid w:val="00E72359"/>
    <w:rsid w:val="00E72A42"/>
    <w:rsid w:val="00E75D42"/>
    <w:rsid w:val="00E83AF9"/>
    <w:rsid w:val="00E8533C"/>
    <w:rsid w:val="00E87531"/>
    <w:rsid w:val="00E909EF"/>
    <w:rsid w:val="00E912EA"/>
    <w:rsid w:val="00E93DEE"/>
    <w:rsid w:val="00E94233"/>
    <w:rsid w:val="00E97B37"/>
    <w:rsid w:val="00EA0C18"/>
    <w:rsid w:val="00EB1EB0"/>
    <w:rsid w:val="00EB6243"/>
    <w:rsid w:val="00EB6A49"/>
    <w:rsid w:val="00EC1E41"/>
    <w:rsid w:val="00EC334D"/>
    <w:rsid w:val="00EC7C8E"/>
    <w:rsid w:val="00ED203C"/>
    <w:rsid w:val="00ED2A8D"/>
    <w:rsid w:val="00EE2721"/>
    <w:rsid w:val="00EE2B3C"/>
    <w:rsid w:val="00EE6220"/>
    <w:rsid w:val="00EE6EC3"/>
    <w:rsid w:val="00EF4E77"/>
    <w:rsid w:val="00EF5F4B"/>
    <w:rsid w:val="00F1700E"/>
    <w:rsid w:val="00F2082F"/>
    <w:rsid w:val="00F24042"/>
    <w:rsid w:val="00F24E51"/>
    <w:rsid w:val="00F26FBC"/>
    <w:rsid w:val="00F311EF"/>
    <w:rsid w:val="00F35789"/>
    <w:rsid w:val="00F4497B"/>
    <w:rsid w:val="00F51745"/>
    <w:rsid w:val="00F67E3B"/>
    <w:rsid w:val="00F75689"/>
    <w:rsid w:val="00F81053"/>
    <w:rsid w:val="00F82C8A"/>
    <w:rsid w:val="00F84E58"/>
    <w:rsid w:val="00F86F59"/>
    <w:rsid w:val="00F8711E"/>
    <w:rsid w:val="00F9364C"/>
    <w:rsid w:val="00F94662"/>
    <w:rsid w:val="00F94F06"/>
    <w:rsid w:val="00F956B7"/>
    <w:rsid w:val="00FA7BC0"/>
    <w:rsid w:val="00FB4292"/>
    <w:rsid w:val="00FC1319"/>
    <w:rsid w:val="00FC4688"/>
    <w:rsid w:val="00FC5AC5"/>
    <w:rsid w:val="00FC7AD4"/>
    <w:rsid w:val="00FD1CB6"/>
    <w:rsid w:val="00FD56EB"/>
    <w:rsid w:val="00FE12AA"/>
    <w:rsid w:val="00FE31E8"/>
    <w:rsid w:val="00FE7650"/>
    <w:rsid w:val="012F0076"/>
    <w:rsid w:val="01526812"/>
    <w:rsid w:val="016B3CA6"/>
    <w:rsid w:val="01BC0AEB"/>
    <w:rsid w:val="01CD7511"/>
    <w:rsid w:val="02430B2B"/>
    <w:rsid w:val="03366EC4"/>
    <w:rsid w:val="03386882"/>
    <w:rsid w:val="03BD6251"/>
    <w:rsid w:val="03CF276F"/>
    <w:rsid w:val="03E4059C"/>
    <w:rsid w:val="05052E25"/>
    <w:rsid w:val="05C01831"/>
    <w:rsid w:val="0662250D"/>
    <w:rsid w:val="069756C9"/>
    <w:rsid w:val="06D64DF9"/>
    <w:rsid w:val="06EA41D2"/>
    <w:rsid w:val="06F82B78"/>
    <w:rsid w:val="072E42E3"/>
    <w:rsid w:val="08866B3C"/>
    <w:rsid w:val="08A442E8"/>
    <w:rsid w:val="08D3679E"/>
    <w:rsid w:val="0968446C"/>
    <w:rsid w:val="09880AD8"/>
    <w:rsid w:val="0AA5328F"/>
    <w:rsid w:val="0B134589"/>
    <w:rsid w:val="0B4007D0"/>
    <w:rsid w:val="0B7E48FD"/>
    <w:rsid w:val="0BF976A8"/>
    <w:rsid w:val="0BFB0153"/>
    <w:rsid w:val="0C7C05BC"/>
    <w:rsid w:val="0CF92C66"/>
    <w:rsid w:val="0CFC2EE8"/>
    <w:rsid w:val="0D145694"/>
    <w:rsid w:val="0D417D41"/>
    <w:rsid w:val="0D9F0F57"/>
    <w:rsid w:val="0E0E72EC"/>
    <w:rsid w:val="0E545AFA"/>
    <w:rsid w:val="0E7D198F"/>
    <w:rsid w:val="0EEB1E79"/>
    <w:rsid w:val="0EF068D9"/>
    <w:rsid w:val="0F4628FA"/>
    <w:rsid w:val="0F594D76"/>
    <w:rsid w:val="0FB34829"/>
    <w:rsid w:val="104602F5"/>
    <w:rsid w:val="105B51DC"/>
    <w:rsid w:val="10B02E63"/>
    <w:rsid w:val="10B164C8"/>
    <w:rsid w:val="10C14D02"/>
    <w:rsid w:val="11C22947"/>
    <w:rsid w:val="11C96F3F"/>
    <w:rsid w:val="1268239A"/>
    <w:rsid w:val="126A5F2F"/>
    <w:rsid w:val="1308440F"/>
    <w:rsid w:val="13404493"/>
    <w:rsid w:val="134F26C0"/>
    <w:rsid w:val="135607B7"/>
    <w:rsid w:val="14537884"/>
    <w:rsid w:val="14593BBF"/>
    <w:rsid w:val="146D65E0"/>
    <w:rsid w:val="14D56C28"/>
    <w:rsid w:val="151C338A"/>
    <w:rsid w:val="153D594A"/>
    <w:rsid w:val="1565002B"/>
    <w:rsid w:val="164973BC"/>
    <w:rsid w:val="165B60F7"/>
    <w:rsid w:val="173D66F2"/>
    <w:rsid w:val="17430389"/>
    <w:rsid w:val="175C0959"/>
    <w:rsid w:val="17716B08"/>
    <w:rsid w:val="177941D0"/>
    <w:rsid w:val="17DC532F"/>
    <w:rsid w:val="17F138A8"/>
    <w:rsid w:val="18800267"/>
    <w:rsid w:val="19731B79"/>
    <w:rsid w:val="1A024AC4"/>
    <w:rsid w:val="1A532ADC"/>
    <w:rsid w:val="1AA57B5F"/>
    <w:rsid w:val="1B093F61"/>
    <w:rsid w:val="1B260840"/>
    <w:rsid w:val="1BCF3A2A"/>
    <w:rsid w:val="1BE3189B"/>
    <w:rsid w:val="1C2407D2"/>
    <w:rsid w:val="1C392717"/>
    <w:rsid w:val="1CA058A4"/>
    <w:rsid w:val="1CAF5838"/>
    <w:rsid w:val="1D314742"/>
    <w:rsid w:val="1D947067"/>
    <w:rsid w:val="1E5006DD"/>
    <w:rsid w:val="1E626810"/>
    <w:rsid w:val="1E7C1444"/>
    <w:rsid w:val="1EAD7881"/>
    <w:rsid w:val="1EE44777"/>
    <w:rsid w:val="1F3544E8"/>
    <w:rsid w:val="1F3A1F0D"/>
    <w:rsid w:val="1F515A41"/>
    <w:rsid w:val="21432F64"/>
    <w:rsid w:val="215B1690"/>
    <w:rsid w:val="21D218F6"/>
    <w:rsid w:val="21EE38EF"/>
    <w:rsid w:val="2232764F"/>
    <w:rsid w:val="224A72AF"/>
    <w:rsid w:val="22547760"/>
    <w:rsid w:val="22723839"/>
    <w:rsid w:val="22BC30AB"/>
    <w:rsid w:val="23C823BC"/>
    <w:rsid w:val="24057464"/>
    <w:rsid w:val="24A42D4D"/>
    <w:rsid w:val="24F46692"/>
    <w:rsid w:val="24FE0C04"/>
    <w:rsid w:val="2531464F"/>
    <w:rsid w:val="25557F8E"/>
    <w:rsid w:val="263F2B24"/>
    <w:rsid w:val="264609DC"/>
    <w:rsid w:val="269E0899"/>
    <w:rsid w:val="26D60601"/>
    <w:rsid w:val="26E51EF5"/>
    <w:rsid w:val="26FE01DA"/>
    <w:rsid w:val="27D81AE8"/>
    <w:rsid w:val="28012834"/>
    <w:rsid w:val="28017784"/>
    <w:rsid w:val="287F157E"/>
    <w:rsid w:val="28DD78F7"/>
    <w:rsid w:val="2B7A199A"/>
    <w:rsid w:val="2BB97180"/>
    <w:rsid w:val="2C0315C8"/>
    <w:rsid w:val="2C316AF3"/>
    <w:rsid w:val="2C5300D5"/>
    <w:rsid w:val="2D2864D4"/>
    <w:rsid w:val="2D6405B3"/>
    <w:rsid w:val="2DA50ED6"/>
    <w:rsid w:val="2DAA40C0"/>
    <w:rsid w:val="2DD24CCF"/>
    <w:rsid w:val="2DD32383"/>
    <w:rsid w:val="2DE50909"/>
    <w:rsid w:val="2E0D7B68"/>
    <w:rsid w:val="2EB1759E"/>
    <w:rsid w:val="2EE72320"/>
    <w:rsid w:val="2EE8455C"/>
    <w:rsid w:val="2F7C3139"/>
    <w:rsid w:val="2FC414F3"/>
    <w:rsid w:val="2FE60929"/>
    <w:rsid w:val="304B535E"/>
    <w:rsid w:val="308F2EFD"/>
    <w:rsid w:val="309E2A29"/>
    <w:rsid w:val="30D70117"/>
    <w:rsid w:val="3123695D"/>
    <w:rsid w:val="31274B61"/>
    <w:rsid w:val="314B29C9"/>
    <w:rsid w:val="3163707D"/>
    <w:rsid w:val="31986FB8"/>
    <w:rsid w:val="32252B0C"/>
    <w:rsid w:val="32A81084"/>
    <w:rsid w:val="32D70991"/>
    <w:rsid w:val="33DC14FA"/>
    <w:rsid w:val="34F34C56"/>
    <w:rsid w:val="357A5788"/>
    <w:rsid w:val="35C77D58"/>
    <w:rsid w:val="36530971"/>
    <w:rsid w:val="36561BAE"/>
    <w:rsid w:val="36610C56"/>
    <w:rsid w:val="366B24CA"/>
    <w:rsid w:val="376916D4"/>
    <w:rsid w:val="38095396"/>
    <w:rsid w:val="385666E5"/>
    <w:rsid w:val="38DB70E7"/>
    <w:rsid w:val="39131B39"/>
    <w:rsid w:val="3A006510"/>
    <w:rsid w:val="3A0562C0"/>
    <w:rsid w:val="3AD16F1E"/>
    <w:rsid w:val="3B146091"/>
    <w:rsid w:val="3B192EFF"/>
    <w:rsid w:val="3B787D9D"/>
    <w:rsid w:val="3BCE25E6"/>
    <w:rsid w:val="3C1222BB"/>
    <w:rsid w:val="3C1B106D"/>
    <w:rsid w:val="3C3D0825"/>
    <w:rsid w:val="3CA053BD"/>
    <w:rsid w:val="3CEA2ACF"/>
    <w:rsid w:val="3D0B3B1A"/>
    <w:rsid w:val="3D0C77C5"/>
    <w:rsid w:val="3D7811AB"/>
    <w:rsid w:val="3E9058B1"/>
    <w:rsid w:val="3EA7753D"/>
    <w:rsid w:val="3EAE72F5"/>
    <w:rsid w:val="3F3618F0"/>
    <w:rsid w:val="3FAE1CEA"/>
    <w:rsid w:val="3FC14E74"/>
    <w:rsid w:val="40275E65"/>
    <w:rsid w:val="404A6865"/>
    <w:rsid w:val="40BD25B1"/>
    <w:rsid w:val="41BC1F10"/>
    <w:rsid w:val="424B3AFB"/>
    <w:rsid w:val="42E250CC"/>
    <w:rsid w:val="42E6415B"/>
    <w:rsid w:val="43765341"/>
    <w:rsid w:val="43991D15"/>
    <w:rsid w:val="43EA646C"/>
    <w:rsid w:val="45E60474"/>
    <w:rsid w:val="46886E13"/>
    <w:rsid w:val="46CE0949"/>
    <w:rsid w:val="47080310"/>
    <w:rsid w:val="476756F9"/>
    <w:rsid w:val="47756B56"/>
    <w:rsid w:val="478F3EA7"/>
    <w:rsid w:val="480039A2"/>
    <w:rsid w:val="48076910"/>
    <w:rsid w:val="482B5C12"/>
    <w:rsid w:val="489E2C81"/>
    <w:rsid w:val="492C3528"/>
    <w:rsid w:val="49A17919"/>
    <w:rsid w:val="49B4651F"/>
    <w:rsid w:val="49E329B9"/>
    <w:rsid w:val="4A31249C"/>
    <w:rsid w:val="4A9C1DE8"/>
    <w:rsid w:val="4AA012C3"/>
    <w:rsid w:val="4CE6400E"/>
    <w:rsid w:val="4CF906E8"/>
    <w:rsid w:val="4D24345F"/>
    <w:rsid w:val="4D5670A7"/>
    <w:rsid w:val="4D5D1F52"/>
    <w:rsid w:val="4D7B0BEE"/>
    <w:rsid w:val="4E390E43"/>
    <w:rsid w:val="4E540763"/>
    <w:rsid w:val="4EB0364A"/>
    <w:rsid w:val="4F1D59C7"/>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69C72A8"/>
    <w:rsid w:val="57787D9B"/>
    <w:rsid w:val="577C1E80"/>
    <w:rsid w:val="58A626FD"/>
    <w:rsid w:val="58F05AD9"/>
    <w:rsid w:val="5A443F9B"/>
    <w:rsid w:val="5A812E59"/>
    <w:rsid w:val="5ABA7460"/>
    <w:rsid w:val="5AF779F8"/>
    <w:rsid w:val="5B9C24F1"/>
    <w:rsid w:val="5BB46CAC"/>
    <w:rsid w:val="5BCD1AF1"/>
    <w:rsid w:val="5BF37197"/>
    <w:rsid w:val="5BF709E8"/>
    <w:rsid w:val="5CFA1CEF"/>
    <w:rsid w:val="5D0659E9"/>
    <w:rsid w:val="5D2C49EA"/>
    <w:rsid w:val="5D3A5DF4"/>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34A6326"/>
    <w:rsid w:val="6445786C"/>
    <w:rsid w:val="647734A0"/>
    <w:rsid w:val="6567607D"/>
    <w:rsid w:val="65861C11"/>
    <w:rsid w:val="65C02314"/>
    <w:rsid w:val="65F30E1E"/>
    <w:rsid w:val="66533E04"/>
    <w:rsid w:val="666653A9"/>
    <w:rsid w:val="6685543F"/>
    <w:rsid w:val="67AC14B0"/>
    <w:rsid w:val="67AD4E88"/>
    <w:rsid w:val="68567627"/>
    <w:rsid w:val="69247457"/>
    <w:rsid w:val="695E5261"/>
    <w:rsid w:val="698A4060"/>
    <w:rsid w:val="69E14866"/>
    <w:rsid w:val="6A8D0CCF"/>
    <w:rsid w:val="6B0A5059"/>
    <w:rsid w:val="6B1242F8"/>
    <w:rsid w:val="6BA90006"/>
    <w:rsid w:val="6C161E18"/>
    <w:rsid w:val="6CBB08C6"/>
    <w:rsid w:val="6CE70ADE"/>
    <w:rsid w:val="6D2A351D"/>
    <w:rsid w:val="6D2C5AA6"/>
    <w:rsid w:val="6E3431D3"/>
    <w:rsid w:val="6E815E20"/>
    <w:rsid w:val="6F827E1F"/>
    <w:rsid w:val="6FBE33DD"/>
    <w:rsid w:val="70340B6B"/>
    <w:rsid w:val="70695629"/>
    <w:rsid w:val="70B51586"/>
    <w:rsid w:val="71BB3FC4"/>
    <w:rsid w:val="71C9438B"/>
    <w:rsid w:val="71EB232F"/>
    <w:rsid w:val="71F22395"/>
    <w:rsid w:val="72182FA2"/>
    <w:rsid w:val="732F3A9D"/>
    <w:rsid w:val="736E713E"/>
    <w:rsid w:val="73785D89"/>
    <w:rsid w:val="73821076"/>
    <w:rsid w:val="73AA2969"/>
    <w:rsid w:val="73B22405"/>
    <w:rsid w:val="73CF1F2D"/>
    <w:rsid w:val="73D611E7"/>
    <w:rsid w:val="73F94FD2"/>
    <w:rsid w:val="73FC1BEE"/>
    <w:rsid w:val="743E7D8E"/>
    <w:rsid w:val="74822716"/>
    <w:rsid w:val="74A77D79"/>
    <w:rsid w:val="74BB2C8C"/>
    <w:rsid w:val="74CC5805"/>
    <w:rsid w:val="74EE2280"/>
    <w:rsid w:val="75041DB2"/>
    <w:rsid w:val="750D3D28"/>
    <w:rsid w:val="756176A1"/>
    <w:rsid w:val="76471064"/>
    <w:rsid w:val="76661DD9"/>
    <w:rsid w:val="76D45B66"/>
    <w:rsid w:val="76FE2417"/>
    <w:rsid w:val="771E653D"/>
    <w:rsid w:val="77675BDB"/>
    <w:rsid w:val="77E43F55"/>
    <w:rsid w:val="77FD4A16"/>
    <w:rsid w:val="788E700F"/>
    <w:rsid w:val="78A44D2E"/>
    <w:rsid w:val="79D85CE8"/>
    <w:rsid w:val="7A1E0BB7"/>
    <w:rsid w:val="7A322C02"/>
    <w:rsid w:val="7A651B82"/>
    <w:rsid w:val="7A7B24FD"/>
    <w:rsid w:val="7AB451B9"/>
    <w:rsid w:val="7AC33E5C"/>
    <w:rsid w:val="7AF65F04"/>
    <w:rsid w:val="7B072853"/>
    <w:rsid w:val="7B34086B"/>
    <w:rsid w:val="7BA10F88"/>
    <w:rsid w:val="7CA44252"/>
    <w:rsid w:val="7CFC520A"/>
    <w:rsid w:val="7D2846D4"/>
    <w:rsid w:val="7DB479EE"/>
    <w:rsid w:val="7DCD6635"/>
    <w:rsid w:val="7EE36967"/>
    <w:rsid w:val="7F243CF6"/>
    <w:rsid w:val="7F4108E0"/>
    <w:rsid w:val="7F757C07"/>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paragraph" w:styleId="6">
    <w:name w:val="heading 4"/>
    <w:basedOn w:val="1"/>
    <w:next w:val="1"/>
    <w:unhideWhenUsed/>
    <w:qFormat/>
    <w:uiPriority w:val="0"/>
    <w:pPr>
      <w:keepNext/>
      <w:keepLines/>
      <w:numPr>
        <w:ilvl w:val="3"/>
        <w:numId w:val="1"/>
      </w:numPr>
      <w:spacing w:before="120" w:after="120" w:line="360" w:lineRule="auto"/>
      <w:outlineLvl w:val="3"/>
    </w:pPr>
    <w:rPr>
      <w:rFonts w:eastAsia="Calibri" w:asciiTheme="majorHAnsi" w:hAnsiTheme="majorHAnsi" w:cstheme="majorBidi"/>
      <w:b/>
      <w:bCs/>
      <w:sz w:val="24"/>
      <w:szCs w:val="28"/>
    </w:rPr>
  </w:style>
  <w:style w:type="paragraph" w:styleId="7">
    <w:name w:val="heading 5"/>
    <w:basedOn w:val="1"/>
    <w:next w:val="1"/>
    <w:unhideWhenUsed/>
    <w:qFormat/>
    <w:uiPriority w:val="0"/>
    <w:pPr>
      <w:keepNext/>
      <w:keepLines/>
      <w:numPr>
        <w:ilvl w:val="4"/>
        <w:numId w:val="1"/>
      </w:numPr>
      <w:spacing w:before="120" w:after="120" w:line="360" w:lineRule="auto"/>
      <w:outlineLvl w:val="4"/>
    </w:pPr>
    <w:rPr>
      <w:rFonts w:eastAsia="黑体"/>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afterLines="0" w:line="480" w:lineRule="auto"/>
      <w:ind w:left="420" w:leftChars="200"/>
    </w:pPr>
  </w:style>
  <w:style w:type="paragraph" w:styleId="8">
    <w:name w:val="toc 7"/>
    <w:basedOn w:val="1"/>
    <w:next w:val="1"/>
    <w:qFormat/>
    <w:uiPriority w:val="0"/>
    <w:pPr>
      <w:ind w:left="2520" w:leftChars="1200"/>
    </w:pPr>
  </w:style>
  <w:style w:type="paragraph" w:styleId="9">
    <w:name w:val="Normal Indent"/>
    <w:basedOn w:val="1"/>
    <w:qFormat/>
    <w:uiPriority w:val="0"/>
    <w:pPr>
      <w:ind w:firstLine="200" w:firstLineChars="200"/>
    </w:pPr>
  </w:style>
  <w:style w:type="paragraph" w:styleId="10">
    <w:name w:val="Document Map"/>
    <w:basedOn w:val="1"/>
    <w:link w:val="39"/>
    <w:qFormat/>
    <w:uiPriority w:val="0"/>
    <w:rPr>
      <w:rFonts w:ascii="宋体"/>
      <w:sz w:val="18"/>
      <w:szCs w:val="18"/>
    </w:rPr>
  </w:style>
  <w:style w:type="paragraph" w:styleId="11">
    <w:name w:val="annotation text"/>
    <w:basedOn w:val="1"/>
    <w:link w:val="42"/>
    <w:qFormat/>
    <w:uiPriority w:val="0"/>
    <w:pPr>
      <w:jc w:val="left"/>
    </w:pPr>
  </w:style>
  <w:style w:type="paragraph" w:styleId="12">
    <w:name w:val="Body Text"/>
    <w:basedOn w:val="1"/>
    <w:qFormat/>
    <w:uiPriority w:val="0"/>
    <w:pPr>
      <w:spacing w:after="120" w:line="240" w:lineRule="auto"/>
      <w:ind w:firstLine="0" w:firstLineChars="0"/>
    </w:pPr>
    <w:rPr>
      <w:rFonts w:ascii="Times New Roman" w:hAnsi="Times New Roman" w:cs="Times New Roman"/>
      <w:sz w:val="21"/>
      <w:szCs w:val="24"/>
    </w:rPr>
  </w:style>
  <w:style w:type="paragraph" w:styleId="13">
    <w:name w:val="Body Text Indent"/>
    <w:basedOn w:val="1"/>
    <w:qFormat/>
    <w:uiPriority w:val="0"/>
    <w:pPr>
      <w:ind w:firstLine="630"/>
    </w:pPr>
    <w:rPr>
      <w:sz w:val="32"/>
      <w:szCs w:val="20"/>
    </w:rPr>
  </w:style>
  <w:style w:type="paragraph" w:styleId="14">
    <w:name w:val="toc 5"/>
    <w:basedOn w:val="1"/>
    <w:next w:val="1"/>
    <w:qFormat/>
    <w:uiPriority w:val="0"/>
    <w:pPr>
      <w:ind w:left="1680" w:leftChars="800"/>
    </w:pPr>
  </w:style>
  <w:style w:type="paragraph" w:styleId="15">
    <w:name w:val="toc 3"/>
    <w:basedOn w:val="1"/>
    <w:next w:val="1"/>
    <w:qFormat/>
    <w:uiPriority w:val="0"/>
    <w:pPr>
      <w:ind w:left="840" w:leftChars="400"/>
    </w:pPr>
  </w:style>
  <w:style w:type="paragraph" w:styleId="16">
    <w:name w:val="Plain Text"/>
    <w:basedOn w:val="1"/>
    <w:qFormat/>
    <w:uiPriority w:val="0"/>
    <w:rPr>
      <w:rFonts w:ascii="宋体" w:hAnsi="Courier New"/>
    </w:rPr>
  </w:style>
  <w:style w:type="paragraph" w:styleId="17">
    <w:name w:val="toc 8"/>
    <w:basedOn w:val="1"/>
    <w:next w:val="1"/>
    <w:qFormat/>
    <w:uiPriority w:val="0"/>
    <w:pPr>
      <w:ind w:left="2940" w:leftChars="1400"/>
    </w:pPr>
  </w:style>
  <w:style w:type="paragraph" w:styleId="18">
    <w:name w:val="Balloon Text"/>
    <w:basedOn w:val="1"/>
    <w:link w:val="41"/>
    <w:qFormat/>
    <w:uiPriority w:val="0"/>
    <w:rPr>
      <w:sz w:val="18"/>
      <w:szCs w:val="18"/>
    </w:rPr>
  </w:style>
  <w:style w:type="paragraph" w:styleId="19">
    <w:name w:val="footer"/>
    <w:basedOn w:val="1"/>
    <w:link w:val="49"/>
    <w:qFormat/>
    <w:uiPriority w:val="99"/>
    <w:pPr>
      <w:tabs>
        <w:tab w:val="center" w:pos="4153"/>
        <w:tab w:val="right" w:pos="8306"/>
      </w:tabs>
      <w:snapToGrid w:val="0"/>
      <w:jc w:val="left"/>
    </w:pPr>
    <w:rPr>
      <w:sz w:val="18"/>
      <w:szCs w:val="20"/>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1">
    <w:name w:val="toc 1"/>
    <w:basedOn w:val="1"/>
    <w:next w:val="1"/>
    <w:qFormat/>
    <w:uiPriority w:val="0"/>
  </w:style>
  <w:style w:type="paragraph" w:styleId="22">
    <w:name w:val="toc 4"/>
    <w:basedOn w:val="1"/>
    <w:next w:val="1"/>
    <w:qFormat/>
    <w:uiPriority w:val="0"/>
    <w:pPr>
      <w:ind w:left="1260" w:leftChars="600"/>
    </w:p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annotation subject"/>
    <w:basedOn w:val="11"/>
    <w:next w:val="11"/>
    <w:link w:val="36"/>
    <w:qFormat/>
    <w:uiPriority w:val="0"/>
    <w:rPr>
      <w:b/>
      <w:bCs/>
    </w:rPr>
  </w:style>
  <w:style w:type="table" w:styleId="29">
    <w:name w:val="Table Grid"/>
    <w:basedOn w:val="28"/>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unhideWhenUsed/>
    <w:qFormat/>
    <w:uiPriority w:val="99"/>
    <w:rPr>
      <w:color w:val="0563C1" w:themeColor="hyperlink"/>
      <w:u w:val="single"/>
      <w14:textFill>
        <w14:solidFill>
          <w14:schemeClr w14:val="hlink"/>
        </w14:solidFill>
      </w14:textFill>
    </w:rPr>
  </w:style>
  <w:style w:type="character" w:styleId="33">
    <w:name w:val="annotation reference"/>
    <w:qFormat/>
    <w:uiPriority w:val="99"/>
    <w:rPr>
      <w:sz w:val="21"/>
      <w:szCs w:val="21"/>
    </w:rPr>
  </w:style>
  <w:style w:type="character" w:customStyle="1" w:styleId="34">
    <w:name w:val="标题 1 Char"/>
    <w:link w:val="3"/>
    <w:qFormat/>
    <w:uiPriority w:val="0"/>
    <w:rPr>
      <w:b/>
      <w:bCs/>
      <w:kern w:val="44"/>
      <w:sz w:val="44"/>
      <w:szCs w:val="44"/>
    </w:rPr>
  </w:style>
  <w:style w:type="character" w:customStyle="1" w:styleId="35">
    <w:name w:val="font101"/>
    <w:qFormat/>
    <w:uiPriority w:val="0"/>
    <w:rPr>
      <w:rFonts w:hint="eastAsia" w:ascii="宋体" w:hAnsi="宋体" w:eastAsia="宋体" w:cs="宋体"/>
      <w:color w:val="000000"/>
      <w:sz w:val="21"/>
      <w:szCs w:val="21"/>
      <w:u w:val="single"/>
    </w:rPr>
  </w:style>
  <w:style w:type="character" w:customStyle="1" w:styleId="36">
    <w:name w:val="批注主题 Char"/>
    <w:link w:val="27"/>
    <w:qFormat/>
    <w:uiPriority w:val="0"/>
    <w:rPr>
      <w:b/>
      <w:bCs/>
      <w:kern w:val="2"/>
      <w:sz w:val="21"/>
      <w:szCs w:val="24"/>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font111"/>
    <w:qFormat/>
    <w:uiPriority w:val="0"/>
    <w:rPr>
      <w:rFonts w:hint="default" w:ascii="Eʩ" w:hAnsi="Eʩ" w:eastAsia="Eʩ" w:cs="Eʩ"/>
      <w:color w:val="000000"/>
      <w:sz w:val="21"/>
      <w:szCs w:val="21"/>
      <w:u w:val="single"/>
    </w:rPr>
  </w:style>
  <w:style w:type="character" w:customStyle="1" w:styleId="39">
    <w:name w:val="文档结构图 Char"/>
    <w:link w:val="10"/>
    <w:qFormat/>
    <w:uiPriority w:val="0"/>
    <w:rPr>
      <w:rFonts w:ascii="宋体"/>
      <w:kern w:val="2"/>
      <w:sz w:val="18"/>
      <w:szCs w:val="18"/>
    </w:rPr>
  </w:style>
  <w:style w:type="character" w:customStyle="1" w:styleId="40">
    <w:name w:val="font91"/>
    <w:qFormat/>
    <w:uiPriority w:val="0"/>
    <w:rPr>
      <w:rFonts w:hint="eastAsia" w:ascii="宋体" w:hAnsi="宋体" w:eastAsia="宋体" w:cs="宋体"/>
      <w:color w:val="FF0000"/>
      <w:sz w:val="21"/>
      <w:szCs w:val="21"/>
      <w:u w:val="single"/>
    </w:rPr>
  </w:style>
  <w:style w:type="character" w:customStyle="1" w:styleId="41">
    <w:name w:val="批注框文本 Char"/>
    <w:link w:val="18"/>
    <w:qFormat/>
    <w:uiPriority w:val="0"/>
    <w:rPr>
      <w:kern w:val="2"/>
      <w:sz w:val="18"/>
      <w:szCs w:val="18"/>
    </w:rPr>
  </w:style>
  <w:style w:type="character" w:customStyle="1" w:styleId="42">
    <w:name w:val="批注文字 Char"/>
    <w:link w:val="11"/>
    <w:qFormat/>
    <w:uiPriority w:val="0"/>
    <w:rPr>
      <w:kern w:val="2"/>
      <w:sz w:val="21"/>
      <w:szCs w:val="24"/>
    </w:rPr>
  </w:style>
  <w:style w:type="paragraph" w:customStyle="1" w:styleId="43">
    <w:name w:val="_Style 2"/>
    <w:basedOn w:val="1"/>
    <w:qFormat/>
    <w:uiPriority w:val="0"/>
    <w:pPr>
      <w:ind w:firstLine="420" w:firstLineChars="200"/>
    </w:pPr>
    <w:rPr>
      <w:sz w:val="18"/>
      <w:szCs w:val="18"/>
    </w:rPr>
  </w:style>
  <w:style w:type="paragraph" w:customStyle="1" w:styleId="44">
    <w:name w:val="正文首行缩进两字符"/>
    <w:basedOn w:val="1"/>
    <w:qFormat/>
    <w:uiPriority w:val="0"/>
    <w:pPr>
      <w:spacing w:line="360" w:lineRule="auto"/>
      <w:ind w:firstLine="200" w:firstLineChars="200"/>
    </w:pPr>
  </w:style>
  <w:style w:type="paragraph" w:customStyle="1" w:styleId="45">
    <w:name w:val="样式 首行缩进:  2 字符"/>
    <w:basedOn w:val="1"/>
    <w:qFormat/>
    <w:uiPriority w:val="0"/>
    <w:pPr>
      <w:spacing w:line="400" w:lineRule="exact"/>
      <w:ind w:firstLine="200" w:firstLineChars="200"/>
    </w:pPr>
    <w:rPr>
      <w:rFonts w:cs="宋体"/>
      <w:sz w:val="24"/>
    </w:rPr>
  </w:style>
  <w:style w:type="paragraph" w:customStyle="1" w:styleId="46">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7">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8">
    <w:name w:val="List Paragraph"/>
    <w:basedOn w:val="1"/>
    <w:unhideWhenUsed/>
    <w:qFormat/>
    <w:uiPriority w:val="99"/>
    <w:pPr>
      <w:ind w:firstLine="420" w:firstLineChars="200"/>
    </w:pPr>
  </w:style>
  <w:style w:type="character" w:customStyle="1" w:styleId="49">
    <w:name w:val="页脚 Char"/>
    <w:link w:val="19"/>
    <w:qFormat/>
    <w:uiPriority w:val="99"/>
    <w:rPr>
      <w:kern w:val="2"/>
      <w:sz w:val="18"/>
    </w:rPr>
  </w:style>
  <w:style w:type="character" w:customStyle="1" w:styleId="50">
    <w:name w:val="批注文字 Char1"/>
    <w:basedOn w:val="30"/>
    <w:qFormat/>
    <w:uiPriority w:val="0"/>
    <w:rPr>
      <w:rFonts w:ascii="Times New Roman" w:hAnsi="Times New Roman" w:eastAsia="宋体" w:cs="Times New Roman"/>
      <w:szCs w:val="24"/>
    </w:rPr>
  </w:style>
  <w:style w:type="paragraph" w:customStyle="1" w:styleId="51">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2">
    <w:name w:val="A正文小四"/>
    <w:basedOn w:val="1"/>
    <w:qFormat/>
    <w:uiPriority w:val="0"/>
    <w:rPr>
      <w:rFonts w:ascii="Times New Roman" w:hAnsi="Times New Roman" w:cs="Times New Roman"/>
      <w:szCs w:val="24"/>
    </w:rPr>
  </w:style>
  <w:style w:type="paragraph" w:customStyle="1" w:styleId="53">
    <w:name w:val="A正文四号"/>
    <w:basedOn w:val="1"/>
    <w:qFormat/>
    <w:uiPriority w:val="0"/>
    <w:pPr>
      <w:spacing w:line="360" w:lineRule="auto"/>
      <w:ind w:firstLine="200" w:firstLineChars="200"/>
    </w:pPr>
    <w:rPr>
      <w:rFonts w:ascii="Times New Roman" w:hAnsi="Times New Roman" w:eastAsia="宋体" w:cs="Times New Roman"/>
      <w:sz w:val="28"/>
      <w:szCs w:val="24"/>
      <w:lang w:val="zh-CN"/>
    </w:rPr>
  </w:style>
  <w:style w:type="paragraph" w:customStyle="1" w:styleId="54">
    <w:name w:val="标书表格，左对齐"/>
    <w:basedOn w:val="1"/>
    <w:qFormat/>
    <w:uiPriority w:val="0"/>
    <w:pPr>
      <w:wordWrap w:val="0"/>
      <w:ind w:firstLine="0" w:firstLineChars="0"/>
    </w:pPr>
    <w:rPr>
      <w:rFonts w:ascii="Times New Roman" w:hAnsi="Times New Roman" w:eastAsia="仿宋" w:cs="Times New Roman"/>
      <w:kern w:val="0"/>
      <w:szCs w:val="21"/>
    </w:rPr>
  </w:style>
  <w:style w:type="paragraph" w:customStyle="1" w:styleId="55">
    <w:name w:val="列出段落1"/>
    <w:basedOn w:val="1"/>
    <w:qFormat/>
    <w:uiPriority w:val="34"/>
    <w:pPr>
      <w:ind w:firstLine="420" w:firstLineChars="200"/>
    </w:pPr>
  </w:style>
  <w:style w:type="paragraph" w:customStyle="1" w:styleId="56">
    <w:name w:val="_Style 1"/>
    <w:basedOn w:val="1"/>
    <w:qFormat/>
    <w:uiPriority w:val="1"/>
    <w:pPr>
      <w:adjustRightInd w:val="0"/>
      <w:snapToGrid w:val="0"/>
      <w:spacing w:after="200" w:line="240" w:lineRule="auto"/>
      <w:ind w:firstLine="420" w:firstLineChars="200"/>
    </w:pPr>
    <w:rPr>
      <w:rFonts w:ascii="Tahoma" w:hAnsi="Tahoma" w:eastAsia="微软雅黑"/>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microsoft.com/office/2011/relationships/people" Target="people.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309B28-A79C-43DA-984B-BEDC94D4E6F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97</Pages>
  <Words>5470</Words>
  <Characters>31179</Characters>
  <Lines>259</Lines>
  <Paragraphs>73</Paragraphs>
  <TotalTime>9</TotalTime>
  <ScaleCrop>false</ScaleCrop>
  <LinksUpToDate>false</LinksUpToDate>
  <CharactersWithSpaces>36576</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2020-04-26T01:37:00Z</dcterms:created>
  <dc:creator>s</dc:creator>
  <cp:lastModifiedBy>Dazzle</cp:lastModifiedBy>
  <dcterms:modified xsi:type="dcterms:W3CDTF">2021-09-15T14:25:31Z</dcterms:modified>
  <dc:title>招标编号：xxxx [xxxx] xx号</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79B8B72943D44A179B0CDDE6BA5637B2</vt:lpwstr>
  </property>
</Properties>
</file>