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color w:val="auto"/>
          <w:sz w:val="30"/>
          <w:szCs w:val="30"/>
          <w:highlight w:val="none"/>
        </w:rPr>
      </w:pPr>
      <w:bookmarkStart w:id="0" w:name="_Hlt101843627"/>
      <w:bookmarkEnd w:id="0"/>
      <w:bookmarkStart w:id="1" w:name="_Hlt101233737"/>
      <w:bookmarkEnd w:id="1"/>
    </w:p>
    <w:p>
      <w:pPr>
        <w:jc w:val="center"/>
        <w:rPr>
          <w:rFonts w:ascii="仿宋" w:hAnsi="仿宋"/>
          <w:color w:val="auto"/>
          <w:sz w:val="30"/>
          <w:szCs w:val="30"/>
          <w:highlight w:val="none"/>
        </w:rPr>
      </w:pPr>
    </w:p>
    <w:p>
      <w:pPr>
        <w:jc w:val="center"/>
        <w:rPr>
          <w:color w:val="auto"/>
          <w:sz w:val="32"/>
          <w:szCs w:val="32"/>
          <w:highlight w:val="none"/>
        </w:rPr>
      </w:pPr>
      <w:r>
        <w:rPr>
          <w:rFonts w:hint="eastAsia" w:ascii="仿宋" w:hAnsi="仿宋"/>
          <w:color w:val="auto"/>
          <w:sz w:val="32"/>
          <w:szCs w:val="32"/>
          <w:highlight w:val="none"/>
        </w:rPr>
        <w:t>招标编号：</w:t>
      </w:r>
      <w:r>
        <w:rPr>
          <w:rFonts w:hint="eastAsia" w:ascii="仿宋" w:hAnsi="仿宋"/>
          <w:color w:val="auto"/>
          <w:sz w:val="32"/>
          <w:szCs w:val="32"/>
          <w:highlight w:val="none"/>
        </w:rPr>
        <w:t>510188202100293</w:t>
      </w:r>
    </w:p>
    <w:p>
      <w:pPr>
        <w:rPr>
          <w:rFonts w:ascii="仿宋" w:hAnsi="仿宋"/>
          <w:color w:val="auto"/>
          <w:sz w:val="52"/>
          <w:szCs w:val="52"/>
          <w:highlight w:val="none"/>
        </w:rPr>
      </w:pPr>
      <w:r>
        <w:rPr>
          <w:color w:val="auto"/>
          <w:highlight w:val="none"/>
        </w:rPr>
        <w:tab/>
      </w:r>
    </w:p>
    <w:p>
      <w:pPr>
        <w:jc w:val="center"/>
        <w:rPr>
          <w:rFonts w:ascii="仿宋" w:hAnsi="仿宋"/>
          <w:color w:val="auto"/>
          <w:sz w:val="52"/>
          <w:szCs w:val="52"/>
          <w:highlight w:val="none"/>
        </w:rPr>
      </w:pPr>
      <w:r>
        <w:rPr>
          <w:rFonts w:hint="eastAsia" w:ascii="仿宋" w:hAnsi="仿宋"/>
          <w:color w:val="auto"/>
          <w:sz w:val="52"/>
          <w:szCs w:val="52"/>
          <w:highlight w:val="none"/>
        </w:rPr>
        <w:t>成都高新区西园社区卫生服务中心</w:t>
      </w:r>
    </w:p>
    <w:p>
      <w:pPr>
        <w:jc w:val="center"/>
        <w:rPr>
          <w:rFonts w:ascii="仿宋" w:hAnsi="仿宋"/>
          <w:color w:val="auto"/>
          <w:sz w:val="52"/>
          <w:szCs w:val="52"/>
          <w:highlight w:val="none"/>
        </w:rPr>
      </w:pPr>
      <w:r>
        <w:rPr>
          <w:rFonts w:hint="eastAsia" w:ascii="仿宋" w:hAnsi="仿宋"/>
          <w:color w:val="auto"/>
          <w:sz w:val="52"/>
          <w:szCs w:val="52"/>
          <w:highlight w:val="none"/>
        </w:rPr>
        <w:t>其他医疗设备及污水处理设备采购项目</w:t>
      </w:r>
    </w:p>
    <w:p>
      <w:pPr>
        <w:tabs>
          <w:tab w:val="left" w:pos="380"/>
        </w:tabs>
        <w:rPr>
          <w:rFonts w:ascii="仿宋" w:hAnsi="仿宋"/>
          <w:color w:val="auto"/>
          <w:sz w:val="52"/>
          <w:szCs w:val="52"/>
          <w:highlight w:val="none"/>
        </w:rPr>
      </w:pPr>
      <w:r>
        <w:rPr>
          <w:rFonts w:ascii="仿宋" w:hAnsi="仿宋"/>
          <w:color w:val="auto"/>
          <w:sz w:val="52"/>
          <w:szCs w:val="52"/>
          <w:highlight w:val="none"/>
        </w:rPr>
        <w:tab/>
      </w:r>
    </w:p>
    <w:p>
      <w:pPr>
        <w:tabs>
          <w:tab w:val="left" w:pos="2505"/>
          <w:tab w:val="center" w:pos="4204"/>
          <w:tab w:val="center" w:pos="4479"/>
          <w:tab w:val="left" w:pos="7737"/>
        </w:tabs>
        <w:rPr>
          <w:rFonts w:ascii="仿宋" w:hAnsi="仿宋"/>
          <w:color w:val="auto"/>
          <w:sz w:val="52"/>
          <w:szCs w:val="52"/>
          <w:highlight w:val="none"/>
        </w:rPr>
      </w:pPr>
      <w:r>
        <w:rPr>
          <w:rFonts w:ascii="仿宋" w:hAnsi="仿宋"/>
          <w:color w:val="auto"/>
          <w:sz w:val="52"/>
          <w:szCs w:val="52"/>
          <w:highlight w:val="none"/>
        </w:rPr>
        <w:tab/>
      </w:r>
      <w:r>
        <w:rPr>
          <w:rFonts w:ascii="仿宋" w:hAnsi="仿宋"/>
          <w:color w:val="auto"/>
          <w:sz w:val="52"/>
          <w:szCs w:val="52"/>
          <w:highlight w:val="none"/>
        </w:rPr>
        <w:tab/>
      </w:r>
      <w:r>
        <w:rPr>
          <w:rFonts w:ascii="仿宋" w:hAnsi="仿宋"/>
          <w:color w:val="auto"/>
          <w:sz w:val="52"/>
          <w:szCs w:val="52"/>
          <w:highlight w:val="none"/>
        </w:rPr>
        <w:tab/>
      </w:r>
      <w:r>
        <w:rPr>
          <w:rFonts w:hint="eastAsia" w:ascii="仿宋" w:hAnsi="仿宋"/>
          <w:color w:val="auto"/>
          <w:sz w:val="52"/>
          <w:szCs w:val="52"/>
          <w:highlight w:val="none"/>
        </w:rPr>
        <w:t>招</w:t>
      </w:r>
    </w:p>
    <w:p>
      <w:pPr>
        <w:jc w:val="center"/>
        <w:rPr>
          <w:rFonts w:ascii="仿宋" w:hAnsi="仿宋"/>
          <w:color w:val="auto"/>
          <w:sz w:val="52"/>
          <w:szCs w:val="52"/>
          <w:highlight w:val="none"/>
        </w:rPr>
      </w:pPr>
      <w:r>
        <w:rPr>
          <w:rFonts w:hint="eastAsia" w:ascii="仿宋" w:hAnsi="仿宋"/>
          <w:color w:val="auto"/>
          <w:sz w:val="52"/>
          <w:szCs w:val="52"/>
          <w:highlight w:val="none"/>
        </w:rPr>
        <w:t>标</w:t>
      </w:r>
    </w:p>
    <w:p>
      <w:pPr>
        <w:jc w:val="center"/>
        <w:rPr>
          <w:rFonts w:ascii="仿宋" w:hAnsi="仿宋"/>
          <w:color w:val="auto"/>
          <w:sz w:val="52"/>
          <w:szCs w:val="52"/>
          <w:highlight w:val="none"/>
        </w:rPr>
      </w:pPr>
      <w:r>
        <w:rPr>
          <w:rFonts w:hint="eastAsia" w:ascii="仿宋" w:hAnsi="仿宋"/>
          <w:color w:val="auto"/>
          <w:sz w:val="52"/>
          <w:szCs w:val="52"/>
          <w:highlight w:val="none"/>
        </w:rPr>
        <w:t>文</w:t>
      </w:r>
    </w:p>
    <w:p>
      <w:pPr>
        <w:jc w:val="center"/>
        <w:rPr>
          <w:rFonts w:ascii="仿宋" w:hAnsi="仿宋"/>
          <w:color w:val="auto"/>
          <w:sz w:val="52"/>
          <w:szCs w:val="52"/>
          <w:highlight w:val="none"/>
        </w:rPr>
      </w:pPr>
      <w:r>
        <w:rPr>
          <w:rFonts w:hint="eastAsia" w:ascii="仿宋" w:hAnsi="仿宋"/>
          <w:color w:val="auto"/>
          <w:sz w:val="52"/>
          <w:szCs w:val="52"/>
          <w:highlight w:val="none"/>
        </w:rPr>
        <w:t>件</w:t>
      </w:r>
    </w:p>
    <w:p>
      <w:pPr>
        <w:rPr>
          <w:rFonts w:ascii="仿宋" w:hAnsi="仿宋"/>
          <w:color w:val="auto"/>
          <w:sz w:val="52"/>
          <w:szCs w:val="52"/>
          <w:highlight w:val="none"/>
        </w:rPr>
      </w:pPr>
    </w:p>
    <w:p>
      <w:pPr>
        <w:jc w:val="center"/>
        <w:rPr>
          <w:rFonts w:ascii="仿宋" w:hAnsi="仿宋" w:cs="宋体"/>
          <w:color w:val="auto"/>
          <w:sz w:val="32"/>
          <w:szCs w:val="32"/>
          <w:highlight w:val="none"/>
        </w:rPr>
      </w:pPr>
      <w:r>
        <w:rPr>
          <w:rFonts w:hint="eastAsia" w:ascii="仿宋" w:hAnsi="仿宋" w:cs="宋体"/>
          <w:color w:val="auto"/>
          <w:sz w:val="32"/>
          <w:szCs w:val="32"/>
          <w:highlight w:val="none"/>
        </w:rPr>
        <w:t>成都高新区西园社区卫生服务中心</w:t>
      </w:r>
    </w:p>
    <w:p>
      <w:pPr>
        <w:jc w:val="center"/>
        <w:rPr>
          <w:rFonts w:ascii="仿宋" w:hAnsi="仿宋" w:cs="宋体"/>
          <w:color w:val="auto"/>
          <w:sz w:val="32"/>
          <w:szCs w:val="32"/>
          <w:highlight w:val="none"/>
        </w:rPr>
      </w:pPr>
      <w:r>
        <w:rPr>
          <w:rFonts w:hint="eastAsia" w:ascii="仿宋" w:hAnsi="仿宋" w:cs="宋体"/>
          <w:color w:val="auto"/>
          <w:sz w:val="32"/>
          <w:szCs w:val="32"/>
          <w:highlight w:val="none"/>
        </w:rPr>
        <w:t>四川成与诚招标代理有限公司</w:t>
      </w:r>
    </w:p>
    <w:p>
      <w:pPr>
        <w:jc w:val="center"/>
        <w:rPr>
          <w:rFonts w:ascii="仿宋" w:hAnsi="仿宋" w:cs="宋体"/>
          <w:color w:val="auto"/>
          <w:sz w:val="32"/>
          <w:szCs w:val="32"/>
          <w:highlight w:val="none"/>
        </w:rPr>
      </w:pPr>
      <w:r>
        <w:rPr>
          <w:rFonts w:hint="eastAsia" w:ascii="仿宋" w:hAnsi="仿宋" w:cs="宋体"/>
          <w:color w:val="auto"/>
          <w:sz w:val="32"/>
          <w:szCs w:val="32"/>
          <w:highlight w:val="none"/>
        </w:rPr>
        <w:t>共同编制</w:t>
      </w:r>
    </w:p>
    <w:p>
      <w:pPr>
        <w:jc w:val="center"/>
        <w:rPr>
          <w:rFonts w:ascii="仿宋" w:hAnsi="仿宋" w:cs="宋体"/>
          <w:color w:val="auto"/>
          <w:sz w:val="32"/>
          <w:szCs w:val="32"/>
          <w:highlight w:val="none"/>
        </w:rPr>
      </w:pPr>
      <w:r>
        <w:rPr>
          <w:rFonts w:hint="eastAsia" w:ascii="仿宋" w:hAnsi="仿宋" w:cs="宋体"/>
          <w:color w:val="auto"/>
          <w:sz w:val="32"/>
          <w:szCs w:val="32"/>
          <w:highlight w:val="none"/>
        </w:rPr>
        <w:t>二〇二一年十月</w:t>
      </w:r>
    </w:p>
    <w:p>
      <w:pPr>
        <w:spacing w:line="240" w:lineRule="auto"/>
        <w:jc w:val="center"/>
        <w:rPr>
          <w:rFonts w:ascii="仿宋" w:hAnsi="仿宋" w:cs="仿宋"/>
          <w:color w:val="auto"/>
          <w:sz w:val="36"/>
          <w:szCs w:val="44"/>
          <w:highlight w:val="none"/>
        </w:rPr>
        <w:sectPr>
          <w:headerReference r:id="rId6" w:type="first"/>
          <w:headerReference r:id="rId5" w:type="default"/>
          <w:footerReference r:id="rId7" w:type="even"/>
          <w:pgSz w:w="11905" w:h="16838"/>
          <w:pgMar w:top="1417" w:right="1417" w:bottom="1417" w:left="1417" w:header="425" w:footer="992" w:gutter="0"/>
          <w:cols w:space="0" w:num="1"/>
          <w:docGrid w:type="lines" w:linePitch="332" w:charSpace="0"/>
        </w:sectPr>
      </w:pPr>
    </w:p>
    <w:p>
      <w:pPr>
        <w:spacing w:line="240" w:lineRule="auto"/>
        <w:jc w:val="center"/>
        <w:rPr>
          <w:rFonts w:ascii="仿宋" w:hAnsi="仿宋" w:cs="仿宋"/>
          <w:color w:val="auto"/>
          <w:sz w:val="36"/>
          <w:szCs w:val="44"/>
          <w:highlight w:val="none"/>
        </w:rPr>
      </w:pPr>
      <w:r>
        <w:rPr>
          <w:rFonts w:hint="eastAsia" w:ascii="仿宋" w:hAnsi="仿宋" w:cs="仿宋"/>
          <w:color w:val="auto"/>
          <w:sz w:val="36"/>
          <w:szCs w:val="44"/>
          <w:highlight w:val="none"/>
        </w:rPr>
        <w:t>廉洁自律承诺书</w:t>
      </w:r>
    </w:p>
    <w:p>
      <w:pPr>
        <w:spacing w:line="480" w:lineRule="auto"/>
        <w:ind w:firstLine="480" w:firstLineChars="200"/>
        <w:jc w:val="both"/>
        <w:rPr>
          <w:rFonts w:ascii="仿宋" w:hAnsi="仿宋" w:cs="仿宋"/>
          <w:color w:val="auto"/>
          <w:highlight w:val="none"/>
        </w:rPr>
      </w:pP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为进一步规范四川成与诚招标代理有限公司政府采购行为，维护政府采购制度，净化政府采购市场环境。四川成与诚招标代理有限公司在代理政府采购事务过程中郑重承诺：</w:t>
      </w: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二、公司员工遵纪守法，不得以不正当手段争取、承揽代理政府采购事务和向任何单位和个人支付现金、实物或其他利益的行为。</w:t>
      </w: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四、公司员工不得与供应商存在任何商业上的利害关系，不得在供应商单位兼职和任职，不得泄漏政府采购过程中的机密。</w:t>
      </w: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56" w:lineRule="auto"/>
        <w:ind w:firstLine="480" w:firstLineChars="200"/>
        <w:rPr>
          <w:rFonts w:ascii="仿宋" w:hAnsi="仿宋" w:cs="仿宋"/>
          <w:color w:val="auto"/>
          <w:highlight w:val="none"/>
        </w:rPr>
      </w:pPr>
      <w:r>
        <w:rPr>
          <w:rFonts w:hint="eastAsia" w:ascii="仿宋" w:hAnsi="仿宋" w:cs="仿宋"/>
          <w:color w:val="auto"/>
          <w:highlight w:val="none"/>
        </w:rPr>
        <w:t>举报电话：028-83475775</w:t>
      </w:r>
    </w:p>
    <w:p>
      <w:pPr>
        <w:spacing w:line="456" w:lineRule="auto"/>
        <w:ind w:firstLine="480" w:firstLineChars="200"/>
        <w:rPr>
          <w:rFonts w:ascii="仿宋" w:hAnsi="仿宋" w:cs="仿宋"/>
          <w:color w:val="auto"/>
          <w:highlight w:val="none"/>
        </w:rPr>
      </w:pPr>
    </w:p>
    <w:p>
      <w:pPr>
        <w:spacing w:line="456" w:lineRule="auto"/>
        <w:ind w:firstLine="480" w:firstLineChars="200"/>
        <w:jc w:val="right"/>
        <w:rPr>
          <w:rFonts w:ascii="仿宋" w:hAnsi="仿宋" w:cs="宋体"/>
          <w:color w:val="auto"/>
          <w:highlight w:val="none"/>
        </w:rPr>
      </w:pPr>
      <w:r>
        <w:rPr>
          <w:rFonts w:hint="eastAsia" w:ascii="仿宋" w:hAnsi="仿宋" w:cs="宋体"/>
          <w:color w:val="auto"/>
          <w:highlight w:val="none"/>
        </w:rPr>
        <w:t>四川成与诚招标代理有限公司</w:t>
      </w:r>
    </w:p>
    <w:p>
      <w:pPr>
        <w:widowControl/>
        <w:spacing w:line="240" w:lineRule="auto"/>
        <w:rPr>
          <w:rFonts w:ascii="仿宋" w:hAnsi="仿宋" w:cs="宋体"/>
          <w:color w:val="auto"/>
          <w:highlight w:val="none"/>
        </w:rPr>
      </w:pPr>
      <w:r>
        <w:rPr>
          <w:rFonts w:ascii="仿宋" w:hAnsi="仿宋" w:cs="宋体"/>
          <w:color w:val="auto"/>
          <w:highlight w:val="none"/>
        </w:rPr>
        <w:br w:type="page"/>
      </w:r>
    </w:p>
    <w:p>
      <w:pPr>
        <w:jc w:val="center"/>
        <w:rPr>
          <w:rFonts w:ascii="仿宋" w:hAnsi="仿宋" w:cs="仿宋"/>
          <w:color w:val="auto"/>
          <w:sz w:val="36"/>
          <w:szCs w:val="44"/>
          <w:highlight w:val="none"/>
        </w:rPr>
      </w:pPr>
      <w:r>
        <w:rPr>
          <w:rFonts w:hint="eastAsia" w:ascii="仿宋" w:hAnsi="仿宋" w:cs="仿宋"/>
          <w:color w:val="auto"/>
          <w:sz w:val="36"/>
          <w:szCs w:val="44"/>
          <w:highlight w:val="none"/>
        </w:rPr>
        <w:t>交通指引</w:t>
      </w:r>
    </w:p>
    <w:p>
      <w:pPr>
        <w:spacing w:line="480" w:lineRule="auto"/>
        <w:ind w:firstLine="480" w:firstLineChars="200"/>
        <w:jc w:val="both"/>
        <w:rPr>
          <w:rFonts w:ascii="仿宋" w:hAnsi="仿宋" w:cs="仿宋"/>
          <w:color w:val="auto"/>
          <w:szCs w:val="32"/>
          <w:highlight w:val="none"/>
        </w:rPr>
      </w:pPr>
    </w:p>
    <w:p>
      <w:pPr>
        <w:ind w:firstLine="480" w:firstLineChars="200"/>
        <w:jc w:val="both"/>
        <w:rPr>
          <w:rFonts w:ascii="仿宋" w:hAnsi="仿宋" w:cs="仿宋"/>
          <w:color w:val="auto"/>
          <w:szCs w:val="32"/>
          <w:highlight w:val="none"/>
        </w:rPr>
      </w:pPr>
      <w:r>
        <w:rPr>
          <w:rFonts w:hint="eastAsia" w:ascii="仿宋" w:hAnsi="仿宋" w:cs="仿宋"/>
          <w:color w:val="auto"/>
          <w:szCs w:val="32"/>
          <w:highlight w:val="none"/>
        </w:rPr>
        <w:t>四川成与诚招标代理有限公司位于四川省成都市高新区锦尚西一路</w:t>
      </w:r>
      <w:r>
        <w:rPr>
          <w:rFonts w:hint="eastAsia" w:ascii="仿宋" w:hAnsi="仿宋" w:cs="仿宋"/>
          <w:b/>
          <w:bCs/>
          <w:color w:val="auto"/>
          <w:szCs w:val="32"/>
          <w:highlight w:val="none"/>
        </w:rPr>
        <w:t>楚峰国际中心45A03号（44层）</w:t>
      </w:r>
      <w:r>
        <w:rPr>
          <w:rFonts w:hint="eastAsia" w:ascii="仿宋" w:hAnsi="仿宋" w:cs="仿宋"/>
          <w:color w:val="auto"/>
          <w:szCs w:val="32"/>
          <w:highlight w:val="none"/>
        </w:rPr>
        <w:t>，可采用以下交通方式：</w:t>
      </w:r>
    </w:p>
    <w:p>
      <w:pPr>
        <w:ind w:firstLine="480" w:firstLineChars="200"/>
        <w:jc w:val="both"/>
        <w:rPr>
          <w:rFonts w:ascii="仿宋" w:hAnsi="仿宋" w:cs="仿宋"/>
          <w:color w:val="auto"/>
          <w:szCs w:val="32"/>
          <w:highlight w:val="none"/>
        </w:rPr>
      </w:pPr>
      <w:r>
        <w:rPr>
          <w:rFonts w:hint="eastAsia" w:ascii="仿宋" w:hAnsi="仿宋" w:cs="仿宋"/>
          <w:color w:val="auto"/>
          <w:szCs w:val="32"/>
          <w:highlight w:val="none"/>
        </w:rPr>
        <w:t>1、地铁：1号线孵化园地铁站A口，步行300米即可到达。</w:t>
      </w:r>
    </w:p>
    <w:p>
      <w:pPr>
        <w:ind w:firstLine="480" w:firstLineChars="200"/>
        <w:jc w:val="both"/>
        <w:rPr>
          <w:rFonts w:ascii="仿宋" w:hAnsi="仿宋" w:cs="仿宋"/>
          <w:color w:val="auto"/>
          <w:szCs w:val="32"/>
          <w:highlight w:val="none"/>
        </w:rPr>
      </w:pPr>
      <w:r>
        <w:rPr>
          <w:rFonts w:hint="eastAsia" w:ascii="仿宋" w:hAnsi="仿宋" w:cs="仿宋"/>
          <w:color w:val="auto"/>
          <w:szCs w:val="32"/>
          <w:highlight w:val="none"/>
        </w:rPr>
        <w:t>2、自驾：高德地图导航输入“楚峰国际中心”，停车场入口位于锦尚西一路。</w:t>
      </w:r>
    </w:p>
    <w:p>
      <w:pPr>
        <w:ind w:firstLine="480" w:firstLineChars="200"/>
        <w:jc w:val="both"/>
        <w:rPr>
          <w:rFonts w:ascii="仿宋" w:hAnsi="仿宋" w:cs="仿宋"/>
          <w:color w:val="auto"/>
          <w:szCs w:val="32"/>
          <w:highlight w:val="none"/>
        </w:rPr>
      </w:pPr>
      <w:r>
        <w:rPr>
          <w:rFonts w:hint="eastAsia" w:ascii="仿宋" w:hAnsi="仿宋" w:cs="仿宋"/>
          <w:color w:val="auto"/>
          <w:szCs w:val="32"/>
          <w:highlight w:val="none"/>
        </w:rPr>
        <w:t>3、建议将车辆停放于-</w:t>
      </w:r>
      <w:r>
        <w:rPr>
          <w:rFonts w:ascii="仿宋" w:hAnsi="仿宋" w:cs="仿宋"/>
          <w:color w:val="auto"/>
          <w:szCs w:val="32"/>
          <w:highlight w:val="none"/>
        </w:rPr>
        <w:t>5</w:t>
      </w:r>
      <w:r>
        <w:rPr>
          <w:rFonts w:hint="eastAsia" w:ascii="仿宋" w:hAnsi="仿宋" w:cs="仿宋"/>
          <w:color w:val="auto"/>
          <w:szCs w:val="32"/>
          <w:highlight w:val="none"/>
        </w:rPr>
        <w:t>层，乘地下客梯至一楼大堂（地下客梯只能到一楼）。来访人员在大堂选乘高区单/双层客梯上楼；大件样品可直接从货梯上楼。</w:t>
      </w:r>
    </w:p>
    <w:p>
      <w:pPr>
        <w:spacing w:line="480" w:lineRule="auto"/>
        <w:jc w:val="center"/>
        <w:rPr>
          <w:rFonts w:ascii="仿宋" w:hAnsi="仿宋" w:cs="仿宋"/>
          <w:color w:val="auto"/>
          <w:sz w:val="36"/>
          <w:szCs w:val="44"/>
          <w:highlight w:val="none"/>
        </w:rPr>
      </w:pPr>
      <w:r>
        <w:rPr>
          <w:rFonts w:ascii="Calibri" w:hAnsi="Calibri" w:eastAsia="宋体"/>
          <w:color w:val="auto"/>
          <w:sz w:val="21"/>
          <w:highlight w:val="none"/>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6">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cs="仿宋"/>
          <w:color w:val="auto"/>
          <w:szCs w:val="32"/>
          <w:highlight w:val="none"/>
        </w:rPr>
        <w:br w:type="page"/>
      </w:r>
      <w:r>
        <w:rPr>
          <w:rFonts w:hint="eastAsia" w:ascii="仿宋" w:hAnsi="仿宋" w:cs="仿宋"/>
          <w:color w:val="auto"/>
          <w:sz w:val="36"/>
          <w:szCs w:val="44"/>
          <w:highlight w:val="none"/>
        </w:rPr>
        <w:t>温馨提示</w:t>
      </w:r>
    </w:p>
    <w:p>
      <w:pPr>
        <w:rPr>
          <w:rFonts w:ascii="仿宋" w:hAnsi="仿宋" w:cs="仿宋"/>
          <w:color w:val="auto"/>
          <w:szCs w:val="32"/>
          <w:highlight w:val="none"/>
        </w:rPr>
      </w:pPr>
    </w:p>
    <w:p>
      <w:pPr>
        <w:rPr>
          <w:rFonts w:ascii="仿宋" w:hAnsi="仿宋" w:cs="仿宋"/>
          <w:color w:val="auto"/>
          <w:szCs w:val="32"/>
          <w:highlight w:val="none"/>
        </w:rPr>
      </w:pPr>
      <w:r>
        <w:rPr>
          <w:rFonts w:hint="eastAsia" w:ascii="仿宋" w:hAnsi="仿宋" w:cs="仿宋"/>
          <w:color w:val="auto"/>
          <w:szCs w:val="32"/>
          <w:highlight w:val="none"/>
        </w:rPr>
        <w:t>各供应商：</w:t>
      </w:r>
    </w:p>
    <w:p>
      <w:pPr>
        <w:ind w:firstLine="480" w:firstLineChars="200"/>
        <w:rPr>
          <w:rFonts w:ascii="仿宋" w:hAnsi="仿宋" w:cs="仿宋"/>
          <w:color w:val="auto"/>
          <w:szCs w:val="32"/>
          <w:highlight w:val="none"/>
        </w:rPr>
      </w:pPr>
      <w:r>
        <w:rPr>
          <w:rFonts w:hint="eastAsia" w:ascii="仿宋" w:hAnsi="仿宋" w:cs="仿宋"/>
          <w:color w:val="auto"/>
          <w:szCs w:val="32"/>
          <w:highlight w:val="none"/>
        </w:rPr>
        <w:t>欢迎参与本次采购活动，为优化营商环境，减少供应商参加采购活动成本，温馨提示如下：</w:t>
      </w:r>
    </w:p>
    <w:p>
      <w:pPr>
        <w:ind w:firstLine="480" w:firstLineChars="200"/>
        <w:rPr>
          <w:rFonts w:ascii="仿宋" w:hAnsi="仿宋" w:cs="仿宋"/>
          <w:color w:val="auto"/>
          <w:szCs w:val="32"/>
          <w:highlight w:val="none"/>
        </w:rPr>
      </w:pPr>
      <w:r>
        <w:rPr>
          <w:rFonts w:hint="eastAsia" w:ascii="仿宋" w:hAnsi="仿宋" w:cs="仿宋"/>
          <w:color w:val="auto"/>
          <w:szCs w:val="32"/>
          <w:highlight w:val="none"/>
        </w:rPr>
        <w:t>一、报名：注意报名的截止时间、报名的方式以及需要提供的资料，任何一项不满足的将拒绝接收。</w:t>
      </w:r>
    </w:p>
    <w:p>
      <w:pPr>
        <w:ind w:firstLine="480" w:firstLineChars="200"/>
        <w:rPr>
          <w:rFonts w:ascii="仿宋" w:hAnsi="仿宋" w:cs="仿宋"/>
          <w:color w:val="auto"/>
          <w:szCs w:val="32"/>
          <w:highlight w:val="none"/>
        </w:rPr>
      </w:pPr>
      <w:r>
        <w:rPr>
          <w:rFonts w:ascii="仿宋" w:hAnsi="仿宋" w:cs="仿宋"/>
          <w:color w:val="auto"/>
          <w:szCs w:val="32"/>
          <w:highlight w:val="none"/>
        </w:rPr>
        <w:t>二、保证金：</w:t>
      </w:r>
      <w:r>
        <w:rPr>
          <w:rFonts w:hint="eastAsia" w:ascii="仿宋" w:hAnsi="仿宋" w:cs="仿宋"/>
          <w:color w:val="auto"/>
          <w:szCs w:val="32"/>
          <w:highlight w:val="none"/>
        </w:rPr>
        <w:t>如项目收取保证金，供应商应在规定截止时间前足额交纳，以到账时间为准。未中标（成交）供应商的保证金将在结果公告后5个工作日内原路径退还，中标（成交）供应商应将采购合同发送我司指定邮箱后办理保证金退还，我司将在5个工作日内原路径退还。</w:t>
      </w:r>
    </w:p>
    <w:p>
      <w:pPr>
        <w:ind w:firstLine="480" w:firstLineChars="200"/>
        <w:rPr>
          <w:rFonts w:ascii="仿宋" w:hAnsi="仿宋" w:cs="仿宋"/>
          <w:color w:val="auto"/>
          <w:szCs w:val="32"/>
          <w:highlight w:val="none"/>
        </w:rPr>
      </w:pPr>
      <w:r>
        <w:rPr>
          <w:rFonts w:ascii="仿宋" w:hAnsi="仿宋" w:cs="仿宋"/>
          <w:color w:val="auto"/>
          <w:szCs w:val="32"/>
          <w:highlight w:val="none"/>
        </w:rPr>
        <w:t>三、制作投标</w:t>
      </w:r>
      <w:r>
        <w:rPr>
          <w:rFonts w:hint="eastAsia" w:ascii="仿宋" w:hAnsi="仿宋" w:cs="仿宋"/>
          <w:color w:val="auto"/>
          <w:szCs w:val="32"/>
          <w:highlight w:val="none"/>
        </w:rPr>
        <w:t>（响应）</w:t>
      </w:r>
      <w:r>
        <w:rPr>
          <w:rFonts w:ascii="仿宋" w:hAnsi="仿宋" w:cs="仿宋"/>
          <w:color w:val="auto"/>
          <w:szCs w:val="32"/>
          <w:highlight w:val="none"/>
        </w:rPr>
        <w:t>文件：</w:t>
      </w:r>
      <w:r>
        <w:rPr>
          <w:rFonts w:hint="eastAsia" w:ascii="仿宋" w:hAnsi="仿宋" w:cs="仿宋"/>
          <w:color w:val="auto"/>
          <w:szCs w:val="32"/>
          <w:highlight w:val="none"/>
        </w:rPr>
        <w:t>注意采购文件中的资格要求和实质性要求，任何一条不满足的将作无效处理。注意采购文件中的评分要求，未按要求提供证明材料的将不予认可。</w:t>
      </w:r>
    </w:p>
    <w:p>
      <w:pPr>
        <w:ind w:firstLine="480" w:firstLineChars="200"/>
        <w:rPr>
          <w:rFonts w:ascii="仿宋" w:hAnsi="仿宋" w:cs="仿宋"/>
          <w:color w:val="auto"/>
          <w:szCs w:val="32"/>
          <w:highlight w:val="none"/>
        </w:rPr>
      </w:pPr>
      <w:r>
        <w:rPr>
          <w:rFonts w:ascii="仿宋" w:hAnsi="仿宋" w:cs="仿宋"/>
          <w:color w:val="auto"/>
          <w:szCs w:val="32"/>
          <w:highlight w:val="none"/>
        </w:rPr>
        <w:t>四、投标</w:t>
      </w:r>
      <w:r>
        <w:rPr>
          <w:rFonts w:hint="eastAsia" w:ascii="仿宋" w:hAnsi="仿宋" w:cs="仿宋"/>
          <w:color w:val="auto"/>
          <w:szCs w:val="32"/>
          <w:highlight w:val="none"/>
        </w:rPr>
        <w:t>（响应）</w:t>
      </w:r>
      <w:r>
        <w:rPr>
          <w:rFonts w:ascii="仿宋" w:hAnsi="仿宋" w:cs="仿宋"/>
          <w:color w:val="auto"/>
          <w:szCs w:val="32"/>
          <w:highlight w:val="none"/>
        </w:rPr>
        <w:t>：</w:t>
      </w:r>
      <w:r>
        <w:rPr>
          <w:rFonts w:hint="eastAsia" w:ascii="仿宋" w:hAnsi="仿宋" w:cs="仿宋"/>
          <w:color w:val="auto"/>
          <w:szCs w:val="32"/>
          <w:highlight w:val="none"/>
        </w:rPr>
        <w:t>注意投标（响应）截止时间和递交文件的地点，未按要求密封或逾期送达的将拒绝接收。</w:t>
      </w:r>
    </w:p>
    <w:p>
      <w:pPr>
        <w:ind w:firstLine="480" w:firstLineChars="200"/>
        <w:rPr>
          <w:rFonts w:ascii="仿宋" w:hAnsi="仿宋" w:cs="仿宋"/>
          <w:color w:val="auto"/>
          <w:szCs w:val="32"/>
          <w:highlight w:val="none"/>
        </w:rPr>
      </w:pPr>
      <w:r>
        <w:rPr>
          <w:rFonts w:hint="eastAsia" w:ascii="仿宋" w:hAnsi="仿宋" w:cs="仿宋"/>
          <w:color w:val="auto"/>
          <w:szCs w:val="32"/>
          <w:highlight w:val="none"/>
        </w:rPr>
        <w:t>五、结果查询：结果公告将在发布采购公告的同一网站进行公布，供应商应自行关注，任何询问项目评审情况和中标（成交）情况的行为都将被拒绝。</w:t>
      </w:r>
    </w:p>
    <w:p>
      <w:pPr>
        <w:ind w:firstLine="480" w:firstLineChars="200"/>
        <w:rPr>
          <w:rFonts w:ascii="仿宋" w:hAnsi="仿宋" w:cs="仿宋"/>
          <w:color w:val="auto"/>
          <w:szCs w:val="32"/>
          <w:highlight w:val="none"/>
        </w:rPr>
      </w:pPr>
      <w:r>
        <w:rPr>
          <w:rFonts w:ascii="仿宋" w:hAnsi="仿宋" w:cs="仿宋"/>
          <w:color w:val="auto"/>
          <w:szCs w:val="32"/>
          <w:highlight w:val="none"/>
        </w:rPr>
        <w:t>六、</w:t>
      </w:r>
      <w:r>
        <w:rPr>
          <w:rFonts w:hint="eastAsia" w:ascii="仿宋" w:hAnsi="仿宋" w:cs="仿宋"/>
          <w:color w:val="auto"/>
          <w:szCs w:val="32"/>
          <w:highlight w:val="none"/>
        </w:rPr>
        <w:t>服务费：中标（成交）结果公布后，中标（成交）人应及时足额缴纳服务费，我司在收到服务费后才可开具发票。</w:t>
      </w:r>
    </w:p>
    <w:p>
      <w:pPr>
        <w:ind w:firstLine="480" w:firstLineChars="200"/>
        <w:rPr>
          <w:rFonts w:ascii="仿宋" w:hAnsi="仿宋" w:cs="仿宋"/>
          <w:color w:val="auto"/>
          <w:szCs w:val="32"/>
          <w:highlight w:val="none"/>
        </w:rPr>
      </w:pPr>
      <w:r>
        <w:rPr>
          <w:rFonts w:ascii="仿宋" w:hAnsi="仿宋" w:cs="仿宋"/>
          <w:color w:val="auto"/>
          <w:szCs w:val="32"/>
          <w:highlight w:val="none"/>
        </w:rPr>
        <w:t>七、中标（成交）通知书：</w:t>
      </w:r>
      <w:r>
        <w:rPr>
          <w:rFonts w:hint="eastAsia" w:ascii="仿宋" w:hAnsi="仿宋" w:cs="仿宋"/>
          <w:color w:val="auto"/>
          <w:szCs w:val="32"/>
          <w:highlight w:val="none"/>
        </w:rPr>
        <w:t>我司工作人员将在项目结果公告发布时通知中标（成交）的供应商领取中标（成交）通知书，中标（成交）人应携带单位介绍信原件及领取人身份证复印件（原件备查）前往我司办理领手续。</w:t>
      </w:r>
    </w:p>
    <w:p>
      <w:pPr>
        <w:ind w:firstLine="480" w:firstLineChars="200"/>
        <w:rPr>
          <w:rFonts w:ascii="仿宋" w:hAnsi="仿宋" w:cs="仿宋"/>
          <w:color w:val="auto"/>
          <w:szCs w:val="32"/>
          <w:highlight w:val="none"/>
        </w:rPr>
      </w:pPr>
      <w:r>
        <w:rPr>
          <w:rFonts w:ascii="仿宋" w:hAnsi="仿宋" w:cs="仿宋"/>
          <w:color w:val="auto"/>
          <w:szCs w:val="32"/>
          <w:highlight w:val="none"/>
        </w:rPr>
        <w:t>八、采购合同：</w:t>
      </w:r>
      <w:r>
        <w:rPr>
          <w:rFonts w:hint="eastAsia" w:ascii="仿宋" w:hAnsi="仿宋" w:cs="仿宋"/>
          <w:color w:val="auto"/>
          <w:szCs w:val="32"/>
          <w:highlight w:val="none"/>
        </w:rPr>
        <w:t>中标（成交）人应在采购文件规定的期限内凭中标（成交）通知书与采购人签订采购合同。</w:t>
      </w:r>
    </w:p>
    <w:p>
      <w:pPr>
        <w:widowControl/>
        <w:spacing w:line="240" w:lineRule="auto"/>
        <w:rPr>
          <w:rFonts w:ascii="仿宋" w:hAnsi="仿宋" w:cs="宋体"/>
          <w:color w:val="auto"/>
          <w:highlight w:val="none"/>
        </w:rPr>
      </w:pPr>
      <w:r>
        <w:rPr>
          <w:rFonts w:ascii="仿宋" w:hAnsi="仿宋" w:cs="仿宋"/>
          <w:color w:val="auto"/>
          <w:szCs w:val="32"/>
          <w:highlight w:val="none"/>
        </w:rPr>
        <w:br w:type="page"/>
      </w:r>
    </w:p>
    <w:p>
      <w:pPr>
        <w:pStyle w:val="3"/>
        <w:spacing w:line="240" w:lineRule="atLeast"/>
        <w:rPr>
          <w:rFonts w:ascii="仿宋" w:hAnsi="仿宋"/>
          <w:color w:val="auto"/>
          <w:sz w:val="36"/>
          <w:szCs w:val="36"/>
          <w:highlight w:val="none"/>
        </w:rPr>
      </w:pPr>
      <w:r>
        <w:rPr>
          <w:rFonts w:hint="eastAsia" w:ascii="仿宋" w:hAnsi="仿宋"/>
          <w:color w:val="auto"/>
          <w:sz w:val="36"/>
          <w:szCs w:val="36"/>
          <w:highlight w:val="none"/>
        </w:rPr>
        <w:t>目    录</w:t>
      </w:r>
    </w:p>
    <w:p>
      <w:pPr>
        <w:jc w:val="center"/>
        <w:rPr>
          <w:rFonts w:ascii="仿宋" w:hAnsi="仿宋"/>
          <w:b/>
          <w:bCs/>
          <w:color w:val="auto"/>
          <w:sz w:val="36"/>
          <w:szCs w:val="36"/>
          <w:highlight w:val="none"/>
        </w:rPr>
      </w:pPr>
    </w:p>
    <w:p>
      <w:pPr>
        <w:pStyle w:val="22"/>
        <w:tabs>
          <w:tab w:val="right" w:leader="dot" w:pos="9071"/>
          <w:tab w:val="clear" w:pos="9000"/>
        </w:tabs>
        <w:rPr>
          <w:color w:val="auto"/>
          <w:highlight w:val="none"/>
        </w:rPr>
      </w:pPr>
      <w:r>
        <w:rPr>
          <w:rFonts w:hint="eastAsia" w:ascii="仿宋" w:hAnsi="仿宋" w:cs="宋体"/>
          <w:color w:val="auto"/>
          <w:sz w:val="28"/>
          <w:highlight w:val="none"/>
        </w:rPr>
        <w:fldChar w:fldCharType="begin"/>
      </w:r>
      <w:r>
        <w:rPr>
          <w:rFonts w:hint="eastAsia" w:ascii="仿宋" w:hAnsi="仿宋" w:cs="宋体"/>
          <w:color w:val="auto"/>
          <w:sz w:val="28"/>
          <w:highlight w:val="none"/>
        </w:rPr>
        <w:instrText xml:space="preserve">TOC \o "1-1" \h \u </w:instrText>
      </w:r>
      <w:r>
        <w:rPr>
          <w:rFonts w:hint="eastAsia" w:ascii="仿宋" w:hAnsi="仿宋" w:cs="宋体"/>
          <w:color w:val="auto"/>
          <w:sz w:val="28"/>
          <w:highlight w:val="none"/>
        </w:rPr>
        <w:fldChar w:fldCharType="separate"/>
      </w:r>
      <w:r>
        <w:rPr>
          <w:color w:val="auto"/>
          <w:highlight w:val="none"/>
        </w:rPr>
        <w:fldChar w:fldCharType="begin"/>
      </w:r>
      <w:r>
        <w:rPr>
          <w:color w:val="auto"/>
          <w:highlight w:val="none"/>
        </w:rPr>
        <w:instrText xml:space="preserve"> HYPERLINK \l "_Toc9671" </w:instrText>
      </w:r>
      <w:r>
        <w:rPr>
          <w:color w:val="auto"/>
          <w:highlight w:val="none"/>
        </w:rPr>
        <w:fldChar w:fldCharType="separate"/>
      </w:r>
      <w:r>
        <w:rPr>
          <w:rFonts w:hint="eastAsia" w:ascii="仿宋" w:hAnsi="仿宋"/>
          <w:color w:val="auto"/>
          <w:szCs w:val="36"/>
          <w:highlight w:val="none"/>
        </w:rPr>
        <w:t>第一章  投标邀请</w:t>
      </w:r>
      <w:r>
        <w:rPr>
          <w:color w:val="auto"/>
          <w:highlight w:val="none"/>
        </w:rPr>
        <w:tab/>
      </w:r>
      <w:r>
        <w:rPr>
          <w:color w:val="auto"/>
          <w:highlight w:val="none"/>
        </w:rPr>
        <w:fldChar w:fldCharType="begin"/>
      </w:r>
      <w:r>
        <w:rPr>
          <w:color w:val="auto"/>
          <w:highlight w:val="none"/>
        </w:rPr>
        <w:instrText xml:space="preserve"> PAGEREF _Toc9671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"_Toc11431" </w:instrText>
      </w:r>
      <w:r>
        <w:rPr>
          <w:color w:val="auto"/>
          <w:highlight w:val="none"/>
        </w:rPr>
        <w:fldChar w:fldCharType="separate"/>
      </w:r>
      <w:r>
        <w:rPr>
          <w:rFonts w:hint="eastAsia" w:ascii="仿宋" w:hAnsi="仿宋"/>
          <w:color w:val="auto"/>
          <w:szCs w:val="36"/>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_Toc11431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"_Toc23329" </w:instrText>
      </w:r>
      <w:r>
        <w:rPr>
          <w:color w:val="auto"/>
          <w:highlight w:val="none"/>
        </w:rPr>
        <w:fldChar w:fldCharType="separate"/>
      </w:r>
      <w:r>
        <w:rPr>
          <w:rFonts w:hint="eastAsia" w:ascii="仿宋" w:hAnsi="仿宋"/>
          <w:color w:val="auto"/>
          <w:szCs w:val="36"/>
          <w:highlight w:val="none"/>
        </w:rPr>
        <w:t>第三章  投标文件格式</w:t>
      </w:r>
      <w:r>
        <w:rPr>
          <w:color w:val="auto"/>
          <w:highlight w:val="none"/>
        </w:rPr>
        <w:tab/>
      </w:r>
      <w:r>
        <w:rPr>
          <w:color w:val="auto"/>
          <w:highlight w:val="none"/>
        </w:rPr>
        <w:fldChar w:fldCharType="begin"/>
      </w:r>
      <w:r>
        <w:rPr>
          <w:color w:val="auto"/>
          <w:highlight w:val="none"/>
        </w:rPr>
        <w:instrText xml:space="preserve"> PAGEREF _Toc23329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"_Toc151" </w:instrText>
      </w:r>
      <w:r>
        <w:rPr>
          <w:color w:val="auto"/>
          <w:highlight w:val="none"/>
        </w:rPr>
        <w:fldChar w:fldCharType="separate"/>
      </w:r>
      <w:r>
        <w:rPr>
          <w:rFonts w:hint="eastAsia" w:ascii="仿宋" w:hAnsi="仿宋"/>
          <w:color w:val="auto"/>
          <w:szCs w:val="36"/>
          <w:highlight w:val="none"/>
        </w:rPr>
        <w:t>第四章  投标人和投标产品的资格、资质性及其他类似效力要求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_Toc151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"_Toc20211" </w:instrText>
      </w:r>
      <w:r>
        <w:rPr>
          <w:color w:val="auto"/>
          <w:highlight w:val="none"/>
        </w:rPr>
        <w:fldChar w:fldCharType="separate"/>
      </w:r>
      <w:r>
        <w:rPr>
          <w:rFonts w:hint="eastAsia" w:ascii="仿宋" w:hAnsi="仿宋"/>
          <w:color w:val="auto"/>
          <w:szCs w:val="36"/>
          <w:highlight w:val="none"/>
        </w:rPr>
        <w:t>第五章  资格性审查要求</w:t>
      </w:r>
      <w:r>
        <w:rPr>
          <w:color w:val="auto"/>
          <w:highlight w:val="none"/>
        </w:rPr>
        <w:tab/>
      </w:r>
      <w:r>
        <w:rPr>
          <w:color w:val="auto"/>
          <w:highlight w:val="none"/>
        </w:rPr>
        <w:fldChar w:fldCharType="begin"/>
      </w:r>
      <w:r>
        <w:rPr>
          <w:color w:val="auto"/>
          <w:highlight w:val="none"/>
        </w:rPr>
        <w:instrText xml:space="preserve"> PAGEREF _Toc20211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"_Toc29522" </w:instrText>
      </w:r>
      <w:r>
        <w:rPr>
          <w:color w:val="auto"/>
          <w:highlight w:val="none"/>
        </w:rPr>
        <w:fldChar w:fldCharType="separate"/>
      </w:r>
      <w:r>
        <w:rPr>
          <w:rFonts w:hint="eastAsia" w:ascii="仿宋" w:hAnsi="仿宋"/>
          <w:color w:val="auto"/>
          <w:szCs w:val="36"/>
          <w:highlight w:val="none"/>
        </w:rPr>
        <w:t>第六章   招标项目技术、服务、商务及其他要求</w:t>
      </w:r>
      <w:r>
        <w:rPr>
          <w:color w:val="auto"/>
          <w:highlight w:val="none"/>
        </w:rPr>
        <w:tab/>
      </w:r>
      <w:r>
        <w:rPr>
          <w:color w:val="auto"/>
          <w:highlight w:val="none"/>
        </w:rPr>
        <w:fldChar w:fldCharType="begin"/>
      </w:r>
      <w:r>
        <w:rPr>
          <w:color w:val="auto"/>
          <w:highlight w:val="none"/>
        </w:rPr>
        <w:instrText xml:space="preserve"> PAGEREF _Toc29522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"_Toc13518" </w:instrText>
      </w:r>
      <w:r>
        <w:rPr>
          <w:color w:val="auto"/>
          <w:highlight w:val="none"/>
        </w:rPr>
        <w:fldChar w:fldCharType="separate"/>
      </w:r>
      <w:r>
        <w:rPr>
          <w:rFonts w:hint="eastAsia" w:ascii="仿宋" w:hAnsi="仿宋"/>
          <w:color w:val="auto"/>
          <w:szCs w:val="36"/>
          <w:highlight w:val="none"/>
        </w:rPr>
        <w:t>第七章  评标办法</w:t>
      </w:r>
      <w:r>
        <w:rPr>
          <w:color w:val="auto"/>
          <w:highlight w:val="none"/>
        </w:rPr>
        <w:tab/>
      </w:r>
      <w:r>
        <w:rPr>
          <w:color w:val="auto"/>
          <w:highlight w:val="none"/>
        </w:rPr>
        <w:fldChar w:fldCharType="begin"/>
      </w:r>
      <w:r>
        <w:rPr>
          <w:color w:val="auto"/>
          <w:highlight w:val="none"/>
        </w:rPr>
        <w:instrText xml:space="preserve"> PAGEREF _Toc13518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22"/>
        <w:tabs>
          <w:tab w:val="right" w:leader="dot" w:pos="9071"/>
          <w:tab w:val="clear" w:pos="9000"/>
        </w:tabs>
        <w:rPr>
          <w:color w:val="auto"/>
          <w:highlight w:val="none"/>
        </w:rPr>
      </w:pPr>
      <w:r>
        <w:rPr>
          <w:color w:val="auto"/>
          <w:highlight w:val="none"/>
        </w:rPr>
        <w:fldChar w:fldCharType="begin"/>
      </w:r>
      <w:r>
        <w:rPr>
          <w:color w:val="auto"/>
          <w:highlight w:val="none"/>
        </w:rPr>
        <w:instrText xml:space="preserve"> HYPERLINK \l "_Toc3520" </w:instrText>
      </w:r>
      <w:r>
        <w:rPr>
          <w:color w:val="auto"/>
          <w:highlight w:val="none"/>
        </w:rPr>
        <w:fldChar w:fldCharType="separate"/>
      </w:r>
      <w:r>
        <w:rPr>
          <w:rFonts w:hint="eastAsia" w:ascii="仿宋" w:hAnsi="仿宋"/>
          <w:color w:val="auto"/>
          <w:szCs w:val="36"/>
          <w:highlight w:val="none"/>
        </w:rPr>
        <w:t>第八章  政府采购合同</w:t>
      </w:r>
      <w:r>
        <w:rPr>
          <w:color w:val="auto"/>
          <w:highlight w:val="none"/>
        </w:rPr>
        <w:tab/>
      </w:r>
      <w:r>
        <w:rPr>
          <w:color w:val="auto"/>
          <w:highlight w:val="none"/>
        </w:rPr>
        <w:fldChar w:fldCharType="begin"/>
      </w:r>
      <w:r>
        <w:rPr>
          <w:color w:val="auto"/>
          <w:highlight w:val="none"/>
        </w:rPr>
        <w:instrText xml:space="preserve"> PAGEREF _Toc3520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spacing w:line="480" w:lineRule="auto"/>
        <w:rPr>
          <w:rFonts w:ascii="仿宋" w:hAnsi="仿宋"/>
          <w:color w:val="auto"/>
          <w:sz w:val="28"/>
          <w:szCs w:val="28"/>
          <w:highlight w:val="none"/>
        </w:rPr>
        <w:sectPr>
          <w:headerReference r:id="rId9" w:type="first"/>
          <w:footerReference r:id="rId11" w:type="first"/>
          <w:headerReference r:id="rId8" w:type="default"/>
          <w:footerReference r:id="rId10" w:type="default"/>
          <w:pgSz w:w="11905" w:h="16838"/>
          <w:pgMar w:top="1417" w:right="1417" w:bottom="1417" w:left="1417" w:header="425" w:footer="992" w:gutter="0"/>
          <w:pgNumType w:start="1"/>
          <w:cols w:space="0" w:num="1"/>
          <w:docGrid w:type="lines" w:linePitch="332" w:charSpace="0"/>
        </w:sectPr>
      </w:pPr>
      <w:r>
        <w:rPr>
          <w:rFonts w:hint="eastAsia" w:ascii="仿宋" w:hAnsi="仿宋" w:cs="宋体"/>
          <w:color w:val="auto"/>
          <w:szCs w:val="28"/>
          <w:highlight w:val="none"/>
        </w:rPr>
        <w:fldChar w:fldCharType="end"/>
      </w:r>
      <w:bookmarkStart w:id="2" w:name="_Toc24584"/>
    </w:p>
    <w:p>
      <w:pPr>
        <w:pStyle w:val="3"/>
        <w:spacing w:line="240" w:lineRule="atLeast"/>
        <w:rPr>
          <w:rFonts w:ascii="仿宋" w:hAnsi="仿宋"/>
          <w:color w:val="auto"/>
          <w:sz w:val="36"/>
          <w:szCs w:val="36"/>
          <w:highlight w:val="none"/>
        </w:rPr>
      </w:pPr>
      <w:bookmarkStart w:id="3" w:name="_Toc9671"/>
      <w:r>
        <w:rPr>
          <w:rFonts w:hint="eastAsia" w:ascii="仿宋" w:hAnsi="仿宋"/>
          <w:color w:val="auto"/>
          <w:sz w:val="36"/>
          <w:szCs w:val="36"/>
          <w:highlight w:val="none"/>
        </w:rPr>
        <w:t>第一章  投标邀请</w:t>
      </w:r>
      <w:bookmarkEnd w:id="2"/>
      <w:bookmarkEnd w:id="3"/>
    </w:p>
    <w:p>
      <w:pPr>
        <w:tabs>
          <w:tab w:val="left" w:pos="7665"/>
        </w:tabs>
        <w:spacing w:line="400" w:lineRule="exact"/>
        <w:ind w:firstLine="480" w:firstLineChars="200"/>
        <w:rPr>
          <w:rFonts w:ascii="仿宋" w:hAnsi="仿宋" w:cs="宋体"/>
          <w:color w:val="auto"/>
          <w:highlight w:val="none"/>
        </w:rPr>
      </w:pPr>
      <w:r>
        <w:rPr>
          <w:rFonts w:hint="eastAsia" w:ascii="仿宋" w:hAnsi="仿宋" w:cs="宋体"/>
          <w:color w:val="auto"/>
          <w:highlight w:val="none"/>
          <w:u w:val="single"/>
        </w:rPr>
        <w:t>四川成与诚招标代理有限公司</w:t>
      </w:r>
      <w:r>
        <w:rPr>
          <w:rFonts w:hint="eastAsia" w:ascii="仿宋" w:hAnsi="仿宋" w:cs="宋体"/>
          <w:color w:val="auto"/>
          <w:highlight w:val="none"/>
        </w:rPr>
        <w:t>受</w:t>
      </w:r>
      <w:r>
        <w:rPr>
          <w:rFonts w:hint="eastAsia" w:ascii="仿宋" w:hAnsi="仿宋" w:cs="宋体"/>
          <w:color w:val="auto"/>
          <w:highlight w:val="none"/>
          <w:u w:val="single"/>
        </w:rPr>
        <w:t>成都高新区西园社区卫生服务中心</w:t>
      </w:r>
      <w:r>
        <w:rPr>
          <w:rFonts w:hint="eastAsia" w:ascii="仿宋" w:hAnsi="仿宋" w:cs="宋体"/>
          <w:color w:val="auto"/>
          <w:highlight w:val="none"/>
        </w:rPr>
        <w:t>委托，拟对</w:t>
      </w:r>
      <w:bookmarkStart w:id="4" w:name="PO_默认文件内容_4"/>
      <w:r>
        <w:rPr>
          <w:rFonts w:hint="eastAsia" w:ascii="仿宋" w:hAnsi="仿宋" w:cs="宋体"/>
          <w:color w:val="auto"/>
          <w:highlight w:val="none"/>
          <w:u w:val="single"/>
        </w:rPr>
        <w:t>成都高新区西园社区卫生服务中心其他医疗设备及污水处理设备采购项目</w:t>
      </w:r>
      <w:r>
        <w:rPr>
          <w:rFonts w:hint="eastAsia" w:ascii="仿宋" w:hAnsi="仿宋" w:cs="宋体"/>
          <w:color w:val="auto"/>
          <w:highlight w:val="none"/>
        </w:rPr>
        <w:t>进行国内公开招标，兹邀请符合本次招标要求的供应商参加投标。</w:t>
      </w:r>
      <w:bookmarkEnd w:id="4"/>
    </w:p>
    <w:p>
      <w:pPr>
        <w:ind w:firstLine="482" w:firstLineChars="200"/>
        <w:rPr>
          <w:rFonts w:ascii="仿宋" w:hAnsi="仿宋"/>
          <w:b/>
          <w:color w:val="auto"/>
          <w:highlight w:val="none"/>
        </w:rPr>
      </w:pPr>
      <w:r>
        <w:rPr>
          <w:rFonts w:hint="eastAsia" w:ascii="仿宋" w:hAnsi="仿宋"/>
          <w:b/>
          <w:color w:val="auto"/>
          <w:highlight w:val="none"/>
        </w:rPr>
        <w:t>一、招标编号：510188202100293</w:t>
      </w:r>
      <w:r>
        <w:rPr>
          <w:rFonts w:hint="eastAsia" w:ascii="仿宋" w:hAnsi="仿宋"/>
          <w:b/>
          <w:color w:val="auto"/>
          <w:highlight w:val="none"/>
        </w:rPr>
        <w:t>。</w:t>
      </w:r>
    </w:p>
    <w:p>
      <w:pPr>
        <w:ind w:right="36" w:rightChars="15" w:firstLine="482" w:firstLineChars="200"/>
        <w:rPr>
          <w:rFonts w:ascii="仿宋" w:hAnsi="仿宋"/>
          <w:b/>
          <w:color w:val="auto"/>
          <w:szCs w:val="32"/>
          <w:highlight w:val="none"/>
        </w:rPr>
      </w:pPr>
      <w:r>
        <w:rPr>
          <w:rFonts w:hint="eastAsia" w:ascii="仿宋" w:hAnsi="仿宋"/>
          <w:b/>
          <w:bCs/>
          <w:color w:val="auto"/>
          <w:highlight w:val="none"/>
        </w:rPr>
        <w:t>二、</w:t>
      </w:r>
      <w:r>
        <w:rPr>
          <w:rFonts w:hint="eastAsia" w:ascii="仿宋" w:hAnsi="仿宋"/>
          <w:b/>
          <w:color w:val="auto"/>
          <w:highlight w:val="none"/>
        </w:rPr>
        <w:t>招标项目：成都高新区西园社区卫生服务中心其他医疗设备及污水处理设备采购项目。</w:t>
      </w:r>
    </w:p>
    <w:p>
      <w:pPr>
        <w:ind w:right="36" w:rightChars="15" w:firstLine="482" w:firstLineChars="200"/>
        <w:rPr>
          <w:rFonts w:ascii="仿宋" w:hAnsi="仿宋"/>
          <w:b/>
          <w:bCs/>
          <w:color w:val="auto"/>
          <w:highlight w:val="none"/>
        </w:rPr>
      </w:pPr>
      <w:r>
        <w:rPr>
          <w:rFonts w:hint="eastAsia" w:ascii="仿宋" w:hAnsi="仿宋"/>
          <w:b/>
          <w:color w:val="auto"/>
          <w:szCs w:val="28"/>
          <w:highlight w:val="none"/>
        </w:rPr>
        <w:t>三、资金来源：</w:t>
      </w:r>
      <w:r>
        <w:rPr>
          <w:rFonts w:ascii="仿宋" w:hAnsi="仿宋"/>
          <w:b/>
          <w:color w:val="auto"/>
          <w:highlight w:val="none"/>
        </w:rPr>
        <w:t>财政性资金</w:t>
      </w:r>
    </w:p>
    <w:p>
      <w:pPr>
        <w:ind w:firstLine="482" w:firstLineChars="200"/>
        <w:rPr>
          <w:rFonts w:ascii="仿宋" w:hAnsi="仿宋"/>
          <w:color w:val="auto"/>
          <w:highlight w:val="none"/>
        </w:rPr>
      </w:pPr>
      <w:r>
        <w:rPr>
          <w:rFonts w:hint="eastAsia" w:ascii="仿宋" w:hAnsi="仿宋"/>
          <w:b/>
          <w:color w:val="auto"/>
          <w:highlight w:val="none"/>
        </w:rPr>
        <w:t>四</w:t>
      </w:r>
      <w:r>
        <w:rPr>
          <w:rFonts w:hint="eastAsia" w:ascii="仿宋" w:hAnsi="仿宋"/>
          <w:b/>
          <w:bCs/>
          <w:color w:val="auto"/>
          <w:highlight w:val="none"/>
        </w:rPr>
        <w:t>、</w:t>
      </w:r>
      <w:r>
        <w:rPr>
          <w:rFonts w:hint="eastAsia" w:ascii="仿宋" w:hAnsi="仿宋"/>
          <w:b/>
          <w:color w:val="auto"/>
          <w:highlight w:val="none"/>
        </w:rPr>
        <w:t>招标项目简介：</w:t>
      </w:r>
    </w:p>
    <w:p>
      <w:pPr>
        <w:spacing w:after="166" w:afterLines="50" w:line="420" w:lineRule="exact"/>
        <w:ind w:firstLine="464" w:firstLineChars="200"/>
        <w:rPr>
          <w:rFonts w:ascii="仿宋" w:hAnsi="仿宋"/>
          <w:color w:val="auto"/>
          <w:szCs w:val="28"/>
          <w:highlight w:val="none"/>
        </w:rPr>
      </w:pPr>
      <w:bookmarkStart w:id="5" w:name="PO_默认文件内容_3"/>
      <w:r>
        <w:rPr>
          <w:rFonts w:hint="eastAsia" w:ascii="仿宋" w:hAnsi="仿宋"/>
          <w:color w:val="auto"/>
          <w:spacing w:val="-4"/>
          <w:highlight w:val="none"/>
        </w:rPr>
        <w:t>本项目</w:t>
      </w:r>
      <w:r>
        <w:rPr>
          <w:rFonts w:ascii="仿宋" w:hAnsi="仿宋"/>
          <w:color w:val="auto"/>
          <w:spacing w:val="-4"/>
          <w:highlight w:val="none"/>
        </w:rPr>
        <w:t>共</w:t>
      </w:r>
      <w:r>
        <w:rPr>
          <w:rFonts w:hint="eastAsia" w:ascii="仿宋" w:hAnsi="仿宋"/>
          <w:color w:val="auto"/>
          <w:spacing w:val="-4"/>
          <w:highlight w:val="none"/>
        </w:rPr>
        <w:t>2</w:t>
      </w:r>
      <w:r>
        <w:rPr>
          <w:rFonts w:ascii="仿宋" w:hAnsi="仿宋"/>
          <w:color w:val="auto"/>
          <w:spacing w:val="-4"/>
          <w:highlight w:val="none"/>
        </w:rPr>
        <w:t>个包</w:t>
      </w:r>
      <w:r>
        <w:rPr>
          <w:rFonts w:hint="eastAsia" w:ascii="仿宋" w:hAnsi="仿宋"/>
          <w:color w:val="auto"/>
          <w:spacing w:val="-4"/>
          <w:highlight w:val="none"/>
        </w:rPr>
        <w:t>，01包</w:t>
      </w:r>
      <w:r>
        <w:rPr>
          <w:rFonts w:ascii="仿宋" w:hAnsi="仿宋"/>
          <w:color w:val="auto"/>
          <w:spacing w:val="-4"/>
          <w:highlight w:val="none"/>
        </w:rPr>
        <w:t>采购</w:t>
      </w:r>
      <w:r>
        <w:rPr>
          <w:rFonts w:hint="eastAsia" w:ascii="仿宋" w:hAnsi="仿宋"/>
          <w:color w:val="auto"/>
          <w:spacing w:val="-4"/>
          <w:highlight w:val="none"/>
        </w:rPr>
        <w:t>其他医疗设备，02包采购污水处理设备</w:t>
      </w:r>
      <w:r>
        <w:rPr>
          <w:rFonts w:hint="eastAsia" w:ascii="仿宋" w:hAnsi="仿宋"/>
          <w:color w:val="auto"/>
          <w:szCs w:val="28"/>
          <w:highlight w:val="none"/>
        </w:rPr>
        <w:t>（具体详见招标文件第六章）。</w:t>
      </w:r>
      <w:bookmarkEnd w:id="5"/>
    </w:p>
    <w:p>
      <w:pPr>
        <w:spacing w:after="166" w:afterLines="50" w:line="420" w:lineRule="exact"/>
        <w:ind w:firstLine="482" w:firstLineChars="200"/>
        <w:rPr>
          <w:rFonts w:ascii="仿宋" w:hAnsi="仿宋"/>
          <w:b/>
          <w:bCs/>
          <w:color w:val="auto"/>
          <w:highlight w:val="none"/>
        </w:rPr>
      </w:pPr>
      <w:r>
        <w:rPr>
          <w:rFonts w:hint="eastAsia" w:ascii="仿宋" w:hAnsi="仿宋"/>
          <w:b/>
          <w:bCs/>
          <w:color w:val="auto"/>
          <w:highlight w:val="none"/>
        </w:rPr>
        <w:t>五、供应商参加本次政府采购活动，应当在提交投标文件前具备下列条件：</w:t>
      </w:r>
    </w:p>
    <w:p>
      <w:pPr>
        <w:pStyle w:val="81"/>
        <w:spacing w:after="0" w:line="420" w:lineRule="exact"/>
        <w:ind w:firstLine="482"/>
        <w:rPr>
          <w:rFonts w:ascii="仿宋" w:hAnsi="仿宋" w:eastAsia="仿宋" w:cs="宋体"/>
          <w:b/>
          <w:bCs/>
          <w:color w:val="auto"/>
          <w:sz w:val="24"/>
          <w:highlight w:val="none"/>
        </w:rPr>
      </w:pPr>
      <w:bookmarkStart w:id="6" w:name="PO_供应商资格条件_1"/>
      <w:r>
        <w:rPr>
          <w:rFonts w:ascii="仿宋" w:hAnsi="仿宋" w:eastAsia="仿宋" w:cs="宋体"/>
          <w:b/>
          <w:bCs/>
          <w:color w:val="auto"/>
          <w:sz w:val="24"/>
          <w:highlight w:val="none"/>
        </w:rPr>
        <w:t>1、</w:t>
      </w:r>
      <w:r>
        <w:rPr>
          <w:rFonts w:hint="eastAsia" w:ascii="仿宋" w:hAnsi="仿宋" w:eastAsia="仿宋" w:cs="宋体"/>
          <w:b/>
          <w:bCs/>
          <w:color w:val="auto"/>
          <w:sz w:val="24"/>
          <w:highlight w:val="none"/>
        </w:rPr>
        <w:t>满足《中华人民共和国政府采购法》第二十二条规定</w:t>
      </w:r>
      <w:r>
        <w:rPr>
          <w:rFonts w:ascii="仿宋" w:hAnsi="仿宋" w:eastAsia="仿宋" w:cs="宋体"/>
          <w:b/>
          <w:bCs/>
          <w:color w:val="auto"/>
          <w:sz w:val="24"/>
          <w:highlight w:val="none"/>
        </w:rPr>
        <w:t>；</w:t>
      </w:r>
    </w:p>
    <w:p>
      <w:pPr>
        <w:pStyle w:val="81"/>
        <w:spacing w:after="0" w:line="420" w:lineRule="exact"/>
        <w:ind w:firstLine="482"/>
        <w:rPr>
          <w:rFonts w:ascii="仿宋" w:hAnsi="仿宋" w:eastAsia="仿宋" w:cs="宋体"/>
          <w:b/>
          <w:bCs/>
          <w:color w:val="auto"/>
          <w:sz w:val="24"/>
          <w:highlight w:val="none"/>
        </w:rPr>
      </w:pPr>
      <w:r>
        <w:rPr>
          <w:rFonts w:hint="eastAsia" w:ascii="仿宋" w:hAnsi="仿宋" w:eastAsia="仿宋" w:cs="宋体"/>
          <w:b/>
          <w:bCs/>
          <w:color w:val="auto"/>
          <w:sz w:val="24"/>
          <w:highlight w:val="none"/>
        </w:rPr>
        <w:t>2、落实政府采购政策需满足的资格要求：无。</w:t>
      </w:r>
    </w:p>
    <w:p>
      <w:pPr>
        <w:pStyle w:val="81"/>
        <w:spacing w:after="0" w:line="420" w:lineRule="exact"/>
        <w:ind w:firstLine="482"/>
        <w:rPr>
          <w:b/>
          <w:bCs/>
          <w:color w:val="auto"/>
          <w:highlight w:val="none"/>
        </w:rPr>
      </w:pPr>
      <w:r>
        <w:rPr>
          <w:rFonts w:hint="eastAsia" w:ascii="仿宋" w:hAnsi="仿宋" w:eastAsia="仿宋" w:cs="宋体"/>
          <w:b/>
          <w:bCs/>
          <w:color w:val="auto"/>
          <w:sz w:val="24"/>
          <w:highlight w:val="none"/>
        </w:rPr>
        <w:t>3</w:t>
      </w:r>
      <w:r>
        <w:rPr>
          <w:rFonts w:ascii="仿宋" w:hAnsi="仿宋" w:eastAsia="仿宋" w:cs="宋体"/>
          <w:b/>
          <w:bCs/>
          <w:color w:val="auto"/>
          <w:sz w:val="24"/>
          <w:highlight w:val="none"/>
        </w:rPr>
        <w:t>、</w:t>
      </w:r>
      <w:r>
        <w:rPr>
          <w:rFonts w:hint="eastAsia" w:ascii="仿宋" w:hAnsi="仿宋" w:eastAsia="仿宋" w:cs="宋体"/>
          <w:b/>
          <w:bCs/>
          <w:color w:val="auto"/>
          <w:sz w:val="24"/>
          <w:highlight w:val="none"/>
        </w:rPr>
        <w:t>本项目的特定资格要求：</w:t>
      </w:r>
    </w:p>
    <w:p>
      <w:pPr>
        <w:pStyle w:val="81"/>
        <w:spacing w:after="0" w:line="420" w:lineRule="exact"/>
        <w:ind w:firstLine="480"/>
        <w:rPr>
          <w:rFonts w:ascii="仿宋" w:hAnsi="仿宋" w:eastAsia="仿宋" w:cs="宋体"/>
          <w:color w:val="auto"/>
          <w:sz w:val="24"/>
          <w:highlight w:val="none"/>
        </w:rPr>
      </w:pPr>
      <w:r>
        <w:rPr>
          <w:rFonts w:hint="eastAsia" w:ascii="仿宋" w:hAnsi="仿宋" w:eastAsia="仿宋" w:cs="宋体"/>
          <w:color w:val="auto"/>
          <w:sz w:val="24"/>
          <w:highlight w:val="none"/>
        </w:rPr>
        <w:t xml:space="preserve">3.1 若采购产品为医疗器械的，投标人须符合《医疗器械监督管理条例》要求并提 供供应商经营该产品的经营许可/经营备案证明材料。 </w:t>
      </w:r>
    </w:p>
    <w:p>
      <w:pPr>
        <w:pStyle w:val="81"/>
        <w:spacing w:after="0" w:line="420" w:lineRule="exact"/>
        <w:ind w:firstLine="480"/>
        <w:rPr>
          <w:rFonts w:ascii="仿宋" w:hAnsi="仿宋" w:eastAsia="仿宋" w:cs="宋体"/>
          <w:color w:val="auto"/>
          <w:sz w:val="24"/>
          <w:highlight w:val="none"/>
        </w:rPr>
      </w:pPr>
      <w:r>
        <w:rPr>
          <w:rFonts w:hint="eastAsia" w:ascii="仿宋" w:hAnsi="仿宋" w:eastAsia="仿宋" w:cs="宋体"/>
          <w:color w:val="auto"/>
          <w:sz w:val="24"/>
          <w:highlight w:val="none"/>
        </w:rPr>
        <w:t>3.2 若采购产品为医疗器械的，投标产品须符合《医疗器械注册管理办法》要求并 提供产品的注册/备案证明材料。</w:t>
      </w:r>
    </w:p>
    <w:p>
      <w:pPr>
        <w:pStyle w:val="81"/>
        <w:spacing w:after="0" w:line="420" w:lineRule="exact"/>
        <w:ind w:firstLine="480"/>
        <w:rPr>
          <w:color w:val="auto"/>
          <w:highlight w:val="none"/>
        </w:rPr>
      </w:pPr>
      <w:r>
        <w:rPr>
          <w:rFonts w:hint="eastAsia" w:ascii="仿宋" w:hAnsi="仿宋" w:eastAsia="仿宋" w:cs="宋体"/>
          <w:color w:val="auto"/>
          <w:sz w:val="24"/>
          <w:highlight w:val="none"/>
        </w:rPr>
        <w:t>3.3若采购产品为消毒产品，消毒产品须具备《消毒产品卫生安全评价报告》（投标产品若为新消毒产品须提供有效的卫生许可批件）。</w:t>
      </w:r>
    </w:p>
    <w:p>
      <w:pPr>
        <w:pStyle w:val="81"/>
        <w:spacing w:after="0" w:line="420" w:lineRule="exact"/>
        <w:ind w:firstLine="480"/>
        <w:rPr>
          <w:rFonts w:ascii="仿宋" w:hAnsi="仿宋" w:eastAsia="仿宋" w:cs="宋体"/>
          <w:color w:val="auto"/>
          <w:sz w:val="24"/>
          <w:highlight w:val="none"/>
        </w:rPr>
      </w:pPr>
      <w:r>
        <w:rPr>
          <w:rFonts w:hint="eastAsia" w:ascii="仿宋" w:hAnsi="仿宋" w:eastAsia="仿宋" w:cs="宋体"/>
          <w:color w:val="auto"/>
          <w:sz w:val="24"/>
          <w:highlight w:val="none"/>
        </w:rPr>
        <w:t>（详见招标文件第四、五章）。</w:t>
      </w:r>
    </w:p>
    <w:bookmarkEnd w:id="6"/>
    <w:p>
      <w:pPr>
        <w:pStyle w:val="81"/>
        <w:spacing w:line="440" w:lineRule="exact"/>
        <w:ind w:firstLine="602" w:firstLineChars="250"/>
        <w:rPr>
          <w:rFonts w:ascii="仿宋" w:hAnsi="仿宋" w:eastAsia="仿宋"/>
          <w:b/>
          <w:color w:val="auto"/>
          <w:sz w:val="24"/>
          <w:highlight w:val="none"/>
        </w:rPr>
      </w:pPr>
      <w:r>
        <w:rPr>
          <w:rFonts w:hint="eastAsia" w:ascii="仿宋" w:hAnsi="仿宋" w:eastAsia="仿宋"/>
          <w:b/>
          <w:color w:val="auto"/>
          <w:sz w:val="24"/>
          <w:highlight w:val="none"/>
        </w:rPr>
        <w:t>六、禁止参加本次采购活动的供应商</w:t>
      </w:r>
    </w:p>
    <w:p>
      <w:pPr>
        <w:spacing w:line="440" w:lineRule="exact"/>
        <w:ind w:firstLine="456" w:firstLineChars="200"/>
        <w:rPr>
          <w:rFonts w:ascii="仿宋" w:hAnsi="仿宋"/>
          <w:color w:val="auto"/>
          <w:highlight w:val="none"/>
        </w:rPr>
      </w:pPr>
      <w:bookmarkStart w:id="7" w:name="PO_默认文件内容_7"/>
      <w:r>
        <w:rPr>
          <w:rFonts w:hint="eastAsia" w:ascii="仿宋" w:hAnsi="仿宋"/>
          <w:color w:val="auto"/>
          <w:spacing w:val="-6"/>
          <w:highlight w:val="none"/>
        </w:rPr>
        <w:t>根据《关于在政府采购活动中查询及使用信用记录有关问题的通知》（财库〔2016〕125号）的要求，采购人/采购代理机构将通过“信用中国”网站（www.creditchina.gov.cn）、“中国政府采购网”网站（www.ccgp.gov.cn）等</w:t>
      </w:r>
      <w:r>
        <w:rPr>
          <w:rFonts w:hint="eastAsia" w:ascii="仿宋" w:hAnsi="仿宋"/>
          <w:color w:val="auto"/>
          <w:highlight w:val="none"/>
        </w:rPr>
        <w:t>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p>
    <w:bookmarkEnd w:id="7"/>
    <w:p>
      <w:pPr>
        <w:spacing w:after="50" w:line="420" w:lineRule="exact"/>
        <w:ind w:firstLine="482" w:firstLineChars="200"/>
        <w:rPr>
          <w:rFonts w:ascii="仿宋" w:hAnsi="仿宋"/>
          <w:b/>
          <w:color w:val="auto"/>
          <w:highlight w:val="none"/>
        </w:rPr>
      </w:pPr>
      <w:r>
        <w:rPr>
          <w:rFonts w:hint="eastAsia" w:ascii="仿宋" w:hAnsi="仿宋"/>
          <w:b/>
          <w:color w:val="auto"/>
          <w:highlight w:val="none"/>
        </w:rPr>
        <w:t>七、招标文件获取时间、地点：</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招标文件获取时间：</w:t>
      </w:r>
      <w:r>
        <w:rPr>
          <w:rFonts w:hint="eastAsia" w:ascii="仿宋" w:hAnsi="仿宋"/>
          <w:color w:val="auto"/>
          <w:highlight w:val="none"/>
        </w:rPr>
        <w:t>2021年</w:t>
      </w:r>
      <w:r>
        <w:rPr>
          <w:rFonts w:hint="eastAsia" w:ascii="仿宋" w:hAnsi="仿宋"/>
          <w:color w:val="auto"/>
          <w:highlight w:val="none"/>
          <w:lang w:val="en-US" w:eastAsia="zh-CN"/>
        </w:rPr>
        <w:t>10</w:t>
      </w:r>
      <w:r>
        <w:rPr>
          <w:rFonts w:hint="eastAsia" w:ascii="仿宋" w:hAnsi="仿宋"/>
          <w:color w:val="auto"/>
          <w:highlight w:val="none"/>
        </w:rPr>
        <w:t>月</w:t>
      </w:r>
      <w:r>
        <w:rPr>
          <w:rFonts w:hint="eastAsia" w:ascii="仿宋" w:hAnsi="仿宋"/>
          <w:color w:val="auto"/>
          <w:highlight w:val="none"/>
          <w:lang w:val="en-US" w:eastAsia="zh-CN"/>
        </w:rPr>
        <w:t>29</w:t>
      </w:r>
      <w:r>
        <w:rPr>
          <w:rFonts w:hint="eastAsia" w:ascii="仿宋" w:hAnsi="仿宋"/>
          <w:color w:val="auto"/>
          <w:highlight w:val="none"/>
        </w:rPr>
        <w:t>日00:00至2021年</w:t>
      </w:r>
      <w:r>
        <w:rPr>
          <w:rFonts w:hint="eastAsia" w:ascii="仿宋" w:hAnsi="仿宋"/>
          <w:color w:val="auto"/>
          <w:highlight w:val="none"/>
          <w:lang w:val="en-US" w:eastAsia="zh-CN"/>
        </w:rPr>
        <w:t>11</w:t>
      </w:r>
      <w:r>
        <w:rPr>
          <w:rFonts w:hint="eastAsia" w:ascii="仿宋" w:hAnsi="仿宋"/>
          <w:color w:val="auto"/>
          <w:highlight w:val="none"/>
        </w:rPr>
        <w:t>月</w:t>
      </w:r>
      <w:r>
        <w:rPr>
          <w:rFonts w:hint="eastAsia" w:ascii="仿宋" w:hAnsi="仿宋"/>
          <w:color w:val="auto"/>
          <w:highlight w:val="none"/>
          <w:lang w:val="en-US" w:eastAsia="zh-CN"/>
        </w:rPr>
        <w:t>04</w:t>
      </w:r>
      <w:r>
        <w:rPr>
          <w:rFonts w:hint="eastAsia" w:ascii="仿宋" w:hAnsi="仿宋"/>
          <w:color w:val="auto"/>
          <w:highlight w:val="none"/>
        </w:rPr>
        <w:t>日23：59</w:t>
      </w:r>
      <w:r>
        <w:rPr>
          <w:rFonts w:hint="eastAsia" w:ascii="仿宋" w:hAnsi="仿宋"/>
          <w:color w:val="auto"/>
          <w:highlight w:val="none"/>
        </w:rPr>
        <w:t>（北京时间）</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招标文件获取方式：投标人从“政府采购云平台”获取采购文件（网址：</w:t>
      </w:r>
      <w:r>
        <w:rPr>
          <w:color w:val="auto"/>
          <w:highlight w:val="none"/>
        </w:rPr>
        <w:fldChar w:fldCharType="begin"/>
      </w:r>
      <w:r>
        <w:rPr>
          <w:color w:val="auto"/>
          <w:highlight w:val="none"/>
        </w:rPr>
        <w:instrText xml:space="preserve"> HYPERLINK "https://www.zcygov.cn）项目采购—获取采购文件—申请获取采购文件。_x0005_" </w:instrText>
      </w:r>
      <w:r>
        <w:rPr>
          <w:color w:val="auto"/>
          <w:highlight w:val="none"/>
        </w:rPr>
        <w:fldChar w:fldCharType="separate"/>
      </w:r>
      <w:r>
        <w:rPr>
          <w:rFonts w:hint="eastAsia" w:ascii="仿宋" w:hAnsi="仿宋"/>
          <w:color w:val="auto"/>
          <w:highlight w:val="none"/>
        </w:rPr>
        <w:t>https://www.zcygov.cn）。登录政府采购云平台—项目采购—获取采购文件—申请获取采购文件</w:t>
      </w:r>
      <w:r>
        <w:rPr>
          <w:rFonts w:hint="eastAsia" w:ascii="仿宋" w:hAnsi="仿宋"/>
          <w:color w:val="auto"/>
          <w:highlight w:val="none"/>
        </w:rPr>
        <w:fldChar w:fldCharType="end"/>
      </w:r>
      <w:r>
        <w:rPr>
          <w:rFonts w:hint="eastAsia" w:ascii="仿宋" w:hAnsi="仿宋"/>
          <w:color w:val="auto"/>
          <w:highlight w:val="none"/>
        </w:rPr>
        <w:t>。</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提示：</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（1）本项目招标文件免费获取。</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（3）本项目为电子招标投标项目，投标人参与本项目全过程中凡涉及系统操作请详见</w:t>
      </w:r>
      <w:r>
        <w:rPr>
          <w:rFonts w:hint="eastAsia" w:ascii="仿宋" w:hAnsi="仿宋"/>
          <w:b/>
          <w:bCs/>
          <w:color w:val="auto"/>
          <w:highlight w:val="none"/>
        </w:rPr>
        <w:t>《供应商政府采购项目电子交易操作指南》</w:t>
      </w:r>
      <w:r>
        <w:rPr>
          <w:rFonts w:hint="eastAsia" w:ascii="仿宋" w:hAnsi="仿宋"/>
          <w:color w:val="auto"/>
          <w:highlight w:val="none"/>
        </w:rPr>
        <w:t>。（操作指南以政府采购云平台网站发布为准，获取方式详见：</w:t>
      </w:r>
      <w:r>
        <w:rPr>
          <w:rFonts w:hint="eastAsia" w:ascii="仿宋" w:hAnsi="仿宋"/>
          <w:b/>
          <w:bCs/>
          <w:color w:val="auto"/>
          <w:highlight w:val="none"/>
        </w:rPr>
        <w:t>招标文件附件四-政府采购云平台使用介绍</w:t>
      </w:r>
      <w:r>
        <w:rPr>
          <w:rFonts w:hint="eastAsia" w:ascii="仿宋" w:hAnsi="仿宋"/>
          <w:color w:val="auto"/>
          <w:highlight w:val="none"/>
        </w:rPr>
        <w:t>）</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（4）政府采购云平台投标人注册地址：</w:t>
      </w:r>
    </w:p>
    <w:p>
      <w:pPr>
        <w:spacing w:after="50" w:line="420" w:lineRule="exact"/>
        <w:ind w:firstLine="480" w:firstLineChars="200"/>
        <w:rPr>
          <w:rFonts w:ascii="仿宋" w:hAnsi="仿宋"/>
          <w:color w:val="auto"/>
          <w:highlight w:val="none"/>
        </w:rPr>
      </w:pPr>
      <w:r>
        <w:rPr>
          <w:rFonts w:hint="eastAsia" w:ascii="仿宋" w:hAnsi="仿宋"/>
          <w:color w:val="auto"/>
          <w:highlight w:val="none"/>
        </w:rPr>
        <w:t>https://middle.zcygov.cn/v-settle-front/registry</w:t>
      </w:r>
    </w:p>
    <w:p>
      <w:pPr>
        <w:spacing w:after="166" w:afterLines="50" w:line="420" w:lineRule="exact"/>
        <w:ind w:firstLine="482" w:firstLineChars="200"/>
        <w:rPr>
          <w:rFonts w:ascii="仿宋" w:hAnsi="仿宋"/>
          <w:b/>
          <w:color w:val="auto"/>
          <w:highlight w:val="none"/>
        </w:rPr>
      </w:pPr>
      <w:r>
        <w:rPr>
          <w:rFonts w:hint="eastAsia" w:ascii="仿宋" w:hAnsi="仿宋"/>
          <w:b/>
          <w:color w:val="auto"/>
          <w:szCs w:val="28"/>
          <w:highlight w:val="none"/>
        </w:rPr>
        <w:t>八、</w:t>
      </w:r>
      <w:r>
        <w:rPr>
          <w:rFonts w:hint="eastAsia" w:ascii="仿宋" w:hAnsi="仿宋"/>
          <w:b/>
          <w:color w:val="auto"/>
          <w:highlight w:val="none"/>
        </w:rPr>
        <w:t>投标截止时间和开标时间：</w:t>
      </w:r>
      <w:r>
        <w:rPr>
          <w:rFonts w:hint="eastAsia" w:ascii="仿宋" w:hAnsi="仿宋"/>
          <w:color w:val="auto"/>
          <w:highlight w:val="none"/>
        </w:rPr>
        <w:t>2021年</w:t>
      </w:r>
      <w:r>
        <w:rPr>
          <w:rFonts w:hint="eastAsia" w:ascii="仿宋" w:hAnsi="仿宋"/>
          <w:color w:val="auto"/>
          <w:highlight w:val="none"/>
          <w:lang w:val="en-US" w:eastAsia="zh-CN"/>
        </w:rPr>
        <w:t>11</w:t>
      </w:r>
      <w:r>
        <w:rPr>
          <w:rFonts w:hint="eastAsia" w:ascii="仿宋" w:hAnsi="仿宋"/>
          <w:color w:val="auto"/>
          <w:highlight w:val="none"/>
        </w:rPr>
        <w:t>月</w:t>
      </w:r>
      <w:r>
        <w:rPr>
          <w:rFonts w:hint="eastAsia" w:ascii="仿宋" w:hAnsi="仿宋"/>
          <w:color w:val="auto"/>
          <w:highlight w:val="none"/>
          <w:lang w:val="en-US" w:eastAsia="zh-CN"/>
        </w:rPr>
        <w:t>18</w:t>
      </w:r>
      <w:r>
        <w:rPr>
          <w:rFonts w:hint="eastAsia" w:ascii="仿宋" w:hAnsi="仿宋"/>
          <w:color w:val="auto"/>
          <w:highlight w:val="none"/>
        </w:rPr>
        <w:t>日</w:t>
      </w:r>
      <w:r>
        <w:rPr>
          <w:rFonts w:hint="eastAsia" w:ascii="仿宋" w:hAnsi="仿宋"/>
          <w:color w:val="auto"/>
          <w:highlight w:val="none"/>
          <w:lang w:val="en-US" w:eastAsia="zh-CN"/>
        </w:rPr>
        <w:t>10</w:t>
      </w:r>
      <w:r>
        <w:rPr>
          <w:rFonts w:hint="eastAsia" w:ascii="仿宋" w:hAnsi="仿宋"/>
          <w:color w:val="auto"/>
          <w:highlight w:val="none"/>
        </w:rPr>
        <w:t>：</w:t>
      </w:r>
      <w:r>
        <w:rPr>
          <w:rFonts w:hint="eastAsia" w:ascii="仿宋" w:hAnsi="仿宋"/>
          <w:color w:val="auto"/>
          <w:highlight w:val="none"/>
          <w:lang w:val="en-US" w:eastAsia="zh-CN"/>
        </w:rPr>
        <w:t>00</w:t>
      </w:r>
      <w:r>
        <w:rPr>
          <w:rFonts w:hint="eastAsia" w:ascii="仿宋" w:hAnsi="仿宋"/>
          <w:color w:val="auto"/>
          <w:szCs w:val="28"/>
          <w:highlight w:val="none"/>
        </w:rPr>
        <w:t>（北京时间）</w:t>
      </w:r>
      <w:r>
        <w:rPr>
          <w:rFonts w:hint="eastAsia" w:ascii="仿宋" w:hAnsi="仿宋"/>
          <w:color w:val="auto"/>
          <w:szCs w:val="28"/>
          <w:highlight w:val="none"/>
        </w:rPr>
        <w:t>。</w:t>
      </w:r>
    </w:p>
    <w:p>
      <w:pPr>
        <w:pStyle w:val="13"/>
        <w:spacing w:after="166" w:afterLines="50" w:line="420" w:lineRule="exact"/>
        <w:ind w:left="0" w:leftChars="0" w:firstLine="480" w:firstLineChars="200"/>
        <w:rPr>
          <w:rFonts w:ascii="仿宋" w:hAnsi="仿宋"/>
          <w:color w:val="auto"/>
          <w:szCs w:val="28"/>
          <w:highlight w:val="none"/>
        </w:rPr>
      </w:pPr>
      <w:r>
        <w:rPr>
          <w:rFonts w:hint="eastAsia" w:ascii="仿宋" w:hAnsi="仿宋"/>
          <w:color w:val="auto"/>
          <w:szCs w:val="28"/>
          <w:highlight w:val="none"/>
        </w:rPr>
        <w:t>投标截止时间前，投标人应将加密的电子投标文件递交至“政府采购云平台”对应项目（包件）。</w:t>
      </w:r>
    </w:p>
    <w:p>
      <w:pPr>
        <w:spacing w:after="50" w:line="420" w:lineRule="exact"/>
        <w:ind w:firstLine="489" w:firstLineChars="203"/>
        <w:rPr>
          <w:rFonts w:ascii="仿宋" w:hAnsi="仿宋"/>
          <w:b/>
          <w:color w:val="auto"/>
          <w:szCs w:val="28"/>
          <w:highlight w:val="none"/>
        </w:rPr>
      </w:pPr>
      <w:r>
        <w:rPr>
          <w:rFonts w:hint="eastAsia" w:ascii="仿宋" w:hAnsi="仿宋"/>
          <w:b/>
          <w:color w:val="auto"/>
          <w:szCs w:val="28"/>
          <w:highlight w:val="none"/>
        </w:rPr>
        <w:t>九、开标地点：</w:t>
      </w:r>
    </w:p>
    <w:p>
      <w:pPr>
        <w:spacing w:after="50" w:line="420" w:lineRule="exact"/>
        <w:ind w:firstLine="487" w:firstLineChars="203"/>
        <w:rPr>
          <w:rFonts w:ascii="仿宋" w:hAnsi="仿宋"/>
          <w:color w:val="auto"/>
          <w:szCs w:val="28"/>
          <w:highlight w:val="none"/>
        </w:rPr>
      </w:pPr>
      <w:bookmarkStart w:id="8" w:name="PO_默认文件内容_13"/>
      <w:r>
        <w:rPr>
          <w:rFonts w:hint="eastAsia" w:ascii="仿宋" w:hAnsi="仿宋"/>
          <w:color w:val="auto"/>
          <w:szCs w:val="28"/>
          <w:highlight w:val="none"/>
        </w:rPr>
        <w:t>（1）本项目为不见面开标项目。</w:t>
      </w:r>
    </w:p>
    <w:p>
      <w:pPr>
        <w:spacing w:after="50" w:line="420" w:lineRule="exact"/>
        <w:ind w:firstLine="487" w:firstLineChars="203"/>
        <w:rPr>
          <w:rFonts w:ascii="仿宋" w:hAnsi="仿宋"/>
          <w:color w:val="auto"/>
          <w:szCs w:val="28"/>
          <w:highlight w:val="none"/>
        </w:rPr>
      </w:pPr>
      <w:r>
        <w:rPr>
          <w:rFonts w:hint="eastAsia" w:ascii="仿宋" w:hAnsi="仿宋"/>
          <w:color w:val="auto"/>
          <w:szCs w:val="28"/>
          <w:highlight w:val="none"/>
        </w:rPr>
        <w:t>（2）开标地点：政府采购云平台(https://www.zcygov.cn)。</w:t>
      </w:r>
    </w:p>
    <w:p>
      <w:pPr>
        <w:spacing w:after="50" w:line="420" w:lineRule="exact"/>
        <w:ind w:firstLine="487" w:firstLineChars="203"/>
        <w:rPr>
          <w:rFonts w:ascii="仿宋" w:hAnsi="仿宋"/>
          <w:color w:val="auto"/>
          <w:szCs w:val="28"/>
          <w:highlight w:val="none"/>
        </w:rPr>
      </w:pPr>
      <w:r>
        <w:rPr>
          <w:rFonts w:hint="eastAsia" w:ascii="仿宋" w:hAnsi="仿宋"/>
          <w:color w:val="auto"/>
          <w:szCs w:val="28"/>
          <w:highlight w:val="none"/>
        </w:rPr>
        <w:t>（3）本项目只接受投标人加密并递交至“政府采购云平台”的投标文件。</w:t>
      </w:r>
    </w:p>
    <w:p>
      <w:pPr>
        <w:pStyle w:val="81"/>
        <w:spacing w:line="420" w:lineRule="exact"/>
        <w:ind w:firstLine="482"/>
        <w:rPr>
          <w:rFonts w:ascii="仿宋" w:hAnsi="仿宋" w:eastAsia="仿宋"/>
          <w:color w:val="auto"/>
          <w:sz w:val="24"/>
          <w:highlight w:val="none"/>
        </w:rPr>
      </w:pPr>
      <w:r>
        <w:rPr>
          <w:rFonts w:hint="eastAsia" w:ascii="仿宋" w:hAnsi="仿宋" w:eastAsia="仿宋"/>
          <w:b/>
          <w:color w:val="auto"/>
          <w:sz w:val="24"/>
          <w:highlight w:val="none"/>
        </w:rPr>
        <w:t>十、</w:t>
      </w:r>
      <w:r>
        <w:rPr>
          <w:rFonts w:hint="eastAsia" w:ascii="仿宋" w:hAnsi="仿宋" w:eastAsia="仿宋"/>
          <w:color w:val="auto"/>
          <w:sz w:val="24"/>
          <w:highlight w:val="none"/>
        </w:rPr>
        <w:t>本投标邀请在四川政府采购网上以公告形式发布。</w:t>
      </w:r>
      <w:bookmarkEnd w:id="8"/>
    </w:p>
    <w:p>
      <w:pPr>
        <w:pStyle w:val="81"/>
        <w:spacing w:line="42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十一、供应商信用融资：</w:t>
      </w:r>
    </w:p>
    <w:p>
      <w:pPr>
        <w:pStyle w:val="81"/>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81"/>
        <w:spacing w:line="420" w:lineRule="exact"/>
        <w:ind w:firstLine="480"/>
        <w:rPr>
          <w:rFonts w:ascii="仿宋" w:hAnsi="仿宋"/>
          <w:color w:val="auto"/>
          <w:sz w:val="24"/>
          <w:highlight w:val="none"/>
        </w:rPr>
      </w:pPr>
      <w:r>
        <w:rPr>
          <w:rFonts w:hint="eastAsia" w:ascii="仿宋" w:hAnsi="仿宋" w:eastAsia="仿宋"/>
          <w:color w:val="auto"/>
          <w:sz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color w:val="auto"/>
          <w:sz w:val="24"/>
          <w:highlight w:val="none"/>
        </w:rPr>
        <w:t>20</w:t>
      </w:r>
      <w:r>
        <w:rPr>
          <w:rFonts w:hint="eastAsia" w:ascii="仿宋" w:hAnsi="仿宋" w:eastAsia="仿宋"/>
          <w:color w:val="auto"/>
          <w:sz w:val="24"/>
          <w:highlight w:val="none"/>
        </w:rPr>
        <w:t>〕</w:t>
      </w:r>
      <w:r>
        <w:rPr>
          <w:rFonts w:ascii="仿宋" w:hAnsi="仿宋" w:eastAsia="仿宋"/>
          <w:color w:val="auto"/>
          <w:sz w:val="24"/>
          <w:highlight w:val="none"/>
        </w:rPr>
        <w:t>20</w:t>
      </w:r>
      <w:r>
        <w:rPr>
          <w:rFonts w:hint="eastAsia" w:ascii="仿宋" w:hAnsi="仿宋" w:eastAsia="仿宋"/>
          <w:color w:val="auto"/>
          <w:sz w:val="24"/>
          <w:highlight w:val="none"/>
        </w:rPr>
        <w:t>号”）。</w:t>
      </w:r>
    </w:p>
    <w:p>
      <w:pPr>
        <w:pStyle w:val="81"/>
        <w:spacing w:line="42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十二、联系方式</w:t>
      </w:r>
    </w:p>
    <w:p>
      <w:pPr>
        <w:pStyle w:val="81"/>
        <w:spacing w:line="420" w:lineRule="exact"/>
        <w:ind w:firstLine="482"/>
        <w:rPr>
          <w:rFonts w:ascii="仿宋" w:hAnsi="仿宋" w:eastAsia="仿宋"/>
          <w:b/>
          <w:bCs/>
          <w:color w:val="auto"/>
          <w:sz w:val="24"/>
          <w:highlight w:val="none"/>
        </w:rPr>
      </w:pPr>
      <w:r>
        <w:rPr>
          <w:rFonts w:hint="eastAsia" w:ascii="仿宋" w:hAnsi="仿宋" w:eastAsia="仿宋"/>
          <w:b/>
          <w:bCs/>
          <w:color w:val="auto"/>
          <w:sz w:val="24"/>
          <w:highlight w:val="none"/>
        </w:rPr>
        <w:t>采 购 人</w:t>
      </w:r>
      <w:r>
        <w:rPr>
          <w:rFonts w:hint="eastAsia" w:ascii="仿宋" w:hAnsi="仿宋" w:eastAsia="仿宋"/>
          <w:b/>
          <w:color w:val="auto"/>
          <w:sz w:val="24"/>
          <w:highlight w:val="none"/>
        </w:rPr>
        <w:t>：成都高新区西园社区卫生服务中心</w:t>
      </w:r>
    </w:p>
    <w:p>
      <w:pPr>
        <w:pStyle w:val="81"/>
        <w:spacing w:line="420" w:lineRule="exact"/>
        <w:ind w:firstLine="480"/>
        <w:rPr>
          <w:rFonts w:ascii="仿宋" w:hAnsi="仿宋" w:eastAsia="仿宋"/>
          <w:color w:val="auto"/>
          <w:sz w:val="24"/>
          <w:highlight w:val="none"/>
        </w:rPr>
      </w:pPr>
      <w:r>
        <w:rPr>
          <w:rFonts w:hint="eastAsia" w:ascii="仿宋" w:hAnsi="仿宋" w:eastAsia="仿宋"/>
          <w:bCs/>
          <w:color w:val="auto"/>
          <w:sz w:val="24"/>
          <w:highlight w:val="none"/>
        </w:rPr>
        <w:t>地    址：</w:t>
      </w:r>
      <w:r>
        <w:rPr>
          <w:rFonts w:hint="eastAsia" w:ascii="仿宋" w:hAnsi="仿宋" w:eastAsia="仿宋"/>
          <w:color w:val="auto"/>
          <w:sz w:val="24"/>
          <w:highlight w:val="none"/>
        </w:rPr>
        <w:t>成都市郫都区天彩路120号</w:t>
      </w:r>
    </w:p>
    <w:p>
      <w:pPr>
        <w:pStyle w:val="81"/>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联 系 人：蒲老师</w:t>
      </w:r>
    </w:p>
    <w:p>
      <w:pPr>
        <w:pStyle w:val="81"/>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联系电话：</w:t>
      </w:r>
      <w:r>
        <w:rPr>
          <w:rFonts w:ascii="仿宋" w:hAnsi="仿宋" w:eastAsia="仿宋"/>
          <w:color w:val="auto"/>
          <w:sz w:val="24"/>
          <w:highlight w:val="none"/>
        </w:rPr>
        <w:t>028-87926120</w:t>
      </w:r>
    </w:p>
    <w:p>
      <w:pPr>
        <w:pStyle w:val="81"/>
        <w:spacing w:line="420" w:lineRule="exact"/>
        <w:ind w:firstLine="482"/>
        <w:rPr>
          <w:rFonts w:ascii="仿宋" w:hAnsi="仿宋" w:eastAsia="仿宋"/>
          <w:b/>
          <w:color w:val="auto"/>
          <w:sz w:val="24"/>
          <w:highlight w:val="none"/>
        </w:rPr>
      </w:pPr>
      <w:r>
        <w:rPr>
          <w:rFonts w:hint="eastAsia" w:ascii="仿宋" w:hAnsi="仿宋" w:eastAsia="仿宋"/>
          <w:b/>
          <w:bCs/>
          <w:color w:val="auto"/>
          <w:sz w:val="24"/>
          <w:highlight w:val="none"/>
        </w:rPr>
        <w:t>采购代理机构：</w:t>
      </w:r>
      <w:r>
        <w:rPr>
          <w:rFonts w:hint="eastAsia" w:ascii="仿宋" w:hAnsi="仿宋" w:eastAsia="仿宋"/>
          <w:b/>
          <w:color w:val="auto"/>
          <w:sz w:val="24"/>
          <w:highlight w:val="none"/>
        </w:rPr>
        <w:t>四川成与诚招标代理有限公司</w:t>
      </w:r>
    </w:p>
    <w:p>
      <w:pPr>
        <w:pStyle w:val="81"/>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地    址：四川省成都市高新区锦尚西一路楚峰国际中心45A03号（44层）</w:t>
      </w:r>
    </w:p>
    <w:p>
      <w:pPr>
        <w:pStyle w:val="81"/>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邮    编：</w:t>
      </w:r>
      <w:r>
        <w:rPr>
          <w:rFonts w:ascii="仿宋" w:hAnsi="仿宋" w:eastAsia="仿宋"/>
          <w:color w:val="auto"/>
          <w:sz w:val="24"/>
          <w:highlight w:val="none"/>
        </w:rPr>
        <w:t>610041</w:t>
      </w:r>
    </w:p>
    <w:p>
      <w:pPr>
        <w:pStyle w:val="81"/>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联 系 人：鲁女士</w:t>
      </w:r>
    </w:p>
    <w:p>
      <w:pPr>
        <w:pStyle w:val="81"/>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联系电话：028-83475775、19108230597</w:t>
      </w:r>
    </w:p>
    <w:p>
      <w:pPr>
        <w:pStyle w:val="29"/>
        <w:spacing w:after="50" w:line="420" w:lineRule="exact"/>
        <w:ind w:left="960" w:firstLine="720" w:firstLineChars="200"/>
        <w:rPr>
          <w:rFonts w:ascii="仿宋" w:hAnsi="仿宋"/>
          <w:color w:val="auto"/>
          <w:sz w:val="36"/>
          <w:szCs w:val="36"/>
          <w:highlight w:val="none"/>
        </w:rPr>
        <w:sectPr>
          <w:pgSz w:w="11905" w:h="16838"/>
          <w:pgMar w:top="1417" w:right="1417" w:bottom="1417" w:left="1417" w:header="425" w:footer="992" w:gutter="0"/>
          <w:cols w:space="0" w:num="1"/>
          <w:docGrid w:type="lines" w:linePitch="332" w:charSpace="0"/>
        </w:sectPr>
      </w:pPr>
      <w:bookmarkStart w:id="9" w:name="_Toc12497"/>
      <w:bookmarkStart w:id="10" w:name="_Toc213496267"/>
      <w:bookmarkStart w:id="11" w:name="_Toc213397009"/>
      <w:bookmarkStart w:id="12" w:name="_Toc213396945"/>
      <w:bookmarkStart w:id="13" w:name="_Toc213396759"/>
      <w:bookmarkStart w:id="14" w:name="_Toc217446031"/>
    </w:p>
    <w:p>
      <w:pPr>
        <w:pStyle w:val="3"/>
        <w:rPr>
          <w:rFonts w:ascii="仿宋" w:hAnsi="仿宋"/>
          <w:color w:val="auto"/>
          <w:sz w:val="36"/>
          <w:szCs w:val="36"/>
          <w:highlight w:val="none"/>
        </w:rPr>
      </w:pPr>
      <w:bookmarkStart w:id="15" w:name="_Toc11431"/>
      <w:r>
        <w:rPr>
          <w:rFonts w:hint="eastAsia" w:ascii="仿宋" w:hAnsi="仿宋"/>
          <w:color w:val="auto"/>
          <w:sz w:val="36"/>
          <w:szCs w:val="36"/>
          <w:highlight w:val="none"/>
        </w:rPr>
        <w:t>第二章  投标人须知</w:t>
      </w:r>
      <w:bookmarkEnd w:id="9"/>
      <w:bookmarkEnd w:id="15"/>
    </w:p>
    <w:p>
      <w:pPr>
        <w:pStyle w:val="4"/>
        <w:spacing w:line="240" w:lineRule="atLeast"/>
        <w:jc w:val="center"/>
        <w:rPr>
          <w:rFonts w:ascii="仿宋" w:hAnsi="仿宋"/>
          <w:color w:val="auto"/>
          <w:highlight w:val="none"/>
        </w:rPr>
      </w:pPr>
      <w:r>
        <w:rPr>
          <w:rFonts w:hint="eastAsia" w:ascii="仿宋" w:hAnsi="仿宋"/>
          <w:color w:val="auto"/>
          <w:highlight w:val="none"/>
        </w:rPr>
        <w:t>一、投标人须知附表</w:t>
      </w:r>
    </w:p>
    <w:bookmarkEnd w:id="10"/>
    <w:bookmarkEnd w:id="11"/>
    <w:bookmarkEnd w:id="12"/>
    <w:bookmarkEnd w:id="13"/>
    <w:bookmarkEnd w:id="14"/>
    <w:tbl>
      <w:tblPr>
        <w:tblStyle w:val="32"/>
        <w:tblW w:w="4999" w:type="pct"/>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0" w:type="dxa"/>
          <w:bottom w:w="0" w:type="dxa"/>
          <w:right w:w="0" w:type="dxa"/>
        </w:tblCellMar>
      </w:tblPr>
      <w:tblGrid>
        <w:gridCol w:w="640"/>
        <w:gridCol w:w="2352"/>
        <w:gridCol w:w="612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441" w:type="pct"/>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序号</w:t>
            </w:r>
          </w:p>
        </w:tc>
        <w:tc>
          <w:tcPr>
            <w:tcW w:w="1380" w:type="pct"/>
            <w:vAlign w:val="center"/>
          </w:tcPr>
          <w:p>
            <w:pPr>
              <w:pStyle w:val="80"/>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条款名称</w:t>
            </w:r>
          </w:p>
        </w:tc>
        <w:tc>
          <w:tcPr>
            <w:tcW w:w="3178" w:type="pct"/>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Merge w:val="restart"/>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w:t>
            </w:r>
          </w:p>
        </w:tc>
        <w:tc>
          <w:tcPr>
            <w:tcW w:w="1380" w:type="pct"/>
            <w:tcBorders>
              <w:bottom w:val="single" w:color="auto" w:sz="4" w:space="0"/>
            </w:tcBorders>
            <w:vAlign w:val="center"/>
          </w:tcPr>
          <w:p>
            <w:pPr>
              <w:pStyle w:val="80"/>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采购预算</w:t>
            </w:r>
          </w:p>
          <w:p>
            <w:pPr>
              <w:pStyle w:val="80"/>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（实质性要求）</w:t>
            </w:r>
          </w:p>
        </w:tc>
        <w:tc>
          <w:tcPr>
            <w:tcW w:w="3178" w:type="pct"/>
            <w:tcBorders>
              <w:bottom w:val="single" w:color="auto" w:sz="4" w:space="0"/>
            </w:tcBorders>
          </w:tcPr>
          <w:p>
            <w:pPr>
              <w:widowControl/>
              <w:adjustRightInd w:val="0"/>
              <w:snapToGrid w:val="0"/>
              <w:rPr>
                <w:rFonts w:ascii="仿宋" w:hAnsi="仿宋"/>
                <w:color w:val="auto"/>
                <w:kern w:val="0"/>
                <w:sz w:val="21"/>
                <w:szCs w:val="21"/>
                <w:highlight w:val="none"/>
              </w:rPr>
            </w:pPr>
            <w:bookmarkStart w:id="16" w:name="PO_预算分包信息_1"/>
            <w:r>
              <w:rPr>
                <w:rFonts w:ascii="仿宋" w:hAnsi="仿宋"/>
                <w:color w:val="auto"/>
                <w:kern w:val="0"/>
                <w:sz w:val="21"/>
                <w:szCs w:val="21"/>
                <w:highlight w:val="none"/>
              </w:rPr>
              <w:t>预算金额</w:t>
            </w:r>
            <w:r>
              <w:rPr>
                <w:rFonts w:hint="eastAsia" w:ascii="仿宋" w:hAnsi="仿宋"/>
                <w:color w:val="auto"/>
                <w:kern w:val="0"/>
                <w:sz w:val="21"/>
                <w:szCs w:val="21"/>
                <w:highlight w:val="none"/>
              </w:rPr>
              <w:t>：</w:t>
            </w:r>
            <w:r>
              <w:rPr>
                <w:rFonts w:ascii="仿宋" w:hAnsi="仿宋"/>
                <w:color w:val="auto"/>
                <w:kern w:val="0"/>
                <w:sz w:val="21"/>
                <w:szCs w:val="21"/>
                <w:highlight w:val="none"/>
              </w:rPr>
              <w:t>175.</w:t>
            </w:r>
            <w:r>
              <w:rPr>
                <w:rFonts w:hint="eastAsia" w:ascii="仿宋" w:hAnsi="仿宋"/>
                <w:color w:val="auto"/>
                <w:kern w:val="0"/>
                <w:sz w:val="21"/>
                <w:szCs w:val="21"/>
                <w:highlight w:val="none"/>
              </w:rPr>
              <w:t>5</w:t>
            </w:r>
            <w:r>
              <w:rPr>
                <w:rFonts w:ascii="仿宋" w:hAnsi="仿宋"/>
                <w:color w:val="auto"/>
                <w:kern w:val="0"/>
                <w:sz w:val="21"/>
                <w:szCs w:val="21"/>
                <w:highlight w:val="none"/>
              </w:rPr>
              <w:t>155万元</w:t>
            </w:r>
            <w:bookmarkEnd w:id="16"/>
            <w:r>
              <w:rPr>
                <w:rFonts w:hint="eastAsia" w:ascii="仿宋" w:hAnsi="仿宋"/>
                <w:color w:val="auto"/>
                <w:kern w:val="0"/>
                <w:sz w:val="21"/>
                <w:szCs w:val="21"/>
                <w:highlight w:val="none"/>
              </w:rPr>
              <w:t>（其中01包：</w:t>
            </w:r>
            <w:r>
              <w:rPr>
                <w:rFonts w:ascii="仿宋" w:hAnsi="仿宋"/>
                <w:color w:val="auto"/>
                <w:kern w:val="0"/>
                <w:sz w:val="21"/>
                <w:szCs w:val="21"/>
                <w:highlight w:val="none"/>
              </w:rPr>
              <w:t>105.</w:t>
            </w:r>
            <w:r>
              <w:rPr>
                <w:rFonts w:hint="eastAsia" w:ascii="仿宋" w:hAnsi="仿宋"/>
                <w:color w:val="auto"/>
                <w:kern w:val="0"/>
                <w:sz w:val="21"/>
                <w:szCs w:val="21"/>
                <w:highlight w:val="none"/>
              </w:rPr>
              <w:t>5</w:t>
            </w:r>
            <w:r>
              <w:rPr>
                <w:rFonts w:ascii="仿宋" w:hAnsi="仿宋"/>
                <w:color w:val="auto"/>
                <w:kern w:val="0"/>
                <w:sz w:val="21"/>
                <w:szCs w:val="21"/>
                <w:highlight w:val="none"/>
              </w:rPr>
              <w:t>155</w:t>
            </w:r>
            <w:r>
              <w:rPr>
                <w:rFonts w:hint="eastAsia" w:ascii="仿宋" w:hAnsi="仿宋"/>
                <w:color w:val="auto"/>
                <w:kern w:val="0"/>
                <w:sz w:val="21"/>
                <w:szCs w:val="21"/>
                <w:highlight w:val="none"/>
              </w:rPr>
              <w:t>万元；02包：70万元）。</w:t>
            </w:r>
          </w:p>
          <w:p>
            <w:pPr>
              <w:pStyle w:val="80"/>
              <w:snapToGrid w:val="0"/>
              <w:spacing w:after="0" w:line="360" w:lineRule="auto"/>
              <w:jc w:val="both"/>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Merge w:val="continue"/>
            <w:vAlign w:val="center"/>
          </w:tcPr>
          <w:p>
            <w:pPr>
              <w:adjustRightInd w:val="0"/>
              <w:snapToGrid w:val="0"/>
              <w:jc w:val="center"/>
              <w:rPr>
                <w:rFonts w:ascii="仿宋" w:hAnsi="仿宋"/>
                <w:color w:val="auto"/>
                <w:sz w:val="21"/>
                <w:szCs w:val="21"/>
                <w:highlight w:val="none"/>
              </w:rPr>
            </w:pPr>
          </w:p>
        </w:tc>
        <w:tc>
          <w:tcPr>
            <w:tcW w:w="1380" w:type="pct"/>
            <w:tcBorders>
              <w:top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最高限价</w:t>
            </w:r>
          </w:p>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（实质性要求）</w:t>
            </w:r>
          </w:p>
        </w:tc>
        <w:tc>
          <w:tcPr>
            <w:tcW w:w="3178" w:type="pct"/>
            <w:tcBorders>
              <w:top w:val="single" w:color="auto" w:sz="4" w:space="0"/>
            </w:tcBorders>
          </w:tcPr>
          <w:p>
            <w:pPr>
              <w:pStyle w:val="80"/>
              <w:jc w:val="both"/>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最高限价：01包：102.9155万元；02包：70万元。</w:t>
            </w:r>
          </w:p>
          <w:p>
            <w:pPr>
              <w:pStyle w:val="80"/>
              <w:jc w:val="both"/>
              <w:rPr>
                <w:rFonts w:ascii="仿宋" w:hAnsi="仿宋" w:eastAsia="仿宋" w:cs="仿宋"/>
                <w:color w:val="auto"/>
                <w:sz w:val="21"/>
                <w:szCs w:val="21"/>
                <w:highlight w:val="none"/>
              </w:rPr>
            </w:pPr>
            <w:bookmarkStart w:id="17" w:name="PO_默认文件内容_27"/>
            <w:r>
              <w:rPr>
                <w:rFonts w:hint="eastAsia" w:ascii="仿宋" w:hAnsi="仿宋" w:cs="仿宋"/>
                <w:color w:val="auto"/>
                <w:sz w:val="21"/>
                <w:szCs w:val="21"/>
                <w:highlight w:val="none"/>
              </w:rPr>
              <w:t>超过最高限价的报价为无效投标。</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2</w:t>
            </w:r>
          </w:p>
        </w:tc>
        <w:tc>
          <w:tcPr>
            <w:tcW w:w="1380" w:type="pct"/>
            <w:vAlign w:val="center"/>
          </w:tcPr>
          <w:p>
            <w:pPr>
              <w:pStyle w:val="80"/>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不正当竞争预防措施</w:t>
            </w:r>
          </w:p>
          <w:p>
            <w:pPr>
              <w:pStyle w:val="80"/>
              <w:snapToGrid w:val="0"/>
              <w:spacing w:after="0" w:line="360" w:lineRule="auto"/>
              <w:ind w:left="38"/>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（实质性要求）</w:t>
            </w:r>
          </w:p>
        </w:tc>
        <w:tc>
          <w:tcPr>
            <w:tcW w:w="3178" w:type="pct"/>
            <w:vAlign w:val="center"/>
          </w:tcPr>
          <w:p>
            <w:pPr>
              <w:pStyle w:val="80"/>
              <w:snapToGrid w:val="0"/>
              <w:spacing w:after="0" w:line="360" w:lineRule="auto"/>
              <w:jc w:val="both"/>
              <w:rPr>
                <w:rFonts w:ascii="仿宋" w:hAnsi="仿宋" w:eastAsia="仿宋"/>
                <w:color w:val="auto"/>
                <w:sz w:val="21"/>
                <w:szCs w:val="21"/>
                <w:highlight w:val="none"/>
              </w:rPr>
            </w:pPr>
            <w:bookmarkStart w:id="18" w:name="PO_默认文件内容_1"/>
            <w:r>
              <w:rPr>
                <w:rFonts w:hint="eastAsia" w:ascii="仿宋" w:hAnsi="仿宋" w:eastAsia="仿宋"/>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pPr>
              <w:pStyle w:val="80"/>
              <w:snapToGrid w:val="0"/>
              <w:spacing w:after="0" w:line="360" w:lineRule="auto"/>
              <w:jc w:val="both"/>
              <w:rPr>
                <w:rFonts w:ascii="仿宋" w:hAnsi="仿宋" w:eastAsia="仿宋"/>
                <w:color w:val="auto"/>
                <w:sz w:val="21"/>
                <w:szCs w:val="21"/>
                <w:highlight w:val="none"/>
              </w:rPr>
            </w:pPr>
            <w:r>
              <w:rPr>
                <w:rFonts w:hint="eastAsia" w:ascii="仿宋" w:hAnsi="仿宋" w:eastAsia="仿宋"/>
                <w:color w:val="auto"/>
                <w:sz w:val="21"/>
                <w:szCs w:val="21"/>
                <w:highlight w:val="none"/>
              </w:rPr>
              <w:t>注：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如因系统故障（包括组织场所停电、断网等）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0"/>
              <w:snapToGrid w:val="0"/>
              <w:spacing w:after="0" w:line="360" w:lineRule="auto"/>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3</w:t>
            </w:r>
          </w:p>
        </w:tc>
        <w:tc>
          <w:tcPr>
            <w:tcW w:w="1380" w:type="pct"/>
            <w:vAlign w:val="center"/>
          </w:tcPr>
          <w:p>
            <w:pPr>
              <w:pStyle w:val="80"/>
              <w:snapToGrid w:val="0"/>
              <w:spacing w:after="0"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进口产品</w:t>
            </w:r>
          </w:p>
          <w:p>
            <w:pPr>
              <w:pStyle w:val="80"/>
              <w:snapToGrid w:val="0"/>
              <w:spacing w:after="0"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（实质性要求）</w:t>
            </w:r>
          </w:p>
        </w:tc>
        <w:tc>
          <w:tcPr>
            <w:tcW w:w="3178" w:type="pct"/>
            <w:vAlign w:val="center"/>
          </w:tcPr>
          <w:p>
            <w:pPr>
              <w:pStyle w:val="80"/>
              <w:snapToGrid w:val="0"/>
              <w:spacing w:after="0" w:line="360" w:lineRule="auto"/>
              <w:jc w:val="both"/>
              <w:rPr>
                <w:rFonts w:ascii="仿宋" w:hAnsi="仿宋" w:eastAsia="仿宋"/>
                <w:color w:val="auto"/>
                <w:sz w:val="21"/>
                <w:szCs w:val="21"/>
                <w:highlight w:val="none"/>
                <w:lang w:val="zh-CN"/>
              </w:rPr>
            </w:pPr>
            <w:bookmarkStart w:id="19" w:name="PO_默认文件内容_15"/>
            <w:r>
              <w:rPr>
                <w:rFonts w:hint="eastAsia" w:ascii="仿宋" w:hAnsi="仿宋" w:eastAsia="仿宋"/>
                <w:color w:val="auto"/>
                <w:sz w:val="21"/>
                <w:szCs w:val="21"/>
                <w:highlight w:val="none"/>
              </w:rPr>
              <w:t>本项目招标文件中未载明“允许采购进口产品”的产品，视为拒绝进口产品参与竞争，</w:t>
            </w:r>
            <w:r>
              <w:rPr>
                <w:rFonts w:ascii="仿宋" w:hAnsi="仿宋" w:eastAsia="仿宋"/>
                <w:color w:val="auto"/>
                <w:sz w:val="21"/>
                <w:szCs w:val="21"/>
                <w:highlight w:val="none"/>
              </w:rPr>
              <w:t>供应商以</w:t>
            </w:r>
            <w:r>
              <w:rPr>
                <w:rFonts w:hint="eastAsia" w:ascii="仿宋" w:hAnsi="仿宋" w:eastAsia="仿宋"/>
                <w:color w:val="auto"/>
                <w:sz w:val="21"/>
                <w:szCs w:val="21"/>
                <w:highlight w:val="none"/>
              </w:rPr>
              <w:t>进口</w:t>
            </w:r>
            <w:r>
              <w:rPr>
                <w:rFonts w:ascii="仿宋" w:hAnsi="仿宋" w:eastAsia="仿宋"/>
                <w:color w:val="auto"/>
                <w:sz w:val="21"/>
                <w:szCs w:val="21"/>
                <w:highlight w:val="none"/>
              </w:rPr>
              <w:t>产品投标</w:t>
            </w:r>
            <w:r>
              <w:rPr>
                <w:rFonts w:hint="eastAsia" w:ascii="仿宋" w:hAnsi="仿宋" w:eastAsia="仿宋"/>
                <w:color w:val="auto"/>
                <w:sz w:val="21"/>
                <w:szCs w:val="21"/>
                <w:highlight w:val="none"/>
              </w:rPr>
              <w:t>时</w:t>
            </w:r>
            <w:r>
              <w:rPr>
                <w:rFonts w:ascii="仿宋" w:hAnsi="仿宋" w:eastAsia="仿宋"/>
                <w:color w:val="auto"/>
                <w:sz w:val="21"/>
                <w:szCs w:val="21"/>
                <w:highlight w:val="none"/>
              </w:rPr>
              <w:t>，将按无效投标处理</w:t>
            </w:r>
            <w:r>
              <w:rPr>
                <w:rFonts w:hint="eastAsia" w:ascii="仿宋" w:hAnsi="仿宋" w:eastAsia="仿宋"/>
                <w:color w:val="auto"/>
                <w:sz w:val="21"/>
                <w:szCs w:val="21"/>
                <w:highlight w:val="none"/>
              </w:rPr>
              <w:t>。载明“允许采购进口产品”的产品，不限制国产产品参与竞争。</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0"/>
              <w:snapToGrid w:val="0"/>
              <w:spacing w:after="0" w:line="360" w:lineRule="auto"/>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4</w:t>
            </w:r>
          </w:p>
        </w:tc>
        <w:tc>
          <w:tcPr>
            <w:tcW w:w="1380" w:type="pct"/>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小微企业（监狱企业、残疾人福利性单位</w:t>
            </w:r>
            <w:r>
              <w:rPr>
                <w:rFonts w:hint="eastAsia" w:ascii="仿宋" w:hAnsi="仿宋" w:eastAsia="仿宋"/>
                <w:color w:val="auto"/>
                <w:sz w:val="21"/>
                <w:szCs w:val="21"/>
                <w:highlight w:val="none"/>
              </w:rPr>
              <w:t>视同小微企业</w:t>
            </w:r>
            <w:r>
              <w:rPr>
                <w:rFonts w:hint="eastAsia" w:ascii="仿宋" w:hAnsi="仿宋" w:eastAsia="仿宋" w:cs="Times New Roman"/>
                <w:color w:val="auto"/>
                <w:kern w:val="2"/>
                <w:sz w:val="21"/>
                <w:szCs w:val="21"/>
                <w:highlight w:val="none"/>
              </w:rPr>
              <w:t>）价格扣除</w:t>
            </w:r>
          </w:p>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（仅适用于未预留份额专门面向中小企业采购的采购项目，以及预留份额项目中的非预留部分采购包）</w:t>
            </w:r>
          </w:p>
        </w:tc>
        <w:tc>
          <w:tcPr>
            <w:tcW w:w="3178" w:type="pct"/>
            <w:vAlign w:val="center"/>
          </w:tcPr>
          <w:p>
            <w:pPr>
              <w:adjustRightInd w:val="0"/>
              <w:snapToGrid w:val="0"/>
              <w:ind w:right="120" w:rightChars="50"/>
              <w:rPr>
                <w:rFonts w:ascii="仿宋" w:hAnsi="仿宋"/>
                <w:color w:val="auto"/>
                <w:sz w:val="21"/>
                <w:szCs w:val="21"/>
                <w:highlight w:val="none"/>
              </w:rPr>
            </w:pPr>
            <w:bookmarkStart w:id="20" w:name="PO_默认文件内容_2"/>
            <w:r>
              <w:rPr>
                <w:rFonts w:hint="eastAsia" w:ascii="仿宋" w:hAnsi="仿宋"/>
                <w:color w:val="auto"/>
                <w:sz w:val="21"/>
                <w:szCs w:val="21"/>
                <w:highlight w:val="none"/>
              </w:rPr>
              <w:t>1、根据《政府采购促进中小企业发展管理办法》（财库〔2020〕46号）的规定，对于经主管预算单位统筹后未预留份额专门面向中小企业采购的采购项目，以及预留份额项目中的非预留部分采购包，采购人、采购代理机构应当对符合本办法对符合规定的小微企业报价给予</w:t>
            </w:r>
            <w:r>
              <w:rPr>
                <w:rFonts w:ascii="仿宋" w:hAnsi="仿宋"/>
                <w:color w:val="auto"/>
                <w:sz w:val="21"/>
                <w:szCs w:val="21"/>
                <w:highlight w:val="none"/>
              </w:rPr>
              <w:t>10</w:t>
            </w:r>
            <w:r>
              <w:rPr>
                <w:rFonts w:hint="eastAsia" w:ascii="仿宋" w:hAnsi="仿宋"/>
                <w:color w:val="auto"/>
                <w:sz w:val="21"/>
                <w:szCs w:val="21"/>
                <w:highlight w:val="none"/>
              </w:rPr>
              <w:t>%的扣除，用扣除后的价格参加评审。</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2、参加政府采购活动的中小企业提供《中小企业声明函》原件，未提供的，视为放弃享受小微企业价格扣除优惠政策。</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3、接受大中型企业与小微企业组成联合体或者允许大中型企业向一家或者多家小微企业分包的采购项目，对于联合体协议或者分包意向协议约定小微企业的合同份额占到合同总金额 30%以上的，采购人、采购代理机构应当对联合体或者大中型企业的报价给予3%的扣除，用扣除后的价格参加评审。</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联合体各方均为小型、微型企业的，联合体视同为小型、微型企业享受规定的扶持政策。组成联合体的大中型企业和其他自然人、法人或者其他组织，与小型、微型企业之间不得存在投资关系。</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4、参加政府采购活动的残疾人福利性单位应当提供《残疾人福利性单位声明函》原件，未提供的，视为放弃享受小微企业价格扣除优惠政策。</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5、参加政府采购活动的监狱企业提供由省级以上监狱管理局、戒毒管理局(含新疆生产建设兵团)出具的属于监狱企业的证明文件，未提供的，视为放弃享受小微企业价格扣除优惠政策。</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6、符合中小企业划分标准的个体工商户，在政府采购活动中视同中小企业。</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0"/>
              <w:snapToGrid w:val="0"/>
              <w:spacing w:after="0" w:line="360" w:lineRule="auto"/>
              <w:jc w:val="center"/>
              <w:rPr>
                <w:rFonts w:ascii="仿宋" w:hAnsi="仿宋" w:eastAsia="仿宋" w:cs="Courier New"/>
                <w:color w:val="auto"/>
                <w:sz w:val="21"/>
                <w:szCs w:val="21"/>
                <w:highlight w:val="none"/>
                <w:lang w:val="zh-CN"/>
              </w:rPr>
            </w:pPr>
            <w:r>
              <w:rPr>
                <w:rFonts w:ascii="仿宋" w:hAnsi="仿宋" w:eastAsia="仿宋" w:cs="Times New Roman"/>
                <w:color w:val="auto"/>
                <w:kern w:val="2"/>
                <w:sz w:val="21"/>
                <w:szCs w:val="21"/>
                <w:highlight w:val="none"/>
              </w:rPr>
              <w:t>5</w:t>
            </w:r>
          </w:p>
        </w:tc>
        <w:tc>
          <w:tcPr>
            <w:tcW w:w="1380" w:type="pct"/>
            <w:vAlign w:val="center"/>
          </w:tcPr>
          <w:p>
            <w:pPr>
              <w:adjustRightInd w:val="0"/>
              <w:snapToGrid w:val="0"/>
              <w:ind w:left="120" w:leftChars="50" w:right="120" w:rightChars="50"/>
              <w:jc w:val="center"/>
              <w:rPr>
                <w:rFonts w:ascii="仿宋" w:hAnsi="仿宋"/>
                <w:color w:val="auto"/>
                <w:kern w:val="0"/>
                <w:sz w:val="21"/>
                <w:szCs w:val="21"/>
                <w:highlight w:val="none"/>
              </w:rPr>
            </w:pPr>
            <w:r>
              <w:rPr>
                <w:rFonts w:hint="eastAsia" w:ascii="仿宋" w:hAnsi="仿宋"/>
                <w:color w:val="auto"/>
                <w:kern w:val="0"/>
                <w:sz w:val="21"/>
                <w:szCs w:val="21"/>
                <w:highlight w:val="none"/>
              </w:rPr>
              <w:t>节能、环保及无线局域网产品政府采购政策</w:t>
            </w:r>
          </w:p>
        </w:tc>
        <w:tc>
          <w:tcPr>
            <w:tcW w:w="3178" w:type="pct"/>
            <w:vAlign w:val="center"/>
          </w:tcPr>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一</w:t>
            </w:r>
            <w:r>
              <w:rPr>
                <w:rFonts w:ascii="仿宋" w:hAnsi="仿宋"/>
                <w:b/>
                <w:color w:val="auto"/>
                <w:sz w:val="21"/>
                <w:szCs w:val="21"/>
                <w:highlight w:val="none"/>
              </w:rPr>
              <w:t>、</w:t>
            </w:r>
            <w:r>
              <w:rPr>
                <w:rFonts w:hint="eastAsia" w:ascii="仿宋" w:hAnsi="仿宋"/>
                <w:b/>
                <w:color w:val="auto"/>
                <w:sz w:val="21"/>
                <w:szCs w:val="21"/>
                <w:highlight w:val="none"/>
              </w:rPr>
              <w:t>节能、</w:t>
            </w:r>
            <w:r>
              <w:rPr>
                <w:rFonts w:ascii="仿宋" w:hAnsi="仿宋"/>
                <w:b/>
                <w:color w:val="auto"/>
                <w:sz w:val="21"/>
                <w:szCs w:val="21"/>
                <w:highlight w:val="none"/>
              </w:rPr>
              <w:t>环保产品政府采购政策：</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本项目采购的产品属于品目清单强制采购范围的，供应商应按上述要求提供产品认证证书复印件并加盖供应商单位公章，否则投标无效。</w:t>
            </w:r>
            <w:r>
              <w:rPr>
                <w:rFonts w:hint="eastAsia" w:ascii="仿宋" w:hAnsi="仿宋"/>
                <w:b/>
                <w:color w:val="auto"/>
                <w:sz w:val="21"/>
                <w:szCs w:val="21"/>
                <w:highlight w:val="none"/>
              </w:rPr>
              <w:t>（实质性要求）</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本项目采购的产品属于品目清单优先采购范围的，按照第七章《综合评分明细表》的规则进行加分。</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二</w:t>
            </w:r>
            <w:r>
              <w:rPr>
                <w:rFonts w:ascii="仿宋" w:hAnsi="仿宋"/>
                <w:b/>
                <w:color w:val="auto"/>
                <w:sz w:val="21"/>
                <w:szCs w:val="21"/>
                <w:highlight w:val="none"/>
              </w:rPr>
              <w:t>、</w:t>
            </w:r>
            <w:r>
              <w:rPr>
                <w:rFonts w:hint="eastAsia" w:ascii="仿宋" w:hAnsi="仿宋"/>
                <w:b/>
                <w:color w:val="auto"/>
                <w:sz w:val="21"/>
                <w:szCs w:val="21"/>
                <w:highlight w:val="none"/>
              </w:rPr>
              <w:t>无线局域网产品政府采购政策：</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本项目采购的产品属于中国</w:t>
            </w:r>
            <w:r>
              <w:rPr>
                <w:rFonts w:ascii="仿宋" w:hAnsi="仿宋"/>
                <w:color w:val="auto"/>
                <w:sz w:val="21"/>
                <w:szCs w:val="21"/>
                <w:highlight w:val="none"/>
              </w:rPr>
              <w:t>政府采购网公布的</w:t>
            </w:r>
            <w:r>
              <w:rPr>
                <w:rFonts w:hint="eastAsia" w:ascii="仿宋" w:hAnsi="仿宋"/>
                <w:color w:val="auto"/>
                <w:sz w:val="21"/>
                <w:szCs w:val="21"/>
                <w:highlight w:val="none"/>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6</w:t>
            </w:r>
          </w:p>
        </w:tc>
        <w:tc>
          <w:tcPr>
            <w:tcW w:w="1380" w:type="pct"/>
            <w:vAlign w:val="center"/>
          </w:tcPr>
          <w:p>
            <w:pPr>
              <w:adjustRightInd w:val="0"/>
              <w:snapToGrid w:val="0"/>
              <w:ind w:left="120" w:leftChars="50" w:right="120" w:rightChars="50"/>
              <w:jc w:val="center"/>
              <w:rPr>
                <w:rFonts w:ascii="仿宋" w:hAnsi="仿宋"/>
                <w:color w:val="auto"/>
                <w:sz w:val="21"/>
                <w:szCs w:val="21"/>
                <w:highlight w:val="none"/>
              </w:rPr>
            </w:pPr>
            <w:r>
              <w:rPr>
                <w:rFonts w:hint="eastAsia" w:ascii="仿宋" w:hAnsi="仿宋"/>
                <w:color w:val="auto"/>
                <w:kern w:val="0"/>
                <w:sz w:val="21"/>
                <w:szCs w:val="21"/>
                <w:highlight w:val="none"/>
              </w:rPr>
              <w:t>评标情况公告</w:t>
            </w:r>
          </w:p>
        </w:tc>
        <w:tc>
          <w:tcPr>
            <w:tcW w:w="3178" w:type="pct"/>
            <w:vAlign w:val="center"/>
          </w:tcPr>
          <w:p>
            <w:pPr>
              <w:widowControl/>
              <w:adjustRightInd w:val="0"/>
              <w:snapToGrid w:val="0"/>
              <w:rPr>
                <w:rFonts w:ascii="仿宋" w:hAnsi="仿宋"/>
                <w:color w:val="auto"/>
                <w:sz w:val="21"/>
                <w:szCs w:val="21"/>
                <w:highlight w:val="none"/>
              </w:rPr>
            </w:pPr>
            <w:bookmarkStart w:id="21" w:name="PO_默认文件内容_6"/>
            <w:r>
              <w:rPr>
                <w:rFonts w:hint="eastAsia" w:ascii="仿宋" w:hAnsi="仿宋"/>
                <w:color w:val="auto"/>
                <w:kern w:val="0"/>
                <w:sz w:val="21"/>
                <w:szCs w:val="21"/>
                <w:highlight w:val="none"/>
              </w:rPr>
              <w:t>所有供应商投标文件资格性、符合性检查情况、采用综合评分法时的总得分和分项汇总得分情况、评标结果等将在四川政府采购网上采购结果公告栏中予以公告。</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7</w:t>
            </w:r>
          </w:p>
        </w:tc>
        <w:tc>
          <w:tcPr>
            <w:tcW w:w="1380" w:type="pct"/>
            <w:vAlign w:val="center"/>
          </w:tcPr>
          <w:p>
            <w:pPr>
              <w:pStyle w:val="80"/>
              <w:snapToGrid w:val="0"/>
              <w:spacing w:after="0" w:line="360" w:lineRule="auto"/>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投标保证金</w:t>
            </w:r>
          </w:p>
        </w:tc>
        <w:tc>
          <w:tcPr>
            <w:tcW w:w="3178" w:type="pct"/>
            <w:vAlign w:val="center"/>
          </w:tcPr>
          <w:p>
            <w:pPr>
              <w:pStyle w:val="80"/>
              <w:snapToGrid w:val="0"/>
              <w:spacing w:after="0" w:line="360" w:lineRule="auto"/>
              <w:jc w:val="both"/>
              <w:rPr>
                <w:rFonts w:ascii="仿宋" w:hAnsi="仿宋" w:eastAsia="仿宋"/>
                <w:b/>
                <w:color w:val="auto"/>
                <w:sz w:val="21"/>
                <w:szCs w:val="21"/>
                <w:highlight w:val="none"/>
              </w:rPr>
            </w:pPr>
            <w:r>
              <w:rPr>
                <w:rFonts w:hint="eastAsia" w:ascii="仿宋" w:hAnsi="仿宋" w:eastAsia="仿宋"/>
                <w:b/>
                <w:color w:val="auto"/>
                <w:sz w:val="21"/>
                <w:szCs w:val="21"/>
                <w:highlight w:val="none"/>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8</w:t>
            </w:r>
          </w:p>
        </w:tc>
        <w:tc>
          <w:tcPr>
            <w:tcW w:w="1380" w:type="pct"/>
            <w:vAlign w:val="center"/>
          </w:tcPr>
          <w:p>
            <w:pPr>
              <w:pStyle w:val="80"/>
              <w:snapToGrid w:val="0"/>
              <w:spacing w:after="0" w:line="360" w:lineRule="auto"/>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履约保证金</w:t>
            </w:r>
          </w:p>
        </w:tc>
        <w:tc>
          <w:tcPr>
            <w:tcW w:w="3178" w:type="pct"/>
            <w:vAlign w:val="center"/>
          </w:tcPr>
          <w:p>
            <w:pPr>
              <w:pStyle w:val="80"/>
              <w:snapToGrid w:val="0"/>
              <w:spacing w:after="0" w:line="360" w:lineRule="auto"/>
              <w:jc w:val="both"/>
              <w:rPr>
                <w:rFonts w:ascii="仿宋" w:hAnsi="仿宋" w:eastAsia="仿宋"/>
                <w:color w:val="auto"/>
                <w:sz w:val="21"/>
                <w:szCs w:val="21"/>
                <w:highlight w:val="none"/>
                <w:lang w:val="zh-CN"/>
              </w:rPr>
            </w:pPr>
            <w:bookmarkStart w:id="22" w:name="PO_默认文件内容_11"/>
            <w:r>
              <w:rPr>
                <w:rFonts w:hint="eastAsia" w:ascii="仿宋" w:hAnsi="仿宋" w:eastAsia="仿宋"/>
                <w:color w:val="auto"/>
                <w:sz w:val="21"/>
                <w:szCs w:val="21"/>
                <w:highlight w:val="none"/>
                <w:lang w:val="zh-CN"/>
              </w:rPr>
              <w:t>金    额：</w:t>
            </w:r>
            <w:r>
              <w:rPr>
                <w:rFonts w:hint="eastAsia" w:ascii="仿宋" w:hAnsi="仿宋" w:eastAsia="仿宋"/>
                <w:color w:val="auto"/>
                <w:sz w:val="21"/>
                <w:szCs w:val="21"/>
                <w:highlight w:val="none"/>
              </w:rPr>
              <w:t>政府采购合同金额的5%</w:t>
            </w:r>
            <w:r>
              <w:rPr>
                <w:rFonts w:hint="eastAsia" w:ascii="仿宋" w:hAnsi="仿宋" w:eastAsia="仿宋"/>
                <w:color w:val="auto"/>
                <w:sz w:val="21"/>
                <w:szCs w:val="21"/>
                <w:highlight w:val="none"/>
                <w:lang w:val="zh-CN"/>
              </w:rPr>
              <w:t>。</w:t>
            </w:r>
          </w:p>
          <w:p>
            <w:pPr>
              <w:pStyle w:val="80"/>
              <w:snapToGrid w:val="0"/>
              <w:spacing w:after="0" w:line="360" w:lineRule="auto"/>
              <w:jc w:val="both"/>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交款方式：履约保证金可以以支票、汇票、本票或者金融机构出具的保函等非现金形式提交（包括网银转账，电汇等方式）。</w:t>
            </w:r>
          </w:p>
          <w:p>
            <w:pPr>
              <w:pStyle w:val="80"/>
              <w:snapToGrid w:val="0"/>
              <w:spacing w:after="0" w:line="360" w:lineRule="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收款单位：成都高新区西园社区卫生服务中心</w:t>
            </w:r>
          </w:p>
          <w:p>
            <w:pPr>
              <w:pStyle w:val="80"/>
              <w:snapToGrid w:val="0"/>
              <w:spacing w:after="0" w:line="360" w:lineRule="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开 户 行：建设银行成都高新西区支行</w:t>
            </w:r>
          </w:p>
          <w:p>
            <w:pPr>
              <w:pStyle w:val="80"/>
              <w:snapToGrid w:val="0"/>
              <w:spacing w:after="0" w:line="360" w:lineRule="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银行账号：</w:t>
            </w:r>
            <w:r>
              <w:rPr>
                <w:rFonts w:ascii="仿宋" w:hAnsi="仿宋" w:eastAsia="仿宋"/>
                <w:color w:val="auto"/>
                <w:sz w:val="21"/>
                <w:szCs w:val="21"/>
                <w:highlight w:val="none"/>
                <w:lang w:val="zh-CN"/>
              </w:rPr>
              <w:t>5100 1408 5370 5150 2851</w:t>
            </w:r>
          </w:p>
          <w:p>
            <w:pPr>
              <w:pStyle w:val="80"/>
              <w:snapToGrid w:val="0"/>
              <w:spacing w:after="0" w:line="360" w:lineRule="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交款时间：中标、成交通知书发放后，政府采购合同签订前。</w:t>
            </w:r>
          </w:p>
          <w:bookmarkEnd w:id="22"/>
          <w:p>
            <w:pPr>
              <w:pStyle w:val="80"/>
              <w:snapToGrid w:val="0"/>
              <w:spacing w:after="0" w:line="360" w:lineRule="auto"/>
              <w:rPr>
                <w:rStyle w:val="42"/>
                <w:rFonts w:ascii="仿宋" w:hAnsi="仿宋" w:eastAsia="仿宋" w:cs="Times New Roman"/>
                <w:color w:val="auto"/>
                <w:kern w:val="2"/>
                <w:highlight w:val="none"/>
              </w:rPr>
            </w:pPr>
            <w:r>
              <w:rPr>
                <w:rStyle w:val="42"/>
                <w:rFonts w:hint="eastAsia" w:ascii="仿宋" w:hAnsi="仿宋" w:eastAsia="仿宋" w:cs="Times New Roman"/>
                <w:color w:val="auto"/>
                <w:kern w:val="2"/>
                <w:highlight w:val="none"/>
              </w:rPr>
              <w:t>履约保证金退还方式：原路退回。</w:t>
            </w:r>
          </w:p>
          <w:p>
            <w:pPr>
              <w:pStyle w:val="80"/>
              <w:snapToGrid w:val="0"/>
              <w:spacing w:after="0" w:line="360" w:lineRule="auto"/>
              <w:rPr>
                <w:rFonts w:ascii="仿宋" w:hAnsi="仿宋" w:eastAsia="仿宋"/>
                <w:color w:val="auto"/>
                <w:sz w:val="21"/>
                <w:szCs w:val="21"/>
                <w:highlight w:val="none"/>
                <w:lang w:val="zh-CN"/>
              </w:rPr>
            </w:pPr>
            <w:r>
              <w:rPr>
                <w:rStyle w:val="42"/>
                <w:rFonts w:hint="eastAsia" w:ascii="仿宋" w:hAnsi="仿宋" w:eastAsia="仿宋" w:cs="Times New Roman"/>
                <w:color w:val="auto"/>
                <w:kern w:val="2"/>
                <w:highlight w:val="none"/>
              </w:rPr>
              <w:t>履约保证金退还时间：待设备安装调试完毕，验收合格后退还。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bottom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9</w:t>
            </w:r>
          </w:p>
        </w:tc>
        <w:tc>
          <w:tcPr>
            <w:tcW w:w="1380"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合同分包</w:t>
            </w:r>
          </w:p>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（实质性要求）</w:t>
            </w:r>
          </w:p>
        </w:tc>
        <w:tc>
          <w:tcPr>
            <w:tcW w:w="3178" w:type="pct"/>
            <w:vAlign w:val="center"/>
          </w:tcPr>
          <w:p>
            <w:pPr>
              <w:pStyle w:val="80"/>
              <w:snapToGrid w:val="0"/>
              <w:spacing w:after="0" w:line="360" w:lineRule="auto"/>
              <w:jc w:val="both"/>
              <w:rPr>
                <w:rFonts w:ascii="仿宋" w:hAnsi="仿宋" w:eastAsia="仿宋" w:cs="Times New Roman"/>
                <w:b/>
                <w:color w:val="auto"/>
                <w:kern w:val="2"/>
                <w:sz w:val="21"/>
                <w:szCs w:val="21"/>
                <w:highlight w:val="none"/>
              </w:rPr>
            </w:pPr>
            <w:r>
              <w:rPr>
                <w:rFonts w:ascii="Segoe UI Symbol" w:hAnsi="Segoe UI Symbol" w:eastAsia="仿宋" w:cs="Segoe UI Symbol"/>
                <w:color w:val="auto"/>
                <w:kern w:val="2"/>
                <w:sz w:val="21"/>
                <w:szCs w:val="21"/>
                <w:highlight w:val="none"/>
              </w:rPr>
              <w:t>☑</w:t>
            </w:r>
            <w:r>
              <w:rPr>
                <w:rFonts w:hint="eastAsia" w:ascii="仿宋" w:hAnsi="仿宋" w:eastAsia="仿宋" w:cs="Times New Roman"/>
                <w:b/>
                <w:color w:val="auto"/>
                <w:kern w:val="2"/>
                <w:sz w:val="21"/>
                <w:szCs w:val="21"/>
                <w:highlight w:val="none"/>
              </w:rPr>
              <w:t>本项目不接受合同分包。</w:t>
            </w:r>
          </w:p>
          <w:p>
            <w:pPr>
              <w:pStyle w:val="80"/>
              <w:snapToGrid w:val="0"/>
              <w:spacing w:after="0" w:line="360" w:lineRule="auto"/>
              <w:jc w:val="both"/>
              <w:rPr>
                <w:rFonts w:ascii="仿宋" w:hAnsi="仿宋" w:eastAsia="仿宋" w:cs="Times New Roman"/>
                <w:b/>
                <w:color w:val="auto"/>
                <w:kern w:val="2"/>
                <w:sz w:val="21"/>
                <w:szCs w:val="21"/>
                <w:highlight w:val="none"/>
              </w:rPr>
            </w:pPr>
            <w:r>
              <w:rPr>
                <w:rFonts w:hint="eastAsia" w:ascii="仿宋" w:hAnsi="仿宋" w:eastAsia="仿宋" w:cs="Times New Roman"/>
                <w:color w:val="auto"/>
                <w:kern w:val="2"/>
                <w:sz w:val="21"/>
                <w:szCs w:val="21"/>
                <w:highlight w:val="none"/>
              </w:rPr>
              <w:t>□</w:t>
            </w:r>
            <w:r>
              <w:rPr>
                <w:rFonts w:hint="eastAsia" w:ascii="仿宋" w:hAnsi="仿宋" w:eastAsia="仿宋" w:cs="Times New Roman"/>
                <w:b/>
                <w:color w:val="auto"/>
                <w:kern w:val="2"/>
                <w:sz w:val="21"/>
                <w:szCs w:val="21"/>
                <w:highlight w:val="none"/>
              </w:rPr>
              <w:t>本项目接受合同分包，具体要求如下：</w:t>
            </w:r>
          </w:p>
          <w:p>
            <w:pPr>
              <w:pStyle w:val="80"/>
              <w:snapToGrid w:val="0"/>
              <w:spacing w:after="0" w:line="360" w:lineRule="auto"/>
              <w:jc w:val="both"/>
              <w:rPr>
                <w:rFonts w:ascii="仿宋" w:hAnsi="仿宋" w:eastAsia="仿宋" w:cs="Times New Roman"/>
                <w:color w:val="auto"/>
                <w:kern w:val="2"/>
                <w:sz w:val="21"/>
                <w:szCs w:val="21"/>
                <w:highlight w:val="none"/>
              </w:rPr>
            </w:pPr>
            <w:r>
              <w:rPr>
                <w:rFonts w:ascii="仿宋" w:hAnsi="仿宋" w:eastAsia="仿宋" w:cs="Times New Roman"/>
                <w:color w:val="auto"/>
                <w:kern w:val="2"/>
                <w:sz w:val="21"/>
                <w:szCs w:val="21"/>
                <w:highlight w:val="none"/>
              </w:rPr>
              <w:t>1.</w:t>
            </w:r>
            <w:r>
              <w:rPr>
                <w:rFonts w:hint="eastAsia" w:ascii="仿宋" w:hAnsi="仿宋" w:eastAsia="仿宋" w:cs="Times New Roman"/>
                <w:color w:val="auto"/>
                <w:kern w:val="2"/>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80"/>
              <w:snapToGrid w:val="0"/>
              <w:spacing w:after="0" w:line="360" w:lineRule="auto"/>
              <w:jc w:val="both"/>
              <w:rPr>
                <w:rFonts w:ascii="仿宋" w:hAnsi="仿宋" w:cs="Times New Roman"/>
                <w:color w:val="auto"/>
                <w:kern w:val="2"/>
                <w:sz w:val="21"/>
                <w:szCs w:val="21"/>
                <w:highlight w:val="none"/>
              </w:rPr>
            </w:pPr>
            <w:r>
              <w:rPr>
                <w:rFonts w:ascii="仿宋" w:hAnsi="仿宋" w:eastAsia="仿宋" w:cs="Times New Roman"/>
                <w:color w:val="auto"/>
                <w:kern w:val="2"/>
                <w:sz w:val="21"/>
                <w:szCs w:val="21"/>
                <w:highlight w:val="none"/>
              </w:rPr>
              <w:t>2.</w:t>
            </w:r>
            <w:r>
              <w:rPr>
                <w:rFonts w:hint="eastAsia" w:ascii="仿宋" w:hAnsi="仿宋" w:eastAsia="仿宋" w:cs="Times New Roman"/>
                <w:color w:val="auto"/>
                <w:kern w:val="2"/>
                <w:sz w:val="21"/>
                <w:szCs w:val="21"/>
                <w:highlight w:val="none"/>
              </w:rPr>
              <w:t>分包履行合同的部分应当为采购项目的非主体、非关键性工作，不属于中标人的主要合同义务。本</w:t>
            </w:r>
            <w:r>
              <w:rPr>
                <w:rFonts w:ascii="仿宋" w:hAnsi="仿宋" w:eastAsia="仿宋" w:cs="Times New Roman"/>
                <w:color w:val="auto"/>
                <w:kern w:val="2"/>
                <w:sz w:val="21"/>
                <w:szCs w:val="21"/>
                <w:highlight w:val="none"/>
              </w:rPr>
              <w:t>项目</w:t>
            </w:r>
            <w:r>
              <w:rPr>
                <w:rFonts w:hint="eastAsia" w:ascii="仿宋" w:hAnsi="仿宋" w:eastAsia="仿宋" w:cs="Times New Roman"/>
                <w:color w:val="auto"/>
                <w:kern w:val="2"/>
                <w:sz w:val="21"/>
                <w:szCs w:val="21"/>
                <w:highlight w:val="none"/>
              </w:rPr>
              <w:t>可以分包履行的具体内容、金额或者比例：</w:t>
            </w:r>
            <w:r>
              <w:rPr>
                <w:rFonts w:hint="eastAsia"/>
                <w:b/>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bottom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10</w:t>
            </w:r>
          </w:p>
        </w:tc>
        <w:tc>
          <w:tcPr>
            <w:tcW w:w="1380" w:type="pct"/>
            <w:tcBorders>
              <w:top w:val="single" w:color="auto" w:sz="4" w:space="0"/>
              <w:bottom w:val="single" w:color="auto" w:sz="4" w:space="0"/>
            </w:tcBorders>
            <w:vAlign w:val="center"/>
          </w:tcPr>
          <w:p>
            <w:pPr>
              <w:pStyle w:val="80"/>
              <w:snapToGrid w:val="0"/>
              <w:spacing w:after="0" w:line="360" w:lineRule="auto"/>
              <w:jc w:val="center"/>
              <w:rPr>
                <w:rFonts w:ascii="仿宋" w:hAnsi="仿宋" w:eastAsia="仿宋" w:cs="Times New Roman"/>
                <w:b/>
                <w:color w:val="auto"/>
                <w:kern w:val="2"/>
                <w:sz w:val="21"/>
                <w:szCs w:val="21"/>
                <w:highlight w:val="none"/>
              </w:rPr>
            </w:pPr>
            <w:r>
              <w:rPr>
                <w:rFonts w:hint="eastAsia" w:ascii="仿宋" w:hAnsi="仿宋" w:eastAsia="仿宋" w:cs="Times New Roman"/>
                <w:b/>
                <w:color w:val="auto"/>
                <w:kern w:val="2"/>
                <w:sz w:val="21"/>
                <w:szCs w:val="21"/>
                <w:highlight w:val="none"/>
              </w:rPr>
              <w:t>开标、评标工作咨询；</w:t>
            </w:r>
          </w:p>
          <w:p>
            <w:pPr>
              <w:pStyle w:val="80"/>
              <w:snapToGrid w:val="0"/>
              <w:spacing w:after="0" w:line="360" w:lineRule="auto"/>
              <w:jc w:val="center"/>
              <w:rPr>
                <w:rFonts w:ascii="仿宋" w:hAnsi="仿宋" w:eastAsia="仿宋" w:cs="Times New Roman"/>
                <w:b/>
                <w:color w:val="auto"/>
                <w:kern w:val="2"/>
                <w:sz w:val="21"/>
                <w:szCs w:val="21"/>
                <w:highlight w:val="none"/>
              </w:rPr>
            </w:pPr>
            <w:r>
              <w:rPr>
                <w:rFonts w:hint="eastAsia" w:ascii="仿宋" w:hAnsi="仿宋" w:eastAsia="仿宋" w:cs="Times New Roman"/>
                <w:b/>
                <w:bCs/>
                <w:color w:val="auto"/>
                <w:kern w:val="2"/>
                <w:sz w:val="21"/>
                <w:szCs w:val="21"/>
                <w:highlight w:val="none"/>
              </w:rPr>
              <w:t>采购项目具体事项咨询</w:t>
            </w:r>
          </w:p>
        </w:tc>
        <w:tc>
          <w:tcPr>
            <w:tcW w:w="3178" w:type="pct"/>
            <w:tcBorders>
              <w:top w:val="single" w:color="auto" w:sz="4" w:space="0"/>
              <w:bottom w:val="single" w:color="auto" w:sz="4" w:space="0"/>
            </w:tcBorders>
            <w:vAlign w:val="center"/>
          </w:tcPr>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联 系 人：鲁女士</w:t>
            </w:r>
          </w:p>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联系电话：028-83475775、19108230597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bottom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11</w:t>
            </w:r>
          </w:p>
        </w:tc>
        <w:tc>
          <w:tcPr>
            <w:tcW w:w="1380" w:type="pct"/>
            <w:tcBorders>
              <w:top w:val="single" w:color="auto" w:sz="4" w:space="0"/>
              <w:bottom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中标通知书领取</w:t>
            </w:r>
          </w:p>
        </w:tc>
        <w:tc>
          <w:tcPr>
            <w:tcW w:w="3178" w:type="pct"/>
            <w:tcBorders>
              <w:top w:val="single" w:color="auto" w:sz="4" w:space="0"/>
              <w:bottom w:val="single" w:color="auto" w:sz="4" w:space="0"/>
            </w:tcBorders>
            <w:vAlign w:val="center"/>
          </w:tcPr>
          <w:p>
            <w:pPr>
              <w:tabs>
                <w:tab w:val="left" w:pos="7665"/>
              </w:tabs>
              <w:adjustRightInd w:val="0"/>
              <w:snapToGrid w:val="0"/>
              <w:rPr>
                <w:rFonts w:ascii="仿宋" w:hAnsi="仿宋"/>
                <w:color w:val="auto"/>
                <w:sz w:val="21"/>
                <w:szCs w:val="21"/>
                <w:highlight w:val="none"/>
              </w:rPr>
            </w:pPr>
            <w:bookmarkStart w:id="23" w:name="PO_默认文件内容_29"/>
            <w:r>
              <w:rPr>
                <w:rFonts w:hint="eastAsia" w:ascii="仿宋" w:hAnsi="仿宋"/>
                <w:color w:val="auto"/>
                <w:sz w:val="21"/>
                <w:szCs w:val="21"/>
                <w:highlight w:val="none"/>
                <w:lang w:val="zh-CN"/>
              </w:rPr>
              <w:t>在四川政府采购网公告中标结果同时发出中标通知书，中标供应商自行登录政府采购云平台下载中标通知书。</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bottom w:val="single" w:color="auto" w:sz="4" w:space="0"/>
            </w:tcBorders>
            <w:vAlign w:val="center"/>
          </w:tcPr>
          <w:p>
            <w:pPr>
              <w:autoSpaceDE w:val="0"/>
              <w:autoSpaceDN w:val="0"/>
              <w:adjustRightInd w:val="0"/>
              <w:snapToGrid w:val="0"/>
              <w:jc w:val="center"/>
              <w:rPr>
                <w:rFonts w:ascii="仿宋" w:hAnsi="仿宋"/>
                <w:color w:val="auto"/>
                <w:sz w:val="21"/>
                <w:szCs w:val="21"/>
                <w:highlight w:val="none"/>
              </w:rPr>
            </w:pPr>
            <w:r>
              <w:rPr>
                <w:rFonts w:hint="eastAsia" w:ascii="仿宋" w:hAnsi="仿宋"/>
                <w:color w:val="auto"/>
                <w:sz w:val="21"/>
                <w:szCs w:val="21"/>
                <w:highlight w:val="none"/>
              </w:rPr>
              <w:t>12</w:t>
            </w:r>
          </w:p>
        </w:tc>
        <w:tc>
          <w:tcPr>
            <w:tcW w:w="1380" w:type="pct"/>
            <w:tcBorders>
              <w:top w:val="single" w:color="auto" w:sz="4" w:space="0"/>
              <w:bottom w:val="single" w:color="auto" w:sz="4" w:space="0"/>
            </w:tcBorders>
            <w:vAlign w:val="center"/>
          </w:tcPr>
          <w:p>
            <w:pPr>
              <w:autoSpaceDE w:val="0"/>
              <w:autoSpaceDN w:val="0"/>
              <w:adjustRightInd w:val="0"/>
              <w:snapToGrid w:val="0"/>
              <w:jc w:val="center"/>
              <w:rPr>
                <w:rFonts w:ascii="仿宋" w:hAnsi="仿宋"/>
                <w:color w:val="auto"/>
                <w:sz w:val="21"/>
                <w:szCs w:val="21"/>
                <w:highlight w:val="none"/>
              </w:rPr>
            </w:pPr>
            <w:r>
              <w:rPr>
                <w:rFonts w:hint="eastAsia" w:ascii="仿宋" w:hAnsi="仿宋"/>
                <w:color w:val="auto"/>
                <w:sz w:val="21"/>
                <w:szCs w:val="21"/>
                <w:highlight w:val="none"/>
              </w:rPr>
              <w:t>供应商询问</w:t>
            </w:r>
          </w:p>
        </w:tc>
        <w:tc>
          <w:tcPr>
            <w:tcW w:w="3178" w:type="pct"/>
            <w:tcBorders>
              <w:top w:val="single" w:color="auto" w:sz="4" w:space="0"/>
              <w:bottom w:val="single" w:color="auto" w:sz="4" w:space="0"/>
            </w:tcBorders>
            <w:vAlign w:val="center"/>
          </w:tcPr>
          <w:p>
            <w:pPr>
              <w:rPr>
                <w:rFonts w:ascii="仿宋" w:hAnsi="仿宋"/>
                <w:color w:val="auto"/>
                <w:sz w:val="21"/>
                <w:szCs w:val="21"/>
                <w:highlight w:val="none"/>
                <w:lang w:val="zh-CN"/>
              </w:rPr>
            </w:pPr>
            <w:r>
              <w:rPr>
                <w:rFonts w:hint="eastAsia" w:ascii="仿宋" w:hAnsi="仿宋"/>
                <w:color w:val="auto"/>
                <w:sz w:val="21"/>
                <w:szCs w:val="21"/>
                <w:highlight w:val="none"/>
                <w:lang w:val="zh-CN"/>
              </w:rPr>
              <w:t>根据委托代理协议约定，供应商询问由采购代理机构负责答复。</w:t>
            </w:r>
          </w:p>
          <w:p>
            <w:pPr>
              <w:adjustRightInd w:val="0"/>
              <w:snapToGrid w:val="0"/>
              <w:ind w:right="120" w:rightChars="50"/>
              <w:rPr>
                <w:rFonts w:ascii="仿宋" w:hAnsi="仿宋"/>
                <w:b/>
                <w:color w:val="auto"/>
                <w:sz w:val="21"/>
                <w:szCs w:val="21"/>
                <w:highlight w:val="none"/>
              </w:rPr>
            </w:pPr>
            <w:r>
              <w:rPr>
                <w:rFonts w:hint="eastAsia" w:ascii="仿宋" w:hAnsi="仿宋"/>
                <w:b/>
                <w:color w:val="auto"/>
                <w:sz w:val="21"/>
                <w:szCs w:val="21"/>
                <w:highlight w:val="none"/>
              </w:rPr>
              <w:t>联 系 人：鲁女士</w:t>
            </w:r>
          </w:p>
          <w:p>
            <w:pPr>
              <w:adjustRightInd w:val="0"/>
              <w:snapToGrid w:val="0"/>
              <w:ind w:right="120" w:rightChars="50"/>
              <w:rPr>
                <w:color w:val="auto"/>
                <w:highlight w:val="none"/>
              </w:rPr>
            </w:pPr>
            <w:r>
              <w:rPr>
                <w:rFonts w:hint="eastAsia" w:ascii="仿宋" w:hAnsi="仿宋"/>
                <w:b/>
                <w:color w:val="auto"/>
                <w:sz w:val="21"/>
                <w:szCs w:val="21"/>
                <w:highlight w:val="none"/>
              </w:rPr>
              <w:t>联系电话：028-83475775、19108230597</w:t>
            </w:r>
          </w:p>
          <w:p>
            <w:pPr>
              <w:adjustRightInd w:val="0"/>
              <w:snapToGrid w:val="0"/>
              <w:ind w:right="120" w:rightChars="50"/>
              <w:rPr>
                <w:rFonts w:ascii="仿宋" w:hAnsi="仿宋"/>
                <w:color w:val="auto"/>
                <w:sz w:val="21"/>
                <w:szCs w:val="21"/>
                <w:highlight w:val="none"/>
                <w:lang w:val="zh-CN"/>
              </w:rPr>
            </w:pPr>
            <w:r>
              <w:rPr>
                <w:rFonts w:hint="eastAsia" w:ascii="仿宋" w:hAnsi="仿宋"/>
                <w:color w:val="auto"/>
                <w:sz w:val="21"/>
                <w:szCs w:val="21"/>
                <w:highlight w:val="none"/>
              </w:rPr>
              <w:t>联系地址：四川省成都市高新区锦尚西一路楚峰国际中心2307。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13</w:t>
            </w:r>
          </w:p>
        </w:tc>
        <w:tc>
          <w:tcPr>
            <w:tcW w:w="1380" w:type="pct"/>
            <w:tcBorders>
              <w:top w:val="single" w:color="auto" w:sz="4" w:space="0"/>
            </w:tcBorders>
            <w:vAlign w:val="center"/>
          </w:tcPr>
          <w:p>
            <w:pPr>
              <w:adjustRightInd w:val="0"/>
              <w:snapToGrid w:val="0"/>
              <w:ind w:left="120" w:leftChars="50" w:right="120" w:rightChars="50"/>
              <w:jc w:val="center"/>
              <w:rPr>
                <w:rFonts w:ascii="仿宋" w:hAnsi="仿宋"/>
                <w:color w:val="auto"/>
                <w:sz w:val="21"/>
                <w:szCs w:val="21"/>
                <w:highlight w:val="none"/>
              </w:rPr>
            </w:pPr>
            <w:r>
              <w:rPr>
                <w:rFonts w:hint="eastAsia" w:ascii="仿宋" w:hAnsi="仿宋"/>
                <w:color w:val="auto"/>
                <w:sz w:val="21"/>
                <w:szCs w:val="21"/>
                <w:highlight w:val="none"/>
              </w:rPr>
              <w:t>供应商质疑</w:t>
            </w:r>
          </w:p>
        </w:tc>
        <w:tc>
          <w:tcPr>
            <w:tcW w:w="3178" w:type="pct"/>
            <w:tcBorders>
              <w:top w:val="single" w:color="auto" w:sz="4" w:space="0"/>
            </w:tcBorders>
            <w:vAlign w:val="center"/>
          </w:tcPr>
          <w:p>
            <w:pPr>
              <w:adjustRightInd w:val="0"/>
              <w:snapToGrid w:val="0"/>
              <w:ind w:right="120" w:rightChars="50"/>
              <w:rPr>
                <w:rFonts w:ascii="仿宋" w:hAnsi="仿宋"/>
                <w:color w:val="auto"/>
                <w:sz w:val="21"/>
                <w:szCs w:val="21"/>
                <w:highlight w:val="none"/>
              </w:rPr>
            </w:pPr>
            <w:bookmarkStart w:id="24" w:name="PO_默认文件内容_30"/>
            <w:r>
              <w:rPr>
                <w:rFonts w:hint="eastAsia" w:ascii="仿宋" w:hAnsi="仿宋"/>
                <w:color w:val="auto"/>
                <w:sz w:val="21"/>
                <w:szCs w:val="21"/>
                <w:highlight w:val="none"/>
              </w:rPr>
              <w:t>根据委托代理协议约定，供应商质疑由采购代理机构负责答复。</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联 系 人：蒋先生</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联系电话：028-83475775、18583950100。</w:t>
            </w:r>
          </w:p>
          <w:p>
            <w:pPr>
              <w:adjustRightInd w:val="0"/>
              <w:snapToGrid w:val="0"/>
              <w:ind w:right="120" w:rightChars="50"/>
              <w:rPr>
                <w:rFonts w:ascii="仿宋" w:hAnsi="仿宋"/>
                <w:color w:val="auto"/>
                <w:sz w:val="21"/>
                <w:szCs w:val="21"/>
                <w:highlight w:val="none"/>
                <w:lang w:val="zh-CN"/>
              </w:rPr>
            </w:pPr>
            <w:r>
              <w:rPr>
                <w:rFonts w:hint="eastAsia" w:ascii="仿宋" w:hAnsi="仿宋"/>
                <w:color w:val="auto"/>
                <w:sz w:val="21"/>
                <w:szCs w:val="21"/>
                <w:highlight w:val="none"/>
              </w:rPr>
              <w:t>联系地址：四川省成都市高新区锦尚西一路楚峰国际中心45A03号（44层）。</w:t>
            </w:r>
          </w:p>
          <w:p>
            <w:pPr>
              <w:adjustRightInd w:val="0"/>
              <w:snapToGrid w:val="0"/>
              <w:rPr>
                <w:rFonts w:ascii="仿宋" w:hAnsi="仿宋"/>
                <w:color w:val="auto"/>
                <w:sz w:val="21"/>
                <w:szCs w:val="21"/>
                <w:highlight w:val="none"/>
                <w:lang w:val="zh-CN"/>
              </w:rPr>
            </w:pPr>
            <w:r>
              <w:rPr>
                <w:rFonts w:hint="eastAsia" w:ascii="仿宋" w:hAnsi="仿宋"/>
                <w:color w:val="auto"/>
                <w:sz w:val="21"/>
                <w:szCs w:val="21"/>
                <w:highlight w:val="none"/>
                <w:lang w:val="zh-CN"/>
              </w:rPr>
              <w:t>注：根据《中华人民共和国政府采购法》等规定，供应商质疑不得超出采购文件、采购过程、采购结果的范围</w:t>
            </w:r>
            <w:bookmarkEnd w:id="24"/>
            <w:r>
              <w:rPr>
                <w:rFonts w:hint="eastAsia" w:ascii="仿宋" w:hAnsi="仿宋"/>
                <w:color w:val="auto"/>
                <w:sz w:val="21"/>
                <w:szCs w:val="21"/>
                <w:highlight w:val="none"/>
                <w:lang w:val="zh-CN"/>
              </w:rPr>
              <w:t>,</w:t>
            </w:r>
            <w:r>
              <w:rPr>
                <w:rFonts w:hint="eastAsia" w:ascii="仿宋" w:hAnsi="仿宋"/>
                <w:color w:val="auto"/>
                <w:sz w:val="21"/>
                <w:szCs w:val="21"/>
                <w:highlight w:val="none"/>
              </w:rPr>
              <w:t xml:space="preserve"> </w:t>
            </w:r>
            <w:r>
              <w:rPr>
                <w:rFonts w:hint="eastAsia" w:ascii="仿宋" w:hAnsi="仿宋"/>
                <w:color w:val="auto"/>
                <w:sz w:val="21"/>
                <w:szCs w:val="21"/>
                <w:highlight w:val="none"/>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tcBorders>
              <w:top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14</w:t>
            </w:r>
          </w:p>
        </w:tc>
        <w:tc>
          <w:tcPr>
            <w:tcW w:w="1380" w:type="pct"/>
            <w:tcBorders>
              <w:top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供应商投诉</w:t>
            </w:r>
          </w:p>
        </w:tc>
        <w:tc>
          <w:tcPr>
            <w:tcW w:w="3178" w:type="pct"/>
            <w:tcBorders>
              <w:top w:val="single" w:color="auto" w:sz="4" w:space="0"/>
            </w:tcBorders>
          </w:tcPr>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投诉受理单位：本采购项目同级财政部门，即成都高新区财政金融局国库处</w:t>
            </w:r>
            <w:r>
              <w:rPr>
                <w:rFonts w:hint="eastAsia" w:ascii="仿宋" w:hAnsi="仿宋"/>
                <w:color w:val="auto"/>
                <w:sz w:val="21"/>
                <w:szCs w:val="21"/>
                <w:highlight w:val="none"/>
                <w:lang w:val="zh-CN"/>
              </w:rPr>
              <w:t>。</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联系电话：</w:t>
            </w:r>
            <w:r>
              <w:rPr>
                <w:rFonts w:ascii="仿宋" w:hAnsi="仿宋"/>
                <w:color w:val="auto"/>
                <w:sz w:val="21"/>
                <w:szCs w:val="21"/>
                <w:highlight w:val="none"/>
              </w:rPr>
              <w:t>028-82829642</w:t>
            </w:r>
            <w:r>
              <w:rPr>
                <w:rFonts w:hint="eastAsia" w:ascii="仿宋" w:hAnsi="仿宋"/>
                <w:color w:val="auto"/>
                <w:sz w:val="21"/>
                <w:szCs w:val="21"/>
                <w:highlight w:val="none"/>
              </w:rPr>
              <w:t>。</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地址：四川省成都高新区天府大道北段18号。</w:t>
            </w:r>
          </w:p>
          <w:p>
            <w:pPr>
              <w:adjustRightInd w:val="0"/>
              <w:snapToGrid w:val="0"/>
              <w:ind w:right="120" w:rightChars="50"/>
              <w:rPr>
                <w:rFonts w:ascii="仿宋" w:hAnsi="仿宋"/>
                <w:color w:val="auto"/>
                <w:sz w:val="21"/>
                <w:szCs w:val="21"/>
                <w:highlight w:val="none"/>
              </w:rPr>
            </w:pPr>
            <w:r>
              <w:rPr>
                <w:rFonts w:hint="eastAsia" w:ascii="仿宋" w:hAnsi="仿宋"/>
                <w:color w:val="auto"/>
                <w:sz w:val="21"/>
                <w:szCs w:val="21"/>
                <w:highlight w:val="none"/>
              </w:rPr>
              <w:t>注：根据《中华人民共和国政府采购法实施条例》等规定，供应</w:t>
            </w:r>
          </w:p>
          <w:p>
            <w:pPr>
              <w:adjustRightInd w:val="0"/>
              <w:snapToGrid w:val="0"/>
              <w:rPr>
                <w:rFonts w:ascii="仿宋" w:hAnsi="仿宋"/>
                <w:color w:val="auto"/>
                <w:sz w:val="21"/>
                <w:szCs w:val="21"/>
                <w:highlight w:val="none"/>
              </w:rPr>
            </w:pPr>
            <w:r>
              <w:rPr>
                <w:rFonts w:hint="eastAsia" w:ascii="仿宋" w:hAnsi="仿宋"/>
                <w:color w:val="auto"/>
                <w:sz w:val="21"/>
                <w:szCs w:val="21"/>
                <w:highlight w:val="none"/>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15</w:t>
            </w:r>
          </w:p>
        </w:tc>
        <w:tc>
          <w:tcPr>
            <w:tcW w:w="1380" w:type="pct"/>
          </w:tcPr>
          <w:p>
            <w:pPr>
              <w:adjustRightInd w:val="0"/>
              <w:snapToGrid w:val="0"/>
              <w:jc w:val="center"/>
              <w:rPr>
                <w:rFonts w:ascii="仿宋" w:hAnsi="仿宋"/>
                <w:color w:val="auto"/>
                <w:sz w:val="21"/>
                <w:szCs w:val="21"/>
                <w:highlight w:val="none"/>
              </w:rPr>
            </w:pPr>
          </w:p>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政府采购合同</w:t>
            </w:r>
          </w:p>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rPr>
              <w:t>公告备案</w:t>
            </w:r>
          </w:p>
        </w:tc>
        <w:tc>
          <w:tcPr>
            <w:tcW w:w="3178" w:type="pct"/>
          </w:tcPr>
          <w:p>
            <w:pPr>
              <w:adjustRightInd w:val="0"/>
              <w:snapToGrid w:val="0"/>
              <w:ind w:right="120" w:rightChars="50"/>
              <w:rPr>
                <w:rFonts w:ascii="仿宋" w:hAnsi="仿宋"/>
                <w:color w:val="auto"/>
                <w:sz w:val="21"/>
                <w:szCs w:val="21"/>
                <w:highlight w:val="none"/>
              </w:rPr>
            </w:pPr>
            <w:bookmarkStart w:id="25" w:name="PO_默认文件内容_38"/>
            <w:r>
              <w:rPr>
                <w:rFonts w:hint="eastAsia" w:ascii="仿宋" w:hAnsi="仿宋"/>
                <w:color w:val="auto"/>
                <w:sz w:val="21"/>
                <w:szCs w:val="21"/>
                <w:highlight w:val="none"/>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color w:val="auto"/>
                <w:sz w:val="21"/>
                <w:szCs w:val="21"/>
                <w:highlight w:val="none"/>
                <w:lang w:val="zh-CN"/>
              </w:rPr>
              <w:t>。</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jc w:val="center"/>
              <w:rPr>
                <w:rFonts w:ascii="仿宋" w:hAnsi="仿宋"/>
                <w:color w:val="auto"/>
                <w:sz w:val="21"/>
                <w:szCs w:val="21"/>
                <w:highlight w:val="none"/>
              </w:rPr>
            </w:pPr>
            <w:r>
              <w:rPr>
                <w:rFonts w:hint="eastAsia" w:ascii="仿宋" w:hAnsi="仿宋"/>
                <w:color w:val="auto"/>
                <w:sz w:val="21"/>
                <w:szCs w:val="21"/>
                <w:highlight w:val="none"/>
              </w:rPr>
              <w:t>16</w:t>
            </w:r>
          </w:p>
        </w:tc>
        <w:tc>
          <w:tcPr>
            <w:tcW w:w="1380" w:type="pct"/>
            <w:vAlign w:val="center"/>
          </w:tcPr>
          <w:p>
            <w:pPr>
              <w:pStyle w:val="80"/>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olor w:val="auto"/>
                <w:sz w:val="21"/>
                <w:szCs w:val="21"/>
                <w:highlight w:val="none"/>
                <w:lang w:val="zh-CN"/>
              </w:rPr>
              <w:t>招标服务费</w:t>
            </w:r>
          </w:p>
        </w:tc>
        <w:tc>
          <w:tcPr>
            <w:tcW w:w="3178" w:type="pct"/>
            <w:vAlign w:val="center"/>
          </w:tcPr>
          <w:p>
            <w:pPr>
              <w:pStyle w:val="80"/>
              <w:snapToGrid w:val="0"/>
              <w:spacing w:after="0" w:line="360" w:lineRule="auto"/>
              <w:rPr>
                <w:rFonts w:ascii="仿宋" w:hAnsi="仿宋" w:eastAsia="仿宋" w:cs="Times New Roman"/>
                <w:color w:val="auto"/>
                <w:kern w:val="2"/>
                <w:sz w:val="21"/>
                <w:szCs w:val="21"/>
                <w:highlight w:val="none"/>
                <w:lang w:val="zh-CN"/>
              </w:rPr>
            </w:pPr>
            <w:r>
              <w:rPr>
                <w:rFonts w:hint="eastAsia" w:ascii="仿宋" w:hAnsi="仿宋" w:eastAsia="仿宋" w:cs="Times New Roman"/>
                <w:color w:val="auto"/>
                <w:kern w:val="2"/>
                <w:sz w:val="21"/>
                <w:szCs w:val="21"/>
                <w:highlight w:val="none"/>
              </w:rPr>
              <w:t>本项目招标服务费按成本加合理利润的原则，</w:t>
            </w:r>
            <w:r>
              <w:rPr>
                <w:rFonts w:hint="eastAsia" w:ascii="仿宋" w:hAnsi="仿宋" w:eastAsia="仿宋" w:cs="Times New Roman"/>
                <w:color w:val="auto"/>
                <w:kern w:val="2"/>
                <w:sz w:val="21"/>
                <w:szCs w:val="21"/>
                <w:highlight w:val="none"/>
                <w:lang w:val="zh-CN"/>
              </w:rPr>
              <w:t>以中标金额作为计算基数，</w:t>
            </w:r>
            <w:r>
              <w:rPr>
                <w:rFonts w:hint="eastAsia" w:ascii="仿宋" w:hAnsi="仿宋" w:eastAsia="仿宋" w:cs="Times New Roman"/>
                <w:color w:val="auto"/>
                <w:kern w:val="2"/>
                <w:sz w:val="21"/>
                <w:szCs w:val="21"/>
                <w:highlight w:val="none"/>
              </w:rPr>
              <w:t>按照以下收费标</w:t>
            </w:r>
            <w:r>
              <w:rPr>
                <w:rFonts w:hint="eastAsia" w:ascii="仿宋" w:hAnsi="仿宋" w:eastAsia="仿宋" w:cs="仿宋"/>
                <w:color w:val="auto"/>
                <w:kern w:val="2"/>
                <w:sz w:val="21"/>
                <w:szCs w:val="21"/>
                <w:highlight w:val="none"/>
              </w:rPr>
              <w:t>准下浮20%</w:t>
            </w:r>
            <w:r>
              <w:rPr>
                <w:rFonts w:hint="eastAsia" w:ascii="仿宋" w:hAnsi="仿宋" w:eastAsia="仿宋" w:cs="仿宋"/>
                <w:color w:val="auto"/>
                <w:sz w:val="21"/>
                <w:szCs w:val="21"/>
                <w:highlight w:val="none"/>
              </w:rPr>
              <w:t>计算进行</w:t>
            </w:r>
            <w:r>
              <w:rPr>
                <w:rFonts w:hint="eastAsia" w:ascii="仿宋" w:hAnsi="仿宋" w:eastAsia="仿宋" w:cs="仿宋"/>
                <w:color w:val="auto"/>
                <w:kern w:val="2"/>
                <w:sz w:val="21"/>
                <w:szCs w:val="21"/>
                <w:highlight w:val="none"/>
              </w:rPr>
              <w:t>收取，若单包服务费金额不足5000元则按照5000元进行定额收取,</w:t>
            </w:r>
            <w:r>
              <w:rPr>
                <w:rFonts w:hint="eastAsia" w:ascii="仿宋" w:hAnsi="仿宋" w:eastAsia="仿宋" w:cs="Times New Roman"/>
                <w:color w:val="auto"/>
                <w:kern w:val="2"/>
                <w:sz w:val="21"/>
                <w:szCs w:val="21"/>
                <w:highlight w:val="none"/>
                <w:lang w:val="zh-CN"/>
              </w:rPr>
              <w:t>由中标人在领取中标通知书前向招标代理机构交纳</w:t>
            </w:r>
            <w:r>
              <w:rPr>
                <w:rFonts w:hint="eastAsia" w:ascii="仿宋" w:hAnsi="仿宋" w:eastAsia="仿宋" w:cs="仿宋"/>
                <w:color w:val="auto"/>
                <w:kern w:val="2"/>
                <w:sz w:val="21"/>
                <w:szCs w:val="21"/>
                <w:highlight w:val="none"/>
                <w:lang w:val="zh-CN"/>
              </w:rPr>
              <w:t>。</w:t>
            </w:r>
          </w:p>
          <w:p>
            <w:pPr>
              <w:pStyle w:val="80"/>
              <w:snapToGrid w:val="0"/>
              <w:spacing w:after="0" w:line="360" w:lineRule="auto"/>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收费标准</w:t>
            </w:r>
            <w:r>
              <w:rPr>
                <w:rFonts w:hint="eastAsia" w:ascii="仿宋" w:hAnsi="仿宋" w:eastAsia="仿宋" w:cs="Times New Roman"/>
                <w:color w:val="auto"/>
                <w:kern w:val="2"/>
                <w:sz w:val="21"/>
                <w:szCs w:val="21"/>
                <w:highlight w:val="none"/>
                <w:lang w:val="zh-CN"/>
              </w:rPr>
              <w:t>（</w:t>
            </w:r>
            <w:r>
              <w:rPr>
                <w:rFonts w:hint="eastAsia" w:ascii="仿宋" w:hAnsi="仿宋" w:eastAsia="仿宋" w:cs="Times New Roman"/>
                <w:color w:val="auto"/>
                <w:kern w:val="2"/>
                <w:sz w:val="21"/>
                <w:szCs w:val="21"/>
                <w:highlight w:val="none"/>
              </w:rPr>
              <w:t>费率）：</w:t>
            </w:r>
          </w:p>
          <w:p>
            <w:pPr>
              <w:pStyle w:val="80"/>
              <w:rPr>
                <w:rFonts w:ascii="仿宋" w:hAnsi="仿宋" w:eastAsia="仿宋" w:cs="仿宋"/>
                <w:color w:val="auto"/>
                <w:sz w:val="21"/>
                <w:szCs w:val="21"/>
                <w:highlight w:val="none"/>
                <w:lang w:val="zh-CN"/>
              </w:rPr>
            </w:pPr>
            <w:r>
              <w:rPr>
                <w:rFonts w:hint="eastAsia" w:ascii="仿宋" w:hAnsi="仿宋" w:eastAsia="仿宋" w:cs="Times New Roman"/>
                <w:color w:val="auto"/>
                <w:kern w:val="2"/>
                <w:sz w:val="21"/>
                <w:szCs w:val="21"/>
                <w:highlight w:val="none"/>
              </w:rPr>
              <w:drawing>
                <wp:inline distT="0" distB="0" distL="114300" distR="114300">
                  <wp:extent cx="3855720" cy="1622425"/>
                  <wp:effectExtent l="0" t="0" r="11430" b="15875"/>
                  <wp:docPr id="2" name="图片 2" descr="费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费率表"/>
                          <pic:cNvPicPr>
                            <a:picLocks noChangeAspect="1"/>
                          </pic:cNvPicPr>
                        </pic:nvPicPr>
                        <pic:blipFill>
                          <a:blip r:embed="rId17"/>
                          <a:stretch>
                            <a:fillRect/>
                          </a:stretch>
                        </pic:blipFill>
                        <pic:spPr>
                          <a:xfrm>
                            <a:off x="0" y="0"/>
                            <a:ext cx="3855720" cy="1622425"/>
                          </a:xfrm>
                          <a:prstGeom prst="rect">
                            <a:avLst/>
                          </a:prstGeom>
                        </pic:spPr>
                      </pic:pic>
                    </a:graphicData>
                  </a:graphic>
                </wp:inline>
              </w:drawing>
            </w:r>
            <w:r>
              <w:rPr>
                <w:rFonts w:hint="eastAsia" w:ascii="仿宋" w:hAnsi="仿宋" w:eastAsia="仿宋"/>
                <w:color w:val="auto"/>
                <w:spacing w:val="-6"/>
                <w:sz w:val="21"/>
                <w:szCs w:val="21"/>
                <w:highlight w:val="none"/>
                <w:lang w:val="zh-CN"/>
              </w:rPr>
              <w:t>注:</w:t>
            </w:r>
            <w:r>
              <w:rPr>
                <w:rFonts w:ascii="仿宋" w:hAnsi="仿宋" w:eastAsia="仿宋"/>
                <w:color w:val="auto"/>
                <w:spacing w:val="-6"/>
                <w:sz w:val="21"/>
                <w:szCs w:val="21"/>
                <w:highlight w:val="none"/>
                <w:lang w:val="zh-CN"/>
              </w:rPr>
              <w:t xml:space="preserve"> </w:t>
            </w:r>
            <w:r>
              <w:rPr>
                <w:rFonts w:hint="eastAsia" w:ascii="仿宋" w:hAnsi="仿宋" w:eastAsia="仿宋" w:cs="仿宋"/>
                <w:color w:val="auto"/>
                <w:spacing w:val="-6"/>
                <w:sz w:val="21"/>
                <w:szCs w:val="21"/>
                <w:highlight w:val="none"/>
                <w:lang w:val="zh-CN"/>
              </w:rPr>
              <w:t>①按本表费率计算的收费为招标代理服务全过程的收费基准价格。</w:t>
            </w:r>
          </w:p>
          <w:p>
            <w:pPr>
              <w:pStyle w:val="80"/>
              <w:rPr>
                <w:rFonts w:ascii="仿宋" w:hAnsi="仿宋" w:eastAsia="仿宋" w:cs="Times New Roman"/>
                <w:color w:val="auto"/>
                <w:spacing w:val="-6"/>
                <w:kern w:val="2"/>
                <w:sz w:val="21"/>
                <w:szCs w:val="21"/>
                <w:highlight w:val="none"/>
                <w:lang w:val="zh-CN"/>
              </w:rPr>
            </w:pPr>
            <w:r>
              <w:rPr>
                <w:rFonts w:hint="eastAsia" w:ascii="仿宋" w:hAnsi="仿宋" w:eastAsia="仿宋" w:cs="仿宋"/>
                <w:color w:val="auto"/>
                <w:sz w:val="21"/>
                <w:szCs w:val="21"/>
                <w:highlight w:val="none"/>
                <w:lang w:val="zh-CN"/>
              </w:rPr>
              <w:t>②招标</w:t>
            </w:r>
            <w:r>
              <w:rPr>
                <w:rFonts w:hint="eastAsia" w:ascii="仿宋" w:hAnsi="仿宋" w:eastAsia="仿宋"/>
                <w:color w:val="auto"/>
                <w:sz w:val="21"/>
                <w:szCs w:val="21"/>
                <w:highlight w:val="none"/>
                <w:lang w:val="zh-CN"/>
              </w:rPr>
              <w:t>代理服务收费按差额定率累进法计算。</w:t>
            </w:r>
          </w:p>
          <w:p>
            <w:pPr>
              <w:adjustRightInd w:val="0"/>
              <w:snapToGrid w:val="0"/>
              <w:spacing w:line="240" w:lineRule="auto"/>
              <w:ind w:right="120" w:rightChars="50"/>
              <w:rPr>
                <w:rFonts w:ascii="仿宋" w:hAnsi="仿宋"/>
                <w:color w:val="auto"/>
                <w:sz w:val="21"/>
                <w:szCs w:val="21"/>
                <w:highlight w:val="none"/>
                <w:lang w:val="zh-CN"/>
              </w:rPr>
            </w:pPr>
            <w:r>
              <w:rPr>
                <w:rFonts w:hint="eastAsia" w:ascii="仿宋" w:hAnsi="仿宋"/>
                <w:color w:val="auto"/>
                <w:spacing w:val="-6"/>
                <w:sz w:val="21"/>
                <w:szCs w:val="21"/>
                <w:highlight w:val="none"/>
                <w:lang w:val="zh-CN"/>
              </w:rPr>
              <w:t>例如：某工程招标项目中标金额为6000万元，计算招标服务费如下：</w:t>
            </w:r>
            <w:r>
              <w:rPr>
                <w:rFonts w:hint="eastAsia" w:ascii="仿宋" w:hAnsi="仿宋"/>
                <w:color w:val="auto"/>
                <w:sz w:val="21"/>
                <w:szCs w:val="21"/>
                <w:highlight w:val="none"/>
                <w:lang w:val="zh-CN"/>
              </w:rPr>
              <w:t xml:space="preserve"> </w:t>
            </w:r>
          </w:p>
          <w:p>
            <w:pPr>
              <w:adjustRightInd w:val="0"/>
              <w:snapToGrid w:val="0"/>
              <w:spacing w:line="240" w:lineRule="auto"/>
              <w:ind w:right="120" w:rightChars="50"/>
              <w:rPr>
                <w:rFonts w:ascii="仿宋" w:hAnsi="仿宋"/>
                <w:color w:val="auto"/>
                <w:sz w:val="21"/>
                <w:szCs w:val="21"/>
                <w:highlight w:val="none"/>
                <w:lang w:val="zh-CN"/>
              </w:rPr>
            </w:pPr>
            <w:r>
              <w:rPr>
                <w:rFonts w:hint="eastAsia" w:ascii="仿宋" w:hAnsi="仿宋"/>
                <w:color w:val="auto"/>
                <w:sz w:val="21"/>
                <w:szCs w:val="21"/>
                <w:highlight w:val="none"/>
                <w:lang w:val="zh-CN"/>
              </w:rPr>
              <w:t>100万元×1.0%=1万元</w:t>
            </w:r>
          </w:p>
          <w:p>
            <w:pPr>
              <w:adjustRightInd w:val="0"/>
              <w:snapToGrid w:val="0"/>
              <w:spacing w:line="240" w:lineRule="auto"/>
              <w:ind w:right="120" w:rightChars="50"/>
              <w:rPr>
                <w:rFonts w:ascii="仿宋" w:hAnsi="仿宋"/>
                <w:color w:val="auto"/>
                <w:sz w:val="21"/>
                <w:szCs w:val="21"/>
                <w:highlight w:val="none"/>
                <w:lang w:val="zh-CN"/>
              </w:rPr>
            </w:pPr>
            <w:r>
              <w:rPr>
                <w:rFonts w:hint="eastAsia" w:ascii="仿宋" w:hAnsi="仿宋"/>
                <w:color w:val="auto"/>
                <w:sz w:val="21"/>
                <w:szCs w:val="21"/>
                <w:highlight w:val="none"/>
                <w:lang w:val="zh-CN"/>
              </w:rPr>
              <w:t>(500－100)万元×0.7%=2.8万元</w:t>
            </w:r>
          </w:p>
          <w:p>
            <w:pPr>
              <w:adjustRightInd w:val="0"/>
              <w:snapToGrid w:val="0"/>
              <w:spacing w:line="240" w:lineRule="auto"/>
              <w:ind w:right="120" w:rightChars="50"/>
              <w:rPr>
                <w:rFonts w:ascii="仿宋" w:hAnsi="仿宋"/>
                <w:color w:val="auto"/>
                <w:sz w:val="21"/>
                <w:szCs w:val="21"/>
                <w:highlight w:val="none"/>
                <w:lang w:val="zh-CN"/>
              </w:rPr>
            </w:pPr>
            <w:r>
              <w:rPr>
                <w:rFonts w:hint="eastAsia" w:ascii="仿宋" w:hAnsi="仿宋"/>
                <w:color w:val="auto"/>
                <w:sz w:val="21"/>
                <w:szCs w:val="21"/>
                <w:highlight w:val="none"/>
                <w:lang w:val="zh-CN"/>
              </w:rPr>
              <w:t>(1000－500)万元×0.55%=2.75万元</w:t>
            </w:r>
          </w:p>
          <w:p>
            <w:pPr>
              <w:adjustRightInd w:val="0"/>
              <w:snapToGrid w:val="0"/>
              <w:spacing w:line="240" w:lineRule="auto"/>
              <w:ind w:right="120" w:rightChars="50"/>
              <w:rPr>
                <w:rFonts w:ascii="仿宋" w:hAnsi="仿宋"/>
                <w:color w:val="auto"/>
                <w:sz w:val="21"/>
                <w:szCs w:val="21"/>
                <w:highlight w:val="none"/>
                <w:lang w:val="zh-CN"/>
              </w:rPr>
            </w:pPr>
            <w:r>
              <w:rPr>
                <w:rFonts w:hint="eastAsia" w:ascii="仿宋" w:hAnsi="仿宋"/>
                <w:color w:val="auto"/>
                <w:sz w:val="21"/>
                <w:szCs w:val="21"/>
                <w:highlight w:val="none"/>
                <w:lang w:val="zh-CN"/>
              </w:rPr>
              <w:t>(5000－1000)万元×0.35%=14万元</w:t>
            </w:r>
          </w:p>
          <w:p>
            <w:pPr>
              <w:adjustRightInd w:val="0"/>
              <w:snapToGrid w:val="0"/>
              <w:spacing w:line="240" w:lineRule="auto"/>
              <w:ind w:right="120" w:rightChars="50"/>
              <w:rPr>
                <w:rFonts w:ascii="仿宋" w:hAnsi="仿宋"/>
                <w:color w:val="auto"/>
                <w:sz w:val="21"/>
                <w:szCs w:val="21"/>
                <w:highlight w:val="none"/>
                <w:lang w:val="zh-CN"/>
              </w:rPr>
            </w:pPr>
            <w:r>
              <w:rPr>
                <w:rFonts w:hint="eastAsia" w:ascii="仿宋" w:hAnsi="仿宋"/>
                <w:color w:val="auto"/>
                <w:sz w:val="21"/>
                <w:szCs w:val="21"/>
                <w:highlight w:val="none"/>
                <w:lang w:val="zh-CN"/>
              </w:rPr>
              <w:t>(6000－5000)万元 ×0.2%=2万元</w:t>
            </w:r>
          </w:p>
          <w:p>
            <w:pPr>
              <w:pStyle w:val="80"/>
              <w:snapToGrid w:val="0"/>
              <w:spacing w:after="0" w:line="240" w:lineRule="auto"/>
              <w:rPr>
                <w:rFonts w:ascii="仿宋" w:hAnsi="仿宋" w:eastAsia="仿宋" w:cs="Times New Roman"/>
                <w:color w:val="auto"/>
                <w:kern w:val="2"/>
                <w:sz w:val="21"/>
                <w:szCs w:val="21"/>
                <w:highlight w:val="none"/>
                <w:lang w:val="zh-CN"/>
              </w:rPr>
            </w:pPr>
            <w:r>
              <w:rPr>
                <w:rFonts w:hint="eastAsia" w:ascii="仿宋" w:hAnsi="仿宋" w:eastAsia="仿宋" w:cs="Times New Roman"/>
                <w:color w:val="auto"/>
                <w:kern w:val="2"/>
                <w:sz w:val="21"/>
                <w:szCs w:val="21"/>
                <w:highlight w:val="none"/>
                <w:lang w:val="zh-CN"/>
              </w:rPr>
              <w:t>合计收费=1＋2.8+2.75+14+2=22.55万元</w:t>
            </w:r>
          </w:p>
          <w:p>
            <w:pPr>
              <w:pStyle w:val="80"/>
              <w:snapToGrid w:val="0"/>
              <w:spacing w:after="0" w:line="360" w:lineRule="auto"/>
              <w:rPr>
                <w:rFonts w:ascii="仿宋" w:hAnsi="仿宋" w:eastAsia="仿宋" w:cs="Times New Roman"/>
                <w:color w:val="auto"/>
                <w:kern w:val="2"/>
                <w:sz w:val="21"/>
                <w:szCs w:val="21"/>
                <w:highlight w:val="none"/>
                <w:lang w:val="zh-CN"/>
              </w:rPr>
            </w:pPr>
          </w:p>
          <w:p>
            <w:pPr>
              <w:pStyle w:val="80"/>
              <w:snapToGrid w:val="0"/>
              <w:spacing w:after="0" w:line="360" w:lineRule="auto"/>
              <w:rPr>
                <w:rFonts w:ascii="仿宋" w:hAnsi="仿宋" w:eastAsia="仿宋" w:cs="Times New Roman"/>
                <w:b/>
                <w:bCs/>
                <w:color w:val="auto"/>
                <w:kern w:val="2"/>
                <w:sz w:val="21"/>
                <w:szCs w:val="21"/>
                <w:highlight w:val="none"/>
                <w:lang w:val="zh-CN"/>
              </w:rPr>
            </w:pPr>
            <w:r>
              <w:rPr>
                <w:rFonts w:hint="eastAsia" w:ascii="仿宋" w:hAnsi="仿宋" w:eastAsia="仿宋" w:cs="Times New Roman"/>
                <w:b/>
                <w:bCs/>
                <w:color w:val="auto"/>
                <w:kern w:val="2"/>
                <w:sz w:val="21"/>
                <w:szCs w:val="21"/>
                <w:highlight w:val="none"/>
                <w:lang w:val="zh-CN"/>
              </w:rPr>
              <w:t>收款单位：四川成与诚招标代理有限公司</w:t>
            </w:r>
          </w:p>
          <w:p>
            <w:pPr>
              <w:pStyle w:val="80"/>
              <w:snapToGrid w:val="0"/>
              <w:spacing w:after="0" w:line="360" w:lineRule="auto"/>
              <w:rPr>
                <w:rFonts w:ascii="仿宋" w:hAnsi="仿宋" w:eastAsia="仿宋" w:cs="Times New Roman"/>
                <w:b/>
                <w:bCs/>
                <w:color w:val="auto"/>
                <w:kern w:val="2"/>
                <w:sz w:val="21"/>
                <w:szCs w:val="21"/>
                <w:highlight w:val="none"/>
                <w:lang w:val="zh-CN"/>
              </w:rPr>
            </w:pPr>
            <w:r>
              <w:rPr>
                <w:rFonts w:hint="eastAsia" w:ascii="仿宋" w:hAnsi="仿宋" w:eastAsia="仿宋" w:cs="Times New Roman"/>
                <w:b/>
                <w:bCs/>
                <w:color w:val="auto"/>
                <w:kern w:val="2"/>
                <w:sz w:val="21"/>
                <w:szCs w:val="21"/>
                <w:highlight w:val="none"/>
                <w:lang w:val="zh-CN"/>
              </w:rPr>
              <w:t>开 户 行：中信银行股份有限公司成都高升路支行</w:t>
            </w:r>
          </w:p>
          <w:p>
            <w:pPr>
              <w:adjustRightInd w:val="0"/>
              <w:snapToGrid w:val="0"/>
              <w:ind w:right="120" w:rightChars="50"/>
              <w:rPr>
                <w:rFonts w:ascii="仿宋" w:hAnsi="仿宋"/>
                <w:color w:val="auto"/>
                <w:sz w:val="21"/>
                <w:szCs w:val="21"/>
                <w:highlight w:val="none"/>
              </w:rPr>
            </w:pPr>
            <w:r>
              <w:rPr>
                <w:rFonts w:hint="eastAsia" w:ascii="仿宋" w:hAnsi="仿宋"/>
                <w:b/>
                <w:bCs/>
                <w:color w:val="auto"/>
                <w:sz w:val="21"/>
                <w:szCs w:val="21"/>
                <w:highlight w:val="none"/>
                <w:lang w:val="zh-CN"/>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17</w:t>
            </w:r>
          </w:p>
        </w:tc>
        <w:tc>
          <w:tcPr>
            <w:tcW w:w="1380" w:type="pct"/>
            <w:tcBorders>
              <w:right w:val="single" w:color="auto" w:sz="4" w:space="0"/>
            </w:tcBorders>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lang w:val="zh-CN"/>
              </w:rPr>
              <w:t>送样提醒</w:t>
            </w:r>
          </w:p>
        </w:tc>
        <w:tc>
          <w:tcPr>
            <w:tcW w:w="3178" w:type="pct"/>
            <w:tcBorders>
              <w:left w:val="single" w:color="auto" w:sz="4" w:space="0"/>
            </w:tcBorders>
            <w:vAlign w:val="center"/>
          </w:tcPr>
          <w:p>
            <w:pPr>
              <w:adjustRightInd w:val="0"/>
              <w:snapToGrid w:val="0"/>
              <w:rPr>
                <w:rFonts w:ascii="仿宋" w:hAnsi="仿宋"/>
                <w:color w:val="auto"/>
                <w:sz w:val="21"/>
                <w:szCs w:val="21"/>
                <w:highlight w:val="none"/>
              </w:rPr>
            </w:pPr>
            <w:r>
              <w:rPr>
                <w:rFonts w:hint="eastAsia" w:ascii="仿宋" w:hAnsi="仿宋"/>
                <w:color w:val="auto"/>
                <w:sz w:val="21"/>
                <w:szCs w:val="21"/>
                <w:highlight w:val="none"/>
                <w:lang w:val="zh-CN"/>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18</w:t>
            </w:r>
          </w:p>
        </w:tc>
        <w:tc>
          <w:tcPr>
            <w:tcW w:w="1380" w:type="pct"/>
            <w:tcBorders>
              <w:right w:val="single" w:color="auto" w:sz="4" w:space="0"/>
            </w:tcBorders>
            <w:vAlign w:val="center"/>
          </w:tcPr>
          <w:p>
            <w:pPr>
              <w:adjustRightInd w:val="0"/>
              <w:snapToGrid w:val="0"/>
              <w:ind w:firstLine="105" w:firstLineChars="50"/>
              <w:jc w:val="center"/>
              <w:rPr>
                <w:rFonts w:ascii="仿宋" w:hAnsi="仿宋"/>
                <w:color w:val="auto"/>
                <w:sz w:val="21"/>
                <w:szCs w:val="21"/>
                <w:highlight w:val="none"/>
                <w:lang w:val="zh-CN"/>
              </w:rPr>
            </w:pPr>
            <w:r>
              <w:rPr>
                <w:rFonts w:hint="eastAsia" w:ascii="仿宋" w:hAnsi="仿宋"/>
                <w:color w:val="auto"/>
                <w:sz w:val="21"/>
                <w:szCs w:val="21"/>
                <w:highlight w:val="none"/>
                <w:lang w:val="zh-CN"/>
              </w:rPr>
              <w:t>承诺提醒</w:t>
            </w:r>
          </w:p>
        </w:tc>
        <w:tc>
          <w:tcPr>
            <w:tcW w:w="3178" w:type="pct"/>
            <w:tcBorders>
              <w:left w:val="single" w:color="auto" w:sz="4" w:space="0"/>
            </w:tcBorders>
            <w:vAlign w:val="center"/>
          </w:tcPr>
          <w:p>
            <w:pPr>
              <w:adjustRightInd w:val="0"/>
              <w:snapToGrid w:val="0"/>
              <w:rPr>
                <w:rFonts w:ascii="仿宋" w:hAnsi="仿宋"/>
                <w:color w:val="auto"/>
                <w:sz w:val="21"/>
                <w:szCs w:val="21"/>
                <w:highlight w:val="none"/>
                <w:lang w:val="zh-CN"/>
              </w:rPr>
            </w:pPr>
            <w:r>
              <w:rPr>
                <w:rFonts w:hint="eastAsia" w:ascii="仿宋" w:hAnsi="仿宋"/>
                <w:color w:val="auto"/>
                <w:sz w:val="21"/>
                <w:szCs w:val="21"/>
                <w:highlight w:val="none"/>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19</w:t>
            </w:r>
          </w:p>
        </w:tc>
        <w:tc>
          <w:tcPr>
            <w:tcW w:w="1380" w:type="pct"/>
            <w:tcBorders>
              <w:right w:val="single" w:color="auto" w:sz="4" w:space="0"/>
            </w:tcBorders>
            <w:vAlign w:val="center"/>
          </w:tcPr>
          <w:p>
            <w:pPr>
              <w:tabs>
                <w:tab w:val="left" w:pos="693"/>
              </w:tabs>
              <w:adjustRightInd w:val="0"/>
              <w:snapToGrid w:val="0"/>
              <w:ind w:firstLine="105" w:firstLineChars="50"/>
              <w:jc w:val="center"/>
              <w:rPr>
                <w:rFonts w:ascii="仿宋" w:hAnsi="仿宋"/>
                <w:color w:val="auto"/>
                <w:sz w:val="21"/>
                <w:szCs w:val="21"/>
                <w:highlight w:val="none"/>
                <w:lang w:val="zh-CN"/>
              </w:rPr>
            </w:pPr>
            <w:r>
              <w:rPr>
                <w:rFonts w:hint="eastAsia" w:ascii="仿宋" w:hAnsi="仿宋"/>
                <w:color w:val="auto"/>
                <w:sz w:val="21"/>
                <w:szCs w:val="21"/>
                <w:highlight w:val="none"/>
                <w:lang w:val="zh-CN"/>
              </w:rPr>
              <w:t>联合体</w:t>
            </w:r>
          </w:p>
          <w:p>
            <w:pPr>
              <w:tabs>
                <w:tab w:val="left" w:pos="693"/>
              </w:tabs>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lang w:val="zh-CN"/>
              </w:rPr>
              <w:t>（</w:t>
            </w:r>
            <w:r>
              <w:rPr>
                <w:rFonts w:hint="eastAsia" w:ascii="仿宋" w:hAnsi="仿宋"/>
                <w:color w:val="auto"/>
                <w:sz w:val="21"/>
                <w:szCs w:val="21"/>
                <w:highlight w:val="none"/>
              </w:rPr>
              <w:t>实质性要求）</w:t>
            </w:r>
          </w:p>
        </w:tc>
        <w:tc>
          <w:tcPr>
            <w:tcW w:w="3178" w:type="pct"/>
            <w:tcBorders>
              <w:left w:val="single" w:color="auto" w:sz="4" w:space="0"/>
            </w:tcBorders>
            <w:vAlign w:val="center"/>
          </w:tcPr>
          <w:p>
            <w:pPr>
              <w:adjustRightInd w:val="0"/>
              <w:snapToGrid w:val="0"/>
              <w:rPr>
                <w:rFonts w:ascii="仿宋" w:hAnsi="仿宋"/>
                <w:color w:val="auto"/>
                <w:sz w:val="21"/>
                <w:szCs w:val="21"/>
                <w:highlight w:val="none"/>
              </w:rPr>
            </w:pPr>
            <w:r>
              <w:rPr>
                <w:rFonts w:hint="eastAsia" w:ascii="仿宋" w:hAnsi="仿宋"/>
                <w:color w:val="auto"/>
                <w:sz w:val="21"/>
                <w:szCs w:val="21"/>
                <w:highlight w:val="none"/>
                <w:lang w:val="zh-CN"/>
              </w:rPr>
              <w:t xml:space="preserve">☑ 本项目不允许联合体参加 </w:t>
            </w:r>
            <w:r>
              <w:rPr>
                <w:rFonts w:hint="eastAsia" w:ascii="仿宋" w:hAnsi="仿宋"/>
                <w:color w:val="auto"/>
                <w:sz w:val="21"/>
                <w:szCs w:val="21"/>
                <w:highlight w:val="none"/>
              </w:rPr>
              <w:t xml:space="preserve">   </w:t>
            </w:r>
          </w:p>
          <w:p>
            <w:pPr>
              <w:adjustRightInd w:val="0"/>
              <w:snapToGrid w:val="0"/>
              <w:rPr>
                <w:rFonts w:ascii="仿宋" w:hAnsi="仿宋"/>
                <w:color w:val="auto"/>
                <w:sz w:val="21"/>
                <w:szCs w:val="21"/>
                <w:highlight w:val="none"/>
                <w:lang w:val="zh-CN"/>
              </w:rPr>
            </w:pPr>
            <w:r>
              <w:rPr>
                <w:rFonts w:hint="eastAsia" w:ascii="仿宋" w:hAnsi="仿宋"/>
                <w:color w:val="auto"/>
                <w:sz w:val="21"/>
                <w:szCs w:val="21"/>
                <w:highlight w:val="none"/>
                <w:lang w:val="zh-CN"/>
              </w:rPr>
              <w:t>□ 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20</w:t>
            </w:r>
          </w:p>
        </w:tc>
        <w:tc>
          <w:tcPr>
            <w:tcW w:w="1380" w:type="pct"/>
            <w:tcBorders>
              <w:right w:val="single" w:color="auto" w:sz="4" w:space="0"/>
            </w:tcBorders>
            <w:vAlign w:val="center"/>
          </w:tcPr>
          <w:p>
            <w:pPr>
              <w:pStyle w:val="80"/>
              <w:ind w:left="96"/>
              <w:jc w:val="center"/>
              <w:rPr>
                <w:rFonts w:ascii="仿宋" w:hAnsi="仿宋"/>
                <w:color w:val="auto"/>
                <w:sz w:val="21"/>
                <w:szCs w:val="21"/>
                <w:highlight w:val="none"/>
                <w:lang w:val="zh-CN"/>
              </w:rPr>
            </w:pPr>
            <w:r>
              <w:rPr>
                <w:rFonts w:hint="eastAsia" w:ascii="仿宋" w:hAnsi="仿宋" w:eastAsia="仿宋"/>
                <w:color w:val="auto"/>
                <w:sz w:val="21"/>
                <w:szCs w:val="21"/>
                <w:highlight w:val="none"/>
                <w:lang w:val="zh-CN"/>
              </w:rPr>
              <w:t>现场考察或标前答疑会</w:t>
            </w:r>
          </w:p>
        </w:tc>
        <w:tc>
          <w:tcPr>
            <w:tcW w:w="3178" w:type="pct"/>
            <w:tcBorders>
              <w:left w:val="single" w:color="auto" w:sz="4" w:space="0"/>
            </w:tcBorders>
            <w:vAlign w:val="center"/>
          </w:tcPr>
          <w:p>
            <w:pPr>
              <w:pStyle w:val="80"/>
              <w:ind w:left="96"/>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现场考察或标前答疑会时间：</w:t>
            </w:r>
            <w:r>
              <w:rPr>
                <w:rFonts w:hint="eastAsia" w:ascii="仿宋" w:hAnsi="仿宋" w:eastAsia="仿宋"/>
                <w:color w:val="auto"/>
                <w:sz w:val="21"/>
                <w:szCs w:val="21"/>
                <w:highlight w:val="none"/>
              </w:rPr>
              <w:t>本项目不组织</w:t>
            </w:r>
            <w:r>
              <w:rPr>
                <w:rFonts w:hint="eastAsia" w:ascii="仿宋" w:hAnsi="仿宋" w:eastAsia="仿宋"/>
                <w:color w:val="auto"/>
                <w:sz w:val="21"/>
                <w:szCs w:val="21"/>
                <w:highlight w:val="none"/>
                <w:lang w:val="zh-CN"/>
              </w:rPr>
              <w:t>。</w:t>
            </w:r>
          </w:p>
          <w:p>
            <w:pPr>
              <w:pStyle w:val="80"/>
              <w:ind w:left="96"/>
              <w:rPr>
                <w:rFonts w:ascii="仿宋" w:hAnsi="仿宋"/>
                <w:color w:val="auto"/>
                <w:sz w:val="21"/>
                <w:szCs w:val="21"/>
                <w:highlight w:val="none"/>
                <w:lang w:val="zh-CN"/>
              </w:rPr>
            </w:pPr>
            <w:r>
              <w:rPr>
                <w:rFonts w:hint="eastAsia" w:ascii="仿宋" w:hAnsi="仿宋" w:eastAsia="仿宋"/>
                <w:color w:val="auto"/>
                <w:sz w:val="21"/>
                <w:szCs w:val="21"/>
                <w:highlight w:val="none"/>
                <w:lang w:val="zh-CN"/>
              </w:rPr>
              <w:t>现场考察或标前答疑会地点：</w:t>
            </w:r>
            <w:r>
              <w:rPr>
                <w:rFonts w:hint="eastAsia" w:ascii="仿宋" w:hAnsi="仿宋" w:eastAsia="仿宋"/>
                <w:color w:val="auto"/>
                <w:sz w:val="21"/>
                <w:szCs w:val="21"/>
                <w:highlight w:val="none"/>
              </w:rPr>
              <w:t>本项目不组织</w:t>
            </w:r>
            <w:r>
              <w:rPr>
                <w:rFonts w:hint="eastAsia" w:ascii="仿宋" w:hAnsi="仿宋" w:eastAsia="仿宋"/>
                <w:color w:val="auto"/>
                <w:sz w:val="21"/>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441" w:type="pct"/>
            <w:vAlign w:val="center"/>
          </w:tcPr>
          <w:p>
            <w:pPr>
              <w:adjustRightInd w:val="0"/>
              <w:snapToGrid w:val="0"/>
              <w:ind w:firstLine="105" w:firstLineChars="50"/>
              <w:jc w:val="center"/>
              <w:rPr>
                <w:rFonts w:ascii="仿宋" w:hAnsi="仿宋"/>
                <w:color w:val="auto"/>
                <w:sz w:val="21"/>
                <w:szCs w:val="21"/>
                <w:highlight w:val="none"/>
              </w:rPr>
            </w:pPr>
            <w:r>
              <w:rPr>
                <w:rFonts w:hint="eastAsia" w:ascii="仿宋" w:hAnsi="仿宋"/>
                <w:color w:val="auto"/>
                <w:sz w:val="21"/>
                <w:szCs w:val="21"/>
                <w:highlight w:val="none"/>
              </w:rPr>
              <w:t>21</w:t>
            </w:r>
          </w:p>
        </w:tc>
        <w:tc>
          <w:tcPr>
            <w:tcW w:w="1380" w:type="pct"/>
            <w:tcBorders>
              <w:right w:val="single" w:color="auto" w:sz="4" w:space="0"/>
            </w:tcBorders>
            <w:vAlign w:val="center"/>
          </w:tcPr>
          <w:p>
            <w:pPr>
              <w:pStyle w:val="80"/>
              <w:ind w:left="96"/>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温馨提示</w:t>
            </w:r>
          </w:p>
        </w:tc>
        <w:tc>
          <w:tcPr>
            <w:tcW w:w="3178" w:type="pct"/>
            <w:tcBorders>
              <w:left w:val="single" w:color="auto" w:sz="4" w:space="0"/>
            </w:tcBorders>
            <w:vAlign w:val="center"/>
          </w:tcPr>
          <w:p>
            <w:pPr>
              <w:pStyle w:val="80"/>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供应商需准备全流程所必需的硬件设备包括电脑（版本 win7 64位及以上）、麦克风、摄像头、CA证书等。建议使用同一台电脑完成投标、评标相关事宜，推荐安装 chrome 浏览器，且解密CA必须和加密CA为同一把。</w:t>
            </w:r>
            <w:bookmarkStart w:id="186" w:name="_GoBack"/>
            <w:bookmarkEnd w:id="186"/>
          </w:p>
        </w:tc>
      </w:tr>
    </w:tbl>
    <w:p>
      <w:pPr>
        <w:pStyle w:val="4"/>
        <w:spacing w:line="400" w:lineRule="exact"/>
        <w:jc w:val="center"/>
        <w:rPr>
          <w:rFonts w:ascii="仿宋" w:hAnsi="仿宋"/>
          <w:bCs w:val="0"/>
          <w:color w:val="auto"/>
          <w:highlight w:val="none"/>
        </w:rPr>
      </w:pPr>
      <w:r>
        <w:rPr>
          <w:rFonts w:hint="eastAsia" w:ascii="仿宋" w:hAnsi="仿宋"/>
          <w:bCs w:val="0"/>
          <w:color w:val="auto"/>
          <w:highlight w:val="none"/>
        </w:rPr>
        <w:t>二、总  则</w:t>
      </w:r>
    </w:p>
    <w:p>
      <w:pPr>
        <w:pStyle w:val="5"/>
        <w:spacing w:line="400" w:lineRule="exact"/>
        <w:ind w:firstLine="482" w:firstLineChars="200"/>
        <w:rPr>
          <w:rFonts w:ascii="仿宋" w:hAnsi="仿宋"/>
          <w:color w:val="auto"/>
          <w:sz w:val="24"/>
          <w:szCs w:val="24"/>
          <w:highlight w:val="none"/>
        </w:rPr>
      </w:pPr>
      <w:bookmarkStart w:id="26" w:name="_Toc183582205"/>
      <w:bookmarkStart w:id="27" w:name="_Toc183682342"/>
      <w:bookmarkStart w:id="28" w:name="_Toc217446034"/>
      <w:bookmarkStart w:id="29" w:name="PO_默认文件内容_19"/>
      <w:r>
        <w:rPr>
          <w:rFonts w:hint="eastAsia" w:ascii="仿宋" w:hAnsi="仿宋"/>
          <w:color w:val="auto"/>
          <w:sz w:val="24"/>
          <w:szCs w:val="24"/>
          <w:highlight w:val="none"/>
        </w:rPr>
        <w:t>1.</w:t>
      </w:r>
      <w:bookmarkEnd w:id="26"/>
      <w:bookmarkEnd w:id="27"/>
      <w:r>
        <w:rPr>
          <w:rFonts w:hint="eastAsia" w:ascii="仿宋" w:hAnsi="仿宋"/>
          <w:color w:val="auto"/>
          <w:sz w:val="24"/>
          <w:szCs w:val="24"/>
          <w:highlight w:val="none"/>
        </w:rPr>
        <w:t xml:space="preserve"> 适用范围</w:t>
      </w:r>
      <w:bookmarkEnd w:id="28"/>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1.1 本招标文件仅适用于本次招标采购项目。</w:t>
      </w:r>
    </w:p>
    <w:p>
      <w:pPr>
        <w:pStyle w:val="5"/>
        <w:spacing w:line="400" w:lineRule="exact"/>
        <w:ind w:firstLine="482" w:firstLineChars="200"/>
        <w:rPr>
          <w:rFonts w:ascii="仿宋" w:hAnsi="仿宋"/>
          <w:color w:val="auto"/>
          <w:sz w:val="24"/>
          <w:highlight w:val="none"/>
        </w:rPr>
      </w:pPr>
      <w:bookmarkStart w:id="30" w:name="_Toc183582206"/>
      <w:bookmarkStart w:id="31" w:name="_Toc183682343"/>
      <w:bookmarkStart w:id="32" w:name="_Toc217446035"/>
      <w:r>
        <w:rPr>
          <w:rFonts w:hint="eastAsia" w:ascii="仿宋" w:hAnsi="仿宋"/>
          <w:color w:val="auto"/>
          <w:sz w:val="24"/>
          <w:highlight w:val="none"/>
        </w:rPr>
        <w:t xml:space="preserve">2. </w:t>
      </w:r>
      <w:bookmarkEnd w:id="30"/>
      <w:bookmarkEnd w:id="31"/>
      <w:r>
        <w:rPr>
          <w:rFonts w:hint="eastAsia" w:ascii="仿宋" w:hAnsi="仿宋"/>
          <w:color w:val="auto"/>
          <w:sz w:val="24"/>
          <w:highlight w:val="none"/>
        </w:rPr>
        <w:t>有关</w:t>
      </w:r>
      <w:r>
        <w:rPr>
          <w:rFonts w:hint="eastAsia" w:ascii="仿宋" w:hAnsi="仿宋"/>
          <w:color w:val="auto"/>
          <w:sz w:val="24"/>
          <w:szCs w:val="24"/>
          <w:highlight w:val="none"/>
        </w:rPr>
        <w:t>定义</w:t>
      </w:r>
      <w:bookmarkEnd w:id="32"/>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2.1 “采购人”系指依法进行政府采购的国家机关、事业单位、团体组织。本次招标的采购人是</w:t>
      </w:r>
      <w:bookmarkEnd w:id="29"/>
      <w:r>
        <w:rPr>
          <w:rFonts w:hint="eastAsia" w:ascii="仿宋" w:hAnsi="仿宋"/>
          <w:b/>
          <w:color w:val="auto"/>
          <w:highlight w:val="none"/>
          <w:u w:val="single"/>
        </w:rPr>
        <w:t>成都高新区西园社区卫生服务中心</w:t>
      </w:r>
      <w:r>
        <w:rPr>
          <w:rFonts w:hint="eastAsia" w:ascii="仿宋" w:hAnsi="仿宋"/>
          <w:color w:val="auto"/>
          <w:highlight w:val="none"/>
        </w:rPr>
        <w:t>。</w:t>
      </w:r>
    </w:p>
    <w:p>
      <w:pPr>
        <w:tabs>
          <w:tab w:val="left" w:pos="7665"/>
        </w:tabs>
        <w:spacing w:line="400" w:lineRule="exact"/>
        <w:ind w:firstLine="480" w:firstLineChars="200"/>
        <w:rPr>
          <w:rFonts w:ascii="仿宋" w:hAnsi="仿宋"/>
          <w:color w:val="auto"/>
          <w:highlight w:val="none"/>
        </w:rPr>
      </w:pPr>
      <w:bookmarkStart w:id="33" w:name="PO_默认文件内容_20"/>
      <w:r>
        <w:rPr>
          <w:rFonts w:hint="eastAsia" w:ascii="仿宋" w:hAnsi="仿宋"/>
          <w:color w:val="auto"/>
          <w:highlight w:val="none"/>
        </w:rPr>
        <w:t>2.2 “采购代理机构” 系指根据采购人的委托依法办理招标事宜的采购机构。本次招标的采购代理机构是</w:t>
      </w:r>
      <w:r>
        <w:rPr>
          <w:rFonts w:hint="eastAsia" w:ascii="仿宋" w:hAnsi="仿宋"/>
          <w:b/>
          <w:bCs/>
          <w:color w:val="auto"/>
          <w:highlight w:val="none"/>
          <w:u w:val="single"/>
        </w:rPr>
        <w:t>四川成与诚招标代理有限公司</w:t>
      </w:r>
      <w:r>
        <w:rPr>
          <w:rFonts w:hint="eastAsia" w:ascii="仿宋" w:hAnsi="仿宋"/>
          <w:color w:val="auto"/>
          <w:highlight w:val="none"/>
        </w:rPr>
        <w:t>。</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2.3 “招标采购单位”系指“采购人”和“采购代理机构”的统称。</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2.4 “投标人”系指获取了招标文件拟参加投标和向采购人提供货物及相应服务的供应商。</w:t>
      </w:r>
    </w:p>
    <w:p>
      <w:pPr>
        <w:pStyle w:val="5"/>
        <w:spacing w:line="400" w:lineRule="exact"/>
        <w:ind w:firstLine="482" w:firstLineChars="200"/>
        <w:rPr>
          <w:rFonts w:ascii="仿宋" w:hAnsi="仿宋"/>
          <w:color w:val="auto"/>
          <w:sz w:val="24"/>
          <w:highlight w:val="none"/>
        </w:rPr>
      </w:pPr>
      <w:bookmarkStart w:id="34" w:name="_Toc183682344"/>
      <w:bookmarkStart w:id="35" w:name="_Toc183582207"/>
      <w:bookmarkStart w:id="36" w:name="_Toc217446036"/>
      <w:bookmarkStart w:id="37" w:name="_Toc217390843"/>
      <w:r>
        <w:rPr>
          <w:rFonts w:hint="eastAsia" w:ascii="仿宋" w:hAnsi="仿宋"/>
          <w:color w:val="auto"/>
          <w:sz w:val="24"/>
          <w:highlight w:val="none"/>
        </w:rPr>
        <w:t>3. 合格的投标人</w:t>
      </w:r>
      <w:bookmarkEnd w:id="34"/>
      <w:bookmarkEnd w:id="35"/>
      <w:bookmarkEnd w:id="36"/>
      <w:bookmarkEnd w:id="37"/>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合格的投标人应具备以下条件：</w:t>
      </w:r>
    </w:p>
    <w:p>
      <w:pPr>
        <w:tabs>
          <w:tab w:val="left" w:pos="7665"/>
        </w:tabs>
        <w:spacing w:line="400" w:lineRule="exact"/>
        <w:ind w:firstLine="480" w:firstLineChars="200"/>
        <w:rPr>
          <w:rFonts w:ascii="仿宋" w:hAnsi="仿宋"/>
          <w:color w:val="auto"/>
          <w:spacing w:val="-4"/>
          <w:highlight w:val="none"/>
        </w:rPr>
      </w:pPr>
      <w:r>
        <w:rPr>
          <w:rFonts w:hint="eastAsia" w:ascii="仿宋" w:hAnsi="仿宋"/>
          <w:color w:val="auto"/>
          <w:highlight w:val="none"/>
        </w:rPr>
        <w:t>（1）本招标文件规定的供应商资格条件</w:t>
      </w:r>
      <w:r>
        <w:rPr>
          <w:rFonts w:hint="eastAsia" w:ascii="仿宋" w:hAnsi="仿宋"/>
          <w:color w:val="auto"/>
          <w:spacing w:val="-4"/>
          <w:highlight w:val="none"/>
        </w:rPr>
        <w:t>；</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（2）遵守国家有关的法律、法规、规章和其他政策制度；</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（3）按照招标文件第一章第七条要求规定获取了招标文件。</w:t>
      </w:r>
    </w:p>
    <w:bookmarkEnd w:id="33"/>
    <w:p>
      <w:pPr>
        <w:pStyle w:val="5"/>
        <w:spacing w:line="400" w:lineRule="exact"/>
        <w:ind w:firstLine="482" w:firstLineChars="200"/>
        <w:rPr>
          <w:rFonts w:ascii="仿宋" w:hAnsi="仿宋"/>
          <w:color w:val="auto"/>
          <w:sz w:val="24"/>
          <w:highlight w:val="none"/>
        </w:rPr>
      </w:pPr>
      <w:bookmarkStart w:id="38" w:name="_Toc217446037"/>
      <w:bookmarkStart w:id="39" w:name="_Toc183682345"/>
      <w:bookmarkStart w:id="40" w:name="_Toc183582208"/>
      <w:bookmarkStart w:id="41" w:name="PO_默认文件内容_16"/>
      <w:r>
        <w:rPr>
          <w:rFonts w:hint="eastAsia" w:ascii="仿宋" w:hAnsi="仿宋"/>
          <w:color w:val="auto"/>
          <w:sz w:val="24"/>
          <w:highlight w:val="none"/>
        </w:rPr>
        <w:t>4. 投标费用</w:t>
      </w:r>
      <w:bookmarkEnd w:id="38"/>
      <w:bookmarkEnd w:id="39"/>
      <w:bookmarkEnd w:id="40"/>
      <w:r>
        <w:rPr>
          <w:rFonts w:hint="eastAsia" w:ascii="仿宋" w:hAnsi="仿宋"/>
          <w:color w:val="auto"/>
          <w:sz w:val="24"/>
          <w:szCs w:val="24"/>
          <w:highlight w:val="none"/>
        </w:rPr>
        <w:t>（实质性要求）</w:t>
      </w:r>
    </w:p>
    <w:p>
      <w:pPr>
        <w:tabs>
          <w:tab w:val="left" w:pos="7665"/>
        </w:tabs>
        <w:spacing w:line="400" w:lineRule="exact"/>
        <w:ind w:firstLine="480"/>
        <w:rPr>
          <w:rFonts w:ascii="仿宋" w:hAnsi="仿宋"/>
          <w:color w:val="auto"/>
          <w:highlight w:val="none"/>
        </w:rPr>
      </w:pPr>
      <w:r>
        <w:rPr>
          <w:rFonts w:hint="eastAsia" w:ascii="仿宋" w:hAnsi="仿宋"/>
          <w:color w:val="auto"/>
          <w:highlight w:val="none"/>
        </w:rPr>
        <w:t>投标人参加投标的有关费用由投标人自行承担。</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5. 充分、公平竞争保障措施</w:t>
      </w:r>
      <w:r>
        <w:rPr>
          <w:rFonts w:hint="eastAsia" w:ascii="仿宋" w:hAnsi="仿宋"/>
          <w:color w:val="auto"/>
          <w:sz w:val="24"/>
          <w:szCs w:val="24"/>
          <w:highlight w:val="none"/>
        </w:rPr>
        <w:t>（实质性要求）</w:t>
      </w:r>
    </w:p>
    <w:p>
      <w:pPr>
        <w:pStyle w:val="78"/>
        <w:spacing w:line="460" w:lineRule="exact"/>
        <w:ind w:left="1" w:firstLine="482" w:firstLineChars="200"/>
        <w:rPr>
          <w:rFonts w:ascii="仿宋" w:hAnsi="仿宋" w:eastAsia="仿宋"/>
          <w:b/>
          <w:color w:val="auto"/>
          <w:sz w:val="24"/>
          <w:szCs w:val="24"/>
          <w:highlight w:val="none"/>
        </w:rPr>
      </w:pPr>
      <w:r>
        <w:rPr>
          <w:rFonts w:hint="eastAsia" w:ascii="仿宋" w:hAnsi="仿宋" w:eastAsia="仿宋"/>
          <w:b/>
          <w:color w:val="auto"/>
          <w:sz w:val="24"/>
          <w:highlight w:val="none"/>
        </w:rPr>
        <w:t>5.1 提供相同品牌产品处理</w:t>
      </w:r>
      <w:r>
        <w:rPr>
          <w:rFonts w:hint="eastAsia" w:ascii="仿宋" w:hAnsi="仿宋" w:eastAsia="仿宋"/>
          <w:b/>
          <w:color w:val="auto"/>
          <w:sz w:val="24"/>
          <w:szCs w:val="24"/>
          <w:highlight w:val="none"/>
        </w:rPr>
        <w:t>。</w:t>
      </w:r>
    </w:p>
    <w:p>
      <w:pPr>
        <w:pStyle w:val="78"/>
        <w:spacing w:line="460" w:lineRule="exact"/>
        <w:ind w:left="1" w:firstLine="482" w:firstLineChars="200"/>
        <w:rPr>
          <w:rFonts w:ascii="仿宋" w:hAnsi="仿宋" w:eastAsia="仿宋"/>
          <w:bCs/>
          <w:color w:val="auto"/>
          <w:sz w:val="24"/>
          <w:szCs w:val="24"/>
          <w:highlight w:val="none"/>
        </w:rPr>
      </w:pPr>
      <w:r>
        <w:rPr>
          <w:rFonts w:hint="eastAsia" w:ascii="仿宋" w:hAnsi="仿宋" w:eastAsia="仿宋"/>
          <w:b/>
          <w:color w:val="auto"/>
          <w:sz w:val="24"/>
          <w:szCs w:val="24"/>
          <w:highlight w:val="none"/>
        </w:rPr>
        <w:t>5.1.1</w:t>
      </w:r>
      <w:r>
        <w:rPr>
          <w:rFonts w:hint="eastAsia" w:ascii="仿宋" w:hAnsi="仿宋" w:eastAsia="仿宋"/>
          <w:bCs/>
          <w:color w:val="auto"/>
          <w:sz w:val="24"/>
          <w:szCs w:val="24"/>
          <w:highlight w:val="none"/>
        </w:rPr>
        <w:t>非单一产品采购项目中，采购人根据采购项目技术构成、产品价格比重等合理确定核心产品。多家投标人提供的任一核心产品品牌相同的，视为提供相同品牌产品。本采购项目核心产品为：01包为肺功能仪、心电图机、病人监护仪、医用冷藏箱（大）；02包为一体化污水处理设备。</w:t>
      </w:r>
    </w:p>
    <w:p>
      <w:pPr>
        <w:pStyle w:val="78"/>
        <w:spacing w:line="460" w:lineRule="exact"/>
        <w:ind w:left="1"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5.1.2 采用综合评分法的采购项目。</w:t>
      </w:r>
    </w:p>
    <w:p>
      <w:pPr>
        <w:pStyle w:val="78"/>
        <w:spacing w:line="460" w:lineRule="exact"/>
        <w:ind w:left="1" w:firstLine="480" w:firstLineChars="200"/>
        <w:rPr>
          <w:rFonts w:ascii="仿宋" w:hAnsi="仿宋" w:eastAsia="仿宋"/>
          <w:bCs/>
          <w:color w:val="auto"/>
          <w:sz w:val="24"/>
          <w:szCs w:val="24"/>
          <w:highlight w:val="none"/>
        </w:rPr>
      </w:pPr>
      <w:r>
        <w:rPr>
          <w:rFonts w:hint="eastAsia" w:ascii="仿宋" w:hAnsi="仿宋" w:eastAsia="仿宋"/>
          <w:bCs/>
          <w:color w:val="auto"/>
          <w:sz w:val="24"/>
          <w:szCs w:val="24"/>
          <w:highlight w:val="none"/>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78"/>
        <w:spacing w:line="460" w:lineRule="exact"/>
        <w:ind w:left="1" w:firstLine="482" w:firstLineChars="200"/>
        <w:rPr>
          <w:rFonts w:ascii="仿宋" w:hAnsi="仿宋" w:eastAsia="仿宋"/>
          <w:color w:val="auto"/>
          <w:sz w:val="24"/>
          <w:highlight w:val="none"/>
        </w:rPr>
      </w:pPr>
      <w:r>
        <w:rPr>
          <w:rFonts w:hint="eastAsia" w:ascii="仿宋" w:hAnsi="仿宋" w:eastAsia="仿宋"/>
          <w:b/>
          <w:color w:val="auto"/>
          <w:sz w:val="24"/>
          <w:highlight w:val="none"/>
        </w:rPr>
        <w:t>5.2 利害关系供应商处理。</w:t>
      </w:r>
      <w:r>
        <w:rPr>
          <w:rFonts w:hint="eastAsia" w:ascii="仿宋" w:hAnsi="仿宋" w:eastAsia="仿宋"/>
          <w:color w:val="auto"/>
          <w:sz w:val="24"/>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78"/>
        <w:spacing w:line="460" w:lineRule="exact"/>
        <w:ind w:left="1" w:firstLine="482" w:firstLineChars="200"/>
        <w:rPr>
          <w:rFonts w:ascii="仿宋" w:hAnsi="仿宋" w:eastAsia="仿宋"/>
          <w:color w:val="auto"/>
          <w:sz w:val="24"/>
          <w:highlight w:val="none"/>
        </w:rPr>
      </w:pPr>
      <w:r>
        <w:rPr>
          <w:rFonts w:hint="eastAsia" w:ascii="仿宋" w:hAnsi="仿宋" w:eastAsia="仿宋"/>
          <w:b/>
          <w:color w:val="auto"/>
          <w:sz w:val="24"/>
          <w:highlight w:val="none"/>
        </w:rPr>
        <w:t>5.3 前期参与供应商处理。</w:t>
      </w:r>
      <w:r>
        <w:rPr>
          <w:rFonts w:hint="eastAsia" w:ascii="仿宋" w:hAnsi="仿宋" w:eastAsia="仿宋"/>
          <w:color w:val="auto"/>
          <w:sz w:val="24"/>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78"/>
        <w:spacing w:line="460" w:lineRule="exact"/>
        <w:ind w:left="1" w:firstLine="482" w:firstLineChars="200"/>
        <w:rPr>
          <w:rFonts w:ascii="仿宋" w:hAnsi="仿宋" w:eastAsia="仿宋"/>
          <w:color w:val="auto"/>
          <w:sz w:val="24"/>
          <w:highlight w:val="none"/>
        </w:rPr>
      </w:pPr>
      <w:r>
        <w:rPr>
          <w:rFonts w:hint="eastAsia" w:ascii="仿宋" w:hAnsi="仿宋" w:eastAsia="仿宋"/>
          <w:b/>
          <w:color w:val="auto"/>
          <w:sz w:val="24"/>
          <w:highlight w:val="none"/>
        </w:rPr>
        <w:t>5.4 利害关系代理人处理。</w:t>
      </w:r>
      <w:r>
        <w:rPr>
          <w:rFonts w:hint="eastAsia" w:ascii="仿宋" w:hAnsi="仿宋" w:eastAsia="仿宋"/>
          <w:color w:val="auto"/>
          <w:sz w:val="24"/>
          <w:highlight w:val="none"/>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bCs w:val="0"/>
          <w:color w:val="auto"/>
          <w:highlight w:val="none"/>
        </w:rPr>
      </w:pPr>
      <w:bookmarkStart w:id="42" w:name="_Toc217446038"/>
      <w:bookmarkStart w:id="43" w:name="_Toc89075875"/>
      <w:bookmarkStart w:id="44" w:name="_Toc183682346"/>
      <w:bookmarkStart w:id="45" w:name="_Toc77400779"/>
      <w:bookmarkStart w:id="46" w:name="_Toc183582209"/>
      <w:r>
        <w:rPr>
          <w:rFonts w:hint="eastAsia" w:ascii="仿宋" w:hAnsi="仿宋"/>
          <w:bCs w:val="0"/>
          <w:color w:val="auto"/>
          <w:highlight w:val="none"/>
        </w:rPr>
        <w:t>三、招标文件</w:t>
      </w:r>
      <w:bookmarkEnd w:id="42"/>
      <w:bookmarkEnd w:id="43"/>
      <w:bookmarkEnd w:id="44"/>
      <w:bookmarkEnd w:id="45"/>
      <w:bookmarkEnd w:id="46"/>
    </w:p>
    <w:p>
      <w:pPr>
        <w:pStyle w:val="5"/>
        <w:spacing w:line="400" w:lineRule="exact"/>
        <w:ind w:firstLine="482" w:firstLineChars="200"/>
        <w:rPr>
          <w:rFonts w:ascii="仿宋" w:hAnsi="仿宋"/>
          <w:color w:val="auto"/>
          <w:sz w:val="24"/>
          <w:highlight w:val="none"/>
        </w:rPr>
      </w:pPr>
      <w:bookmarkStart w:id="47" w:name="_Toc183682347"/>
      <w:bookmarkStart w:id="48" w:name="_Toc217446039"/>
      <w:bookmarkStart w:id="49" w:name="_Toc183582210"/>
      <w:r>
        <w:rPr>
          <w:rFonts w:hint="eastAsia" w:ascii="仿宋" w:hAnsi="仿宋"/>
          <w:color w:val="auto"/>
          <w:sz w:val="24"/>
          <w:highlight w:val="none"/>
        </w:rPr>
        <w:t>6．招标文件的构成</w:t>
      </w:r>
      <w:bookmarkEnd w:id="47"/>
      <w:bookmarkEnd w:id="48"/>
      <w:bookmarkEnd w:id="49"/>
    </w:p>
    <w:p>
      <w:pPr>
        <w:tabs>
          <w:tab w:val="left" w:pos="7665"/>
        </w:tabs>
        <w:spacing w:line="400" w:lineRule="exact"/>
        <w:ind w:firstLine="480" w:firstLineChars="200"/>
        <w:rPr>
          <w:rFonts w:ascii="仿宋" w:hAnsi="仿宋"/>
          <w:color w:val="auto"/>
          <w:kern w:val="0"/>
          <w:szCs w:val="22"/>
          <w:highlight w:val="none"/>
        </w:rPr>
      </w:pPr>
      <w:r>
        <w:rPr>
          <w:rFonts w:hint="eastAsia" w:ascii="仿宋" w:hAnsi="仿宋"/>
          <w:color w:val="auto"/>
          <w:kern w:val="0"/>
          <w:szCs w:val="22"/>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kern w:val="0"/>
          <w:szCs w:val="22"/>
          <w:highlight w:val="none"/>
        </w:rPr>
        <w:t>（一）投标</w:t>
      </w:r>
      <w:r>
        <w:rPr>
          <w:rFonts w:hint="eastAsia" w:ascii="仿宋" w:hAnsi="仿宋"/>
          <w:color w:val="auto"/>
          <w:highlight w:val="none"/>
        </w:rPr>
        <w:t>邀请；</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（二）投标人须知；</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（三）投标文件格式；</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（四）投标人和投标产品的资格、资质性及其他类似效力要求；</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（五）资格性审查要求；</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（六）招标项目技术、服务、商务及其他要求；</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（七）评标办法；</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（八）合同主要条款。</w:t>
      </w:r>
    </w:p>
    <w:p>
      <w:pPr>
        <w:pStyle w:val="5"/>
        <w:spacing w:line="400" w:lineRule="exact"/>
        <w:ind w:firstLine="482" w:firstLineChars="200"/>
        <w:rPr>
          <w:rFonts w:ascii="仿宋" w:hAnsi="仿宋"/>
          <w:color w:val="auto"/>
          <w:sz w:val="24"/>
          <w:highlight w:val="none"/>
        </w:rPr>
      </w:pPr>
      <w:bookmarkStart w:id="50" w:name="_Toc183582211"/>
      <w:bookmarkStart w:id="51" w:name="_Toc183682348"/>
      <w:bookmarkStart w:id="52" w:name="_Toc217446040"/>
      <w:r>
        <w:rPr>
          <w:rFonts w:hint="eastAsia" w:ascii="仿宋" w:hAnsi="仿宋"/>
          <w:color w:val="auto"/>
          <w:sz w:val="24"/>
          <w:highlight w:val="none"/>
        </w:rPr>
        <w:t>7. 招标文件的澄清</w:t>
      </w:r>
      <w:bookmarkEnd w:id="50"/>
      <w:bookmarkEnd w:id="51"/>
      <w:r>
        <w:rPr>
          <w:rFonts w:hint="eastAsia" w:ascii="仿宋" w:hAnsi="仿宋"/>
          <w:color w:val="auto"/>
          <w:sz w:val="24"/>
          <w:highlight w:val="none"/>
        </w:rPr>
        <w:t>和修改</w:t>
      </w:r>
      <w:bookmarkEnd w:id="52"/>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7.1 招标采购单位可以依法对招标文件进行澄清或者修改。</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7.2 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7.3</w:t>
      </w:r>
      <w:r>
        <w:rPr>
          <w:rFonts w:hint="eastAsia" w:ascii="仿宋" w:hAnsi="仿宋"/>
          <w:color w:val="auto"/>
          <w:highlight w:val="none"/>
        </w:rPr>
        <w:t xml:space="preserve"> 投标人</w:t>
      </w:r>
      <w:r>
        <w:rPr>
          <w:rFonts w:hint="eastAsia" w:ascii="仿宋" w:hAnsi="仿宋"/>
          <w:color w:val="auto"/>
          <w:highlight w:val="none"/>
        </w:rPr>
        <w:t>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更正通知通过政府采购云平台通知所有获取招标文件的潜在供应商</w:t>
      </w:r>
      <w:r>
        <w:rPr>
          <w:rFonts w:hint="eastAsia" w:ascii="仿宋" w:hAnsi="仿宋"/>
          <w:color w:val="auto"/>
          <w:highlight w:val="none"/>
        </w:rPr>
        <w:t>。</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7.4 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color w:val="auto"/>
          <w:sz w:val="24"/>
          <w:highlight w:val="none"/>
        </w:rPr>
      </w:pPr>
      <w:bookmarkStart w:id="53" w:name="_Toc208848971"/>
      <w:bookmarkStart w:id="54" w:name="_Toc217446041"/>
      <w:r>
        <w:rPr>
          <w:rFonts w:hint="eastAsia" w:ascii="仿宋" w:hAnsi="仿宋"/>
          <w:color w:val="auto"/>
          <w:sz w:val="24"/>
          <w:highlight w:val="none"/>
        </w:rPr>
        <w:t>8. 答疑会和现场考察</w:t>
      </w:r>
      <w:bookmarkEnd w:id="53"/>
      <w:bookmarkEnd w:id="54"/>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现场考察或标前答疑会时间：</w:t>
      </w:r>
      <w:r>
        <w:rPr>
          <w:rFonts w:hint="eastAsia" w:ascii="仿宋" w:hAnsi="仿宋"/>
          <w:color w:val="auto"/>
          <w:highlight w:val="none"/>
        </w:rPr>
        <w:t>详见投标人须知表。</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现场考察或标前答疑会地点：</w:t>
      </w:r>
      <w:r>
        <w:rPr>
          <w:rFonts w:hint="eastAsia" w:ascii="仿宋" w:hAnsi="仿宋"/>
          <w:color w:val="auto"/>
          <w:highlight w:val="none"/>
        </w:rPr>
        <w:t>详见投标人须知表。</w:t>
      </w:r>
    </w:p>
    <w:bookmarkEnd w:id="41"/>
    <w:p>
      <w:pPr>
        <w:tabs>
          <w:tab w:val="left" w:pos="7665"/>
        </w:tabs>
        <w:spacing w:line="400" w:lineRule="exact"/>
        <w:ind w:firstLine="480" w:firstLineChars="200"/>
        <w:rPr>
          <w:rFonts w:ascii="仿宋" w:hAnsi="仿宋"/>
          <w:color w:val="auto"/>
          <w:highlight w:val="none"/>
        </w:rPr>
      </w:pPr>
      <w:bookmarkStart w:id="55" w:name="PO_默认文件内容_18"/>
      <w:r>
        <w:rPr>
          <w:rFonts w:hint="eastAsia" w:ascii="仿宋" w:hAnsi="仿宋"/>
          <w:color w:val="auto"/>
          <w:highlight w:val="none"/>
        </w:rPr>
        <w:t>8.2 供应商考察现场所发生的一切费用由供应商自己承担。</w:t>
      </w:r>
    </w:p>
    <w:p>
      <w:pPr>
        <w:pStyle w:val="4"/>
        <w:spacing w:line="400" w:lineRule="exact"/>
        <w:jc w:val="center"/>
        <w:rPr>
          <w:rFonts w:ascii="仿宋" w:hAnsi="仿宋"/>
          <w:bCs w:val="0"/>
          <w:color w:val="auto"/>
          <w:highlight w:val="none"/>
        </w:rPr>
      </w:pPr>
      <w:bookmarkStart w:id="56" w:name="_Toc217446042"/>
      <w:bookmarkStart w:id="57" w:name="_Toc89075876"/>
      <w:bookmarkStart w:id="58" w:name="_Toc77400780"/>
      <w:bookmarkStart w:id="59" w:name="_Toc183582214"/>
      <w:bookmarkStart w:id="60" w:name="_Toc183682351"/>
      <w:r>
        <w:rPr>
          <w:rFonts w:hint="eastAsia" w:ascii="仿宋" w:hAnsi="仿宋"/>
          <w:bCs w:val="0"/>
          <w:color w:val="auto"/>
          <w:highlight w:val="none"/>
        </w:rPr>
        <w:t>四、投标文件</w:t>
      </w:r>
      <w:bookmarkEnd w:id="56"/>
      <w:bookmarkEnd w:id="57"/>
      <w:bookmarkEnd w:id="58"/>
      <w:bookmarkEnd w:id="59"/>
      <w:bookmarkEnd w:id="60"/>
    </w:p>
    <w:p>
      <w:pPr>
        <w:pStyle w:val="5"/>
        <w:spacing w:line="400" w:lineRule="exact"/>
        <w:ind w:firstLine="482" w:firstLineChars="200"/>
        <w:rPr>
          <w:rFonts w:ascii="仿宋" w:hAnsi="仿宋"/>
          <w:bCs w:val="0"/>
          <w:color w:val="auto"/>
          <w:sz w:val="24"/>
          <w:highlight w:val="none"/>
        </w:rPr>
      </w:pPr>
      <w:bookmarkStart w:id="61" w:name="_Toc217446043"/>
      <w:bookmarkStart w:id="62" w:name="_Toc183682352"/>
      <w:bookmarkStart w:id="63" w:name="_Toc183582215"/>
      <w:r>
        <w:rPr>
          <w:rFonts w:hint="eastAsia" w:ascii="仿宋" w:hAnsi="仿宋"/>
          <w:bCs w:val="0"/>
          <w:color w:val="auto"/>
          <w:sz w:val="24"/>
          <w:highlight w:val="none"/>
        </w:rPr>
        <w:t>9．投标文件的语言</w:t>
      </w:r>
      <w:bookmarkEnd w:id="61"/>
      <w:bookmarkEnd w:id="62"/>
      <w:bookmarkEnd w:id="63"/>
    </w:p>
    <w:p>
      <w:pPr>
        <w:tabs>
          <w:tab w:val="left" w:pos="1134"/>
        </w:tabs>
        <w:ind w:firstLine="480" w:firstLineChars="200"/>
        <w:rPr>
          <w:rFonts w:ascii="仿宋" w:hAnsi="仿宋"/>
          <w:color w:val="auto"/>
          <w:highlight w:val="none"/>
        </w:rPr>
      </w:pPr>
      <w:bookmarkStart w:id="64" w:name="_Toc217446044"/>
      <w:bookmarkStart w:id="65" w:name="_Toc183682353"/>
      <w:bookmarkStart w:id="66" w:name="_Toc183582216"/>
      <w:r>
        <w:rPr>
          <w:rFonts w:hint="eastAsia" w:ascii="仿宋" w:hAnsi="仿宋"/>
          <w:color w:val="auto"/>
          <w:highlight w:val="none"/>
        </w:rPr>
        <w:t>9.1 投标人提交的投标文件以及投标人与招标采购单位就有关投标的所有来往书面文件均须使用中文。投标文件中如附有外文资料，主要部分对应翻译成中文并加盖投</w:t>
      </w:r>
      <w:r>
        <w:rPr>
          <w:rFonts w:hint="eastAsia" w:ascii="仿宋" w:hAnsi="仿宋"/>
          <w:color w:val="auto"/>
          <w:spacing w:val="-6"/>
          <w:highlight w:val="none"/>
        </w:rPr>
        <w:t>标人公章后附在相关外文资料后面。</w:t>
      </w:r>
      <w:r>
        <w:rPr>
          <w:rFonts w:hint="eastAsia" w:ascii="仿宋" w:hAnsi="仿宋"/>
          <w:color w:val="auto"/>
          <w:spacing w:val="-6"/>
          <w:highlight w:val="none"/>
        </w:rPr>
        <w:t>未翻译的外文资料，评标委员会可将其视为无效材料。</w:t>
      </w:r>
    </w:p>
    <w:p>
      <w:pPr>
        <w:tabs>
          <w:tab w:val="left" w:pos="1134"/>
        </w:tabs>
        <w:ind w:firstLine="480" w:firstLineChars="200"/>
        <w:rPr>
          <w:rFonts w:ascii="仿宋" w:hAnsi="仿宋"/>
          <w:color w:val="auto"/>
          <w:highlight w:val="none"/>
        </w:rPr>
      </w:pPr>
      <w:r>
        <w:rPr>
          <w:rFonts w:hint="eastAsia" w:ascii="仿宋" w:hAnsi="仿宋"/>
          <w:color w:val="auto"/>
          <w:highlight w:val="none"/>
        </w:rPr>
        <w:t>9.2 翻译的中文资料与外文资料如果出现差异和矛盾时，以中文为准。涉嫌虚假响应的按照相关法律法规处理。</w:t>
      </w:r>
    </w:p>
    <w:p>
      <w:pPr>
        <w:spacing w:line="400" w:lineRule="exact"/>
        <w:ind w:firstLine="480" w:firstLineChars="200"/>
        <w:rPr>
          <w:rFonts w:ascii="仿宋" w:hAnsi="仿宋" w:cs="宋体"/>
          <w:color w:val="auto"/>
          <w:highlight w:val="none"/>
        </w:rPr>
      </w:pPr>
      <w:r>
        <w:rPr>
          <w:rFonts w:hint="eastAsia" w:ascii="仿宋" w:hAnsi="仿宋" w:cs="宋体"/>
          <w:color w:val="auto"/>
          <w:highlight w:val="none"/>
        </w:rPr>
        <w:t>9.3 如因未翻译而造成的废标，由投标人承担。</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10．计量单位</w:t>
      </w:r>
      <w:bookmarkEnd w:id="64"/>
      <w:bookmarkEnd w:id="65"/>
      <w:bookmarkEnd w:id="66"/>
      <w:r>
        <w:rPr>
          <w:rFonts w:hint="eastAsia" w:ascii="仿宋" w:hAnsi="仿宋"/>
          <w:color w:val="auto"/>
          <w:sz w:val="24"/>
          <w:szCs w:val="24"/>
          <w:highlight w:val="none"/>
        </w:rPr>
        <w:t>（实质性要求）</w:t>
      </w:r>
    </w:p>
    <w:p>
      <w:pPr>
        <w:spacing w:line="400" w:lineRule="exact"/>
        <w:ind w:firstLine="470" w:firstLineChars="196"/>
        <w:rPr>
          <w:rFonts w:ascii="仿宋" w:hAnsi="仿宋"/>
          <w:color w:val="auto"/>
          <w:highlight w:val="none"/>
        </w:rPr>
      </w:pPr>
      <w:r>
        <w:rPr>
          <w:rFonts w:hint="eastAsia" w:ascii="仿宋" w:hAnsi="仿宋"/>
          <w:color w:val="auto"/>
          <w:highlight w:val="none"/>
        </w:rPr>
        <w:t>除招标文件中另有规定外，本次采购项目所有合同项下的投标均采用国家法定的计量单位。</w:t>
      </w:r>
    </w:p>
    <w:p>
      <w:pPr>
        <w:pStyle w:val="5"/>
        <w:spacing w:line="400" w:lineRule="exact"/>
        <w:ind w:firstLine="482" w:firstLineChars="200"/>
        <w:rPr>
          <w:rFonts w:ascii="仿宋" w:hAnsi="仿宋"/>
          <w:color w:val="auto"/>
          <w:sz w:val="24"/>
          <w:highlight w:val="none"/>
        </w:rPr>
      </w:pPr>
      <w:bookmarkStart w:id="67" w:name="_Toc217446045"/>
      <w:r>
        <w:rPr>
          <w:rFonts w:hint="eastAsia" w:ascii="仿宋" w:hAnsi="仿宋"/>
          <w:color w:val="auto"/>
          <w:sz w:val="24"/>
          <w:highlight w:val="none"/>
        </w:rPr>
        <w:t>11. 投标货币</w:t>
      </w:r>
      <w:bookmarkEnd w:id="67"/>
      <w:r>
        <w:rPr>
          <w:rFonts w:hint="eastAsia" w:ascii="仿宋" w:hAnsi="仿宋"/>
          <w:color w:val="auto"/>
          <w:sz w:val="24"/>
          <w:highlight w:val="none"/>
        </w:rPr>
        <w:t>（实质性要求）</w:t>
      </w:r>
    </w:p>
    <w:p>
      <w:pPr>
        <w:spacing w:line="400" w:lineRule="exact"/>
        <w:ind w:firstLine="470" w:firstLineChars="196"/>
        <w:rPr>
          <w:rFonts w:ascii="仿宋" w:hAnsi="仿宋"/>
          <w:color w:val="auto"/>
          <w:highlight w:val="none"/>
        </w:rPr>
      </w:pPr>
      <w:r>
        <w:rPr>
          <w:rFonts w:hint="eastAsia" w:ascii="仿宋" w:hAnsi="仿宋"/>
          <w:color w:val="auto"/>
          <w:highlight w:val="none"/>
        </w:rPr>
        <w:t>本次招标项目的投标均以人民币报价。</w:t>
      </w:r>
    </w:p>
    <w:p>
      <w:pPr>
        <w:pStyle w:val="5"/>
        <w:spacing w:line="400" w:lineRule="exact"/>
        <w:ind w:firstLine="482" w:firstLineChars="200"/>
        <w:rPr>
          <w:rFonts w:ascii="仿宋" w:hAnsi="仿宋"/>
          <w:color w:val="auto"/>
          <w:sz w:val="24"/>
          <w:highlight w:val="none"/>
        </w:rPr>
      </w:pPr>
      <w:bookmarkStart w:id="68" w:name="_Toc217446046"/>
      <w:r>
        <w:rPr>
          <w:rFonts w:hint="eastAsia" w:ascii="仿宋" w:hAnsi="仿宋"/>
          <w:color w:val="auto"/>
          <w:sz w:val="24"/>
          <w:highlight w:val="none"/>
        </w:rPr>
        <w:t>12. 联合体投标</w:t>
      </w:r>
      <w:bookmarkEnd w:id="68"/>
      <w:r>
        <w:rPr>
          <w:rFonts w:hint="eastAsia" w:ascii="仿宋" w:hAnsi="仿宋"/>
          <w:color w:val="auto"/>
          <w:sz w:val="24"/>
          <w:highlight w:val="none"/>
        </w:rPr>
        <w:t>（仅适用于允许联合体参与的项目）</w:t>
      </w:r>
    </w:p>
    <w:p>
      <w:pPr>
        <w:spacing w:line="400" w:lineRule="exact"/>
        <w:ind w:firstLine="470" w:firstLineChars="196"/>
        <w:rPr>
          <w:rFonts w:ascii="仿宋" w:hAnsi="仿宋"/>
          <w:color w:val="auto"/>
          <w:highlight w:val="none"/>
        </w:rPr>
      </w:pPr>
      <w:bookmarkStart w:id="69" w:name="_Toc217446047"/>
      <w:r>
        <w:rPr>
          <w:rFonts w:hint="eastAsia" w:ascii="仿宋" w:hAnsi="仿宋"/>
          <w:color w:val="auto"/>
          <w:highlight w:val="none"/>
        </w:rPr>
        <w:t>联合体各方应当共同与采购人签订采购合同，就采购合同约定的事项对采购人承担连带责任。</w:t>
      </w:r>
    </w:p>
    <w:p>
      <w:pPr>
        <w:pStyle w:val="5"/>
        <w:spacing w:line="400" w:lineRule="exact"/>
        <w:ind w:firstLine="482" w:firstLineChars="200"/>
        <w:rPr>
          <w:rFonts w:ascii="仿宋" w:hAnsi="仿宋"/>
          <w:color w:val="auto"/>
          <w:sz w:val="24"/>
          <w:highlight w:val="none"/>
        </w:rPr>
      </w:pPr>
      <w:bookmarkStart w:id="70" w:name="_Toc308164797"/>
      <w:r>
        <w:rPr>
          <w:rFonts w:hint="eastAsia" w:ascii="仿宋" w:hAnsi="仿宋"/>
          <w:color w:val="auto"/>
          <w:sz w:val="24"/>
          <w:highlight w:val="none"/>
        </w:rPr>
        <w:t>13. 知识产权</w:t>
      </w:r>
      <w:bookmarkEnd w:id="69"/>
      <w:bookmarkEnd w:id="70"/>
      <w:r>
        <w:rPr>
          <w:rFonts w:hint="eastAsia" w:ascii="仿宋" w:hAnsi="仿宋"/>
          <w:color w:val="auto"/>
          <w:sz w:val="24"/>
          <w:highlight w:val="none"/>
        </w:rPr>
        <w:t>（实质性要求）</w:t>
      </w:r>
    </w:p>
    <w:p>
      <w:pPr>
        <w:pStyle w:val="13"/>
        <w:spacing w:line="400" w:lineRule="exact"/>
        <w:ind w:left="0" w:leftChars="0" w:firstLine="480" w:firstLineChars="200"/>
        <w:rPr>
          <w:rFonts w:ascii="仿宋" w:hAnsi="仿宋"/>
          <w:color w:val="auto"/>
          <w:highlight w:val="none"/>
        </w:rPr>
      </w:pPr>
      <w:r>
        <w:rPr>
          <w:rFonts w:hint="eastAsia" w:ascii="仿宋" w:hAnsi="仿宋"/>
          <w:color w:val="auto"/>
          <w:highlight w:val="none"/>
        </w:rPr>
        <w:t>13.1 投标人应保证在本项目使用的任何产品和服务（包括部分使用）时，不会产生因第三方提出侵犯其专利权、商标权或其它知识产权而引起的法律和经济纠纷，如</w:t>
      </w:r>
      <w:r>
        <w:rPr>
          <w:rFonts w:hint="eastAsia" w:ascii="仿宋" w:hAnsi="仿宋"/>
          <w:color w:val="auto"/>
          <w:spacing w:val="-6"/>
          <w:highlight w:val="none"/>
        </w:rPr>
        <w:t>因专利权、商标权或其它知识产权而引起法律和经济纠纷，由投标人承担所有相关责任。</w:t>
      </w:r>
    </w:p>
    <w:p>
      <w:pPr>
        <w:pStyle w:val="13"/>
        <w:spacing w:line="400" w:lineRule="exact"/>
        <w:ind w:left="0" w:leftChars="0" w:firstLine="480" w:firstLineChars="200"/>
        <w:rPr>
          <w:rFonts w:ascii="仿宋" w:hAnsi="仿宋"/>
          <w:color w:val="auto"/>
          <w:highlight w:val="none"/>
        </w:rPr>
      </w:pPr>
      <w:r>
        <w:rPr>
          <w:rFonts w:hint="eastAsia" w:ascii="仿宋" w:hAnsi="仿宋"/>
          <w:color w:val="auto"/>
          <w:highlight w:val="none"/>
        </w:rPr>
        <w:t>13.2 采购人享有本项目实施过程中产生的知识成果及知识产权。</w:t>
      </w:r>
    </w:p>
    <w:p>
      <w:pPr>
        <w:spacing w:line="400" w:lineRule="exact"/>
        <w:ind w:firstLine="480" w:firstLineChars="200"/>
        <w:rPr>
          <w:rFonts w:ascii="仿宋" w:hAnsi="仿宋"/>
          <w:color w:val="auto"/>
          <w:highlight w:val="none"/>
        </w:rPr>
      </w:pPr>
      <w:r>
        <w:rPr>
          <w:rFonts w:hint="eastAsia" w:ascii="仿宋" w:hAnsi="仿宋"/>
          <w:color w:val="auto"/>
          <w:highlight w:val="none"/>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color w:val="auto"/>
          <w:highlight w:val="none"/>
        </w:rPr>
      </w:pPr>
      <w:r>
        <w:rPr>
          <w:rFonts w:hint="eastAsia" w:ascii="仿宋" w:hAnsi="仿宋"/>
          <w:color w:val="auto"/>
          <w:highlight w:val="none"/>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color w:val="auto"/>
          <w:sz w:val="24"/>
          <w:highlight w:val="none"/>
        </w:rPr>
      </w:pPr>
      <w:bookmarkStart w:id="71" w:name="_Toc308164798"/>
      <w:bookmarkStart w:id="72" w:name="_Toc183682354"/>
      <w:bookmarkStart w:id="73" w:name="_Toc217446048"/>
      <w:bookmarkStart w:id="74" w:name="_Toc183582217"/>
      <w:r>
        <w:rPr>
          <w:rFonts w:hint="eastAsia" w:ascii="仿宋" w:hAnsi="仿宋"/>
          <w:color w:val="auto"/>
          <w:sz w:val="24"/>
          <w:highlight w:val="none"/>
        </w:rPr>
        <w:t>14．投标文件的组成</w:t>
      </w:r>
      <w:bookmarkEnd w:id="71"/>
      <w:bookmarkEnd w:id="72"/>
      <w:bookmarkEnd w:id="73"/>
      <w:bookmarkEnd w:id="74"/>
    </w:p>
    <w:p>
      <w:pPr>
        <w:spacing w:line="400" w:lineRule="exact"/>
        <w:ind w:firstLine="480" w:firstLineChars="200"/>
        <w:rPr>
          <w:rFonts w:ascii="仿宋" w:hAnsi="仿宋"/>
          <w:color w:val="auto"/>
          <w:highlight w:val="none"/>
        </w:rPr>
      </w:pPr>
      <w:r>
        <w:rPr>
          <w:rFonts w:hint="eastAsia" w:ascii="仿宋" w:hAnsi="仿宋"/>
          <w:color w:val="auto"/>
          <w:highlight w:val="none"/>
        </w:rPr>
        <w:t>投标人应按照招标文件的规定和要求编制投标文件。投标人编写的投标文件应至少包括下列两部分文件：</w:t>
      </w:r>
    </w:p>
    <w:p>
      <w:pPr>
        <w:spacing w:line="400" w:lineRule="exact"/>
        <w:ind w:firstLine="482" w:firstLineChars="200"/>
        <w:rPr>
          <w:rFonts w:ascii="仿宋" w:hAnsi="仿宋"/>
          <w:b/>
          <w:color w:val="auto"/>
          <w:highlight w:val="none"/>
        </w:rPr>
      </w:pPr>
      <w:r>
        <w:rPr>
          <w:rFonts w:hint="eastAsia" w:ascii="仿宋" w:hAnsi="仿宋"/>
          <w:b/>
          <w:color w:val="auto"/>
          <w:highlight w:val="none"/>
        </w:rPr>
        <w:t>文件一：资格性投标文件</w:t>
      </w:r>
    </w:p>
    <w:p>
      <w:pPr>
        <w:spacing w:line="400" w:lineRule="exact"/>
        <w:ind w:firstLine="456" w:firstLineChars="200"/>
        <w:rPr>
          <w:rFonts w:ascii="仿宋" w:hAnsi="仿宋"/>
          <w:color w:val="auto"/>
          <w:spacing w:val="-6"/>
          <w:highlight w:val="none"/>
        </w:rPr>
      </w:pPr>
      <w:r>
        <w:rPr>
          <w:rFonts w:hint="eastAsia" w:ascii="仿宋" w:hAnsi="仿宋"/>
          <w:color w:val="auto"/>
          <w:spacing w:val="-6"/>
          <w:highlight w:val="none"/>
        </w:rPr>
        <w:t>严格按照第四、五章要求提供相关资格、资质性及其他类似效力要求的相关证明材料。</w:t>
      </w:r>
    </w:p>
    <w:p>
      <w:pPr>
        <w:spacing w:line="400" w:lineRule="exact"/>
        <w:ind w:firstLine="482" w:firstLineChars="200"/>
        <w:rPr>
          <w:rFonts w:ascii="仿宋" w:hAnsi="仿宋"/>
          <w:b/>
          <w:color w:val="auto"/>
          <w:highlight w:val="none"/>
        </w:rPr>
      </w:pPr>
      <w:r>
        <w:rPr>
          <w:rFonts w:hint="eastAsia" w:ascii="仿宋" w:hAnsi="仿宋"/>
          <w:b/>
          <w:color w:val="auto"/>
          <w:highlight w:val="none"/>
        </w:rPr>
        <w:t>文件二：其他响应性投标文件</w:t>
      </w:r>
    </w:p>
    <w:p>
      <w:pPr>
        <w:spacing w:line="400" w:lineRule="exact"/>
        <w:ind w:firstLine="480" w:firstLineChars="200"/>
        <w:rPr>
          <w:rFonts w:ascii="仿宋" w:hAnsi="仿宋"/>
          <w:color w:val="auto"/>
          <w:highlight w:val="none"/>
        </w:rPr>
      </w:pPr>
      <w:r>
        <w:rPr>
          <w:rFonts w:hint="eastAsia" w:ascii="仿宋" w:hAnsi="仿宋"/>
          <w:color w:val="auto"/>
          <w:highlight w:val="none"/>
        </w:rPr>
        <w:t>严格按照招标文件要求提供以下五个方面的相关材料：</w:t>
      </w:r>
    </w:p>
    <w:p>
      <w:pPr>
        <w:pStyle w:val="66"/>
        <w:numPr>
          <w:ilvl w:val="0"/>
          <w:numId w:val="1"/>
        </w:numPr>
        <w:spacing w:after="160" w:line="400" w:lineRule="exact"/>
        <w:ind w:firstLineChars="0"/>
        <w:jc w:val="both"/>
        <w:rPr>
          <w:rFonts w:ascii="仿宋" w:hAnsi="仿宋"/>
          <w:b/>
          <w:color w:val="auto"/>
          <w:highlight w:val="none"/>
        </w:rPr>
      </w:pPr>
      <w:r>
        <w:rPr>
          <w:rFonts w:hint="eastAsia" w:ascii="仿宋" w:hAnsi="仿宋"/>
          <w:b/>
          <w:color w:val="auto"/>
          <w:highlight w:val="none"/>
        </w:rPr>
        <w:t>报价部分。</w:t>
      </w:r>
    </w:p>
    <w:p>
      <w:pPr>
        <w:spacing w:line="400" w:lineRule="exact"/>
        <w:ind w:firstLine="480" w:firstLineChars="200"/>
        <w:rPr>
          <w:rFonts w:ascii="仿宋" w:hAnsi="仿宋"/>
          <w:color w:val="auto"/>
          <w:highlight w:val="none"/>
        </w:rPr>
      </w:pPr>
      <w:r>
        <w:rPr>
          <w:rFonts w:hint="eastAsia" w:ascii="仿宋" w:hAnsi="仿宋"/>
          <w:color w:val="auto"/>
          <w:highlight w:val="none"/>
        </w:rPr>
        <w:t xml:space="preserve">1、投标人按照招标文件要求填写的“开标一览表”、“报价明细表”（如涉及）。 </w:t>
      </w:r>
    </w:p>
    <w:p>
      <w:pPr>
        <w:spacing w:line="400" w:lineRule="exact"/>
        <w:ind w:firstLine="480" w:firstLineChars="200"/>
        <w:rPr>
          <w:rFonts w:ascii="仿宋" w:hAnsi="仿宋"/>
          <w:color w:val="auto"/>
          <w:highlight w:val="none"/>
        </w:rPr>
      </w:pPr>
      <w:r>
        <w:rPr>
          <w:rFonts w:hint="eastAsia" w:ascii="仿宋" w:hAnsi="仿宋"/>
          <w:color w:val="auto"/>
          <w:highlight w:val="none"/>
        </w:rPr>
        <w:t>2、本次招标报价要求：</w:t>
      </w:r>
    </w:p>
    <w:p>
      <w:pPr>
        <w:spacing w:line="400" w:lineRule="exact"/>
        <w:ind w:firstLine="480" w:firstLineChars="200"/>
        <w:rPr>
          <w:rFonts w:ascii="仿宋" w:hAnsi="仿宋"/>
          <w:color w:val="auto"/>
          <w:highlight w:val="none"/>
        </w:rPr>
      </w:pPr>
      <w:r>
        <w:rPr>
          <w:rFonts w:hint="eastAsia" w:ascii="仿宋" w:hAnsi="仿宋"/>
          <w:color w:val="auto"/>
          <w:highlight w:val="none"/>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color w:val="auto"/>
          <w:highlight w:val="none"/>
        </w:rPr>
      </w:pPr>
      <w:r>
        <w:rPr>
          <w:rFonts w:hint="eastAsia" w:ascii="仿宋" w:hAnsi="仿宋"/>
          <w:color w:val="auto"/>
          <w:highlight w:val="none"/>
        </w:rPr>
        <w:t xml:space="preserve"> （2）投标人每种货物只允许有一个报价，并且在合同履行过程中是固定不变的，任何有选择或可调整的报价将不予接受，并按无效投标处理（实质性要求）。</w:t>
      </w:r>
    </w:p>
    <w:p>
      <w:pPr>
        <w:spacing w:line="400" w:lineRule="exact"/>
        <w:ind w:firstLine="482" w:firstLineChars="200"/>
        <w:rPr>
          <w:rFonts w:ascii="仿宋" w:hAnsi="仿宋"/>
          <w:b/>
          <w:bCs/>
          <w:color w:val="auto"/>
          <w:highlight w:val="none"/>
        </w:rPr>
      </w:pPr>
      <w:r>
        <w:rPr>
          <w:rFonts w:hint="eastAsia" w:ascii="仿宋" w:hAnsi="仿宋"/>
          <w:b/>
          <w:color w:val="auto"/>
          <w:highlight w:val="none"/>
        </w:rPr>
        <w:t>（二）技术部分。</w:t>
      </w:r>
      <w:r>
        <w:rPr>
          <w:rFonts w:hint="eastAsia" w:ascii="仿宋" w:hAnsi="仿宋"/>
          <w:color w:val="auto"/>
          <w:highlight w:val="none"/>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color w:val="auto"/>
          <w:highlight w:val="none"/>
        </w:rPr>
      </w:pPr>
      <w:r>
        <w:rPr>
          <w:rFonts w:hint="eastAsia" w:ascii="仿宋" w:hAnsi="仿宋"/>
          <w:color w:val="auto"/>
          <w:highlight w:val="none"/>
        </w:rPr>
        <w:t>（1）投标产品的品牌、型号、配置；</w:t>
      </w:r>
    </w:p>
    <w:p>
      <w:pPr>
        <w:spacing w:line="400" w:lineRule="exact"/>
        <w:ind w:firstLine="480" w:firstLineChars="200"/>
        <w:rPr>
          <w:rFonts w:ascii="仿宋" w:hAnsi="仿宋"/>
          <w:color w:val="auto"/>
          <w:highlight w:val="none"/>
        </w:rPr>
      </w:pPr>
      <w:r>
        <w:rPr>
          <w:rFonts w:hint="eastAsia" w:ascii="仿宋" w:hAnsi="仿宋"/>
          <w:color w:val="auto"/>
          <w:highlight w:val="none"/>
        </w:rPr>
        <w:t>（2）投标产品本身的详细的技术指标和参数（应当尽可能提供检测报告、产品使用说明书、用户手册等材料予以佐证）；</w:t>
      </w:r>
    </w:p>
    <w:p>
      <w:pPr>
        <w:spacing w:line="400" w:lineRule="exact"/>
        <w:ind w:firstLine="480" w:firstLineChars="200"/>
        <w:rPr>
          <w:rFonts w:ascii="仿宋" w:hAnsi="仿宋"/>
          <w:color w:val="auto"/>
          <w:highlight w:val="none"/>
        </w:rPr>
      </w:pPr>
      <w:r>
        <w:rPr>
          <w:rFonts w:hint="eastAsia" w:ascii="仿宋" w:hAnsi="仿宋"/>
          <w:color w:val="auto"/>
          <w:highlight w:val="none"/>
        </w:rPr>
        <w:t>（3）技术方案、项目实施方案；</w:t>
      </w:r>
    </w:p>
    <w:p>
      <w:pPr>
        <w:spacing w:line="400" w:lineRule="exact"/>
        <w:ind w:firstLine="480" w:firstLineChars="200"/>
        <w:rPr>
          <w:rFonts w:ascii="仿宋" w:hAnsi="仿宋"/>
          <w:color w:val="auto"/>
          <w:highlight w:val="none"/>
        </w:rPr>
      </w:pPr>
      <w:r>
        <w:rPr>
          <w:rFonts w:hint="eastAsia" w:ascii="仿宋" w:hAnsi="仿宋"/>
          <w:color w:val="auto"/>
          <w:highlight w:val="none"/>
        </w:rPr>
        <w:t>（4）投标产品技术参数表；</w:t>
      </w:r>
    </w:p>
    <w:p>
      <w:pPr>
        <w:spacing w:line="400" w:lineRule="exact"/>
        <w:ind w:firstLine="480" w:firstLineChars="200"/>
        <w:rPr>
          <w:rFonts w:ascii="仿宋" w:hAnsi="仿宋"/>
          <w:color w:val="auto"/>
          <w:highlight w:val="none"/>
        </w:rPr>
      </w:pPr>
      <w:r>
        <w:rPr>
          <w:rFonts w:hint="eastAsia" w:ascii="仿宋" w:hAnsi="仿宋"/>
          <w:color w:val="auto"/>
          <w:highlight w:val="none"/>
        </w:rPr>
        <w:t>（5）产品彩页资料；</w:t>
      </w:r>
    </w:p>
    <w:p>
      <w:pPr>
        <w:spacing w:line="400" w:lineRule="exact"/>
        <w:ind w:firstLine="480" w:firstLineChars="200"/>
        <w:rPr>
          <w:rFonts w:ascii="仿宋" w:hAnsi="仿宋"/>
          <w:color w:val="auto"/>
          <w:highlight w:val="none"/>
        </w:rPr>
      </w:pPr>
      <w:r>
        <w:rPr>
          <w:rFonts w:hint="eastAsia" w:ascii="仿宋" w:hAnsi="仿宋"/>
          <w:color w:val="auto"/>
          <w:highlight w:val="none"/>
        </w:rPr>
        <w:t>（6）产品工作环境条件；</w:t>
      </w:r>
    </w:p>
    <w:p>
      <w:pPr>
        <w:spacing w:line="400" w:lineRule="exact"/>
        <w:ind w:firstLine="480" w:firstLineChars="200"/>
        <w:rPr>
          <w:rFonts w:ascii="仿宋" w:hAnsi="仿宋"/>
          <w:color w:val="auto"/>
          <w:highlight w:val="none"/>
        </w:rPr>
      </w:pPr>
      <w:r>
        <w:rPr>
          <w:rFonts w:hint="eastAsia" w:ascii="仿宋" w:hAnsi="仿宋"/>
          <w:color w:val="auto"/>
          <w:highlight w:val="none"/>
        </w:rPr>
        <w:t>（7）产品验收标准和验收方法；</w:t>
      </w:r>
    </w:p>
    <w:p>
      <w:pPr>
        <w:spacing w:line="400" w:lineRule="exact"/>
        <w:ind w:firstLine="480" w:firstLineChars="200"/>
        <w:rPr>
          <w:rFonts w:ascii="仿宋" w:hAnsi="仿宋"/>
          <w:color w:val="auto"/>
          <w:highlight w:val="none"/>
        </w:rPr>
      </w:pPr>
      <w:r>
        <w:rPr>
          <w:rFonts w:hint="eastAsia" w:ascii="仿宋" w:hAnsi="仿宋"/>
          <w:color w:val="auto"/>
          <w:highlight w:val="none"/>
        </w:rPr>
        <w:t>（8）产品验收清单（注明各部件的品名、数量、价格、规格型号和原产地或生产厂家）。</w:t>
      </w:r>
    </w:p>
    <w:p>
      <w:pPr>
        <w:spacing w:line="400" w:lineRule="exact"/>
        <w:ind w:firstLine="480" w:firstLineChars="200"/>
        <w:rPr>
          <w:rFonts w:ascii="仿宋" w:hAnsi="仿宋"/>
          <w:color w:val="auto"/>
          <w:highlight w:val="none"/>
        </w:rPr>
      </w:pPr>
      <w:r>
        <w:rPr>
          <w:rFonts w:hint="eastAsia" w:ascii="仿宋" w:hAnsi="仿宋"/>
          <w:color w:val="auto"/>
          <w:highlight w:val="none"/>
        </w:rPr>
        <w:t>（9）投标人认为需要提供的文件和资料。</w:t>
      </w:r>
    </w:p>
    <w:p>
      <w:pPr>
        <w:spacing w:line="400" w:lineRule="exact"/>
        <w:ind w:firstLine="482" w:firstLineChars="200"/>
        <w:rPr>
          <w:rFonts w:ascii="仿宋" w:hAnsi="仿宋"/>
          <w:color w:val="auto"/>
          <w:highlight w:val="none"/>
        </w:rPr>
      </w:pPr>
      <w:r>
        <w:rPr>
          <w:rFonts w:hint="eastAsia" w:ascii="仿宋" w:hAnsi="仿宋"/>
          <w:b/>
          <w:color w:val="auto"/>
          <w:highlight w:val="none"/>
        </w:rPr>
        <w:t>（三）商务部分。</w:t>
      </w:r>
      <w:r>
        <w:rPr>
          <w:rFonts w:hint="eastAsia" w:ascii="仿宋" w:hAnsi="仿宋"/>
          <w:color w:val="auto"/>
          <w:highlight w:val="none"/>
        </w:rPr>
        <w:t>投标人按照招标文件要求提供的有关文件及优惠承诺。包括以下内容（如涉及）：</w:t>
      </w:r>
    </w:p>
    <w:p>
      <w:pPr>
        <w:spacing w:line="400" w:lineRule="exact"/>
        <w:ind w:firstLine="480" w:firstLineChars="200"/>
        <w:rPr>
          <w:rFonts w:ascii="仿宋" w:hAnsi="仿宋"/>
          <w:color w:val="auto"/>
          <w:highlight w:val="none"/>
        </w:rPr>
      </w:pPr>
      <w:r>
        <w:rPr>
          <w:rFonts w:hint="eastAsia" w:ascii="仿宋" w:hAnsi="仿宋"/>
          <w:color w:val="auto"/>
          <w:highlight w:val="none"/>
        </w:rPr>
        <w:t>（1）投标函；</w:t>
      </w:r>
    </w:p>
    <w:p>
      <w:pPr>
        <w:spacing w:line="400" w:lineRule="exact"/>
        <w:ind w:firstLine="480" w:firstLineChars="200"/>
        <w:rPr>
          <w:rFonts w:ascii="仿宋" w:hAnsi="仿宋"/>
          <w:color w:val="auto"/>
          <w:highlight w:val="none"/>
        </w:rPr>
      </w:pPr>
      <w:r>
        <w:rPr>
          <w:rFonts w:hint="eastAsia" w:ascii="仿宋" w:hAnsi="仿宋"/>
          <w:color w:val="auto"/>
          <w:highlight w:val="none"/>
        </w:rPr>
        <w:t>（</w:t>
      </w:r>
      <w:r>
        <w:rPr>
          <w:rFonts w:ascii="仿宋" w:hAnsi="仿宋"/>
          <w:color w:val="auto"/>
          <w:highlight w:val="none"/>
        </w:rPr>
        <w:t>2</w:t>
      </w:r>
      <w:r>
        <w:rPr>
          <w:rFonts w:hint="eastAsia" w:ascii="仿宋" w:hAnsi="仿宋"/>
          <w:color w:val="auto"/>
          <w:highlight w:val="none"/>
        </w:rPr>
        <w:t>）证明投标人业绩和荣誉的有关材料复印件；</w:t>
      </w:r>
    </w:p>
    <w:p>
      <w:pPr>
        <w:spacing w:line="400" w:lineRule="exact"/>
        <w:ind w:firstLine="480" w:firstLineChars="200"/>
        <w:rPr>
          <w:rFonts w:ascii="仿宋" w:hAnsi="仿宋"/>
          <w:color w:val="auto"/>
          <w:highlight w:val="none"/>
        </w:rPr>
      </w:pPr>
      <w:r>
        <w:rPr>
          <w:rFonts w:hint="eastAsia" w:ascii="仿宋" w:hAnsi="仿宋"/>
          <w:color w:val="auto"/>
          <w:highlight w:val="none"/>
        </w:rPr>
        <w:t>（</w:t>
      </w:r>
      <w:r>
        <w:rPr>
          <w:rFonts w:ascii="仿宋" w:hAnsi="仿宋"/>
          <w:color w:val="auto"/>
          <w:highlight w:val="none"/>
        </w:rPr>
        <w:t>3</w:t>
      </w:r>
      <w:r>
        <w:rPr>
          <w:rFonts w:hint="eastAsia" w:ascii="仿宋" w:hAnsi="仿宋"/>
          <w:color w:val="auto"/>
          <w:highlight w:val="none"/>
        </w:rPr>
        <w:t>）商务应答表；</w:t>
      </w:r>
    </w:p>
    <w:p>
      <w:pPr>
        <w:spacing w:line="400" w:lineRule="exact"/>
        <w:ind w:firstLine="480" w:firstLineChars="200"/>
        <w:rPr>
          <w:rFonts w:ascii="仿宋" w:hAnsi="仿宋"/>
          <w:color w:val="auto"/>
          <w:highlight w:val="none"/>
        </w:rPr>
      </w:pPr>
      <w:r>
        <w:rPr>
          <w:rFonts w:hint="eastAsia" w:ascii="仿宋" w:hAnsi="仿宋"/>
          <w:color w:val="auto"/>
          <w:highlight w:val="none"/>
        </w:rPr>
        <w:t>（</w:t>
      </w:r>
      <w:r>
        <w:rPr>
          <w:rFonts w:ascii="仿宋" w:hAnsi="仿宋"/>
          <w:color w:val="auto"/>
          <w:highlight w:val="none"/>
        </w:rPr>
        <w:t>4</w:t>
      </w:r>
      <w:r>
        <w:rPr>
          <w:rFonts w:hint="eastAsia" w:ascii="仿宋" w:hAnsi="仿宋"/>
          <w:color w:val="auto"/>
          <w:highlight w:val="none"/>
        </w:rPr>
        <w:t>）其他投标人认为需要提供的文件和资料。</w:t>
      </w:r>
    </w:p>
    <w:p>
      <w:pPr>
        <w:spacing w:line="400" w:lineRule="exact"/>
        <w:ind w:firstLine="482" w:firstLineChars="200"/>
        <w:rPr>
          <w:rFonts w:ascii="仿宋" w:hAnsi="仿宋"/>
          <w:b/>
          <w:bCs/>
          <w:color w:val="auto"/>
          <w:highlight w:val="none"/>
        </w:rPr>
      </w:pPr>
      <w:r>
        <w:rPr>
          <w:rFonts w:hint="eastAsia" w:ascii="仿宋" w:hAnsi="仿宋"/>
          <w:b/>
          <w:color w:val="auto"/>
          <w:highlight w:val="none"/>
        </w:rPr>
        <w:t>（四）售后服务。</w:t>
      </w:r>
      <w:r>
        <w:rPr>
          <w:rFonts w:hint="eastAsia" w:ascii="仿宋" w:hAnsi="仿宋"/>
          <w:color w:val="auto"/>
          <w:highlight w:val="none"/>
        </w:rPr>
        <w:t>投标人按照招标文件中售后服务要求作出的积极响应和承诺。包括以下内容（如涉及）：</w:t>
      </w:r>
    </w:p>
    <w:p>
      <w:pPr>
        <w:spacing w:line="400" w:lineRule="exact"/>
        <w:ind w:firstLine="480" w:firstLineChars="200"/>
        <w:rPr>
          <w:rFonts w:ascii="仿宋" w:hAnsi="仿宋"/>
          <w:color w:val="auto"/>
          <w:highlight w:val="none"/>
        </w:rPr>
      </w:pPr>
      <w:r>
        <w:rPr>
          <w:rFonts w:hint="eastAsia" w:ascii="仿宋" w:hAnsi="仿宋"/>
          <w:color w:val="auto"/>
          <w:highlight w:val="none"/>
        </w:rPr>
        <w:t>（1）产品制造厂家或投标人设立的售后服务机构网点清单、服务电话和维修人员名单；</w:t>
      </w:r>
    </w:p>
    <w:p>
      <w:pPr>
        <w:spacing w:line="400" w:lineRule="exact"/>
        <w:ind w:firstLine="480" w:firstLineChars="200"/>
        <w:rPr>
          <w:rFonts w:ascii="仿宋" w:hAnsi="仿宋"/>
          <w:color w:val="auto"/>
          <w:highlight w:val="none"/>
        </w:rPr>
      </w:pPr>
      <w:r>
        <w:rPr>
          <w:rFonts w:hint="eastAsia" w:ascii="仿宋" w:hAnsi="仿宋"/>
          <w:color w:val="auto"/>
          <w:highlight w:val="none"/>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color w:val="auto"/>
          <w:highlight w:val="none"/>
        </w:rPr>
      </w:pPr>
      <w:r>
        <w:rPr>
          <w:rFonts w:hint="eastAsia" w:ascii="仿宋" w:hAnsi="仿宋"/>
          <w:color w:val="auto"/>
          <w:highlight w:val="none"/>
        </w:rPr>
        <w:t>（3）培训措施：说明培训内容及培训的时间、地点、目标、培训人数、收费标准和办法；</w:t>
      </w:r>
    </w:p>
    <w:p>
      <w:pPr>
        <w:spacing w:line="400" w:lineRule="exact"/>
        <w:ind w:firstLine="480" w:firstLineChars="200"/>
        <w:rPr>
          <w:rFonts w:ascii="仿宋" w:hAnsi="仿宋"/>
          <w:color w:val="auto"/>
          <w:highlight w:val="none"/>
        </w:rPr>
      </w:pPr>
      <w:r>
        <w:rPr>
          <w:rFonts w:hint="eastAsia" w:ascii="仿宋" w:hAnsi="仿宋"/>
          <w:color w:val="auto"/>
          <w:highlight w:val="none"/>
        </w:rPr>
        <w:t>（4）其他有利于用户的服务承诺。</w:t>
      </w:r>
    </w:p>
    <w:p>
      <w:pPr>
        <w:adjustRightInd w:val="0"/>
        <w:snapToGrid w:val="0"/>
        <w:spacing w:line="400" w:lineRule="exact"/>
        <w:ind w:firstLine="482" w:firstLineChars="200"/>
        <w:rPr>
          <w:rFonts w:ascii="仿宋" w:hAnsi="仿宋"/>
          <w:color w:val="auto"/>
          <w:highlight w:val="none"/>
        </w:rPr>
      </w:pPr>
      <w:r>
        <w:rPr>
          <w:rFonts w:hint="eastAsia" w:ascii="仿宋" w:hAnsi="仿宋"/>
          <w:b/>
          <w:bCs/>
          <w:color w:val="auto"/>
          <w:highlight w:val="none"/>
        </w:rPr>
        <w:t>（五）其他部分。</w:t>
      </w:r>
      <w:r>
        <w:rPr>
          <w:rFonts w:hint="eastAsia" w:ascii="仿宋" w:hAnsi="仿宋"/>
          <w:bCs/>
          <w:color w:val="auto"/>
          <w:highlight w:val="none"/>
        </w:rPr>
        <w:t>投标人按照招标文件要求作出的其他应答和承诺。</w:t>
      </w:r>
    </w:p>
    <w:p>
      <w:pPr>
        <w:pStyle w:val="5"/>
        <w:tabs>
          <w:tab w:val="left" w:pos="3480"/>
        </w:tabs>
        <w:spacing w:line="400" w:lineRule="exact"/>
        <w:ind w:firstLine="482" w:firstLineChars="200"/>
        <w:rPr>
          <w:rFonts w:ascii="仿宋" w:hAnsi="仿宋"/>
          <w:color w:val="auto"/>
          <w:sz w:val="24"/>
          <w:highlight w:val="none"/>
        </w:rPr>
      </w:pPr>
      <w:bookmarkStart w:id="75" w:name="_Toc217446049"/>
      <w:bookmarkStart w:id="76" w:name="_Toc308164799"/>
      <w:bookmarkStart w:id="77" w:name="_Toc183682355"/>
      <w:bookmarkStart w:id="78" w:name="_Toc183582218"/>
      <w:r>
        <w:rPr>
          <w:rFonts w:hint="eastAsia" w:ascii="仿宋" w:hAnsi="仿宋"/>
          <w:color w:val="auto"/>
          <w:sz w:val="24"/>
          <w:highlight w:val="none"/>
        </w:rPr>
        <w:t>15．投标文件格式</w:t>
      </w:r>
      <w:bookmarkEnd w:id="75"/>
      <w:bookmarkEnd w:id="76"/>
      <w:bookmarkEnd w:id="77"/>
      <w:bookmarkEnd w:id="78"/>
    </w:p>
    <w:p>
      <w:pPr>
        <w:tabs>
          <w:tab w:val="left" w:pos="7665"/>
        </w:tabs>
        <w:spacing w:line="400" w:lineRule="exact"/>
        <w:ind w:left="14" w:leftChars="6" w:firstLine="480" w:firstLineChars="200"/>
        <w:rPr>
          <w:rFonts w:ascii="仿宋" w:hAnsi="仿宋"/>
          <w:color w:val="auto"/>
          <w:highlight w:val="none"/>
        </w:rPr>
      </w:pPr>
      <w:r>
        <w:rPr>
          <w:rFonts w:hint="eastAsia" w:ascii="仿宋" w:hAnsi="仿宋"/>
          <w:color w:val="auto"/>
          <w:highlight w:val="none"/>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4" w:leftChars="6" w:firstLine="480" w:firstLineChars="200"/>
        <w:rPr>
          <w:rFonts w:ascii="仿宋" w:hAnsi="仿宋"/>
          <w:color w:val="auto"/>
          <w:highlight w:val="none"/>
        </w:rPr>
      </w:pPr>
      <w:r>
        <w:rPr>
          <w:rFonts w:hint="eastAsia" w:ascii="仿宋" w:hAnsi="仿宋"/>
          <w:color w:val="auto"/>
          <w:highlight w:val="none"/>
        </w:rPr>
        <w:t>15.2 对于没有格式要求的投标文件由投标人自行编写。</w:t>
      </w:r>
    </w:p>
    <w:p>
      <w:pPr>
        <w:pStyle w:val="5"/>
        <w:spacing w:line="400" w:lineRule="exact"/>
        <w:ind w:firstLine="482" w:firstLineChars="200"/>
        <w:rPr>
          <w:rFonts w:ascii="仿宋" w:hAnsi="仿宋"/>
          <w:bCs w:val="0"/>
          <w:color w:val="auto"/>
          <w:sz w:val="24"/>
          <w:highlight w:val="none"/>
        </w:rPr>
      </w:pPr>
      <w:bookmarkStart w:id="79" w:name="_Toc217446051"/>
      <w:bookmarkStart w:id="80" w:name="_Toc183582224"/>
      <w:bookmarkStart w:id="81" w:name="_Toc183682361"/>
      <w:bookmarkStart w:id="82" w:name="_Toc308164801"/>
      <w:r>
        <w:rPr>
          <w:rFonts w:hint="eastAsia" w:ascii="仿宋" w:hAnsi="仿宋"/>
          <w:bCs w:val="0"/>
          <w:color w:val="auto"/>
          <w:sz w:val="24"/>
          <w:highlight w:val="none"/>
        </w:rPr>
        <w:t>16．投标有效期</w:t>
      </w:r>
      <w:bookmarkEnd w:id="79"/>
      <w:bookmarkEnd w:id="80"/>
      <w:bookmarkEnd w:id="81"/>
      <w:bookmarkEnd w:id="82"/>
      <w:r>
        <w:rPr>
          <w:rFonts w:hint="eastAsia" w:ascii="仿宋" w:hAnsi="仿宋"/>
          <w:color w:val="auto"/>
          <w:sz w:val="24"/>
          <w:szCs w:val="24"/>
          <w:highlight w:val="none"/>
        </w:rPr>
        <w:t>（实质性要求）</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16.1 本项目投标有效期为投标截止时间届满后</w:t>
      </w:r>
      <w:r>
        <w:rPr>
          <w:rFonts w:hint="eastAsia" w:ascii="仿宋" w:hAnsi="仿宋"/>
          <w:b/>
          <w:bCs/>
          <w:color w:val="auto"/>
          <w:highlight w:val="none"/>
        </w:rPr>
        <w:t>90</w:t>
      </w:r>
      <w:r>
        <w:rPr>
          <w:rFonts w:hint="eastAsia" w:ascii="仿宋" w:hAnsi="仿宋"/>
          <w:color w:val="auto"/>
          <w:highlight w:val="none"/>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bCs w:val="0"/>
          <w:color w:val="auto"/>
          <w:sz w:val="24"/>
          <w:highlight w:val="none"/>
        </w:rPr>
      </w:pPr>
      <w:bookmarkStart w:id="83" w:name="_Toc308164802"/>
      <w:bookmarkStart w:id="84" w:name="_Toc183582225"/>
      <w:bookmarkStart w:id="85" w:name="_Toc217446052"/>
      <w:bookmarkStart w:id="86" w:name="_Toc183682362"/>
      <w:r>
        <w:rPr>
          <w:rFonts w:hint="eastAsia" w:ascii="仿宋" w:hAnsi="仿宋"/>
          <w:bCs w:val="0"/>
          <w:color w:val="auto"/>
          <w:sz w:val="24"/>
          <w:highlight w:val="none"/>
        </w:rPr>
        <w:t>17．投标文件的</w:t>
      </w:r>
      <w:bookmarkEnd w:id="83"/>
      <w:bookmarkEnd w:id="84"/>
      <w:bookmarkEnd w:id="85"/>
      <w:bookmarkEnd w:id="86"/>
      <w:r>
        <w:rPr>
          <w:rFonts w:hint="eastAsia" w:ascii="仿宋" w:hAnsi="仿宋"/>
          <w:bCs w:val="0"/>
          <w:color w:val="auto"/>
          <w:sz w:val="24"/>
          <w:highlight w:val="none"/>
        </w:rPr>
        <w:t>制作和签章、加密</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4" w:leftChars="6" w:firstLine="360" w:firstLineChars="150"/>
        <w:rPr>
          <w:rFonts w:ascii="仿宋" w:hAnsi="仿宋"/>
          <w:b/>
          <w:bCs/>
          <w:color w:val="auto"/>
          <w:highlight w:val="none"/>
        </w:rPr>
      </w:pPr>
      <w:r>
        <w:rPr>
          <w:rFonts w:hint="eastAsia" w:ascii="仿宋" w:hAnsi="仿宋"/>
          <w:color w:val="auto"/>
          <w:highlight w:val="none"/>
        </w:rPr>
        <w:t>17</w:t>
      </w:r>
      <w:r>
        <w:rPr>
          <w:rFonts w:hint="eastAsia" w:ascii="仿宋" w:hAnsi="仿宋"/>
          <w:b/>
          <w:bCs/>
          <w:color w:val="auto"/>
          <w:highlight w:val="none"/>
        </w:rPr>
        <w:t>.2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17.3 投标人应使用CA数字证书对投标文件进行加密。</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17.4 招标文件若有修改，投标人根据修改后的招标文件制作或修改并递交投标文件。</w:t>
      </w:r>
    </w:p>
    <w:p>
      <w:pPr>
        <w:tabs>
          <w:tab w:val="left" w:pos="7665"/>
        </w:tabs>
        <w:spacing w:line="400" w:lineRule="exact"/>
        <w:ind w:left="14" w:leftChars="6" w:firstLine="360" w:firstLineChars="150"/>
        <w:rPr>
          <w:rFonts w:ascii="仿宋" w:hAnsi="仿宋"/>
          <w:color w:val="auto"/>
          <w:highlight w:val="none"/>
        </w:rPr>
      </w:pPr>
      <w:r>
        <w:rPr>
          <w:rFonts w:hint="eastAsia" w:ascii="仿宋" w:hAnsi="仿宋"/>
          <w:color w:val="auto"/>
          <w:highlight w:val="none"/>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1080"/>
        </w:tabs>
        <w:spacing w:line="400" w:lineRule="exact"/>
        <w:ind w:firstLine="460" w:firstLineChars="192"/>
        <w:rPr>
          <w:rFonts w:ascii="仿宋" w:hAnsi="仿宋"/>
          <w:color w:val="auto"/>
          <w:highlight w:val="none"/>
        </w:rPr>
      </w:pPr>
      <w:r>
        <w:rPr>
          <w:rFonts w:hint="eastAsia" w:ascii="仿宋" w:hAnsi="仿宋"/>
          <w:color w:val="auto"/>
          <w:highlight w:val="none"/>
        </w:rPr>
        <w:t>17.6本次招标要求的复印件是指对图文进行复制后的文件，包括扫描、复印、影印等方式复制的材料。</w:t>
      </w:r>
    </w:p>
    <w:p>
      <w:pPr>
        <w:pStyle w:val="5"/>
        <w:spacing w:line="400" w:lineRule="exact"/>
        <w:ind w:firstLine="482" w:firstLineChars="200"/>
        <w:rPr>
          <w:rFonts w:ascii="仿宋" w:hAnsi="仿宋"/>
          <w:bCs w:val="0"/>
          <w:color w:val="auto"/>
          <w:sz w:val="24"/>
          <w:szCs w:val="24"/>
          <w:highlight w:val="none"/>
        </w:rPr>
      </w:pPr>
      <w:bookmarkStart w:id="87" w:name="_Toc183582227"/>
      <w:bookmarkStart w:id="88" w:name="_Toc183682364"/>
      <w:bookmarkStart w:id="89" w:name="_Toc217446054"/>
      <w:bookmarkStart w:id="90" w:name="_Toc308164804"/>
      <w:r>
        <w:rPr>
          <w:rFonts w:hint="eastAsia" w:ascii="仿宋" w:hAnsi="仿宋"/>
          <w:bCs w:val="0"/>
          <w:color w:val="auto"/>
          <w:sz w:val="24"/>
          <w:szCs w:val="24"/>
          <w:highlight w:val="none"/>
        </w:rPr>
        <w:t>18</w:t>
      </w:r>
      <w:r>
        <w:rPr>
          <w:rFonts w:hint="eastAsia" w:ascii="仿宋" w:hAnsi="仿宋"/>
          <w:bCs w:val="0"/>
          <w:color w:val="auto"/>
          <w:sz w:val="28"/>
          <w:szCs w:val="28"/>
          <w:highlight w:val="none"/>
        </w:rPr>
        <w:t>．</w:t>
      </w:r>
      <w:r>
        <w:rPr>
          <w:rFonts w:hint="eastAsia" w:ascii="仿宋" w:hAnsi="仿宋"/>
          <w:bCs w:val="0"/>
          <w:color w:val="auto"/>
          <w:sz w:val="24"/>
          <w:szCs w:val="24"/>
          <w:highlight w:val="none"/>
        </w:rPr>
        <w:t>投标文件的</w:t>
      </w:r>
      <w:bookmarkEnd w:id="87"/>
      <w:bookmarkEnd w:id="88"/>
      <w:r>
        <w:rPr>
          <w:rFonts w:hint="eastAsia" w:ascii="仿宋" w:hAnsi="仿宋"/>
          <w:bCs w:val="0"/>
          <w:color w:val="auto"/>
          <w:sz w:val="24"/>
          <w:szCs w:val="24"/>
          <w:highlight w:val="none"/>
        </w:rPr>
        <w:t>递交</w:t>
      </w:r>
      <w:bookmarkEnd w:id="89"/>
      <w:bookmarkEnd w:id="90"/>
    </w:p>
    <w:p>
      <w:pPr>
        <w:tabs>
          <w:tab w:val="left" w:pos="1095"/>
        </w:tabs>
        <w:spacing w:line="400" w:lineRule="exact"/>
        <w:ind w:firstLine="460" w:firstLineChars="192"/>
        <w:rPr>
          <w:rFonts w:ascii="仿宋" w:hAnsi="仿宋"/>
          <w:color w:val="auto"/>
          <w:highlight w:val="none"/>
        </w:rPr>
      </w:pPr>
      <w:r>
        <w:rPr>
          <w:rFonts w:hint="eastAsia" w:ascii="仿宋" w:hAnsi="仿宋"/>
          <w:color w:val="auto"/>
          <w:highlight w:val="none"/>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color w:val="auto"/>
          <w:highlight w:val="none"/>
        </w:rPr>
      </w:pPr>
      <w:r>
        <w:rPr>
          <w:rFonts w:hint="eastAsia" w:ascii="仿宋" w:hAnsi="仿宋"/>
          <w:color w:val="auto"/>
          <w:highlight w:val="none"/>
        </w:rPr>
        <w:t>18.2投标人应充分考虑递交文件的不可预见因素，在投标截止时间后将无法递交。</w:t>
      </w:r>
    </w:p>
    <w:p>
      <w:pPr>
        <w:pStyle w:val="5"/>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19</w:t>
      </w:r>
      <w:r>
        <w:rPr>
          <w:rFonts w:hint="eastAsia" w:ascii="仿宋" w:hAnsi="仿宋"/>
          <w:bCs w:val="0"/>
          <w:color w:val="auto"/>
          <w:sz w:val="28"/>
          <w:szCs w:val="28"/>
          <w:highlight w:val="none"/>
        </w:rPr>
        <w:t>．</w:t>
      </w:r>
      <w:r>
        <w:rPr>
          <w:rFonts w:hint="eastAsia" w:ascii="仿宋" w:hAnsi="仿宋"/>
          <w:bCs w:val="0"/>
          <w:color w:val="auto"/>
          <w:sz w:val="24"/>
          <w:szCs w:val="24"/>
          <w:highlight w:val="none"/>
        </w:rPr>
        <w:t>投标文件的补充、修改或撤回</w:t>
      </w:r>
    </w:p>
    <w:p>
      <w:pPr>
        <w:spacing w:line="400" w:lineRule="exact"/>
        <w:ind w:firstLine="470" w:firstLineChars="196"/>
        <w:rPr>
          <w:rFonts w:ascii="仿宋" w:hAnsi="仿宋"/>
          <w:b/>
          <w:bCs/>
          <w:color w:val="auto"/>
          <w:highlight w:val="none"/>
        </w:rPr>
      </w:pPr>
      <w:r>
        <w:rPr>
          <w:rFonts w:hint="eastAsia" w:ascii="仿宋" w:hAnsi="仿宋"/>
          <w:color w:val="auto"/>
          <w:highlight w:val="none"/>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b/>
          <w:bCs/>
          <w:color w:val="auto"/>
          <w:highlight w:val="none"/>
        </w:rPr>
        <w:t>撤回投标文件进行补充、修改，在投标截止时间前未重新递交的，视为撤回投标文件。</w:t>
      </w:r>
    </w:p>
    <w:p>
      <w:pPr>
        <w:spacing w:line="400" w:lineRule="exact"/>
        <w:ind w:firstLine="470" w:firstLineChars="196"/>
        <w:rPr>
          <w:rFonts w:ascii="仿宋" w:hAnsi="仿宋"/>
          <w:color w:val="auto"/>
          <w:highlight w:val="none"/>
        </w:rPr>
      </w:pPr>
      <w:r>
        <w:rPr>
          <w:rFonts w:hint="eastAsia" w:ascii="仿宋" w:hAnsi="仿宋"/>
          <w:color w:val="auto"/>
          <w:highlight w:val="none"/>
        </w:rPr>
        <w:t>19.2投标截止时间后，投标人不得对其递交的投标文件做任何补充、修改。</w:t>
      </w:r>
    </w:p>
    <w:p>
      <w:pPr>
        <w:pStyle w:val="5"/>
        <w:spacing w:line="400" w:lineRule="exact"/>
        <w:ind w:firstLine="482" w:firstLineChars="200"/>
        <w:rPr>
          <w:rFonts w:ascii="仿宋" w:hAnsi="仿宋"/>
          <w:bCs w:val="0"/>
          <w:color w:val="auto"/>
          <w:sz w:val="24"/>
          <w:szCs w:val="24"/>
          <w:highlight w:val="none"/>
        </w:rPr>
      </w:pPr>
      <w:bookmarkStart w:id="91" w:name="_Toc183582228"/>
      <w:bookmarkStart w:id="92" w:name="_Toc217446055"/>
      <w:bookmarkStart w:id="93" w:name="_Toc183682365"/>
      <w:r>
        <w:rPr>
          <w:rFonts w:hint="eastAsia" w:ascii="仿宋" w:hAnsi="仿宋"/>
          <w:bCs w:val="0"/>
          <w:color w:val="auto"/>
          <w:sz w:val="24"/>
          <w:szCs w:val="24"/>
          <w:highlight w:val="none"/>
        </w:rPr>
        <w:t>20</w:t>
      </w:r>
      <w:r>
        <w:rPr>
          <w:rFonts w:ascii="仿宋" w:hAnsi="仿宋"/>
          <w:bCs w:val="0"/>
          <w:color w:val="auto"/>
          <w:sz w:val="24"/>
          <w:szCs w:val="24"/>
          <w:highlight w:val="none"/>
        </w:rPr>
        <w:t>．投标文件的</w:t>
      </w:r>
      <w:bookmarkEnd w:id="91"/>
      <w:bookmarkEnd w:id="92"/>
      <w:bookmarkEnd w:id="93"/>
      <w:r>
        <w:rPr>
          <w:rFonts w:hint="eastAsia" w:ascii="仿宋" w:hAnsi="仿宋"/>
          <w:bCs w:val="0"/>
          <w:color w:val="auto"/>
          <w:sz w:val="24"/>
          <w:szCs w:val="24"/>
          <w:highlight w:val="none"/>
        </w:rPr>
        <w:t>解密</w:t>
      </w:r>
    </w:p>
    <w:p>
      <w:pPr>
        <w:spacing w:line="400" w:lineRule="exact"/>
        <w:ind w:firstLine="470" w:firstLineChars="196"/>
        <w:rPr>
          <w:rFonts w:ascii="仿宋" w:hAnsi="仿宋"/>
          <w:color w:val="auto"/>
          <w:highlight w:val="none"/>
        </w:rPr>
      </w:pPr>
      <w:r>
        <w:rPr>
          <w:rFonts w:hint="eastAsia" w:ascii="仿宋" w:hAnsi="仿宋"/>
          <w:color w:val="auto"/>
          <w:highlight w:val="none"/>
        </w:rPr>
        <w:t>投标人登录政府采购云平台，点击“项目采购—开标评标”模块，进入本项目“开标大厅”，等待代理机构开启解密后，进行线上解密。</w:t>
      </w:r>
      <w:r>
        <w:rPr>
          <w:rFonts w:hint="eastAsia" w:ascii="仿宋" w:hAnsi="仿宋"/>
          <w:b/>
          <w:bCs/>
          <w:color w:val="auto"/>
          <w:highlight w:val="none"/>
        </w:rPr>
        <w:t>除因系统发生故障</w:t>
      </w:r>
      <w:r>
        <w:rPr>
          <w:rFonts w:hint="eastAsia" w:ascii="仿宋" w:hAnsi="仿宋"/>
          <w:b/>
          <w:bCs/>
          <w:color w:val="auto"/>
          <w:highlight w:val="none"/>
          <w:lang w:val="zh-CN"/>
        </w:rPr>
        <w:t>（</w:t>
      </w:r>
      <w:r>
        <w:rPr>
          <w:rFonts w:hint="eastAsia" w:ascii="仿宋" w:hAnsi="仿宋"/>
          <w:b/>
          <w:bCs/>
          <w:color w:val="auto"/>
          <w:highlight w:val="none"/>
        </w:rPr>
        <w:t>包括组织场所停电、断网等）导致投标文件无法按时解密外，投标文件未按时解密的作为无效投标处理。</w:t>
      </w:r>
    </w:p>
    <w:p>
      <w:pPr>
        <w:pStyle w:val="4"/>
        <w:spacing w:line="400" w:lineRule="exact"/>
        <w:jc w:val="center"/>
        <w:rPr>
          <w:rFonts w:ascii="仿宋" w:hAnsi="仿宋"/>
          <w:color w:val="auto"/>
          <w:highlight w:val="none"/>
        </w:rPr>
      </w:pPr>
      <w:bookmarkStart w:id="94" w:name="_Toc77400782"/>
      <w:bookmarkStart w:id="95" w:name="_Toc183682368"/>
      <w:bookmarkStart w:id="96" w:name="_Toc217446056"/>
      <w:bookmarkStart w:id="97" w:name="_Toc89075878"/>
      <w:bookmarkStart w:id="98" w:name="_Toc183582231"/>
      <w:bookmarkStart w:id="99" w:name="_Toc308164805"/>
      <w:r>
        <w:rPr>
          <w:rFonts w:hint="eastAsia" w:ascii="仿宋" w:hAnsi="仿宋"/>
          <w:color w:val="auto"/>
          <w:highlight w:val="none"/>
        </w:rPr>
        <w:t>五、开标和中标</w:t>
      </w:r>
      <w:bookmarkEnd w:id="94"/>
      <w:bookmarkEnd w:id="95"/>
      <w:bookmarkEnd w:id="96"/>
      <w:bookmarkEnd w:id="97"/>
      <w:bookmarkEnd w:id="98"/>
      <w:bookmarkEnd w:id="99"/>
    </w:p>
    <w:p>
      <w:pPr>
        <w:pStyle w:val="5"/>
        <w:spacing w:line="400" w:lineRule="exact"/>
        <w:ind w:firstLine="482" w:firstLineChars="200"/>
        <w:rPr>
          <w:rFonts w:ascii="仿宋" w:hAnsi="仿宋"/>
          <w:bCs w:val="0"/>
          <w:color w:val="auto"/>
          <w:sz w:val="24"/>
          <w:highlight w:val="none"/>
        </w:rPr>
      </w:pPr>
      <w:bookmarkStart w:id="100" w:name="_Toc308164806"/>
      <w:bookmarkStart w:id="101" w:name="_Toc183582232"/>
      <w:bookmarkStart w:id="102" w:name="_Toc217446057"/>
      <w:bookmarkStart w:id="103" w:name="_Toc183682369"/>
      <w:r>
        <w:rPr>
          <w:rFonts w:hint="eastAsia" w:ascii="仿宋" w:hAnsi="仿宋"/>
          <w:bCs w:val="0"/>
          <w:color w:val="auto"/>
          <w:sz w:val="24"/>
          <w:highlight w:val="none"/>
        </w:rPr>
        <w:t>21．开标及开标程序</w:t>
      </w:r>
    </w:p>
    <w:p>
      <w:pPr>
        <w:ind w:firstLine="480" w:firstLineChars="200"/>
        <w:rPr>
          <w:color w:val="auto"/>
          <w:highlight w:val="none"/>
        </w:rPr>
      </w:pPr>
      <w:r>
        <w:rPr>
          <w:rFonts w:hint="eastAsia" w:ascii="仿宋" w:hAnsi="仿宋"/>
          <w:color w:val="auto"/>
          <w:highlight w:val="none"/>
        </w:rPr>
        <w:t>21.1本项目为不见面开标项目。（递交电子投标文件的投标人不足3家的，不予开标。）</w:t>
      </w:r>
    </w:p>
    <w:p>
      <w:pPr>
        <w:spacing w:before="120" w:line="400" w:lineRule="exact"/>
        <w:ind w:firstLine="480" w:firstLineChars="200"/>
        <w:rPr>
          <w:rFonts w:ascii="仿宋" w:hAnsi="仿宋"/>
          <w:color w:val="auto"/>
          <w:highlight w:val="none"/>
        </w:rPr>
      </w:pPr>
      <w:r>
        <w:rPr>
          <w:rFonts w:hint="eastAsia" w:ascii="仿宋" w:hAnsi="仿宋"/>
          <w:color w:val="auto"/>
          <w:highlight w:val="none"/>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b/>
          <w:bCs/>
          <w:color w:val="auto"/>
          <w:highlight w:val="none"/>
        </w:rPr>
      </w:pPr>
      <w:r>
        <w:rPr>
          <w:rFonts w:hint="eastAsia" w:ascii="仿宋" w:hAnsi="仿宋"/>
          <w:b/>
          <w:bCs/>
          <w:color w:val="auto"/>
          <w:highlight w:val="none"/>
        </w:rPr>
        <w:t>提示：投标人未按时登录不见面开标系统，错过开标解密时间的，由投标人自行承担不利后果。</w:t>
      </w:r>
    </w:p>
    <w:p>
      <w:pPr>
        <w:spacing w:before="120" w:line="400" w:lineRule="exact"/>
        <w:ind w:firstLine="480" w:firstLineChars="200"/>
        <w:rPr>
          <w:rFonts w:ascii="仿宋" w:hAnsi="仿宋"/>
          <w:color w:val="auto"/>
          <w:highlight w:val="none"/>
        </w:rPr>
      </w:pPr>
      <w:r>
        <w:rPr>
          <w:rFonts w:hint="eastAsia" w:ascii="仿宋" w:hAnsi="仿宋"/>
          <w:color w:val="auto"/>
          <w:highlight w:val="none"/>
        </w:rPr>
        <w:t>21.3解密投标文件。等待代理机构开启解密后，投标人进行线上解密。开启解密后，投标人应在</w:t>
      </w:r>
      <w:r>
        <w:rPr>
          <w:rFonts w:hint="eastAsia" w:ascii="仿宋" w:hAnsi="仿宋"/>
          <w:b/>
          <w:bCs/>
          <w:color w:val="auto"/>
          <w:highlight w:val="none"/>
        </w:rPr>
        <w:t>60分钟</w:t>
      </w:r>
      <w:r>
        <w:rPr>
          <w:rFonts w:hint="eastAsia" w:ascii="仿宋" w:hAnsi="仿宋"/>
          <w:color w:val="auto"/>
          <w:highlight w:val="none"/>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b/>
          <w:bCs/>
          <w:color w:val="auto"/>
          <w:highlight w:val="none"/>
        </w:rPr>
      </w:pPr>
      <w:r>
        <w:rPr>
          <w:rFonts w:hint="eastAsia" w:ascii="仿宋" w:hAnsi="仿宋"/>
          <w:color w:val="auto"/>
          <w:highlight w:val="none"/>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b/>
          <w:bCs/>
          <w:color w:val="auto"/>
          <w:highlight w:val="none"/>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color w:val="auto"/>
          <w:highlight w:val="none"/>
        </w:rPr>
      </w:pPr>
      <w:r>
        <w:rPr>
          <w:rFonts w:hint="eastAsia" w:ascii="仿宋" w:hAnsi="仿宋"/>
          <w:color w:val="auto"/>
          <w:highlight w:val="none"/>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color w:val="auto"/>
          <w:highlight w:val="none"/>
        </w:rPr>
      </w:pPr>
      <w:r>
        <w:rPr>
          <w:rFonts w:hint="eastAsia" w:ascii="仿宋" w:hAnsi="仿宋"/>
          <w:color w:val="auto"/>
          <w:highlight w:val="none"/>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color w:val="auto"/>
          <w:highlight w:val="none"/>
        </w:rPr>
      </w:pPr>
      <w:r>
        <w:rPr>
          <w:rFonts w:hint="eastAsia" w:ascii="仿宋" w:hAnsi="仿宋"/>
          <w:color w:val="auto"/>
          <w:highlight w:val="none"/>
        </w:rPr>
        <w:t>21.7不见面开标过程中，各方主体均应遵守互联网有关规定，不得发表与交易活动无关的言论。</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22．开评标过程存档</w:t>
      </w:r>
    </w:p>
    <w:p>
      <w:pPr>
        <w:spacing w:line="400" w:lineRule="exact"/>
        <w:ind w:firstLine="480" w:firstLineChars="200"/>
        <w:rPr>
          <w:rFonts w:ascii="仿宋" w:hAnsi="仿宋"/>
          <w:color w:val="auto"/>
          <w:highlight w:val="none"/>
        </w:rPr>
      </w:pPr>
      <w:r>
        <w:rPr>
          <w:rFonts w:hint="eastAsia" w:ascii="仿宋" w:hAnsi="仿宋"/>
          <w:color w:val="auto"/>
          <w:highlight w:val="none"/>
        </w:rPr>
        <w:t>开标和评标过程进行全过程电子监控，并将电子监控资料存储介质留存归档。</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23</w:t>
      </w:r>
      <w:r>
        <w:rPr>
          <w:rFonts w:hint="eastAsia" w:ascii="仿宋" w:hAnsi="仿宋"/>
          <w:color w:val="auto"/>
          <w:sz w:val="24"/>
          <w:szCs w:val="24"/>
          <w:highlight w:val="none"/>
        </w:rPr>
        <w:t xml:space="preserve">. </w:t>
      </w:r>
      <w:r>
        <w:rPr>
          <w:rFonts w:hint="eastAsia" w:ascii="仿宋" w:hAnsi="仿宋"/>
          <w:color w:val="auto"/>
          <w:sz w:val="24"/>
          <w:highlight w:val="none"/>
        </w:rPr>
        <w:t>评标情况公告</w:t>
      </w:r>
    </w:p>
    <w:p>
      <w:pPr>
        <w:spacing w:line="400" w:lineRule="exact"/>
        <w:ind w:firstLine="480" w:firstLineChars="200"/>
        <w:rPr>
          <w:rFonts w:ascii="仿宋" w:hAnsi="仿宋"/>
          <w:color w:val="auto"/>
          <w:highlight w:val="none"/>
        </w:rPr>
      </w:pPr>
      <w:r>
        <w:rPr>
          <w:rFonts w:hint="eastAsia" w:ascii="仿宋" w:hAnsi="仿宋"/>
          <w:color w:val="auto"/>
          <w:highlight w:val="none"/>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b w:val="0"/>
          <w:color w:val="auto"/>
          <w:sz w:val="24"/>
          <w:szCs w:val="24"/>
          <w:highlight w:val="none"/>
        </w:rPr>
      </w:pPr>
      <w:r>
        <w:rPr>
          <w:rFonts w:hint="eastAsia" w:ascii="仿宋" w:hAnsi="仿宋"/>
          <w:bCs w:val="0"/>
          <w:color w:val="auto"/>
          <w:sz w:val="24"/>
          <w:szCs w:val="24"/>
          <w:highlight w:val="none"/>
        </w:rPr>
        <w:t>24</w:t>
      </w:r>
      <w:r>
        <w:rPr>
          <w:rFonts w:hint="eastAsia" w:ascii="仿宋" w:hAnsi="仿宋"/>
          <w:color w:val="auto"/>
          <w:sz w:val="24"/>
          <w:szCs w:val="24"/>
          <w:highlight w:val="none"/>
        </w:rPr>
        <w:t xml:space="preserve">. </w:t>
      </w:r>
      <w:r>
        <w:rPr>
          <w:rFonts w:hint="eastAsia" w:ascii="仿宋" w:hAnsi="仿宋"/>
          <w:bCs w:val="0"/>
          <w:color w:val="auto"/>
          <w:sz w:val="24"/>
          <w:szCs w:val="24"/>
          <w:highlight w:val="none"/>
        </w:rPr>
        <w:t>采购人确定中标人过程中，发现中标候选人有下列情形之一的，应当不予确定其为中标人：</w:t>
      </w:r>
    </w:p>
    <w:p>
      <w:pPr>
        <w:spacing w:line="400" w:lineRule="exact"/>
        <w:ind w:firstLine="480" w:firstLineChars="200"/>
        <w:rPr>
          <w:rFonts w:ascii="仿宋" w:hAnsi="仿宋"/>
          <w:color w:val="auto"/>
          <w:highlight w:val="none"/>
        </w:rPr>
      </w:pPr>
      <w:r>
        <w:rPr>
          <w:rFonts w:hint="eastAsia" w:ascii="仿宋" w:hAnsi="仿宋"/>
          <w:color w:val="auto"/>
          <w:highlight w:val="none"/>
        </w:rPr>
        <w:t>（1）发现中标候选人存在禁止参加本项目采购活动的违法行为的；</w:t>
      </w:r>
    </w:p>
    <w:p>
      <w:pPr>
        <w:spacing w:line="400" w:lineRule="exact"/>
        <w:ind w:firstLine="480" w:firstLineChars="200"/>
        <w:rPr>
          <w:rFonts w:ascii="仿宋" w:hAnsi="仿宋"/>
          <w:color w:val="auto"/>
          <w:highlight w:val="none"/>
        </w:rPr>
      </w:pPr>
      <w:r>
        <w:rPr>
          <w:rFonts w:hint="eastAsia" w:ascii="仿宋" w:hAnsi="仿宋"/>
          <w:color w:val="auto"/>
          <w:highlight w:val="none"/>
        </w:rPr>
        <w:t>（2）中标候选人因不可抗力，不能继续参加政府采购活动；</w:t>
      </w:r>
    </w:p>
    <w:p>
      <w:pPr>
        <w:spacing w:line="400" w:lineRule="exact"/>
        <w:ind w:firstLine="480" w:firstLineChars="200"/>
        <w:rPr>
          <w:rFonts w:ascii="仿宋" w:hAnsi="仿宋"/>
          <w:color w:val="auto"/>
          <w:highlight w:val="none"/>
        </w:rPr>
      </w:pPr>
      <w:r>
        <w:rPr>
          <w:rFonts w:hint="eastAsia" w:ascii="仿宋" w:hAnsi="仿宋"/>
          <w:color w:val="auto"/>
          <w:highlight w:val="none"/>
        </w:rPr>
        <w:t>（3）中标候选人无偿赠与或者低于成本价竞争；</w:t>
      </w:r>
    </w:p>
    <w:p>
      <w:pPr>
        <w:spacing w:line="400" w:lineRule="exact"/>
        <w:ind w:firstLine="480" w:firstLineChars="200"/>
        <w:rPr>
          <w:rFonts w:ascii="仿宋" w:hAnsi="仿宋"/>
          <w:color w:val="auto"/>
          <w:highlight w:val="none"/>
        </w:rPr>
      </w:pPr>
      <w:r>
        <w:rPr>
          <w:rFonts w:hint="eastAsia" w:ascii="仿宋" w:hAnsi="仿宋"/>
          <w:color w:val="auto"/>
          <w:highlight w:val="none"/>
        </w:rPr>
        <w:t>（4）中标候选人提供虚假材料；</w:t>
      </w:r>
    </w:p>
    <w:p>
      <w:pPr>
        <w:spacing w:line="400" w:lineRule="exact"/>
        <w:ind w:firstLine="480" w:firstLineChars="200"/>
        <w:rPr>
          <w:rFonts w:ascii="仿宋" w:hAnsi="仿宋"/>
          <w:color w:val="auto"/>
          <w:highlight w:val="none"/>
        </w:rPr>
      </w:pPr>
      <w:r>
        <w:rPr>
          <w:rFonts w:hint="eastAsia" w:ascii="仿宋" w:hAnsi="仿宋"/>
          <w:color w:val="auto"/>
          <w:highlight w:val="none"/>
        </w:rPr>
        <w:t>（5</w:t>
      </w:r>
      <w:r>
        <w:rPr>
          <w:rFonts w:ascii="仿宋" w:hAnsi="仿宋"/>
          <w:color w:val="auto"/>
          <w:highlight w:val="none"/>
        </w:rPr>
        <w:t>）</w:t>
      </w:r>
      <w:r>
        <w:rPr>
          <w:rFonts w:hint="eastAsia" w:ascii="仿宋" w:hAnsi="仿宋"/>
          <w:color w:val="auto"/>
          <w:highlight w:val="none"/>
        </w:rPr>
        <w:t>中标候选人恶意串通。</w:t>
      </w:r>
    </w:p>
    <w:p>
      <w:pPr>
        <w:pStyle w:val="5"/>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25</w:t>
      </w:r>
      <w:r>
        <w:rPr>
          <w:rFonts w:hint="eastAsia" w:ascii="仿宋" w:hAnsi="仿宋"/>
          <w:color w:val="auto"/>
          <w:sz w:val="24"/>
          <w:szCs w:val="24"/>
          <w:highlight w:val="none"/>
        </w:rPr>
        <w:t xml:space="preserve">. </w:t>
      </w:r>
      <w:r>
        <w:rPr>
          <w:rFonts w:hint="eastAsia" w:ascii="仿宋" w:hAnsi="仿宋"/>
          <w:bCs w:val="0"/>
          <w:color w:val="auto"/>
          <w:sz w:val="24"/>
          <w:szCs w:val="24"/>
          <w:highlight w:val="none"/>
        </w:rPr>
        <w:t>中标通知书</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25</w:t>
      </w:r>
      <w:r>
        <w:rPr>
          <w:rFonts w:hint="eastAsia" w:ascii="仿宋" w:hAnsi="仿宋"/>
          <w:bCs/>
          <w:color w:val="auto"/>
          <w:highlight w:val="none"/>
        </w:rPr>
        <w:t>.</w:t>
      </w:r>
      <w:r>
        <w:rPr>
          <w:rFonts w:hint="eastAsia" w:ascii="仿宋" w:hAnsi="仿宋"/>
          <w:color w:val="auto"/>
          <w:highlight w:val="none"/>
        </w:rPr>
        <w:t>1 中标通知书为签订政府采购合同的依据之一，是合同的有效组成部分。</w:t>
      </w:r>
    </w:p>
    <w:p>
      <w:pPr>
        <w:tabs>
          <w:tab w:val="left" w:pos="7665"/>
        </w:tabs>
        <w:spacing w:line="400" w:lineRule="exact"/>
        <w:ind w:firstLine="480"/>
        <w:rPr>
          <w:rFonts w:ascii="仿宋" w:hAnsi="仿宋"/>
          <w:color w:val="auto"/>
          <w:highlight w:val="none"/>
        </w:rPr>
      </w:pPr>
      <w:r>
        <w:rPr>
          <w:rFonts w:hint="eastAsia" w:ascii="仿宋" w:hAnsi="仿宋"/>
          <w:color w:val="auto"/>
          <w:highlight w:val="none"/>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color w:val="auto"/>
          <w:highlight w:val="none"/>
        </w:rPr>
      </w:pPr>
      <w:r>
        <w:rPr>
          <w:rFonts w:hint="eastAsia" w:ascii="仿宋" w:hAnsi="仿宋"/>
          <w:color w:val="auto"/>
          <w:highlight w:val="none"/>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color w:val="auto"/>
          <w:highlight w:val="none"/>
        </w:rPr>
      </w:pPr>
      <w:r>
        <w:rPr>
          <w:rFonts w:hint="eastAsia" w:ascii="仿宋" w:hAnsi="仿宋"/>
          <w:b/>
          <w:bCs/>
          <w:color w:val="auto"/>
          <w:highlight w:val="none"/>
        </w:rPr>
        <w:t>25.4</w:t>
      </w:r>
      <w:r>
        <w:rPr>
          <w:rFonts w:hint="eastAsia" w:ascii="仿宋" w:hAnsi="仿宋"/>
          <w:b/>
          <w:bCs/>
          <w:color w:val="auto"/>
          <w:highlight w:val="none"/>
          <w:lang w:val="zh-CN"/>
        </w:rPr>
        <w:t>在四川政府采购网公告中标结果同时发出中标通知书，中标供应商自行登录政府采购云平台下载中标通知书。</w:t>
      </w:r>
      <w:bookmarkEnd w:id="100"/>
      <w:bookmarkEnd w:id="101"/>
      <w:bookmarkEnd w:id="102"/>
      <w:bookmarkEnd w:id="103"/>
    </w:p>
    <w:p>
      <w:pPr>
        <w:pStyle w:val="4"/>
        <w:spacing w:line="400" w:lineRule="exact"/>
        <w:jc w:val="center"/>
        <w:rPr>
          <w:rFonts w:ascii="仿宋" w:hAnsi="仿宋"/>
          <w:color w:val="auto"/>
          <w:szCs w:val="28"/>
          <w:highlight w:val="none"/>
        </w:rPr>
      </w:pPr>
      <w:bookmarkStart w:id="104" w:name="_Toc308164810"/>
      <w:bookmarkStart w:id="105" w:name="_Toc217446064"/>
      <w:bookmarkStart w:id="106" w:name="_Toc183582240"/>
      <w:bookmarkStart w:id="107" w:name="_Toc183682377"/>
      <w:r>
        <w:rPr>
          <w:rFonts w:hint="eastAsia" w:ascii="仿宋" w:hAnsi="仿宋"/>
          <w:color w:val="auto"/>
          <w:szCs w:val="28"/>
          <w:highlight w:val="none"/>
        </w:rPr>
        <w:t>六、签订及履行合同和验收</w:t>
      </w:r>
      <w:bookmarkEnd w:id="104"/>
      <w:bookmarkEnd w:id="105"/>
    </w:p>
    <w:p>
      <w:pPr>
        <w:pStyle w:val="5"/>
        <w:spacing w:line="400" w:lineRule="exact"/>
        <w:ind w:firstLine="482" w:firstLineChars="200"/>
        <w:rPr>
          <w:rFonts w:ascii="仿宋" w:hAnsi="仿宋"/>
          <w:b w:val="0"/>
          <w:color w:val="auto"/>
          <w:sz w:val="24"/>
          <w:szCs w:val="24"/>
          <w:highlight w:val="none"/>
        </w:rPr>
      </w:pPr>
      <w:bookmarkStart w:id="108" w:name="_Toc217446065"/>
      <w:bookmarkStart w:id="109" w:name="_Toc308164811"/>
      <w:r>
        <w:rPr>
          <w:rFonts w:hint="eastAsia" w:ascii="仿宋" w:hAnsi="仿宋"/>
          <w:color w:val="auto"/>
          <w:sz w:val="24"/>
          <w:highlight w:val="none"/>
        </w:rPr>
        <w:t>26</w:t>
      </w:r>
      <w:r>
        <w:rPr>
          <w:rFonts w:hint="eastAsia" w:ascii="仿宋" w:hAnsi="仿宋"/>
          <w:color w:val="auto"/>
          <w:sz w:val="24"/>
          <w:szCs w:val="24"/>
          <w:highlight w:val="none"/>
        </w:rPr>
        <w:t>. 签订合同</w:t>
      </w:r>
      <w:bookmarkEnd w:id="108"/>
      <w:bookmarkEnd w:id="109"/>
    </w:p>
    <w:p>
      <w:pPr>
        <w:spacing w:line="400" w:lineRule="exact"/>
        <w:ind w:firstLine="480" w:firstLineChars="200"/>
        <w:rPr>
          <w:rFonts w:ascii="仿宋" w:hAnsi="仿宋"/>
          <w:color w:val="auto"/>
          <w:highlight w:val="none"/>
        </w:rPr>
      </w:pPr>
      <w:r>
        <w:rPr>
          <w:rFonts w:hint="eastAsia" w:ascii="仿宋" w:hAnsi="仿宋"/>
          <w:color w:val="auto"/>
          <w:highlight w:val="none"/>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color w:val="auto"/>
          <w:highlight w:val="none"/>
        </w:rPr>
      </w:pPr>
      <w:r>
        <w:rPr>
          <w:rFonts w:hint="eastAsia" w:ascii="仿宋" w:hAnsi="仿宋"/>
          <w:color w:val="auto"/>
          <w:highlight w:val="none"/>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color w:val="auto"/>
          <w:highlight w:val="none"/>
        </w:rPr>
      </w:pPr>
      <w:r>
        <w:rPr>
          <w:rFonts w:hint="eastAsia" w:ascii="仿宋" w:hAnsi="仿宋"/>
          <w:color w:val="auto"/>
          <w:highlight w:val="none"/>
        </w:rPr>
        <w:t>26.3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color w:val="auto"/>
          <w:highlight w:val="none"/>
        </w:rPr>
      </w:pPr>
      <w:r>
        <w:rPr>
          <w:rFonts w:hint="eastAsia" w:ascii="仿宋" w:hAnsi="仿宋"/>
          <w:color w:val="auto"/>
          <w:highlight w:val="none"/>
        </w:rPr>
        <w:t>26.4 中标人在合同签订之后三个工作日内，将签订的合同（一式一份）发送至我司指定邮箱（luolan@sccyczb.com）。</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27. 合同分包（实质性要求）</w:t>
      </w:r>
    </w:p>
    <w:p>
      <w:pPr>
        <w:spacing w:line="400" w:lineRule="exact"/>
        <w:ind w:firstLine="480" w:firstLineChars="200"/>
        <w:rPr>
          <w:rFonts w:ascii="仿宋" w:hAnsi="仿宋"/>
          <w:color w:val="auto"/>
          <w:highlight w:val="none"/>
        </w:rPr>
      </w:pPr>
      <w:r>
        <w:rPr>
          <w:rFonts w:hint="eastAsia" w:ascii="仿宋" w:hAnsi="仿宋"/>
          <w:color w:val="auto"/>
          <w:highlight w:val="none"/>
        </w:rPr>
        <w:t>27</w:t>
      </w:r>
      <w:r>
        <w:rPr>
          <w:rFonts w:ascii="仿宋" w:hAnsi="仿宋"/>
          <w:color w:val="auto"/>
          <w:highlight w:val="none"/>
        </w:rPr>
        <w:t>.1</w:t>
      </w:r>
      <w:r>
        <w:rPr>
          <w:rFonts w:hint="eastAsia" w:ascii="仿宋" w:hAnsi="仿宋"/>
          <w:color w:val="auto"/>
          <w:highlight w:val="none"/>
        </w:rPr>
        <w:t>本项目合同接受分包与否，以“投标人须知附表”勾选项为准。</w:t>
      </w:r>
    </w:p>
    <w:p>
      <w:pPr>
        <w:spacing w:line="400" w:lineRule="exact"/>
        <w:ind w:firstLine="480" w:firstLineChars="200"/>
        <w:rPr>
          <w:rFonts w:ascii="仿宋" w:hAnsi="仿宋"/>
          <w:color w:val="auto"/>
          <w:highlight w:val="none"/>
        </w:rPr>
      </w:pPr>
      <w:r>
        <w:rPr>
          <w:rFonts w:hint="eastAsia" w:ascii="仿宋" w:hAnsi="仿宋"/>
          <w:color w:val="auto"/>
          <w:highlight w:val="none"/>
        </w:rPr>
        <w:t>27</w:t>
      </w:r>
      <w:r>
        <w:rPr>
          <w:rFonts w:ascii="仿宋" w:hAnsi="仿宋"/>
          <w:color w:val="auto"/>
          <w:highlight w:val="none"/>
        </w:rPr>
        <w:t>.</w:t>
      </w:r>
      <w:r>
        <w:rPr>
          <w:rFonts w:hint="eastAsia" w:ascii="仿宋" w:hAnsi="仿宋"/>
          <w:color w:val="auto"/>
          <w:highlight w:val="none"/>
        </w:rPr>
        <w:t>2</w:t>
      </w:r>
      <w:r>
        <w:rPr>
          <w:rFonts w:ascii="仿宋" w:hAnsi="仿宋"/>
          <w:color w:val="auto"/>
          <w:highlight w:val="none"/>
        </w:rPr>
        <w:t xml:space="preserve"> 中小企业依据</w:t>
      </w:r>
      <w:r>
        <w:rPr>
          <w:rFonts w:hint="eastAsia" w:ascii="仿宋" w:hAnsi="仿宋"/>
          <w:color w:val="auto"/>
          <w:highlight w:val="none"/>
        </w:rPr>
        <w:t>《政府采购促进中小企业发展管理办法》（财库〔2020〕46号）</w:t>
      </w:r>
      <w:r>
        <w:rPr>
          <w:rFonts w:ascii="仿宋" w:hAnsi="仿宋"/>
          <w:color w:val="auto"/>
          <w:highlight w:val="none"/>
        </w:rPr>
        <w:t>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28</w:t>
      </w:r>
      <w:r>
        <w:rPr>
          <w:rFonts w:hint="eastAsia" w:ascii="仿宋" w:hAnsi="仿宋"/>
          <w:color w:val="auto"/>
          <w:sz w:val="24"/>
          <w:szCs w:val="24"/>
          <w:highlight w:val="none"/>
        </w:rPr>
        <w:t xml:space="preserve">. </w:t>
      </w:r>
      <w:r>
        <w:rPr>
          <w:rFonts w:hint="eastAsia" w:ascii="仿宋" w:hAnsi="仿宋"/>
          <w:color w:val="auto"/>
          <w:sz w:val="24"/>
          <w:highlight w:val="none"/>
        </w:rPr>
        <w:t>合同转包（实质性要求）</w:t>
      </w:r>
    </w:p>
    <w:p>
      <w:pPr>
        <w:spacing w:line="400" w:lineRule="exact"/>
        <w:ind w:firstLine="540" w:firstLineChars="225"/>
        <w:rPr>
          <w:rFonts w:ascii="仿宋" w:hAnsi="仿宋"/>
          <w:color w:val="auto"/>
          <w:highlight w:val="none"/>
        </w:rPr>
      </w:pPr>
      <w:r>
        <w:rPr>
          <w:rFonts w:hint="eastAsia" w:ascii="仿宋" w:hAnsi="仿宋"/>
          <w:color w:val="auto"/>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color w:val="auto"/>
          <w:highlight w:val="none"/>
        </w:rPr>
      </w:pPr>
      <w:r>
        <w:rPr>
          <w:rFonts w:hint="eastAsia" w:ascii="仿宋" w:hAnsi="仿宋"/>
          <w:color w:val="auto"/>
          <w:highlight w:val="none"/>
        </w:rPr>
        <w:t>中标人转包的，视同拒绝履行政府采购合同义务，将依法追究法律责任。</w:t>
      </w:r>
    </w:p>
    <w:p>
      <w:pPr>
        <w:pStyle w:val="5"/>
        <w:spacing w:line="400" w:lineRule="exact"/>
        <w:ind w:firstLine="482" w:firstLineChars="200"/>
        <w:rPr>
          <w:rFonts w:ascii="仿宋" w:hAnsi="仿宋"/>
          <w:color w:val="auto"/>
          <w:sz w:val="24"/>
          <w:highlight w:val="none"/>
        </w:rPr>
      </w:pPr>
      <w:bookmarkStart w:id="110" w:name="_Toc217446066"/>
      <w:r>
        <w:rPr>
          <w:rFonts w:hint="eastAsia" w:ascii="仿宋" w:hAnsi="仿宋"/>
          <w:color w:val="auto"/>
          <w:sz w:val="24"/>
          <w:highlight w:val="none"/>
        </w:rPr>
        <w:t>29</w:t>
      </w:r>
      <w:bookmarkEnd w:id="110"/>
      <w:r>
        <w:rPr>
          <w:rFonts w:hint="eastAsia" w:ascii="仿宋" w:hAnsi="仿宋"/>
          <w:color w:val="auto"/>
          <w:sz w:val="24"/>
          <w:szCs w:val="24"/>
          <w:highlight w:val="none"/>
        </w:rPr>
        <w:t xml:space="preserve">. </w:t>
      </w:r>
      <w:r>
        <w:rPr>
          <w:rFonts w:hint="eastAsia" w:ascii="仿宋" w:hAnsi="仿宋"/>
          <w:color w:val="auto"/>
          <w:sz w:val="24"/>
          <w:highlight w:val="none"/>
        </w:rPr>
        <w:t>补充合同</w:t>
      </w:r>
    </w:p>
    <w:p>
      <w:pPr>
        <w:spacing w:line="400" w:lineRule="exact"/>
        <w:ind w:firstLine="480" w:firstLineChars="200"/>
        <w:rPr>
          <w:rFonts w:ascii="仿宋" w:hAnsi="仿宋"/>
          <w:color w:val="auto"/>
          <w:highlight w:val="none"/>
        </w:rPr>
      </w:pPr>
      <w:r>
        <w:rPr>
          <w:rFonts w:hint="eastAsia" w:ascii="仿宋" w:hAnsi="仿宋"/>
          <w:color w:val="auto"/>
          <w:highlight w:val="none"/>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b w:val="0"/>
          <w:color w:val="auto"/>
          <w:sz w:val="24"/>
          <w:szCs w:val="24"/>
          <w:highlight w:val="none"/>
        </w:rPr>
      </w:pPr>
      <w:bookmarkStart w:id="111" w:name="_Toc308164812"/>
      <w:bookmarkStart w:id="112" w:name="_Toc217446068"/>
      <w:r>
        <w:rPr>
          <w:rFonts w:hint="eastAsia" w:ascii="仿宋" w:hAnsi="仿宋"/>
          <w:color w:val="auto"/>
          <w:sz w:val="24"/>
          <w:szCs w:val="24"/>
          <w:highlight w:val="none"/>
        </w:rPr>
        <w:t>30</w:t>
      </w:r>
      <w:r>
        <w:rPr>
          <w:rFonts w:hint="eastAsia" w:ascii="仿宋" w:hAnsi="仿宋"/>
          <w:b w:val="0"/>
          <w:color w:val="auto"/>
          <w:sz w:val="24"/>
          <w:szCs w:val="24"/>
          <w:highlight w:val="none"/>
        </w:rPr>
        <w:t xml:space="preserve">. </w:t>
      </w:r>
      <w:r>
        <w:rPr>
          <w:rFonts w:hint="eastAsia" w:ascii="仿宋" w:hAnsi="仿宋"/>
          <w:color w:val="auto"/>
          <w:sz w:val="24"/>
          <w:szCs w:val="24"/>
          <w:highlight w:val="none"/>
        </w:rPr>
        <w:t>履约保证金</w:t>
      </w:r>
      <w:bookmarkEnd w:id="111"/>
      <w:bookmarkEnd w:id="112"/>
      <w:r>
        <w:rPr>
          <w:rFonts w:hint="eastAsia" w:ascii="仿宋" w:hAnsi="仿宋"/>
          <w:color w:val="auto"/>
          <w:sz w:val="24"/>
          <w:szCs w:val="24"/>
          <w:highlight w:val="none"/>
        </w:rPr>
        <w:t>（实质性要求）</w:t>
      </w:r>
    </w:p>
    <w:p>
      <w:pPr>
        <w:spacing w:line="400" w:lineRule="exact"/>
        <w:ind w:firstLine="480" w:firstLineChars="200"/>
        <w:rPr>
          <w:rFonts w:ascii="仿宋" w:hAnsi="仿宋"/>
          <w:color w:val="auto"/>
          <w:highlight w:val="none"/>
        </w:rPr>
      </w:pPr>
      <w:r>
        <w:rPr>
          <w:rFonts w:hint="eastAsia" w:ascii="仿宋" w:hAnsi="仿宋"/>
          <w:color w:val="auto"/>
          <w:highlight w:val="none"/>
        </w:rPr>
        <w:t>30.1 中标人应在合同签订之前交纳招标文件规定数额的履约保证金。</w:t>
      </w:r>
    </w:p>
    <w:p>
      <w:pPr>
        <w:spacing w:line="400" w:lineRule="exact"/>
        <w:ind w:firstLine="480" w:firstLineChars="200"/>
        <w:rPr>
          <w:rFonts w:ascii="仿宋" w:hAnsi="仿宋"/>
          <w:color w:val="auto"/>
          <w:highlight w:val="none"/>
        </w:rPr>
      </w:pPr>
      <w:r>
        <w:rPr>
          <w:rFonts w:hint="eastAsia" w:ascii="仿宋" w:hAnsi="仿宋"/>
          <w:color w:val="auto"/>
          <w:highlight w:val="none"/>
        </w:rPr>
        <w:t>30.2 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color w:val="auto"/>
          <w:sz w:val="24"/>
          <w:szCs w:val="24"/>
          <w:highlight w:val="none"/>
        </w:rPr>
      </w:pPr>
      <w:bookmarkStart w:id="113" w:name="_Toc217446069"/>
      <w:bookmarkStart w:id="114" w:name="_Toc308164813"/>
      <w:r>
        <w:rPr>
          <w:rFonts w:hint="eastAsia" w:ascii="仿宋" w:hAnsi="仿宋"/>
          <w:color w:val="auto"/>
          <w:sz w:val="24"/>
          <w:szCs w:val="24"/>
          <w:highlight w:val="none"/>
        </w:rPr>
        <w:t>31. 合同公告</w:t>
      </w:r>
    </w:p>
    <w:p>
      <w:pPr>
        <w:spacing w:line="400" w:lineRule="exact"/>
        <w:ind w:firstLine="480" w:firstLineChars="200"/>
        <w:rPr>
          <w:rFonts w:ascii="仿宋" w:hAnsi="仿宋"/>
          <w:color w:val="auto"/>
          <w:highlight w:val="none"/>
        </w:rPr>
      </w:pPr>
      <w:r>
        <w:rPr>
          <w:rFonts w:hint="eastAsia" w:ascii="仿宋" w:hAnsi="仿宋"/>
          <w:color w:val="auto"/>
          <w:highlight w:val="none"/>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color w:val="auto"/>
          <w:sz w:val="24"/>
          <w:szCs w:val="24"/>
          <w:highlight w:val="none"/>
        </w:rPr>
      </w:pPr>
      <w:r>
        <w:rPr>
          <w:rFonts w:hint="eastAsia" w:ascii="仿宋" w:hAnsi="仿宋"/>
          <w:color w:val="auto"/>
          <w:sz w:val="24"/>
          <w:szCs w:val="24"/>
          <w:highlight w:val="none"/>
        </w:rPr>
        <w:t>32. 合同备案</w:t>
      </w:r>
    </w:p>
    <w:p>
      <w:pPr>
        <w:spacing w:line="400" w:lineRule="exact"/>
        <w:ind w:firstLine="480" w:firstLineChars="200"/>
        <w:rPr>
          <w:rFonts w:ascii="仿宋" w:hAnsi="仿宋"/>
          <w:color w:val="auto"/>
          <w:highlight w:val="none"/>
        </w:rPr>
      </w:pPr>
      <w:r>
        <w:rPr>
          <w:rFonts w:hint="eastAsia" w:ascii="仿宋" w:hAnsi="仿宋"/>
          <w:color w:val="auto"/>
          <w:highlight w:val="none"/>
        </w:rPr>
        <w:t>采购人应当将政府采购合同副本自签订之日起七个工作日内报同级财政部门备案。</w:t>
      </w:r>
    </w:p>
    <w:p>
      <w:pPr>
        <w:pStyle w:val="5"/>
        <w:spacing w:line="400" w:lineRule="exact"/>
        <w:ind w:firstLine="482" w:firstLineChars="200"/>
        <w:rPr>
          <w:rFonts w:ascii="仿宋" w:hAnsi="仿宋"/>
          <w:b w:val="0"/>
          <w:color w:val="auto"/>
          <w:sz w:val="24"/>
          <w:szCs w:val="24"/>
          <w:highlight w:val="none"/>
        </w:rPr>
      </w:pPr>
      <w:r>
        <w:rPr>
          <w:rFonts w:hint="eastAsia" w:ascii="仿宋" w:hAnsi="仿宋"/>
          <w:color w:val="auto"/>
          <w:sz w:val="24"/>
          <w:szCs w:val="24"/>
          <w:highlight w:val="none"/>
        </w:rPr>
        <w:t>33. 履行合同</w:t>
      </w:r>
      <w:bookmarkEnd w:id="113"/>
      <w:bookmarkEnd w:id="114"/>
    </w:p>
    <w:p>
      <w:pPr>
        <w:spacing w:line="400" w:lineRule="exact"/>
        <w:ind w:firstLine="480" w:firstLineChars="200"/>
        <w:rPr>
          <w:rFonts w:ascii="仿宋" w:hAnsi="仿宋"/>
          <w:color w:val="auto"/>
          <w:highlight w:val="none"/>
        </w:rPr>
      </w:pPr>
      <w:r>
        <w:rPr>
          <w:rFonts w:hint="eastAsia" w:ascii="仿宋" w:hAnsi="仿宋"/>
          <w:color w:val="auto"/>
          <w:highlight w:val="none"/>
        </w:rPr>
        <w:t>33.1 中标人与采购人签订合同后，合同双方应严格执行合同条款，履行合同规定的义务，保证合同的顺利完成。</w:t>
      </w:r>
    </w:p>
    <w:p>
      <w:pPr>
        <w:spacing w:line="400" w:lineRule="exact"/>
        <w:ind w:firstLine="480" w:firstLineChars="200"/>
        <w:rPr>
          <w:rFonts w:ascii="仿宋" w:hAnsi="仿宋"/>
          <w:color w:val="auto"/>
          <w:highlight w:val="none"/>
        </w:rPr>
      </w:pPr>
      <w:r>
        <w:rPr>
          <w:rFonts w:hint="eastAsia" w:ascii="仿宋" w:hAnsi="仿宋"/>
          <w:color w:val="auto"/>
          <w:highlight w:val="none"/>
        </w:rPr>
        <w:t>33.2 在合同履行过程中，如发生合同纠纷，合同双方应按照《中华人民共和国民法典》的有关规定进行处理。</w:t>
      </w:r>
    </w:p>
    <w:p>
      <w:pPr>
        <w:pStyle w:val="5"/>
        <w:spacing w:line="400" w:lineRule="exact"/>
        <w:ind w:firstLine="482" w:firstLineChars="200"/>
        <w:rPr>
          <w:rFonts w:ascii="仿宋" w:hAnsi="仿宋"/>
          <w:b w:val="0"/>
          <w:color w:val="auto"/>
          <w:sz w:val="24"/>
          <w:szCs w:val="24"/>
          <w:highlight w:val="none"/>
        </w:rPr>
      </w:pPr>
      <w:bookmarkStart w:id="115" w:name="_Toc308164814"/>
      <w:bookmarkStart w:id="116" w:name="_Toc217446070"/>
      <w:r>
        <w:rPr>
          <w:rFonts w:hint="eastAsia" w:ascii="仿宋" w:hAnsi="仿宋"/>
          <w:color w:val="auto"/>
          <w:sz w:val="24"/>
          <w:szCs w:val="24"/>
          <w:highlight w:val="none"/>
        </w:rPr>
        <w:t>34. 验收</w:t>
      </w:r>
      <w:bookmarkEnd w:id="115"/>
      <w:bookmarkEnd w:id="116"/>
    </w:p>
    <w:p>
      <w:pPr>
        <w:spacing w:line="400" w:lineRule="exact"/>
        <w:ind w:firstLine="480" w:firstLineChars="200"/>
        <w:rPr>
          <w:rFonts w:ascii="仿宋" w:hAnsi="仿宋"/>
          <w:color w:val="auto"/>
          <w:highlight w:val="none"/>
        </w:rPr>
      </w:pPr>
      <w:r>
        <w:rPr>
          <w:rFonts w:hint="eastAsia" w:ascii="仿宋" w:hAnsi="仿宋"/>
          <w:color w:val="auto"/>
          <w:highlight w:val="none"/>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color w:val="auto"/>
          <w:highlight w:val="none"/>
        </w:rPr>
      </w:pPr>
      <w:r>
        <w:rPr>
          <w:rFonts w:hint="eastAsia" w:ascii="仿宋" w:hAnsi="仿宋"/>
          <w:color w:val="auto"/>
          <w:highlight w:val="none"/>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7" w:name="_Toc217446071"/>
    </w:p>
    <w:p>
      <w:pPr>
        <w:pStyle w:val="5"/>
        <w:spacing w:line="400" w:lineRule="exact"/>
        <w:ind w:firstLine="482" w:firstLineChars="200"/>
        <w:rPr>
          <w:rFonts w:ascii="仿宋" w:hAnsi="仿宋"/>
          <w:color w:val="auto"/>
          <w:sz w:val="24"/>
          <w:szCs w:val="24"/>
          <w:highlight w:val="none"/>
        </w:rPr>
      </w:pPr>
      <w:bookmarkStart w:id="118" w:name="_Toc217446077"/>
      <w:bookmarkStart w:id="119" w:name="_Toc308164818"/>
      <w:r>
        <w:rPr>
          <w:rFonts w:hint="eastAsia" w:ascii="仿宋" w:hAnsi="仿宋"/>
          <w:color w:val="auto"/>
          <w:sz w:val="24"/>
          <w:szCs w:val="24"/>
          <w:highlight w:val="none"/>
        </w:rPr>
        <w:t>35. 资金支付</w:t>
      </w:r>
      <w:bookmarkEnd w:id="118"/>
      <w:bookmarkEnd w:id="119"/>
    </w:p>
    <w:p>
      <w:pPr>
        <w:spacing w:line="400" w:lineRule="exact"/>
        <w:ind w:firstLine="480" w:firstLineChars="200"/>
        <w:rPr>
          <w:rFonts w:ascii="仿宋" w:hAnsi="仿宋"/>
          <w:color w:val="auto"/>
          <w:highlight w:val="none"/>
        </w:rPr>
      </w:pPr>
      <w:r>
        <w:rPr>
          <w:rFonts w:hint="eastAsia" w:ascii="仿宋" w:hAnsi="仿宋"/>
          <w:color w:val="auto"/>
          <w:highlight w:val="none"/>
        </w:rPr>
        <w:t>采购人将按照政府采购合同规定，及时向中标供应商支付采购资金。本项目采购资金付款详见第六章商务要求中付款方式。</w:t>
      </w:r>
    </w:p>
    <w:bookmarkEnd w:id="106"/>
    <w:bookmarkEnd w:id="107"/>
    <w:bookmarkEnd w:id="117"/>
    <w:p>
      <w:pPr>
        <w:pStyle w:val="4"/>
        <w:spacing w:line="400" w:lineRule="exact"/>
        <w:jc w:val="center"/>
        <w:rPr>
          <w:rFonts w:ascii="仿宋" w:hAnsi="仿宋"/>
          <w:color w:val="auto"/>
          <w:szCs w:val="28"/>
          <w:highlight w:val="none"/>
        </w:rPr>
      </w:pPr>
      <w:bookmarkStart w:id="120" w:name="_Toc308164815"/>
      <w:bookmarkStart w:id="121" w:name="_Toc217446074"/>
      <w:bookmarkStart w:id="122" w:name="_Toc183682380"/>
      <w:bookmarkStart w:id="123" w:name="_Toc183582243"/>
      <w:r>
        <w:rPr>
          <w:rFonts w:hint="eastAsia" w:ascii="仿宋" w:hAnsi="仿宋"/>
          <w:color w:val="auto"/>
          <w:szCs w:val="28"/>
          <w:highlight w:val="none"/>
        </w:rPr>
        <w:t>七、投标纪律要求</w:t>
      </w:r>
      <w:bookmarkEnd w:id="120"/>
      <w:bookmarkEnd w:id="121"/>
    </w:p>
    <w:p>
      <w:pPr>
        <w:pStyle w:val="5"/>
        <w:spacing w:line="400" w:lineRule="exact"/>
        <w:ind w:firstLine="482" w:firstLineChars="200"/>
        <w:rPr>
          <w:rFonts w:ascii="仿宋" w:hAnsi="仿宋"/>
          <w:bCs w:val="0"/>
          <w:color w:val="auto"/>
          <w:sz w:val="24"/>
          <w:szCs w:val="24"/>
          <w:highlight w:val="none"/>
        </w:rPr>
      </w:pPr>
      <w:bookmarkStart w:id="124" w:name="_Toc308164816"/>
      <w:bookmarkStart w:id="125" w:name="_Toc217446075"/>
      <w:r>
        <w:rPr>
          <w:rFonts w:hint="eastAsia" w:ascii="仿宋" w:hAnsi="仿宋"/>
          <w:color w:val="auto"/>
          <w:sz w:val="24"/>
          <w:highlight w:val="none"/>
        </w:rPr>
        <w:t xml:space="preserve">36. </w:t>
      </w:r>
      <w:r>
        <w:rPr>
          <w:rFonts w:hint="eastAsia" w:ascii="仿宋" w:hAnsi="仿宋"/>
          <w:bCs w:val="0"/>
          <w:color w:val="auto"/>
          <w:sz w:val="24"/>
          <w:szCs w:val="24"/>
          <w:highlight w:val="none"/>
        </w:rPr>
        <w:t>投标人</w:t>
      </w:r>
      <w:bookmarkEnd w:id="124"/>
      <w:bookmarkEnd w:id="125"/>
      <w:r>
        <w:rPr>
          <w:rFonts w:hint="eastAsia" w:ascii="仿宋" w:hAnsi="仿宋"/>
          <w:bCs w:val="0"/>
          <w:color w:val="auto"/>
          <w:sz w:val="24"/>
          <w:szCs w:val="24"/>
          <w:highlight w:val="none"/>
        </w:rPr>
        <w:t>纪律要求</w:t>
      </w:r>
    </w:p>
    <w:p>
      <w:pPr>
        <w:pStyle w:val="8"/>
        <w:spacing w:line="400" w:lineRule="exact"/>
        <w:ind w:firstLine="480"/>
        <w:rPr>
          <w:rFonts w:ascii="仿宋" w:hAnsi="仿宋"/>
          <w:color w:val="auto"/>
          <w:highlight w:val="none"/>
        </w:rPr>
      </w:pPr>
      <w:r>
        <w:rPr>
          <w:rFonts w:hint="eastAsia" w:ascii="仿宋" w:hAnsi="仿宋"/>
          <w:color w:val="auto"/>
          <w:highlight w:val="none"/>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color w:val="auto"/>
          <w:highlight w:val="none"/>
        </w:rPr>
      </w:pPr>
      <w:r>
        <w:rPr>
          <w:rFonts w:hint="eastAsia" w:ascii="仿宋" w:hAnsi="仿宋"/>
          <w:color w:val="auto"/>
          <w:highlight w:val="none"/>
        </w:rPr>
        <w:t>在评标过程中发现投标人有上述情形的，评标委员会应当认定其投标无效，并书面报告本级财政部门。</w:t>
      </w:r>
    </w:p>
    <w:p>
      <w:pPr>
        <w:pStyle w:val="5"/>
        <w:spacing w:line="400" w:lineRule="exact"/>
        <w:ind w:firstLine="482" w:firstLineChars="200"/>
        <w:rPr>
          <w:rFonts w:ascii="仿宋" w:hAnsi="仿宋"/>
          <w:color w:val="auto"/>
          <w:sz w:val="24"/>
          <w:highlight w:val="none"/>
        </w:rPr>
      </w:pPr>
      <w:r>
        <w:rPr>
          <w:rFonts w:hint="eastAsia" w:ascii="仿宋" w:hAnsi="仿宋"/>
          <w:color w:val="auto"/>
          <w:sz w:val="24"/>
          <w:highlight w:val="none"/>
        </w:rPr>
        <w:t>37. 投标人参加本项目投标不得有下列情形：</w:t>
      </w:r>
    </w:p>
    <w:p>
      <w:pPr>
        <w:spacing w:line="400" w:lineRule="exact"/>
        <w:ind w:firstLine="480" w:firstLineChars="200"/>
        <w:rPr>
          <w:rFonts w:ascii="仿宋" w:hAnsi="仿宋"/>
          <w:color w:val="auto"/>
          <w:highlight w:val="none"/>
        </w:rPr>
      </w:pPr>
      <w:r>
        <w:rPr>
          <w:rFonts w:hint="eastAsia" w:ascii="仿宋" w:hAnsi="仿宋"/>
          <w:color w:val="auto"/>
          <w:highlight w:val="none"/>
        </w:rPr>
        <w:t>（1）提供虚假材料谋取中标；</w:t>
      </w:r>
    </w:p>
    <w:p>
      <w:pPr>
        <w:spacing w:line="400" w:lineRule="exact"/>
        <w:ind w:firstLine="480" w:firstLineChars="200"/>
        <w:rPr>
          <w:rFonts w:ascii="仿宋" w:hAnsi="仿宋"/>
          <w:color w:val="auto"/>
          <w:highlight w:val="none"/>
        </w:rPr>
      </w:pPr>
      <w:r>
        <w:rPr>
          <w:rFonts w:hint="eastAsia" w:ascii="仿宋" w:hAnsi="仿宋"/>
          <w:color w:val="auto"/>
          <w:highlight w:val="none"/>
        </w:rPr>
        <w:t>（2）采取不正当手段诋毁、排挤其他投标人；</w:t>
      </w:r>
    </w:p>
    <w:p>
      <w:pPr>
        <w:spacing w:line="400" w:lineRule="exact"/>
        <w:ind w:firstLine="480" w:firstLineChars="200"/>
        <w:rPr>
          <w:rFonts w:ascii="仿宋" w:hAnsi="仿宋"/>
          <w:color w:val="auto"/>
          <w:highlight w:val="none"/>
        </w:rPr>
      </w:pPr>
      <w:r>
        <w:rPr>
          <w:rFonts w:hint="eastAsia" w:ascii="仿宋" w:hAnsi="仿宋"/>
          <w:color w:val="auto"/>
          <w:highlight w:val="none"/>
        </w:rPr>
        <w:t>（3）与招标采购单位、其他投标人恶意串通；</w:t>
      </w:r>
    </w:p>
    <w:p>
      <w:pPr>
        <w:spacing w:line="400" w:lineRule="exact"/>
        <w:ind w:firstLine="480" w:firstLineChars="200"/>
        <w:rPr>
          <w:rFonts w:ascii="仿宋" w:hAnsi="仿宋"/>
          <w:color w:val="auto"/>
          <w:highlight w:val="none"/>
        </w:rPr>
      </w:pPr>
      <w:r>
        <w:rPr>
          <w:rFonts w:hint="eastAsia" w:ascii="仿宋" w:hAnsi="仿宋"/>
          <w:color w:val="auto"/>
          <w:highlight w:val="none"/>
        </w:rPr>
        <w:t>（4）向招标采购单位、评标委员会成员行贿或者提供其他不正当利益；</w:t>
      </w:r>
    </w:p>
    <w:p>
      <w:pPr>
        <w:spacing w:line="400" w:lineRule="exact"/>
        <w:ind w:firstLine="480" w:firstLineChars="200"/>
        <w:rPr>
          <w:rFonts w:ascii="仿宋" w:hAnsi="仿宋"/>
          <w:color w:val="auto"/>
          <w:highlight w:val="none"/>
        </w:rPr>
      </w:pPr>
      <w:r>
        <w:rPr>
          <w:rFonts w:hint="eastAsia" w:ascii="仿宋" w:hAnsi="仿宋"/>
          <w:color w:val="auto"/>
          <w:highlight w:val="none"/>
        </w:rPr>
        <w:t>（5）在招标过程中与招标采购单位进行协商谈判；</w:t>
      </w:r>
    </w:p>
    <w:p>
      <w:pPr>
        <w:spacing w:line="400" w:lineRule="exact"/>
        <w:ind w:firstLine="480" w:firstLineChars="200"/>
        <w:rPr>
          <w:rFonts w:ascii="仿宋" w:hAnsi="仿宋"/>
          <w:color w:val="auto"/>
          <w:highlight w:val="none"/>
        </w:rPr>
      </w:pPr>
      <w:r>
        <w:rPr>
          <w:rFonts w:hint="eastAsia" w:ascii="仿宋" w:hAnsi="仿宋"/>
          <w:color w:val="auto"/>
          <w:highlight w:val="none"/>
        </w:rPr>
        <w:t>（6）中标或者成交后无正当理由拒不与采购人签订政府采购合同；</w:t>
      </w:r>
    </w:p>
    <w:p>
      <w:pPr>
        <w:spacing w:line="400" w:lineRule="exact"/>
        <w:ind w:firstLine="480" w:firstLineChars="200"/>
        <w:rPr>
          <w:rFonts w:ascii="仿宋" w:hAnsi="仿宋"/>
          <w:color w:val="auto"/>
          <w:highlight w:val="none"/>
        </w:rPr>
      </w:pPr>
      <w:r>
        <w:rPr>
          <w:rFonts w:hint="eastAsia" w:ascii="仿宋" w:hAnsi="仿宋"/>
          <w:color w:val="auto"/>
          <w:highlight w:val="none"/>
        </w:rPr>
        <w:t>（7）未按照采购文件确定的事项签订政府采购合同；</w:t>
      </w:r>
    </w:p>
    <w:p>
      <w:pPr>
        <w:spacing w:line="400" w:lineRule="exact"/>
        <w:ind w:firstLine="480" w:firstLineChars="200"/>
        <w:rPr>
          <w:rFonts w:ascii="仿宋" w:hAnsi="仿宋"/>
          <w:color w:val="auto"/>
          <w:highlight w:val="none"/>
        </w:rPr>
      </w:pPr>
      <w:r>
        <w:rPr>
          <w:rFonts w:hint="eastAsia" w:ascii="仿宋" w:hAnsi="仿宋"/>
          <w:color w:val="auto"/>
          <w:highlight w:val="none"/>
        </w:rPr>
        <w:t>（8）将政府采购合同转包或者违规分包；</w:t>
      </w:r>
    </w:p>
    <w:p>
      <w:pPr>
        <w:spacing w:line="400" w:lineRule="exact"/>
        <w:ind w:firstLine="480" w:firstLineChars="200"/>
        <w:rPr>
          <w:rFonts w:ascii="仿宋" w:hAnsi="仿宋"/>
          <w:color w:val="auto"/>
          <w:highlight w:val="none"/>
        </w:rPr>
      </w:pPr>
      <w:r>
        <w:rPr>
          <w:rFonts w:hint="eastAsia" w:ascii="仿宋" w:hAnsi="仿宋"/>
          <w:color w:val="auto"/>
          <w:highlight w:val="none"/>
        </w:rPr>
        <w:t>（9）提供假冒伪劣产品；</w:t>
      </w:r>
    </w:p>
    <w:p>
      <w:pPr>
        <w:spacing w:line="400" w:lineRule="exact"/>
        <w:ind w:firstLine="480" w:firstLineChars="200"/>
        <w:rPr>
          <w:rFonts w:ascii="仿宋" w:hAnsi="仿宋"/>
          <w:color w:val="auto"/>
          <w:highlight w:val="none"/>
        </w:rPr>
      </w:pPr>
      <w:r>
        <w:rPr>
          <w:rFonts w:hint="eastAsia" w:ascii="仿宋" w:hAnsi="仿宋"/>
          <w:color w:val="auto"/>
          <w:highlight w:val="none"/>
        </w:rPr>
        <w:t>（10）擅自变更、中止或者终止政府采购合同；</w:t>
      </w:r>
    </w:p>
    <w:p>
      <w:pPr>
        <w:spacing w:line="400" w:lineRule="exact"/>
        <w:ind w:firstLine="480" w:firstLineChars="200"/>
        <w:rPr>
          <w:rFonts w:ascii="仿宋" w:hAnsi="仿宋"/>
          <w:color w:val="auto"/>
          <w:highlight w:val="none"/>
        </w:rPr>
      </w:pPr>
      <w:r>
        <w:rPr>
          <w:rFonts w:hint="eastAsia" w:ascii="仿宋" w:hAnsi="仿宋"/>
          <w:color w:val="auto"/>
          <w:highlight w:val="none"/>
        </w:rPr>
        <w:t>（11）拒绝有关部门的监督检查或者向监督检查部门提供虚假情况；</w:t>
      </w:r>
    </w:p>
    <w:p>
      <w:pPr>
        <w:spacing w:line="400" w:lineRule="exact"/>
        <w:ind w:firstLine="480" w:firstLineChars="200"/>
        <w:rPr>
          <w:rFonts w:ascii="仿宋" w:hAnsi="仿宋"/>
          <w:color w:val="auto"/>
          <w:highlight w:val="none"/>
        </w:rPr>
      </w:pPr>
      <w:r>
        <w:rPr>
          <w:rFonts w:hint="eastAsia" w:ascii="仿宋" w:hAnsi="仿宋"/>
          <w:color w:val="auto"/>
          <w:highlight w:val="none"/>
        </w:rPr>
        <w:t>（12）法律法规规定的其他情形。</w:t>
      </w:r>
    </w:p>
    <w:p>
      <w:pPr>
        <w:spacing w:line="400" w:lineRule="exact"/>
        <w:ind w:firstLine="480" w:firstLineChars="200"/>
        <w:rPr>
          <w:rFonts w:ascii="仿宋" w:hAnsi="仿宋"/>
          <w:color w:val="auto"/>
          <w:highlight w:val="none"/>
        </w:rPr>
      </w:pPr>
      <w:r>
        <w:rPr>
          <w:rFonts w:hint="eastAsia" w:ascii="仿宋" w:hAnsi="仿宋"/>
          <w:color w:val="auto"/>
          <w:highlight w:val="none"/>
        </w:rPr>
        <w:t>投标人有上述情形的，按照规定追究法律责任，具备（1）-（10）条情形之一的，同时将取消中标资格或者认定中标无效。</w:t>
      </w:r>
      <w:bookmarkEnd w:id="55"/>
    </w:p>
    <w:p>
      <w:pPr>
        <w:pStyle w:val="5"/>
        <w:spacing w:line="400" w:lineRule="exact"/>
        <w:ind w:firstLine="482" w:firstLineChars="200"/>
        <w:rPr>
          <w:rFonts w:ascii="仿宋" w:hAnsi="仿宋"/>
          <w:color w:val="auto"/>
          <w:sz w:val="24"/>
          <w:highlight w:val="none"/>
        </w:rPr>
      </w:pPr>
      <w:bookmarkStart w:id="126" w:name="PO_默认文件内容_23"/>
      <w:r>
        <w:rPr>
          <w:rFonts w:hint="eastAsia" w:ascii="仿宋" w:hAnsi="仿宋"/>
          <w:color w:val="auto"/>
          <w:sz w:val="24"/>
          <w:highlight w:val="none"/>
        </w:rPr>
        <w:t>38. 投标人有下列情形之一的，视为投标人串通投标，其投标无效：</w:t>
      </w:r>
    </w:p>
    <w:p>
      <w:pPr>
        <w:spacing w:line="400" w:lineRule="exact"/>
        <w:ind w:firstLine="480" w:firstLineChars="200"/>
        <w:rPr>
          <w:rFonts w:ascii="仿宋" w:hAnsi="仿宋"/>
          <w:color w:val="auto"/>
          <w:highlight w:val="none"/>
        </w:rPr>
      </w:pPr>
      <w:r>
        <w:rPr>
          <w:rFonts w:hint="eastAsia" w:ascii="仿宋" w:hAnsi="仿宋"/>
          <w:color w:val="auto"/>
          <w:highlight w:val="none"/>
        </w:rPr>
        <w:t>（1）不同投标人的投标文件由同一单位或者个人编制；</w:t>
      </w:r>
    </w:p>
    <w:p>
      <w:pPr>
        <w:spacing w:line="400" w:lineRule="exact"/>
        <w:ind w:firstLine="480" w:firstLineChars="200"/>
        <w:rPr>
          <w:rFonts w:ascii="仿宋" w:hAnsi="仿宋"/>
          <w:color w:val="auto"/>
          <w:highlight w:val="none"/>
        </w:rPr>
      </w:pPr>
      <w:r>
        <w:rPr>
          <w:rFonts w:hint="eastAsia" w:ascii="仿宋" w:hAnsi="仿宋"/>
          <w:color w:val="auto"/>
          <w:highlight w:val="none"/>
        </w:rPr>
        <w:t>（2）不同投标人委托同一单位或者个人办理投标事宜；</w:t>
      </w:r>
    </w:p>
    <w:p>
      <w:pPr>
        <w:spacing w:line="400" w:lineRule="exact"/>
        <w:ind w:firstLine="480" w:firstLineChars="200"/>
        <w:rPr>
          <w:rFonts w:ascii="仿宋" w:hAnsi="仿宋"/>
          <w:color w:val="auto"/>
          <w:highlight w:val="none"/>
        </w:rPr>
      </w:pPr>
      <w:r>
        <w:rPr>
          <w:rFonts w:hint="eastAsia" w:ascii="仿宋" w:hAnsi="仿宋"/>
          <w:color w:val="auto"/>
          <w:highlight w:val="none"/>
        </w:rPr>
        <w:t>（3）不同投标人的投标文件载明的项目管理成员或者联系人员为同一人；</w:t>
      </w:r>
    </w:p>
    <w:p>
      <w:pPr>
        <w:spacing w:line="400" w:lineRule="exact"/>
        <w:ind w:firstLine="480" w:firstLineChars="200"/>
        <w:rPr>
          <w:rFonts w:ascii="仿宋" w:hAnsi="仿宋"/>
          <w:color w:val="auto"/>
          <w:highlight w:val="none"/>
        </w:rPr>
      </w:pPr>
      <w:r>
        <w:rPr>
          <w:rFonts w:hint="eastAsia" w:ascii="仿宋" w:hAnsi="仿宋"/>
          <w:color w:val="auto"/>
          <w:highlight w:val="none"/>
        </w:rPr>
        <w:t>（4）不同投标人的投标文件异常一致或者投标报价呈规律性差异；</w:t>
      </w:r>
    </w:p>
    <w:p>
      <w:pPr>
        <w:spacing w:line="400" w:lineRule="exact"/>
        <w:ind w:firstLine="480" w:firstLineChars="200"/>
        <w:rPr>
          <w:rFonts w:ascii="仿宋" w:hAnsi="仿宋"/>
          <w:color w:val="auto"/>
          <w:highlight w:val="none"/>
        </w:rPr>
      </w:pPr>
      <w:r>
        <w:rPr>
          <w:rFonts w:hint="eastAsia" w:ascii="仿宋" w:hAnsi="仿宋"/>
          <w:color w:val="auto"/>
          <w:highlight w:val="none"/>
        </w:rPr>
        <w:t>（5）不同投标人的投标文件相互混装；</w:t>
      </w:r>
    </w:p>
    <w:p>
      <w:pPr>
        <w:spacing w:line="400" w:lineRule="exact"/>
        <w:ind w:firstLine="480" w:firstLineChars="200"/>
        <w:rPr>
          <w:rFonts w:ascii="仿宋" w:hAnsi="仿宋"/>
          <w:color w:val="auto"/>
          <w:highlight w:val="none"/>
        </w:rPr>
      </w:pPr>
      <w:r>
        <w:rPr>
          <w:rFonts w:hint="eastAsia" w:ascii="仿宋" w:hAnsi="仿宋"/>
          <w:color w:val="auto"/>
          <w:highlight w:val="none"/>
        </w:rPr>
        <w:t>（6）不同投标人的投标保证金从同一单位或者个人的账户转出。</w:t>
      </w:r>
    </w:p>
    <w:p>
      <w:pPr>
        <w:pStyle w:val="4"/>
        <w:spacing w:line="400" w:lineRule="exact"/>
        <w:jc w:val="center"/>
        <w:rPr>
          <w:rFonts w:ascii="仿宋" w:hAnsi="仿宋"/>
          <w:bCs w:val="0"/>
          <w:color w:val="auto"/>
          <w:szCs w:val="28"/>
          <w:highlight w:val="none"/>
        </w:rPr>
      </w:pPr>
      <w:bookmarkStart w:id="127" w:name="_Toc308164819"/>
      <w:bookmarkStart w:id="128" w:name="_Toc217446078"/>
      <w:r>
        <w:rPr>
          <w:rFonts w:hint="eastAsia" w:ascii="仿宋" w:hAnsi="仿宋"/>
          <w:bCs w:val="0"/>
          <w:color w:val="auto"/>
          <w:szCs w:val="28"/>
          <w:highlight w:val="none"/>
        </w:rPr>
        <w:t>八、询问、质疑和投诉</w:t>
      </w:r>
      <w:bookmarkEnd w:id="127"/>
      <w:bookmarkEnd w:id="128"/>
      <w:bookmarkStart w:id="129" w:name="_Toc217446079"/>
    </w:p>
    <w:bookmarkEnd w:id="129"/>
    <w:p>
      <w:pPr>
        <w:widowControl/>
        <w:spacing w:line="360" w:lineRule="atLeast"/>
        <w:ind w:firstLine="472" w:firstLineChars="196"/>
        <w:outlineLvl w:val="1"/>
        <w:rPr>
          <w:rFonts w:ascii="仿宋" w:hAnsi="仿宋"/>
          <w:color w:val="auto"/>
          <w:highlight w:val="none"/>
        </w:rPr>
      </w:pPr>
      <w:r>
        <w:rPr>
          <w:rFonts w:hint="eastAsia" w:ascii="仿宋" w:hAnsi="仿宋"/>
          <w:b/>
          <w:bCs/>
          <w:color w:val="auto"/>
          <w:kern w:val="0"/>
          <w:szCs w:val="32"/>
          <w:highlight w:val="none"/>
        </w:rPr>
        <w:t>3</w:t>
      </w:r>
      <w:bookmarkEnd w:id="122"/>
      <w:bookmarkEnd w:id="123"/>
      <w:r>
        <w:rPr>
          <w:rFonts w:hint="eastAsia" w:ascii="仿宋" w:hAnsi="仿宋"/>
          <w:b/>
          <w:bCs/>
          <w:color w:val="auto"/>
          <w:kern w:val="0"/>
          <w:szCs w:val="32"/>
          <w:highlight w:val="none"/>
        </w:rPr>
        <w:t>9．</w:t>
      </w:r>
      <w:r>
        <w:rPr>
          <w:rFonts w:hint="eastAsia" w:ascii="仿宋" w:hAnsi="仿宋"/>
          <w:color w:val="auto"/>
          <w:highlight w:val="none"/>
        </w:rPr>
        <w:t>询问、质疑、投诉的接收和处理严格按照《中华人民共和国政府采购法》、《中华人民共和国政府采购法实施条例》、《政府采购货物和服务招标投标管理办法》、《</w:t>
      </w:r>
      <w:r>
        <w:rPr>
          <w:rFonts w:hint="eastAsia" w:ascii="仿宋" w:hAnsi="仿宋"/>
          <w:bCs/>
          <w:color w:val="auto"/>
          <w:highlight w:val="none"/>
        </w:rPr>
        <w:t>政府采购质疑和投诉办法</w:t>
      </w:r>
      <w:r>
        <w:rPr>
          <w:rFonts w:hint="eastAsia" w:ascii="仿宋" w:hAnsi="仿宋"/>
          <w:color w:val="auto"/>
          <w:highlight w:val="none"/>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bCs w:val="0"/>
          <w:color w:val="auto"/>
          <w:szCs w:val="28"/>
          <w:highlight w:val="none"/>
        </w:rPr>
      </w:pPr>
      <w:r>
        <w:rPr>
          <w:rFonts w:hint="eastAsia" w:ascii="仿宋" w:hAnsi="仿宋"/>
          <w:bCs w:val="0"/>
          <w:color w:val="auto"/>
          <w:szCs w:val="28"/>
          <w:highlight w:val="none"/>
        </w:rPr>
        <w:t>九、其他</w:t>
      </w:r>
    </w:p>
    <w:p>
      <w:pPr>
        <w:widowControl/>
        <w:spacing w:line="360" w:lineRule="atLeast"/>
        <w:ind w:firstLine="482" w:firstLineChars="200"/>
        <w:outlineLvl w:val="1"/>
        <w:rPr>
          <w:rFonts w:ascii="仿宋" w:hAnsi="仿宋"/>
          <w:color w:val="auto"/>
          <w:highlight w:val="none"/>
        </w:rPr>
      </w:pPr>
      <w:r>
        <w:rPr>
          <w:rFonts w:hint="eastAsia" w:ascii="仿宋" w:hAnsi="仿宋"/>
          <w:b/>
          <w:bCs/>
          <w:color w:val="auto"/>
          <w:kern w:val="0"/>
          <w:szCs w:val="32"/>
          <w:highlight w:val="none"/>
        </w:rPr>
        <w:t>40</w:t>
      </w:r>
      <w:r>
        <w:rPr>
          <w:rFonts w:hint="eastAsia" w:ascii="仿宋" w:hAnsi="仿宋"/>
          <w:color w:val="auto"/>
          <w:highlight w:val="none"/>
        </w:rPr>
        <w:t>. 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0" w:firstLineChars="200"/>
        <w:rPr>
          <w:rFonts w:ascii="仿宋" w:hAnsi="仿宋"/>
          <w:color w:val="auto"/>
          <w:kern w:val="0"/>
          <w:highlight w:val="none"/>
        </w:rPr>
      </w:pPr>
      <w:r>
        <w:rPr>
          <w:rFonts w:hint="eastAsia" w:ascii="仿宋" w:hAnsi="仿宋"/>
          <w:color w:val="auto"/>
          <w:highlight w:val="none"/>
        </w:rPr>
        <w:t>41．</w:t>
      </w:r>
      <w:r>
        <w:rPr>
          <w:rFonts w:hint="eastAsia" w:ascii="仿宋" w:hAnsi="仿宋"/>
          <w:b/>
          <w:color w:val="auto"/>
          <w:highlight w:val="none"/>
        </w:rPr>
        <w:t>（实质性要求）</w:t>
      </w:r>
      <w:r>
        <w:rPr>
          <w:rFonts w:ascii="仿宋" w:hAnsi="仿宋"/>
          <w:color w:val="auto"/>
          <w:highlight w:val="none"/>
        </w:rPr>
        <w:t>国家</w:t>
      </w:r>
      <w:r>
        <w:rPr>
          <w:rFonts w:hint="eastAsia" w:ascii="仿宋" w:hAnsi="仿宋"/>
          <w:color w:val="auto"/>
          <w:highlight w:val="none"/>
        </w:rPr>
        <w:t>或行业主管部门</w:t>
      </w:r>
      <w:r>
        <w:rPr>
          <w:rFonts w:ascii="仿宋" w:hAnsi="仿宋"/>
          <w:color w:val="auto"/>
          <w:highlight w:val="none"/>
        </w:rPr>
        <w:t>对</w:t>
      </w:r>
      <w:r>
        <w:rPr>
          <w:rFonts w:hint="eastAsia" w:ascii="仿宋" w:hAnsi="仿宋"/>
          <w:color w:val="auto"/>
          <w:highlight w:val="none"/>
        </w:rPr>
        <w:t>采购产品的</w:t>
      </w:r>
      <w:r>
        <w:rPr>
          <w:rFonts w:ascii="仿宋" w:hAnsi="仿宋"/>
          <w:color w:val="auto"/>
          <w:highlight w:val="none"/>
        </w:rPr>
        <w:t>技术</w:t>
      </w:r>
      <w:r>
        <w:rPr>
          <w:rFonts w:hint="eastAsia" w:ascii="仿宋" w:hAnsi="仿宋"/>
          <w:color w:val="auto"/>
          <w:highlight w:val="none"/>
        </w:rPr>
        <w:t>标准、</w:t>
      </w:r>
      <w:r>
        <w:rPr>
          <w:rFonts w:ascii="仿宋" w:hAnsi="仿宋"/>
          <w:color w:val="auto"/>
          <w:highlight w:val="none"/>
        </w:rPr>
        <w:t>质量</w:t>
      </w:r>
      <w:r>
        <w:rPr>
          <w:rFonts w:hint="eastAsia" w:ascii="仿宋" w:hAnsi="仿宋"/>
          <w:color w:val="auto"/>
          <w:highlight w:val="none"/>
        </w:rPr>
        <w:t>标准和资格资质条件</w:t>
      </w:r>
      <w:r>
        <w:rPr>
          <w:rFonts w:ascii="仿宋" w:hAnsi="仿宋"/>
          <w:color w:val="auto"/>
          <w:highlight w:val="none"/>
        </w:rPr>
        <w:t>等有</w:t>
      </w:r>
      <w:r>
        <w:rPr>
          <w:rFonts w:hint="eastAsia" w:ascii="仿宋" w:hAnsi="仿宋"/>
          <w:color w:val="auto"/>
          <w:highlight w:val="none"/>
        </w:rPr>
        <w:t>强制性规定</w:t>
      </w:r>
      <w:r>
        <w:rPr>
          <w:rFonts w:ascii="仿宋" w:hAnsi="仿宋"/>
          <w:color w:val="auto"/>
          <w:highlight w:val="none"/>
        </w:rPr>
        <w:t>的</w:t>
      </w:r>
      <w:r>
        <w:rPr>
          <w:rFonts w:hint="eastAsia" w:ascii="仿宋" w:hAnsi="仿宋"/>
          <w:color w:val="auto"/>
          <w:highlight w:val="none"/>
        </w:rPr>
        <w:t>，必须符合其要求。</w:t>
      </w:r>
    </w:p>
    <w:p>
      <w:pPr>
        <w:widowControl/>
        <w:spacing w:line="360" w:lineRule="atLeast"/>
        <w:ind w:firstLine="480" w:firstLineChars="200"/>
        <w:rPr>
          <w:rFonts w:ascii="仿宋" w:hAnsi="仿宋"/>
          <w:color w:val="auto"/>
          <w:highlight w:val="none"/>
        </w:rPr>
      </w:pPr>
    </w:p>
    <w:p>
      <w:pPr>
        <w:pStyle w:val="3"/>
        <w:rPr>
          <w:rFonts w:ascii="仿宋" w:hAnsi="仿宋"/>
          <w:color w:val="auto"/>
          <w:sz w:val="36"/>
          <w:szCs w:val="36"/>
          <w:highlight w:val="none"/>
        </w:rPr>
        <w:sectPr>
          <w:pgSz w:w="11905" w:h="16838"/>
          <w:pgMar w:top="1417" w:right="1417" w:bottom="1417" w:left="1417" w:header="425" w:footer="992" w:gutter="0"/>
          <w:cols w:space="0" w:num="1"/>
          <w:docGrid w:type="lines" w:linePitch="332" w:charSpace="0"/>
        </w:sectPr>
      </w:pPr>
      <w:bookmarkStart w:id="130" w:name="_Toc1368"/>
      <w:bookmarkStart w:id="131" w:name="_Toc217446083"/>
    </w:p>
    <w:p>
      <w:pPr>
        <w:pStyle w:val="3"/>
        <w:rPr>
          <w:rFonts w:ascii="仿宋" w:hAnsi="仿宋"/>
          <w:color w:val="auto"/>
          <w:sz w:val="36"/>
          <w:szCs w:val="36"/>
          <w:highlight w:val="none"/>
        </w:rPr>
      </w:pPr>
      <w:bookmarkStart w:id="132" w:name="_Toc23329"/>
      <w:r>
        <w:rPr>
          <w:rFonts w:hint="eastAsia" w:ascii="仿宋" w:hAnsi="仿宋"/>
          <w:color w:val="auto"/>
          <w:sz w:val="36"/>
          <w:szCs w:val="36"/>
          <w:highlight w:val="none"/>
        </w:rPr>
        <w:t>第三章  投标文件格式</w:t>
      </w:r>
      <w:bookmarkEnd w:id="130"/>
      <w:bookmarkEnd w:id="132"/>
      <w:bookmarkStart w:id="133" w:name="_Toc308164821"/>
      <w:bookmarkStart w:id="134" w:name="_Toc217446082"/>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一、本章所制投标文件格式，除格式中明确将该格式作为实质性要求的，一律不具有强制性。</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三、本章所制投标文件格式中需要填写的相关内容事项，可能会与本采购项目无关，在不改变投标文件原义、不影响本项目采购需求的情况下，投标人可以不予填写，但应当注明。</w:t>
      </w:r>
      <w:bookmarkEnd w:id="126"/>
    </w:p>
    <w:p>
      <w:pPr>
        <w:widowControl/>
        <w:spacing w:line="360" w:lineRule="atLeast"/>
        <w:ind w:firstLine="472" w:firstLineChars="196"/>
        <w:rPr>
          <w:rFonts w:ascii="仿宋" w:hAnsi="仿宋"/>
          <w:color w:val="auto"/>
          <w:highlight w:val="none"/>
        </w:rPr>
      </w:pPr>
      <w:r>
        <w:rPr>
          <w:rFonts w:hint="eastAsia" w:ascii="仿宋" w:hAnsi="仿宋"/>
          <w:b/>
          <w:bCs/>
          <w:color w:val="auto"/>
          <w:highlight w:val="none"/>
        </w:rPr>
        <w:t>四、提示本章中格式1-1、2-1封面，盖章为实质性要求，格式内容不作实质性要求。按照招标文件第二章17．2要求，加盖投标人（法定名称）电子印章。</w:t>
      </w:r>
    </w:p>
    <w:p>
      <w:pPr>
        <w:pStyle w:val="4"/>
        <w:jc w:val="center"/>
        <w:rPr>
          <w:rFonts w:ascii="仿宋" w:hAnsi="仿宋"/>
          <w:color w:val="auto"/>
          <w:highlight w:val="none"/>
        </w:rPr>
      </w:pPr>
      <w:r>
        <w:rPr>
          <w:rFonts w:hint="eastAsia" w:ascii="仿宋" w:hAnsi="仿宋"/>
          <w:color w:val="auto"/>
          <w:highlight w:val="none"/>
        </w:rPr>
        <w:br w:type="page"/>
      </w:r>
      <w:bookmarkStart w:id="135" w:name="PO_默认文件内容_24"/>
      <w:r>
        <w:rPr>
          <w:color w:val="auto"/>
          <w:highlight w:val="none"/>
        </w:rPr>
        <w:t xml:space="preserve">第一部分 </w:t>
      </w:r>
      <w:r>
        <w:rPr>
          <w:rFonts w:hint="eastAsia"/>
          <w:color w:val="auto"/>
          <w:highlight w:val="none"/>
        </w:rPr>
        <w:t>“</w:t>
      </w:r>
      <w:r>
        <w:rPr>
          <w:color w:val="auto"/>
          <w:highlight w:val="none"/>
        </w:rPr>
        <w:t>资格性</w:t>
      </w:r>
      <w:r>
        <w:rPr>
          <w:rFonts w:hint="eastAsia"/>
          <w:color w:val="auto"/>
          <w:highlight w:val="none"/>
        </w:rPr>
        <w:t>投标</w:t>
      </w:r>
      <w:r>
        <w:rPr>
          <w:color w:val="auto"/>
          <w:highlight w:val="none"/>
        </w:rPr>
        <w:t>文件</w:t>
      </w:r>
      <w:r>
        <w:rPr>
          <w:rFonts w:hint="eastAsia"/>
          <w:color w:val="auto"/>
          <w:highlight w:val="none"/>
        </w:rPr>
        <w:t>”</w:t>
      </w:r>
      <w:r>
        <w:rPr>
          <w:color w:val="auto"/>
          <w:highlight w:val="none"/>
        </w:rPr>
        <w:t>格式</w:t>
      </w:r>
    </w:p>
    <w:p>
      <w:pPr>
        <w:pStyle w:val="5"/>
        <w:spacing w:before="0" w:after="0"/>
        <w:rPr>
          <w:rFonts w:ascii="仿宋" w:hAnsi="仿宋" w:cs="仿宋"/>
          <w:color w:val="auto"/>
          <w:highlight w:val="none"/>
        </w:rPr>
      </w:pPr>
      <w:r>
        <w:rPr>
          <w:rFonts w:hint="eastAsia" w:ascii="仿宋" w:hAnsi="仿宋" w:cs="仿宋"/>
          <w:color w:val="auto"/>
          <w:highlight w:val="none"/>
        </w:rPr>
        <w:t>格式1-1 封面：</w:t>
      </w:r>
    </w:p>
    <w:p>
      <w:pPr>
        <w:rPr>
          <w:rFonts w:ascii="仿宋" w:hAnsi="仿宋"/>
          <w:b/>
          <w:color w:val="auto"/>
          <w:sz w:val="32"/>
          <w:szCs w:val="32"/>
          <w:highlight w:val="none"/>
        </w:rPr>
      </w:pPr>
    </w:p>
    <w:p>
      <w:pPr>
        <w:rPr>
          <w:rFonts w:ascii="仿宋" w:hAnsi="仿宋"/>
          <w:b/>
          <w:color w:val="auto"/>
          <w:sz w:val="32"/>
          <w:szCs w:val="32"/>
          <w:highlight w:val="none"/>
        </w:rPr>
      </w:pPr>
    </w:p>
    <w:p>
      <w:pPr>
        <w:jc w:val="center"/>
        <w:rPr>
          <w:rFonts w:ascii="仿宋" w:hAnsi="仿宋"/>
          <w:b/>
          <w:color w:val="auto"/>
          <w:sz w:val="72"/>
          <w:highlight w:val="none"/>
        </w:rPr>
      </w:pPr>
      <w:r>
        <w:rPr>
          <w:rFonts w:hint="eastAsia" w:ascii="仿宋" w:hAnsi="仿宋"/>
          <w:b/>
          <w:color w:val="auto"/>
          <w:sz w:val="40"/>
          <w:szCs w:val="48"/>
          <w:highlight w:val="none"/>
          <w:u w:val="single"/>
        </w:rPr>
        <w:t>XXXXXX采购</w:t>
      </w:r>
      <w:r>
        <w:rPr>
          <w:rFonts w:hint="eastAsia" w:ascii="仿宋" w:hAnsi="仿宋"/>
          <w:b/>
          <w:color w:val="auto"/>
          <w:sz w:val="40"/>
          <w:szCs w:val="48"/>
          <w:highlight w:val="none"/>
        </w:rPr>
        <w:t>项目</w:t>
      </w:r>
    </w:p>
    <w:p>
      <w:pPr>
        <w:rPr>
          <w:rFonts w:ascii="仿宋" w:hAnsi="仿宋"/>
          <w:b/>
          <w:color w:val="auto"/>
          <w:sz w:val="52"/>
          <w:szCs w:val="52"/>
          <w:highlight w:val="none"/>
        </w:rPr>
      </w:pPr>
    </w:p>
    <w:p>
      <w:pPr>
        <w:rPr>
          <w:rFonts w:ascii="仿宋" w:hAnsi="仿宋"/>
          <w:b/>
          <w:color w:val="auto"/>
          <w:sz w:val="52"/>
          <w:szCs w:val="52"/>
          <w:highlight w:val="none"/>
        </w:rPr>
      </w:pPr>
    </w:p>
    <w:p>
      <w:pPr>
        <w:jc w:val="center"/>
        <w:rPr>
          <w:rFonts w:ascii="仿宋" w:hAnsi="仿宋"/>
          <w:b/>
          <w:color w:val="auto"/>
          <w:sz w:val="52"/>
          <w:szCs w:val="52"/>
          <w:highlight w:val="none"/>
        </w:rPr>
      </w:pPr>
      <w:r>
        <w:rPr>
          <w:rFonts w:hint="eastAsia" w:ascii="仿宋" w:hAnsi="仿宋"/>
          <w:b/>
          <w:color w:val="auto"/>
          <w:sz w:val="52"/>
          <w:szCs w:val="52"/>
          <w:highlight w:val="none"/>
        </w:rPr>
        <w:t>资格性投标文件</w:t>
      </w:r>
    </w:p>
    <w:p>
      <w:pPr>
        <w:jc w:val="center"/>
        <w:rPr>
          <w:rFonts w:ascii="仿宋" w:hAnsi="仿宋"/>
          <w:b/>
          <w:color w:val="auto"/>
          <w:sz w:val="52"/>
          <w:szCs w:val="52"/>
          <w:highlight w:val="none"/>
        </w:rPr>
      </w:pPr>
    </w:p>
    <w:p>
      <w:pPr>
        <w:jc w:val="center"/>
        <w:rPr>
          <w:rFonts w:ascii="仿宋" w:hAnsi="仿宋"/>
          <w:b/>
          <w:color w:val="auto"/>
          <w:sz w:val="32"/>
          <w:szCs w:val="32"/>
          <w:highlight w:val="none"/>
        </w:rPr>
      </w:pPr>
    </w:p>
    <w:p>
      <w:pPr>
        <w:rPr>
          <w:rFonts w:ascii="仿宋" w:hAnsi="仿宋"/>
          <w:b/>
          <w:color w:val="auto"/>
          <w:sz w:val="32"/>
          <w:highlight w:val="none"/>
          <w:u w:val="single"/>
        </w:rPr>
      </w:pPr>
      <w:r>
        <w:rPr>
          <w:rFonts w:hint="eastAsia" w:ascii="仿宋" w:hAnsi="仿宋"/>
          <w:b/>
          <w:color w:val="auto"/>
          <w:sz w:val="32"/>
          <w:highlight w:val="none"/>
        </w:rPr>
        <w:t>投 标 人</w:t>
      </w:r>
      <w:r>
        <w:rPr>
          <w:rFonts w:ascii="仿宋" w:hAnsi="仿宋"/>
          <w:b/>
          <w:color w:val="auto"/>
          <w:sz w:val="32"/>
          <w:highlight w:val="none"/>
        </w:rPr>
        <w:t>名称：</w:t>
      </w:r>
      <w:r>
        <w:rPr>
          <w:rFonts w:hint="eastAsia" w:ascii="仿宋" w:hAnsi="仿宋"/>
          <w:b/>
          <w:color w:val="auto"/>
          <w:sz w:val="32"/>
          <w:highlight w:val="none"/>
        </w:rPr>
        <w:t>XXXX</w:t>
      </w:r>
    </w:p>
    <w:p>
      <w:pPr>
        <w:rPr>
          <w:rFonts w:ascii="仿宋" w:hAnsi="仿宋"/>
          <w:b/>
          <w:color w:val="auto"/>
          <w:sz w:val="32"/>
          <w:highlight w:val="none"/>
          <w:u w:val="single"/>
        </w:rPr>
      </w:pPr>
      <w:r>
        <w:rPr>
          <w:rFonts w:hint="eastAsia" w:ascii="仿宋" w:hAnsi="仿宋"/>
          <w:b/>
          <w:color w:val="auto"/>
          <w:sz w:val="32"/>
          <w:highlight w:val="none"/>
        </w:rPr>
        <w:t>采购项目</w:t>
      </w:r>
      <w:r>
        <w:rPr>
          <w:rFonts w:ascii="仿宋" w:hAnsi="仿宋"/>
          <w:b/>
          <w:color w:val="auto"/>
          <w:sz w:val="32"/>
          <w:highlight w:val="none"/>
        </w:rPr>
        <w:t>编号：</w:t>
      </w:r>
      <w:r>
        <w:rPr>
          <w:rFonts w:hint="eastAsia" w:ascii="仿宋" w:hAnsi="仿宋"/>
          <w:b/>
          <w:color w:val="auto"/>
          <w:sz w:val="32"/>
          <w:highlight w:val="none"/>
        </w:rPr>
        <w:t>XXXX</w:t>
      </w:r>
    </w:p>
    <w:p>
      <w:pPr>
        <w:rPr>
          <w:rFonts w:ascii="仿宋" w:hAnsi="仿宋"/>
          <w:b/>
          <w:color w:val="auto"/>
          <w:sz w:val="32"/>
          <w:highlight w:val="none"/>
          <w:u w:val="single"/>
        </w:rPr>
      </w:pPr>
      <w:r>
        <w:rPr>
          <w:rFonts w:hint="eastAsia" w:ascii="仿宋" w:hAnsi="仿宋"/>
          <w:b/>
          <w:color w:val="auto"/>
          <w:sz w:val="32"/>
          <w:highlight w:val="none"/>
        </w:rPr>
        <w:t>包        号</w:t>
      </w:r>
      <w:r>
        <w:rPr>
          <w:rFonts w:ascii="仿宋" w:hAnsi="仿宋"/>
          <w:b/>
          <w:color w:val="auto"/>
          <w:sz w:val="32"/>
          <w:highlight w:val="none"/>
        </w:rPr>
        <w:t>：</w:t>
      </w:r>
      <w:r>
        <w:rPr>
          <w:rFonts w:hint="eastAsia" w:ascii="仿宋" w:hAnsi="仿宋"/>
          <w:b/>
          <w:color w:val="auto"/>
          <w:sz w:val="32"/>
          <w:highlight w:val="none"/>
        </w:rPr>
        <w:t>XXXX</w:t>
      </w:r>
    </w:p>
    <w:p>
      <w:pPr>
        <w:ind w:firstLine="790" w:firstLineChars="246"/>
        <w:jc w:val="center"/>
        <w:rPr>
          <w:rFonts w:ascii="仿宋" w:hAnsi="仿宋"/>
          <w:b/>
          <w:color w:val="auto"/>
          <w:sz w:val="32"/>
          <w:highlight w:val="none"/>
        </w:rPr>
      </w:pPr>
    </w:p>
    <w:p>
      <w:pPr>
        <w:ind w:firstLine="790" w:firstLineChars="246"/>
        <w:jc w:val="center"/>
        <w:rPr>
          <w:rFonts w:ascii="仿宋" w:hAnsi="仿宋"/>
          <w:b/>
          <w:color w:val="auto"/>
          <w:sz w:val="32"/>
          <w:highlight w:val="none"/>
        </w:rPr>
      </w:pPr>
    </w:p>
    <w:p>
      <w:pPr>
        <w:ind w:firstLine="790" w:firstLineChars="246"/>
        <w:jc w:val="center"/>
        <w:rPr>
          <w:rFonts w:ascii="仿宋" w:hAnsi="仿宋"/>
          <w:b/>
          <w:color w:val="auto"/>
          <w:sz w:val="32"/>
          <w:highlight w:val="none"/>
        </w:rPr>
      </w:pPr>
      <w:r>
        <w:rPr>
          <w:rFonts w:hint="eastAsia" w:ascii="仿宋" w:hAnsi="仿宋"/>
          <w:b/>
          <w:color w:val="auto"/>
          <w:sz w:val="32"/>
          <w:highlight w:val="none"/>
        </w:rPr>
        <w:t>投标时间</w:t>
      </w:r>
      <w:r>
        <w:rPr>
          <w:rFonts w:ascii="仿宋" w:hAnsi="仿宋"/>
          <w:b/>
          <w:color w:val="auto"/>
          <w:sz w:val="32"/>
          <w:highlight w:val="none"/>
        </w:rPr>
        <w:t>：</w:t>
      </w:r>
      <w:r>
        <w:rPr>
          <w:rFonts w:hint="eastAsia" w:ascii="仿宋" w:hAnsi="仿宋"/>
          <w:b/>
          <w:color w:val="auto"/>
          <w:sz w:val="32"/>
          <w:highlight w:val="none"/>
        </w:rPr>
        <w:t>20XX年XX</w:t>
      </w:r>
      <w:r>
        <w:rPr>
          <w:rFonts w:ascii="仿宋" w:hAnsi="仿宋"/>
          <w:b/>
          <w:color w:val="auto"/>
          <w:sz w:val="32"/>
          <w:highlight w:val="none"/>
        </w:rPr>
        <w:t>月</w:t>
      </w:r>
      <w:r>
        <w:rPr>
          <w:rFonts w:hint="eastAsia" w:ascii="仿宋" w:hAnsi="仿宋"/>
          <w:b/>
          <w:color w:val="auto"/>
          <w:sz w:val="32"/>
          <w:highlight w:val="none"/>
        </w:rPr>
        <w:t>XX</w:t>
      </w:r>
      <w:r>
        <w:rPr>
          <w:rFonts w:ascii="仿宋" w:hAnsi="仿宋"/>
          <w:b/>
          <w:color w:val="auto"/>
          <w:sz w:val="32"/>
          <w:highlight w:val="none"/>
        </w:rPr>
        <w:t>日</w:t>
      </w:r>
    </w:p>
    <w:p>
      <w:pPr>
        <w:rPr>
          <w:rFonts w:ascii="仿宋" w:hAnsi="仿宋"/>
          <w:b/>
          <w:color w:val="auto"/>
          <w:sz w:val="32"/>
          <w:highlight w:val="none"/>
        </w:rPr>
      </w:pPr>
      <w:r>
        <w:rPr>
          <w:rFonts w:ascii="仿宋" w:hAnsi="仿宋"/>
          <w:b/>
          <w:color w:val="auto"/>
          <w:sz w:val="32"/>
          <w:highlight w:val="none"/>
        </w:rPr>
        <w:br w:type="page"/>
      </w:r>
    </w:p>
    <w:p>
      <w:pPr>
        <w:outlineLvl w:val="1"/>
        <w:rPr>
          <w:rFonts w:ascii="仿宋" w:hAnsi="仿宋"/>
          <w:b/>
          <w:color w:val="auto"/>
          <w:sz w:val="32"/>
          <w:szCs w:val="32"/>
          <w:highlight w:val="none"/>
        </w:rPr>
      </w:pPr>
      <w:r>
        <w:rPr>
          <w:rFonts w:hint="eastAsia" w:ascii="仿宋" w:hAnsi="仿宋"/>
          <w:b/>
          <w:color w:val="auto"/>
          <w:sz w:val="32"/>
          <w:szCs w:val="32"/>
          <w:highlight w:val="none"/>
        </w:rPr>
        <w:t>资格性投标文件一：</w:t>
      </w:r>
    </w:p>
    <w:p>
      <w:pPr>
        <w:outlineLvl w:val="1"/>
        <w:rPr>
          <w:rFonts w:ascii="仿宋" w:hAnsi="仿宋"/>
          <w:b/>
          <w:color w:val="auto"/>
          <w:sz w:val="32"/>
          <w:szCs w:val="32"/>
          <w:highlight w:val="none"/>
        </w:rPr>
      </w:pPr>
      <w:r>
        <w:rPr>
          <w:rFonts w:hint="eastAsia" w:ascii="仿宋" w:hAnsi="仿宋"/>
          <w:b/>
          <w:color w:val="auto"/>
          <w:sz w:val="32"/>
          <w:szCs w:val="32"/>
          <w:highlight w:val="none"/>
        </w:rPr>
        <w:t>满足《中华人民共和国政府采购法》第二十二条规定的证明材料</w:t>
      </w:r>
    </w:p>
    <w:p>
      <w:pPr>
        <w:pStyle w:val="5"/>
        <w:spacing w:before="0" w:after="0"/>
        <w:rPr>
          <w:rFonts w:ascii="仿宋" w:hAnsi="仿宋" w:cs="仿宋"/>
          <w:color w:val="auto"/>
          <w:highlight w:val="none"/>
        </w:rPr>
      </w:pPr>
      <w:r>
        <w:rPr>
          <w:rFonts w:hint="eastAsia" w:ascii="仿宋" w:hAnsi="仿宋" w:cs="仿宋"/>
          <w:color w:val="auto"/>
          <w:highlight w:val="none"/>
        </w:rPr>
        <w:t>格式1-2 具有独立承担民事责任的能力的证明材料</w:t>
      </w:r>
    </w:p>
    <w:p>
      <w:pPr>
        <w:rPr>
          <w:rFonts w:ascii="仿宋" w:hAnsi="仿宋"/>
          <w:color w:val="auto"/>
          <w:highlight w:val="none"/>
        </w:rPr>
      </w:pPr>
    </w:p>
    <w:p>
      <w:pPr>
        <w:rPr>
          <w:rFonts w:ascii="仿宋" w:hAnsi="仿宋"/>
          <w:b/>
          <w:color w:val="auto"/>
          <w:sz w:val="32"/>
          <w:szCs w:val="32"/>
          <w:highlight w:val="none"/>
        </w:rPr>
      </w:pPr>
      <w:r>
        <w:rPr>
          <w:rFonts w:hint="eastAsia" w:ascii="仿宋" w:hAnsi="仿宋"/>
          <w:color w:val="auto"/>
          <w:highlight w:val="none"/>
        </w:rPr>
        <w:t>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Pr>
          <w:rFonts w:hint="eastAsia" w:ascii="仿宋" w:hAnsi="仿宋"/>
          <w:b/>
          <w:color w:val="auto"/>
          <w:sz w:val="32"/>
          <w:szCs w:val="32"/>
          <w:highlight w:val="none"/>
        </w:rPr>
        <w:br w:type="page"/>
      </w:r>
    </w:p>
    <w:p>
      <w:pPr>
        <w:pStyle w:val="5"/>
        <w:spacing w:before="0" w:after="0"/>
        <w:rPr>
          <w:color w:val="auto"/>
          <w:highlight w:val="none"/>
        </w:rPr>
      </w:pPr>
      <w:r>
        <w:rPr>
          <w:rFonts w:hint="eastAsia" w:ascii="仿宋" w:hAnsi="仿宋" w:cs="仿宋"/>
          <w:color w:val="auto"/>
          <w:highlight w:val="none"/>
        </w:rPr>
        <w:t xml:space="preserve">格式1-3 </w:t>
      </w:r>
      <w:r>
        <w:rPr>
          <w:rFonts w:hint="eastAsia"/>
          <w:color w:val="auto"/>
          <w:highlight w:val="none"/>
        </w:rPr>
        <w:t>承诺函</w:t>
      </w:r>
    </w:p>
    <w:p>
      <w:pPr>
        <w:widowControl/>
        <w:spacing w:line="360" w:lineRule="atLeast"/>
        <w:jc w:val="center"/>
        <w:rPr>
          <w:rFonts w:ascii="仿宋" w:hAnsi="仿宋"/>
          <w:b/>
          <w:color w:val="auto"/>
          <w:highlight w:val="none"/>
        </w:rPr>
      </w:pPr>
      <w:r>
        <w:rPr>
          <w:rFonts w:hint="eastAsia" w:ascii="仿宋" w:hAnsi="仿宋" w:cs="仿宋"/>
          <w:b/>
          <w:bCs/>
          <w:color w:val="auto"/>
          <w:sz w:val="32"/>
          <w:szCs w:val="32"/>
          <w:highlight w:val="none"/>
        </w:rPr>
        <w:t>承 诺 函</w:t>
      </w:r>
    </w:p>
    <w:p>
      <w:pPr>
        <w:widowControl/>
        <w:spacing w:line="360" w:lineRule="atLeast"/>
        <w:rPr>
          <w:rFonts w:ascii="仿宋" w:hAnsi="仿宋"/>
          <w:color w:val="auto"/>
          <w:highlight w:val="none"/>
        </w:rPr>
      </w:pPr>
      <w:r>
        <w:rPr>
          <w:rFonts w:hint="eastAsia" w:ascii="仿宋" w:hAnsi="仿宋"/>
          <w:color w:val="auto"/>
          <w:highlight w:val="none"/>
        </w:rPr>
        <w:t>XXXX（采购代理机构名称）：</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我单位作为本次采购项目的投标人，根据招标文件要求，现郑重承诺如下：</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具备《中华人民共和国政府采购法》第二十二条第一款和本项目规定的条件：</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（一）具有独立承担民事责任的能力；</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（二）具有良好的商业信誉和健全的财务会计制度；</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（三）具有履行合同所必需的设备和专业技术能力；</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（四）有依法缴纳税收和社会保障资金的良好记录；</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（五）参加政府采购活动前三年内，在经营活动中没有重大违法记录；</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（六）法律、行政法规规定的其他条件；</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（七）根据采购项目提出的特殊条件</w:t>
      </w:r>
      <w:r>
        <w:rPr>
          <w:rFonts w:ascii="仿宋" w:hAnsi="仿宋"/>
          <w:color w:val="auto"/>
          <w:highlight w:val="none"/>
        </w:rPr>
        <w:t>。</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投标人名称（电子印章）：XXXX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日    期：20XX年XX月XX日。</w:t>
      </w:r>
    </w:p>
    <w:p>
      <w:pPr>
        <w:pStyle w:val="18"/>
        <w:ind w:left="0" w:leftChars="0"/>
        <w:rPr>
          <w:rFonts w:ascii="仿宋" w:hAnsi="仿宋"/>
          <w:color w:val="auto"/>
          <w:highlight w:val="none"/>
        </w:rPr>
      </w:pPr>
    </w:p>
    <w:p>
      <w:pPr>
        <w:pStyle w:val="18"/>
        <w:spacing w:line="360" w:lineRule="auto"/>
        <w:ind w:left="0" w:leftChars="0"/>
        <w:rPr>
          <w:rFonts w:ascii="仿宋" w:hAnsi="仿宋"/>
          <w:color w:val="auto"/>
          <w:highlight w:val="none"/>
        </w:rPr>
      </w:pPr>
      <w:r>
        <w:rPr>
          <w:rFonts w:hint="eastAsia" w:ascii="仿宋" w:hAnsi="仿宋"/>
          <w:color w:val="auto"/>
          <w:highlight w:val="none"/>
        </w:rPr>
        <w:t>注：</w:t>
      </w:r>
    </w:p>
    <w:p>
      <w:pPr>
        <w:pStyle w:val="18"/>
        <w:spacing w:line="360" w:lineRule="auto"/>
        <w:ind w:left="0" w:leftChars="0"/>
        <w:rPr>
          <w:rFonts w:ascii="仿宋" w:hAnsi="仿宋"/>
          <w:color w:val="auto"/>
          <w:highlight w:val="none"/>
        </w:rPr>
      </w:pPr>
      <w:r>
        <w:rPr>
          <w:rFonts w:hint="eastAsia" w:ascii="仿宋" w:hAnsi="仿宋"/>
          <w:color w:val="auto"/>
          <w:highlight w:val="none"/>
        </w:rPr>
        <w:t>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18"/>
        <w:spacing w:line="360" w:lineRule="auto"/>
        <w:ind w:left="0" w:leftChars="0"/>
        <w:rPr>
          <w:rFonts w:ascii="仿宋" w:hAnsi="仿宋"/>
          <w:color w:val="auto"/>
          <w:highlight w:val="none"/>
        </w:rPr>
      </w:pPr>
      <w:r>
        <w:rPr>
          <w:rFonts w:hint="eastAsia" w:ascii="仿宋" w:hAnsi="仿宋"/>
          <w:color w:val="auto"/>
          <w:highlight w:val="none"/>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color w:val="auto"/>
          <w:highlight w:val="none"/>
        </w:rPr>
      </w:pPr>
      <w:r>
        <w:rPr>
          <w:rFonts w:hint="eastAsia" w:ascii="仿宋" w:hAnsi="仿宋"/>
          <w:color w:val="auto"/>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格式1-4 具备健全的财务会计制度的证明材料</w:t>
      </w:r>
    </w:p>
    <w:p>
      <w:pPr>
        <w:rPr>
          <w:rFonts w:ascii="仿宋" w:hAnsi="仿宋"/>
          <w:color w:val="auto"/>
          <w:highlight w:val="none"/>
        </w:rPr>
      </w:pPr>
    </w:p>
    <w:p>
      <w:pPr>
        <w:rPr>
          <w:rFonts w:ascii="仿宋" w:hAnsi="仿宋"/>
          <w:b/>
          <w:color w:val="auto"/>
          <w:sz w:val="32"/>
          <w:szCs w:val="32"/>
          <w:highlight w:val="none"/>
        </w:rPr>
      </w:pPr>
      <w:r>
        <w:rPr>
          <w:rFonts w:hint="eastAsia" w:ascii="仿宋" w:hAnsi="仿宋"/>
          <w:color w:val="auto"/>
          <w:highlight w:val="none"/>
        </w:rPr>
        <w:t>注：①可提供20</w:t>
      </w:r>
      <w:r>
        <w:rPr>
          <w:rFonts w:ascii="仿宋" w:hAnsi="仿宋"/>
          <w:color w:val="auto"/>
          <w:highlight w:val="none"/>
        </w:rPr>
        <w:t>19</w:t>
      </w:r>
      <w:r>
        <w:rPr>
          <w:rFonts w:hint="eastAsia" w:ascii="仿宋" w:hAnsi="仿宋"/>
          <w:color w:val="auto"/>
          <w:highlight w:val="none"/>
        </w:rPr>
        <w:t>或20</w:t>
      </w:r>
      <w:r>
        <w:rPr>
          <w:rFonts w:ascii="仿宋" w:hAnsi="仿宋"/>
          <w:color w:val="auto"/>
          <w:highlight w:val="none"/>
        </w:rPr>
        <w:t>20</w:t>
      </w:r>
      <w:r>
        <w:rPr>
          <w:rFonts w:hint="eastAsia" w:ascii="仿宋" w:hAnsi="仿宋"/>
          <w:color w:val="auto"/>
          <w:highlight w:val="none"/>
        </w:rPr>
        <w:t>年度经审计的财务报告复印件（包含审计报告和审计报告中所涉及的财务报表和报表附注），②也可提供20</w:t>
      </w:r>
      <w:r>
        <w:rPr>
          <w:rFonts w:ascii="仿宋" w:hAnsi="仿宋"/>
          <w:color w:val="auto"/>
          <w:highlight w:val="none"/>
        </w:rPr>
        <w:t>19</w:t>
      </w:r>
      <w:r>
        <w:rPr>
          <w:rFonts w:hint="eastAsia" w:ascii="仿宋" w:hAnsi="仿宋"/>
          <w:color w:val="auto"/>
          <w:highlight w:val="none"/>
        </w:rPr>
        <w:t>或20</w:t>
      </w:r>
      <w:r>
        <w:rPr>
          <w:rFonts w:ascii="仿宋" w:hAnsi="仿宋"/>
          <w:color w:val="auto"/>
          <w:highlight w:val="none"/>
        </w:rPr>
        <w:t>20</w:t>
      </w:r>
      <w:r>
        <w:rPr>
          <w:rFonts w:hint="eastAsia" w:ascii="仿宋" w:hAnsi="仿宋"/>
          <w:color w:val="auto"/>
          <w:highlight w:val="none"/>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color w:val="auto"/>
          <w:highlight w:val="none"/>
        </w:rPr>
        <w:t>部门印章</w:t>
      </w:r>
      <w:r>
        <w:rPr>
          <w:rFonts w:hint="eastAsia" w:ascii="仿宋" w:hAnsi="仿宋"/>
          <w:color w:val="auto"/>
          <w:highlight w:val="none"/>
        </w:rPr>
        <w:t>的公司章程复印件。</w:t>
      </w:r>
      <w:r>
        <w:rPr>
          <w:rFonts w:hint="eastAsia" w:ascii="仿宋" w:hAnsi="仿宋"/>
          <w:b/>
          <w:color w:val="auto"/>
          <w:sz w:val="32"/>
          <w:szCs w:val="32"/>
          <w:highlight w:val="none"/>
        </w:rPr>
        <w:br w:type="page"/>
      </w:r>
    </w:p>
    <w:p>
      <w:pPr>
        <w:outlineLvl w:val="1"/>
        <w:rPr>
          <w:rFonts w:ascii="仿宋" w:hAnsi="仿宋"/>
          <w:b/>
          <w:color w:val="auto"/>
          <w:sz w:val="32"/>
          <w:szCs w:val="32"/>
          <w:highlight w:val="none"/>
        </w:rPr>
      </w:pPr>
      <w:r>
        <w:rPr>
          <w:rFonts w:hint="eastAsia" w:ascii="仿宋" w:hAnsi="仿宋"/>
          <w:b/>
          <w:color w:val="auto"/>
          <w:sz w:val="32"/>
          <w:szCs w:val="32"/>
          <w:highlight w:val="none"/>
        </w:rPr>
        <w:t>资格性投标文件二：</w:t>
      </w:r>
    </w:p>
    <w:p>
      <w:pPr>
        <w:widowControl/>
        <w:spacing w:line="360" w:lineRule="atLeast"/>
        <w:jc w:val="both"/>
        <w:outlineLvl w:val="1"/>
        <w:rPr>
          <w:rFonts w:ascii="仿宋" w:hAnsi="仿宋"/>
          <w:b/>
          <w:color w:val="auto"/>
          <w:sz w:val="32"/>
          <w:szCs w:val="32"/>
          <w:highlight w:val="none"/>
        </w:rPr>
      </w:pPr>
      <w:r>
        <w:rPr>
          <w:rFonts w:hint="eastAsia" w:ascii="仿宋" w:hAnsi="仿宋"/>
          <w:b/>
          <w:color w:val="auto"/>
          <w:sz w:val="32"/>
          <w:szCs w:val="32"/>
          <w:highlight w:val="none"/>
        </w:rPr>
        <w:t>落实政府采购政策需满足的资格要求的证明材料（如涉及）</w:t>
      </w:r>
    </w:p>
    <w:p>
      <w:pPr>
        <w:pStyle w:val="5"/>
        <w:spacing w:before="0" w:after="0"/>
        <w:rPr>
          <w:rFonts w:ascii="仿宋" w:hAnsi="仿宋" w:cs="仿宋"/>
          <w:color w:val="auto"/>
          <w:highlight w:val="none"/>
        </w:rPr>
      </w:pPr>
      <w:r>
        <w:rPr>
          <w:rFonts w:hint="eastAsia" w:ascii="仿宋" w:hAnsi="仿宋" w:cs="仿宋"/>
          <w:color w:val="auto"/>
          <w:highlight w:val="none"/>
        </w:rPr>
        <w:t>格式1-5 中小企业声明函</w:t>
      </w:r>
    </w:p>
    <w:p>
      <w:pPr>
        <w:autoSpaceDE w:val="0"/>
        <w:autoSpaceDN w:val="0"/>
        <w:ind w:firstLine="643" w:firstLineChars="200"/>
        <w:jc w:val="center"/>
        <w:rPr>
          <w:rFonts w:ascii="仿宋" w:hAnsi="仿宋" w:cs="仿宋"/>
          <w:b/>
          <w:bCs/>
          <w:color w:val="auto"/>
          <w:sz w:val="32"/>
          <w:szCs w:val="32"/>
          <w:highlight w:val="none"/>
        </w:rPr>
      </w:pPr>
      <w:bookmarkStart w:id="136" w:name="_Toc14002"/>
      <w:r>
        <w:rPr>
          <w:rFonts w:hint="eastAsia" w:ascii="仿宋" w:hAnsi="仿宋" w:cs="仿宋"/>
          <w:b/>
          <w:bCs/>
          <w:color w:val="auto"/>
          <w:sz w:val="32"/>
          <w:szCs w:val="32"/>
          <w:highlight w:val="none"/>
        </w:rPr>
        <w:t>中小企业声明函（服务）</w:t>
      </w:r>
      <w:bookmarkEnd w:id="136"/>
    </w:p>
    <w:p>
      <w:pPr>
        <w:rPr>
          <w:rFonts w:asciiTheme="minorEastAsia" w:hAnsiTheme="minorEastAsia"/>
          <w:b/>
          <w:color w:val="auto"/>
          <w:szCs w:val="21"/>
          <w:highlight w:val="none"/>
        </w:rPr>
      </w:pPr>
    </w:p>
    <w:p>
      <w:pPr>
        <w:autoSpaceDE w:val="0"/>
        <w:autoSpaceDN w:val="0"/>
        <w:ind w:firstLine="480" w:firstLineChars="200"/>
        <w:rPr>
          <w:rFonts w:ascii="仿宋" w:hAnsi="仿宋" w:cs="仿宋"/>
          <w:color w:val="auto"/>
          <w:highlight w:val="none"/>
        </w:rPr>
      </w:pPr>
      <w:r>
        <w:rPr>
          <w:rFonts w:hint="eastAsia" w:ascii="仿宋" w:hAnsi="仿宋" w:cs="仿宋"/>
          <w:color w:val="auto"/>
          <w:highlight w:val="none"/>
        </w:rPr>
        <w:t xml:space="preserve">本公司（联合体）郑重声明，根据《政府采购促进中小企业发展管理办法》（财库〔2020〕46 号），本公司（联合体）参加 </w:t>
      </w:r>
      <w:r>
        <w:rPr>
          <w:rFonts w:hint="eastAsia" w:ascii="仿宋" w:hAnsi="仿宋" w:cs="仿宋"/>
          <w:color w:val="auto"/>
          <w:highlight w:val="none"/>
          <w:u w:val="single"/>
        </w:rPr>
        <w:t xml:space="preserve">（单位名称） </w:t>
      </w:r>
      <w:r>
        <w:rPr>
          <w:rFonts w:hint="eastAsia" w:ascii="仿宋" w:hAnsi="仿宋" w:cs="仿宋"/>
          <w:color w:val="auto"/>
          <w:highlight w:val="none"/>
        </w:rPr>
        <w:t xml:space="preserve">的 </w:t>
      </w:r>
      <w:r>
        <w:rPr>
          <w:rFonts w:hint="eastAsia" w:ascii="仿宋" w:hAnsi="仿宋" w:cs="仿宋"/>
          <w:color w:val="auto"/>
          <w:highlight w:val="none"/>
          <w:u w:val="single"/>
        </w:rPr>
        <w:t xml:space="preserve">（项目名称） </w:t>
      </w:r>
      <w:r>
        <w:rPr>
          <w:rFonts w:hint="eastAsia" w:ascii="仿宋" w:hAnsi="仿宋" w:cs="仿宋"/>
          <w:color w:val="auto"/>
          <w:highlight w:val="none"/>
        </w:rPr>
        <w:t>采购活动，服务全部由符合政策要求的中小企业承接。相关企业（含联合体中的中小企业、签订分包意向协议的中小企业）的具体情况如下：</w:t>
      </w:r>
      <w:r>
        <w:rPr>
          <w:rFonts w:hint="eastAsia" w:ascii="仿宋" w:hAnsi="仿宋" w:cs="仿宋"/>
          <w:color w:val="auto"/>
          <w:highlight w:val="none"/>
        </w:rPr>
        <w:br w:type="textWrapping"/>
      </w:r>
      <w:r>
        <w:rPr>
          <w:rFonts w:hint="eastAsia" w:ascii="仿宋" w:hAnsi="仿宋" w:cs="仿宋"/>
          <w:color w:val="auto"/>
          <w:highlight w:val="none"/>
        </w:rPr>
        <w:t xml:space="preserve">　　1. </w:t>
      </w:r>
      <w:r>
        <w:rPr>
          <w:rFonts w:hint="eastAsia" w:ascii="仿宋" w:hAnsi="仿宋" w:cs="仿宋"/>
          <w:color w:val="auto"/>
          <w:highlight w:val="none"/>
          <w:u w:val="single"/>
        </w:rPr>
        <w:t xml:space="preserve">（标的名称） </w:t>
      </w:r>
      <w:r>
        <w:rPr>
          <w:rFonts w:hint="eastAsia" w:ascii="仿宋" w:hAnsi="仿宋" w:cs="仿宋"/>
          <w:color w:val="auto"/>
          <w:highlight w:val="none"/>
        </w:rPr>
        <w:t>，属于</w:t>
      </w:r>
      <w:r>
        <w:rPr>
          <w:rFonts w:hint="eastAsia" w:ascii="仿宋" w:hAnsi="仿宋" w:cs="仿宋"/>
          <w:color w:val="auto"/>
          <w:highlight w:val="none"/>
          <w:u w:val="single"/>
        </w:rPr>
        <w:t xml:space="preserve"> （采购文件中明确的所属行业）行业 </w:t>
      </w:r>
      <w:r>
        <w:rPr>
          <w:rFonts w:hint="eastAsia" w:ascii="仿宋" w:hAnsi="仿宋" w:cs="仿宋"/>
          <w:color w:val="auto"/>
          <w:highlight w:val="none"/>
        </w:rPr>
        <w:t>；承接企业为</w:t>
      </w:r>
      <w:r>
        <w:rPr>
          <w:rFonts w:hint="eastAsia" w:ascii="仿宋" w:hAnsi="仿宋" w:cs="仿宋"/>
          <w:color w:val="auto"/>
          <w:highlight w:val="none"/>
          <w:u w:val="single"/>
        </w:rPr>
        <w:t xml:space="preserve"> （企业名称） </w:t>
      </w:r>
      <w:r>
        <w:rPr>
          <w:rFonts w:hint="eastAsia" w:ascii="仿宋" w:hAnsi="仿宋" w:cs="仿宋"/>
          <w:color w:val="auto"/>
          <w:highlight w:val="none"/>
        </w:rPr>
        <w:t>，从业人员</w:t>
      </w:r>
      <w:r>
        <w:rPr>
          <w:rFonts w:hint="eastAsia" w:ascii="仿宋" w:hAnsi="仿宋" w:cs="仿宋"/>
          <w:color w:val="auto"/>
          <w:highlight w:val="none"/>
          <w:u w:val="single"/>
        </w:rPr>
        <w:t xml:space="preserve">   </w:t>
      </w:r>
      <w:r>
        <w:rPr>
          <w:rFonts w:hint="eastAsia" w:ascii="仿宋" w:hAnsi="仿宋" w:cs="仿宋"/>
          <w:color w:val="auto"/>
          <w:highlight w:val="none"/>
        </w:rPr>
        <w:t>人，营业收入为</w:t>
      </w:r>
      <w:r>
        <w:rPr>
          <w:rFonts w:hint="eastAsia" w:ascii="仿宋" w:hAnsi="仿宋" w:cs="仿宋"/>
          <w:color w:val="auto"/>
          <w:highlight w:val="none"/>
          <w:u w:val="single"/>
        </w:rPr>
        <w:t xml:space="preserve">    </w:t>
      </w:r>
      <w:r>
        <w:rPr>
          <w:rFonts w:hint="eastAsia" w:ascii="仿宋" w:hAnsi="仿宋" w:cs="仿宋"/>
          <w:color w:val="auto"/>
          <w:highlight w:val="none"/>
        </w:rPr>
        <w:t>万元，资产总额为</w:t>
      </w:r>
      <w:r>
        <w:rPr>
          <w:rFonts w:hint="eastAsia" w:ascii="仿宋" w:hAnsi="仿宋" w:cs="仿宋"/>
          <w:color w:val="auto"/>
          <w:highlight w:val="none"/>
          <w:u w:val="single"/>
        </w:rPr>
        <w:t xml:space="preserve">   </w:t>
      </w:r>
      <w:r>
        <w:rPr>
          <w:rFonts w:hint="eastAsia" w:ascii="仿宋" w:hAnsi="仿宋" w:cs="仿宋"/>
          <w:color w:val="auto"/>
          <w:highlight w:val="none"/>
        </w:rPr>
        <w:t>万元</w:t>
      </w:r>
      <w:r>
        <w:rPr>
          <w:rFonts w:hint="eastAsia" w:ascii="仿宋" w:hAnsi="仿宋" w:cs="仿宋"/>
          <w:color w:val="auto"/>
          <w:highlight w:val="none"/>
          <w:vertAlign w:val="superscript"/>
        </w:rPr>
        <w:t>1</w:t>
      </w:r>
      <w:r>
        <w:rPr>
          <w:rFonts w:hint="eastAsia" w:ascii="仿宋" w:hAnsi="仿宋" w:cs="仿宋"/>
          <w:color w:val="auto"/>
          <w:highlight w:val="none"/>
        </w:rPr>
        <w:t>，属于</w:t>
      </w:r>
      <w:r>
        <w:rPr>
          <w:rFonts w:hint="eastAsia" w:ascii="仿宋" w:hAnsi="仿宋" w:cs="仿宋"/>
          <w:color w:val="auto"/>
          <w:highlight w:val="none"/>
          <w:u w:val="single"/>
        </w:rPr>
        <w:t xml:space="preserve"> （中型企业、小型企业、微型企业）</w:t>
      </w:r>
      <w:r>
        <w:rPr>
          <w:rFonts w:hint="eastAsia" w:ascii="仿宋" w:hAnsi="仿宋" w:cs="仿宋"/>
          <w:color w:val="auto"/>
          <w:highlight w:val="none"/>
        </w:rPr>
        <w:t>；</w:t>
      </w:r>
    </w:p>
    <w:p>
      <w:pPr>
        <w:autoSpaceDE w:val="0"/>
        <w:autoSpaceDN w:val="0"/>
        <w:ind w:firstLine="600" w:firstLineChars="250"/>
        <w:rPr>
          <w:rFonts w:ascii="仿宋" w:hAnsi="仿宋" w:cs="仿宋"/>
          <w:color w:val="auto"/>
          <w:highlight w:val="none"/>
        </w:rPr>
      </w:pPr>
      <w:r>
        <w:rPr>
          <w:rFonts w:hint="eastAsia" w:ascii="仿宋" w:hAnsi="仿宋" w:cs="仿宋"/>
          <w:color w:val="auto"/>
          <w:highlight w:val="none"/>
        </w:rPr>
        <w:t>2.</w:t>
      </w:r>
      <w:r>
        <w:rPr>
          <w:rFonts w:hint="eastAsia" w:ascii="仿宋" w:hAnsi="仿宋" w:cs="仿宋"/>
          <w:color w:val="auto"/>
          <w:highlight w:val="none"/>
          <w:u w:val="single"/>
        </w:rPr>
        <w:t xml:space="preserve"> （标的名称） </w:t>
      </w:r>
      <w:r>
        <w:rPr>
          <w:rFonts w:hint="eastAsia" w:ascii="仿宋" w:hAnsi="仿宋" w:cs="仿宋"/>
          <w:color w:val="auto"/>
          <w:highlight w:val="none"/>
        </w:rPr>
        <w:t>，属于</w:t>
      </w:r>
      <w:r>
        <w:rPr>
          <w:rFonts w:hint="eastAsia" w:ascii="仿宋" w:hAnsi="仿宋" w:cs="仿宋"/>
          <w:color w:val="auto"/>
          <w:highlight w:val="none"/>
          <w:u w:val="single"/>
        </w:rPr>
        <w:t xml:space="preserve"> （采购文件中明确的所属行业）行业 </w:t>
      </w:r>
      <w:r>
        <w:rPr>
          <w:rFonts w:hint="eastAsia" w:ascii="仿宋" w:hAnsi="仿宋" w:cs="仿宋"/>
          <w:color w:val="auto"/>
          <w:highlight w:val="none"/>
        </w:rPr>
        <w:t>；承接企业为</w:t>
      </w:r>
      <w:r>
        <w:rPr>
          <w:rFonts w:hint="eastAsia" w:ascii="仿宋" w:hAnsi="仿宋" w:cs="仿宋"/>
          <w:color w:val="auto"/>
          <w:highlight w:val="none"/>
          <w:u w:val="single"/>
        </w:rPr>
        <w:t xml:space="preserve"> （企业名称） </w:t>
      </w:r>
      <w:r>
        <w:rPr>
          <w:rFonts w:hint="eastAsia" w:ascii="仿宋" w:hAnsi="仿宋" w:cs="仿宋"/>
          <w:color w:val="auto"/>
          <w:highlight w:val="none"/>
        </w:rPr>
        <w:t>，从业人员</w:t>
      </w:r>
      <w:r>
        <w:rPr>
          <w:rFonts w:hint="eastAsia" w:ascii="仿宋" w:hAnsi="仿宋" w:cs="仿宋"/>
          <w:color w:val="auto"/>
          <w:highlight w:val="none"/>
          <w:u w:val="single"/>
        </w:rPr>
        <w:t xml:space="preserve">   </w:t>
      </w:r>
      <w:r>
        <w:rPr>
          <w:rFonts w:hint="eastAsia" w:ascii="仿宋" w:hAnsi="仿宋" w:cs="仿宋"/>
          <w:color w:val="auto"/>
          <w:highlight w:val="none"/>
        </w:rPr>
        <w:t>人，营业收入为</w:t>
      </w:r>
      <w:r>
        <w:rPr>
          <w:rFonts w:hint="eastAsia" w:ascii="仿宋" w:hAnsi="仿宋" w:cs="仿宋"/>
          <w:color w:val="auto"/>
          <w:highlight w:val="none"/>
          <w:u w:val="single"/>
        </w:rPr>
        <w:t xml:space="preserve">    </w:t>
      </w:r>
      <w:r>
        <w:rPr>
          <w:rFonts w:hint="eastAsia" w:ascii="仿宋" w:hAnsi="仿宋" w:cs="仿宋"/>
          <w:color w:val="auto"/>
          <w:highlight w:val="none"/>
        </w:rPr>
        <w:t>万元，资产总额为</w:t>
      </w:r>
      <w:r>
        <w:rPr>
          <w:rFonts w:hint="eastAsia" w:ascii="仿宋" w:hAnsi="仿宋" w:cs="仿宋"/>
          <w:color w:val="auto"/>
          <w:highlight w:val="none"/>
          <w:u w:val="single"/>
        </w:rPr>
        <w:t xml:space="preserve">   </w:t>
      </w:r>
      <w:r>
        <w:rPr>
          <w:rFonts w:hint="eastAsia" w:ascii="仿宋" w:hAnsi="仿宋" w:cs="仿宋"/>
          <w:color w:val="auto"/>
          <w:highlight w:val="none"/>
        </w:rPr>
        <w:t>万元，属于</w:t>
      </w:r>
      <w:r>
        <w:rPr>
          <w:rFonts w:hint="eastAsia" w:ascii="仿宋" w:hAnsi="仿宋" w:cs="仿宋"/>
          <w:color w:val="auto"/>
          <w:highlight w:val="none"/>
          <w:u w:val="single"/>
        </w:rPr>
        <w:t xml:space="preserve"> （中型企业、小型企业、微型企业）</w:t>
      </w:r>
      <w:r>
        <w:rPr>
          <w:rFonts w:hint="eastAsia" w:ascii="仿宋" w:hAnsi="仿宋" w:cs="仿宋"/>
          <w:color w:val="auto"/>
          <w:highlight w:val="none"/>
        </w:rPr>
        <w:t>；</w:t>
      </w:r>
    </w:p>
    <w:p>
      <w:pPr>
        <w:autoSpaceDE w:val="0"/>
        <w:autoSpaceDN w:val="0"/>
        <w:ind w:firstLine="600" w:firstLineChars="250"/>
        <w:rPr>
          <w:rFonts w:ascii="仿宋" w:hAnsi="仿宋" w:cs="仿宋"/>
          <w:color w:val="auto"/>
          <w:highlight w:val="none"/>
        </w:rPr>
      </w:pPr>
      <w:r>
        <w:rPr>
          <w:rFonts w:hint="eastAsia" w:ascii="仿宋" w:hAnsi="仿宋" w:cs="仿宋"/>
          <w:color w:val="auto"/>
          <w:highlight w:val="none"/>
        </w:rPr>
        <w:t>……</w:t>
      </w:r>
    </w:p>
    <w:p>
      <w:pPr>
        <w:autoSpaceDE w:val="0"/>
        <w:autoSpaceDN w:val="0"/>
        <w:ind w:firstLine="600" w:firstLineChars="250"/>
        <w:rPr>
          <w:rFonts w:ascii="仿宋" w:hAnsi="仿宋" w:cs="仿宋"/>
          <w:color w:val="auto"/>
          <w:highlight w:val="none"/>
        </w:rPr>
      </w:pPr>
      <w:r>
        <w:rPr>
          <w:rFonts w:hint="eastAsia" w:ascii="仿宋" w:hAnsi="仿宋" w:cs="仿宋"/>
          <w:color w:val="auto"/>
          <w:highlight w:val="none"/>
        </w:rPr>
        <w:t>以上企业，不属于大企业的分支机构，不存在控股股东为大企业的情形，也不存在与大企业的负责人为同一人的情形。</w:t>
      </w:r>
    </w:p>
    <w:p>
      <w:pPr>
        <w:autoSpaceDE w:val="0"/>
        <w:autoSpaceDN w:val="0"/>
        <w:ind w:firstLine="600" w:firstLineChars="250"/>
        <w:rPr>
          <w:rFonts w:ascii="仿宋" w:hAnsi="仿宋" w:cs="仿宋"/>
          <w:color w:val="auto"/>
          <w:highlight w:val="none"/>
        </w:rPr>
      </w:pPr>
      <w:r>
        <w:rPr>
          <w:rFonts w:hint="eastAsia" w:ascii="仿宋" w:hAnsi="仿宋" w:cs="仿宋"/>
          <w:color w:val="auto"/>
          <w:highlight w:val="none"/>
        </w:rPr>
        <w:t>本企业对上述声明内容的真实性负责。如有虚假，将依法承担相应责任。</w:t>
      </w:r>
    </w:p>
    <w:p>
      <w:pPr>
        <w:ind w:firstLine="600" w:firstLineChars="250"/>
        <w:rPr>
          <w:rFonts w:ascii="仿宋" w:hAnsi="仿宋" w:cs="仿宋"/>
          <w:color w:val="auto"/>
          <w:highlight w:val="none"/>
        </w:rPr>
      </w:pPr>
    </w:p>
    <w:p>
      <w:pPr>
        <w:jc w:val="center"/>
        <w:rPr>
          <w:rFonts w:ascii="仿宋" w:hAnsi="仿宋" w:cs="仿宋"/>
          <w:color w:val="auto"/>
          <w:highlight w:val="none"/>
        </w:rPr>
      </w:pPr>
      <w:r>
        <w:rPr>
          <w:rFonts w:hint="eastAsia" w:ascii="仿宋" w:hAnsi="仿宋" w:cs="仿宋"/>
          <w:color w:val="auto"/>
          <w:highlight w:val="none"/>
        </w:rPr>
        <w:t xml:space="preserve">                企业名称</w:t>
      </w:r>
      <w:r>
        <w:rPr>
          <w:rFonts w:hint="eastAsia" w:ascii="仿宋" w:hAnsi="仿宋"/>
          <w:color w:val="auto"/>
          <w:highlight w:val="none"/>
        </w:rPr>
        <w:t>（电子印章）</w:t>
      </w:r>
      <w:r>
        <w:rPr>
          <w:rFonts w:hint="eastAsia" w:ascii="仿宋" w:hAnsi="仿宋" w:cs="仿宋"/>
          <w:color w:val="auto"/>
          <w:highlight w:val="none"/>
        </w:rPr>
        <w:t>：</w:t>
      </w:r>
    </w:p>
    <w:p>
      <w:pPr>
        <w:jc w:val="center"/>
        <w:rPr>
          <w:rFonts w:ascii="仿宋" w:hAnsi="仿宋" w:cs="仿宋"/>
          <w:color w:val="auto"/>
          <w:highlight w:val="none"/>
        </w:rPr>
      </w:pPr>
      <w:r>
        <w:rPr>
          <w:rFonts w:hint="eastAsia" w:ascii="仿宋" w:hAnsi="仿宋" w:cs="仿宋"/>
          <w:color w:val="auto"/>
          <w:highlight w:val="none"/>
        </w:rPr>
        <w:t xml:space="preserve">                        </w:t>
      </w:r>
      <w:r>
        <w:rPr>
          <w:rFonts w:hint="eastAsia" w:ascii="仿宋" w:hAnsi="仿宋"/>
          <w:color w:val="auto"/>
          <w:highlight w:val="none"/>
        </w:rPr>
        <w:t>日    期：20XX年XX月XX日</w:t>
      </w:r>
    </w:p>
    <w:p>
      <w:pPr>
        <w:rPr>
          <w:rFonts w:ascii="仿宋" w:hAnsi="仿宋" w:cs="仿宋"/>
          <w:color w:val="auto"/>
          <w:highlight w:val="none"/>
        </w:rPr>
      </w:pPr>
    </w:p>
    <w:p>
      <w:pPr>
        <w:rPr>
          <w:rFonts w:ascii="仿宋" w:hAnsi="仿宋" w:cs="仿宋"/>
          <w:color w:val="auto"/>
          <w:highlight w:val="none"/>
        </w:rPr>
      </w:pPr>
    </w:p>
    <w:p>
      <w:pPr>
        <w:rPr>
          <w:rFonts w:ascii="仿宋" w:hAnsi="仿宋" w:cs="仿宋"/>
          <w:color w:val="auto"/>
          <w:highlight w:val="none"/>
        </w:rPr>
      </w:pPr>
      <w:r>
        <w:rPr>
          <w:rFonts w:hint="eastAsia" w:ascii="仿宋" w:hAnsi="仿宋" w:cs="仿宋"/>
          <w:color w:val="auto"/>
          <w:highlight w:val="none"/>
          <w:vertAlign w:val="superscript"/>
        </w:rPr>
        <w:t>1</w:t>
      </w:r>
      <w:r>
        <w:rPr>
          <w:rFonts w:hint="eastAsia" w:ascii="仿宋" w:hAnsi="仿宋" w:cs="仿宋"/>
          <w:color w:val="auto"/>
          <w:highlight w:val="none"/>
        </w:rPr>
        <w:t>从业人员、营业收入、资产总额填报上一年度数据，无上一年度数据的新成立企业可不填报。</w:t>
      </w:r>
    </w:p>
    <w:p>
      <w:pPr>
        <w:pStyle w:val="5"/>
        <w:spacing w:before="0" w:after="0"/>
        <w:rPr>
          <w:rFonts w:ascii="仿宋" w:hAnsi="仿宋" w:cs="仿宋"/>
          <w:color w:val="auto"/>
          <w:highlight w:val="none"/>
        </w:rPr>
      </w:pPr>
      <w:r>
        <w:rPr>
          <w:rFonts w:hint="eastAsia" w:ascii="仿宋" w:hAnsi="仿宋" w:cs="仿宋"/>
          <w:color w:val="auto"/>
          <w:highlight w:val="none"/>
        </w:rPr>
        <w:t>格式1-6 残疾人福利性单位声明函</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残疾人福利性单位声明函</w:t>
      </w:r>
    </w:p>
    <w:p>
      <w:pPr>
        <w:spacing w:line="588" w:lineRule="exact"/>
        <w:ind w:firstLine="480" w:firstLineChars="200"/>
        <w:rPr>
          <w:rFonts w:ascii="仿宋" w:hAnsi="仿宋" w:cs="宋体"/>
          <w:color w:val="auto"/>
          <w:highlight w:val="none"/>
        </w:rPr>
      </w:pPr>
    </w:p>
    <w:p>
      <w:pPr>
        <w:spacing w:line="588" w:lineRule="exact"/>
        <w:ind w:firstLine="480" w:firstLineChars="200"/>
        <w:rPr>
          <w:rFonts w:ascii="仿宋" w:hAnsi="仿宋" w:cs="宋体"/>
          <w:color w:val="auto"/>
          <w:highlight w:val="none"/>
        </w:rPr>
      </w:pPr>
      <w:r>
        <w:rPr>
          <w:rFonts w:hint="eastAsia" w:ascii="仿宋" w:hAnsi="仿宋" w:cs="宋体"/>
          <w:color w:val="auto"/>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color w:val="auto"/>
          <w:highlight w:val="none"/>
          <w:u w:val="single"/>
        </w:rPr>
        <w:t>XXXX</w:t>
      </w:r>
      <w:r>
        <w:rPr>
          <w:rFonts w:hint="eastAsia" w:ascii="仿宋" w:hAnsi="仿宋" w:cs="宋体"/>
          <w:color w:val="auto"/>
          <w:highlight w:val="none"/>
        </w:rPr>
        <w:t>单位的</w:t>
      </w:r>
      <w:r>
        <w:rPr>
          <w:rFonts w:hint="eastAsia" w:ascii="仿宋" w:hAnsi="仿宋"/>
          <w:color w:val="auto"/>
          <w:highlight w:val="none"/>
          <w:u w:val="single"/>
        </w:rPr>
        <w:t>XXXX</w:t>
      </w:r>
      <w:r>
        <w:rPr>
          <w:rFonts w:hint="eastAsia" w:ascii="仿宋" w:hAnsi="仿宋" w:cs="宋体"/>
          <w:color w:val="auto"/>
          <w:highlight w:val="none"/>
        </w:rPr>
        <w:t>项目采购活动</w:t>
      </w:r>
      <w:r>
        <w:rPr>
          <w:rFonts w:hint="eastAsia" w:ascii="仿宋" w:hAnsi="仿宋" w:cs="宋体"/>
          <w:b/>
          <w:bCs/>
          <w:color w:val="auto"/>
          <w:highlight w:val="none"/>
        </w:rPr>
        <w:t>提供本单位制造的货物</w:t>
      </w:r>
      <w:r>
        <w:rPr>
          <w:rFonts w:hint="eastAsia" w:ascii="仿宋" w:hAnsi="仿宋" w:cs="宋体"/>
          <w:color w:val="auto"/>
          <w:highlight w:val="none"/>
        </w:rPr>
        <w:t>（由本单位承担工程/提供服务），或者提供其他残疾人福利性单位制造的货物（不包括使用非残疾人福利性单位注册商标的货物）。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cs="宋体"/>
          <w:color w:val="auto"/>
          <w:highlight w:val="none"/>
        </w:rPr>
      </w:pPr>
      <w:r>
        <w:rPr>
          <w:rFonts w:hint="eastAsia" w:ascii="仿宋" w:hAnsi="仿宋" w:cs="宋体"/>
          <w:color w:val="auto"/>
          <w:highlight w:val="none"/>
        </w:rPr>
        <w:t>本单位对上述声明的真实性负责。如有虚假，将依法承担相应责任。</w:t>
      </w:r>
    </w:p>
    <w:p>
      <w:pPr>
        <w:spacing w:line="588" w:lineRule="exact"/>
        <w:rPr>
          <w:rFonts w:ascii="仿宋" w:hAnsi="仿宋" w:cs="宋体"/>
          <w:color w:val="auto"/>
          <w:highlight w:val="none"/>
        </w:rPr>
      </w:pPr>
    </w:p>
    <w:p>
      <w:pPr>
        <w:spacing w:line="588" w:lineRule="exact"/>
        <w:rPr>
          <w:rFonts w:ascii="仿宋" w:hAnsi="仿宋" w:cs="宋体"/>
          <w:color w:val="auto"/>
          <w:highlight w:val="none"/>
        </w:rPr>
      </w:pPr>
    </w:p>
    <w:p>
      <w:pPr>
        <w:tabs>
          <w:tab w:val="left" w:pos="4860"/>
        </w:tabs>
        <w:spacing w:line="588" w:lineRule="exact"/>
        <w:ind w:right="1560" w:firstLine="4320" w:firstLineChars="1800"/>
        <w:rPr>
          <w:rFonts w:ascii="仿宋" w:hAnsi="仿宋" w:cs="宋体"/>
          <w:color w:val="auto"/>
          <w:highlight w:val="none"/>
        </w:rPr>
      </w:pPr>
      <w:r>
        <w:rPr>
          <w:rFonts w:hint="eastAsia" w:ascii="仿宋" w:hAnsi="仿宋" w:cs="宋体"/>
          <w:color w:val="auto"/>
          <w:highlight w:val="none"/>
        </w:rPr>
        <w:t>单位名称</w:t>
      </w:r>
      <w:r>
        <w:rPr>
          <w:rFonts w:hint="eastAsia" w:ascii="仿宋" w:hAnsi="仿宋"/>
          <w:color w:val="auto"/>
          <w:highlight w:val="none"/>
        </w:rPr>
        <w:t>（电子印章）</w:t>
      </w:r>
      <w:r>
        <w:rPr>
          <w:rFonts w:hint="eastAsia" w:ascii="仿宋" w:hAnsi="仿宋" w:cs="宋体"/>
          <w:color w:val="auto"/>
          <w:highlight w:val="none"/>
        </w:rPr>
        <w:t>：</w:t>
      </w:r>
    </w:p>
    <w:p>
      <w:pPr>
        <w:ind w:firstLine="4320" w:firstLineChars="1800"/>
        <w:rPr>
          <w:rFonts w:ascii="仿宋" w:hAnsi="仿宋" w:cs="宋体"/>
          <w:color w:val="auto"/>
          <w:highlight w:val="none"/>
        </w:rPr>
      </w:pPr>
      <w:r>
        <w:rPr>
          <w:rFonts w:hint="eastAsia" w:ascii="仿宋" w:hAnsi="仿宋"/>
          <w:color w:val="auto"/>
          <w:highlight w:val="none"/>
        </w:rPr>
        <w:t>日    期：20XX年XX月XX日</w:t>
      </w:r>
    </w:p>
    <w:p>
      <w:pPr>
        <w:rPr>
          <w:rFonts w:ascii="仿宋" w:hAnsi="仿宋" w:cs="宋体"/>
          <w:color w:val="auto"/>
          <w:highlight w:val="none"/>
        </w:rPr>
      </w:pPr>
    </w:p>
    <w:p>
      <w:pPr>
        <w:rPr>
          <w:rFonts w:ascii="仿宋" w:hAnsi="仿宋" w:cs="宋体"/>
          <w:color w:val="auto"/>
          <w:highlight w:val="none"/>
        </w:rPr>
      </w:pPr>
      <w:r>
        <w:rPr>
          <w:rFonts w:hint="eastAsia" w:ascii="仿宋" w:hAnsi="仿宋" w:cs="宋体"/>
          <w:color w:val="auto"/>
          <w:highlight w:val="none"/>
        </w:rPr>
        <w:t>注：</w:t>
      </w:r>
    </w:p>
    <w:p>
      <w:pPr>
        <w:spacing w:after="160"/>
        <w:jc w:val="both"/>
        <w:rPr>
          <w:rFonts w:ascii="仿宋" w:hAnsi="仿宋" w:cs="宋体"/>
          <w:color w:val="auto"/>
          <w:highlight w:val="none"/>
        </w:rPr>
      </w:pPr>
      <w:r>
        <w:rPr>
          <w:rFonts w:hint="eastAsia" w:ascii="仿宋" w:hAnsi="仿宋" w:cs="宋体"/>
          <w:color w:val="auto"/>
          <w:highlight w:val="none"/>
        </w:rPr>
        <w:t>1.残疾人福利性单位视同小型、微型企业，享受预留份额、评审中价格扣除等促进中</w:t>
      </w:r>
      <w:r>
        <w:rPr>
          <w:rFonts w:hint="eastAsia" w:ascii="仿宋" w:hAnsi="仿宋"/>
          <w:color w:val="auto"/>
          <w:highlight w:val="none"/>
        </w:rPr>
        <w:t>小企业发展的政府采购政策。残疾人福利性单位属于小型、微型企业的，不重复享受政策。</w:t>
      </w:r>
    </w:p>
    <w:p>
      <w:pPr>
        <w:numPr>
          <w:ilvl w:val="255"/>
          <w:numId w:val="0"/>
        </w:numPr>
        <w:spacing w:after="160"/>
        <w:jc w:val="both"/>
        <w:rPr>
          <w:rFonts w:ascii="仿宋" w:hAnsi="仿宋" w:cs="宋体"/>
          <w:color w:val="auto"/>
          <w:highlight w:val="none"/>
        </w:rPr>
      </w:pPr>
      <w:r>
        <w:rPr>
          <w:rFonts w:hint="eastAsia" w:ascii="仿宋" w:hAnsi="仿宋" w:cs="宋体"/>
          <w:color w:val="auto"/>
          <w:highlight w:val="none"/>
        </w:rPr>
        <w:t>2.投标人为非残疾人福利性单位的，可不提供此声明。</w:t>
      </w:r>
    </w:p>
    <w:p>
      <w:pPr>
        <w:numPr>
          <w:ilvl w:val="255"/>
          <w:numId w:val="0"/>
        </w:numPr>
        <w:rPr>
          <w:rFonts w:ascii="仿宋" w:hAnsi="仿宋" w:cs="宋体"/>
          <w:color w:val="auto"/>
          <w:highlight w:val="none"/>
        </w:rPr>
      </w:pPr>
      <w:r>
        <w:rPr>
          <w:rFonts w:hint="eastAsia" w:ascii="仿宋" w:hAnsi="仿宋" w:cs="宋体"/>
          <w:color w:val="auto"/>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格式1-7属于监狱企业的证明文件</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属于监狱企业的证明文件</w:t>
      </w:r>
    </w:p>
    <w:p>
      <w:pPr>
        <w:ind w:firstLine="480" w:firstLineChars="200"/>
        <w:rPr>
          <w:rFonts w:ascii="仿宋" w:hAnsi="仿宋"/>
          <w:color w:val="auto"/>
          <w:highlight w:val="none"/>
        </w:rPr>
      </w:pPr>
    </w:p>
    <w:p>
      <w:pPr>
        <w:ind w:firstLine="480" w:firstLineChars="200"/>
        <w:rPr>
          <w:rFonts w:ascii="仿宋" w:hAnsi="仿宋"/>
          <w:color w:val="auto"/>
          <w:highlight w:val="none"/>
        </w:rPr>
      </w:pPr>
      <w:r>
        <w:rPr>
          <w:rFonts w:hint="eastAsia" w:ascii="仿宋" w:hAnsi="仿宋"/>
          <w:color w:val="auto"/>
          <w:highlight w:val="none"/>
        </w:rPr>
        <w:t>根据</w:t>
      </w:r>
      <w:r>
        <w:rPr>
          <w:rFonts w:hint="eastAsia" w:ascii="仿宋" w:hAnsi="仿宋" w:cs="仿宋"/>
          <w:color w:val="auto"/>
          <w:highlight w:val="none"/>
        </w:rPr>
        <w:t>《政府采购支持监狱企业发展有关问题的通知》</w:t>
      </w:r>
      <w:r>
        <w:rPr>
          <w:rFonts w:hint="eastAsia" w:ascii="仿宋" w:hAnsi="仿宋"/>
          <w:color w:val="auto"/>
          <w:highlight w:val="none"/>
        </w:rPr>
        <w:t>（财库〔</w:t>
      </w:r>
      <w:r>
        <w:rPr>
          <w:rFonts w:ascii="仿宋" w:hAnsi="仿宋"/>
          <w:color w:val="auto"/>
          <w:highlight w:val="none"/>
        </w:rPr>
        <w:t>2014〕68号）的规定</w:t>
      </w:r>
      <w:r>
        <w:rPr>
          <w:rFonts w:hint="eastAsia" w:ascii="仿宋" w:hAnsi="仿宋"/>
          <w:color w:val="auto"/>
          <w:highlight w:val="none"/>
        </w:rPr>
        <w:t>监狱企业参加采购活动的，应</w:t>
      </w:r>
      <w:r>
        <w:rPr>
          <w:rFonts w:hint="eastAsia" w:ascii="仿宋" w:hAnsi="仿宋" w:cs="宋体"/>
          <w:color w:val="auto"/>
          <w:highlight w:val="none"/>
        </w:rPr>
        <w:t>提供由省级以上监狱管理局、戒毒管理局</w:t>
      </w:r>
      <w:r>
        <w:rPr>
          <w:rFonts w:ascii="仿宋" w:hAnsi="仿宋" w:cs="宋体"/>
          <w:color w:val="auto"/>
          <w:highlight w:val="none"/>
        </w:rPr>
        <w:t>(含新疆生产建设兵团)出具的属于监狱企业的证明文件。</w:t>
      </w:r>
    </w:p>
    <w:p>
      <w:pPr>
        <w:rPr>
          <w:rFonts w:ascii="仿宋" w:hAnsi="仿宋" w:cs="宋体"/>
          <w:color w:val="auto"/>
          <w:highlight w:val="none"/>
        </w:rPr>
      </w:pPr>
    </w:p>
    <w:p>
      <w:pPr>
        <w:rPr>
          <w:rFonts w:ascii="仿宋" w:hAnsi="仿宋" w:cs="宋体"/>
          <w:color w:val="auto"/>
          <w:highlight w:val="none"/>
        </w:rPr>
      </w:pPr>
      <w:r>
        <w:rPr>
          <w:rFonts w:hint="eastAsia" w:ascii="仿宋" w:hAnsi="仿宋" w:cs="宋体"/>
          <w:color w:val="auto"/>
          <w:highlight w:val="none"/>
        </w:rPr>
        <w:t>注：</w:t>
      </w:r>
    </w:p>
    <w:p>
      <w:pPr>
        <w:rPr>
          <w:rFonts w:ascii="仿宋" w:hAnsi="仿宋" w:cs="宋体"/>
          <w:color w:val="auto"/>
          <w:highlight w:val="none"/>
        </w:rPr>
      </w:pPr>
      <w:r>
        <w:rPr>
          <w:rFonts w:ascii="仿宋" w:hAnsi="仿宋" w:cs="宋体"/>
          <w:color w:val="auto"/>
          <w:highlight w:val="none"/>
        </w:rPr>
        <w:t>1</w:t>
      </w:r>
      <w:r>
        <w:rPr>
          <w:rFonts w:hint="eastAsia" w:ascii="仿宋" w:hAnsi="仿宋" w:cs="宋体"/>
          <w:color w:val="auto"/>
          <w:highlight w:val="none"/>
        </w:rPr>
        <w:t>.</w:t>
      </w:r>
      <w:r>
        <w:rPr>
          <w:rFonts w:ascii="仿宋" w:hAnsi="仿宋" w:cs="宋体"/>
          <w:color w:val="auto"/>
          <w:highlight w:val="none"/>
        </w:rPr>
        <w:t>投标人符合《政府采购支持监狱企业发展有关问题的通知》（财库〔2014〕68号）规定的划分标准为监狱企业</w:t>
      </w:r>
      <w:r>
        <w:rPr>
          <w:rFonts w:hint="eastAsia" w:ascii="仿宋" w:hAnsi="仿宋" w:cs="宋体"/>
          <w:color w:val="auto"/>
          <w:highlight w:val="none"/>
        </w:rPr>
        <w:t>的</w:t>
      </w:r>
      <w:r>
        <w:rPr>
          <w:rFonts w:ascii="仿宋" w:hAnsi="仿宋" w:cs="宋体"/>
          <w:color w:val="auto"/>
          <w:highlight w:val="none"/>
        </w:rPr>
        <w:t>适用。</w:t>
      </w:r>
    </w:p>
    <w:p>
      <w:pPr>
        <w:rPr>
          <w:rFonts w:ascii="仿宋" w:hAnsi="仿宋" w:cs="宋体"/>
          <w:color w:val="auto"/>
          <w:highlight w:val="none"/>
        </w:rPr>
      </w:pPr>
      <w:r>
        <w:rPr>
          <w:rFonts w:ascii="仿宋" w:hAnsi="仿宋" w:cs="宋体"/>
          <w:color w:val="auto"/>
          <w:highlight w:val="none"/>
        </w:rPr>
        <w:t>2</w:t>
      </w:r>
      <w:r>
        <w:rPr>
          <w:rFonts w:hint="eastAsia" w:ascii="仿宋" w:hAnsi="仿宋" w:cs="宋体"/>
          <w:color w:val="auto"/>
          <w:highlight w:val="none"/>
        </w:rPr>
        <w:t>.</w:t>
      </w:r>
      <w:r>
        <w:rPr>
          <w:rFonts w:ascii="仿宋" w:hAnsi="仿宋" w:cs="宋体"/>
          <w:color w:val="auto"/>
          <w:highlight w:val="none"/>
        </w:rPr>
        <w:t>在政府采购活动中，监狱企业视同小型、微型企业，享受预留份额、评审中</w:t>
      </w:r>
      <w:r>
        <w:rPr>
          <w:rFonts w:hint="eastAsia" w:ascii="仿宋" w:hAnsi="仿宋" w:cs="宋体"/>
          <w:color w:val="auto"/>
          <w:highlight w:val="none"/>
        </w:rPr>
        <w:t>价格扣除等政府采购促进中小企业发展的政府采购政策。</w:t>
      </w:r>
    </w:p>
    <w:p>
      <w:pPr>
        <w:pStyle w:val="18"/>
        <w:ind w:left="0" w:leftChars="0"/>
        <w:rPr>
          <w:rFonts w:ascii="仿宋" w:hAnsi="仿宋" w:cs="宋体"/>
          <w:bCs/>
          <w:color w:val="auto"/>
          <w:highlight w:val="none"/>
        </w:rPr>
      </w:pPr>
    </w:p>
    <w:p>
      <w:pPr>
        <w:rPr>
          <w:rFonts w:ascii="仿宋" w:hAnsi="仿宋"/>
          <w:b/>
          <w:color w:val="auto"/>
          <w:sz w:val="32"/>
          <w:szCs w:val="32"/>
          <w:highlight w:val="none"/>
        </w:rPr>
      </w:pPr>
    </w:p>
    <w:p>
      <w:pPr>
        <w:rPr>
          <w:rFonts w:ascii="仿宋" w:hAnsi="仿宋"/>
          <w:b/>
          <w:color w:val="auto"/>
          <w:sz w:val="32"/>
          <w:szCs w:val="32"/>
          <w:highlight w:val="none"/>
        </w:rPr>
      </w:pPr>
    </w:p>
    <w:p>
      <w:pPr>
        <w:rPr>
          <w:rFonts w:ascii="仿宋" w:hAnsi="仿宋"/>
          <w:b/>
          <w:color w:val="auto"/>
          <w:sz w:val="32"/>
          <w:szCs w:val="32"/>
          <w:highlight w:val="none"/>
        </w:rPr>
      </w:pPr>
      <w:r>
        <w:rPr>
          <w:rFonts w:hint="eastAsia" w:ascii="仿宋" w:hAnsi="仿宋"/>
          <w:b/>
          <w:color w:val="auto"/>
          <w:sz w:val="32"/>
          <w:szCs w:val="32"/>
          <w:highlight w:val="none"/>
        </w:rPr>
        <w:br w:type="page"/>
      </w:r>
    </w:p>
    <w:p>
      <w:pPr>
        <w:jc w:val="both"/>
        <w:outlineLvl w:val="1"/>
        <w:rPr>
          <w:rFonts w:ascii="仿宋" w:hAnsi="仿宋"/>
          <w:b/>
          <w:color w:val="auto"/>
          <w:sz w:val="32"/>
          <w:szCs w:val="32"/>
          <w:highlight w:val="none"/>
        </w:rPr>
      </w:pPr>
      <w:r>
        <w:rPr>
          <w:rFonts w:hint="eastAsia" w:ascii="仿宋" w:hAnsi="仿宋"/>
          <w:b/>
          <w:color w:val="auto"/>
          <w:sz w:val="32"/>
          <w:szCs w:val="32"/>
          <w:highlight w:val="none"/>
        </w:rPr>
        <w:t>资格性投标文件三：</w:t>
      </w:r>
    </w:p>
    <w:p>
      <w:pPr>
        <w:jc w:val="both"/>
        <w:outlineLvl w:val="1"/>
        <w:rPr>
          <w:rFonts w:ascii="仿宋" w:hAnsi="仿宋" w:cs="仿宋"/>
          <w:color w:val="auto"/>
          <w:highlight w:val="none"/>
        </w:rPr>
      </w:pPr>
      <w:r>
        <w:rPr>
          <w:rFonts w:hint="eastAsia" w:ascii="仿宋" w:hAnsi="仿宋"/>
          <w:b/>
          <w:color w:val="auto"/>
          <w:sz w:val="32"/>
          <w:szCs w:val="32"/>
          <w:highlight w:val="none"/>
        </w:rPr>
        <w:t>本项目的特定资格要求的证明材料</w:t>
      </w:r>
    </w:p>
    <w:p>
      <w:pPr>
        <w:pStyle w:val="5"/>
        <w:spacing w:before="0" w:after="0"/>
        <w:rPr>
          <w:rFonts w:ascii="仿宋" w:hAnsi="仿宋"/>
          <w:color w:val="auto"/>
          <w:highlight w:val="none"/>
        </w:rPr>
      </w:pPr>
      <w:r>
        <w:rPr>
          <w:rFonts w:hint="eastAsia" w:ascii="仿宋" w:hAnsi="仿宋" w:cs="仿宋"/>
          <w:color w:val="auto"/>
          <w:highlight w:val="none"/>
        </w:rPr>
        <w:t xml:space="preserve">格式1-8 </w:t>
      </w:r>
      <w:r>
        <w:rPr>
          <w:rFonts w:hint="eastAsia" w:ascii="仿宋" w:hAnsi="仿宋"/>
          <w:color w:val="auto"/>
          <w:highlight w:val="none"/>
        </w:rPr>
        <w:t>本项目的特定资格要求的证明材料</w:t>
      </w:r>
    </w:p>
    <w:p>
      <w:pPr>
        <w:pStyle w:val="18"/>
        <w:ind w:left="0" w:leftChars="0"/>
        <w:rPr>
          <w:rFonts w:ascii="仿宋" w:hAnsi="仿宋" w:cs="仿宋"/>
          <w:color w:val="auto"/>
          <w:highlight w:val="none"/>
        </w:rPr>
      </w:pPr>
    </w:p>
    <w:p>
      <w:pPr>
        <w:rPr>
          <w:rFonts w:ascii="仿宋" w:hAnsi="仿宋" w:cs="仿宋"/>
          <w:color w:val="auto"/>
          <w:highlight w:val="none"/>
        </w:rPr>
      </w:pPr>
      <w:r>
        <w:rPr>
          <w:rFonts w:hint="eastAsia" w:ascii="仿宋" w:hAnsi="仿宋" w:cs="仿宋"/>
          <w:color w:val="auto"/>
          <w:highlight w:val="none"/>
        </w:rPr>
        <w:t>投标人应按招标文件第五章相关要求提供佐证材料，有格式要求的从其要求，无格式要求的格式自拟。</w:t>
      </w:r>
    </w:p>
    <w:p>
      <w:pPr>
        <w:pStyle w:val="2"/>
        <w:rPr>
          <w:color w:val="auto"/>
          <w:highlight w:val="none"/>
        </w:rPr>
      </w:pPr>
    </w:p>
    <w:p>
      <w:pPr>
        <w:rPr>
          <w:rFonts w:ascii="仿宋" w:hAnsi="仿宋" w:cs="仿宋"/>
          <w:bCs/>
          <w:color w:val="auto"/>
          <w:highlight w:val="none"/>
        </w:rPr>
      </w:pPr>
      <w:r>
        <w:rPr>
          <w:rFonts w:hint="eastAsia" w:ascii="仿宋" w:hAnsi="仿宋" w:cs="仿宋"/>
          <w:bCs/>
          <w:color w:val="auto"/>
          <w:highlight w:val="none"/>
        </w:rPr>
        <w:t>注：</w:t>
      </w:r>
    </w:p>
    <w:p>
      <w:pPr>
        <w:rPr>
          <w:rFonts w:ascii="仿宋" w:hAnsi="仿宋"/>
          <w:b/>
          <w:color w:val="auto"/>
          <w:sz w:val="32"/>
          <w:szCs w:val="32"/>
          <w:highlight w:val="none"/>
        </w:rPr>
      </w:pPr>
      <w:r>
        <w:rPr>
          <w:rFonts w:hint="eastAsia" w:ascii="仿宋" w:hAnsi="仿宋" w:cs="仿宋"/>
          <w:bCs/>
          <w:color w:val="auto"/>
          <w:highlight w:val="none"/>
        </w:rPr>
        <w:t xml:space="preserve">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r>
        <w:rPr>
          <w:rFonts w:hint="eastAsia" w:ascii="仿宋" w:hAnsi="仿宋"/>
          <w:b/>
          <w:color w:val="auto"/>
          <w:sz w:val="32"/>
          <w:szCs w:val="32"/>
          <w:highlight w:val="none"/>
        </w:rPr>
        <w:br w:type="page"/>
      </w:r>
    </w:p>
    <w:p>
      <w:pPr>
        <w:pStyle w:val="5"/>
        <w:spacing w:before="0" w:after="0"/>
        <w:jc w:val="both"/>
        <w:rPr>
          <w:rFonts w:ascii="仿宋" w:hAnsi="仿宋" w:cs="仿宋"/>
          <w:color w:val="auto"/>
          <w:highlight w:val="none"/>
        </w:rPr>
      </w:pPr>
      <w:r>
        <w:rPr>
          <w:rFonts w:hint="eastAsia" w:ascii="仿宋" w:hAnsi="仿宋" w:cs="仿宋"/>
          <w:color w:val="auto"/>
          <w:highlight w:val="none"/>
        </w:rPr>
        <w:t>格式1-9 “多证合一”承诺函(如涉及)</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“多证合一”承诺函(如涉及)</w:t>
      </w:r>
    </w:p>
    <w:p>
      <w:pPr>
        <w:widowControl/>
        <w:spacing w:line="360" w:lineRule="atLeast"/>
        <w:jc w:val="center"/>
        <w:rPr>
          <w:rFonts w:ascii="仿宋" w:hAnsi="仿宋"/>
          <w:b/>
          <w:color w:val="auto"/>
          <w:highlight w:val="none"/>
        </w:rPr>
      </w:pPr>
    </w:p>
    <w:p>
      <w:pPr>
        <w:rPr>
          <w:rFonts w:ascii="仿宋" w:hAnsi="仿宋" w:cs="宋体"/>
          <w:bCs/>
          <w:color w:val="auto"/>
          <w:highlight w:val="none"/>
        </w:rPr>
      </w:pPr>
      <w:r>
        <w:rPr>
          <w:rFonts w:hint="eastAsia" w:ascii="仿宋" w:hAnsi="仿宋" w:cs="宋体"/>
          <w:bCs/>
          <w:color w:val="auto"/>
          <w:highlight w:val="none"/>
        </w:rPr>
        <w:t>XXXX（采购代理机构名称）：</w:t>
      </w:r>
    </w:p>
    <w:p>
      <w:pPr>
        <w:ind w:firstLine="480" w:firstLineChars="200"/>
        <w:rPr>
          <w:rFonts w:ascii="仿宋" w:hAnsi="仿宋" w:cs="宋体"/>
          <w:bCs/>
          <w:color w:val="auto"/>
          <w:highlight w:val="none"/>
        </w:rPr>
      </w:pPr>
      <w:r>
        <w:rPr>
          <w:rFonts w:hint="eastAsia" w:ascii="仿宋" w:hAnsi="仿宋" w:cs="宋体"/>
          <w:bCs/>
          <w:color w:val="auto"/>
          <w:highlight w:val="none"/>
        </w:rPr>
        <w:t>我单位作为本次采购项目的投标人，现郑重承诺如下：</w:t>
      </w:r>
    </w:p>
    <w:p>
      <w:pPr>
        <w:ind w:firstLine="480" w:firstLineChars="200"/>
        <w:rPr>
          <w:rFonts w:ascii="仿宋" w:hAnsi="仿宋" w:cs="宋体"/>
          <w:bCs/>
          <w:color w:val="auto"/>
          <w:highlight w:val="none"/>
        </w:rPr>
      </w:pPr>
      <w:r>
        <w:rPr>
          <w:rFonts w:hint="eastAsia" w:ascii="仿宋" w:hAnsi="仿宋" w:cs="宋体"/>
          <w:bCs/>
          <w:color w:val="auto"/>
          <w:highlight w:val="none"/>
        </w:rPr>
        <w:t>根据本项目招标文件</w:t>
      </w:r>
      <w:r>
        <w:rPr>
          <w:rFonts w:ascii="仿宋" w:hAnsi="仿宋" w:cs="宋体"/>
          <w:bCs/>
          <w:color w:val="auto"/>
          <w:highlight w:val="none"/>
        </w:rPr>
        <w:t>第四章资格证明要求中第</w:t>
      </w:r>
      <w:r>
        <w:rPr>
          <w:rFonts w:hint="eastAsia" w:ascii="仿宋" w:hAnsi="仿宋" w:cs="宋体"/>
          <w:bCs/>
          <w:color w:val="auto"/>
          <w:highlight w:val="none"/>
          <w:u w:val="single"/>
        </w:rPr>
        <w:t xml:space="preserve">  </w:t>
      </w:r>
      <w:r>
        <w:rPr>
          <w:rFonts w:hint="eastAsia" w:ascii="仿宋" w:hAnsi="仿宋" w:cs="宋体"/>
          <w:bCs/>
          <w:color w:val="auto"/>
          <w:highlight w:val="none"/>
        </w:rPr>
        <w:t>项，</w:t>
      </w:r>
      <w:r>
        <w:rPr>
          <w:rFonts w:ascii="仿宋" w:hAnsi="仿宋" w:cs="宋体"/>
          <w:bCs/>
          <w:color w:val="auto"/>
          <w:highlight w:val="none"/>
        </w:rPr>
        <w:t>我</w:t>
      </w:r>
      <w:r>
        <w:rPr>
          <w:rFonts w:hint="eastAsia" w:ascii="仿宋" w:hAnsi="仿宋" w:cs="宋体"/>
          <w:bCs/>
          <w:color w:val="auto"/>
          <w:highlight w:val="none"/>
        </w:rPr>
        <w:t>单位</w:t>
      </w:r>
      <w:r>
        <w:rPr>
          <w:rFonts w:ascii="仿宋" w:hAnsi="仿宋" w:cs="宋体"/>
          <w:bCs/>
          <w:color w:val="auto"/>
          <w:highlight w:val="none"/>
        </w:rPr>
        <w:t>应具备</w:t>
      </w:r>
      <w:r>
        <w:rPr>
          <w:rFonts w:hint="eastAsia" w:ascii="仿宋" w:hAnsi="仿宋" w:cs="宋体"/>
          <w:bCs/>
          <w:color w:val="auto"/>
          <w:highlight w:val="none"/>
          <w:u w:val="single"/>
        </w:rPr>
        <w:t xml:space="preserve">        </w:t>
      </w:r>
      <w:r>
        <w:rPr>
          <w:rFonts w:hint="eastAsia" w:ascii="仿宋" w:hAnsi="仿宋" w:cs="宋体"/>
          <w:bCs/>
          <w:color w:val="auto"/>
          <w:highlight w:val="none"/>
        </w:rPr>
        <w:t>（备案</w:t>
      </w:r>
      <w:r>
        <w:rPr>
          <w:rFonts w:ascii="仿宋" w:hAnsi="仿宋" w:cs="宋体"/>
          <w:bCs/>
          <w:color w:val="auto"/>
          <w:highlight w:val="none"/>
        </w:rPr>
        <w:t>、登记、其他证照</w:t>
      </w:r>
      <w:r>
        <w:rPr>
          <w:rFonts w:hint="eastAsia" w:ascii="仿宋" w:hAnsi="仿宋" w:cs="宋体"/>
          <w:bCs/>
          <w:color w:val="auto"/>
          <w:highlight w:val="none"/>
        </w:rPr>
        <w:t>）。但因</w:t>
      </w:r>
      <w:r>
        <w:rPr>
          <w:rFonts w:ascii="仿宋" w:hAnsi="仿宋" w:cs="宋体"/>
          <w:bCs/>
          <w:color w:val="auto"/>
          <w:highlight w:val="none"/>
        </w:rPr>
        <w:t>我单位所在地</w:t>
      </w:r>
      <w:r>
        <w:rPr>
          <w:rFonts w:hint="eastAsia" w:ascii="仿宋" w:hAnsi="仿宋" w:cs="宋体"/>
          <w:bCs/>
          <w:color w:val="auto"/>
          <w:highlight w:val="none"/>
        </w:rPr>
        <w:t>已对</w:t>
      </w:r>
      <w:r>
        <w:rPr>
          <w:rFonts w:ascii="仿宋" w:hAnsi="仿宋" w:cs="宋体"/>
          <w:bCs/>
          <w:color w:val="auto"/>
          <w:highlight w:val="none"/>
        </w:rPr>
        <w:t>上述</w:t>
      </w:r>
      <w:r>
        <w:rPr>
          <w:rFonts w:hint="eastAsia" w:ascii="仿宋" w:hAnsi="仿宋" w:cs="宋体"/>
          <w:bCs/>
          <w:color w:val="auto"/>
          <w:highlight w:val="none"/>
        </w:rPr>
        <w:t>备案</w:t>
      </w:r>
      <w:r>
        <w:rPr>
          <w:rFonts w:ascii="仿宋" w:hAnsi="仿宋" w:cs="宋体"/>
          <w:bCs/>
          <w:color w:val="auto"/>
          <w:highlight w:val="none"/>
        </w:rPr>
        <w:t>、登记、其他证照</w:t>
      </w:r>
      <w:r>
        <w:rPr>
          <w:rFonts w:hint="eastAsia" w:ascii="仿宋" w:hAnsi="仿宋" w:cs="宋体"/>
          <w:bCs/>
          <w:color w:val="auto"/>
          <w:highlight w:val="none"/>
        </w:rPr>
        <w:t>实行</w:t>
      </w:r>
      <w:r>
        <w:rPr>
          <w:rFonts w:ascii="仿宋" w:hAnsi="仿宋" w:cs="宋体"/>
          <w:bCs/>
          <w:color w:val="auto"/>
          <w:highlight w:val="none"/>
        </w:rPr>
        <w:t>“</w:t>
      </w:r>
      <w:r>
        <w:rPr>
          <w:rFonts w:hint="eastAsia" w:ascii="仿宋" w:hAnsi="仿宋" w:cs="宋体"/>
          <w:bCs/>
          <w:color w:val="auto"/>
          <w:highlight w:val="none"/>
        </w:rPr>
        <w:t>多证合一</w:t>
      </w:r>
      <w:r>
        <w:rPr>
          <w:rFonts w:ascii="仿宋" w:hAnsi="仿宋" w:cs="宋体"/>
          <w:bCs/>
          <w:color w:val="auto"/>
          <w:highlight w:val="none"/>
        </w:rPr>
        <w:t>”</w:t>
      </w:r>
      <w:r>
        <w:rPr>
          <w:rFonts w:hint="eastAsia" w:ascii="仿宋" w:hAnsi="仿宋" w:cs="宋体"/>
          <w:bCs/>
          <w:color w:val="auto"/>
          <w:highlight w:val="none"/>
        </w:rPr>
        <w:t>，</w:t>
      </w:r>
      <w:r>
        <w:rPr>
          <w:rFonts w:ascii="仿宋" w:hAnsi="仿宋" w:cs="宋体"/>
          <w:bCs/>
          <w:color w:val="auto"/>
          <w:highlight w:val="none"/>
        </w:rPr>
        <w:t>故在此次采购活动</w:t>
      </w:r>
      <w:r>
        <w:rPr>
          <w:rFonts w:hint="eastAsia" w:ascii="仿宋" w:hAnsi="仿宋" w:cs="宋体"/>
          <w:bCs/>
          <w:color w:val="auto"/>
          <w:highlight w:val="none"/>
        </w:rPr>
        <w:t>中</w:t>
      </w:r>
      <w:r>
        <w:rPr>
          <w:rFonts w:ascii="仿宋" w:hAnsi="仿宋" w:cs="宋体"/>
          <w:bCs/>
          <w:color w:val="auto"/>
          <w:highlight w:val="none"/>
        </w:rPr>
        <w:t>提供</w:t>
      </w:r>
      <w:r>
        <w:rPr>
          <w:rFonts w:hint="eastAsia" w:ascii="仿宋" w:hAnsi="仿宋" w:cs="宋体"/>
          <w:bCs/>
          <w:color w:val="auto"/>
          <w:highlight w:val="none"/>
        </w:rPr>
        <w:t>满足</w:t>
      </w:r>
      <w:r>
        <w:rPr>
          <w:rFonts w:ascii="仿宋" w:hAnsi="仿宋" w:cs="宋体"/>
          <w:bCs/>
          <w:color w:val="auto"/>
          <w:highlight w:val="none"/>
        </w:rPr>
        <w:t>资格要求</w:t>
      </w:r>
      <w:r>
        <w:rPr>
          <w:rFonts w:hint="eastAsia" w:ascii="仿宋" w:hAnsi="仿宋" w:cs="宋体"/>
          <w:bCs/>
          <w:color w:val="auto"/>
          <w:highlight w:val="none"/>
        </w:rPr>
        <w:t>：</w:t>
      </w:r>
      <w:r>
        <w:rPr>
          <w:rFonts w:hint="eastAsia" w:ascii="仿宋" w:hAnsi="仿宋" w:cs="宋体"/>
          <w:bCs/>
          <w:color w:val="auto"/>
          <w:highlight w:val="none"/>
          <w:u w:val="single"/>
        </w:rPr>
        <w:t xml:space="preserve">       </w:t>
      </w:r>
      <w:r>
        <w:rPr>
          <w:rFonts w:hint="eastAsia" w:ascii="仿宋" w:hAnsi="仿宋" w:cs="宋体"/>
          <w:bCs/>
          <w:color w:val="auto"/>
          <w:highlight w:val="none"/>
        </w:rPr>
        <w:t>（营业执照</w:t>
      </w:r>
      <w:r>
        <w:rPr>
          <w:rFonts w:ascii="仿宋" w:hAnsi="仿宋" w:cs="宋体"/>
          <w:bCs/>
          <w:color w:val="auto"/>
          <w:highlight w:val="none"/>
        </w:rPr>
        <w:t>中对</w:t>
      </w:r>
      <w:r>
        <w:rPr>
          <w:rFonts w:hint="eastAsia" w:ascii="仿宋" w:hAnsi="仿宋" w:cs="宋体"/>
          <w:bCs/>
          <w:color w:val="auto"/>
          <w:highlight w:val="none"/>
        </w:rPr>
        <w:t>该备案</w:t>
      </w:r>
      <w:r>
        <w:rPr>
          <w:rFonts w:ascii="仿宋" w:hAnsi="仿宋" w:cs="宋体"/>
          <w:bCs/>
          <w:color w:val="auto"/>
          <w:highlight w:val="none"/>
        </w:rPr>
        <w:t>、登记、其他证照</w:t>
      </w:r>
      <w:r>
        <w:rPr>
          <w:rFonts w:hint="eastAsia" w:ascii="仿宋" w:hAnsi="仿宋" w:cs="宋体"/>
          <w:bCs/>
          <w:color w:val="auto"/>
          <w:highlight w:val="none"/>
        </w:rPr>
        <w:t>的</w:t>
      </w:r>
      <w:r>
        <w:rPr>
          <w:rFonts w:ascii="仿宋" w:hAnsi="仿宋" w:cs="宋体"/>
          <w:bCs/>
          <w:color w:val="auto"/>
          <w:highlight w:val="none"/>
        </w:rPr>
        <w:t>描述</w:t>
      </w:r>
      <w:r>
        <w:rPr>
          <w:rFonts w:hint="eastAsia" w:ascii="仿宋" w:hAnsi="仿宋" w:cs="宋体"/>
          <w:bCs/>
          <w:color w:val="auto"/>
          <w:highlight w:val="none"/>
        </w:rPr>
        <w:t>）的</w:t>
      </w:r>
      <w:r>
        <w:rPr>
          <w:rFonts w:ascii="仿宋" w:hAnsi="仿宋" w:cs="宋体"/>
          <w:bCs/>
          <w:color w:val="auto"/>
          <w:highlight w:val="none"/>
        </w:rPr>
        <w:t>“</w:t>
      </w:r>
      <w:r>
        <w:rPr>
          <w:rFonts w:hint="eastAsia" w:ascii="仿宋" w:hAnsi="仿宋" w:cs="宋体"/>
          <w:bCs/>
          <w:color w:val="auto"/>
          <w:highlight w:val="none"/>
        </w:rPr>
        <w:t>多证合一</w:t>
      </w:r>
      <w:r>
        <w:rPr>
          <w:rFonts w:ascii="仿宋" w:hAnsi="仿宋" w:cs="宋体"/>
          <w:bCs/>
          <w:color w:val="auto"/>
          <w:highlight w:val="none"/>
        </w:rPr>
        <w:t>”</w:t>
      </w:r>
      <w:r>
        <w:rPr>
          <w:rFonts w:hint="eastAsia" w:ascii="仿宋" w:hAnsi="仿宋" w:cs="宋体"/>
          <w:bCs/>
          <w:color w:val="auto"/>
          <w:highlight w:val="none"/>
        </w:rPr>
        <w:t>营业执照</w:t>
      </w:r>
      <w:r>
        <w:rPr>
          <w:rFonts w:ascii="仿宋" w:hAnsi="仿宋" w:cs="宋体"/>
          <w:bCs/>
          <w:color w:val="auto"/>
          <w:highlight w:val="none"/>
        </w:rPr>
        <w:t>。</w:t>
      </w:r>
    </w:p>
    <w:p>
      <w:pPr>
        <w:rPr>
          <w:rFonts w:ascii="仿宋" w:hAnsi="仿宋" w:cs="宋体"/>
          <w:bCs/>
          <w:color w:val="auto"/>
          <w:highlight w:val="none"/>
        </w:rPr>
      </w:pPr>
    </w:p>
    <w:p>
      <w:pPr>
        <w:ind w:firstLine="480" w:firstLineChars="200"/>
        <w:rPr>
          <w:rFonts w:ascii="仿宋" w:hAnsi="仿宋" w:cs="宋体"/>
          <w:bCs/>
          <w:color w:val="auto"/>
          <w:highlight w:val="none"/>
        </w:rPr>
      </w:pPr>
      <w:r>
        <w:rPr>
          <w:rFonts w:hint="eastAsia" w:ascii="仿宋" w:hAnsi="仿宋" w:cs="宋体"/>
          <w:bCs/>
          <w:color w:val="auto"/>
          <w:highlight w:val="none"/>
        </w:rPr>
        <w:t>我单位对上述承诺的内容事项真实性负责。如经查实上述承诺内容存在虚假，我单位愿意接受以提供虚假材料谋取成交追究法律责任。</w:t>
      </w:r>
    </w:p>
    <w:p>
      <w:pPr>
        <w:rPr>
          <w:rFonts w:ascii="仿宋" w:hAnsi="仿宋" w:cs="宋体"/>
          <w:bCs/>
          <w:color w:val="auto"/>
          <w:highlight w:val="none"/>
        </w:rPr>
      </w:pPr>
    </w:p>
    <w:p>
      <w:pPr>
        <w:ind w:firstLine="480" w:firstLineChars="200"/>
        <w:rPr>
          <w:rFonts w:ascii="仿宋" w:hAnsi="仿宋" w:cs="宋体"/>
          <w:bCs/>
          <w:color w:val="auto"/>
          <w:highlight w:val="none"/>
        </w:rPr>
      </w:pPr>
      <w:r>
        <w:rPr>
          <w:rFonts w:hint="eastAsia" w:ascii="仿宋" w:hAnsi="仿宋" w:cs="宋体"/>
          <w:bCs/>
          <w:color w:val="auto"/>
          <w:highlight w:val="none"/>
        </w:rPr>
        <w:t>投标人名称</w:t>
      </w:r>
      <w:r>
        <w:rPr>
          <w:rFonts w:hint="eastAsia" w:ascii="仿宋" w:hAnsi="仿宋"/>
          <w:color w:val="auto"/>
          <w:highlight w:val="none"/>
        </w:rPr>
        <w:t>（电子印章）</w:t>
      </w:r>
      <w:r>
        <w:rPr>
          <w:rFonts w:hint="eastAsia" w:ascii="仿宋" w:hAnsi="仿宋" w:cs="宋体"/>
          <w:bCs/>
          <w:color w:val="auto"/>
          <w:highlight w:val="none"/>
        </w:rPr>
        <w:t>：XXXX</w:t>
      </w:r>
    </w:p>
    <w:p>
      <w:pPr>
        <w:ind w:firstLine="480" w:firstLineChars="200"/>
        <w:rPr>
          <w:rFonts w:ascii="仿宋" w:hAnsi="仿宋" w:cs="宋体"/>
          <w:bCs/>
          <w:color w:val="auto"/>
          <w:highlight w:val="none"/>
        </w:rPr>
      </w:pPr>
      <w:r>
        <w:rPr>
          <w:rFonts w:hint="eastAsia" w:ascii="仿宋" w:hAnsi="仿宋"/>
          <w:color w:val="auto"/>
          <w:highlight w:val="none"/>
        </w:rPr>
        <w:t>日    期：20XX年XX月XX日</w:t>
      </w:r>
      <w:r>
        <w:rPr>
          <w:rFonts w:hint="eastAsia" w:ascii="仿宋" w:hAnsi="仿宋" w:cs="宋体"/>
          <w:bCs/>
          <w:color w:val="auto"/>
          <w:highlight w:val="none"/>
        </w:rPr>
        <w:t>。</w:t>
      </w:r>
    </w:p>
    <w:p>
      <w:pPr>
        <w:rPr>
          <w:rFonts w:ascii="仿宋" w:hAnsi="仿宋" w:cs="宋体"/>
          <w:bCs/>
          <w:color w:val="auto"/>
          <w:highlight w:val="none"/>
        </w:rPr>
      </w:pPr>
    </w:p>
    <w:p>
      <w:pPr>
        <w:rPr>
          <w:rFonts w:ascii="仿宋" w:hAnsi="仿宋" w:cs="宋体"/>
          <w:bCs/>
          <w:color w:val="auto"/>
          <w:highlight w:val="none"/>
        </w:rPr>
      </w:pPr>
      <w:r>
        <w:rPr>
          <w:rFonts w:hint="eastAsia" w:ascii="仿宋" w:hAnsi="仿宋" w:cs="宋体"/>
          <w:bCs/>
          <w:color w:val="auto"/>
          <w:highlight w:val="none"/>
        </w:rPr>
        <w:t>注：</w:t>
      </w:r>
    </w:p>
    <w:p>
      <w:pPr>
        <w:rPr>
          <w:rFonts w:ascii="仿宋" w:hAnsi="仿宋" w:cs="宋体"/>
          <w:bCs/>
          <w:color w:val="auto"/>
          <w:highlight w:val="none"/>
        </w:rPr>
      </w:pPr>
      <w:r>
        <w:rPr>
          <w:rFonts w:hint="eastAsia" w:ascii="仿宋" w:hAnsi="仿宋" w:cs="宋体"/>
          <w:bCs/>
          <w:color w:val="auto"/>
          <w:highlight w:val="none"/>
        </w:rPr>
        <w:t>1.</w:t>
      </w:r>
      <w:r>
        <w:rPr>
          <w:rFonts w:ascii="仿宋" w:hAnsi="仿宋" w:cs="宋体"/>
          <w:bCs/>
          <w:color w:val="auto"/>
          <w:highlight w:val="none"/>
        </w:rPr>
        <w:t>根据国务院办公厅关于加快推进“多证合一”改革的指导意见（国办发</w:t>
      </w:r>
      <w:r>
        <w:rPr>
          <w:rFonts w:hint="eastAsia" w:ascii="仿宋" w:hAnsi="仿宋"/>
          <w:color w:val="auto"/>
          <w:highlight w:val="none"/>
        </w:rPr>
        <w:t>〔2017〕</w:t>
      </w:r>
      <w:r>
        <w:rPr>
          <w:rFonts w:ascii="仿宋" w:hAnsi="仿宋" w:cs="宋体"/>
          <w:bCs/>
          <w:color w:val="auto"/>
          <w:highlight w:val="none"/>
        </w:rPr>
        <w:t>41号）等政策要求，</w:t>
      </w:r>
      <w:r>
        <w:rPr>
          <w:rFonts w:ascii="仿宋" w:hAnsi="仿宋" w:cs="宋体"/>
          <w:b/>
          <w:bCs/>
          <w:color w:val="auto"/>
          <w:highlight w:val="none"/>
        </w:rPr>
        <w:t>若资格要求涉及的登记、备案等有关事项和各类证照已实行多证合一导致供应商无法</w:t>
      </w:r>
      <w:r>
        <w:rPr>
          <w:rFonts w:hint="eastAsia" w:ascii="仿宋" w:hAnsi="仿宋" w:cs="宋体"/>
          <w:b/>
          <w:bCs/>
          <w:color w:val="auto"/>
          <w:highlight w:val="none"/>
        </w:rPr>
        <w:t>单独</w:t>
      </w:r>
      <w:r>
        <w:rPr>
          <w:rFonts w:ascii="仿宋" w:hAnsi="仿宋" w:cs="宋体"/>
          <w:b/>
          <w:bCs/>
          <w:color w:val="auto"/>
          <w:highlight w:val="none"/>
        </w:rPr>
        <w:t>提供该类证明材料的</w:t>
      </w:r>
      <w:r>
        <w:rPr>
          <w:rFonts w:ascii="仿宋" w:hAnsi="仿宋" w:cs="宋体"/>
          <w:bCs/>
          <w:color w:val="auto"/>
          <w:highlight w:val="none"/>
        </w:rPr>
        <w:t>，供应商须提供</w:t>
      </w:r>
      <w:r>
        <w:rPr>
          <w:rFonts w:hint="eastAsia" w:ascii="仿宋" w:hAnsi="仿宋" w:cs="宋体"/>
          <w:bCs/>
          <w:color w:val="auto"/>
          <w:highlight w:val="none"/>
        </w:rPr>
        <w:t>该</w:t>
      </w:r>
      <w:r>
        <w:rPr>
          <w:rFonts w:ascii="仿宋" w:hAnsi="仿宋" w:cs="宋体"/>
          <w:bCs/>
          <w:color w:val="auto"/>
          <w:highlight w:val="none"/>
        </w:rPr>
        <w:t>承诺。</w:t>
      </w:r>
    </w:p>
    <w:p>
      <w:pPr>
        <w:rPr>
          <w:rFonts w:ascii="仿宋" w:hAnsi="仿宋" w:cs="宋体"/>
          <w:bCs/>
          <w:color w:val="auto"/>
          <w:highlight w:val="none"/>
        </w:rPr>
      </w:pPr>
      <w:r>
        <w:rPr>
          <w:rFonts w:hint="eastAsia" w:ascii="仿宋" w:hAnsi="仿宋" w:cs="宋体"/>
          <w:bCs/>
          <w:color w:val="auto"/>
          <w:highlight w:val="none"/>
        </w:rPr>
        <w:t>2.若已单独提供</w:t>
      </w:r>
      <w:r>
        <w:rPr>
          <w:rFonts w:ascii="仿宋" w:hAnsi="仿宋" w:cs="宋体"/>
          <w:bCs/>
          <w:color w:val="auto"/>
          <w:highlight w:val="none"/>
        </w:rPr>
        <w:t>资格要求涉及的登记、备案等有关事项和各类证照</w:t>
      </w:r>
      <w:r>
        <w:rPr>
          <w:rFonts w:hint="eastAsia" w:ascii="仿宋" w:hAnsi="仿宋" w:cs="宋体"/>
          <w:bCs/>
          <w:color w:val="auto"/>
          <w:highlight w:val="none"/>
        </w:rPr>
        <w:t>的证明材料，无需提供该承诺。</w:t>
      </w:r>
    </w:p>
    <w:p>
      <w:pPr>
        <w:rPr>
          <w:rFonts w:ascii="仿宋" w:hAnsi="仿宋" w:cs="仿宋"/>
          <w:bCs/>
          <w:color w:val="auto"/>
          <w:highlight w:val="none"/>
        </w:rPr>
      </w:pPr>
      <w:r>
        <w:rPr>
          <w:rFonts w:hint="eastAsia" w:ascii="仿宋" w:hAnsi="仿宋" w:cs="仿宋"/>
          <w:bCs/>
          <w:color w:val="auto"/>
          <w:highlight w:val="none"/>
        </w:rPr>
        <w:t>3.例如：资格要求中第X项要求“具备XX经营许可证”，供应商具备该证照：①若因该证照被“多证合一”整合而不能单独提供，则须提供该承诺；②若该证照已单独提供，则无需提供该承诺。</w:t>
      </w:r>
    </w:p>
    <w:p>
      <w:pPr>
        <w:pStyle w:val="18"/>
        <w:ind w:left="0" w:leftChars="0"/>
        <w:rPr>
          <w:rFonts w:ascii="仿宋" w:hAnsi="仿宋" w:cs="宋体"/>
          <w:bCs/>
          <w:color w:val="auto"/>
          <w:highlight w:val="none"/>
        </w:rPr>
      </w:pPr>
      <w:r>
        <w:rPr>
          <w:rFonts w:hint="eastAsia" w:ascii="仿宋" w:hAnsi="仿宋" w:cs="宋体"/>
          <w:bCs/>
          <w:color w:val="auto"/>
          <w:highlight w:val="none"/>
        </w:rPr>
        <w:t>4</w:t>
      </w:r>
      <w:r>
        <w:rPr>
          <w:rFonts w:ascii="仿宋" w:hAnsi="仿宋" w:cs="宋体"/>
          <w:bCs/>
          <w:color w:val="auto"/>
          <w:highlight w:val="none"/>
        </w:rPr>
        <w:t>.若本项目资格要求不涉及</w:t>
      </w:r>
      <w:r>
        <w:rPr>
          <w:rFonts w:hint="eastAsia" w:ascii="仿宋" w:hAnsi="仿宋" w:cs="宋体"/>
          <w:bCs/>
          <w:color w:val="auto"/>
          <w:highlight w:val="none"/>
        </w:rPr>
        <w:t>对登记、备案和各类证照的要求，也</w:t>
      </w:r>
      <w:r>
        <w:rPr>
          <w:rFonts w:ascii="仿宋" w:hAnsi="仿宋" w:cs="宋体"/>
          <w:bCs/>
          <w:color w:val="auto"/>
          <w:highlight w:val="none"/>
        </w:rPr>
        <w:t>无需提供该承诺。</w:t>
      </w:r>
    </w:p>
    <w:p>
      <w:pPr>
        <w:pStyle w:val="18"/>
        <w:ind w:left="0" w:leftChars="0"/>
        <w:rPr>
          <w:rFonts w:ascii="仿宋" w:hAnsi="仿宋" w:cs="宋体"/>
          <w:bCs/>
          <w:color w:val="auto"/>
          <w:highlight w:val="none"/>
        </w:rPr>
      </w:pPr>
    </w:p>
    <w:p>
      <w:pPr>
        <w:outlineLvl w:val="1"/>
        <w:rPr>
          <w:rFonts w:ascii="仿宋" w:hAnsi="仿宋" w:cs="仿宋"/>
          <w:color w:val="auto"/>
          <w:highlight w:val="none"/>
        </w:rPr>
      </w:pPr>
      <w:r>
        <w:rPr>
          <w:rFonts w:hint="eastAsia" w:ascii="仿宋" w:hAnsi="仿宋"/>
          <w:b/>
          <w:color w:val="auto"/>
          <w:sz w:val="32"/>
          <w:szCs w:val="32"/>
          <w:highlight w:val="none"/>
        </w:rPr>
        <w:t>资格性投标文件四：</w:t>
      </w:r>
    </w:p>
    <w:p>
      <w:pPr>
        <w:pStyle w:val="5"/>
        <w:spacing w:before="0" w:after="0"/>
        <w:jc w:val="both"/>
        <w:rPr>
          <w:rFonts w:ascii="仿宋" w:hAnsi="仿宋" w:cs="仿宋"/>
          <w:color w:val="auto"/>
          <w:highlight w:val="none"/>
        </w:rPr>
      </w:pPr>
      <w:r>
        <w:rPr>
          <w:rFonts w:hint="eastAsia" w:ascii="仿宋" w:hAnsi="仿宋" w:cs="仿宋"/>
          <w:color w:val="auto"/>
          <w:highlight w:val="none"/>
        </w:rPr>
        <w:t>格式1-10 投标人和投标产品其他资格、资质性及其他类似效力要求的相关证明材料（如涉及）</w:t>
      </w:r>
    </w:p>
    <w:p>
      <w:pPr>
        <w:rPr>
          <w:rFonts w:ascii="仿宋" w:hAnsi="仿宋" w:cs="宋体"/>
          <w:bCs/>
          <w:color w:val="auto"/>
          <w:highlight w:val="none"/>
        </w:rPr>
      </w:pPr>
      <w:r>
        <w:rPr>
          <w:rFonts w:hint="eastAsia" w:ascii="仿宋" w:hAnsi="仿宋" w:cs="宋体"/>
          <w:bCs/>
          <w:color w:val="auto"/>
          <w:highlight w:val="none"/>
        </w:rPr>
        <w:t>注：投标人应按招标文件第五章相关要求提供佐证材料，有格式要求的从其要求，无格式要求的格式自拟。</w:t>
      </w:r>
    </w:p>
    <w:p>
      <w:pPr>
        <w:pStyle w:val="18"/>
        <w:ind w:left="0" w:leftChars="0"/>
        <w:rPr>
          <w:rFonts w:ascii="仿宋" w:hAnsi="仿宋" w:cs="宋体"/>
          <w:bCs/>
          <w:color w:val="auto"/>
          <w:highlight w:val="none"/>
        </w:rPr>
      </w:pPr>
    </w:p>
    <w:p>
      <w:pPr>
        <w:pStyle w:val="18"/>
        <w:ind w:left="0" w:leftChars="0"/>
        <w:rPr>
          <w:rFonts w:ascii="仿宋" w:hAnsi="仿宋" w:cs="宋体"/>
          <w:bCs/>
          <w:color w:val="auto"/>
          <w:highlight w:val="none"/>
        </w:rPr>
      </w:pPr>
    </w:p>
    <w:p>
      <w:pPr>
        <w:rPr>
          <w:rFonts w:ascii="仿宋" w:hAnsi="仿宋"/>
          <w:b/>
          <w:color w:val="auto"/>
          <w:sz w:val="32"/>
          <w:highlight w:val="none"/>
        </w:rPr>
      </w:pPr>
      <w:r>
        <w:rPr>
          <w:rFonts w:ascii="仿宋" w:hAnsi="仿宋"/>
          <w:b/>
          <w:color w:val="auto"/>
          <w:sz w:val="32"/>
          <w:highlight w:val="none"/>
        </w:rPr>
        <w:br w:type="page"/>
      </w:r>
    </w:p>
    <w:p>
      <w:pPr>
        <w:jc w:val="center"/>
        <w:rPr>
          <w:rFonts w:ascii="仿宋" w:hAnsi="仿宋" w:cs="宋体"/>
          <w:bCs/>
          <w:color w:val="auto"/>
          <w:highlight w:val="none"/>
        </w:rPr>
      </w:pPr>
      <w:r>
        <w:rPr>
          <w:rFonts w:ascii="仿宋" w:hAnsi="仿宋"/>
          <w:b/>
          <w:color w:val="auto"/>
          <w:sz w:val="32"/>
          <w:highlight w:val="none"/>
        </w:rPr>
        <w:t>第</w:t>
      </w:r>
      <w:r>
        <w:rPr>
          <w:rFonts w:hint="eastAsia" w:ascii="仿宋" w:hAnsi="仿宋"/>
          <w:b/>
          <w:color w:val="auto"/>
          <w:sz w:val="32"/>
          <w:highlight w:val="none"/>
        </w:rPr>
        <w:t>二</w:t>
      </w:r>
      <w:r>
        <w:rPr>
          <w:rFonts w:ascii="仿宋" w:hAnsi="仿宋"/>
          <w:b/>
          <w:color w:val="auto"/>
          <w:sz w:val="32"/>
          <w:highlight w:val="none"/>
        </w:rPr>
        <w:t xml:space="preserve">部分     </w:t>
      </w:r>
      <w:r>
        <w:rPr>
          <w:rFonts w:hint="eastAsia" w:ascii="仿宋" w:hAnsi="仿宋"/>
          <w:b/>
          <w:color w:val="auto"/>
          <w:sz w:val="32"/>
          <w:highlight w:val="none"/>
        </w:rPr>
        <w:t>“其他响应性投标</w:t>
      </w:r>
      <w:r>
        <w:rPr>
          <w:rFonts w:ascii="仿宋" w:hAnsi="仿宋"/>
          <w:b/>
          <w:color w:val="auto"/>
          <w:sz w:val="32"/>
          <w:highlight w:val="none"/>
        </w:rPr>
        <w:t>文件</w:t>
      </w:r>
      <w:r>
        <w:rPr>
          <w:rFonts w:hint="eastAsia" w:ascii="仿宋" w:hAnsi="仿宋"/>
          <w:b/>
          <w:color w:val="auto"/>
          <w:sz w:val="32"/>
          <w:highlight w:val="none"/>
        </w:rPr>
        <w:t>”</w:t>
      </w:r>
      <w:r>
        <w:rPr>
          <w:rFonts w:ascii="仿宋" w:hAnsi="仿宋"/>
          <w:b/>
          <w:color w:val="auto"/>
          <w:sz w:val="32"/>
          <w:highlight w:val="none"/>
        </w:rPr>
        <w:t>格式</w:t>
      </w:r>
    </w:p>
    <w:p>
      <w:pPr>
        <w:pStyle w:val="5"/>
        <w:spacing w:before="0" w:after="0"/>
        <w:rPr>
          <w:rFonts w:ascii="仿宋" w:hAnsi="仿宋" w:cs="仿宋"/>
          <w:color w:val="auto"/>
          <w:highlight w:val="none"/>
        </w:rPr>
      </w:pPr>
      <w:r>
        <w:rPr>
          <w:rFonts w:hint="eastAsia" w:ascii="仿宋" w:hAnsi="仿宋" w:cs="仿宋"/>
          <w:color w:val="auto"/>
          <w:highlight w:val="none"/>
        </w:rPr>
        <w:t>格式2-1封面：</w:t>
      </w:r>
    </w:p>
    <w:p>
      <w:pPr>
        <w:rPr>
          <w:rFonts w:ascii="仿宋" w:hAnsi="仿宋"/>
          <w:b/>
          <w:color w:val="auto"/>
          <w:sz w:val="32"/>
          <w:szCs w:val="32"/>
          <w:highlight w:val="none"/>
        </w:rPr>
      </w:pPr>
    </w:p>
    <w:p>
      <w:pPr>
        <w:rPr>
          <w:rFonts w:ascii="仿宋" w:hAnsi="仿宋"/>
          <w:b/>
          <w:color w:val="auto"/>
          <w:sz w:val="32"/>
          <w:szCs w:val="32"/>
          <w:highlight w:val="none"/>
        </w:rPr>
      </w:pPr>
    </w:p>
    <w:p>
      <w:pPr>
        <w:jc w:val="center"/>
        <w:rPr>
          <w:rFonts w:ascii="仿宋" w:hAnsi="仿宋"/>
          <w:b/>
          <w:color w:val="auto"/>
          <w:sz w:val="72"/>
          <w:highlight w:val="none"/>
        </w:rPr>
      </w:pPr>
      <w:r>
        <w:rPr>
          <w:rFonts w:hint="eastAsia" w:ascii="仿宋" w:hAnsi="仿宋"/>
          <w:b/>
          <w:color w:val="auto"/>
          <w:sz w:val="40"/>
          <w:szCs w:val="48"/>
          <w:highlight w:val="none"/>
        </w:rPr>
        <w:t>X</w:t>
      </w:r>
      <w:r>
        <w:rPr>
          <w:rFonts w:ascii="仿宋" w:hAnsi="仿宋"/>
          <w:b/>
          <w:color w:val="auto"/>
          <w:sz w:val="40"/>
          <w:szCs w:val="48"/>
          <w:highlight w:val="none"/>
        </w:rPr>
        <w:t>XX</w:t>
      </w:r>
      <w:r>
        <w:rPr>
          <w:rFonts w:hint="eastAsia" w:ascii="仿宋" w:hAnsi="仿宋"/>
          <w:b/>
          <w:color w:val="auto"/>
          <w:sz w:val="40"/>
          <w:szCs w:val="48"/>
          <w:highlight w:val="none"/>
        </w:rPr>
        <w:t>项目</w:t>
      </w:r>
    </w:p>
    <w:p>
      <w:pPr>
        <w:rPr>
          <w:rFonts w:ascii="仿宋" w:hAnsi="仿宋"/>
          <w:b/>
          <w:color w:val="auto"/>
          <w:sz w:val="52"/>
          <w:szCs w:val="52"/>
          <w:highlight w:val="none"/>
        </w:rPr>
      </w:pPr>
    </w:p>
    <w:p>
      <w:pPr>
        <w:rPr>
          <w:rFonts w:ascii="仿宋" w:hAnsi="仿宋"/>
          <w:b/>
          <w:color w:val="auto"/>
          <w:sz w:val="52"/>
          <w:szCs w:val="52"/>
          <w:highlight w:val="none"/>
        </w:rPr>
      </w:pPr>
    </w:p>
    <w:p>
      <w:pPr>
        <w:jc w:val="center"/>
        <w:rPr>
          <w:rFonts w:ascii="仿宋" w:hAnsi="仿宋"/>
          <w:b/>
          <w:color w:val="auto"/>
          <w:sz w:val="32"/>
          <w:szCs w:val="32"/>
          <w:highlight w:val="none"/>
        </w:rPr>
      </w:pPr>
      <w:r>
        <w:rPr>
          <w:rFonts w:hint="eastAsia" w:ascii="仿宋" w:hAnsi="仿宋"/>
          <w:b/>
          <w:color w:val="auto"/>
          <w:sz w:val="52"/>
          <w:szCs w:val="52"/>
          <w:highlight w:val="none"/>
        </w:rPr>
        <w:t>其他响应性投标文件</w:t>
      </w:r>
    </w:p>
    <w:p>
      <w:pPr>
        <w:rPr>
          <w:rFonts w:ascii="仿宋" w:hAnsi="仿宋"/>
          <w:b/>
          <w:color w:val="auto"/>
          <w:sz w:val="36"/>
          <w:highlight w:val="none"/>
        </w:rPr>
      </w:pPr>
    </w:p>
    <w:p>
      <w:pPr>
        <w:rPr>
          <w:rFonts w:ascii="仿宋" w:hAnsi="仿宋"/>
          <w:b/>
          <w:color w:val="auto"/>
          <w:sz w:val="36"/>
          <w:highlight w:val="none"/>
        </w:rPr>
      </w:pPr>
    </w:p>
    <w:p>
      <w:pPr>
        <w:rPr>
          <w:rFonts w:ascii="仿宋" w:hAnsi="仿宋"/>
          <w:b/>
          <w:color w:val="auto"/>
          <w:sz w:val="32"/>
          <w:highlight w:val="none"/>
          <w:u w:val="single"/>
        </w:rPr>
      </w:pPr>
      <w:r>
        <w:rPr>
          <w:rFonts w:hint="eastAsia" w:ascii="仿宋" w:hAnsi="仿宋"/>
          <w:b/>
          <w:color w:val="auto"/>
          <w:sz w:val="32"/>
          <w:highlight w:val="none"/>
        </w:rPr>
        <w:t>投标人</w:t>
      </w:r>
      <w:r>
        <w:rPr>
          <w:rFonts w:ascii="仿宋" w:hAnsi="仿宋"/>
          <w:b/>
          <w:color w:val="auto"/>
          <w:sz w:val="32"/>
          <w:highlight w:val="none"/>
        </w:rPr>
        <w:t>名称</w:t>
      </w:r>
      <w:r>
        <w:rPr>
          <w:rFonts w:hint="eastAsia" w:ascii="仿宋" w:hAnsi="仿宋"/>
          <w:b/>
          <w:color w:val="auto"/>
          <w:sz w:val="32"/>
          <w:highlight w:val="none"/>
        </w:rPr>
        <w:t>（电子印章）</w:t>
      </w:r>
      <w:r>
        <w:rPr>
          <w:rFonts w:ascii="仿宋" w:hAnsi="仿宋"/>
          <w:b/>
          <w:color w:val="auto"/>
          <w:sz w:val="32"/>
          <w:highlight w:val="none"/>
        </w:rPr>
        <w:t>：</w:t>
      </w:r>
    </w:p>
    <w:p>
      <w:pPr>
        <w:rPr>
          <w:rFonts w:ascii="仿宋" w:hAnsi="仿宋"/>
          <w:b/>
          <w:color w:val="auto"/>
          <w:sz w:val="32"/>
          <w:highlight w:val="none"/>
          <w:u w:val="single"/>
        </w:rPr>
      </w:pPr>
      <w:r>
        <w:rPr>
          <w:rFonts w:hint="eastAsia" w:ascii="仿宋" w:hAnsi="仿宋"/>
          <w:b/>
          <w:color w:val="auto"/>
          <w:sz w:val="32"/>
          <w:highlight w:val="none"/>
        </w:rPr>
        <w:t>采购项目</w:t>
      </w:r>
      <w:r>
        <w:rPr>
          <w:rFonts w:ascii="仿宋" w:hAnsi="仿宋"/>
          <w:b/>
          <w:color w:val="auto"/>
          <w:sz w:val="32"/>
          <w:highlight w:val="none"/>
        </w:rPr>
        <w:t>编号：</w:t>
      </w:r>
    </w:p>
    <w:p>
      <w:pPr>
        <w:rPr>
          <w:rFonts w:ascii="仿宋" w:hAnsi="仿宋"/>
          <w:b/>
          <w:color w:val="auto"/>
          <w:sz w:val="32"/>
          <w:highlight w:val="none"/>
          <w:u w:val="single"/>
        </w:rPr>
      </w:pPr>
      <w:r>
        <w:rPr>
          <w:rFonts w:hint="eastAsia" w:ascii="仿宋" w:hAnsi="仿宋"/>
          <w:b/>
          <w:color w:val="auto"/>
          <w:sz w:val="32"/>
          <w:highlight w:val="none"/>
        </w:rPr>
        <w:t>包        号</w:t>
      </w:r>
      <w:r>
        <w:rPr>
          <w:rFonts w:ascii="仿宋" w:hAnsi="仿宋"/>
          <w:b/>
          <w:color w:val="auto"/>
          <w:sz w:val="32"/>
          <w:highlight w:val="none"/>
        </w:rPr>
        <w:t>：</w:t>
      </w:r>
    </w:p>
    <w:p>
      <w:pPr>
        <w:ind w:firstLine="790" w:firstLineChars="246"/>
        <w:jc w:val="center"/>
        <w:rPr>
          <w:rFonts w:ascii="仿宋" w:hAnsi="仿宋"/>
          <w:b/>
          <w:color w:val="auto"/>
          <w:sz w:val="32"/>
          <w:highlight w:val="none"/>
        </w:rPr>
      </w:pPr>
    </w:p>
    <w:p>
      <w:pPr>
        <w:ind w:firstLine="790" w:firstLineChars="246"/>
        <w:rPr>
          <w:rFonts w:ascii="仿宋" w:hAnsi="仿宋"/>
          <w:b/>
          <w:color w:val="auto"/>
          <w:sz w:val="32"/>
          <w:highlight w:val="none"/>
        </w:rPr>
      </w:pPr>
      <w:r>
        <w:rPr>
          <w:rFonts w:hint="eastAsia" w:ascii="仿宋" w:hAnsi="仿宋"/>
          <w:b/>
          <w:color w:val="auto"/>
          <w:sz w:val="32"/>
          <w:highlight w:val="none"/>
        </w:rPr>
        <w:t xml:space="preserve">        投标时间</w:t>
      </w:r>
      <w:r>
        <w:rPr>
          <w:rFonts w:ascii="仿宋" w:hAnsi="仿宋"/>
          <w:b/>
          <w:color w:val="auto"/>
          <w:sz w:val="32"/>
          <w:highlight w:val="none"/>
        </w:rPr>
        <w:t>：</w:t>
      </w:r>
      <w:r>
        <w:rPr>
          <w:rFonts w:hint="eastAsia" w:ascii="仿宋" w:hAnsi="仿宋"/>
          <w:b/>
          <w:color w:val="auto"/>
          <w:sz w:val="32"/>
          <w:highlight w:val="none"/>
        </w:rPr>
        <w:t xml:space="preserve"> 年  </w:t>
      </w:r>
      <w:r>
        <w:rPr>
          <w:rFonts w:ascii="仿宋" w:hAnsi="仿宋"/>
          <w:b/>
          <w:color w:val="auto"/>
          <w:sz w:val="32"/>
          <w:highlight w:val="none"/>
        </w:rPr>
        <w:t>月</w:t>
      </w:r>
      <w:r>
        <w:rPr>
          <w:rFonts w:hint="eastAsia" w:ascii="仿宋" w:hAnsi="仿宋"/>
          <w:b/>
          <w:color w:val="auto"/>
          <w:sz w:val="32"/>
          <w:highlight w:val="none"/>
        </w:rPr>
        <w:t xml:space="preserve">  </w:t>
      </w:r>
      <w:r>
        <w:rPr>
          <w:rFonts w:ascii="仿宋" w:hAnsi="仿宋"/>
          <w:b/>
          <w:color w:val="auto"/>
          <w:sz w:val="32"/>
          <w:highlight w:val="none"/>
        </w:rPr>
        <w:t>日</w:t>
      </w:r>
      <w:r>
        <w:rPr>
          <w:rFonts w:ascii="仿宋" w:hAnsi="仿宋"/>
          <w:b/>
          <w:color w:val="auto"/>
          <w:sz w:val="32"/>
          <w:highlight w:val="none"/>
        </w:rPr>
        <w:br w:type="page"/>
      </w:r>
    </w:p>
    <w:bookmarkEnd w:id="133"/>
    <w:bookmarkEnd w:id="134"/>
    <w:p>
      <w:pPr>
        <w:pStyle w:val="5"/>
        <w:spacing w:before="0" w:after="0"/>
        <w:rPr>
          <w:rFonts w:ascii="仿宋" w:hAnsi="仿宋" w:cs="仿宋"/>
          <w:color w:val="auto"/>
          <w:highlight w:val="none"/>
        </w:rPr>
      </w:pPr>
      <w:bookmarkStart w:id="137" w:name="_Toc308164824"/>
      <w:r>
        <w:rPr>
          <w:rFonts w:hint="eastAsia" w:ascii="仿宋" w:hAnsi="仿宋" w:cs="仿宋"/>
          <w:color w:val="auto"/>
          <w:highlight w:val="none"/>
        </w:rPr>
        <w:t>格式2-2 投 标 函</w:t>
      </w:r>
    </w:p>
    <w:p>
      <w:pPr>
        <w:widowControl/>
        <w:spacing w:line="360" w:lineRule="atLeast"/>
        <w:jc w:val="center"/>
        <w:rPr>
          <w:rFonts w:ascii="仿宋" w:hAnsi="仿宋"/>
          <w:b/>
          <w:bCs/>
          <w:color w:val="auto"/>
          <w:sz w:val="32"/>
          <w:szCs w:val="32"/>
          <w:highlight w:val="none"/>
        </w:rPr>
      </w:pPr>
      <w:r>
        <w:rPr>
          <w:rFonts w:hint="eastAsia" w:ascii="仿宋" w:hAnsi="仿宋" w:cs="仿宋"/>
          <w:b/>
          <w:bCs/>
          <w:color w:val="auto"/>
          <w:sz w:val="32"/>
          <w:szCs w:val="32"/>
          <w:highlight w:val="none"/>
        </w:rPr>
        <w:t>投 标 函</w:t>
      </w:r>
    </w:p>
    <w:p>
      <w:pPr>
        <w:widowControl/>
        <w:rPr>
          <w:rFonts w:ascii="仿宋" w:hAnsi="仿宋"/>
          <w:color w:val="auto"/>
          <w:highlight w:val="none"/>
        </w:rPr>
      </w:pPr>
      <w:r>
        <w:rPr>
          <w:rFonts w:hint="eastAsia" w:ascii="仿宋" w:hAnsi="仿宋"/>
          <w:color w:val="auto"/>
          <w:highlight w:val="none"/>
        </w:rPr>
        <w:t>XXXX（采购代理机构名称）：</w:t>
      </w:r>
    </w:p>
    <w:p>
      <w:pPr>
        <w:widowControl/>
        <w:ind w:firstLine="470" w:firstLineChars="196"/>
        <w:rPr>
          <w:rFonts w:ascii="仿宋" w:hAnsi="仿宋"/>
          <w:color w:val="auto"/>
          <w:highlight w:val="none"/>
        </w:rPr>
      </w:pPr>
      <w:r>
        <w:rPr>
          <w:rFonts w:hint="eastAsia" w:ascii="仿宋" w:hAnsi="仿宋"/>
          <w:color w:val="auto"/>
          <w:highlight w:val="none"/>
        </w:rPr>
        <w:t>我方全面研究了“</w:t>
      </w:r>
      <w:r>
        <w:rPr>
          <w:rFonts w:hint="eastAsia" w:ascii="仿宋" w:hAnsi="仿宋"/>
          <w:color w:val="auto"/>
          <w:highlight w:val="none"/>
          <w:u w:val="single"/>
        </w:rPr>
        <w:t>XXXXXXXX采购</w:t>
      </w:r>
      <w:r>
        <w:rPr>
          <w:rFonts w:hint="eastAsia" w:ascii="仿宋" w:hAnsi="仿宋"/>
          <w:color w:val="auto"/>
          <w:highlight w:val="none"/>
        </w:rPr>
        <w:t>项目”（招标编号：</w:t>
      </w:r>
      <w:r>
        <w:rPr>
          <w:rFonts w:hint="eastAsia" w:ascii="仿宋" w:hAnsi="仿宋"/>
          <w:color w:val="auto"/>
          <w:highlight w:val="none"/>
          <w:u w:val="single"/>
        </w:rPr>
        <w:t>XXXX</w:t>
      </w:r>
      <w:r>
        <w:rPr>
          <w:rFonts w:hint="eastAsia" w:ascii="仿宋" w:hAnsi="仿宋"/>
          <w:color w:val="auto"/>
          <w:highlight w:val="none"/>
        </w:rPr>
        <w:t>）招标文件，决定参加贵单位组织的本项目投标。</w:t>
      </w:r>
    </w:p>
    <w:p>
      <w:pPr>
        <w:widowControl/>
        <w:ind w:firstLine="470" w:firstLineChars="196"/>
        <w:rPr>
          <w:rFonts w:ascii="仿宋" w:hAnsi="仿宋"/>
          <w:color w:val="auto"/>
          <w:highlight w:val="none"/>
        </w:rPr>
      </w:pPr>
      <w:r>
        <w:rPr>
          <w:rFonts w:hint="eastAsia" w:ascii="仿宋" w:hAnsi="仿宋"/>
          <w:color w:val="auto"/>
          <w:highlight w:val="none"/>
        </w:rPr>
        <w:t>一、我方自愿按照招标文件规定的各项要求向采购人提供所需货物/服务。</w:t>
      </w:r>
    </w:p>
    <w:p>
      <w:pPr>
        <w:widowControl/>
        <w:ind w:firstLine="470" w:firstLineChars="196"/>
        <w:rPr>
          <w:rFonts w:ascii="仿宋" w:hAnsi="仿宋"/>
          <w:color w:val="auto"/>
          <w:highlight w:val="none"/>
        </w:rPr>
      </w:pPr>
      <w:r>
        <w:rPr>
          <w:rFonts w:hint="eastAsia" w:ascii="仿宋" w:hAnsi="仿宋"/>
          <w:color w:val="auto"/>
          <w:highlight w:val="none"/>
        </w:rPr>
        <w:t>二、一旦我方中标，我方将严格履行政府采购合同规定的责任和义务。</w:t>
      </w:r>
    </w:p>
    <w:p>
      <w:pPr>
        <w:widowControl/>
        <w:ind w:firstLine="470" w:firstLineChars="196"/>
        <w:rPr>
          <w:rFonts w:ascii="仿宋" w:hAnsi="仿宋"/>
          <w:color w:val="auto"/>
          <w:highlight w:val="none"/>
        </w:rPr>
      </w:pPr>
      <w:r>
        <w:rPr>
          <w:rFonts w:hint="eastAsia" w:ascii="仿宋" w:hAnsi="仿宋"/>
          <w:color w:val="auto"/>
          <w:highlight w:val="none"/>
        </w:rPr>
        <w:t>三、我方同意本次招标的投标有效期为投标截止时间届满后</w:t>
      </w:r>
      <w:r>
        <w:rPr>
          <w:rFonts w:hint="eastAsia" w:ascii="仿宋" w:hAnsi="仿宋"/>
          <w:color w:val="auto"/>
          <w:highlight w:val="none"/>
          <w:u w:val="single"/>
        </w:rPr>
        <w:t>XXXX</w:t>
      </w:r>
      <w:r>
        <w:rPr>
          <w:rFonts w:hint="eastAsia" w:ascii="仿宋" w:hAnsi="仿宋"/>
          <w:color w:val="auto"/>
          <w:highlight w:val="none"/>
        </w:rPr>
        <w:t>天，</w:t>
      </w:r>
      <w:r>
        <w:rPr>
          <w:rFonts w:ascii="仿宋" w:hAnsi="仿宋"/>
          <w:color w:val="auto"/>
          <w:highlight w:val="none"/>
        </w:rPr>
        <w:t>并满足招标文件</w:t>
      </w:r>
      <w:r>
        <w:rPr>
          <w:rFonts w:hint="eastAsia" w:ascii="仿宋" w:hAnsi="仿宋"/>
          <w:color w:val="auto"/>
          <w:highlight w:val="none"/>
        </w:rPr>
        <w:t>中其他</w:t>
      </w:r>
      <w:r>
        <w:rPr>
          <w:rFonts w:ascii="仿宋" w:hAnsi="仿宋"/>
          <w:color w:val="auto"/>
          <w:highlight w:val="none"/>
        </w:rPr>
        <w:t>关于</w:t>
      </w:r>
      <w:r>
        <w:rPr>
          <w:rFonts w:hint="eastAsia" w:ascii="仿宋" w:hAnsi="仿宋"/>
          <w:color w:val="auto"/>
          <w:highlight w:val="none"/>
        </w:rPr>
        <w:t>投标有效期的</w:t>
      </w:r>
      <w:r>
        <w:rPr>
          <w:rFonts w:ascii="仿宋" w:hAnsi="仿宋"/>
          <w:color w:val="auto"/>
          <w:highlight w:val="none"/>
        </w:rPr>
        <w:t>实质性要求</w:t>
      </w:r>
      <w:r>
        <w:rPr>
          <w:rFonts w:hint="eastAsia" w:ascii="仿宋" w:hAnsi="仿宋"/>
          <w:color w:val="auto"/>
          <w:highlight w:val="none"/>
        </w:rPr>
        <w:t>。</w:t>
      </w:r>
    </w:p>
    <w:p>
      <w:pPr>
        <w:widowControl/>
        <w:ind w:firstLine="470" w:firstLineChars="196"/>
        <w:rPr>
          <w:rFonts w:ascii="仿宋" w:hAnsi="仿宋"/>
          <w:color w:val="auto"/>
          <w:highlight w:val="none"/>
        </w:rPr>
      </w:pPr>
      <w:r>
        <w:rPr>
          <w:rFonts w:hint="eastAsia" w:ascii="仿宋" w:hAnsi="仿宋"/>
          <w:color w:val="auto"/>
          <w:highlight w:val="none"/>
        </w:rPr>
        <w:t>四、我方愿意提供贵单位可能另外要求的，与投标有关的文件资料，并保证我方已提供和将要提供的文件资料是真实、准确的。</w:t>
      </w:r>
    </w:p>
    <w:p>
      <w:pPr>
        <w:pStyle w:val="18"/>
        <w:spacing w:line="360" w:lineRule="auto"/>
        <w:ind w:left="480"/>
        <w:rPr>
          <w:color w:val="auto"/>
          <w:highlight w:val="none"/>
        </w:rPr>
      </w:pPr>
    </w:p>
    <w:p>
      <w:pPr>
        <w:widowControl/>
        <w:ind w:firstLine="470" w:firstLineChars="196"/>
        <w:rPr>
          <w:rFonts w:ascii="仿宋" w:hAnsi="仿宋"/>
          <w:color w:val="auto"/>
          <w:highlight w:val="none"/>
        </w:rPr>
      </w:pPr>
      <w:r>
        <w:rPr>
          <w:rFonts w:hint="eastAsia" w:ascii="仿宋" w:hAnsi="仿宋"/>
          <w:color w:val="auto"/>
          <w:highlight w:val="none"/>
        </w:rPr>
        <w:t>投标人名称：XXXX</w:t>
      </w:r>
    </w:p>
    <w:p>
      <w:pPr>
        <w:widowControl/>
        <w:ind w:firstLine="470" w:firstLineChars="196"/>
        <w:rPr>
          <w:rFonts w:ascii="仿宋" w:hAnsi="仿宋"/>
          <w:color w:val="auto"/>
          <w:highlight w:val="none"/>
        </w:rPr>
      </w:pPr>
      <w:r>
        <w:rPr>
          <w:rFonts w:hint="eastAsia" w:ascii="仿宋" w:hAnsi="仿宋"/>
          <w:color w:val="auto"/>
          <w:highlight w:val="none"/>
        </w:rPr>
        <w:t>通讯地址：XXXX。</w:t>
      </w:r>
    </w:p>
    <w:p>
      <w:pPr>
        <w:widowControl/>
        <w:ind w:firstLine="470" w:firstLineChars="196"/>
        <w:rPr>
          <w:rFonts w:ascii="仿宋" w:hAnsi="仿宋"/>
          <w:color w:val="auto"/>
          <w:highlight w:val="none"/>
        </w:rPr>
      </w:pPr>
      <w:r>
        <w:rPr>
          <w:rFonts w:hint="eastAsia" w:ascii="仿宋" w:hAnsi="仿宋"/>
          <w:color w:val="auto"/>
          <w:highlight w:val="none"/>
        </w:rPr>
        <w:t>邮政编码：XXXX。</w:t>
      </w:r>
    </w:p>
    <w:p>
      <w:pPr>
        <w:widowControl/>
        <w:ind w:firstLine="470" w:firstLineChars="196"/>
        <w:rPr>
          <w:rFonts w:ascii="仿宋" w:hAnsi="仿宋"/>
          <w:color w:val="auto"/>
          <w:highlight w:val="none"/>
        </w:rPr>
      </w:pPr>
      <w:r>
        <w:rPr>
          <w:rFonts w:hint="eastAsia" w:ascii="仿宋" w:hAnsi="仿宋"/>
          <w:color w:val="auto"/>
          <w:highlight w:val="none"/>
        </w:rPr>
        <w:t>联系电话：XXXX。</w:t>
      </w:r>
    </w:p>
    <w:p>
      <w:pPr>
        <w:widowControl/>
        <w:ind w:firstLine="470" w:firstLineChars="196"/>
        <w:rPr>
          <w:rFonts w:ascii="仿宋" w:hAnsi="仿宋"/>
          <w:color w:val="auto"/>
          <w:highlight w:val="none"/>
        </w:rPr>
      </w:pPr>
      <w:r>
        <w:rPr>
          <w:rFonts w:hint="eastAsia" w:ascii="仿宋" w:hAnsi="仿宋"/>
          <w:color w:val="auto"/>
          <w:highlight w:val="none"/>
        </w:rPr>
        <w:t>传    真：XXXX。</w:t>
      </w:r>
    </w:p>
    <w:p>
      <w:pPr>
        <w:widowControl/>
        <w:ind w:firstLine="470" w:firstLineChars="196"/>
        <w:rPr>
          <w:rFonts w:ascii="仿宋" w:hAnsi="仿宋"/>
          <w:b/>
          <w:color w:val="auto"/>
          <w:sz w:val="32"/>
          <w:szCs w:val="32"/>
          <w:highlight w:val="none"/>
        </w:rPr>
      </w:pPr>
      <w:r>
        <w:rPr>
          <w:rFonts w:hint="eastAsia" w:ascii="仿宋" w:hAnsi="仿宋"/>
          <w:color w:val="auto"/>
          <w:highlight w:val="none"/>
        </w:rPr>
        <w:t>日    期：20XX年XX月XX日。</w:t>
      </w:r>
      <w:r>
        <w:rPr>
          <w:rFonts w:hint="eastAsia" w:ascii="仿宋" w:hAnsi="仿宋"/>
          <w:b/>
          <w:color w:val="auto"/>
          <w:sz w:val="32"/>
          <w:szCs w:val="32"/>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格式2-3 承诺函</w:t>
      </w:r>
    </w:p>
    <w:p>
      <w:pPr>
        <w:widowControl/>
        <w:spacing w:line="240" w:lineRule="auto"/>
        <w:jc w:val="center"/>
        <w:rPr>
          <w:rFonts w:ascii="仿宋" w:hAnsi="仿宋"/>
          <w:b/>
          <w:color w:val="auto"/>
          <w:highlight w:val="none"/>
        </w:rPr>
      </w:pP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承 诺 函</w:t>
      </w:r>
    </w:p>
    <w:p>
      <w:pPr>
        <w:widowControl/>
        <w:rPr>
          <w:rFonts w:ascii="仿宋" w:hAnsi="仿宋"/>
          <w:color w:val="auto"/>
          <w:highlight w:val="none"/>
        </w:rPr>
      </w:pPr>
      <w:r>
        <w:rPr>
          <w:rFonts w:hint="eastAsia" w:ascii="仿宋" w:hAnsi="仿宋"/>
          <w:color w:val="auto"/>
          <w:highlight w:val="none"/>
        </w:rPr>
        <w:t>XXXX（采购代理机构名称）：</w:t>
      </w:r>
    </w:p>
    <w:p>
      <w:pPr>
        <w:widowControl/>
        <w:ind w:firstLine="480" w:firstLineChars="200"/>
        <w:rPr>
          <w:rFonts w:ascii="仿宋" w:hAnsi="仿宋"/>
          <w:color w:val="auto"/>
          <w:highlight w:val="none"/>
        </w:rPr>
      </w:pPr>
      <w:r>
        <w:rPr>
          <w:rFonts w:hint="eastAsia" w:ascii="仿宋" w:hAnsi="仿宋"/>
          <w:color w:val="auto"/>
          <w:highlight w:val="none"/>
        </w:rPr>
        <w:t>我方作为本次采购项目的投标人，根据招标文件要求，现郑重承诺如下：</w:t>
      </w:r>
    </w:p>
    <w:p>
      <w:pPr>
        <w:widowControl/>
        <w:ind w:firstLine="480" w:firstLineChars="200"/>
        <w:rPr>
          <w:rFonts w:ascii="仿宋" w:hAnsi="仿宋"/>
          <w:color w:val="auto"/>
          <w:highlight w:val="none"/>
        </w:rPr>
      </w:pPr>
      <w:r>
        <w:rPr>
          <w:rFonts w:hint="eastAsia" w:ascii="仿宋" w:hAnsi="仿宋"/>
          <w:color w:val="auto"/>
          <w:highlight w:val="none"/>
        </w:rPr>
        <w:t>一、我方已认真阅读并接受本项目招标文件第二章的全部实质性要求</w:t>
      </w:r>
      <w:r>
        <w:rPr>
          <w:rFonts w:ascii="仿宋" w:hAnsi="仿宋"/>
          <w:color w:val="auto"/>
          <w:highlight w:val="none"/>
        </w:rPr>
        <w:t>，如对招标文件有异议，</w:t>
      </w:r>
      <w:r>
        <w:rPr>
          <w:rFonts w:hint="eastAsia" w:ascii="仿宋" w:hAnsi="仿宋"/>
          <w:color w:val="auto"/>
          <w:highlight w:val="none"/>
        </w:rPr>
        <w:t>已</w:t>
      </w:r>
      <w:r>
        <w:rPr>
          <w:rFonts w:ascii="仿宋" w:hAnsi="仿宋"/>
          <w:color w:val="auto"/>
          <w:highlight w:val="none"/>
        </w:rPr>
        <w:t>依法进行维权救济，不存在对招标文件有异议的同时又参加投标以求侥幸中标或者为实现其他非法目的的行为。</w:t>
      </w:r>
    </w:p>
    <w:p>
      <w:pPr>
        <w:widowControl/>
        <w:ind w:firstLine="480" w:firstLineChars="200"/>
        <w:rPr>
          <w:rFonts w:ascii="仿宋" w:hAnsi="仿宋"/>
          <w:color w:val="auto"/>
          <w:highlight w:val="none"/>
        </w:rPr>
      </w:pPr>
      <w:r>
        <w:rPr>
          <w:rFonts w:hint="eastAsia" w:ascii="仿宋" w:hAnsi="仿宋"/>
          <w:color w:val="auto"/>
          <w:highlight w:val="none"/>
        </w:rPr>
        <w:t>二、参加本次招标采购活动，不存在与单位负责人为同一人或者存在直接控股、管理关系的其他供应商参与同一合同项下的政府采购活动的行为。</w:t>
      </w:r>
      <w:r>
        <w:rPr>
          <w:rFonts w:hint="eastAsia" w:ascii="仿宋" w:hAnsi="仿宋"/>
          <w:b/>
          <w:bCs/>
          <w:color w:val="auto"/>
          <w:highlight w:val="none"/>
        </w:rPr>
        <w:t>（与我方存在单位负责人为同一人或者存在直接控股、管理关系的单位详见附件“关联关系声明函”）</w:t>
      </w:r>
    </w:p>
    <w:p>
      <w:pPr>
        <w:widowControl/>
        <w:ind w:firstLine="480" w:firstLineChars="200"/>
        <w:rPr>
          <w:rFonts w:ascii="仿宋" w:hAnsi="仿宋"/>
          <w:color w:val="auto"/>
          <w:highlight w:val="none"/>
        </w:rPr>
      </w:pPr>
      <w:r>
        <w:rPr>
          <w:rFonts w:hint="eastAsia" w:ascii="仿宋" w:hAnsi="仿宋"/>
          <w:color w:val="auto"/>
          <w:highlight w:val="none"/>
        </w:rPr>
        <w:t>三</w:t>
      </w:r>
      <w:r>
        <w:rPr>
          <w:rFonts w:ascii="仿宋" w:hAnsi="仿宋"/>
          <w:color w:val="auto"/>
          <w:highlight w:val="none"/>
        </w:rPr>
        <w:t>、</w:t>
      </w:r>
      <w:r>
        <w:rPr>
          <w:rFonts w:hint="eastAsia" w:ascii="仿宋" w:hAnsi="仿宋"/>
          <w:color w:val="auto"/>
          <w:highlight w:val="none"/>
        </w:rPr>
        <w:t>为采购项目提供整体设计、规范编制或者项目管理、监理、检测等服务的供应商，不得再参加该采购项目的其他采购活动，我方</w:t>
      </w:r>
      <w:r>
        <w:rPr>
          <w:rFonts w:ascii="仿宋" w:hAnsi="仿宋"/>
          <w:color w:val="auto"/>
          <w:highlight w:val="none"/>
        </w:rPr>
        <w:t>承诺</w:t>
      </w:r>
      <w:r>
        <w:rPr>
          <w:rFonts w:hint="eastAsia" w:ascii="仿宋" w:hAnsi="仿宋"/>
          <w:color w:val="auto"/>
          <w:highlight w:val="none"/>
        </w:rPr>
        <w:t>不属于此类禁止参加本项目的供应商</w:t>
      </w:r>
      <w:r>
        <w:rPr>
          <w:rFonts w:ascii="仿宋" w:hAnsi="仿宋"/>
          <w:color w:val="auto"/>
          <w:highlight w:val="none"/>
        </w:rPr>
        <w:t>。</w:t>
      </w:r>
    </w:p>
    <w:p>
      <w:pPr>
        <w:widowControl/>
        <w:ind w:firstLine="480" w:firstLineChars="200"/>
        <w:rPr>
          <w:rFonts w:ascii="仿宋" w:hAnsi="仿宋"/>
          <w:color w:val="auto"/>
          <w:highlight w:val="none"/>
        </w:rPr>
      </w:pPr>
      <w:r>
        <w:rPr>
          <w:rFonts w:hint="eastAsia" w:ascii="仿宋" w:hAnsi="仿宋"/>
          <w:color w:val="auto"/>
          <w:highlight w:val="none"/>
        </w:rPr>
        <w:t>四、投标文件中提供的能够给予我方带来优惠、好处的任何材料资料和技术、服务、商务、响应产品等响应承诺情况都是真实的、有效的、合法的。</w:t>
      </w:r>
    </w:p>
    <w:p>
      <w:pPr>
        <w:widowControl/>
        <w:ind w:firstLine="480" w:firstLineChars="200"/>
        <w:rPr>
          <w:rFonts w:ascii="仿宋" w:hAnsi="仿宋"/>
          <w:color w:val="auto"/>
          <w:highlight w:val="none"/>
        </w:rPr>
      </w:pPr>
      <w:r>
        <w:rPr>
          <w:rFonts w:hint="eastAsia" w:ascii="仿宋" w:hAnsi="仿宋"/>
          <w:color w:val="auto"/>
          <w:highlight w:val="none"/>
        </w:rPr>
        <w:t>五、国家或行业主管部门对采购产品的技术标准、质量标准和资格资质条件等有强制性规定的，我方</w:t>
      </w:r>
      <w:r>
        <w:rPr>
          <w:rFonts w:ascii="仿宋" w:hAnsi="仿宋"/>
          <w:color w:val="auto"/>
          <w:highlight w:val="none"/>
        </w:rPr>
        <w:t>承诺符合其要求。</w:t>
      </w:r>
    </w:p>
    <w:p>
      <w:pPr>
        <w:widowControl/>
        <w:ind w:firstLine="480" w:firstLineChars="200"/>
        <w:rPr>
          <w:rFonts w:ascii="仿宋" w:hAnsi="仿宋"/>
          <w:color w:val="auto"/>
          <w:highlight w:val="none"/>
        </w:rPr>
      </w:pPr>
      <w:r>
        <w:rPr>
          <w:rFonts w:hint="eastAsia" w:ascii="仿宋" w:hAnsi="仿宋"/>
          <w:color w:val="auto"/>
          <w:highlight w:val="none"/>
        </w:rPr>
        <w:t>六、参加本次招标采购活动，</w:t>
      </w:r>
      <w:r>
        <w:rPr>
          <w:rFonts w:ascii="仿宋" w:hAnsi="仿宋"/>
          <w:color w:val="auto"/>
          <w:highlight w:val="none"/>
        </w:rPr>
        <w:t>我方</w:t>
      </w:r>
      <w:r>
        <w:rPr>
          <w:rFonts w:hint="eastAsia" w:ascii="仿宋" w:hAnsi="仿宋"/>
          <w:color w:val="auto"/>
          <w:highlight w:val="none"/>
        </w:rPr>
        <w:t>完全同意</w:t>
      </w:r>
      <w:r>
        <w:rPr>
          <w:rFonts w:ascii="仿宋" w:hAnsi="仿宋"/>
          <w:color w:val="auto"/>
          <w:highlight w:val="none"/>
        </w:rPr>
        <w:t>招标文件第二章关于“</w:t>
      </w:r>
      <w:r>
        <w:rPr>
          <w:rFonts w:hint="eastAsia" w:ascii="仿宋" w:hAnsi="仿宋"/>
          <w:color w:val="auto"/>
          <w:highlight w:val="none"/>
        </w:rPr>
        <w:t>投标</w:t>
      </w:r>
      <w:r>
        <w:rPr>
          <w:rFonts w:ascii="仿宋" w:hAnsi="仿宋"/>
          <w:color w:val="auto"/>
          <w:highlight w:val="none"/>
        </w:rPr>
        <w:t>费用”</w:t>
      </w:r>
      <w:r>
        <w:rPr>
          <w:rFonts w:hint="eastAsia" w:ascii="仿宋" w:hAnsi="仿宋"/>
          <w:color w:val="auto"/>
          <w:highlight w:val="none"/>
        </w:rPr>
        <w:t>、“合同</w:t>
      </w:r>
      <w:r>
        <w:rPr>
          <w:rFonts w:ascii="仿宋" w:hAnsi="仿宋"/>
          <w:color w:val="auto"/>
          <w:highlight w:val="none"/>
        </w:rPr>
        <w:t>分包</w:t>
      </w:r>
      <w:r>
        <w:rPr>
          <w:rFonts w:hint="eastAsia" w:ascii="仿宋" w:hAnsi="仿宋"/>
          <w:color w:val="auto"/>
          <w:highlight w:val="none"/>
        </w:rPr>
        <w:t>”、</w:t>
      </w:r>
      <w:r>
        <w:rPr>
          <w:rFonts w:ascii="仿宋" w:hAnsi="仿宋"/>
          <w:color w:val="auto"/>
          <w:highlight w:val="none"/>
        </w:rPr>
        <w:t>“</w:t>
      </w:r>
      <w:r>
        <w:rPr>
          <w:rFonts w:hint="eastAsia" w:ascii="仿宋" w:hAnsi="仿宋"/>
          <w:color w:val="auto"/>
          <w:highlight w:val="none"/>
        </w:rPr>
        <w:t>合同</w:t>
      </w:r>
      <w:r>
        <w:rPr>
          <w:rFonts w:ascii="仿宋" w:hAnsi="仿宋"/>
          <w:color w:val="auto"/>
          <w:highlight w:val="none"/>
        </w:rPr>
        <w:t>转包”</w:t>
      </w:r>
      <w:r>
        <w:rPr>
          <w:rFonts w:hint="eastAsia" w:ascii="仿宋" w:hAnsi="仿宋"/>
          <w:color w:val="auto"/>
          <w:highlight w:val="none"/>
        </w:rPr>
        <w:t>、</w:t>
      </w:r>
      <w:r>
        <w:rPr>
          <w:rFonts w:ascii="仿宋" w:hAnsi="仿宋"/>
          <w:color w:val="auto"/>
          <w:highlight w:val="none"/>
        </w:rPr>
        <w:t>“</w:t>
      </w:r>
      <w:r>
        <w:rPr>
          <w:rFonts w:hint="eastAsia" w:ascii="仿宋" w:hAnsi="仿宋"/>
          <w:color w:val="auto"/>
          <w:highlight w:val="none"/>
        </w:rPr>
        <w:t>履约</w:t>
      </w:r>
      <w:r>
        <w:rPr>
          <w:rFonts w:ascii="仿宋" w:hAnsi="仿宋"/>
          <w:color w:val="auto"/>
          <w:highlight w:val="none"/>
        </w:rPr>
        <w:t>保证金”</w:t>
      </w:r>
      <w:r>
        <w:rPr>
          <w:rFonts w:hint="eastAsia" w:ascii="仿宋" w:hAnsi="仿宋"/>
          <w:color w:val="auto"/>
          <w:highlight w:val="none"/>
        </w:rPr>
        <w:t>的</w:t>
      </w:r>
      <w:r>
        <w:rPr>
          <w:rFonts w:ascii="仿宋" w:hAnsi="仿宋"/>
          <w:color w:val="auto"/>
          <w:highlight w:val="none"/>
        </w:rPr>
        <w:t>实质性要求</w:t>
      </w:r>
      <w:r>
        <w:rPr>
          <w:rFonts w:hint="eastAsia" w:ascii="仿宋" w:hAnsi="仿宋"/>
          <w:color w:val="auto"/>
          <w:highlight w:val="none"/>
        </w:rPr>
        <w:t>，</w:t>
      </w:r>
      <w:r>
        <w:rPr>
          <w:rFonts w:ascii="仿宋" w:hAnsi="仿宋"/>
          <w:color w:val="auto"/>
          <w:highlight w:val="none"/>
        </w:rPr>
        <w:t>并承诺严格按照招标文件要求</w:t>
      </w:r>
      <w:r>
        <w:rPr>
          <w:rFonts w:hint="eastAsia" w:ascii="仿宋" w:hAnsi="仿宋"/>
          <w:color w:val="auto"/>
          <w:highlight w:val="none"/>
        </w:rPr>
        <w:t>履行</w:t>
      </w:r>
      <w:r>
        <w:rPr>
          <w:rFonts w:ascii="仿宋" w:hAnsi="仿宋"/>
          <w:color w:val="auto"/>
          <w:highlight w:val="none"/>
        </w:rPr>
        <w:t>。</w:t>
      </w:r>
    </w:p>
    <w:p>
      <w:pPr>
        <w:widowControl/>
        <w:ind w:firstLine="480" w:firstLineChars="200"/>
        <w:rPr>
          <w:rFonts w:ascii="仿宋" w:hAnsi="仿宋"/>
          <w:color w:val="auto"/>
          <w:highlight w:val="none"/>
        </w:rPr>
      </w:pPr>
      <w:r>
        <w:rPr>
          <w:rFonts w:hint="eastAsia" w:ascii="仿宋" w:hAnsi="仿宋"/>
          <w:color w:val="auto"/>
          <w:highlight w:val="none"/>
        </w:rPr>
        <w:t>七、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color w:val="auto"/>
          <w:highlight w:val="none"/>
        </w:rPr>
        <w:t>承诺</w:t>
      </w:r>
      <w:r>
        <w:rPr>
          <w:rFonts w:hint="eastAsia" w:ascii="仿宋" w:hAnsi="仿宋"/>
          <w:color w:val="auto"/>
          <w:highlight w:val="none"/>
        </w:rPr>
        <w:t>提供开发接口和开发手册等技术文档，并提供无限期技术支持，采购人享有永久使用权（含采购人委托第三方在该项目后续开发的使用权）。如我方在项目实</w:t>
      </w:r>
      <w:r>
        <w:rPr>
          <w:rFonts w:hint="eastAsia" w:ascii="仿宋" w:hAnsi="仿宋"/>
          <w:color w:val="auto"/>
          <w:spacing w:val="-6"/>
          <w:highlight w:val="none"/>
        </w:rPr>
        <w:t>施过程中采用非自有的知识产权，则在投标报价中已包括合法获取该知识产权的相关费用。</w:t>
      </w:r>
    </w:p>
    <w:p>
      <w:pPr>
        <w:widowControl/>
        <w:ind w:firstLine="480" w:firstLineChars="200"/>
        <w:rPr>
          <w:rFonts w:ascii="仿宋" w:hAnsi="仿宋"/>
          <w:color w:val="auto"/>
          <w:highlight w:val="none"/>
        </w:rPr>
      </w:pPr>
      <w:r>
        <w:rPr>
          <w:rFonts w:hint="eastAsia" w:ascii="仿宋" w:hAnsi="仿宋"/>
          <w:color w:val="auto"/>
          <w:highlight w:val="none"/>
        </w:rPr>
        <w:t>八、本次投标报价是响应招标项目要求的全部工作内容的价格体现，包括完成本项目所需的一切费用。</w:t>
      </w:r>
    </w:p>
    <w:p>
      <w:pPr>
        <w:widowControl/>
        <w:ind w:firstLine="480" w:firstLineChars="200"/>
        <w:rPr>
          <w:rFonts w:ascii="仿宋" w:hAnsi="仿宋"/>
          <w:color w:val="auto"/>
          <w:highlight w:val="none"/>
        </w:rPr>
      </w:pPr>
      <w:r>
        <w:rPr>
          <w:rFonts w:hint="eastAsia" w:ascii="仿宋" w:hAnsi="仿宋"/>
          <w:color w:val="auto"/>
          <w:highlight w:val="none"/>
        </w:rPr>
        <w:t>我方对上述承诺的内容事项真实性负责。如经查实上述承诺的内容事项存在虚假，我方愿意接受以提供虚假材料谋取中标追究法律责任。</w:t>
      </w:r>
    </w:p>
    <w:p>
      <w:pPr>
        <w:widowControl/>
        <w:ind w:firstLine="470" w:firstLineChars="196"/>
        <w:rPr>
          <w:rFonts w:ascii="仿宋" w:hAnsi="仿宋"/>
          <w:color w:val="auto"/>
          <w:highlight w:val="none"/>
        </w:rPr>
      </w:pPr>
    </w:p>
    <w:p>
      <w:pPr>
        <w:widowControl/>
        <w:ind w:firstLine="470" w:firstLineChars="196"/>
        <w:rPr>
          <w:rFonts w:ascii="仿宋" w:hAnsi="仿宋"/>
          <w:color w:val="auto"/>
          <w:highlight w:val="none"/>
        </w:rPr>
      </w:pPr>
      <w:r>
        <w:rPr>
          <w:rFonts w:hint="eastAsia" w:ascii="仿宋" w:hAnsi="仿宋"/>
          <w:color w:val="auto"/>
          <w:highlight w:val="none"/>
        </w:rPr>
        <w:t>投标人名称：XXXX</w:t>
      </w:r>
    </w:p>
    <w:p>
      <w:pPr>
        <w:widowControl/>
        <w:ind w:firstLine="470" w:firstLineChars="196"/>
        <w:rPr>
          <w:rFonts w:ascii="仿宋" w:hAnsi="仿宋"/>
          <w:color w:val="auto"/>
          <w:highlight w:val="none"/>
        </w:rPr>
      </w:pPr>
      <w:r>
        <w:rPr>
          <w:rFonts w:hint="eastAsia" w:ascii="仿宋" w:hAnsi="仿宋"/>
          <w:color w:val="auto"/>
          <w:highlight w:val="none"/>
        </w:rPr>
        <w:t>日    期：20XX年XX月XX日。</w:t>
      </w:r>
    </w:p>
    <w:p>
      <w:pPr>
        <w:widowControl/>
        <w:spacing w:line="480" w:lineRule="auto"/>
        <w:ind w:firstLine="470" w:firstLineChars="196"/>
        <w:rPr>
          <w:rFonts w:ascii="仿宋" w:hAnsi="仿宋"/>
          <w:color w:val="auto"/>
          <w:highlight w:val="none"/>
        </w:rPr>
      </w:pPr>
    </w:p>
    <w:p>
      <w:pPr>
        <w:rPr>
          <w:rFonts w:ascii="仿宋" w:hAnsi="仿宋"/>
          <w:b/>
          <w:color w:val="auto"/>
          <w:sz w:val="32"/>
          <w:szCs w:val="32"/>
          <w:highlight w:val="none"/>
        </w:rPr>
      </w:pPr>
      <w:r>
        <w:rPr>
          <w:rFonts w:ascii="仿宋" w:hAnsi="仿宋"/>
          <w:b/>
          <w:color w:val="auto"/>
          <w:sz w:val="32"/>
          <w:szCs w:val="32"/>
          <w:highlight w:val="none"/>
        </w:rPr>
        <w:br w:type="page"/>
      </w:r>
    </w:p>
    <w:p>
      <w:pPr>
        <w:jc w:val="both"/>
        <w:rPr>
          <w:rFonts w:ascii="仿宋" w:hAnsi="仿宋"/>
          <w:b/>
          <w:color w:val="auto"/>
          <w:sz w:val="32"/>
          <w:szCs w:val="32"/>
          <w:highlight w:val="none"/>
        </w:rPr>
      </w:pPr>
      <w:r>
        <w:rPr>
          <w:rFonts w:hint="eastAsia" w:ascii="仿宋" w:hAnsi="仿宋"/>
          <w:b/>
          <w:color w:val="auto"/>
          <w:sz w:val="32"/>
          <w:szCs w:val="32"/>
          <w:highlight w:val="none"/>
        </w:rPr>
        <w:t>附件：</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关联单位声明函</w:t>
      </w:r>
    </w:p>
    <w:p>
      <w:pPr>
        <w:widowControl/>
        <w:spacing w:line="480" w:lineRule="auto"/>
        <w:rPr>
          <w:rFonts w:ascii="仿宋" w:hAnsi="仿宋"/>
          <w:color w:val="auto"/>
          <w:highlight w:val="none"/>
        </w:rPr>
      </w:pPr>
      <w:r>
        <w:rPr>
          <w:rFonts w:hint="eastAsia" w:ascii="仿宋" w:hAnsi="仿宋"/>
          <w:color w:val="auto"/>
          <w:highlight w:val="none"/>
        </w:rPr>
        <w:t>XXXX（采购代理机构名称）：</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我方作为本次采购项目的投标人，根据招标文件要求，现郑重声明如下：</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一、本项目与我方存在单位负责人为同一人的单位为：XXX；</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二、本项目与我方存在直接控股关系的单位为：XXX；</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三、本项目与我方存在直接管理关系单位为：XXX。</w:t>
      </w:r>
    </w:p>
    <w:p>
      <w:pPr>
        <w:widowControl/>
        <w:spacing w:line="480" w:lineRule="auto"/>
        <w:ind w:firstLine="480" w:firstLineChars="200"/>
        <w:rPr>
          <w:rFonts w:ascii="仿宋" w:hAnsi="仿宋"/>
          <w:color w:val="auto"/>
          <w:highlight w:val="none"/>
        </w:rPr>
      </w:pPr>
      <w:r>
        <w:rPr>
          <w:rFonts w:hint="eastAsia" w:ascii="仿宋" w:hAnsi="仿宋"/>
          <w:color w:val="auto"/>
          <w:highlight w:val="none"/>
        </w:rPr>
        <w:t>我方对上述声明的内容事项真实性负责。如经查实上述承诺的内容事项存在虚假，我方愿意接受以提供虚假材料谋取中标追究法律责任。</w:t>
      </w:r>
    </w:p>
    <w:p>
      <w:pPr>
        <w:widowControl/>
        <w:spacing w:line="240" w:lineRule="auto"/>
        <w:ind w:firstLine="470" w:firstLineChars="196"/>
        <w:rPr>
          <w:rFonts w:ascii="仿宋" w:hAnsi="仿宋"/>
          <w:color w:val="auto"/>
          <w:highlight w:val="none"/>
        </w:rPr>
      </w:pPr>
    </w:p>
    <w:p>
      <w:pPr>
        <w:widowControl/>
        <w:spacing w:line="240" w:lineRule="auto"/>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240" w:lineRule="auto"/>
        <w:ind w:firstLine="470" w:firstLineChars="196"/>
        <w:rPr>
          <w:rFonts w:ascii="仿宋" w:hAnsi="仿宋"/>
          <w:color w:val="auto"/>
          <w:highlight w:val="none"/>
        </w:rPr>
      </w:pPr>
      <w:r>
        <w:rPr>
          <w:rFonts w:hint="eastAsia" w:ascii="仿宋" w:hAnsi="仿宋"/>
          <w:color w:val="auto"/>
          <w:highlight w:val="none"/>
        </w:rPr>
        <w:t>日    期：20XX年XX月XX日。</w:t>
      </w:r>
    </w:p>
    <w:p>
      <w:pPr>
        <w:widowControl/>
        <w:spacing w:line="240" w:lineRule="auto"/>
        <w:rPr>
          <w:rFonts w:ascii="仿宋" w:hAnsi="仿宋"/>
          <w:color w:val="auto"/>
          <w:highlight w:val="none"/>
        </w:rPr>
      </w:pPr>
    </w:p>
    <w:p>
      <w:pPr>
        <w:widowControl/>
        <w:spacing w:line="240" w:lineRule="auto"/>
        <w:rPr>
          <w:rFonts w:ascii="仿宋" w:hAnsi="仿宋"/>
          <w:color w:val="auto"/>
          <w:highlight w:val="none"/>
        </w:rPr>
      </w:pPr>
      <w:r>
        <w:rPr>
          <w:rFonts w:hint="eastAsia" w:ascii="仿宋" w:hAnsi="仿宋"/>
          <w:color w:val="auto"/>
          <w:highlight w:val="none"/>
        </w:rPr>
        <w:t>注：</w:t>
      </w:r>
    </w:p>
    <w:p>
      <w:pPr>
        <w:widowControl/>
        <w:rPr>
          <w:rFonts w:ascii="仿宋" w:hAnsi="仿宋"/>
          <w:color w:val="auto"/>
          <w:highlight w:val="none"/>
        </w:rPr>
      </w:pPr>
      <w:r>
        <w:rPr>
          <w:rFonts w:hint="eastAsia" w:ascii="仿宋" w:hAnsi="仿宋"/>
          <w:color w:val="auto"/>
          <w:highlight w:val="none"/>
        </w:rPr>
        <w:t>1.《政府采购法实施条例》（国务院令第658号）第十八条所规定的控股、管理关系，仅限于直接控股、直接管理关系，而不包括间接的控股或管理关系。</w:t>
      </w:r>
    </w:p>
    <w:p>
      <w:pPr>
        <w:widowControl/>
        <w:rPr>
          <w:rFonts w:ascii="仿宋" w:hAnsi="仿宋"/>
          <w:color w:val="auto"/>
          <w:highlight w:val="none"/>
        </w:rPr>
      </w:pPr>
      <w:r>
        <w:rPr>
          <w:rFonts w:hint="eastAsia" w:ascii="仿宋" w:hAnsi="仿宋"/>
          <w:b/>
          <w:bCs/>
          <w:color w:val="auto"/>
          <w:highlight w:val="none"/>
        </w:rPr>
        <w:t>2.直接控股关系：</w:t>
      </w:r>
      <w:r>
        <w:rPr>
          <w:rFonts w:hint="eastAsia" w:ascii="仿宋" w:hAnsi="仿宋"/>
          <w:color w:val="auto"/>
          <w:highlight w:val="none"/>
        </w:rPr>
        <w:t>是指出资额占有限责任公司资本总额百分之五十以上或者直接持有的股份占股份有限公司股本总额百分之五十以上，或者享有的表决权对被控股单位股东会、股东大会的决议产生重大影响的关系。(不包括虽然不是该公司的股东，但通过投资关系、协议或者其他安排，能够实际支配公司行为的间接控股关系。)</w:t>
      </w:r>
    </w:p>
    <w:p>
      <w:pPr>
        <w:widowControl/>
        <w:spacing w:line="240" w:lineRule="auto"/>
        <w:ind w:firstLine="472" w:firstLineChars="196"/>
        <w:rPr>
          <w:rFonts w:ascii="仿宋" w:hAnsi="仿宋"/>
          <w:color w:val="auto"/>
          <w:highlight w:val="none"/>
        </w:rPr>
      </w:pPr>
      <w:r>
        <w:rPr>
          <w:rFonts w:hint="eastAsia" w:ascii="仿宋" w:hAnsi="仿宋"/>
          <w:b/>
          <w:bCs/>
          <w:color w:val="auto"/>
          <w:highlight w:val="none"/>
        </w:rPr>
        <w:t>3.直接管理关系：</w:t>
      </w:r>
      <w:r>
        <w:rPr>
          <w:rFonts w:hint="eastAsia" w:ascii="仿宋" w:hAnsi="仿宋"/>
          <w:color w:val="auto"/>
          <w:highlight w:val="none"/>
        </w:rPr>
        <w:t>是指不具有出资持股关系的其他单位之间存在的管理与被管理关系，如一些上下级关系的事业单位和团体组织。</w:t>
      </w:r>
      <w:r>
        <w:rPr>
          <w:rFonts w:hint="eastAsia" w:ascii="仿宋" w:hAnsi="仿宋"/>
          <w:color w:val="auto"/>
          <w:highlight w:val="none"/>
        </w:rPr>
        <w:br w:type="textWrapping"/>
      </w:r>
      <w:r>
        <w:rPr>
          <w:rFonts w:hint="eastAsia" w:ascii="仿宋" w:hAnsi="仿宋"/>
          <w:color w:val="auto"/>
          <w:highlight w:val="none"/>
        </w:rPr>
        <w:t>4.与我方存在直接控股关系的单位</w:t>
      </w:r>
      <w:r>
        <w:rPr>
          <w:rFonts w:hint="eastAsia" w:ascii="仿宋" w:hAnsi="仿宋"/>
          <w:b/>
          <w:bCs/>
          <w:color w:val="auto"/>
          <w:highlight w:val="none"/>
        </w:rPr>
        <w:t>包括</w:t>
      </w:r>
      <w:r>
        <w:rPr>
          <w:rFonts w:hint="eastAsia" w:ascii="仿宋" w:hAnsi="仿宋"/>
          <w:color w:val="auto"/>
          <w:highlight w:val="none"/>
        </w:rPr>
        <w:t>直接控股我方的单位及我方直接控股的单位；与我方存在直接管理关系单位</w:t>
      </w:r>
      <w:r>
        <w:rPr>
          <w:rFonts w:hint="eastAsia" w:ascii="仿宋" w:hAnsi="仿宋"/>
          <w:b/>
          <w:bCs/>
          <w:color w:val="auto"/>
          <w:highlight w:val="none"/>
        </w:rPr>
        <w:t>包括</w:t>
      </w:r>
      <w:r>
        <w:rPr>
          <w:rFonts w:hint="eastAsia" w:ascii="仿宋" w:hAnsi="仿宋"/>
          <w:color w:val="auto"/>
          <w:highlight w:val="none"/>
        </w:rPr>
        <w:t>直接管理我方的单位及我方直接管理的单位。</w:t>
      </w:r>
    </w:p>
    <w:p>
      <w:pPr>
        <w:widowControl/>
        <w:spacing w:line="240" w:lineRule="auto"/>
        <w:rPr>
          <w:rFonts w:ascii="仿宋" w:hAnsi="仿宋"/>
          <w:color w:val="auto"/>
          <w:highlight w:val="none"/>
        </w:rPr>
      </w:pPr>
    </w:p>
    <w:p>
      <w:pPr>
        <w:widowControl/>
        <w:spacing w:line="240" w:lineRule="auto"/>
        <w:rPr>
          <w:rFonts w:ascii="仿宋" w:hAnsi="仿宋"/>
          <w:color w:val="auto"/>
          <w:highlight w:val="none"/>
        </w:rPr>
      </w:pPr>
      <w:r>
        <w:rPr>
          <w:rFonts w:ascii="仿宋" w:hAnsi="仿宋"/>
          <w:color w:val="auto"/>
          <w:highlight w:val="none"/>
        </w:rPr>
        <w:br w:type="page"/>
      </w:r>
    </w:p>
    <w:p>
      <w:pPr>
        <w:pStyle w:val="5"/>
        <w:spacing w:before="0" w:after="0"/>
        <w:rPr>
          <w:rFonts w:ascii="仿宋" w:hAnsi="仿宋"/>
          <w:color w:val="auto"/>
          <w:highlight w:val="none"/>
        </w:rPr>
      </w:pPr>
      <w:r>
        <w:rPr>
          <w:rFonts w:hint="eastAsia" w:ascii="仿宋" w:hAnsi="仿宋" w:cs="仿宋"/>
          <w:color w:val="auto"/>
          <w:highlight w:val="none"/>
        </w:rPr>
        <w:t>格式2-4 开标一览表</w:t>
      </w:r>
    </w:p>
    <w:bookmarkEnd w:id="131"/>
    <w:bookmarkEnd w:id="137"/>
    <w:p>
      <w:pPr>
        <w:widowControl/>
        <w:spacing w:line="360" w:lineRule="atLeast"/>
        <w:jc w:val="center"/>
        <w:rPr>
          <w:rFonts w:ascii="仿宋" w:hAnsi="仿宋" w:cs="仿宋"/>
          <w:b/>
          <w:bCs/>
          <w:color w:val="auto"/>
          <w:sz w:val="32"/>
          <w:szCs w:val="32"/>
          <w:highlight w:val="none"/>
        </w:rPr>
      </w:pPr>
      <w:bookmarkStart w:id="138" w:name="_Toc217446085"/>
      <w:r>
        <w:rPr>
          <w:rFonts w:hint="eastAsia" w:ascii="仿宋" w:hAnsi="仿宋" w:cs="仿宋"/>
          <w:b/>
          <w:bCs/>
          <w:color w:val="auto"/>
          <w:sz w:val="32"/>
          <w:szCs w:val="32"/>
          <w:highlight w:val="none"/>
        </w:rPr>
        <w:t>开标一览表</w:t>
      </w:r>
      <w:bookmarkEnd w:id="138"/>
    </w:p>
    <w:p>
      <w:pPr>
        <w:widowControl/>
        <w:spacing w:line="360" w:lineRule="atLeast"/>
        <w:rPr>
          <w:rFonts w:ascii="仿宋" w:hAnsi="仿宋"/>
          <w:color w:val="auto"/>
          <w:highlight w:val="none"/>
        </w:rPr>
      </w:pPr>
      <w:r>
        <w:rPr>
          <w:rFonts w:hint="eastAsia" w:ascii="仿宋" w:hAnsi="仿宋"/>
          <w:color w:val="auto"/>
          <w:highlight w:val="none"/>
        </w:rPr>
        <w:t>第XX包</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777"/>
        <w:gridCol w:w="1464"/>
        <w:gridCol w:w="732"/>
        <w:gridCol w:w="1282"/>
        <w:gridCol w:w="1282"/>
        <w:gridCol w:w="916"/>
        <w:gridCol w:w="1282"/>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rPr>
                <w:rFonts w:ascii="仿宋" w:hAnsi="仿宋"/>
                <w:color w:val="auto"/>
                <w:highlight w:val="none"/>
              </w:rPr>
            </w:pPr>
            <w:r>
              <w:rPr>
                <w:rFonts w:hint="eastAsia" w:ascii="仿宋" w:hAnsi="仿宋"/>
                <w:color w:val="auto"/>
                <w:highlight w:val="none"/>
              </w:rPr>
              <w:t>序号</w:t>
            </w:r>
          </w:p>
        </w:tc>
        <w:tc>
          <w:tcPr>
            <w:tcW w:w="419" w:type="pct"/>
            <w:vAlign w:val="center"/>
          </w:tcPr>
          <w:p>
            <w:pPr>
              <w:widowControl/>
              <w:spacing w:line="360" w:lineRule="atLeast"/>
              <w:rPr>
                <w:rFonts w:ascii="仿宋" w:hAnsi="仿宋"/>
                <w:color w:val="auto"/>
                <w:highlight w:val="none"/>
              </w:rPr>
            </w:pPr>
            <w:r>
              <w:rPr>
                <w:rFonts w:hint="eastAsia" w:ascii="仿宋" w:hAnsi="仿宋"/>
                <w:color w:val="auto"/>
                <w:highlight w:val="none"/>
              </w:rPr>
              <w:t>货物名称</w:t>
            </w:r>
          </w:p>
        </w:tc>
        <w:tc>
          <w:tcPr>
            <w:tcW w:w="788" w:type="pct"/>
            <w:vAlign w:val="center"/>
          </w:tcPr>
          <w:p>
            <w:pPr>
              <w:widowControl/>
              <w:spacing w:line="360" w:lineRule="atLeast"/>
              <w:rPr>
                <w:rFonts w:ascii="仿宋" w:hAnsi="仿宋"/>
                <w:color w:val="auto"/>
                <w:highlight w:val="none"/>
              </w:rPr>
            </w:pPr>
            <w:r>
              <w:rPr>
                <w:rFonts w:hint="eastAsia" w:ascii="仿宋" w:hAnsi="仿宋"/>
                <w:color w:val="auto"/>
                <w:highlight w:val="none"/>
              </w:rPr>
              <w:t>制造厂家及</w:t>
            </w:r>
          </w:p>
          <w:p>
            <w:pPr>
              <w:widowControl/>
              <w:spacing w:line="360" w:lineRule="atLeast"/>
              <w:rPr>
                <w:rFonts w:ascii="仿宋" w:hAnsi="仿宋"/>
                <w:color w:val="auto"/>
                <w:highlight w:val="none"/>
              </w:rPr>
            </w:pPr>
            <w:r>
              <w:rPr>
                <w:rFonts w:hint="eastAsia" w:ascii="仿宋" w:hAnsi="仿宋"/>
                <w:color w:val="auto"/>
                <w:highlight w:val="none"/>
              </w:rPr>
              <w:t>规格型号</w:t>
            </w:r>
          </w:p>
        </w:tc>
        <w:tc>
          <w:tcPr>
            <w:tcW w:w="394" w:type="pct"/>
            <w:vAlign w:val="center"/>
          </w:tcPr>
          <w:p>
            <w:pPr>
              <w:widowControl/>
              <w:spacing w:line="360" w:lineRule="atLeast"/>
              <w:rPr>
                <w:rFonts w:ascii="仿宋" w:hAnsi="仿宋"/>
                <w:color w:val="auto"/>
                <w:highlight w:val="none"/>
              </w:rPr>
            </w:pPr>
            <w:r>
              <w:rPr>
                <w:rFonts w:hint="eastAsia" w:ascii="仿宋" w:hAnsi="仿宋"/>
                <w:color w:val="auto"/>
                <w:highlight w:val="none"/>
              </w:rPr>
              <w:t>数量</w:t>
            </w:r>
          </w:p>
        </w:tc>
        <w:tc>
          <w:tcPr>
            <w:tcW w:w="690" w:type="pct"/>
            <w:vAlign w:val="center"/>
          </w:tcPr>
          <w:p>
            <w:pPr>
              <w:widowControl/>
              <w:spacing w:line="360" w:lineRule="atLeast"/>
              <w:rPr>
                <w:rFonts w:ascii="仿宋" w:hAnsi="仿宋"/>
                <w:color w:val="auto"/>
                <w:highlight w:val="none"/>
              </w:rPr>
            </w:pPr>
            <w:r>
              <w:rPr>
                <w:rFonts w:hint="eastAsia" w:ascii="仿宋" w:hAnsi="仿宋"/>
                <w:color w:val="auto"/>
                <w:highlight w:val="none"/>
              </w:rPr>
              <w:t>投标单价</w:t>
            </w:r>
          </w:p>
          <w:p>
            <w:pPr>
              <w:widowControl/>
              <w:spacing w:line="360" w:lineRule="atLeast"/>
              <w:rPr>
                <w:rFonts w:ascii="仿宋" w:hAnsi="仿宋"/>
                <w:color w:val="auto"/>
                <w:highlight w:val="none"/>
              </w:rPr>
            </w:pPr>
            <w:r>
              <w:rPr>
                <w:rFonts w:hint="eastAsia" w:ascii="仿宋" w:hAnsi="仿宋"/>
                <w:color w:val="auto"/>
                <w:highlight w:val="none"/>
              </w:rPr>
              <w:t>（万元）</w:t>
            </w:r>
          </w:p>
        </w:tc>
        <w:tc>
          <w:tcPr>
            <w:tcW w:w="690" w:type="pct"/>
            <w:vAlign w:val="center"/>
          </w:tcPr>
          <w:p>
            <w:pPr>
              <w:widowControl/>
              <w:spacing w:line="360" w:lineRule="atLeast"/>
              <w:rPr>
                <w:rFonts w:ascii="仿宋" w:hAnsi="仿宋"/>
                <w:color w:val="auto"/>
                <w:highlight w:val="none"/>
              </w:rPr>
            </w:pPr>
            <w:r>
              <w:rPr>
                <w:rFonts w:hint="eastAsia" w:ascii="仿宋" w:hAnsi="仿宋"/>
                <w:color w:val="auto"/>
                <w:highlight w:val="none"/>
              </w:rPr>
              <w:t>投标总价</w:t>
            </w:r>
          </w:p>
          <w:p>
            <w:pPr>
              <w:widowControl/>
              <w:spacing w:line="360" w:lineRule="atLeast"/>
              <w:rPr>
                <w:rFonts w:ascii="仿宋" w:hAnsi="仿宋"/>
                <w:color w:val="auto"/>
                <w:highlight w:val="none"/>
              </w:rPr>
            </w:pPr>
            <w:r>
              <w:rPr>
                <w:rFonts w:hint="eastAsia" w:ascii="仿宋" w:hAnsi="仿宋"/>
                <w:color w:val="auto"/>
                <w:highlight w:val="none"/>
              </w:rPr>
              <w:t>（万元）</w:t>
            </w:r>
          </w:p>
        </w:tc>
        <w:tc>
          <w:tcPr>
            <w:tcW w:w="493" w:type="pct"/>
            <w:vAlign w:val="center"/>
          </w:tcPr>
          <w:p>
            <w:pPr>
              <w:widowControl/>
              <w:spacing w:line="360" w:lineRule="atLeast"/>
              <w:rPr>
                <w:rFonts w:ascii="仿宋" w:hAnsi="仿宋"/>
                <w:b/>
                <w:color w:val="auto"/>
                <w:highlight w:val="none"/>
              </w:rPr>
            </w:pPr>
            <w:r>
              <w:rPr>
                <w:rFonts w:hint="eastAsia" w:ascii="仿宋" w:hAnsi="仿宋"/>
                <w:color w:val="auto"/>
                <w:highlight w:val="none"/>
              </w:rPr>
              <w:t>交货</w:t>
            </w:r>
          </w:p>
          <w:p>
            <w:pPr>
              <w:widowControl/>
              <w:spacing w:line="360" w:lineRule="atLeast"/>
              <w:rPr>
                <w:rFonts w:ascii="仿宋" w:hAnsi="仿宋"/>
                <w:color w:val="auto"/>
                <w:highlight w:val="none"/>
              </w:rPr>
            </w:pPr>
            <w:r>
              <w:rPr>
                <w:rFonts w:hint="eastAsia" w:ascii="仿宋" w:hAnsi="仿宋"/>
                <w:color w:val="auto"/>
                <w:highlight w:val="none"/>
              </w:rPr>
              <w:t>时间</w:t>
            </w:r>
          </w:p>
        </w:tc>
        <w:tc>
          <w:tcPr>
            <w:tcW w:w="690" w:type="pct"/>
            <w:vAlign w:val="center"/>
          </w:tcPr>
          <w:p>
            <w:pPr>
              <w:widowControl/>
              <w:spacing w:line="360" w:lineRule="atLeast"/>
              <w:rPr>
                <w:rFonts w:ascii="仿宋" w:hAnsi="仿宋"/>
                <w:color w:val="auto"/>
                <w:highlight w:val="none"/>
              </w:rPr>
            </w:pPr>
            <w:r>
              <w:rPr>
                <w:rFonts w:hint="eastAsia" w:ascii="仿宋" w:hAnsi="仿宋"/>
                <w:color w:val="auto"/>
                <w:highlight w:val="none"/>
              </w:rPr>
              <w:t>是否属于进口产品</w:t>
            </w:r>
          </w:p>
        </w:tc>
        <w:tc>
          <w:tcPr>
            <w:tcW w:w="494" w:type="pct"/>
            <w:vAlign w:val="center"/>
          </w:tcPr>
          <w:p>
            <w:pPr>
              <w:widowControl/>
              <w:spacing w:line="360" w:lineRule="atLeast"/>
              <w:ind w:left="-10" w:leftChars="-4" w:firstLine="84" w:firstLineChars="35"/>
              <w:rPr>
                <w:rFonts w:ascii="仿宋" w:hAnsi="仿宋"/>
                <w:color w:val="auto"/>
                <w:highlight w:val="none"/>
              </w:rPr>
            </w:pPr>
            <w:r>
              <w:rPr>
                <w:rFonts w:hint="eastAsia" w:ascii="仿宋" w:hAnsi="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color w:val="auto"/>
                <w:highlight w:val="none"/>
              </w:rPr>
            </w:pPr>
          </w:p>
        </w:tc>
        <w:tc>
          <w:tcPr>
            <w:tcW w:w="419" w:type="pct"/>
            <w:vAlign w:val="center"/>
          </w:tcPr>
          <w:p>
            <w:pPr>
              <w:widowControl/>
              <w:spacing w:line="360" w:lineRule="atLeast"/>
              <w:jc w:val="center"/>
              <w:rPr>
                <w:rFonts w:ascii="仿宋" w:hAnsi="仿宋"/>
                <w:color w:val="auto"/>
                <w:highlight w:val="none"/>
              </w:rPr>
            </w:pPr>
          </w:p>
        </w:tc>
        <w:tc>
          <w:tcPr>
            <w:tcW w:w="788" w:type="pct"/>
            <w:vAlign w:val="center"/>
          </w:tcPr>
          <w:p>
            <w:pPr>
              <w:widowControl/>
              <w:spacing w:line="360" w:lineRule="atLeast"/>
              <w:jc w:val="center"/>
              <w:rPr>
                <w:rFonts w:ascii="仿宋" w:hAnsi="仿宋"/>
                <w:color w:val="auto"/>
                <w:highlight w:val="none"/>
              </w:rPr>
            </w:pPr>
          </w:p>
        </w:tc>
        <w:tc>
          <w:tcPr>
            <w:tcW w:w="394"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493"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494" w:type="pct"/>
            <w:vAlign w:val="center"/>
          </w:tcPr>
          <w:p>
            <w:pPr>
              <w:widowControl/>
              <w:spacing w:line="360" w:lineRule="atLeast"/>
              <w:jc w:val="center"/>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color w:val="auto"/>
                <w:highlight w:val="none"/>
              </w:rPr>
            </w:pPr>
          </w:p>
        </w:tc>
        <w:tc>
          <w:tcPr>
            <w:tcW w:w="419" w:type="pct"/>
            <w:vAlign w:val="center"/>
          </w:tcPr>
          <w:p>
            <w:pPr>
              <w:widowControl/>
              <w:spacing w:line="360" w:lineRule="atLeast"/>
              <w:jc w:val="center"/>
              <w:rPr>
                <w:rFonts w:ascii="仿宋" w:hAnsi="仿宋"/>
                <w:color w:val="auto"/>
                <w:highlight w:val="none"/>
              </w:rPr>
            </w:pPr>
          </w:p>
        </w:tc>
        <w:tc>
          <w:tcPr>
            <w:tcW w:w="788" w:type="pct"/>
            <w:vAlign w:val="center"/>
          </w:tcPr>
          <w:p>
            <w:pPr>
              <w:widowControl/>
              <w:spacing w:line="360" w:lineRule="atLeast"/>
              <w:jc w:val="center"/>
              <w:rPr>
                <w:rFonts w:ascii="仿宋" w:hAnsi="仿宋"/>
                <w:color w:val="auto"/>
                <w:highlight w:val="none"/>
              </w:rPr>
            </w:pPr>
          </w:p>
        </w:tc>
        <w:tc>
          <w:tcPr>
            <w:tcW w:w="394"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493"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494" w:type="pct"/>
            <w:vAlign w:val="center"/>
          </w:tcPr>
          <w:p>
            <w:pPr>
              <w:widowControl/>
              <w:spacing w:line="360" w:lineRule="atLeast"/>
              <w:jc w:val="center"/>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tcBorders>
              <w:right w:val="single" w:color="auto" w:sz="4" w:space="0"/>
            </w:tcBorders>
            <w:vAlign w:val="center"/>
          </w:tcPr>
          <w:p>
            <w:pPr>
              <w:widowControl/>
              <w:spacing w:line="360" w:lineRule="atLeast"/>
              <w:jc w:val="center"/>
              <w:rPr>
                <w:rFonts w:ascii="仿宋" w:hAnsi="仿宋"/>
                <w:color w:val="auto"/>
                <w:highlight w:val="none"/>
              </w:rPr>
            </w:pPr>
          </w:p>
        </w:tc>
        <w:tc>
          <w:tcPr>
            <w:tcW w:w="419" w:type="pct"/>
            <w:tcBorders>
              <w:left w:val="single" w:color="auto" w:sz="4" w:space="0"/>
            </w:tcBorders>
            <w:vAlign w:val="center"/>
          </w:tcPr>
          <w:p>
            <w:pPr>
              <w:widowControl/>
              <w:spacing w:line="360" w:lineRule="atLeast"/>
              <w:jc w:val="center"/>
              <w:rPr>
                <w:rFonts w:ascii="仿宋" w:hAnsi="仿宋"/>
                <w:color w:val="auto"/>
                <w:highlight w:val="none"/>
              </w:rPr>
            </w:pPr>
          </w:p>
        </w:tc>
        <w:tc>
          <w:tcPr>
            <w:tcW w:w="788" w:type="pct"/>
            <w:vAlign w:val="center"/>
          </w:tcPr>
          <w:p>
            <w:pPr>
              <w:widowControl/>
              <w:spacing w:line="360" w:lineRule="atLeast"/>
              <w:jc w:val="center"/>
              <w:rPr>
                <w:rFonts w:ascii="仿宋" w:hAnsi="仿宋"/>
                <w:color w:val="auto"/>
                <w:highlight w:val="none"/>
              </w:rPr>
            </w:pPr>
          </w:p>
        </w:tc>
        <w:tc>
          <w:tcPr>
            <w:tcW w:w="394"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493" w:type="pct"/>
            <w:vAlign w:val="center"/>
          </w:tcPr>
          <w:p>
            <w:pPr>
              <w:widowControl/>
              <w:spacing w:line="360" w:lineRule="atLeast"/>
              <w:jc w:val="center"/>
              <w:rPr>
                <w:rFonts w:ascii="仿宋" w:hAnsi="仿宋"/>
                <w:color w:val="auto"/>
                <w:highlight w:val="none"/>
              </w:rPr>
            </w:pPr>
          </w:p>
        </w:tc>
        <w:tc>
          <w:tcPr>
            <w:tcW w:w="690" w:type="pct"/>
            <w:vAlign w:val="center"/>
          </w:tcPr>
          <w:p>
            <w:pPr>
              <w:widowControl/>
              <w:spacing w:line="360" w:lineRule="atLeast"/>
              <w:jc w:val="center"/>
              <w:rPr>
                <w:rFonts w:ascii="仿宋" w:hAnsi="仿宋"/>
                <w:color w:val="auto"/>
                <w:highlight w:val="none"/>
              </w:rPr>
            </w:pPr>
          </w:p>
        </w:tc>
        <w:tc>
          <w:tcPr>
            <w:tcW w:w="494" w:type="pct"/>
            <w:vAlign w:val="center"/>
          </w:tcPr>
          <w:p>
            <w:pPr>
              <w:widowControl/>
              <w:spacing w:line="360" w:lineRule="atLeast"/>
              <w:jc w:val="center"/>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42" w:type="pct"/>
            <w:tcBorders>
              <w:bottom w:val="single" w:color="auto" w:sz="4" w:space="0"/>
              <w:right w:val="single" w:color="auto" w:sz="4" w:space="0"/>
            </w:tcBorders>
            <w:vAlign w:val="center"/>
          </w:tcPr>
          <w:p>
            <w:pPr>
              <w:widowControl/>
              <w:spacing w:line="360" w:lineRule="atLeast"/>
              <w:jc w:val="center"/>
              <w:rPr>
                <w:rFonts w:ascii="仿宋" w:hAnsi="仿宋"/>
                <w:color w:val="auto"/>
                <w:highlight w:val="none"/>
              </w:rPr>
            </w:pPr>
          </w:p>
        </w:tc>
        <w:tc>
          <w:tcPr>
            <w:tcW w:w="4658" w:type="pct"/>
            <w:gridSpan w:val="8"/>
            <w:tcBorders>
              <w:left w:val="single" w:color="auto" w:sz="4" w:space="0"/>
              <w:bottom w:val="single" w:color="auto" w:sz="4" w:space="0"/>
            </w:tcBorders>
          </w:tcPr>
          <w:p>
            <w:pPr>
              <w:widowControl/>
              <w:spacing w:line="360" w:lineRule="atLeast"/>
              <w:rPr>
                <w:rFonts w:ascii="仿宋" w:hAnsi="仿宋"/>
                <w:color w:val="auto"/>
                <w:highlight w:val="none"/>
              </w:rPr>
            </w:pPr>
            <w:r>
              <w:rPr>
                <w:rFonts w:hint="eastAsia" w:ascii="仿宋" w:hAnsi="仿宋"/>
                <w:color w:val="auto"/>
                <w:highlight w:val="none"/>
              </w:rPr>
              <w:t>报价合计（万元）：          大写：</w:t>
            </w:r>
          </w:p>
        </w:tc>
      </w:tr>
    </w:tbl>
    <w:p>
      <w:pPr>
        <w:widowControl/>
        <w:spacing w:line="360" w:lineRule="atLeast"/>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 xml:space="preserve">注：1. 报价应是最终用户验收合格后的总价，包括货物运输、保险、代理、安装调试、培训、税费和招标文件规定的其它费用。 </w:t>
      </w:r>
    </w:p>
    <w:p>
      <w:pPr>
        <w:spacing w:line="400" w:lineRule="exact"/>
        <w:ind w:firstLine="480" w:firstLineChars="200"/>
        <w:rPr>
          <w:rFonts w:ascii="仿宋" w:hAnsi="仿宋"/>
          <w:color w:val="auto"/>
          <w:highlight w:val="none"/>
        </w:rPr>
      </w:pPr>
      <w:r>
        <w:rPr>
          <w:rFonts w:hint="eastAsia" w:ascii="仿宋" w:hAnsi="仿宋"/>
          <w:color w:val="auto"/>
          <w:highlight w:val="none"/>
        </w:rPr>
        <w:t>2．</w:t>
      </w:r>
      <w:r>
        <w:rPr>
          <w:rFonts w:hint="eastAsia" w:ascii="仿宋" w:hAnsi="仿宋"/>
          <w:color w:val="auto"/>
          <w:highlight w:val="none"/>
        </w:rPr>
        <w:t>“开标一览表”以包为单位填写。</w:t>
      </w:r>
    </w:p>
    <w:p>
      <w:pPr>
        <w:spacing w:line="400" w:lineRule="exact"/>
        <w:ind w:firstLine="480" w:firstLineChars="200"/>
        <w:rPr>
          <w:rFonts w:ascii="仿宋" w:hAnsi="仿宋"/>
          <w:color w:val="auto"/>
          <w:highlight w:val="none"/>
        </w:rPr>
      </w:pPr>
      <w:r>
        <w:rPr>
          <w:rFonts w:hint="eastAsia" w:ascii="仿宋" w:hAnsi="仿宋"/>
          <w:color w:val="auto"/>
          <w:highlight w:val="none"/>
        </w:rPr>
        <w:t>3．</w:t>
      </w:r>
      <w:r>
        <w:rPr>
          <w:rFonts w:hint="eastAsia" w:ascii="仿宋" w:hAnsi="仿宋"/>
          <w:color w:val="auto"/>
          <w:highlight w:val="none"/>
        </w:rPr>
        <w:t>如是进口产品，须在表格中标明“进口”。招标文件未明确“允许进口”的，供应商以进口产品进行投标时，将视为无效投标。</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b/>
          <w:color w:val="auto"/>
          <w:highlight w:val="none"/>
        </w:rPr>
        <w:sectPr>
          <w:pgSz w:w="11905" w:h="16838"/>
          <w:pgMar w:top="1417" w:right="1417" w:bottom="1417" w:left="1417" w:header="425" w:footer="992" w:gutter="0"/>
          <w:cols w:space="0" w:num="1"/>
          <w:docGrid w:type="lines" w:linePitch="332" w:charSpace="0"/>
        </w:sectPr>
      </w:pPr>
      <w:r>
        <w:rPr>
          <w:rFonts w:hint="eastAsia" w:ascii="仿宋" w:hAnsi="仿宋"/>
          <w:color w:val="auto"/>
          <w:highlight w:val="none"/>
        </w:rPr>
        <w:t>投标日期：XXXX。</w:t>
      </w:r>
    </w:p>
    <w:p>
      <w:pPr>
        <w:pStyle w:val="5"/>
        <w:spacing w:before="0" w:after="0"/>
        <w:rPr>
          <w:rFonts w:ascii="仿宋" w:hAnsi="仿宋" w:cs="仿宋"/>
          <w:color w:val="auto"/>
          <w:highlight w:val="none"/>
        </w:rPr>
      </w:pPr>
      <w:bookmarkStart w:id="139" w:name="_Toc217446086"/>
      <w:r>
        <w:rPr>
          <w:rFonts w:hint="eastAsia" w:ascii="仿宋" w:hAnsi="仿宋" w:cs="仿宋"/>
          <w:color w:val="auto"/>
          <w:highlight w:val="none"/>
        </w:rPr>
        <w:t>格式2-5分项报价明细表</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分项报价明细表</w:t>
      </w:r>
      <w:bookmarkEnd w:id="139"/>
    </w:p>
    <w:p>
      <w:pPr>
        <w:widowControl/>
        <w:spacing w:line="360" w:lineRule="atLeast"/>
        <w:ind w:firstLine="472" w:firstLineChars="196"/>
        <w:rPr>
          <w:rFonts w:ascii="仿宋" w:hAnsi="仿宋"/>
          <w:b/>
          <w:color w:val="auto"/>
          <w:highlight w:val="none"/>
        </w:rPr>
      </w:pPr>
    </w:p>
    <w:p>
      <w:pPr>
        <w:widowControl/>
        <w:spacing w:line="360" w:lineRule="atLeast"/>
        <w:rPr>
          <w:rFonts w:ascii="仿宋" w:hAnsi="仿宋"/>
          <w:color w:val="auto"/>
          <w:highlight w:val="none"/>
        </w:rPr>
      </w:pPr>
      <w:r>
        <w:rPr>
          <w:rFonts w:hint="eastAsia" w:ascii="仿宋" w:hAnsi="仿宋"/>
          <w:color w:val="auto"/>
          <w:highlight w:val="none"/>
        </w:rPr>
        <w:t>第XX包</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313"/>
        <w:gridCol w:w="1402"/>
        <w:gridCol w:w="916"/>
        <w:gridCol w:w="1248"/>
        <w:gridCol w:w="866"/>
        <w:gridCol w:w="867"/>
        <w:gridCol w:w="903"/>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87"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序号</w:t>
            </w:r>
          </w:p>
        </w:tc>
        <w:tc>
          <w:tcPr>
            <w:tcW w:w="707"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产品名称</w:t>
            </w:r>
          </w:p>
        </w:tc>
        <w:tc>
          <w:tcPr>
            <w:tcW w:w="755"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规格型号</w:t>
            </w:r>
          </w:p>
        </w:tc>
        <w:tc>
          <w:tcPr>
            <w:tcW w:w="493"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品牌</w:t>
            </w:r>
          </w:p>
        </w:tc>
        <w:tc>
          <w:tcPr>
            <w:tcW w:w="672"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单位</w:t>
            </w:r>
          </w:p>
        </w:tc>
        <w:tc>
          <w:tcPr>
            <w:tcW w:w="466"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数量</w:t>
            </w:r>
          </w:p>
        </w:tc>
        <w:tc>
          <w:tcPr>
            <w:tcW w:w="467"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单价</w:t>
            </w:r>
          </w:p>
        </w:tc>
        <w:tc>
          <w:tcPr>
            <w:tcW w:w="486" w:type="pct"/>
            <w:vAlign w:val="center"/>
          </w:tcPr>
          <w:p>
            <w:pPr>
              <w:widowControl/>
              <w:spacing w:line="360" w:lineRule="atLeast"/>
              <w:jc w:val="center"/>
              <w:rPr>
                <w:rFonts w:ascii="仿宋" w:hAnsi="仿宋"/>
                <w:color w:val="auto"/>
                <w:highlight w:val="none"/>
              </w:rPr>
            </w:pPr>
            <w:r>
              <w:rPr>
                <w:rFonts w:hint="eastAsia" w:ascii="仿宋" w:hAnsi="仿宋"/>
                <w:color w:val="auto"/>
                <w:highlight w:val="none"/>
              </w:rPr>
              <w:t>金额</w:t>
            </w:r>
          </w:p>
        </w:tc>
        <w:tc>
          <w:tcPr>
            <w:tcW w:w="468" w:type="pct"/>
            <w:vAlign w:val="center"/>
          </w:tcPr>
          <w:p>
            <w:pPr>
              <w:widowControl/>
              <w:spacing w:line="360" w:lineRule="atLeast"/>
              <w:rPr>
                <w:rFonts w:ascii="仿宋" w:hAnsi="仿宋"/>
                <w:color w:val="auto"/>
                <w:highlight w:val="none"/>
              </w:rPr>
            </w:pPr>
            <w:r>
              <w:rPr>
                <w:rFonts w:hint="eastAsia" w:ascii="仿宋" w:hAnsi="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highlight w:val="none"/>
              </w:rPr>
            </w:pPr>
          </w:p>
        </w:tc>
        <w:tc>
          <w:tcPr>
            <w:tcW w:w="707" w:type="pct"/>
            <w:vAlign w:val="center"/>
          </w:tcPr>
          <w:p>
            <w:pPr>
              <w:widowControl/>
              <w:spacing w:line="360" w:lineRule="atLeast"/>
              <w:ind w:firstLine="470" w:firstLineChars="196"/>
              <w:rPr>
                <w:rFonts w:ascii="仿宋" w:hAnsi="仿宋"/>
                <w:color w:val="auto"/>
                <w:highlight w:val="none"/>
              </w:rPr>
            </w:pPr>
          </w:p>
        </w:tc>
        <w:tc>
          <w:tcPr>
            <w:tcW w:w="755" w:type="pct"/>
            <w:vAlign w:val="center"/>
          </w:tcPr>
          <w:p>
            <w:pPr>
              <w:widowControl/>
              <w:spacing w:line="360" w:lineRule="atLeast"/>
              <w:ind w:firstLine="470" w:firstLineChars="196"/>
              <w:rPr>
                <w:rFonts w:ascii="仿宋" w:hAnsi="仿宋"/>
                <w:color w:val="auto"/>
                <w:highlight w:val="none"/>
              </w:rPr>
            </w:pPr>
          </w:p>
        </w:tc>
        <w:tc>
          <w:tcPr>
            <w:tcW w:w="493" w:type="pct"/>
            <w:vAlign w:val="center"/>
          </w:tcPr>
          <w:p>
            <w:pPr>
              <w:widowControl/>
              <w:spacing w:line="360" w:lineRule="atLeast"/>
              <w:ind w:firstLine="470" w:firstLineChars="196"/>
              <w:rPr>
                <w:rFonts w:ascii="仿宋" w:hAnsi="仿宋"/>
                <w:color w:val="auto"/>
                <w:highlight w:val="none"/>
              </w:rPr>
            </w:pPr>
          </w:p>
        </w:tc>
        <w:tc>
          <w:tcPr>
            <w:tcW w:w="672" w:type="pct"/>
            <w:vAlign w:val="center"/>
          </w:tcPr>
          <w:p>
            <w:pPr>
              <w:widowControl/>
              <w:spacing w:line="360" w:lineRule="atLeast"/>
              <w:ind w:firstLine="470" w:firstLineChars="196"/>
              <w:rPr>
                <w:rFonts w:ascii="仿宋" w:hAnsi="仿宋"/>
                <w:color w:val="auto"/>
                <w:highlight w:val="none"/>
              </w:rPr>
            </w:pPr>
          </w:p>
        </w:tc>
        <w:tc>
          <w:tcPr>
            <w:tcW w:w="466" w:type="pct"/>
            <w:vAlign w:val="center"/>
          </w:tcPr>
          <w:p>
            <w:pPr>
              <w:widowControl/>
              <w:spacing w:line="360" w:lineRule="atLeast"/>
              <w:ind w:firstLine="470" w:firstLineChars="196"/>
              <w:rPr>
                <w:rFonts w:ascii="仿宋" w:hAnsi="仿宋"/>
                <w:color w:val="auto"/>
                <w:highlight w:val="none"/>
              </w:rPr>
            </w:pPr>
          </w:p>
        </w:tc>
        <w:tc>
          <w:tcPr>
            <w:tcW w:w="467" w:type="pct"/>
            <w:vAlign w:val="center"/>
          </w:tcPr>
          <w:p>
            <w:pPr>
              <w:widowControl/>
              <w:spacing w:line="360" w:lineRule="atLeast"/>
              <w:ind w:firstLine="470" w:firstLineChars="196"/>
              <w:rPr>
                <w:rFonts w:ascii="仿宋" w:hAnsi="仿宋"/>
                <w:color w:val="auto"/>
                <w:highlight w:val="none"/>
              </w:rPr>
            </w:pPr>
          </w:p>
        </w:tc>
        <w:tc>
          <w:tcPr>
            <w:tcW w:w="486" w:type="pct"/>
            <w:vAlign w:val="center"/>
          </w:tcPr>
          <w:p>
            <w:pPr>
              <w:widowControl/>
              <w:spacing w:line="360" w:lineRule="atLeast"/>
              <w:ind w:firstLine="470" w:firstLineChars="196"/>
              <w:rPr>
                <w:rFonts w:ascii="仿宋" w:hAnsi="仿宋"/>
                <w:color w:val="auto"/>
                <w:highlight w:val="none"/>
              </w:rPr>
            </w:pPr>
          </w:p>
        </w:tc>
        <w:tc>
          <w:tcPr>
            <w:tcW w:w="468" w:type="pct"/>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highlight w:val="none"/>
              </w:rPr>
            </w:pPr>
          </w:p>
        </w:tc>
        <w:tc>
          <w:tcPr>
            <w:tcW w:w="707" w:type="pct"/>
            <w:vAlign w:val="center"/>
          </w:tcPr>
          <w:p>
            <w:pPr>
              <w:widowControl/>
              <w:spacing w:line="360" w:lineRule="atLeast"/>
              <w:ind w:firstLine="470" w:firstLineChars="196"/>
              <w:rPr>
                <w:rFonts w:ascii="仿宋" w:hAnsi="仿宋"/>
                <w:color w:val="auto"/>
                <w:highlight w:val="none"/>
              </w:rPr>
            </w:pPr>
          </w:p>
        </w:tc>
        <w:tc>
          <w:tcPr>
            <w:tcW w:w="755" w:type="pct"/>
            <w:vAlign w:val="center"/>
          </w:tcPr>
          <w:p>
            <w:pPr>
              <w:widowControl/>
              <w:spacing w:line="360" w:lineRule="atLeast"/>
              <w:ind w:firstLine="470" w:firstLineChars="196"/>
              <w:rPr>
                <w:rFonts w:ascii="仿宋" w:hAnsi="仿宋"/>
                <w:color w:val="auto"/>
                <w:highlight w:val="none"/>
              </w:rPr>
            </w:pPr>
          </w:p>
        </w:tc>
        <w:tc>
          <w:tcPr>
            <w:tcW w:w="493" w:type="pct"/>
            <w:vAlign w:val="center"/>
          </w:tcPr>
          <w:p>
            <w:pPr>
              <w:widowControl/>
              <w:spacing w:line="360" w:lineRule="atLeast"/>
              <w:ind w:firstLine="470" w:firstLineChars="196"/>
              <w:rPr>
                <w:rFonts w:ascii="仿宋" w:hAnsi="仿宋"/>
                <w:color w:val="auto"/>
                <w:highlight w:val="none"/>
              </w:rPr>
            </w:pPr>
          </w:p>
        </w:tc>
        <w:tc>
          <w:tcPr>
            <w:tcW w:w="672" w:type="pct"/>
            <w:vAlign w:val="center"/>
          </w:tcPr>
          <w:p>
            <w:pPr>
              <w:widowControl/>
              <w:spacing w:line="360" w:lineRule="atLeast"/>
              <w:ind w:firstLine="470" w:firstLineChars="196"/>
              <w:rPr>
                <w:rFonts w:ascii="仿宋" w:hAnsi="仿宋"/>
                <w:color w:val="auto"/>
                <w:highlight w:val="none"/>
              </w:rPr>
            </w:pPr>
          </w:p>
        </w:tc>
        <w:tc>
          <w:tcPr>
            <w:tcW w:w="466" w:type="pct"/>
            <w:vAlign w:val="center"/>
          </w:tcPr>
          <w:p>
            <w:pPr>
              <w:widowControl/>
              <w:spacing w:line="360" w:lineRule="atLeast"/>
              <w:ind w:firstLine="470" w:firstLineChars="196"/>
              <w:rPr>
                <w:rFonts w:ascii="仿宋" w:hAnsi="仿宋"/>
                <w:color w:val="auto"/>
                <w:highlight w:val="none"/>
              </w:rPr>
            </w:pPr>
          </w:p>
        </w:tc>
        <w:tc>
          <w:tcPr>
            <w:tcW w:w="467" w:type="pct"/>
            <w:vAlign w:val="center"/>
          </w:tcPr>
          <w:p>
            <w:pPr>
              <w:widowControl/>
              <w:spacing w:line="360" w:lineRule="atLeast"/>
              <w:ind w:firstLine="470" w:firstLineChars="196"/>
              <w:rPr>
                <w:rFonts w:ascii="仿宋" w:hAnsi="仿宋"/>
                <w:color w:val="auto"/>
                <w:highlight w:val="none"/>
              </w:rPr>
            </w:pPr>
          </w:p>
        </w:tc>
        <w:tc>
          <w:tcPr>
            <w:tcW w:w="486" w:type="pct"/>
            <w:vAlign w:val="center"/>
          </w:tcPr>
          <w:p>
            <w:pPr>
              <w:widowControl/>
              <w:spacing w:line="360" w:lineRule="atLeast"/>
              <w:ind w:firstLine="470" w:firstLineChars="196"/>
              <w:rPr>
                <w:rFonts w:ascii="仿宋" w:hAnsi="仿宋"/>
                <w:color w:val="auto"/>
                <w:highlight w:val="none"/>
              </w:rPr>
            </w:pPr>
          </w:p>
        </w:tc>
        <w:tc>
          <w:tcPr>
            <w:tcW w:w="468" w:type="pct"/>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highlight w:val="none"/>
              </w:rPr>
            </w:pPr>
          </w:p>
        </w:tc>
        <w:tc>
          <w:tcPr>
            <w:tcW w:w="707" w:type="pct"/>
            <w:vAlign w:val="center"/>
          </w:tcPr>
          <w:p>
            <w:pPr>
              <w:widowControl/>
              <w:spacing w:line="360" w:lineRule="atLeast"/>
              <w:ind w:firstLine="470" w:firstLineChars="196"/>
              <w:rPr>
                <w:rFonts w:ascii="仿宋" w:hAnsi="仿宋"/>
                <w:color w:val="auto"/>
                <w:highlight w:val="none"/>
              </w:rPr>
            </w:pPr>
          </w:p>
        </w:tc>
        <w:tc>
          <w:tcPr>
            <w:tcW w:w="755" w:type="pct"/>
            <w:vAlign w:val="center"/>
          </w:tcPr>
          <w:p>
            <w:pPr>
              <w:widowControl/>
              <w:spacing w:line="360" w:lineRule="atLeast"/>
              <w:ind w:firstLine="470" w:firstLineChars="196"/>
              <w:rPr>
                <w:rFonts w:ascii="仿宋" w:hAnsi="仿宋"/>
                <w:color w:val="auto"/>
                <w:highlight w:val="none"/>
              </w:rPr>
            </w:pPr>
          </w:p>
        </w:tc>
        <w:tc>
          <w:tcPr>
            <w:tcW w:w="493" w:type="pct"/>
            <w:vAlign w:val="center"/>
          </w:tcPr>
          <w:p>
            <w:pPr>
              <w:widowControl/>
              <w:spacing w:line="360" w:lineRule="atLeast"/>
              <w:ind w:firstLine="470" w:firstLineChars="196"/>
              <w:rPr>
                <w:rFonts w:ascii="仿宋" w:hAnsi="仿宋"/>
                <w:color w:val="auto"/>
                <w:highlight w:val="none"/>
              </w:rPr>
            </w:pPr>
          </w:p>
        </w:tc>
        <w:tc>
          <w:tcPr>
            <w:tcW w:w="672" w:type="pct"/>
            <w:vAlign w:val="center"/>
          </w:tcPr>
          <w:p>
            <w:pPr>
              <w:widowControl/>
              <w:spacing w:line="360" w:lineRule="atLeast"/>
              <w:ind w:firstLine="470" w:firstLineChars="196"/>
              <w:rPr>
                <w:rFonts w:ascii="仿宋" w:hAnsi="仿宋"/>
                <w:color w:val="auto"/>
                <w:highlight w:val="none"/>
              </w:rPr>
            </w:pPr>
          </w:p>
        </w:tc>
        <w:tc>
          <w:tcPr>
            <w:tcW w:w="466" w:type="pct"/>
            <w:vAlign w:val="center"/>
          </w:tcPr>
          <w:p>
            <w:pPr>
              <w:widowControl/>
              <w:spacing w:line="360" w:lineRule="atLeast"/>
              <w:ind w:firstLine="470" w:firstLineChars="196"/>
              <w:rPr>
                <w:rFonts w:ascii="仿宋" w:hAnsi="仿宋"/>
                <w:color w:val="auto"/>
                <w:highlight w:val="none"/>
              </w:rPr>
            </w:pPr>
          </w:p>
        </w:tc>
        <w:tc>
          <w:tcPr>
            <w:tcW w:w="467" w:type="pct"/>
            <w:vAlign w:val="center"/>
          </w:tcPr>
          <w:p>
            <w:pPr>
              <w:widowControl/>
              <w:spacing w:line="360" w:lineRule="atLeast"/>
              <w:ind w:firstLine="470" w:firstLineChars="196"/>
              <w:rPr>
                <w:rFonts w:ascii="仿宋" w:hAnsi="仿宋"/>
                <w:color w:val="auto"/>
                <w:highlight w:val="none"/>
              </w:rPr>
            </w:pPr>
          </w:p>
        </w:tc>
        <w:tc>
          <w:tcPr>
            <w:tcW w:w="486" w:type="pct"/>
            <w:vAlign w:val="center"/>
          </w:tcPr>
          <w:p>
            <w:pPr>
              <w:widowControl/>
              <w:spacing w:line="360" w:lineRule="atLeast"/>
              <w:ind w:firstLine="470" w:firstLineChars="196"/>
              <w:rPr>
                <w:rFonts w:ascii="仿宋" w:hAnsi="仿宋"/>
                <w:color w:val="auto"/>
                <w:highlight w:val="none"/>
              </w:rPr>
            </w:pPr>
          </w:p>
        </w:tc>
        <w:tc>
          <w:tcPr>
            <w:tcW w:w="468" w:type="pct"/>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c>
          <w:tcPr>
            <w:tcW w:w="707" w:type="pct"/>
            <w:vAlign w:val="center"/>
          </w:tcPr>
          <w:p>
            <w:pPr>
              <w:widowControl/>
              <w:spacing w:line="360" w:lineRule="atLeast"/>
              <w:ind w:firstLine="470" w:firstLineChars="196"/>
              <w:rPr>
                <w:rFonts w:ascii="仿宋" w:hAnsi="仿宋"/>
                <w:color w:val="auto"/>
                <w:highlight w:val="none"/>
              </w:rPr>
            </w:pPr>
          </w:p>
        </w:tc>
        <w:tc>
          <w:tcPr>
            <w:tcW w:w="755" w:type="pct"/>
            <w:vAlign w:val="center"/>
          </w:tcPr>
          <w:p>
            <w:pPr>
              <w:widowControl/>
              <w:spacing w:line="360" w:lineRule="atLeast"/>
              <w:ind w:firstLine="470" w:firstLineChars="196"/>
              <w:rPr>
                <w:rFonts w:ascii="仿宋" w:hAnsi="仿宋"/>
                <w:color w:val="auto"/>
                <w:highlight w:val="none"/>
              </w:rPr>
            </w:pPr>
          </w:p>
        </w:tc>
        <w:tc>
          <w:tcPr>
            <w:tcW w:w="493" w:type="pct"/>
            <w:vAlign w:val="center"/>
          </w:tcPr>
          <w:p>
            <w:pPr>
              <w:widowControl/>
              <w:spacing w:line="360" w:lineRule="atLeast"/>
              <w:ind w:firstLine="470" w:firstLineChars="196"/>
              <w:rPr>
                <w:rFonts w:ascii="仿宋" w:hAnsi="仿宋"/>
                <w:color w:val="auto"/>
                <w:highlight w:val="none"/>
              </w:rPr>
            </w:pPr>
          </w:p>
        </w:tc>
        <w:tc>
          <w:tcPr>
            <w:tcW w:w="672" w:type="pct"/>
            <w:vAlign w:val="center"/>
          </w:tcPr>
          <w:p>
            <w:pPr>
              <w:widowControl/>
              <w:spacing w:line="360" w:lineRule="atLeast"/>
              <w:ind w:firstLine="470" w:firstLineChars="196"/>
              <w:rPr>
                <w:rFonts w:ascii="仿宋" w:hAnsi="仿宋"/>
                <w:color w:val="auto"/>
                <w:highlight w:val="none"/>
              </w:rPr>
            </w:pPr>
          </w:p>
        </w:tc>
        <w:tc>
          <w:tcPr>
            <w:tcW w:w="466" w:type="pct"/>
            <w:vAlign w:val="center"/>
          </w:tcPr>
          <w:p>
            <w:pPr>
              <w:widowControl/>
              <w:spacing w:line="360" w:lineRule="atLeast"/>
              <w:ind w:firstLine="470" w:firstLineChars="196"/>
              <w:rPr>
                <w:rFonts w:ascii="仿宋" w:hAnsi="仿宋"/>
                <w:color w:val="auto"/>
                <w:highlight w:val="none"/>
              </w:rPr>
            </w:pPr>
          </w:p>
        </w:tc>
        <w:tc>
          <w:tcPr>
            <w:tcW w:w="467" w:type="pct"/>
            <w:vAlign w:val="center"/>
          </w:tcPr>
          <w:p>
            <w:pPr>
              <w:widowControl/>
              <w:spacing w:line="360" w:lineRule="atLeast"/>
              <w:ind w:firstLine="470" w:firstLineChars="196"/>
              <w:rPr>
                <w:rFonts w:ascii="仿宋" w:hAnsi="仿宋"/>
                <w:color w:val="auto"/>
                <w:highlight w:val="none"/>
              </w:rPr>
            </w:pPr>
          </w:p>
        </w:tc>
        <w:tc>
          <w:tcPr>
            <w:tcW w:w="486" w:type="pct"/>
            <w:vAlign w:val="center"/>
          </w:tcPr>
          <w:p>
            <w:pPr>
              <w:widowControl/>
              <w:spacing w:line="360" w:lineRule="atLeast"/>
              <w:ind w:firstLine="470" w:firstLineChars="196"/>
              <w:rPr>
                <w:rFonts w:ascii="仿宋" w:hAnsi="仿宋"/>
                <w:color w:val="auto"/>
                <w:highlight w:val="none"/>
              </w:rPr>
            </w:pPr>
          </w:p>
        </w:tc>
        <w:tc>
          <w:tcPr>
            <w:tcW w:w="468" w:type="pct"/>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highlight w:val="none"/>
              </w:rPr>
            </w:pPr>
          </w:p>
        </w:tc>
        <w:tc>
          <w:tcPr>
            <w:tcW w:w="707" w:type="pct"/>
            <w:vAlign w:val="center"/>
          </w:tcPr>
          <w:p>
            <w:pPr>
              <w:widowControl/>
              <w:spacing w:line="360" w:lineRule="atLeast"/>
              <w:ind w:firstLine="470" w:firstLineChars="196"/>
              <w:rPr>
                <w:rFonts w:ascii="仿宋" w:hAnsi="仿宋"/>
                <w:color w:val="auto"/>
                <w:highlight w:val="none"/>
              </w:rPr>
            </w:pPr>
          </w:p>
        </w:tc>
        <w:tc>
          <w:tcPr>
            <w:tcW w:w="755" w:type="pct"/>
            <w:vAlign w:val="center"/>
          </w:tcPr>
          <w:p>
            <w:pPr>
              <w:widowControl/>
              <w:spacing w:line="360" w:lineRule="atLeast"/>
              <w:ind w:firstLine="470" w:firstLineChars="196"/>
              <w:rPr>
                <w:rFonts w:ascii="仿宋" w:hAnsi="仿宋"/>
                <w:color w:val="auto"/>
                <w:highlight w:val="none"/>
              </w:rPr>
            </w:pPr>
          </w:p>
        </w:tc>
        <w:tc>
          <w:tcPr>
            <w:tcW w:w="493" w:type="pct"/>
            <w:vAlign w:val="center"/>
          </w:tcPr>
          <w:p>
            <w:pPr>
              <w:widowControl/>
              <w:spacing w:line="360" w:lineRule="atLeast"/>
              <w:ind w:firstLine="470" w:firstLineChars="196"/>
              <w:rPr>
                <w:rFonts w:ascii="仿宋" w:hAnsi="仿宋"/>
                <w:color w:val="auto"/>
                <w:highlight w:val="none"/>
              </w:rPr>
            </w:pPr>
          </w:p>
        </w:tc>
        <w:tc>
          <w:tcPr>
            <w:tcW w:w="672" w:type="pct"/>
            <w:vAlign w:val="center"/>
          </w:tcPr>
          <w:p>
            <w:pPr>
              <w:widowControl/>
              <w:spacing w:line="360" w:lineRule="atLeast"/>
              <w:ind w:firstLine="470" w:firstLineChars="196"/>
              <w:rPr>
                <w:rFonts w:ascii="仿宋" w:hAnsi="仿宋"/>
                <w:color w:val="auto"/>
                <w:highlight w:val="none"/>
              </w:rPr>
            </w:pPr>
          </w:p>
        </w:tc>
        <w:tc>
          <w:tcPr>
            <w:tcW w:w="466" w:type="pct"/>
            <w:vAlign w:val="center"/>
          </w:tcPr>
          <w:p>
            <w:pPr>
              <w:widowControl/>
              <w:spacing w:line="360" w:lineRule="atLeast"/>
              <w:ind w:firstLine="470" w:firstLineChars="196"/>
              <w:rPr>
                <w:rFonts w:ascii="仿宋" w:hAnsi="仿宋"/>
                <w:color w:val="auto"/>
                <w:highlight w:val="none"/>
              </w:rPr>
            </w:pPr>
          </w:p>
        </w:tc>
        <w:tc>
          <w:tcPr>
            <w:tcW w:w="467" w:type="pct"/>
            <w:vAlign w:val="center"/>
          </w:tcPr>
          <w:p>
            <w:pPr>
              <w:widowControl/>
              <w:spacing w:line="360" w:lineRule="atLeast"/>
              <w:ind w:firstLine="470" w:firstLineChars="196"/>
              <w:rPr>
                <w:rFonts w:ascii="仿宋" w:hAnsi="仿宋"/>
                <w:color w:val="auto"/>
                <w:highlight w:val="none"/>
              </w:rPr>
            </w:pPr>
          </w:p>
        </w:tc>
        <w:tc>
          <w:tcPr>
            <w:tcW w:w="486" w:type="pct"/>
            <w:vAlign w:val="center"/>
          </w:tcPr>
          <w:p>
            <w:pPr>
              <w:widowControl/>
              <w:spacing w:line="360" w:lineRule="atLeast"/>
              <w:ind w:firstLine="470" w:firstLineChars="196"/>
              <w:rPr>
                <w:rFonts w:ascii="仿宋" w:hAnsi="仿宋"/>
                <w:color w:val="auto"/>
                <w:highlight w:val="none"/>
              </w:rPr>
            </w:pPr>
          </w:p>
        </w:tc>
        <w:tc>
          <w:tcPr>
            <w:tcW w:w="468" w:type="pct"/>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highlight w:val="none"/>
              </w:rPr>
            </w:pPr>
          </w:p>
        </w:tc>
        <w:tc>
          <w:tcPr>
            <w:tcW w:w="707" w:type="pct"/>
            <w:vAlign w:val="center"/>
          </w:tcPr>
          <w:p>
            <w:pPr>
              <w:widowControl/>
              <w:spacing w:line="360" w:lineRule="atLeast"/>
              <w:ind w:firstLine="470" w:firstLineChars="196"/>
              <w:rPr>
                <w:rFonts w:ascii="仿宋" w:hAnsi="仿宋"/>
                <w:color w:val="auto"/>
                <w:highlight w:val="none"/>
              </w:rPr>
            </w:pPr>
          </w:p>
        </w:tc>
        <w:tc>
          <w:tcPr>
            <w:tcW w:w="755" w:type="pct"/>
            <w:vAlign w:val="center"/>
          </w:tcPr>
          <w:p>
            <w:pPr>
              <w:widowControl/>
              <w:spacing w:line="360" w:lineRule="atLeast"/>
              <w:ind w:firstLine="470" w:firstLineChars="196"/>
              <w:rPr>
                <w:rFonts w:ascii="仿宋" w:hAnsi="仿宋"/>
                <w:color w:val="auto"/>
                <w:highlight w:val="none"/>
              </w:rPr>
            </w:pPr>
          </w:p>
        </w:tc>
        <w:tc>
          <w:tcPr>
            <w:tcW w:w="493" w:type="pct"/>
            <w:vAlign w:val="center"/>
          </w:tcPr>
          <w:p>
            <w:pPr>
              <w:widowControl/>
              <w:spacing w:line="360" w:lineRule="atLeast"/>
              <w:ind w:firstLine="470" w:firstLineChars="196"/>
              <w:rPr>
                <w:rFonts w:ascii="仿宋" w:hAnsi="仿宋"/>
                <w:color w:val="auto"/>
                <w:highlight w:val="none"/>
              </w:rPr>
            </w:pPr>
          </w:p>
        </w:tc>
        <w:tc>
          <w:tcPr>
            <w:tcW w:w="672" w:type="pct"/>
            <w:vAlign w:val="center"/>
          </w:tcPr>
          <w:p>
            <w:pPr>
              <w:widowControl/>
              <w:spacing w:line="360" w:lineRule="atLeast"/>
              <w:ind w:firstLine="470" w:firstLineChars="196"/>
              <w:rPr>
                <w:rFonts w:ascii="仿宋" w:hAnsi="仿宋"/>
                <w:color w:val="auto"/>
                <w:highlight w:val="none"/>
              </w:rPr>
            </w:pPr>
          </w:p>
        </w:tc>
        <w:tc>
          <w:tcPr>
            <w:tcW w:w="466" w:type="pct"/>
            <w:vAlign w:val="center"/>
          </w:tcPr>
          <w:p>
            <w:pPr>
              <w:widowControl/>
              <w:spacing w:line="360" w:lineRule="atLeast"/>
              <w:ind w:firstLine="470" w:firstLineChars="196"/>
              <w:rPr>
                <w:rFonts w:ascii="仿宋" w:hAnsi="仿宋"/>
                <w:color w:val="auto"/>
                <w:highlight w:val="none"/>
              </w:rPr>
            </w:pPr>
          </w:p>
        </w:tc>
        <w:tc>
          <w:tcPr>
            <w:tcW w:w="467" w:type="pct"/>
            <w:vAlign w:val="center"/>
          </w:tcPr>
          <w:p>
            <w:pPr>
              <w:widowControl/>
              <w:spacing w:line="360" w:lineRule="atLeast"/>
              <w:ind w:firstLine="470" w:firstLineChars="196"/>
              <w:rPr>
                <w:rFonts w:ascii="仿宋" w:hAnsi="仿宋"/>
                <w:color w:val="auto"/>
                <w:highlight w:val="none"/>
              </w:rPr>
            </w:pPr>
          </w:p>
        </w:tc>
        <w:tc>
          <w:tcPr>
            <w:tcW w:w="486" w:type="pct"/>
            <w:vAlign w:val="center"/>
          </w:tcPr>
          <w:p>
            <w:pPr>
              <w:widowControl/>
              <w:spacing w:line="360" w:lineRule="atLeast"/>
              <w:ind w:firstLine="470" w:firstLineChars="196"/>
              <w:rPr>
                <w:rFonts w:ascii="仿宋" w:hAnsi="仿宋"/>
                <w:color w:val="auto"/>
                <w:highlight w:val="none"/>
              </w:rPr>
            </w:pPr>
          </w:p>
        </w:tc>
        <w:tc>
          <w:tcPr>
            <w:tcW w:w="468" w:type="pct"/>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87"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3560" w:type="pct"/>
            <w:gridSpan w:val="6"/>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分项报价合计（万元）：   大写：</w:t>
            </w:r>
          </w:p>
        </w:tc>
        <w:tc>
          <w:tcPr>
            <w:tcW w:w="486"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468"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bl>
    <w:p>
      <w:pPr>
        <w:widowControl/>
        <w:spacing w:line="360" w:lineRule="atLeast"/>
        <w:rPr>
          <w:rFonts w:ascii="仿宋" w:hAnsi="仿宋"/>
          <w:color w:val="auto"/>
          <w:highlight w:val="none"/>
        </w:rPr>
      </w:pPr>
    </w:p>
    <w:p>
      <w:pPr>
        <w:spacing w:line="400" w:lineRule="exact"/>
        <w:rPr>
          <w:rFonts w:ascii="仿宋" w:hAnsi="仿宋"/>
          <w:color w:val="auto"/>
          <w:spacing w:val="-6"/>
          <w:highlight w:val="none"/>
        </w:rPr>
      </w:pPr>
      <w:r>
        <w:rPr>
          <w:rFonts w:hint="eastAsia" w:ascii="仿宋" w:hAnsi="仿宋"/>
          <w:color w:val="auto"/>
          <w:spacing w:val="-6"/>
          <w:highlight w:val="none"/>
        </w:rPr>
        <w:t>注：1、投标人应按“分项报价明细表”的格式详细报出投标总价的各个组成部分的报价。</w:t>
      </w:r>
    </w:p>
    <w:p>
      <w:pPr>
        <w:widowControl/>
        <w:spacing w:line="360" w:lineRule="atLeast"/>
        <w:rPr>
          <w:rFonts w:ascii="仿宋" w:hAnsi="仿宋"/>
          <w:color w:val="auto"/>
          <w:highlight w:val="none"/>
        </w:rPr>
      </w:pPr>
      <w:r>
        <w:rPr>
          <w:rFonts w:hint="eastAsia" w:ascii="仿宋" w:hAnsi="仿宋"/>
          <w:color w:val="auto"/>
          <w:highlight w:val="none"/>
        </w:rPr>
        <w:t>2、“分项报价明细表”各分项报价合计应当与“开标一览表”报价合计相等。</w:t>
      </w:r>
    </w:p>
    <w:p>
      <w:pPr>
        <w:widowControl/>
        <w:spacing w:line="360" w:lineRule="atLeast"/>
        <w:ind w:firstLine="472" w:firstLineChars="196"/>
        <w:rPr>
          <w:rFonts w:ascii="仿宋" w:hAnsi="仿宋"/>
          <w:b/>
          <w:color w:val="auto"/>
          <w:highlight w:val="none"/>
        </w:rPr>
      </w:pPr>
    </w:p>
    <w:p>
      <w:pPr>
        <w:widowControl/>
        <w:spacing w:line="360" w:lineRule="atLeast"/>
        <w:ind w:firstLine="472" w:firstLineChars="196"/>
        <w:rPr>
          <w:rFonts w:ascii="仿宋" w:hAnsi="仿宋"/>
          <w:b/>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投标日期：XXXX</w:t>
      </w:r>
      <w:bookmarkEnd w:id="135"/>
      <w:r>
        <w:rPr>
          <w:rFonts w:hint="eastAsia" w:ascii="仿宋" w:hAnsi="仿宋"/>
          <w:color w:val="auto"/>
          <w:highlight w:val="none"/>
        </w:rPr>
        <w:t>。</w:t>
      </w:r>
      <w:bookmarkStart w:id="140" w:name="_Toc217446087"/>
    </w:p>
    <w:p>
      <w:pPr>
        <w:widowControl/>
        <w:spacing w:line="360" w:lineRule="atLeast"/>
        <w:rPr>
          <w:rFonts w:ascii="仿宋" w:hAnsi="仿宋"/>
          <w:color w:val="auto"/>
          <w:highlight w:val="none"/>
        </w:rPr>
      </w:pPr>
      <w:r>
        <w:rPr>
          <w:rFonts w:hint="eastAsia" w:ascii="仿宋" w:hAnsi="仿宋"/>
          <w:color w:val="auto"/>
          <w:highlight w:val="none"/>
        </w:rPr>
        <w:br w:type="page"/>
      </w:r>
      <w:bookmarkStart w:id="141" w:name="PO_默认文件内容_26"/>
    </w:p>
    <w:p>
      <w:pPr>
        <w:pStyle w:val="5"/>
        <w:spacing w:before="0" w:after="0"/>
        <w:rPr>
          <w:rFonts w:ascii="仿宋" w:hAnsi="仿宋" w:cs="仿宋"/>
          <w:color w:val="auto"/>
          <w:highlight w:val="none"/>
        </w:rPr>
      </w:pPr>
      <w:r>
        <w:rPr>
          <w:rFonts w:hint="eastAsia" w:ascii="仿宋" w:hAnsi="仿宋" w:cs="仿宋"/>
          <w:color w:val="auto"/>
          <w:highlight w:val="none"/>
        </w:rPr>
        <w:t>格式2-6商务应答表</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商务应答表</w:t>
      </w:r>
      <w:bookmarkEnd w:id="140"/>
    </w:p>
    <w:p>
      <w:pPr>
        <w:widowControl/>
        <w:spacing w:line="360" w:lineRule="atLeast"/>
        <w:ind w:firstLine="472" w:firstLineChars="196"/>
        <w:rPr>
          <w:rFonts w:ascii="仿宋" w:hAnsi="仿宋"/>
          <w:b/>
          <w:color w:val="auto"/>
          <w:highlight w:val="none"/>
        </w:rPr>
      </w:pPr>
    </w:p>
    <w:p>
      <w:pPr>
        <w:widowControl/>
        <w:spacing w:line="360" w:lineRule="atLeast"/>
        <w:rPr>
          <w:rFonts w:ascii="仿宋" w:hAnsi="仿宋"/>
          <w:color w:val="auto"/>
          <w:highlight w:val="none"/>
        </w:rPr>
      </w:pPr>
      <w:r>
        <w:rPr>
          <w:rFonts w:hint="eastAsia" w:ascii="仿宋" w:hAnsi="仿宋"/>
          <w:color w:val="auto"/>
          <w:highlight w:val="none"/>
        </w:rPr>
        <w:t>招标编号：</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072"/>
        <w:gridCol w:w="1700"/>
        <w:gridCol w:w="5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77" w:type="pct"/>
            <w:vAlign w:val="center"/>
          </w:tcPr>
          <w:p>
            <w:pPr>
              <w:widowControl/>
              <w:spacing w:line="360" w:lineRule="atLeast"/>
              <w:rPr>
                <w:rFonts w:ascii="仿宋" w:hAnsi="仿宋"/>
                <w:color w:val="auto"/>
                <w:highlight w:val="none"/>
              </w:rPr>
            </w:pPr>
            <w:r>
              <w:rPr>
                <w:rFonts w:hint="eastAsia" w:ascii="仿宋" w:hAnsi="仿宋"/>
                <w:color w:val="auto"/>
                <w:highlight w:val="none"/>
              </w:rPr>
              <w:t>序号</w:t>
            </w:r>
          </w:p>
        </w:tc>
        <w:tc>
          <w:tcPr>
            <w:tcW w:w="577" w:type="pct"/>
            <w:vAlign w:val="center"/>
          </w:tcPr>
          <w:p>
            <w:pPr>
              <w:widowControl/>
              <w:spacing w:line="360" w:lineRule="atLeast"/>
              <w:rPr>
                <w:rFonts w:ascii="仿宋" w:hAnsi="仿宋"/>
                <w:color w:val="auto"/>
                <w:highlight w:val="none"/>
              </w:rPr>
            </w:pPr>
            <w:r>
              <w:rPr>
                <w:rFonts w:hint="eastAsia" w:ascii="仿宋" w:hAnsi="仿宋"/>
                <w:color w:val="auto"/>
                <w:highlight w:val="none"/>
              </w:rPr>
              <w:t>包号</w:t>
            </w:r>
          </w:p>
        </w:tc>
        <w:tc>
          <w:tcPr>
            <w:tcW w:w="915" w:type="pct"/>
            <w:vAlign w:val="center"/>
          </w:tcPr>
          <w:p>
            <w:pPr>
              <w:widowControl/>
              <w:spacing w:line="360" w:lineRule="atLeast"/>
              <w:rPr>
                <w:rFonts w:ascii="仿宋" w:hAnsi="仿宋"/>
                <w:color w:val="auto"/>
                <w:highlight w:val="none"/>
              </w:rPr>
            </w:pPr>
            <w:r>
              <w:rPr>
                <w:rFonts w:hint="eastAsia" w:ascii="仿宋" w:hAnsi="仿宋"/>
                <w:color w:val="auto"/>
                <w:highlight w:val="none"/>
              </w:rPr>
              <w:t>招标要求</w:t>
            </w:r>
          </w:p>
        </w:tc>
        <w:tc>
          <w:tcPr>
            <w:tcW w:w="2930" w:type="pct"/>
            <w:vAlign w:val="center"/>
          </w:tcPr>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highlight w:val="none"/>
              </w:rPr>
            </w:pPr>
          </w:p>
        </w:tc>
        <w:tc>
          <w:tcPr>
            <w:tcW w:w="577" w:type="pct"/>
          </w:tcPr>
          <w:p>
            <w:pPr>
              <w:widowControl/>
              <w:spacing w:line="360" w:lineRule="atLeast"/>
              <w:ind w:firstLine="470" w:firstLineChars="196"/>
              <w:rPr>
                <w:rFonts w:ascii="仿宋" w:hAnsi="仿宋"/>
                <w:color w:val="auto"/>
                <w:highlight w:val="none"/>
              </w:rPr>
            </w:pPr>
          </w:p>
        </w:tc>
        <w:tc>
          <w:tcPr>
            <w:tcW w:w="915" w:type="pct"/>
          </w:tcPr>
          <w:p>
            <w:pPr>
              <w:widowControl/>
              <w:spacing w:line="360" w:lineRule="atLeast"/>
              <w:ind w:firstLine="470" w:firstLineChars="196"/>
              <w:rPr>
                <w:rFonts w:ascii="仿宋" w:hAnsi="仿宋"/>
                <w:color w:val="auto"/>
                <w:highlight w:val="none"/>
              </w:rPr>
            </w:pPr>
          </w:p>
        </w:tc>
        <w:tc>
          <w:tcPr>
            <w:tcW w:w="293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highlight w:val="none"/>
              </w:rPr>
            </w:pPr>
          </w:p>
        </w:tc>
        <w:tc>
          <w:tcPr>
            <w:tcW w:w="577" w:type="pct"/>
          </w:tcPr>
          <w:p>
            <w:pPr>
              <w:widowControl/>
              <w:spacing w:line="360" w:lineRule="atLeast"/>
              <w:ind w:firstLine="470" w:firstLineChars="196"/>
              <w:rPr>
                <w:rFonts w:ascii="仿宋" w:hAnsi="仿宋"/>
                <w:color w:val="auto"/>
                <w:highlight w:val="none"/>
              </w:rPr>
            </w:pPr>
          </w:p>
        </w:tc>
        <w:tc>
          <w:tcPr>
            <w:tcW w:w="915" w:type="pct"/>
          </w:tcPr>
          <w:p>
            <w:pPr>
              <w:widowControl/>
              <w:spacing w:line="360" w:lineRule="atLeast"/>
              <w:ind w:firstLine="470" w:firstLineChars="196"/>
              <w:rPr>
                <w:rFonts w:ascii="仿宋" w:hAnsi="仿宋"/>
                <w:color w:val="auto"/>
                <w:highlight w:val="none"/>
              </w:rPr>
            </w:pPr>
          </w:p>
        </w:tc>
        <w:tc>
          <w:tcPr>
            <w:tcW w:w="293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highlight w:val="none"/>
              </w:rPr>
            </w:pPr>
          </w:p>
        </w:tc>
        <w:tc>
          <w:tcPr>
            <w:tcW w:w="577" w:type="pct"/>
          </w:tcPr>
          <w:p>
            <w:pPr>
              <w:widowControl/>
              <w:spacing w:line="360" w:lineRule="atLeast"/>
              <w:ind w:firstLine="470" w:firstLineChars="196"/>
              <w:rPr>
                <w:rFonts w:ascii="仿宋" w:hAnsi="仿宋"/>
                <w:color w:val="auto"/>
                <w:highlight w:val="none"/>
              </w:rPr>
            </w:pPr>
          </w:p>
        </w:tc>
        <w:tc>
          <w:tcPr>
            <w:tcW w:w="915" w:type="pct"/>
          </w:tcPr>
          <w:p>
            <w:pPr>
              <w:widowControl/>
              <w:spacing w:line="360" w:lineRule="atLeast"/>
              <w:ind w:firstLine="470" w:firstLineChars="196"/>
              <w:rPr>
                <w:rFonts w:ascii="仿宋" w:hAnsi="仿宋"/>
                <w:color w:val="auto"/>
                <w:highlight w:val="none"/>
              </w:rPr>
            </w:pPr>
          </w:p>
        </w:tc>
        <w:tc>
          <w:tcPr>
            <w:tcW w:w="2930"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highlight w:val="none"/>
              </w:rPr>
            </w:pPr>
          </w:p>
        </w:tc>
        <w:tc>
          <w:tcPr>
            <w:tcW w:w="577" w:type="pct"/>
          </w:tcPr>
          <w:p>
            <w:pPr>
              <w:widowControl/>
              <w:spacing w:line="360" w:lineRule="atLeast"/>
              <w:ind w:firstLine="470" w:firstLineChars="196"/>
              <w:rPr>
                <w:rFonts w:ascii="仿宋" w:hAnsi="仿宋"/>
                <w:color w:val="auto"/>
                <w:highlight w:val="none"/>
              </w:rPr>
            </w:pPr>
          </w:p>
        </w:tc>
        <w:tc>
          <w:tcPr>
            <w:tcW w:w="915" w:type="pct"/>
          </w:tcPr>
          <w:p>
            <w:pPr>
              <w:widowControl/>
              <w:spacing w:line="360" w:lineRule="atLeast"/>
              <w:ind w:firstLine="470" w:firstLineChars="196"/>
              <w:rPr>
                <w:rFonts w:ascii="仿宋" w:hAnsi="仿宋"/>
                <w:color w:val="auto"/>
                <w:highlight w:val="none"/>
              </w:rPr>
            </w:pPr>
          </w:p>
        </w:tc>
        <w:tc>
          <w:tcPr>
            <w:tcW w:w="2930" w:type="pct"/>
          </w:tcPr>
          <w:p>
            <w:pPr>
              <w:widowControl/>
              <w:spacing w:line="360" w:lineRule="atLeast"/>
              <w:ind w:firstLine="470" w:firstLineChars="196"/>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注：1. 供应商必须把招标文件</w:t>
      </w:r>
      <w:r>
        <w:rPr>
          <w:rFonts w:hint="eastAsia" w:ascii="仿宋" w:hAnsi="仿宋"/>
          <w:b/>
          <w:bCs/>
          <w:color w:val="auto"/>
          <w:highlight w:val="none"/>
        </w:rPr>
        <w:t>第六章全部商务要求</w:t>
      </w:r>
      <w:r>
        <w:rPr>
          <w:rFonts w:hint="eastAsia" w:ascii="仿宋" w:hAnsi="仿宋"/>
          <w:color w:val="auto"/>
          <w:highlight w:val="none"/>
        </w:rPr>
        <w:t>列入此表。</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2．按照招标项目商务要求的顺序逐条对应填写。</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3．供应商必须据实填写，不得虚假填写，否则将取消其投标或中标资格。</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 XXXX。</w:t>
      </w:r>
    </w:p>
    <w:p>
      <w:pPr>
        <w:spacing w:line="340" w:lineRule="exact"/>
        <w:rPr>
          <w:rFonts w:ascii="仿宋" w:hAnsi="仿宋"/>
          <w:color w:val="auto"/>
          <w:highlight w:val="none"/>
        </w:rPr>
      </w:pPr>
      <w:r>
        <w:rPr>
          <w:rFonts w:hint="eastAsia" w:ascii="仿宋" w:hAnsi="仿宋"/>
          <w:color w:val="auto"/>
          <w:highlight w:val="none"/>
        </w:rPr>
        <w:br w:type="page"/>
      </w:r>
    </w:p>
    <w:p>
      <w:pPr>
        <w:pStyle w:val="5"/>
        <w:spacing w:before="0" w:after="0"/>
        <w:rPr>
          <w:rFonts w:ascii="仿宋" w:hAnsi="仿宋" w:cs="仿宋"/>
          <w:color w:val="auto"/>
          <w:highlight w:val="none"/>
        </w:rPr>
      </w:pPr>
      <w:bookmarkStart w:id="142" w:name="_Toc217446088"/>
      <w:r>
        <w:rPr>
          <w:rFonts w:hint="eastAsia" w:ascii="仿宋" w:hAnsi="仿宋" w:cs="仿宋"/>
          <w:color w:val="auto"/>
          <w:highlight w:val="none"/>
        </w:rPr>
        <w:t>格式2-7投标人基本情况表</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投标人基本情况表</w:t>
      </w:r>
      <w:bookmarkEnd w:id="142"/>
    </w:p>
    <w:tbl>
      <w:tblPr>
        <w:tblStyle w:val="32"/>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720"/>
        <w:gridCol w:w="1081"/>
        <w:gridCol w:w="1402"/>
        <w:gridCol w:w="1410"/>
        <w:gridCol w:w="1491"/>
        <w:gridCol w:w="180"/>
        <w:gridCol w:w="780"/>
        <w:gridCol w:w="1223"/>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投标人名称</w:t>
            </w:r>
          </w:p>
        </w:tc>
        <w:tc>
          <w:tcPr>
            <w:tcW w:w="4074" w:type="pct"/>
            <w:gridSpan w:val="7"/>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注册地址</w:t>
            </w:r>
          </w:p>
        </w:tc>
        <w:tc>
          <w:tcPr>
            <w:tcW w:w="2096" w:type="pct"/>
            <w:gridSpan w:val="3"/>
            <w:vAlign w:val="center"/>
          </w:tcPr>
          <w:p>
            <w:pPr>
              <w:widowControl/>
              <w:spacing w:line="360" w:lineRule="atLeast"/>
              <w:ind w:firstLine="470" w:firstLineChars="196"/>
              <w:outlineLvl w:val="1"/>
              <w:rPr>
                <w:rFonts w:ascii="仿宋" w:hAnsi="仿宋"/>
                <w:color w:val="auto"/>
                <w:highlight w:val="none"/>
              </w:rPr>
            </w:pPr>
          </w:p>
        </w:tc>
        <w:tc>
          <w:tcPr>
            <w:tcW w:w="803"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邮政编码</w:t>
            </w:r>
          </w:p>
        </w:tc>
        <w:tc>
          <w:tcPr>
            <w:tcW w:w="1175" w:type="pct"/>
            <w:gridSpan w:val="3"/>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Merge w:val="restar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联系方式</w:t>
            </w:r>
          </w:p>
        </w:tc>
        <w:tc>
          <w:tcPr>
            <w:tcW w:w="582"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联系人</w:t>
            </w:r>
          </w:p>
        </w:tc>
        <w:tc>
          <w:tcPr>
            <w:tcW w:w="1513" w:type="pct"/>
            <w:gridSpan w:val="2"/>
            <w:vAlign w:val="center"/>
          </w:tcPr>
          <w:p>
            <w:pPr>
              <w:widowControl/>
              <w:spacing w:line="360" w:lineRule="atLeast"/>
              <w:ind w:firstLine="470" w:firstLineChars="196"/>
              <w:outlineLvl w:val="1"/>
              <w:rPr>
                <w:rFonts w:ascii="仿宋" w:hAnsi="仿宋"/>
                <w:color w:val="auto"/>
                <w:highlight w:val="none"/>
              </w:rPr>
            </w:pPr>
          </w:p>
        </w:tc>
        <w:tc>
          <w:tcPr>
            <w:tcW w:w="803" w:type="pct"/>
            <w:vAlign w:val="center"/>
          </w:tcPr>
          <w:p>
            <w:pPr>
              <w:widowControl/>
              <w:spacing w:line="360" w:lineRule="atLeast"/>
              <w:ind w:firstLine="470" w:firstLineChars="196"/>
              <w:outlineLvl w:val="1"/>
              <w:rPr>
                <w:rFonts w:ascii="仿宋" w:hAnsi="仿宋"/>
                <w:color w:val="auto"/>
                <w:highlight w:val="none"/>
              </w:rPr>
            </w:pPr>
            <w:r>
              <w:rPr>
                <w:rFonts w:hint="eastAsia" w:ascii="仿宋" w:hAnsi="仿宋"/>
                <w:color w:val="auto"/>
                <w:highlight w:val="none"/>
              </w:rPr>
              <w:t>电话</w:t>
            </w:r>
          </w:p>
        </w:tc>
        <w:tc>
          <w:tcPr>
            <w:tcW w:w="1175" w:type="pct"/>
            <w:gridSpan w:val="3"/>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26" w:type="pct"/>
            <w:vMerge w:val="continue"/>
            <w:vAlign w:val="center"/>
          </w:tcPr>
          <w:p>
            <w:pPr>
              <w:rPr>
                <w:rFonts w:ascii="仿宋" w:hAnsi="仿宋"/>
                <w:color w:val="auto"/>
                <w:highlight w:val="none"/>
              </w:rPr>
            </w:pPr>
          </w:p>
        </w:tc>
        <w:tc>
          <w:tcPr>
            <w:tcW w:w="582"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传真</w:t>
            </w:r>
          </w:p>
        </w:tc>
        <w:tc>
          <w:tcPr>
            <w:tcW w:w="1513" w:type="pct"/>
            <w:gridSpan w:val="2"/>
            <w:vAlign w:val="center"/>
          </w:tcPr>
          <w:p>
            <w:pPr>
              <w:widowControl/>
              <w:spacing w:line="360" w:lineRule="atLeast"/>
              <w:ind w:firstLine="470" w:firstLineChars="196"/>
              <w:outlineLvl w:val="1"/>
              <w:rPr>
                <w:rFonts w:ascii="仿宋" w:hAnsi="仿宋"/>
                <w:color w:val="auto"/>
                <w:highlight w:val="none"/>
              </w:rPr>
            </w:pPr>
          </w:p>
        </w:tc>
        <w:tc>
          <w:tcPr>
            <w:tcW w:w="803" w:type="pct"/>
            <w:vAlign w:val="center"/>
          </w:tcPr>
          <w:p>
            <w:pPr>
              <w:widowControl/>
              <w:spacing w:line="360" w:lineRule="atLeast"/>
              <w:ind w:firstLine="470" w:firstLineChars="196"/>
              <w:outlineLvl w:val="1"/>
              <w:rPr>
                <w:rFonts w:ascii="仿宋" w:hAnsi="仿宋"/>
                <w:color w:val="auto"/>
                <w:highlight w:val="none"/>
              </w:rPr>
            </w:pPr>
            <w:r>
              <w:rPr>
                <w:rFonts w:hint="eastAsia" w:ascii="仿宋" w:hAnsi="仿宋"/>
                <w:color w:val="auto"/>
                <w:highlight w:val="none"/>
              </w:rPr>
              <w:t>网址</w:t>
            </w:r>
          </w:p>
        </w:tc>
        <w:tc>
          <w:tcPr>
            <w:tcW w:w="1175" w:type="pct"/>
            <w:gridSpan w:val="3"/>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组织结构</w:t>
            </w:r>
          </w:p>
        </w:tc>
        <w:tc>
          <w:tcPr>
            <w:tcW w:w="4074" w:type="pct"/>
            <w:gridSpan w:val="7"/>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法定代表人/单位负责人</w:t>
            </w:r>
          </w:p>
        </w:tc>
        <w:tc>
          <w:tcPr>
            <w:tcW w:w="582"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姓名</w:t>
            </w:r>
          </w:p>
        </w:tc>
        <w:tc>
          <w:tcPr>
            <w:tcW w:w="754" w:type="pct"/>
            <w:vAlign w:val="center"/>
          </w:tcPr>
          <w:p>
            <w:pPr>
              <w:widowControl/>
              <w:spacing w:line="360" w:lineRule="atLeast"/>
              <w:ind w:firstLine="470" w:firstLineChars="196"/>
              <w:outlineLvl w:val="1"/>
              <w:rPr>
                <w:rFonts w:ascii="仿宋" w:hAnsi="仿宋"/>
                <w:color w:val="auto"/>
                <w:highlight w:val="none"/>
              </w:rPr>
            </w:pPr>
          </w:p>
        </w:tc>
        <w:tc>
          <w:tcPr>
            <w:tcW w:w="759"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技术职称</w:t>
            </w:r>
          </w:p>
        </w:tc>
        <w:tc>
          <w:tcPr>
            <w:tcW w:w="803" w:type="pct"/>
            <w:vAlign w:val="center"/>
          </w:tcPr>
          <w:p>
            <w:pPr>
              <w:widowControl/>
              <w:spacing w:line="360" w:lineRule="atLeast"/>
              <w:ind w:firstLine="470" w:firstLineChars="196"/>
              <w:outlineLvl w:val="1"/>
              <w:rPr>
                <w:rFonts w:ascii="仿宋" w:hAnsi="仿宋"/>
                <w:color w:val="auto"/>
                <w:highlight w:val="none"/>
              </w:rPr>
            </w:pPr>
          </w:p>
        </w:tc>
        <w:tc>
          <w:tcPr>
            <w:tcW w:w="517" w:type="pct"/>
            <w:gridSpan w:val="2"/>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电话</w:t>
            </w:r>
          </w:p>
        </w:tc>
        <w:tc>
          <w:tcPr>
            <w:tcW w:w="657" w:type="pct"/>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技术负责人</w:t>
            </w:r>
          </w:p>
        </w:tc>
        <w:tc>
          <w:tcPr>
            <w:tcW w:w="582"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姓名</w:t>
            </w:r>
          </w:p>
        </w:tc>
        <w:tc>
          <w:tcPr>
            <w:tcW w:w="754" w:type="pct"/>
            <w:vAlign w:val="center"/>
          </w:tcPr>
          <w:p>
            <w:pPr>
              <w:widowControl/>
              <w:spacing w:line="360" w:lineRule="atLeast"/>
              <w:ind w:firstLine="470" w:firstLineChars="196"/>
              <w:outlineLvl w:val="1"/>
              <w:rPr>
                <w:rFonts w:ascii="仿宋" w:hAnsi="仿宋"/>
                <w:color w:val="auto"/>
                <w:highlight w:val="none"/>
              </w:rPr>
            </w:pPr>
          </w:p>
        </w:tc>
        <w:tc>
          <w:tcPr>
            <w:tcW w:w="759"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技术职称</w:t>
            </w:r>
          </w:p>
        </w:tc>
        <w:tc>
          <w:tcPr>
            <w:tcW w:w="803" w:type="pct"/>
            <w:vAlign w:val="center"/>
          </w:tcPr>
          <w:p>
            <w:pPr>
              <w:widowControl/>
              <w:spacing w:line="360" w:lineRule="atLeast"/>
              <w:ind w:firstLine="470" w:firstLineChars="196"/>
              <w:outlineLvl w:val="1"/>
              <w:rPr>
                <w:rFonts w:ascii="仿宋" w:hAnsi="仿宋"/>
                <w:color w:val="auto"/>
                <w:highlight w:val="none"/>
              </w:rPr>
            </w:pPr>
          </w:p>
        </w:tc>
        <w:tc>
          <w:tcPr>
            <w:tcW w:w="517" w:type="pct"/>
            <w:gridSpan w:val="2"/>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电话</w:t>
            </w:r>
          </w:p>
        </w:tc>
        <w:tc>
          <w:tcPr>
            <w:tcW w:w="657" w:type="pct"/>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成立时间</w:t>
            </w:r>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2737" w:type="pct"/>
            <w:gridSpan w:val="5"/>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企业资质等级</w:t>
            </w:r>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restart"/>
            <w:vAlign w:val="center"/>
          </w:tcPr>
          <w:p>
            <w:pPr>
              <w:widowControl/>
              <w:spacing w:line="360" w:lineRule="atLeast"/>
              <w:ind w:firstLine="470" w:firstLineChars="196"/>
              <w:outlineLvl w:val="1"/>
              <w:rPr>
                <w:rFonts w:ascii="仿宋" w:hAnsi="仿宋"/>
                <w:color w:val="auto"/>
                <w:highlight w:val="none"/>
              </w:rPr>
            </w:pPr>
            <w:r>
              <w:rPr>
                <w:rFonts w:hint="eastAsia" w:ascii="仿宋" w:hAnsi="仿宋"/>
                <w:color w:val="auto"/>
                <w:highlight w:val="none"/>
              </w:rPr>
              <w:t>其中</w:t>
            </w:r>
          </w:p>
        </w:tc>
        <w:tc>
          <w:tcPr>
            <w:tcW w:w="900" w:type="pct"/>
            <w:gridSpan w:val="2"/>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项目经理</w:t>
            </w:r>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营业执照号</w:t>
            </w:r>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continue"/>
            <w:vAlign w:val="center"/>
          </w:tcPr>
          <w:p>
            <w:pPr>
              <w:rPr>
                <w:rFonts w:ascii="仿宋" w:hAnsi="仿宋"/>
                <w:color w:val="auto"/>
                <w:highlight w:val="none"/>
              </w:rPr>
            </w:pPr>
          </w:p>
        </w:tc>
        <w:tc>
          <w:tcPr>
            <w:tcW w:w="900" w:type="pct"/>
            <w:gridSpan w:val="2"/>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高级职称人员</w:t>
            </w:r>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注册资金</w:t>
            </w:r>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continue"/>
            <w:vAlign w:val="center"/>
          </w:tcPr>
          <w:p>
            <w:pPr>
              <w:rPr>
                <w:rFonts w:ascii="仿宋" w:hAnsi="仿宋"/>
                <w:color w:val="auto"/>
                <w:highlight w:val="none"/>
              </w:rPr>
            </w:pPr>
          </w:p>
        </w:tc>
        <w:tc>
          <w:tcPr>
            <w:tcW w:w="900" w:type="pct"/>
            <w:gridSpan w:val="2"/>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中级职称人员</w:t>
            </w:r>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开户银行</w:t>
            </w:r>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continue"/>
            <w:vAlign w:val="center"/>
          </w:tcPr>
          <w:p>
            <w:pPr>
              <w:rPr>
                <w:rFonts w:ascii="仿宋" w:hAnsi="仿宋"/>
                <w:color w:val="auto"/>
                <w:highlight w:val="none"/>
              </w:rPr>
            </w:pPr>
          </w:p>
        </w:tc>
        <w:tc>
          <w:tcPr>
            <w:tcW w:w="900" w:type="pct"/>
            <w:gridSpan w:val="2"/>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初级职称人员</w:t>
            </w:r>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ind w:firstLine="470" w:firstLineChars="196"/>
              <w:outlineLvl w:val="1"/>
              <w:rPr>
                <w:rFonts w:ascii="仿宋" w:hAnsi="仿宋"/>
                <w:color w:val="auto"/>
                <w:highlight w:val="none"/>
              </w:rPr>
            </w:pPr>
            <w:r>
              <w:rPr>
                <w:rFonts w:hint="eastAsia" w:ascii="仿宋" w:hAnsi="仿宋"/>
                <w:color w:val="auto"/>
                <w:highlight w:val="none"/>
              </w:rPr>
              <w:t>账号</w:t>
            </w:r>
          </w:p>
        </w:tc>
        <w:tc>
          <w:tcPr>
            <w:tcW w:w="1337" w:type="pct"/>
            <w:gridSpan w:val="2"/>
            <w:vAlign w:val="center"/>
          </w:tcPr>
          <w:p>
            <w:pPr>
              <w:widowControl/>
              <w:spacing w:line="360" w:lineRule="atLeast"/>
              <w:ind w:firstLine="470" w:firstLineChars="196"/>
              <w:outlineLvl w:val="1"/>
              <w:rPr>
                <w:rFonts w:ascii="仿宋" w:hAnsi="仿宋"/>
                <w:color w:val="auto"/>
                <w:highlight w:val="none"/>
              </w:rPr>
            </w:pPr>
          </w:p>
        </w:tc>
        <w:tc>
          <w:tcPr>
            <w:tcW w:w="759" w:type="pct"/>
            <w:vMerge w:val="continue"/>
            <w:vAlign w:val="center"/>
          </w:tcPr>
          <w:p>
            <w:pPr>
              <w:rPr>
                <w:rFonts w:ascii="仿宋" w:hAnsi="仿宋"/>
                <w:color w:val="auto"/>
                <w:highlight w:val="none"/>
              </w:rPr>
            </w:pPr>
          </w:p>
        </w:tc>
        <w:tc>
          <w:tcPr>
            <w:tcW w:w="900" w:type="pct"/>
            <w:gridSpan w:val="2"/>
            <w:vAlign w:val="center"/>
          </w:tcPr>
          <w:p>
            <w:pPr>
              <w:widowControl/>
              <w:spacing w:line="360" w:lineRule="atLeast"/>
              <w:ind w:firstLine="470" w:firstLineChars="196"/>
              <w:outlineLvl w:val="1"/>
              <w:rPr>
                <w:rFonts w:ascii="仿宋" w:hAnsi="仿宋"/>
                <w:color w:val="auto"/>
                <w:highlight w:val="none"/>
              </w:rPr>
            </w:pPr>
            <w:r>
              <w:rPr>
                <w:rFonts w:hint="eastAsia" w:ascii="仿宋" w:hAnsi="仿宋"/>
                <w:color w:val="auto"/>
                <w:highlight w:val="none"/>
              </w:rPr>
              <w:t>技工</w:t>
            </w:r>
          </w:p>
        </w:tc>
        <w:tc>
          <w:tcPr>
            <w:tcW w:w="1079" w:type="pct"/>
            <w:gridSpan w:val="2"/>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经营范围</w:t>
            </w:r>
          </w:p>
        </w:tc>
        <w:tc>
          <w:tcPr>
            <w:tcW w:w="4074" w:type="pct"/>
            <w:gridSpan w:val="7"/>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926" w:type="pct"/>
          </w:tcPr>
          <w:p>
            <w:pPr>
              <w:widowControl/>
              <w:spacing w:line="360" w:lineRule="atLeast"/>
              <w:ind w:firstLine="470" w:firstLineChars="196"/>
              <w:outlineLvl w:val="1"/>
              <w:rPr>
                <w:rFonts w:ascii="仿宋" w:hAnsi="仿宋"/>
                <w:color w:val="auto"/>
                <w:highlight w:val="none"/>
              </w:rPr>
            </w:pPr>
            <w:r>
              <w:rPr>
                <w:rFonts w:hint="eastAsia" w:ascii="仿宋" w:hAnsi="仿宋"/>
                <w:color w:val="auto"/>
                <w:highlight w:val="none"/>
              </w:rPr>
              <w:t>备注</w:t>
            </w:r>
          </w:p>
        </w:tc>
        <w:tc>
          <w:tcPr>
            <w:tcW w:w="4074" w:type="pct"/>
            <w:gridSpan w:val="7"/>
          </w:tcPr>
          <w:p>
            <w:pPr>
              <w:widowControl/>
              <w:spacing w:line="360" w:lineRule="atLeast"/>
              <w:ind w:firstLine="470" w:firstLineChars="196"/>
              <w:outlineLvl w:val="1"/>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 XXXX。</w:t>
      </w:r>
    </w:p>
    <w:p>
      <w:pPr>
        <w:rPr>
          <w:rFonts w:ascii="仿宋" w:hAnsi="仿宋"/>
          <w:b/>
          <w:color w:val="auto"/>
          <w:sz w:val="36"/>
          <w:szCs w:val="36"/>
          <w:highlight w:val="none"/>
        </w:rPr>
      </w:pPr>
      <w:bookmarkStart w:id="143" w:name="_Toc217446089"/>
      <w:r>
        <w:rPr>
          <w:rFonts w:hint="eastAsia" w:ascii="仿宋" w:hAnsi="仿宋"/>
          <w:b/>
          <w:color w:val="auto"/>
          <w:sz w:val="36"/>
          <w:szCs w:val="36"/>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格式2-8类似项目业绩一览表</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类似项目业绩一览表</w:t>
      </w:r>
      <w:bookmarkEnd w:id="143"/>
    </w:p>
    <w:p>
      <w:pPr>
        <w:widowControl/>
        <w:spacing w:line="360" w:lineRule="atLeast"/>
        <w:ind w:firstLine="472" w:firstLineChars="196"/>
        <w:rPr>
          <w:rFonts w:ascii="仿宋" w:hAnsi="仿宋"/>
          <w:b/>
          <w:color w:val="auto"/>
          <w:highlight w:val="none"/>
        </w:r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75"/>
        <w:gridCol w:w="1552"/>
        <w:gridCol w:w="1421"/>
        <w:gridCol w:w="1250"/>
        <w:gridCol w:w="1357"/>
        <w:gridCol w:w="9"/>
        <w:gridCol w:w="1746"/>
        <w:gridCol w:w="10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422" w:type="pct"/>
            <w:tcBorders>
              <w:top w:val="single" w:color="auto" w:sz="4" w:space="0"/>
            </w:tcBorders>
            <w:vAlign w:val="center"/>
          </w:tcPr>
          <w:p>
            <w:pPr>
              <w:widowControl/>
              <w:spacing w:line="360" w:lineRule="atLeast"/>
              <w:rPr>
                <w:rFonts w:ascii="仿宋" w:hAnsi="仿宋"/>
                <w:color w:val="auto"/>
                <w:highlight w:val="none"/>
              </w:rPr>
            </w:pPr>
            <w:r>
              <w:rPr>
                <w:rFonts w:hint="eastAsia" w:ascii="仿宋" w:hAnsi="仿宋"/>
                <w:color w:val="auto"/>
                <w:highlight w:val="none"/>
              </w:rPr>
              <w:t>年份</w:t>
            </w:r>
          </w:p>
        </w:tc>
        <w:tc>
          <w:tcPr>
            <w:tcW w:w="845" w:type="pct"/>
            <w:vAlign w:val="center"/>
          </w:tcPr>
          <w:p>
            <w:pPr>
              <w:widowControl/>
              <w:spacing w:line="360" w:lineRule="atLeast"/>
              <w:rPr>
                <w:rFonts w:ascii="仿宋" w:hAnsi="仿宋"/>
                <w:color w:val="auto"/>
                <w:highlight w:val="none"/>
              </w:rPr>
            </w:pPr>
            <w:r>
              <w:rPr>
                <w:rFonts w:hint="eastAsia" w:ascii="仿宋" w:hAnsi="仿宋"/>
                <w:color w:val="auto"/>
                <w:highlight w:val="none"/>
              </w:rPr>
              <w:t>用户名称</w:t>
            </w:r>
          </w:p>
        </w:tc>
        <w:tc>
          <w:tcPr>
            <w:tcW w:w="774" w:type="pct"/>
            <w:vAlign w:val="center"/>
          </w:tcPr>
          <w:p>
            <w:pPr>
              <w:widowControl/>
              <w:spacing w:line="360" w:lineRule="atLeast"/>
              <w:rPr>
                <w:rFonts w:ascii="仿宋" w:hAnsi="仿宋"/>
                <w:color w:val="auto"/>
                <w:highlight w:val="none"/>
              </w:rPr>
            </w:pPr>
            <w:r>
              <w:rPr>
                <w:rFonts w:hint="eastAsia" w:ascii="仿宋" w:hAnsi="仿宋"/>
                <w:color w:val="auto"/>
                <w:highlight w:val="none"/>
              </w:rPr>
              <w:t>项目名称</w:t>
            </w:r>
          </w:p>
        </w:tc>
        <w:tc>
          <w:tcPr>
            <w:tcW w:w="681" w:type="pct"/>
            <w:vAlign w:val="center"/>
          </w:tcPr>
          <w:p>
            <w:pPr>
              <w:widowControl/>
              <w:spacing w:line="360" w:lineRule="atLeast"/>
              <w:rPr>
                <w:rFonts w:ascii="仿宋" w:hAnsi="仿宋"/>
                <w:color w:val="auto"/>
                <w:highlight w:val="none"/>
              </w:rPr>
            </w:pPr>
            <w:r>
              <w:rPr>
                <w:rFonts w:hint="eastAsia" w:ascii="仿宋" w:hAnsi="仿宋"/>
                <w:color w:val="auto"/>
                <w:highlight w:val="none"/>
              </w:rPr>
              <w:t>完成时间</w:t>
            </w:r>
          </w:p>
        </w:tc>
        <w:tc>
          <w:tcPr>
            <w:tcW w:w="739" w:type="pct"/>
            <w:vAlign w:val="center"/>
          </w:tcPr>
          <w:p>
            <w:pPr>
              <w:widowControl/>
              <w:spacing w:line="360" w:lineRule="atLeast"/>
              <w:rPr>
                <w:rFonts w:ascii="仿宋" w:hAnsi="仿宋"/>
                <w:color w:val="auto"/>
                <w:highlight w:val="none"/>
              </w:rPr>
            </w:pPr>
            <w:r>
              <w:rPr>
                <w:rFonts w:hint="eastAsia" w:ascii="仿宋" w:hAnsi="仿宋"/>
                <w:color w:val="auto"/>
                <w:highlight w:val="none"/>
              </w:rPr>
              <w:t>合同金额</w:t>
            </w:r>
          </w:p>
        </w:tc>
        <w:tc>
          <w:tcPr>
            <w:tcW w:w="956" w:type="pct"/>
            <w:gridSpan w:val="2"/>
            <w:tcBorders>
              <w:right w:val="single" w:color="auto" w:sz="4" w:space="0"/>
            </w:tcBorders>
            <w:vAlign w:val="center"/>
          </w:tcPr>
          <w:p>
            <w:pPr>
              <w:widowControl/>
              <w:spacing w:line="360" w:lineRule="atLeast"/>
              <w:rPr>
                <w:rFonts w:ascii="仿宋" w:hAnsi="仿宋"/>
                <w:color w:val="auto"/>
                <w:highlight w:val="none"/>
              </w:rPr>
            </w:pPr>
            <w:r>
              <w:rPr>
                <w:rFonts w:hint="eastAsia" w:ascii="仿宋" w:hAnsi="仿宋"/>
                <w:color w:val="auto"/>
                <w:highlight w:val="none"/>
              </w:rPr>
              <w:t>是否通过验收</w:t>
            </w:r>
          </w:p>
        </w:tc>
        <w:tc>
          <w:tcPr>
            <w:tcW w:w="582" w:type="pct"/>
            <w:tcBorders>
              <w:left w:val="single" w:color="auto" w:sz="4" w:space="0"/>
            </w:tcBorders>
            <w:vAlign w:val="center"/>
          </w:tcPr>
          <w:p>
            <w:pPr>
              <w:widowControl/>
              <w:spacing w:line="360" w:lineRule="atLeast"/>
              <w:rPr>
                <w:rFonts w:ascii="仿宋" w:hAnsi="仿宋"/>
                <w:color w:val="auto"/>
                <w:highlight w:val="none"/>
              </w:rPr>
            </w:pPr>
            <w:r>
              <w:rPr>
                <w:rFonts w:hint="eastAsia" w:ascii="仿宋" w:hAnsi="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22"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422"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tcBorders>
            <w:vAlign w:val="center"/>
          </w:tcPr>
          <w:p>
            <w:pPr>
              <w:widowControl/>
              <w:spacing w:line="360" w:lineRule="atLeast"/>
              <w:ind w:firstLine="470" w:firstLineChars="196"/>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注：以上业绩需提供招标文件要求的有关书面证明材料。</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b/>
          <w:color w:val="auto"/>
          <w:sz w:val="32"/>
          <w:szCs w:val="32"/>
          <w:highlight w:val="none"/>
        </w:rPr>
      </w:pPr>
      <w:r>
        <w:rPr>
          <w:rFonts w:hint="eastAsia" w:ascii="仿宋" w:hAnsi="仿宋"/>
          <w:color w:val="auto"/>
          <w:highlight w:val="none"/>
        </w:rPr>
        <w:t>投标日期: XXXX。</w:t>
      </w:r>
      <w:bookmarkStart w:id="144" w:name="_Toc217446090"/>
      <w:r>
        <w:rPr>
          <w:rFonts w:hint="eastAsia" w:ascii="仿宋" w:hAnsi="仿宋"/>
          <w:b/>
          <w:color w:val="auto"/>
          <w:sz w:val="32"/>
          <w:szCs w:val="32"/>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格式2-9投标产品技术参数表</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投标产品技术参数表</w:t>
      </w:r>
      <w:bookmarkEnd w:id="144"/>
    </w:p>
    <w:p>
      <w:pPr>
        <w:widowControl/>
        <w:spacing w:line="360" w:lineRule="atLeast"/>
        <w:ind w:firstLine="472" w:firstLineChars="196"/>
        <w:rPr>
          <w:rFonts w:ascii="仿宋" w:hAnsi="仿宋"/>
          <w:b/>
          <w:color w:val="auto"/>
          <w:highlight w:val="none"/>
        </w:rPr>
      </w:pPr>
    </w:p>
    <w:p>
      <w:pPr>
        <w:widowControl/>
        <w:spacing w:line="360" w:lineRule="atLeast"/>
        <w:rPr>
          <w:rFonts w:ascii="仿宋" w:hAnsi="仿宋"/>
          <w:color w:val="auto"/>
          <w:highlight w:val="none"/>
        </w:rPr>
      </w:pPr>
      <w:r>
        <w:rPr>
          <w:rFonts w:hint="eastAsia" w:ascii="仿宋" w:hAnsi="仿宋"/>
          <w:color w:val="auto"/>
          <w:highlight w:val="none"/>
        </w:rPr>
        <w:t>招标编号：</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042"/>
        <w:gridCol w:w="2426"/>
        <w:gridCol w:w="2190"/>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widowControl/>
              <w:spacing w:line="360" w:lineRule="atLeast"/>
              <w:rPr>
                <w:rFonts w:ascii="仿宋" w:hAnsi="仿宋"/>
                <w:color w:val="auto"/>
                <w:highlight w:val="none"/>
              </w:rPr>
            </w:pPr>
            <w:r>
              <w:rPr>
                <w:rFonts w:hint="eastAsia" w:ascii="仿宋" w:hAnsi="仿宋"/>
                <w:color w:val="auto"/>
                <w:highlight w:val="none"/>
              </w:rPr>
              <w:t>序号</w:t>
            </w:r>
          </w:p>
        </w:tc>
        <w:tc>
          <w:tcPr>
            <w:tcW w:w="561" w:type="pct"/>
            <w:vAlign w:val="center"/>
          </w:tcPr>
          <w:p>
            <w:pPr>
              <w:widowControl/>
              <w:spacing w:line="360" w:lineRule="atLeast"/>
              <w:rPr>
                <w:rFonts w:ascii="仿宋" w:hAnsi="仿宋"/>
                <w:color w:val="auto"/>
                <w:highlight w:val="none"/>
              </w:rPr>
            </w:pPr>
            <w:r>
              <w:rPr>
                <w:rFonts w:hint="eastAsia" w:ascii="仿宋" w:hAnsi="仿宋"/>
                <w:color w:val="auto"/>
                <w:highlight w:val="none"/>
              </w:rPr>
              <w:t xml:space="preserve">包号 </w:t>
            </w:r>
          </w:p>
        </w:tc>
        <w:tc>
          <w:tcPr>
            <w:tcW w:w="1306" w:type="pct"/>
            <w:vAlign w:val="center"/>
          </w:tcPr>
          <w:p>
            <w:pPr>
              <w:widowControl/>
              <w:spacing w:line="360" w:lineRule="atLeast"/>
              <w:rPr>
                <w:rFonts w:ascii="仿宋" w:hAnsi="仿宋"/>
                <w:color w:val="auto"/>
                <w:highlight w:val="none"/>
              </w:rPr>
            </w:pPr>
            <w:r>
              <w:rPr>
                <w:rFonts w:hint="eastAsia" w:ascii="仿宋" w:hAnsi="仿宋"/>
                <w:color w:val="auto"/>
                <w:highlight w:val="none"/>
              </w:rPr>
              <w:t>货物（设备）名称</w:t>
            </w:r>
          </w:p>
        </w:tc>
        <w:tc>
          <w:tcPr>
            <w:tcW w:w="1179" w:type="pct"/>
            <w:vAlign w:val="center"/>
          </w:tcPr>
          <w:p>
            <w:pPr>
              <w:widowControl/>
              <w:spacing w:line="360" w:lineRule="atLeast"/>
              <w:rPr>
                <w:rFonts w:ascii="仿宋" w:hAnsi="仿宋"/>
                <w:color w:val="auto"/>
                <w:highlight w:val="none"/>
              </w:rPr>
            </w:pPr>
            <w:r>
              <w:rPr>
                <w:rFonts w:hint="eastAsia" w:ascii="仿宋" w:hAnsi="仿宋"/>
                <w:color w:val="auto"/>
                <w:highlight w:val="none"/>
              </w:rPr>
              <w:t>招标文件要求</w:t>
            </w:r>
          </w:p>
        </w:tc>
        <w:tc>
          <w:tcPr>
            <w:tcW w:w="1491" w:type="pct"/>
            <w:vAlign w:val="center"/>
          </w:tcPr>
          <w:p>
            <w:pPr>
              <w:widowControl/>
              <w:spacing w:line="360" w:lineRule="atLeast"/>
              <w:rPr>
                <w:rFonts w:ascii="仿宋" w:hAnsi="仿宋"/>
                <w:color w:val="auto"/>
                <w:highlight w:val="none"/>
              </w:rPr>
            </w:pPr>
            <w:r>
              <w:rPr>
                <w:rFonts w:hint="eastAsia" w:ascii="仿宋" w:hAnsi="仿宋"/>
                <w:color w:val="auto"/>
                <w:highlight w:val="none"/>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注：1. 供应商必须把招标文件</w:t>
      </w:r>
      <w:r>
        <w:rPr>
          <w:rFonts w:hint="eastAsia" w:ascii="仿宋" w:hAnsi="仿宋"/>
          <w:b/>
          <w:bCs/>
          <w:color w:val="auto"/>
          <w:highlight w:val="none"/>
        </w:rPr>
        <w:t>第六章技术服务要求全部</w:t>
      </w:r>
      <w:r>
        <w:rPr>
          <w:rFonts w:hint="eastAsia" w:ascii="仿宋" w:hAnsi="仿宋"/>
          <w:color w:val="auto"/>
          <w:highlight w:val="none"/>
        </w:rPr>
        <w:t>列入此表。</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2．按照招标项目技术要求的顺序逐条对应填写。</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3．供应商必须据实填写，不得虚假填写，否则将取消其投标或中标资格。</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 XXXX。</w:t>
      </w:r>
    </w:p>
    <w:p>
      <w:pPr>
        <w:widowControl/>
        <w:spacing w:line="360" w:lineRule="atLeast"/>
        <w:ind w:firstLine="470" w:firstLineChars="196"/>
        <w:rPr>
          <w:rFonts w:ascii="仿宋" w:hAnsi="仿宋"/>
          <w:color w:val="auto"/>
          <w:highlight w:val="none"/>
        </w:rPr>
      </w:pPr>
    </w:p>
    <w:p>
      <w:pPr>
        <w:rPr>
          <w:rFonts w:ascii="仿宋" w:hAnsi="仿宋"/>
          <w:b/>
          <w:color w:val="auto"/>
          <w:sz w:val="32"/>
          <w:szCs w:val="32"/>
          <w:highlight w:val="none"/>
        </w:rPr>
      </w:pPr>
      <w:bookmarkStart w:id="145" w:name="_Toc217446091"/>
      <w:r>
        <w:rPr>
          <w:rFonts w:hint="eastAsia" w:ascii="仿宋" w:hAnsi="仿宋"/>
          <w:b/>
          <w:color w:val="auto"/>
          <w:sz w:val="32"/>
          <w:szCs w:val="32"/>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格式2-10投标人本项目管理、技术、服务人员情况表</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投标人本项目管理、技术、服务人员情况表</w:t>
      </w:r>
      <w:bookmarkEnd w:id="145"/>
    </w:p>
    <w:p>
      <w:pPr>
        <w:widowControl/>
        <w:spacing w:line="360" w:lineRule="atLeast"/>
        <w:ind w:firstLine="472" w:firstLineChars="196"/>
        <w:rPr>
          <w:rFonts w:ascii="仿宋" w:hAnsi="仿宋"/>
          <w:b/>
          <w:color w:val="auto"/>
          <w:highlight w:val="none"/>
        </w:rPr>
      </w:pPr>
    </w:p>
    <w:p>
      <w:pPr>
        <w:widowControl/>
        <w:spacing w:line="360" w:lineRule="atLeast"/>
        <w:rPr>
          <w:rFonts w:ascii="仿宋" w:hAnsi="仿宋"/>
          <w:color w:val="auto"/>
          <w:highlight w:val="none"/>
        </w:rPr>
      </w:pPr>
      <w:r>
        <w:rPr>
          <w:rFonts w:hint="eastAsia" w:ascii="仿宋" w:hAnsi="仿宋"/>
          <w:color w:val="auto"/>
          <w:highlight w:val="none"/>
        </w:rPr>
        <w:t>招标编号：</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990"/>
        <w:gridCol w:w="990"/>
        <w:gridCol w:w="990"/>
        <w:gridCol w:w="990"/>
        <w:gridCol w:w="1044"/>
        <w:gridCol w:w="1178"/>
        <w:gridCol w:w="1038"/>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类别</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职务</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姓名</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职称</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常住地</w:t>
            </w:r>
          </w:p>
        </w:tc>
        <w:tc>
          <w:tcPr>
            <w:tcW w:w="2239" w:type="pct"/>
            <w:gridSpan w:val="4"/>
            <w:vAlign w:val="center"/>
          </w:tcPr>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62" w:type="pct"/>
            <w:vAlign w:val="center"/>
          </w:tcPr>
          <w:p>
            <w:pPr>
              <w:widowControl/>
              <w:spacing w:line="360" w:lineRule="atLeast"/>
              <w:rPr>
                <w:rFonts w:ascii="仿宋" w:hAnsi="仿宋"/>
                <w:color w:val="auto"/>
                <w:highlight w:val="none"/>
              </w:rPr>
            </w:pPr>
            <w:r>
              <w:rPr>
                <w:rFonts w:hint="eastAsia" w:ascii="仿宋" w:hAnsi="仿宋"/>
                <w:color w:val="auto"/>
                <w:highlight w:val="none"/>
              </w:rPr>
              <w:t>证书</w:t>
            </w:r>
          </w:p>
          <w:p>
            <w:pPr>
              <w:widowControl/>
              <w:spacing w:line="360" w:lineRule="atLeast"/>
              <w:rPr>
                <w:rFonts w:ascii="仿宋" w:hAnsi="仿宋"/>
                <w:color w:val="auto"/>
                <w:highlight w:val="none"/>
              </w:rPr>
            </w:pPr>
            <w:r>
              <w:rPr>
                <w:rFonts w:hint="eastAsia" w:ascii="仿宋" w:hAnsi="仿宋"/>
                <w:color w:val="auto"/>
                <w:highlight w:val="none"/>
              </w:rPr>
              <w:t>名称</w:t>
            </w:r>
          </w:p>
        </w:tc>
        <w:tc>
          <w:tcPr>
            <w:tcW w:w="634" w:type="pct"/>
            <w:vAlign w:val="center"/>
          </w:tcPr>
          <w:p>
            <w:pPr>
              <w:widowControl/>
              <w:spacing w:line="360" w:lineRule="atLeast"/>
              <w:rPr>
                <w:rFonts w:ascii="仿宋" w:hAnsi="仿宋"/>
                <w:color w:val="auto"/>
                <w:highlight w:val="none"/>
              </w:rPr>
            </w:pPr>
            <w:r>
              <w:rPr>
                <w:rFonts w:hint="eastAsia" w:ascii="仿宋" w:hAnsi="仿宋"/>
                <w:color w:val="auto"/>
                <w:highlight w:val="none"/>
              </w:rPr>
              <w:t>级别</w:t>
            </w:r>
          </w:p>
        </w:tc>
        <w:tc>
          <w:tcPr>
            <w:tcW w:w="559" w:type="pct"/>
            <w:vAlign w:val="center"/>
          </w:tcPr>
          <w:p>
            <w:pPr>
              <w:widowControl/>
              <w:spacing w:line="360" w:lineRule="atLeast"/>
              <w:rPr>
                <w:rFonts w:ascii="仿宋" w:hAnsi="仿宋"/>
                <w:color w:val="auto"/>
                <w:highlight w:val="none"/>
              </w:rPr>
            </w:pPr>
            <w:r>
              <w:rPr>
                <w:rFonts w:hint="eastAsia" w:ascii="仿宋" w:hAnsi="仿宋"/>
                <w:color w:val="auto"/>
                <w:highlight w:val="none"/>
              </w:rPr>
              <w:t>证号</w:t>
            </w:r>
          </w:p>
        </w:tc>
        <w:tc>
          <w:tcPr>
            <w:tcW w:w="483" w:type="pct"/>
            <w:vAlign w:val="center"/>
          </w:tcPr>
          <w:p>
            <w:pPr>
              <w:widowControl/>
              <w:spacing w:line="360" w:lineRule="atLeast"/>
              <w:rPr>
                <w:rFonts w:ascii="仿宋" w:hAnsi="仿宋"/>
                <w:color w:val="auto"/>
                <w:highlight w:val="none"/>
              </w:rPr>
            </w:pPr>
            <w:r>
              <w:rPr>
                <w:rFonts w:hint="eastAsia" w:ascii="仿宋" w:hAnsi="仿宋"/>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color w:val="auto"/>
                <w:highlight w:val="none"/>
              </w:rPr>
            </w:pPr>
            <w:r>
              <w:rPr>
                <w:rFonts w:hint="eastAsia" w:ascii="仿宋" w:hAnsi="仿宋"/>
                <w:color w:val="auto"/>
                <w:highlight w:val="none"/>
              </w:rPr>
              <w:t>管理</w:t>
            </w:r>
          </w:p>
          <w:p>
            <w:pPr>
              <w:widowControl/>
              <w:spacing w:line="360" w:lineRule="atLeast"/>
              <w:rPr>
                <w:rFonts w:ascii="仿宋" w:hAnsi="仿宋"/>
                <w:color w:val="auto"/>
                <w:highlight w:val="none"/>
              </w:rPr>
            </w:pPr>
            <w:r>
              <w:rPr>
                <w:rFonts w:hint="eastAsia" w:ascii="仿宋" w:hAnsi="仿宋"/>
                <w:color w:val="auto"/>
                <w:highlight w:val="none"/>
              </w:rPr>
              <w:t>人员</w:t>
            </w: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tcPr>
          <w:p>
            <w:pPr>
              <w:widowControl/>
              <w:spacing w:line="360" w:lineRule="atLeast"/>
              <w:rPr>
                <w:rFonts w:ascii="仿宋" w:hAnsi="仿宋"/>
                <w:color w:val="auto"/>
                <w:highlight w:val="none"/>
              </w:rPr>
            </w:pPr>
            <w:r>
              <w:rPr>
                <w:rFonts w:hint="eastAsia" w:ascii="仿宋" w:hAnsi="仿宋"/>
                <w:color w:val="auto"/>
                <w:highlight w:val="none"/>
              </w:rPr>
              <w:t>技术</w:t>
            </w:r>
          </w:p>
          <w:p>
            <w:pPr>
              <w:widowControl/>
              <w:spacing w:line="360" w:lineRule="atLeast"/>
              <w:rPr>
                <w:rFonts w:ascii="仿宋" w:hAnsi="仿宋"/>
                <w:color w:val="auto"/>
                <w:highlight w:val="none"/>
              </w:rPr>
            </w:pPr>
            <w:r>
              <w:rPr>
                <w:rFonts w:hint="eastAsia" w:ascii="仿宋" w:hAnsi="仿宋"/>
                <w:color w:val="auto"/>
                <w:highlight w:val="none"/>
              </w:rPr>
              <w:t>人员</w:t>
            </w: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color w:val="auto"/>
                <w:highlight w:val="none"/>
              </w:rPr>
            </w:pPr>
            <w:r>
              <w:rPr>
                <w:rFonts w:hint="eastAsia" w:ascii="仿宋" w:hAnsi="仿宋"/>
                <w:color w:val="auto"/>
                <w:highlight w:val="none"/>
              </w:rPr>
              <w:t>售后服务人员</w:t>
            </w: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Borders>
              <w:bottom w:val="single" w:color="auto" w:sz="4" w:space="0"/>
            </w:tcBorders>
          </w:tcPr>
          <w:p>
            <w:pPr>
              <w:rPr>
                <w:rFonts w:ascii="仿宋" w:hAnsi="仿宋"/>
                <w:color w:val="auto"/>
                <w:highlight w:val="none"/>
              </w:rPr>
            </w:pPr>
          </w:p>
        </w:tc>
        <w:tc>
          <w:tcPr>
            <w:tcW w:w="533" w:type="pct"/>
            <w:tcBorders>
              <w:bottom w:val="single" w:color="auto" w:sz="4" w:space="0"/>
            </w:tcBorders>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33" w:type="pct"/>
          </w:tcPr>
          <w:p>
            <w:pPr>
              <w:widowControl/>
              <w:spacing w:line="360" w:lineRule="atLeast"/>
              <w:ind w:firstLine="470" w:firstLineChars="196"/>
              <w:rPr>
                <w:rFonts w:ascii="仿宋" w:hAnsi="仿宋"/>
                <w:color w:val="auto"/>
                <w:highlight w:val="none"/>
              </w:rPr>
            </w:pPr>
          </w:p>
        </w:tc>
        <w:tc>
          <w:tcPr>
            <w:tcW w:w="562" w:type="pct"/>
          </w:tcPr>
          <w:p>
            <w:pPr>
              <w:widowControl/>
              <w:spacing w:line="360" w:lineRule="atLeast"/>
              <w:ind w:firstLine="470" w:firstLineChars="196"/>
              <w:rPr>
                <w:rFonts w:ascii="仿宋" w:hAnsi="仿宋"/>
                <w:color w:val="auto"/>
                <w:highlight w:val="none"/>
              </w:rPr>
            </w:pPr>
          </w:p>
        </w:tc>
        <w:tc>
          <w:tcPr>
            <w:tcW w:w="634" w:type="pct"/>
          </w:tcPr>
          <w:p>
            <w:pPr>
              <w:widowControl/>
              <w:spacing w:line="360" w:lineRule="atLeast"/>
              <w:ind w:firstLine="470" w:firstLineChars="196"/>
              <w:rPr>
                <w:rFonts w:ascii="仿宋" w:hAnsi="仿宋"/>
                <w:color w:val="auto"/>
                <w:highlight w:val="none"/>
              </w:rPr>
            </w:pPr>
          </w:p>
        </w:tc>
        <w:tc>
          <w:tcPr>
            <w:tcW w:w="559" w:type="pct"/>
          </w:tcPr>
          <w:p>
            <w:pPr>
              <w:widowControl/>
              <w:spacing w:line="360" w:lineRule="atLeast"/>
              <w:ind w:firstLine="470" w:firstLineChars="196"/>
              <w:rPr>
                <w:rFonts w:ascii="仿宋" w:hAnsi="仿宋"/>
                <w:color w:val="auto"/>
                <w:highlight w:val="none"/>
              </w:rPr>
            </w:pPr>
          </w:p>
        </w:tc>
        <w:tc>
          <w:tcPr>
            <w:tcW w:w="483" w:type="pct"/>
          </w:tcPr>
          <w:p>
            <w:pPr>
              <w:widowControl/>
              <w:spacing w:line="360" w:lineRule="atLeast"/>
              <w:ind w:firstLine="470" w:firstLineChars="196"/>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p>
    <w:p>
      <w:pPr>
        <w:widowControl/>
        <w:spacing w:after="160" w:line="360" w:lineRule="atLeast"/>
        <w:ind w:firstLine="470" w:firstLineChars="196"/>
        <w:rPr>
          <w:rFonts w:ascii="仿宋" w:hAnsi="仿宋"/>
          <w:color w:val="auto"/>
          <w:highlight w:val="none"/>
        </w:rPr>
      </w:pPr>
      <w:r>
        <w:rPr>
          <w:rFonts w:hint="eastAsia" w:ascii="仿宋" w:hAnsi="仿宋"/>
          <w:color w:val="auto"/>
          <w:highlight w:val="none"/>
        </w:rPr>
        <w:t>备注：此表填写的管理人员将作为判定87号令第37条依据。</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 XXXX。</w:t>
      </w:r>
    </w:p>
    <w:p>
      <w:pPr>
        <w:widowControl/>
        <w:spacing w:line="360" w:lineRule="atLeast"/>
        <w:ind w:firstLine="472" w:firstLineChars="196"/>
        <w:rPr>
          <w:rFonts w:ascii="仿宋" w:hAnsi="仿宋"/>
          <w:b/>
          <w:color w:val="auto"/>
          <w:highlight w:val="none"/>
        </w:rPr>
      </w:pPr>
    </w:p>
    <w:p>
      <w:pPr>
        <w:widowControl/>
        <w:spacing w:line="360" w:lineRule="atLeast"/>
        <w:ind w:firstLine="472" w:firstLineChars="196"/>
        <w:rPr>
          <w:rFonts w:ascii="仿宋" w:hAnsi="仿宋"/>
          <w:b/>
          <w:color w:val="auto"/>
          <w:highlight w:val="none"/>
        </w:rPr>
      </w:pPr>
    </w:p>
    <w:p>
      <w:pPr>
        <w:widowControl/>
        <w:spacing w:line="360" w:lineRule="atLeast"/>
        <w:ind w:firstLine="472" w:firstLineChars="196"/>
        <w:rPr>
          <w:rFonts w:ascii="仿宋" w:hAnsi="仿宋"/>
          <w:b/>
          <w:color w:val="auto"/>
          <w:highlight w:val="none"/>
        </w:rPr>
      </w:pPr>
    </w:p>
    <w:p>
      <w:pPr>
        <w:widowControl/>
        <w:spacing w:line="240" w:lineRule="auto"/>
        <w:rPr>
          <w:rFonts w:ascii="仿宋" w:hAnsi="仿宋"/>
          <w:b/>
          <w:color w:val="auto"/>
          <w:sz w:val="32"/>
          <w:szCs w:val="32"/>
          <w:highlight w:val="none"/>
        </w:rPr>
      </w:pPr>
    </w:p>
    <w:p>
      <w:pPr>
        <w:rPr>
          <w:rFonts w:ascii="仿宋" w:hAnsi="仿宋"/>
          <w:bCs/>
          <w:color w:val="auto"/>
          <w:highlight w:val="none"/>
        </w:rPr>
      </w:pPr>
      <w:r>
        <w:rPr>
          <w:rFonts w:ascii="仿宋" w:hAnsi="仿宋"/>
          <w:bCs/>
          <w:color w:val="auto"/>
          <w:highlight w:val="none"/>
        </w:rPr>
        <w:br w:type="page"/>
      </w:r>
    </w:p>
    <w:p>
      <w:pPr>
        <w:pStyle w:val="5"/>
        <w:spacing w:before="0" w:after="0"/>
        <w:rPr>
          <w:rFonts w:ascii="仿宋" w:hAnsi="仿宋" w:cs="仿宋"/>
          <w:color w:val="auto"/>
          <w:highlight w:val="none"/>
        </w:rPr>
      </w:pPr>
      <w:bookmarkStart w:id="146" w:name="_Toc28495"/>
      <w:r>
        <w:rPr>
          <w:rFonts w:hint="eastAsia" w:ascii="仿宋" w:hAnsi="仿宋" w:cs="仿宋"/>
          <w:color w:val="auto"/>
          <w:highlight w:val="none"/>
        </w:rPr>
        <w:t>格式2-11中小企业声明函（货物</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中小企业声明函</w:t>
      </w:r>
      <w:bookmarkStart w:id="147" w:name="_Toc15707"/>
      <w:r>
        <w:rPr>
          <w:rFonts w:hint="eastAsia" w:ascii="仿宋" w:hAnsi="仿宋" w:cs="仿宋"/>
          <w:b/>
          <w:bCs/>
          <w:color w:val="auto"/>
          <w:sz w:val="32"/>
          <w:szCs w:val="32"/>
          <w:highlight w:val="none"/>
        </w:rPr>
        <w:t>（货物）</w:t>
      </w:r>
      <w:bookmarkEnd w:id="147"/>
    </w:p>
    <w:p>
      <w:pPr>
        <w:pStyle w:val="16"/>
        <w:ind w:left="0" w:leftChars="0"/>
        <w:rPr>
          <w:rFonts w:asciiTheme="minorEastAsia" w:hAnsiTheme="minorEastAsia"/>
          <w:b/>
          <w:color w:val="auto"/>
          <w:szCs w:val="21"/>
          <w:highlight w:val="none"/>
        </w:rPr>
      </w:pPr>
    </w:p>
    <w:p>
      <w:pPr>
        <w:ind w:firstLine="480" w:firstLineChars="200"/>
        <w:jc w:val="both"/>
        <w:rPr>
          <w:rFonts w:ascii="仿宋" w:hAnsi="仿宋" w:cs="仿宋"/>
          <w:color w:val="auto"/>
          <w:highlight w:val="none"/>
        </w:rPr>
      </w:pPr>
      <w:r>
        <w:rPr>
          <w:rFonts w:hint="eastAsia" w:ascii="仿宋" w:hAnsi="仿宋" w:cs="仿宋"/>
          <w:color w:val="auto"/>
          <w:highlight w:val="none"/>
        </w:rPr>
        <w:t xml:space="preserve">本公司（联合体）郑重声明，根据《政府采购促进中小企业发展管理办法》（财库〔2020〕46 号），本公司（联合体）参加 </w:t>
      </w:r>
      <w:r>
        <w:rPr>
          <w:rFonts w:hint="eastAsia" w:ascii="仿宋" w:hAnsi="仿宋" w:cs="仿宋"/>
          <w:color w:val="auto"/>
          <w:highlight w:val="none"/>
          <w:u w:val="single"/>
        </w:rPr>
        <w:t xml:space="preserve">（单位名称） </w:t>
      </w:r>
      <w:r>
        <w:rPr>
          <w:rFonts w:hint="eastAsia" w:ascii="仿宋" w:hAnsi="仿宋" w:cs="仿宋"/>
          <w:color w:val="auto"/>
          <w:highlight w:val="none"/>
        </w:rPr>
        <w:t xml:space="preserve">的 </w:t>
      </w:r>
      <w:r>
        <w:rPr>
          <w:rFonts w:hint="eastAsia" w:ascii="仿宋" w:hAnsi="仿宋" w:cs="仿宋"/>
          <w:color w:val="auto"/>
          <w:highlight w:val="none"/>
          <w:u w:val="single"/>
        </w:rPr>
        <w:t xml:space="preserve">（项目名称） </w:t>
      </w:r>
      <w:r>
        <w:rPr>
          <w:rFonts w:hint="eastAsia" w:ascii="仿宋" w:hAnsi="仿宋" w:cs="仿宋"/>
          <w:color w:val="auto"/>
          <w:highlight w:val="none"/>
        </w:rPr>
        <w:t>采购活动，提供的货物全部由符合政策要求的中小企业制造。相关企业（含联合体中的中小企业、签订分包意向协议的中小企业）的具体情况如下：</w:t>
      </w:r>
      <w:r>
        <w:rPr>
          <w:rFonts w:hint="eastAsia" w:ascii="仿宋" w:hAnsi="仿宋" w:cs="仿宋"/>
          <w:color w:val="auto"/>
          <w:highlight w:val="none"/>
        </w:rPr>
        <w:br w:type="textWrapping"/>
      </w:r>
      <w:r>
        <w:rPr>
          <w:rFonts w:hint="eastAsia" w:ascii="仿宋" w:hAnsi="仿宋" w:cs="仿宋"/>
          <w:color w:val="auto"/>
          <w:highlight w:val="none"/>
        </w:rPr>
        <w:t xml:space="preserve">　　1. </w:t>
      </w:r>
      <w:r>
        <w:rPr>
          <w:rFonts w:hint="eastAsia" w:ascii="仿宋" w:hAnsi="仿宋" w:cs="仿宋"/>
          <w:color w:val="auto"/>
          <w:highlight w:val="none"/>
          <w:u w:val="single"/>
        </w:rPr>
        <w:t xml:space="preserve">（标的名称） </w:t>
      </w:r>
      <w:r>
        <w:rPr>
          <w:rFonts w:hint="eastAsia" w:ascii="仿宋" w:hAnsi="仿宋" w:cs="仿宋"/>
          <w:color w:val="auto"/>
          <w:highlight w:val="none"/>
        </w:rPr>
        <w:t>，属于</w:t>
      </w:r>
      <w:r>
        <w:rPr>
          <w:rFonts w:hint="eastAsia" w:ascii="仿宋" w:hAnsi="仿宋" w:cs="仿宋"/>
          <w:color w:val="auto"/>
          <w:highlight w:val="none"/>
          <w:u w:val="single"/>
        </w:rPr>
        <w:t xml:space="preserve"> （采购文件中明确的所属行业）行业 </w:t>
      </w:r>
      <w:r>
        <w:rPr>
          <w:rFonts w:hint="eastAsia" w:ascii="仿宋" w:hAnsi="仿宋" w:cs="仿宋"/>
          <w:color w:val="auto"/>
          <w:highlight w:val="none"/>
        </w:rPr>
        <w:t>；制造商为</w:t>
      </w:r>
      <w:r>
        <w:rPr>
          <w:rFonts w:hint="eastAsia" w:ascii="仿宋" w:hAnsi="仿宋" w:cs="仿宋"/>
          <w:color w:val="auto"/>
          <w:highlight w:val="none"/>
          <w:u w:val="single"/>
        </w:rPr>
        <w:t xml:space="preserve"> （企业名称） </w:t>
      </w:r>
      <w:r>
        <w:rPr>
          <w:rFonts w:hint="eastAsia" w:ascii="仿宋" w:hAnsi="仿宋" w:cs="仿宋"/>
          <w:color w:val="auto"/>
          <w:highlight w:val="none"/>
        </w:rPr>
        <w:t>，从业人员</w:t>
      </w:r>
      <w:r>
        <w:rPr>
          <w:rFonts w:hint="eastAsia" w:ascii="仿宋" w:hAnsi="仿宋" w:cs="仿宋"/>
          <w:color w:val="auto"/>
          <w:highlight w:val="none"/>
          <w:u w:val="single"/>
        </w:rPr>
        <w:t xml:space="preserve">   </w:t>
      </w:r>
      <w:r>
        <w:rPr>
          <w:rFonts w:hint="eastAsia" w:ascii="仿宋" w:hAnsi="仿宋" w:cs="仿宋"/>
          <w:color w:val="auto"/>
          <w:highlight w:val="none"/>
        </w:rPr>
        <w:t>人，营业收入为</w:t>
      </w:r>
      <w:r>
        <w:rPr>
          <w:rFonts w:hint="eastAsia" w:ascii="仿宋" w:hAnsi="仿宋" w:cs="仿宋"/>
          <w:color w:val="auto"/>
          <w:highlight w:val="none"/>
          <w:u w:val="single"/>
        </w:rPr>
        <w:t xml:space="preserve">    </w:t>
      </w:r>
      <w:r>
        <w:rPr>
          <w:rFonts w:hint="eastAsia" w:ascii="仿宋" w:hAnsi="仿宋" w:cs="仿宋"/>
          <w:color w:val="auto"/>
          <w:highlight w:val="none"/>
        </w:rPr>
        <w:t>万元，资产总额为</w:t>
      </w:r>
      <w:r>
        <w:rPr>
          <w:rFonts w:hint="eastAsia" w:ascii="仿宋" w:hAnsi="仿宋" w:cs="仿宋"/>
          <w:color w:val="auto"/>
          <w:highlight w:val="none"/>
          <w:u w:val="single"/>
        </w:rPr>
        <w:t xml:space="preserve">   </w:t>
      </w:r>
      <w:r>
        <w:rPr>
          <w:rFonts w:hint="eastAsia" w:ascii="仿宋" w:hAnsi="仿宋" w:cs="仿宋"/>
          <w:color w:val="auto"/>
          <w:highlight w:val="none"/>
        </w:rPr>
        <w:t>万元</w:t>
      </w:r>
      <w:r>
        <w:rPr>
          <w:rFonts w:hint="eastAsia" w:ascii="仿宋" w:hAnsi="仿宋" w:cs="仿宋"/>
          <w:color w:val="auto"/>
          <w:highlight w:val="none"/>
          <w:vertAlign w:val="superscript"/>
        </w:rPr>
        <w:t>1</w:t>
      </w:r>
      <w:r>
        <w:rPr>
          <w:rFonts w:hint="eastAsia" w:ascii="仿宋" w:hAnsi="仿宋" w:cs="仿宋"/>
          <w:color w:val="auto"/>
          <w:highlight w:val="none"/>
        </w:rPr>
        <w:t>，属于</w:t>
      </w:r>
      <w:r>
        <w:rPr>
          <w:rFonts w:hint="eastAsia" w:ascii="仿宋" w:hAnsi="仿宋" w:cs="仿宋"/>
          <w:color w:val="auto"/>
          <w:highlight w:val="none"/>
          <w:u w:val="single"/>
        </w:rPr>
        <w:t xml:space="preserve"> （中型企业、小型企业、微型企业）</w:t>
      </w:r>
      <w:r>
        <w:rPr>
          <w:rFonts w:hint="eastAsia" w:ascii="仿宋" w:hAnsi="仿宋" w:cs="仿宋"/>
          <w:color w:val="auto"/>
          <w:highlight w:val="none"/>
        </w:rPr>
        <w:t>；</w:t>
      </w:r>
    </w:p>
    <w:p>
      <w:pPr>
        <w:ind w:firstLine="600" w:firstLineChars="250"/>
        <w:jc w:val="both"/>
        <w:rPr>
          <w:rFonts w:ascii="仿宋" w:hAnsi="仿宋" w:cs="仿宋"/>
          <w:color w:val="auto"/>
          <w:highlight w:val="none"/>
        </w:rPr>
      </w:pPr>
      <w:r>
        <w:rPr>
          <w:rFonts w:hint="eastAsia" w:ascii="仿宋" w:hAnsi="仿宋" w:cs="仿宋"/>
          <w:color w:val="auto"/>
          <w:highlight w:val="none"/>
        </w:rPr>
        <w:t>2.</w:t>
      </w:r>
      <w:r>
        <w:rPr>
          <w:rFonts w:hint="eastAsia" w:ascii="仿宋" w:hAnsi="仿宋" w:cs="仿宋"/>
          <w:color w:val="auto"/>
          <w:highlight w:val="none"/>
          <w:u w:val="single"/>
        </w:rPr>
        <w:t xml:space="preserve"> （标的名称） </w:t>
      </w:r>
      <w:r>
        <w:rPr>
          <w:rFonts w:hint="eastAsia" w:ascii="仿宋" w:hAnsi="仿宋" w:cs="仿宋"/>
          <w:color w:val="auto"/>
          <w:highlight w:val="none"/>
        </w:rPr>
        <w:t>，属于</w:t>
      </w:r>
      <w:r>
        <w:rPr>
          <w:rFonts w:hint="eastAsia" w:ascii="仿宋" w:hAnsi="仿宋" w:cs="仿宋"/>
          <w:color w:val="auto"/>
          <w:highlight w:val="none"/>
          <w:u w:val="single"/>
        </w:rPr>
        <w:t xml:space="preserve"> （采购文件中明确的所属行业）行业 </w:t>
      </w:r>
      <w:r>
        <w:rPr>
          <w:rFonts w:hint="eastAsia" w:ascii="仿宋" w:hAnsi="仿宋" w:cs="仿宋"/>
          <w:color w:val="auto"/>
          <w:highlight w:val="none"/>
        </w:rPr>
        <w:t>；制造商为</w:t>
      </w:r>
      <w:r>
        <w:rPr>
          <w:rFonts w:hint="eastAsia" w:ascii="仿宋" w:hAnsi="仿宋" w:cs="仿宋"/>
          <w:color w:val="auto"/>
          <w:highlight w:val="none"/>
          <w:u w:val="single"/>
        </w:rPr>
        <w:t xml:space="preserve"> （企业名称） </w:t>
      </w:r>
      <w:r>
        <w:rPr>
          <w:rFonts w:hint="eastAsia" w:ascii="仿宋" w:hAnsi="仿宋" w:cs="仿宋"/>
          <w:color w:val="auto"/>
          <w:highlight w:val="none"/>
        </w:rPr>
        <w:t>，从业人员</w:t>
      </w:r>
      <w:r>
        <w:rPr>
          <w:rFonts w:hint="eastAsia" w:ascii="仿宋" w:hAnsi="仿宋" w:cs="仿宋"/>
          <w:color w:val="auto"/>
          <w:highlight w:val="none"/>
          <w:u w:val="single"/>
        </w:rPr>
        <w:t xml:space="preserve">   </w:t>
      </w:r>
      <w:r>
        <w:rPr>
          <w:rFonts w:hint="eastAsia" w:ascii="仿宋" w:hAnsi="仿宋" w:cs="仿宋"/>
          <w:color w:val="auto"/>
          <w:highlight w:val="none"/>
        </w:rPr>
        <w:t>人，营业收入为</w:t>
      </w:r>
      <w:r>
        <w:rPr>
          <w:rFonts w:hint="eastAsia" w:ascii="仿宋" w:hAnsi="仿宋" w:cs="仿宋"/>
          <w:color w:val="auto"/>
          <w:highlight w:val="none"/>
          <w:u w:val="single"/>
        </w:rPr>
        <w:t xml:space="preserve">    </w:t>
      </w:r>
      <w:r>
        <w:rPr>
          <w:rFonts w:hint="eastAsia" w:ascii="仿宋" w:hAnsi="仿宋" w:cs="仿宋"/>
          <w:color w:val="auto"/>
          <w:highlight w:val="none"/>
        </w:rPr>
        <w:t>万元，资产总额为</w:t>
      </w:r>
      <w:r>
        <w:rPr>
          <w:rFonts w:hint="eastAsia" w:ascii="仿宋" w:hAnsi="仿宋" w:cs="仿宋"/>
          <w:color w:val="auto"/>
          <w:highlight w:val="none"/>
          <w:u w:val="single"/>
        </w:rPr>
        <w:t xml:space="preserve">   </w:t>
      </w:r>
      <w:r>
        <w:rPr>
          <w:rFonts w:hint="eastAsia" w:ascii="仿宋" w:hAnsi="仿宋" w:cs="仿宋"/>
          <w:color w:val="auto"/>
          <w:highlight w:val="none"/>
        </w:rPr>
        <w:t>万元，属于</w:t>
      </w:r>
      <w:r>
        <w:rPr>
          <w:rFonts w:hint="eastAsia" w:ascii="仿宋" w:hAnsi="仿宋" w:cs="仿宋"/>
          <w:color w:val="auto"/>
          <w:highlight w:val="none"/>
          <w:u w:val="single"/>
        </w:rPr>
        <w:t xml:space="preserve"> （中型企业、小型企业、微型企业）</w:t>
      </w:r>
      <w:r>
        <w:rPr>
          <w:rFonts w:hint="eastAsia" w:ascii="仿宋" w:hAnsi="仿宋" w:cs="仿宋"/>
          <w:color w:val="auto"/>
          <w:highlight w:val="none"/>
        </w:rPr>
        <w:t>；</w:t>
      </w:r>
    </w:p>
    <w:p>
      <w:pPr>
        <w:ind w:firstLine="600" w:firstLineChars="250"/>
        <w:jc w:val="both"/>
        <w:rPr>
          <w:rFonts w:ascii="仿宋" w:hAnsi="仿宋" w:cs="仿宋"/>
          <w:color w:val="auto"/>
          <w:highlight w:val="none"/>
        </w:rPr>
      </w:pPr>
      <w:r>
        <w:rPr>
          <w:rFonts w:hint="eastAsia" w:ascii="仿宋" w:hAnsi="仿宋" w:cs="仿宋"/>
          <w:color w:val="auto"/>
          <w:highlight w:val="none"/>
        </w:rPr>
        <w:t>……</w:t>
      </w:r>
    </w:p>
    <w:p>
      <w:pPr>
        <w:ind w:firstLine="600" w:firstLineChars="250"/>
        <w:jc w:val="both"/>
        <w:rPr>
          <w:rFonts w:ascii="仿宋" w:hAnsi="仿宋" w:cs="仿宋"/>
          <w:color w:val="auto"/>
          <w:highlight w:val="none"/>
        </w:rPr>
      </w:pPr>
      <w:r>
        <w:rPr>
          <w:rFonts w:hint="eastAsia" w:ascii="仿宋" w:hAnsi="仿宋" w:cs="仿宋"/>
          <w:color w:val="auto"/>
          <w:highlight w:val="none"/>
        </w:rPr>
        <w:t>以上企业，不属于大企业的分支机构，不存在控股股东为大企业的情形，也不存在与大企业的负责人为同一人的情形。</w:t>
      </w:r>
    </w:p>
    <w:p>
      <w:pPr>
        <w:ind w:firstLine="600" w:firstLineChars="250"/>
        <w:jc w:val="both"/>
        <w:rPr>
          <w:rFonts w:ascii="仿宋" w:hAnsi="仿宋" w:cs="仿宋"/>
          <w:color w:val="auto"/>
          <w:highlight w:val="none"/>
        </w:rPr>
      </w:pPr>
      <w:r>
        <w:rPr>
          <w:rFonts w:hint="eastAsia" w:ascii="仿宋" w:hAnsi="仿宋" w:cs="仿宋"/>
          <w:color w:val="auto"/>
          <w:highlight w:val="none"/>
        </w:rPr>
        <w:t>本企业对上述声明内容的真实性负责。如有虚假，将依法承担相应责任。</w:t>
      </w:r>
    </w:p>
    <w:p>
      <w:pPr>
        <w:ind w:firstLine="600" w:firstLineChars="250"/>
        <w:rPr>
          <w:rFonts w:ascii="仿宋" w:hAnsi="仿宋" w:cs="仿宋"/>
          <w:color w:val="auto"/>
          <w:highlight w:val="none"/>
        </w:rPr>
      </w:pPr>
    </w:p>
    <w:p>
      <w:pPr>
        <w:jc w:val="center"/>
        <w:rPr>
          <w:rFonts w:ascii="仿宋" w:hAnsi="仿宋" w:cs="仿宋"/>
          <w:color w:val="auto"/>
          <w:highlight w:val="none"/>
        </w:rPr>
      </w:pPr>
      <w:r>
        <w:rPr>
          <w:rFonts w:hint="eastAsia" w:ascii="仿宋" w:hAnsi="仿宋" w:cs="仿宋"/>
          <w:color w:val="auto"/>
          <w:highlight w:val="none"/>
        </w:rPr>
        <w:t xml:space="preserve">                                 企业名称（盖章）：</w:t>
      </w:r>
    </w:p>
    <w:p>
      <w:pPr>
        <w:jc w:val="center"/>
        <w:rPr>
          <w:rFonts w:ascii="仿宋" w:hAnsi="仿宋" w:cs="仿宋"/>
          <w:color w:val="auto"/>
          <w:highlight w:val="none"/>
        </w:rPr>
      </w:pPr>
      <w:r>
        <w:rPr>
          <w:rFonts w:hint="eastAsia" w:ascii="仿宋" w:hAnsi="仿宋" w:cs="仿宋"/>
          <w:color w:val="auto"/>
          <w:highlight w:val="none"/>
        </w:rPr>
        <w:t xml:space="preserve">                        日 期：</w:t>
      </w:r>
    </w:p>
    <w:p>
      <w:pPr>
        <w:rPr>
          <w:rFonts w:ascii="仿宋" w:hAnsi="仿宋" w:cs="仿宋"/>
          <w:color w:val="auto"/>
          <w:highlight w:val="none"/>
        </w:rPr>
      </w:pPr>
    </w:p>
    <w:p>
      <w:pPr>
        <w:rPr>
          <w:rFonts w:ascii="仿宋" w:hAnsi="仿宋" w:cs="仿宋"/>
          <w:color w:val="auto"/>
          <w:highlight w:val="none"/>
        </w:rPr>
      </w:pPr>
    </w:p>
    <w:p>
      <w:pPr>
        <w:rPr>
          <w:rFonts w:ascii="仿宋" w:hAnsi="仿宋" w:cs="仿宋"/>
          <w:color w:val="auto"/>
          <w:highlight w:val="none"/>
        </w:rPr>
      </w:pPr>
      <w:r>
        <w:rPr>
          <w:rFonts w:hint="eastAsia" w:ascii="仿宋" w:hAnsi="仿宋" w:cs="仿宋"/>
          <w:color w:val="auto"/>
          <w:highlight w:val="none"/>
          <w:vertAlign w:val="superscript"/>
        </w:rPr>
        <w:t>1</w:t>
      </w:r>
      <w:r>
        <w:rPr>
          <w:rFonts w:hint="eastAsia" w:ascii="仿宋" w:hAnsi="仿宋" w:cs="仿宋"/>
          <w:color w:val="auto"/>
          <w:highlight w:val="none"/>
        </w:rPr>
        <w:t>从业人员、营业收入、资产总额填报上一年度数据，无上一年度数据的新成立企业可不填报。</w:t>
      </w:r>
    </w:p>
    <w:p>
      <w:pPr>
        <w:pStyle w:val="16"/>
        <w:ind w:left="0" w:leftChars="0"/>
        <w:jc w:val="right"/>
        <w:rPr>
          <w:rFonts w:asciiTheme="minorEastAsia" w:hAnsiTheme="minorEastAsia"/>
          <w:color w:val="auto"/>
          <w:szCs w:val="21"/>
          <w:highlight w:val="none"/>
        </w:rPr>
      </w:pPr>
    </w:p>
    <w:p>
      <w:pPr>
        <w:rPr>
          <w:rFonts w:asciiTheme="minorEastAsia" w:hAnsiTheme="minorEastAsia" w:eastAsiaTheme="minorEastAsia"/>
          <w:color w:val="auto"/>
          <w:sz w:val="21"/>
          <w:szCs w:val="21"/>
          <w:highlight w:val="none"/>
        </w:rPr>
      </w:pPr>
      <w:bookmarkStart w:id="148" w:name="_bookmark1"/>
      <w:bookmarkEnd w:id="148"/>
      <w:r>
        <w:rPr>
          <w:rFonts w:hint="eastAsia" w:asciiTheme="minorEastAsia" w:hAnsiTheme="minorEastAsia" w:eastAsiaTheme="minorEastAsia"/>
          <w:color w:val="auto"/>
          <w:sz w:val="21"/>
          <w:szCs w:val="21"/>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格式2-12残疾人福利性单位声明函</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残疾人福利性单位声明函</w:t>
      </w:r>
    </w:p>
    <w:p>
      <w:pPr>
        <w:spacing w:line="588" w:lineRule="exact"/>
        <w:rPr>
          <w:rFonts w:ascii="仿宋" w:hAnsi="仿宋" w:cs="宋体"/>
          <w:b/>
          <w:color w:val="auto"/>
          <w:spacing w:val="6"/>
          <w:highlight w:val="none"/>
        </w:rPr>
      </w:pPr>
    </w:p>
    <w:p>
      <w:pPr>
        <w:spacing w:line="588" w:lineRule="exact"/>
        <w:ind w:firstLine="504" w:firstLineChars="200"/>
        <w:rPr>
          <w:rFonts w:ascii="仿宋" w:hAnsi="仿宋" w:cs="宋体"/>
          <w:color w:val="auto"/>
          <w:spacing w:val="6"/>
          <w:highlight w:val="none"/>
        </w:rPr>
      </w:pPr>
      <w:r>
        <w:rPr>
          <w:rFonts w:hint="eastAsia" w:ascii="仿宋" w:hAnsi="仿宋" w:cs="宋体"/>
          <w:color w:val="auto"/>
          <w:spacing w:val="6"/>
          <w:highlight w:val="none"/>
        </w:rPr>
        <w:t>本单位郑重声明，根据《财政部 民政部 中国残疾人联合会关于促进残疾人就业政府采购政策的通知》（财库</w:t>
      </w:r>
      <w:r>
        <w:rPr>
          <w:rFonts w:hint="eastAsia" w:ascii="仿宋" w:hAnsi="仿宋" w:cs="宋体"/>
          <w:color w:val="auto"/>
          <w:highlight w:val="none"/>
        </w:rPr>
        <w:t>〔2017〕 141</w:t>
      </w:r>
      <w:r>
        <w:rPr>
          <w:rFonts w:hint="eastAsia" w:ascii="仿宋" w:hAnsi="仿宋" w:cs="宋体"/>
          <w:color w:val="auto"/>
          <w:spacing w:val="6"/>
          <w:highlight w:val="none"/>
        </w:rPr>
        <w:t>号）的规定，本单位为符合条件的残疾人福利性单位，且本单位参加</w:t>
      </w:r>
      <w:r>
        <w:rPr>
          <w:rFonts w:hint="eastAsia" w:ascii="仿宋" w:hAnsi="仿宋"/>
          <w:color w:val="auto"/>
          <w:highlight w:val="none"/>
          <w:u w:val="single"/>
        </w:rPr>
        <w:t>XXXX</w:t>
      </w:r>
      <w:r>
        <w:rPr>
          <w:rFonts w:hint="eastAsia" w:ascii="仿宋" w:hAnsi="仿宋" w:cs="宋体"/>
          <w:color w:val="auto"/>
          <w:spacing w:val="6"/>
          <w:highlight w:val="none"/>
        </w:rPr>
        <w:t>单位的</w:t>
      </w:r>
      <w:r>
        <w:rPr>
          <w:rFonts w:hint="eastAsia" w:ascii="仿宋" w:hAnsi="仿宋"/>
          <w:color w:val="auto"/>
          <w:highlight w:val="none"/>
          <w:u w:val="single"/>
        </w:rPr>
        <w:t>XXXX</w:t>
      </w:r>
      <w:r>
        <w:rPr>
          <w:rFonts w:hint="eastAsia" w:ascii="仿宋" w:hAnsi="仿宋" w:cs="宋体"/>
          <w:color w:val="auto"/>
          <w:spacing w:val="6"/>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cs="宋体"/>
          <w:color w:val="auto"/>
          <w:spacing w:val="6"/>
          <w:highlight w:val="none"/>
        </w:rPr>
      </w:pPr>
      <w:r>
        <w:rPr>
          <w:rFonts w:hint="eastAsia" w:ascii="仿宋" w:hAnsi="仿宋" w:cs="宋体"/>
          <w:color w:val="auto"/>
          <w:spacing w:val="6"/>
          <w:highlight w:val="none"/>
        </w:rPr>
        <w:t>本单位对上述声明的真实性负责。如有虚假，将依法承担相应责任。</w:t>
      </w:r>
    </w:p>
    <w:p>
      <w:pPr>
        <w:spacing w:line="588" w:lineRule="exact"/>
        <w:rPr>
          <w:rFonts w:ascii="仿宋" w:hAnsi="仿宋" w:cs="宋体"/>
          <w:color w:val="auto"/>
          <w:spacing w:val="6"/>
          <w:highlight w:val="none"/>
        </w:rPr>
      </w:pPr>
    </w:p>
    <w:p>
      <w:pPr>
        <w:spacing w:line="588" w:lineRule="exact"/>
        <w:rPr>
          <w:rFonts w:ascii="仿宋" w:hAnsi="仿宋" w:cs="宋体"/>
          <w:color w:val="auto"/>
          <w:spacing w:val="6"/>
          <w:highlight w:val="none"/>
        </w:rPr>
      </w:pPr>
    </w:p>
    <w:p>
      <w:pPr>
        <w:tabs>
          <w:tab w:val="left" w:pos="4860"/>
        </w:tabs>
        <w:spacing w:line="588" w:lineRule="exact"/>
        <w:ind w:right="1560"/>
        <w:rPr>
          <w:rFonts w:ascii="仿宋" w:hAnsi="仿宋" w:cs="宋体"/>
          <w:color w:val="auto"/>
          <w:spacing w:val="6"/>
          <w:highlight w:val="none"/>
        </w:rPr>
      </w:pPr>
      <w:r>
        <w:rPr>
          <w:rFonts w:hint="eastAsia" w:ascii="仿宋" w:hAnsi="仿宋" w:cs="宋体"/>
          <w:color w:val="auto"/>
          <w:spacing w:val="6"/>
          <w:highlight w:val="none"/>
        </w:rPr>
        <w:t>单位名称（盖章）：</w:t>
      </w:r>
    </w:p>
    <w:p>
      <w:pPr>
        <w:rPr>
          <w:rFonts w:ascii="仿宋" w:hAnsi="仿宋" w:cs="宋体"/>
          <w:color w:val="auto"/>
          <w:spacing w:val="6"/>
          <w:highlight w:val="none"/>
        </w:rPr>
      </w:pPr>
      <w:r>
        <w:rPr>
          <w:rFonts w:hint="eastAsia" w:ascii="仿宋" w:hAnsi="仿宋" w:cs="宋体"/>
          <w:color w:val="auto"/>
          <w:spacing w:val="6"/>
          <w:highlight w:val="none"/>
        </w:rPr>
        <w:t>日  期：</w:t>
      </w:r>
    </w:p>
    <w:p>
      <w:pPr>
        <w:rPr>
          <w:rFonts w:ascii="仿宋" w:hAnsi="仿宋" w:cs="宋体"/>
          <w:color w:val="auto"/>
          <w:highlight w:val="none"/>
        </w:rPr>
      </w:pPr>
    </w:p>
    <w:p>
      <w:pPr>
        <w:rPr>
          <w:rFonts w:ascii="仿宋" w:hAnsi="仿宋" w:cs="宋体"/>
          <w:color w:val="auto"/>
          <w:highlight w:val="none"/>
        </w:rPr>
      </w:pPr>
      <w:r>
        <w:rPr>
          <w:rFonts w:hint="eastAsia" w:ascii="仿宋" w:hAnsi="仿宋" w:cs="宋体"/>
          <w:color w:val="auto"/>
          <w:highlight w:val="none"/>
        </w:rPr>
        <w:t>注：</w:t>
      </w:r>
    </w:p>
    <w:p>
      <w:pPr>
        <w:numPr>
          <w:ilvl w:val="0"/>
          <w:numId w:val="2"/>
        </w:numPr>
        <w:spacing w:after="160"/>
        <w:jc w:val="both"/>
        <w:rPr>
          <w:rFonts w:ascii="仿宋" w:hAnsi="仿宋" w:cs="宋体"/>
          <w:color w:val="auto"/>
          <w:highlight w:val="none"/>
        </w:rPr>
      </w:pPr>
      <w:r>
        <w:rPr>
          <w:rFonts w:hint="eastAsia" w:ascii="仿宋" w:hAnsi="仿宋" w:cs="宋体"/>
          <w:color w:val="auto"/>
          <w:highlight w:val="none"/>
        </w:rPr>
        <w:t>残疾人福利性单位视同小型、微型企业，享受预留份额、评审中价格扣除等促进中</w:t>
      </w:r>
      <w:r>
        <w:rPr>
          <w:rFonts w:hint="eastAsia" w:ascii="仿宋" w:hAnsi="仿宋"/>
          <w:color w:val="auto"/>
          <w:spacing w:val="-6"/>
          <w:highlight w:val="none"/>
        </w:rPr>
        <w:t>小企业发展的政府采购政策。残疾人福利性单位属于小型、微型企业的，不重复享受政策。</w:t>
      </w:r>
    </w:p>
    <w:p>
      <w:pPr>
        <w:numPr>
          <w:ilvl w:val="255"/>
          <w:numId w:val="0"/>
        </w:numPr>
        <w:spacing w:after="160"/>
        <w:jc w:val="both"/>
        <w:rPr>
          <w:rFonts w:ascii="仿宋" w:hAnsi="仿宋" w:cs="宋体"/>
          <w:color w:val="auto"/>
          <w:highlight w:val="none"/>
        </w:rPr>
      </w:pPr>
      <w:r>
        <w:rPr>
          <w:rFonts w:hint="eastAsia" w:ascii="仿宋" w:hAnsi="仿宋" w:cs="宋体"/>
          <w:color w:val="auto"/>
          <w:highlight w:val="none"/>
        </w:rPr>
        <w:t>2、投标人为非残疾人福利性单位的，可不提供此声明。</w:t>
      </w:r>
    </w:p>
    <w:p>
      <w:pPr>
        <w:numPr>
          <w:ilvl w:val="255"/>
          <w:numId w:val="0"/>
        </w:numPr>
        <w:rPr>
          <w:rFonts w:ascii="仿宋" w:hAnsi="仿宋" w:cs="宋体"/>
          <w:color w:val="auto"/>
          <w:highlight w:val="none"/>
        </w:rPr>
      </w:pPr>
      <w:r>
        <w:rPr>
          <w:rFonts w:hint="eastAsia" w:ascii="仿宋" w:hAnsi="仿宋" w:cs="宋体"/>
          <w:color w:val="auto"/>
          <w:highlight w:val="none"/>
        </w:rPr>
        <w:br w:type="page"/>
      </w:r>
    </w:p>
    <w:p>
      <w:pPr>
        <w:pStyle w:val="5"/>
        <w:spacing w:before="0" w:after="0"/>
        <w:rPr>
          <w:rFonts w:ascii="仿宋" w:hAnsi="仿宋" w:cs="仿宋"/>
          <w:color w:val="auto"/>
          <w:highlight w:val="none"/>
        </w:rPr>
      </w:pPr>
      <w:r>
        <w:rPr>
          <w:rFonts w:hint="eastAsia" w:ascii="仿宋" w:hAnsi="仿宋" w:cs="仿宋"/>
          <w:color w:val="auto"/>
          <w:highlight w:val="none"/>
        </w:rPr>
        <w:t>格式2-13监狱企业</w:t>
      </w:r>
    </w:p>
    <w:p>
      <w:pPr>
        <w:widowControl/>
        <w:spacing w:line="360" w:lineRule="atLeast"/>
        <w:jc w:val="center"/>
        <w:rPr>
          <w:rFonts w:ascii="仿宋" w:hAnsi="仿宋" w:cs="仿宋"/>
          <w:b/>
          <w:bCs/>
          <w:color w:val="auto"/>
          <w:sz w:val="32"/>
          <w:szCs w:val="32"/>
          <w:highlight w:val="none"/>
        </w:rPr>
      </w:pPr>
      <w:r>
        <w:rPr>
          <w:rFonts w:hint="eastAsia" w:ascii="仿宋" w:hAnsi="仿宋" w:cs="仿宋"/>
          <w:b/>
          <w:bCs/>
          <w:color w:val="auto"/>
          <w:sz w:val="32"/>
          <w:szCs w:val="32"/>
          <w:highlight w:val="none"/>
        </w:rPr>
        <w:t>监狱企业</w:t>
      </w:r>
    </w:p>
    <w:p>
      <w:pPr>
        <w:ind w:firstLine="480" w:firstLineChars="200"/>
        <w:rPr>
          <w:rFonts w:ascii="仿宋" w:hAnsi="仿宋"/>
          <w:color w:val="auto"/>
          <w:highlight w:val="none"/>
        </w:rPr>
      </w:pPr>
    </w:p>
    <w:p>
      <w:pPr>
        <w:ind w:firstLine="480" w:firstLineChars="200"/>
        <w:rPr>
          <w:rFonts w:ascii="仿宋" w:hAnsi="仿宋"/>
          <w:color w:val="auto"/>
          <w:highlight w:val="none"/>
        </w:rPr>
      </w:pPr>
      <w:r>
        <w:rPr>
          <w:rFonts w:hint="eastAsia" w:ascii="仿宋" w:hAnsi="仿宋"/>
          <w:color w:val="auto"/>
          <w:highlight w:val="none"/>
        </w:rPr>
        <w:t>根据</w:t>
      </w:r>
      <w:r>
        <w:rPr>
          <w:rFonts w:hint="eastAsia" w:ascii="仿宋" w:hAnsi="仿宋" w:cs="仿宋"/>
          <w:color w:val="auto"/>
          <w:highlight w:val="none"/>
        </w:rPr>
        <w:t>《政府采购支持监狱企业发展有关问题的通知》</w:t>
      </w:r>
      <w:r>
        <w:rPr>
          <w:rFonts w:hint="eastAsia" w:ascii="仿宋" w:hAnsi="仿宋"/>
          <w:color w:val="auto"/>
          <w:highlight w:val="none"/>
        </w:rPr>
        <w:t>（财库〔</w:t>
      </w:r>
      <w:r>
        <w:rPr>
          <w:rFonts w:ascii="仿宋" w:hAnsi="仿宋"/>
          <w:color w:val="auto"/>
          <w:highlight w:val="none"/>
        </w:rPr>
        <w:t>2014〕68号）的规定</w:t>
      </w:r>
      <w:r>
        <w:rPr>
          <w:rFonts w:hint="eastAsia" w:ascii="仿宋" w:hAnsi="仿宋"/>
          <w:color w:val="auto"/>
          <w:highlight w:val="none"/>
        </w:rPr>
        <w:t>监狱企业参加采购活动的，应</w:t>
      </w:r>
      <w:r>
        <w:rPr>
          <w:rFonts w:hint="eastAsia" w:ascii="仿宋" w:hAnsi="仿宋" w:cs="宋体"/>
          <w:color w:val="auto"/>
          <w:highlight w:val="none"/>
        </w:rPr>
        <w:t>提供由省级以上监狱管理局、戒毒管理局</w:t>
      </w:r>
      <w:r>
        <w:rPr>
          <w:rFonts w:ascii="仿宋" w:hAnsi="仿宋" w:cs="宋体"/>
          <w:color w:val="auto"/>
          <w:highlight w:val="none"/>
        </w:rPr>
        <w:t>(含新疆生产建设兵团)出具的属于监狱企业的证明文件。</w:t>
      </w:r>
    </w:p>
    <w:p>
      <w:pPr>
        <w:rPr>
          <w:rFonts w:ascii="仿宋" w:hAnsi="仿宋" w:cs="宋体"/>
          <w:color w:val="auto"/>
          <w:highlight w:val="none"/>
        </w:rPr>
      </w:pPr>
    </w:p>
    <w:p>
      <w:pPr>
        <w:rPr>
          <w:rFonts w:ascii="仿宋" w:hAnsi="仿宋" w:cs="宋体"/>
          <w:color w:val="auto"/>
          <w:highlight w:val="none"/>
        </w:rPr>
      </w:pPr>
      <w:r>
        <w:rPr>
          <w:rFonts w:hint="eastAsia" w:ascii="仿宋" w:hAnsi="仿宋" w:cs="宋体"/>
          <w:color w:val="auto"/>
          <w:highlight w:val="none"/>
        </w:rPr>
        <w:t>注：</w:t>
      </w:r>
    </w:p>
    <w:p>
      <w:pPr>
        <w:rPr>
          <w:rFonts w:ascii="仿宋" w:hAnsi="仿宋" w:cs="宋体"/>
          <w:color w:val="auto"/>
          <w:highlight w:val="none"/>
        </w:rPr>
      </w:pPr>
      <w:r>
        <w:rPr>
          <w:rFonts w:ascii="仿宋" w:hAnsi="仿宋" w:cs="宋体"/>
          <w:color w:val="auto"/>
          <w:highlight w:val="none"/>
        </w:rPr>
        <w:t>1、投标人符合《政府采购支持监狱企业发展有关问题的通知》（财库〔2014〕68号）规定的划分标准为监狱企业</w:t>
      </w:r>
      <w:r>
        <w:rPr>
          <w:rFonts w:hint="eastAsia" w:ascii="仿宋" w:hAnsi="仿宋" w:cs="宋体"/>
          <w:color w:val="auto"/>
          <w:highlight w:val="none"/>
        </w:rPr>
        <w:t>的</w:t>
      </w:r>
      <w:r>
        <w:rPr>
          <w:rFonts w:ascii="仿宋" w:hAnsi="仿宋" w:cs="宋体"/>
          <w:color w:val="auto"/>
          <w:highlight w:val="none"/>
        </w:rPr>
        <w:t>适用。</w:t>
      </w:r>
    </w:p>
    <w:p>
      <w:pPr>
        <w:spacing w:line="300" w:lineRule="exact"/>
        <w:rPr>
          <w:rFonts w:ascii="仿宋" w:hAnsi="仿宋" w:cs="宋体"/>
          <w:color w:val="auto"/>
          <w:highlight w:val="none"/>
        </w:rPr>
      </w:pPr>
      <w:r>
        <w:rPr>
          <w:rFonts w:ascii="仿宋" w:hAnsi="仿宋" w:cs="宋体"/>
          <w:color w:val="auto"/>
          <w:highlight w:val="none"/>
        </w:rPr>
        <w:t>2、在政府采购活动中，监狱企业视同小型、微型企业，享受预留份额、评审中</w:t>
      </w:r>
      <w:r>
        <w:rPr>
          <w:rFonts w:hint="eastAsia" w:ascii="仿宋" w:hAnsi="仿宋" w:cs="宋体"/>
          <w:color w:val="auto"/>
          <w:highlight w:val="none"/>
        </w:rPr>
        <w:t>价格扣除等政府采购促进中小企业发展的政府采购政策。</w:t>
      </w:r>
    </w:p>
    <w:p>
      <w:pPr>
        <w:pStyle w:val="18"/>
        <w:ind w:left="480"/>
        <w:rPr>
          <w:color w:val="auto"/>
          <w:highlight w:val="none"/>
        </w:rPr>
      </w:pPr>
    </w:p>
    <w:p>
      <w:pPr>
        <w:spacing w:line="300" w:lineRule="exact"/>
        <w:rPr>
          <w:rFonts w:ascii="仿宋" w:hAnsi="仿宋" w:cs="宋体"/>
          <w:color w:val="auto"/>
          <w:highlight w:val="none"/>
        </w:rPr>
        <w:sectPr>
          <w:footerReference r:id="rId12" w:type="default"/>
          <w:pgSz w:w="11905" w:h="16838"/>
          <w:pgMar w:top="1417" w:right="1417" w:bottom="1417" w:left="1417" w:header="425" w:footer="992" w:gutter="0"/>
          <w:cols w:space="0" w:num="1"/>
          <w:docGrid w:type="lines" w:linePitch="332" w:charSpace="0"/>
        </w:sectPr>
      </w:pPr>
    </w:p>
    <w:p>
      <w:pPr>
        <w:pStyle w:val="3"/>
        <w:spacing w:line="240" w:lineRule="auto"/>
        <w:rPr>
          <w:rFonts w:ascii="仿宋" w:hAnsi="仿宋"/>
          <w:color w:val="auto"/>
          <w:sz w:val="36"/>
          <w:szCs w:val="36"/>
          <w:highlight w:val="none"/>
        </w:rPr>
      </w:pPr>
      <w:bookmarkStart w:id="149" w:name="_Toc151"/>
      <w:r>
        <w:rPr>
          <w:rFonts w:hint="eastAsia" w:ascii="仿宋" w:hAnsi="仿宋"/>
          <w:color w:val="auto"/>
          <w:sz w:val="36"/>
          <w:szCs w:val="36"/>
          <w:highlight w:val="none"/>
        </w:rPr>
        <w:t>第四章  投标人和投标产品的资格、资质性及其他类似效力要求</w:t>
      </w:r>
      <w:bookmarkEnd w:id="146"/>
      <w:bookmarkEnd w:id="149"/>
    </w:p>
    <w:p>
      <w:pPr>
        <w:pStyle w:val="4"/>
        <w:spacing w:line="360" w:lineRule="exact"/>
        <w:rPr>
          <w:rFonts w:ascii="仿宋" w:hAnsi="仿宋"/>
          <w:color w:val="auto"/>
          <w:sz w:val="24"/>
          <w:szCs w:val="24"/>
          <w:highlight w:val="none"/>
        </w:rPr>
      </w:pPr>
      <w:r>
        <w:rPr>
          <w:rFonts w:hint="eastAsia" w:ascii="仿宋" w:hAnsi="仿宋"/>
          <w:color w:val="auto"/>
          <w:sz w:val="24"/>
          <w:szCs w:val="24"/>
          <w:highlight w:val="none"/>
        </w:rPr>
        <w:t>一、投标人资格、资质性及其他类似效力要求</w:t>
      </w:r>
    </w:p>
    <w:p>
      <w:pPr>
        <w:pStyle w:val="81"/>
        <w:spacing w:line="420" w:lineRule="exact"/>
        <w:ind w:firstLine="0" w:firstLineChars="0"/>
        <w:rPr>
          <w:rFonts w:ascii="仿宋" w:hAnsi="仿宋" w:eastAsia="仿宋"/>
          <w:b/>
          <w:bCs/>
          <w:color w:val="auto"/>
          <w:sz w:val="24"/>
          <w:highlight w:val="none"/>
        </w:rPr>
      </w:pPr>
      <w:r>
        <w:rPr>
          <w:rFonts w:ascii="仿宋" w:hAnsi="仿宋" w:eastAsia="仿宋"/>
          <w:b/>
          <w:bCs/>
          <w:color w:val="auto"/>
          <w:sz w:val="24"/>
          <w:highlight w:val="none"/>
        </w:rPr>
        <w:t>（一）</w:t>
      </w:r>
      <w:r>
        <w:rPr>
          <w:rFonts w:hint="eastAsia" w:ascii="仿宋" w:hAnsi="仿宋" w:eastAsia="仿宋"/>
          <w:b/>
          <w:bCs/>
          <w:color w:val="auto"/>
          <w:sz w:val="24"/>
          <w:highlight w:val="none"/>
        </w:rPr>
        <w:t>资格要求：详见第五章资格性审查要求。</w:t>
      </w:r>
    </w:p>
    <w:p>
      <w:pPr>
        <w:pStyle w:val="81"/>
        <w:spacing w:line="420" w:lineRule="exact"/>
        <w:ind w:firstLine="0" w:firstLineChars="0"/>
        <w:rPr>
          <w:rFonts w:ascii="仿宋" w:hAnsi="仿宋" w:eastAsia="仿宋"/>
          <w:b/>
          <w:bCs/>
          <w:color w:val="auto"/>
          <w:sz w:val="24"/>
          <w:highlight w:val="none"/>
        </w:rPr>
      </w:pPr>
      <w:r>
        <w:rPr>
          <w:rFonts w:hint="eastAsia" w:ascii="仿宋" w:hAnsi="仿宋" w:eastAsia="仿宋"/>
          <w:b/>
          <w:bCs/>
          <w:color w:val="auto"/>
          <w:sz w:val="24"/>
          <w:highlight w:val="none"/>
        </w:rPr>
        <w:t>（二）资质性要求：详见第五章资格性审查要求。</w:t>
      </w:r>
    </w:p>
    <w:p>
      <w:pPr>
        <w:pStyle w:val="81"/>
        <w:spacing w:line="420" w:lineRule="exact"/>
        <w:ind w:firstLine="0" w:firstLineChars="0"/>
        <w:rPr>
          <w:rFonts w:ascii="仿宋" w:hAnsi="仿宋" w:eastAsia="仿宋"/>
          <w:b/>
          <w:bCs/>
          <w:color w:val="auto"/>
          <w:sz w:val="24"/>
          <w:highlight w:val="none"/>
        </w:rPr>
      </w:pPr>
      <w:r>
        <w:rPr>
          <w:rFonts w:hint="eastAsia" w:ascii="仿宋" w:hAnsi="仿宋" w:eastAsia="仿宋"/>
          <w:b/>
          <w:bCs/>
          <w:color w:val="auto"/>
          <w:sz w:val="24"/>
          <w:highlight w:val="none"/>
        </w:rPr>
        <w:t>（三）其他类似效力要求：详见第五章资格性审查要求。</w:t>
      </w:r>
    </w:p>
    <w:p>
      <w:pPr>
        <w:pStyle w:val="4"/>
        <w:spacing w:line="360" w:lineRule="exact"/>
        <w:rPr>
          <w:rFonts w:ascii="仿宋" w:hAnsi="仿宋"/>
          <w:color w:val="auto"/>
          <w:sz w:val="24"/>
          <w:szCs w:val="24"/>
          <w:highlight w:val="none"/>
        </w:rPr>
      </w:pPr>
      <w:r>
        <w:rPr>
          <w:rFonts w:hint="eastAsia" w:ascii="仿宋" w:hAnsi="仿宋"/>
          <w:b w:val="0"/>
          <w:bCs w:val="0"/>
          <w:color w:val="auto"/>
          <w:sz w:val="24"/>
          <w:szCs w:val="24"/>
          <w:highlight w:val="none"/>
        </w:rPr>
        <w:t>二、</w:t>
      </w:r>
      <w:r>
        <w:rPr>
          <w:rFonts w:hint="eastAsia" w:ascii="仿宋" w:hAnsi="仿宋"/>
          <w:color w:val="auto"/>
          <w:sz w:val="24"/>
          <w:szCs w:val="24"/>
          <w:highlight w:val="none"/>
        </w:rPr>
        <w:t>投标产品的资格、资质性及其他具有类似效力的要求</w:t>
      </w:r>
    </w:p>
    <w:p>
      <w:pPr>
        <w:rPr>
          <w:rFonts w:ascii="仿宋" w:hAnsi="仿宋"/>
          <w:b/>
          <w:bCs/>
          <w:color w:val="auto"/>
          <w:highlight w:val="none"/>
        </w:rPr>
      </w:pPr>
      <w:r>
        <w:rPr>
          <w:rFonts w:hint="eastAsia" w:ascii="仿宋" w:hAnsi="仿宋"/>
          <w:b/>
          <w:bCs/>
          <w:color w:val="auto"/>
          <w:highlight w:val="none"/>
        </w:rPr>
        <w:t>（一）资格要求：详见第五章资格性审查要求。</w:t>
      </w:r>
    </w:p>
    <w:p>
      <w:pPr>
        <w:rPr>
          <w:rFonts w:ascii="仿宋" w:hAnsi="仿宋"/>
          <w:b/>
          <w:bCs/>
          <w:color w:val="auto"/>
          <w:highlight w:val="none"/>
        </w:rPr>
      </w:pPr>
      <w:r>
        <w:rPr>
          <w:rFonts w:hint="eastAsia" w:ascii="仿宋" w:hAnsi="仿宋"/>
          <w:b/>
          <w:bCs/>
          <w:color w:val="auto"/>
          <w:highlight w:val="none"/>
        </w:rPr>
        <w:t>（二）资质性要求：详见第五章资格性审查要求。</w:t>
      </w:r>
    </w:p>
    <w:p>
      <w:pPr>
        <w:rPr>
          <w:rFonts w:ascii="仿宋" w:hAnsi="仿宋"/>
          <w:b/>
          <w:bCs/>
          <w:color w:val="auto"/>
          <w:highlight w:val="none"/>
        </w:rPr>
      </w:pPr>
      <w:r>
        <w:rPr>
          <w:rFonts w:hint="eastAsia" w:ascii="仿宋" w:hAnsi="仿宋"/>
          <w:b/>
          <w:bCs/>
          <w:color w:val="auto"/>
          <w:highlight w:val="none"/>
        </w:rPr>
        <w:t>（三）其他类似效力要求：详见第五章资格性审查要求。</w:t>
      </w:r>
    </w:p>
    <w:p>
      <w:pPr>
        <w:pStyle w:val="3"/>
        <w:spacing w:line="240" w:lineRule="auto"/>
        <w:rPr>
          <w:rFonts w:ascii="仿宋" w:hAnsi="仿宋"/>
          <w:color w:val="auto"/>
          <w:sz w:val="36"/>
          <w:szCs w:val="36"/>
          <w:highlight w:val="none"/>
        </w:rPr>
      </w:pPr>
      <w:bookmarkStart w:id="150" w:name="_Toc1588"/>
      <w:r>
        <w:rPr>
          <w:rFonts w:hint="eastAsia" w:ascii="仿宋" w:hAnsi="仿宋"/>
          <w:color w:val="auto"/>
          <w:sz w:val="36"/>
          <w:szCs w:val="36"/>
          <w:highlight w:val="none"/>
        </w:rPr>
        <w:br w:type="page"/>
      </w:r>
      <w:bookmarkStart w:id="151" w:name="_Toc20211"/>
      <w:r>
        <w:rPr>
          <w:rFonts w:hint="eastAsia" w:ascii="仿宋" w:hAnsi="仿宋"/>
          <w:color w:val="auto"/>
          <w:sz w:val="36"/>
          <w:szCs w:val="36"/>
          <w:highlight w:val="none"/>
        </w:rPr>
        <w:t xml:space="preserve">第五章  </w:t>
      </w:r>
      <w:bookmarkEnd w:id="150"/>
      <w:r>
        <w:rPr>
          <w:rFonts w:hint="eastAsia" w:ascii="仿宋" w:hAnsi="仿宋"/>
          <w:color w:val="auto"/>
          <w:sz w:val="36"/>
          <w:szCs w:val="36"/>
          <w:highlight w:val="none"/>
        </w:rPr>
        <w:t>资格性审查要求</w:t>
      </w:r>
      <w:bookmarkEnd w:id="151"/>
    </w:p>
    <w:p>
      <w:pPr>
        <w:rPr>
          <w:rFonts w:ascii="仿宋" w:hAnsi="仿宋"/>
          <w:b/>
          <w:bCs/>
          <w:color w:val="auto"/>
          <w:sz w:val="28"/>
          <w:szCs w:val="28"/>
          <w:highlight w:val="none"/>
        </w:rPr>
      </w:pPr>
      <w:r>
        <w:rPr>
          <w:rFonts w:hint="eastAsia" w:ascii="仿宋" w:hAnsi="仿宋"/>
          <w:b/>
          <w:bCs/>
          <w:color w:val="auto"/>
          <w:sz w:val="28"/>
          <w:szCs w:val="28"/>
          <w:highlight w:val="none"/>
        </w:rPr>
        <w:t>采购人或者采购代理机构应当依法对投标人的资格进行审查，资格审查内容详见下表。</w:t>
      </w:r>
    </w:p>
    <w:tbl>
      <w:tblPr>
        <w:tblStyle w:val="33"/>
        <w:tblW w:w="494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238"/>
        <w:gridCol w:w="459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vAlign w:val="center"/>
          </w:tcPr>
          <w:p>
            <w:pPr>
              <w:spacing w:line="240" w:lineRule="auto"/>
              <w:jc w:val="center"/>
              <w:rPr>
                <w:rFonts w:ascii="仿宋" w:hAnsi="仿宋" w:cs="仿宋"/>
                <w:b/>
                <w:color w:val="auto"/>
                <w:sz w:val="21"/>
                <w:szCs w:val="21"/>
                <w:highlight w:val="none"/>
              </w:rPr>
            </w:pPr>
            <w:r>
              <w:rPr>
                <w:rFonts w:hint="eastAsia" w:ascii="仿宋" w:hAnsi="仿宋" w:cs="仿宋"/>
                <w:b/>
                <w:color w:val="auto"/>
                <w:sz w:val="21"/>
                <w:szCs w:val="21"/>
                <w:highlight w:val="none"/>
              </w:rPr>
              <w:t>资格性审查表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tabs>
                <w:tab w:val="left" w:pos="851"/>
              </w:tabs>
              <w:spacing w:line="240" w:lineRule="auto"/>
              <w:jc w:val="center"/>
              <w:rPr>
                <w:rFonts w:ascii="仿宋" w:hAnsi="仿宋" w:cs="仿宋"/>
                <w:b/>
                <w:color w:val="auto"/>
                <w:sz w:val="21"/>
                <w:szCs w:val="21"/>
                <w:highlight w:val="none"/>
              </w:rPr>
            </w:pPr>
            <w:r>
              <w:rPr>
                <w:rFonts w:hint="eastAsia" w:ascii="仿宋" w:hAnsi="仿宋" w:cs="仿宋"/>
                <w:b/>
                <w:color w:val="auto"/>
                <w:sz w:val="21"/>
                <w:szCs w:val="21"/>
                <w:highlight w:val="none"/>
              </w:rPr>
              <w:t>序号</w:t>
            </w:r>
          </w:p>
        </w:tc>
        <w:tc>
          <w:tcPr>
            <w:tcW w:w="1219" w:type="pct"/>
            <w:vAlign w:val="center"/>
          </w:tcPr>
          <w:p>
            <w:pPr>
              <w:tabs>
                <w:tab w:val="left" w:pos="851"/>
              </w:tabs>
              <w:spacing w:line="240" w:lineRule="auto"/>
              <w:jc w:val="center"/>
              <w:rPr>
                <w:rFonts w:ascii="仿宋" w:hAnsi="仿宋" w:cs="仿宋"/>
                <w:b/>
                <w:color w:val="auto"/>
                <w:sz w:val="21"/>
                <w:szCs w:val="21"/>
                <w:highlight w:val="none"/>
              </w:rPr>
            </w:pPr>
            <w:r>
              <w:rPr>
                <w:rFonts w:hint="eastAsia" w:ascii="仿宋" w:hAnsi="仿宋" w:cs="仿宋"/>
                <w:b/>
                <w:color w:val="auto"/>
                <w:sz w:val="21"/>
                <w:szCs w:val="21"/>
                <w:highlight w:val="none"/>
              </w:rPr>
              <w:t>第四章 投标人和投标产品的资格、资质性及其他类似效力要求</w:t>
            </w:r>
          </w:p>
        </w:tc>
        <w:tc>
          <w:tcPr>
            <w:tcW w:w="2500" w:type="pct"/>
            <w:vAlign w:val="center"/>
          </w:tcPr>
          <w:p>
            <w:pPr>
              <w:tabs>
                <w:tab w:val="left" w:pos="851"/>
              </w:tabs>
              <w:spacing w:line="240" w:lineRule="auto"/>
              <w:jc w:val="center"/>
              <w:rPr>
                <w:rFonts w:ascii="仿宋" w:hAnsi="仿宋" w:cs="仿宋"/>
                <w:b/>
                <w:color w:val="auto"/>
                <w:sz w:val="21"/>
                <w:szCs w:val="21"/>
                <w:highlight w:val="none"/>
              </w:rPr>
            </w:pPr>
            <w:r>
              <w:rPr>
                <w:rFonts w:hint="eastAsia" w:ascii="仿宋" w:hAnsi="仿宋" w:cs="仿宋"/>
                <w:b/>
                <w:color w:val="auto"/>
                <w:sz w:val="21"/>
                <w:szCs w:val="21"/>
                <w:highlight w:val="none"/>
              </w:rPr>
              <w:t>资格审查要求的证明材料</w:t>
            </w:r>
          </w:p>
        </w:tc>
        <w:tc>
          <w:tcPr>
            <w:tcW w:w="801" w:type="pct"/>
            <w:vAlign w:val="center"/>
          </w:tcPr>
          <w:p>
            <w:pPr>
              <w:spacing w:line="240" w:lineRule="auto"/>
              <w:jc w:val="center"/>
              <w:rPr>
                <w:rFonts w:ascii="仿宋" w:hAnsi="仿宋" w:cs="仿宋"/>
                <w:b/>
                <w:color w:val="auto"/>
                <w:sz w:val="21"/>
                <w:szCs w:val="21"/>
                <w:highlight w:val="none"/>
              </w:rPr>
            </w:pPr>
            <w:r>
              <w:rPr>
                <w:rFonts w:hint="eastAsia" w:ascii="仿宋" w:hAnsi="仿宋"/>
                <w:b/>
                <w:color w:val="auto"/>
                <w:sz w:val="21"/>
                <w:szCs w:val="21"/>
                <w:highlight w:val="none"/>
              </w:rPr>
              <w:t>提示说明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1</w:t>
            </w:r>
          </w:p>
        </w:tc>
        <w:tc>
          <w:tcPr>
            <w:tcW w:w="1219" w:type="pct"/>
            <w:vAlign w:val="center"/>
          </w:tcPr>
          <w:p>
            <w:pPr>
              <w:spacing w:line="240" w:lineRule="auto"/>
              <w:jc w:val="both"/>
              <w:rPr>
                <w:rFonts w:ascii="仿宋" w:hAnsi="仿宋" w:cs="仿宋"/>
                <w:bCs/>
                <w:color w:val="auto"/>
                <w:sz w:val="21"/>
                <w:szCs w:val="21"/>
                <w:highlight w:val="none"/>
              </w:rPr>
            </w:pPr>
            <w:r>
              <w:rPr>
                <w:rFonts w:hint="eastAsia" w:ascii="仿宋" w:hAnsi="仿宋" w:cs="仿宋"/>
                <w:bCs/>
                <w:color w:val="auto"/>
                <w:sz w:val="21"/>
                <w:szCs w:val="21"/>
                <w:highlight w:val="none"/>
              </w:rPr>
              <w:t>1.满足《中华人民共和国政府采购法》第二十二条规定；</w:t>
            </w:r>
          </w:p>
        </w:tc>
        <w:tc>
          <w:tcPr>
            <w:tcW w:w="2500" w:type="pct"/>
            <w:vAlign w:val="center"/>
          </w:tcPr>
          <w:p>
            <w:pPr>
              <w:pStyle w:val="81"/>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1.1具有独立承担民事责任的能力。</w:t>
            </w:r>
            <w:r>
              <w:rPr>
                <w:rFonts w:hint="eastAsia" w:ascii="仿宋" w:hAnsi="仿宋" w:eastAsia="仿宋"/>
                <w:color w:val="auto"/>
                <w:szCs w:val="21"/>
                <w:highlight w:val="none"/>
              </w:rPr>
              <w:t>（注：①供应商若为企业法人：提供“统一社会信用代码营业执照”；未换证的提供“营业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材料”。</w:t>
            </w:r>
            <w:r>
              <w:rPr>
                <w:rFonts w:hint="eastAsia" w:ascii="仿宋" w:hAnsi="仿宋" w:eastAsia="仿宋"/>
                <w:b/>
                <w:bCs/>
                <w:color w:val="auto"/>
                <w:szCs w:val="21"/>
                <w:highlight w:val="none"/>
              </w:rPr>
              <w:t>提供以上一种证明材料的复印件</w:t>
            </w:r>
            <w:r>
              <w:rPr>
                <w:rFonts w:hint="eastAsia" w:ascii="仿宋" w:hAnsi="仿宋" w:eastAsia="仿宋"/>
                <w:color w:val="auto"/>
                <w:szCs w:val="21"/>
                <w:highlight w:val="none"/>
              </w:rPr>
              <w:t>）；</w:t>
            </w:r>
          </w:p>
          <w:p>
            <w:pPr>
              <w:pStyle w:val="81"/>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1.2具备良好商业信誉</w:t>
            </w:r>
            <w:r>
              <w:rPr>
                <w:rFonts w:hint="eastAsia" w:ascii="仿宋" w:hAnsi="仿宋" w:eastAsia="仿宋"/>
                <w:color w:val="auto"/>
                <w:szCs w:val="21"/>
                <w:highlight w:val="none"/>
              </w:rPr>
              <w:t>的证明材料（可提供承诺函，格式详见第三章）</w:t>
            </w:r>
          </w:p>
          <w:p>
            <w:pPr>
              <w:pStyle w:val="81"/>
              <w:spacing w:line="240" w:lineRule="auto"/>
              <w:ind w:firstLine="0" w:firstLineChars="0"/>
              <w:rPr>
                <w:rFonts w:ascii="仿宋" w:hAnsi="仿宋" w:eastAsia="仿宋"/>
                <w:color w:val="auto"/>
                <w:szCs w:val="21"/>
                <w:highlight w:val="none"/>
              </w:rPr>
            </w:pPr>
            <w:r>
              <w:rPr>
                <w:rFonts w:hint="eastAsia" w:ascii="仿宋" w:hAnsi="仿宋" w:eastAsia="仿宋"/>
                <w:color w:val="auto"/>
                <w:szCs w:val="21"/>
                <w:highlight w:val="none"/>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81"/>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1.3具备健全的财务会计制度</w:t>
            </w:r>
            <w:r>
              <w:rPr>
                <w:rFonts w:hint="eastAsia" w:ascii="仿宋" w:hAnsi="仿宋" w:eastAsia="仿宋"/>
                <w:color w:val="auto"/>
                <w:szCs w:val="21"/>
                <w:highlight w:val="none"/>
              </w:rPr>
              <w:t>的证明材料；[注：①可提供20</w:t>
            </w:r>
            <w:r>
              <w:rPr>
                <w:rFonts w:ascii="仿宋" w:hAnsi="仿宋" w:eastAsia="仿宋"/>
                <w:color w:val="auto"/>
                <w:szCs w:val="21"/>
                <w:highlight w:val="none"/>
              </w:rPr>
              <w:t>19</w:t>
            </w:r>
            <w:r>
              <w:rPr>
                <w:rFonts w:hint="eastAsia" w:ascii="仿宋" w:hAnsi="仿宋" w:eastAsia="仿宋"/>
                <w:color w:val="auto"/>
                <w:szCs w:val="21"/>
                <w:highlight w:val="none"/>
              </w:rPr>
              <w:t>或20</w:t>
            </w:r>
            <w:r>
              <w:rPr>
                <w:rFonts w:ascii="仿宋" w:hAnsi="仿宋" w:eastAsia="仿宋"/>
                <w:color w:val="auto"/>
                <w:szCs w:val="21"/>
                <w:highlight w:val="none"/>
              </w:rPr>
              <w:t>20</w:t>
            </w:r>
            <w:r>
              <w:rPr>
                <w:rFonts w:hint="eastAsia" w:ascii="仿宋" w:hAnsi="仿宋" w:eastAsia="仿宋"/>
                <w:color w:val="auto"/>
                <w:szCs w:val="21"/>
                <w:highlight w:val="none"/>
              </w:rPr>
              <w:t>年度经审计的财务报告（包含审计报告和审计报告中所涉及的财务报表和报表附注）；②也可提供20</w:t>
            </w:r>
            <w:r>
              <w:rPr>
                <w:rFonts w:ascii="仿宋" w:hAnsi="仿宋" w:eastAsia="仿宋"/>
                <w:color w:val="auto"/>
                <w:szCs w:val="21"/>
                <w:highlight w:val="none"/>
              </w:rPr>
              <w:t>19</w:t>
            </w:r>
            <w:r>
              <w:rPr>
                <w:rFonts w:hint="eastAsia" w:ascii="仿宋" w:hAnsi="仿宋" w:eastAsia="仿宋"/>
                <w:color w:val="auto"/>
                <w:szCs w:val="21"/>
                <w:highlight w:val="none"/>
              </w:rPr>
              <w:t>或20</w:t>
            </w:r>
            <w:r>
              <w:rPr>
                <w:rFonts w:ascii="仿宋" w:hAnsi="仿宋" w:eastAsia="仿宋"/>
                <w:color w:val="auto"/>
                <w:szCs w:val="21"/>
                <w:highlight w:val="none"/>
              </w:rPr>
              <w:t>20</w:t>
            </w:r>
            <w:r>
              <w:rPr>
                <w:rFonts w:hint="eastAsia" w:ascii="仿宋" w:hAnsi="仿宋" w:eastAsia="仿宋"/>
                <w:color w:val="auto"/>
                <w:szCs w:val="21"/>
                <w:highlight w:val="none"/>
              </w:rPr>
              <w:t>年度供应商内部的财务报表（至少包含资产负债表）；③也可提供截至投标文件递交截止日一年内银行出具的资信证明；④供应商注册时间截至投标文件递交截止日不足一年的，也可提供加盖工商备案主管</w:t>
            </w:r>
            <w:r>
              <w:rPr>
                <w:rFonts w:ascii="仿宋" w:hAnsi="仿宋" w:eastAsia="仿宋"/>
                <w:color w:val="auto"/>
                <w:szCs w:val="21"/>
                <w:highlight w:val="none"/>
              </w:rPr>
              <w:t>部门印章</w:t>
            </w:r>
            <w:r>
              <w:rPr>
                <w:rFonts w:hint="eastAsia" w:ascii="仿宋" w:hAnsi="仿宋" w:eastAsia="仿宋"/>
                <w:color w:val="auto"/>
                <w:szCs w:val="21"/>
                <w:highlight w:val="none"/>
              </w:rPr>
              <w:t>的公司章程。</w:t>
            </w:r>
            <w:r>
              <w:rPr>
                <w:rFonts w:hint="eastAsia" w:ascii="仿宋" w:hAnsi="仿宋" w:eastAsia="仿宋"/>
                <w:b/>
                <w:bCs/>
                <w:color w:val="auto"/>
                <w:szCs w:val="21"/>
                <w:highlight w:val="none"/>
              </w:rPr>
              <w:t>提供以上一种证明材料的复印件</w:t>
            </w:r>
            <w:r>
              <w:rPr>
                <w:rFonts w:hint="eastAsia" w:ascii="仿宋" w:hAnsi="仿宋" w:eastAsia="仿宋"/>
                <w:color w:val="auto"/>
                <w:szCs w:val="21"/>
                <w:highlight w:val="none"/>
              </w:rPr>
              <w:t>]</w:t>
            </w:r>
          </w:p>
          <w:p>
            <w:pPr>
              <w:pStyle w:val="81"/>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1.4具有依法缴纳税收和社会保障资金的良好记录</w:t>
            </w:r>
            <w:r>
              <w:rPr>
                <w:rFonts w:hint="eastAsia" w:ascii="仿宋" w:hAnsi="仿宋" w:eastAsia="仿宋"/>
                <w:color w:val="auto"/>
                <w:szCs w:val="21"/>
                <w:highlight w:val="none"/>
              </w:rPr>
              <w:t>（可提供承诺函，格式详见第三章）；</w:t>
            </w:r>
          </w:p>
          <w:p>
            <w:pPr>
              <w:pStyle w:val="81"/>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1.5具备履行合同所必需的设备和专业技术能力</w:t>
            </w:r>
            <w:r>
              <w:rPr>
                <w:rFonts w:hint="eastAsia" w:ascii="仿宋" w:hAnsi="仿宋" w:eastAsia="仿宋"/>
                <w:color w:val="auto"/>
                <w:szCs w:val="21"/>
                <w:highlight w:val="none"/>
              </w:rPr>
              <w:t>的证明材料（可提供承诺函，格式详见第三章）；</w:t>
            </w:r>
          </w:p>
          <w:p>
            <w:pPr>
              <w:pStyle w:val="81"/>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1.6参加政府采购活动前3年内在经营活动中没有重大违法记录</w:t>
            </w:r>
            <w:r>
              <w:rPr>
                <w:rFonts w:hint="eastAsia" w:ascii="仿宋" w:hAnsi="仿宋" w:eastAsia="仿宋"/>
                <w:color w:val="auto"/>
                <w:szCs w:val="21"/>
                <w:highlight w:val="none"/>
              </w:rPr>
              <w:t>的承诺函（格式详见第三章）；</w:t>
            </w:r>
          </w:p>
          <w:p>
            <w:pPr>
              <w:pStyle w:val="81"/>
              <w:spacing w:line="240" w:lineRule="auto"/>
              <w:ind w:firstLine="0" w:firstLineChars="0"/>
              <w:rPr>
                <w:rFonts w:ascii="仿宋" w:hAnsi="仿宋" w:eastAsia="仿宋"/>
                <w:bCs/>
                <w:color w:val="auto"/>
                <w:szCs w:val="21"/>
                <w:highlight w:val="none"/>
              </w:rPr>
            </w:pPr>
            <w:r>
              <w:rPr>
                <w:rFonts w:hint="eastAsia" w:ascii="仿宋" w:hAnsi="仿宋" w:eastAsia="仿宋" w:cs="仿宋"/>
                <w:bCs/>
                <w:color w:val="auto"/>
                <w:szCs w:val="21"/>
                <w:highlight w:val="none"/>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81"/>
              <w:spacing w:line="240" w:lineRule="auto"/>
              <w:ind w:firstLine="0" w:firstLineChars="0"/>
              <w:rPr>
                <w:rFonts w:ascii="仿宋" w:hAnsi="仿宋" w:eastAsia="仿宋"/>
                <w:color w:val="auto"/>
                <w:szCs w:val="21"/>
                <w:highlight w:val="none"/>
              </w:rPr>
            </w:pPr>
            <w:r>
              <w:rPr>
                <w:rFonts w:hint="eastAsia" w:ascii="仿宋" w:hAnsi="仿宋" w:eastAsia="仿宋"/>
                <w:b/>
                <w:bCs/>
                <w:color w:val="auto"/>
                <w:szCs w:val="21"/>
                <w:highlight w:val="none"/>
              </w:rPr>
              <w:t>1.7具备法律、行政法规规定的其他条件</w:t>
            </w:r>
            <w:r>
              <w:rPr>
                <w:rFonts w:hint="eastAsia" w:ascii="仿宋" w:hAnsi="仿宋" w:eastAsia="仿宋"/>
                <w:color w:val="auto"/>
                <w:szCs w:val="21"/>
                <w:highlight w:val="none"/>
              </w:rPr>
              <w:t>的证明材料（可提供承诺函，格式详见第三章）。</w:t>
            </w:r>
          </w:p>
        </w:tc>
        <w:tc>
          <w:tcPr>
            <w:tcW w:w="801" w:type="pct"/>
            <w:vAlign w:val="center"/>
          </w:tcPr>
          <w:p>
            <w:pPr>
              <w:spacing w:line="240" w:lineRule="auto"/>
              <w:rPr>
                <w:rFonts w:ascii="仿宋" w:hAnsi="仿宋" w:cs="仿宋"/>
                <w:bCs/>
                <w:color w:val="auto"/>
                <w:sz w:val="21"/>
                <w:szCs w:val="21"/>
                <w:highlight w:val="none"/>
              </w:rPr>
            </w:pPr>
            <w:r>
              <w:rPr>
                <w:rFonts w:hint="eastAsia" w:ascii="仿宋" w:hAnsi="仿宋" w:cs="仿宋"/>
                <w:bCs/>
                <w:color w:val="auto"/>
                <w:sz w:val="21"/>
                <w:szCs w:val="21"/>
                <w:highlight w:val="none"/>
              </w:rPr>
              <w:t>投标人按照要求上传格式1-1至1-4证明材料。</w:t>
            </w:r>
          </w:p>
          <w:p>
            <w:pPr>
              <w:spacing w:line="240" w:lineRule="auto"/>
              <w:rPr>
                <w:rFonts w:ascii="仿宋" w:hAnsi="仿宋" w:cs="仿宋"/>
                <w:bCs/>
                <w:color w:val="auto"/>
                <w:sz w:val="21"/>
                <w:szCs w:val="21"/>
                <w:highlight w:val="none"/>
              </w:rPr>
            </w:pPr>
            <w:r>
              <w:rPr>
                <w:rFonts w:hint="eastAsia" w:ascii="仿宋" w:hAnsi="仿宋"/>
                <w:color w:val="auto"/>
                <w:sz w:val="21"/>
                <w:szCs w:val="21"/>
                <w:highlight w:val="none"/>
              </w:rPr>
              <w:t>采购人或者采购代理机构</w:t>
            </w:r>
            <w:r>
              <w:rPr>
                <w:rFonts w:hint="eastAsia" w:ascii="仿宋" w:hAnsi="仿宋" w:cs="仿宋"/>
                <w:bCs/>
                <w:color w:val="auto"/>
                <w:sz w:val="21"/>
                <w:szCs w:val="21"/>
                <w:highlight w:val="none"/>
              </w:rPr>
              <w:t>根据上传内容，结合投标文件</w:t>
            </w:r>
            <w:r>
              <w:rPr>
                <w:rFonts w:hint="eastAsia" w:ascii="仿宋" w:hAnsi="仿宋"/>
                <w:color w:val="auto"/>
                <w:sz w:val="21"/>
                <w:szCs w:val="21"/>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2</w:t>
            </w:r>
          </w:p>
        </w:tc>
        <w:tc>
          <w:tcPr>
            <w:tcW w:w="1219" w:type="pct"/>
            <w:vAlign w:val="center"/>
          </w:tcPr>
          <w:p>
            <w:pPr>
              <w:tabs>
                <w:tab w:val="left" w:pos="7665"/>
              </w:tabs>
              <w:spacing w:line="240" w:lineRule="auto"/>
              <w:rPr>
                <w:rFonts w:ascii="仿宋" w:hAnsi="仿宋" w:cs="宋体"/>
                <w:color w:val="auto"/>
                <w:sz w:val="21"/>
                <w:szCs w:val="21"/>
                <w:highlight w:val="none"/>
              </w:rPr>
            </w:pPr>
            <w:r>
              <w:rPr>
                <w:rFonts w:hint="eastAsia" w:ascii="仿宋" w:hAnsi="仿宋" w:cs="宋体"/>
                <w:b/>
                <w:bCs/>
                <w:color w:val="auto"/>
                <w:sz w:val="21"/>
                <w:szCs w:val="21"/>
                <w:highlight w:val="none"/>
              </w:rPr>
              <w:t>2.落实政府采购政策需满足的资格要求：无。</w:t>
            </w:r>
          </w:p>
        </w:tc>
        <w:tc>
          <w:tcPr>
            <w:tcW w:w="2500" w:type="pct"/>
            <w:vAlign w:val="center"/>
          </w:tcPr>
          <w:p>
            <w:pPr>
              <w:pStyle w:val="81"/>
              <w:spacing w:line="240" w:lineRule="auto"/>
              <w:ind w:firstLine="0" w:firstLineChars="0"/>
              <w:rPr>
                <w:rFonts w:eastAsia="仿宋"/>
                <w:color w:val="auto"/>
                <w:szCs w:val="21"/>
                <w:highlight w:val="none"/>
              </w:rPr>
            </w:pPr>
            <w:r>
              <w:rPr>
                <w:rFonts w:hint="eastAsia" w:ascii="仿宋" w:hAnsi="仿宋" w:eastAsia="仿宋" w:cs="宋体"/>
                <w:b/>
                <w:bCs/>
                <w:color w:val="auto"/>
                <w:szCs w:val="21"/>
                <w:highlight w:val="none"/>
              </w:rPr>
              <w:t>2.落实政府采购政策需满足的资格要求：无。</w:t>
            </w:r>
          </w:p>
        </w:tc>
        <w:tc>
          <w:tcPr>
            <w:tcW w:w="801" w:type="pct"/>
            <w:vAlign w:val="center"/>
          </w:tcPr>
          <w:p>
            <w:pPr>
              <w:spacing w:line="240" w:lineRule="auto"/>
              <w:rPr>
                <w:rFonts w:ascii="仿宋" w:hAnsi="仿宋" w:cs="仿宋"/>
                <w:bCs/>
                <w:color w:val="auto"/>
                <w:sz w:val="21"/>
                <w:szCs w:val="21"/>
                <w:highlight w:val="none"/>
              </w:rPr>
            </w:pPr>
            <w:r>
              <w:rPr>
                <w:rFonts w:hint="eastAsia" w:ascii="仿宋" w:hAnsi="仿宋" w:cs="仿宋"/>
                <w:bCs/>
                <w:color w:val="auto"/>
                <w:spacing w:val="-6"/>
                <w:sz w:val="21"/>
                <w:szCs w:val="21"/>
                <w:highlight w:val="none"/>
              </w:rPr>
              <w:t>若不涉及，投标人不用上传证明材料。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3</w:t>
            </w:r>
          </w:p>
        </w:tc>
        <w:tc>
          <w:tcPr>
            <w:tcW w:w="1219" w:type="pct"/>
            <w:vAlign w:val="center"/>
          </w:tcPr>
          <w:p>
            <w:pPr>
              <w:tabs>
                <w:tab w:val="left" w:pos="7665"/>
              </w:tabs>
              <w:spacing w:line="240" w:lineRule="auto"/>
              <w:rPr>
                <w:rFonts w:ascii="仿宋" w:hAnsi="仿宋" w:cs="仿宋"/>
                <w:color w:val="auto"/>
                <w:spacing w:val="-11"/>
                <w:sz w:val="21"/>
                <w:szCs w:val="21"/>
                <w:highlight w:val="none"/>
              </w:rPr>
            </w:pPr>
            <w:r>
              <w:rPr>
                <w:rFonts w:hint="eastAsia" w:ascii="仿宋" w:hAnsi="仿宋" w:cs="仿宋"/>
                <w:b/>
                <w:bCs/>
                <w:color w:val="auto"/>
                <w:spacing w:val="-11"/>
                <w:sz w:val="21"/>
                <w:szCs w:val="21"/>
                <w:highlight w:val="none"/>
              </w:rPr>
              <w:t>3.本项目的特定资格要求：</w:t>
            </w:r>
            <w:r>
              <w:rPr>
                <w:rFonts w:hint="eastAsia" w:ascii="仿宋" w:hAnsi="仿宋" w:cs="仿宋"/>
                <w:color w:val="auto"/>
                <w:spacing w:val="-11"/>
                <w:sz w:val="21"/>
                <w:szCs w:val="21"/>
                <w:highlight w:val="none"/>
              </w:rPr>
              <w:t xml:space="preserve">3.1 若采购产品为医疗器械的，投标人须符合《医疗器械监督管理条例》要求并提供供应商经营该产品的经营许可/经营备案证明材料。 </w:t>
            </w:r>
          </w:p>
          <w:p>
            <w:pPr>
              <w:tabs>
                <w:tab w:val="left" w:pos="7665"/>
              </w:tabs>
              <w:spacing w:line="240" w:lineRule="auto"/>
              <w:rPr>
                <w:rFonts w:ascii="仿宋" w:hAnsi="仿宋" w:cs="仿宋"/>
                <w:b/>
                <w:bCs/>
                <w:color w:val="auto"/>
                <w:sz w:val="21"/>
                <w:szCs w:val="21"/>
                <w:highlight w:val="none"/>
              </w:rPr>
            </w:pPr>
            <w:r>
              <w:rPr>
                <w:rFonts w:hint="eastAsia" w:ascii="仿宋" w:hAnsi="仿宋" w:cs="仿宋"/>
                <w:color w:val="auto"/>
                <w:spacing w:val="-11"/>
                <w:sz w:val="21"/>
                <w:szCs w:val="21"/>
                <w:highlight w:val="none"/>
              </w:rPr>
              <w:t>3.2 若采购产品为医疗器械的，投标产品须符合《医疗器械注册管理办法》要求并 提供产品的注册/备案证明材料。3.3若采购产品为消毒产品，消毒产品须具备《消毒产品卫生安全评价报告》（投标产品若为新消毒产品须提供有效的卫生许可批件）。</w:t>
            </w:r>
          </w:p>
        </w:tc>
        <w:tc>
          <w:tcPr>
            <w:tcW w:w="2500" w:type="pct"/>
            <w:vAlign w:val="center"/>
          </w:tcPr>
          <w:p>
            <w:pPr>
              <w:spacing w:line="240" w:lineRule="auto"/>
              <w:rPr>
                <w:rFonts w:ascii="仿宋" w:hAnsi="仿宋" w:cs="仿宋"/>
                <w:color w:val="auto"/>
                <w:sz w:val="21"/>
                <w:szCs w:val="21"/>
                <w:highlight w:val="none"/>
              </w:rPr>
            </w:pPr>
            <w:r>
              <w:rPr>
                <w:rFonts w:hint="eastAsia" w:ascii="仿宋" w:hAnsi="仿宋" w:cs="仿宋"/>
                <w:b/>
                <w:bCs/>
                <w:color w:val="auto"/>
                <w:sz w:val="21"/>
                <w:szCs w:val="21"/>
                <w:highlight w:val="none"/>
              </w:rPr>
              <w:t>3.本项目的特定资格要求：</w:t>
            </w:r>
          </w:p>
          <w:p>
            <w:pPr>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 xml:space="preserve">3.1 若采购产品为医疗器械的，投标人须符合《医疗器械监督管理条例》要求并提供供应商经营该产品的经营许可/经营备案证明材料。 </w:t>
            </w:r>
          </w:p>
          <w:p>
            <w:pPr>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3.2 若采购产品为医疗器械的，投标产品须符合《医疗器械注册管理办法》要求并 提供产品的注册/备案证明材料。</w:t>
            </w:r>
          </w:p>
          <w:p>
            <w:pPr>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3.3若采购产品为消毒产品，消毒产品须具备《消毒产品卫生安全评价报告》（投标产品若为新消毒产品须提供有效的卫生许可批件）。</w:t>
            </w:r>
          </w:p>
          <w:p>
            <w:pPr>
              <w:spacing w:line="240" w:lineRule="auto"/>
              <w:rPr>
                <w:rFonts w:ascii="仿宋" w:hAnsi="仿宋" w:cs="仿宋"/>
                <w:bCs/>
                <w:color w:val="auto"/>
                <w:sz w:val="21"/>
                <w:szCs w:val="21"/>
                <w:highlight w:val="none"/>
              </w:rPr>
            </w:pPr>
            <w:r>
              <w:rPr>
                <w:rFonts w:hint="eastAsia" w:ascii="仿宋" w:hAnsi="仿宋" w:cs="仿宋"/>
                <w:b/>
                <w:color w:val="auto"/>
                <w:sz w:val="21"/>
                <w:szCs w:val="21"/>
                <w:highlight w:val="none"/>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p>
        </w:tc>
        <w:tc>
          <w:tcPr>
            <w:tcW w:w="801" w:type="pct"/>
            <w:vAlign w:val="center"/>
          </w:tcPr>
          <w:p>
            <w:pPr>
              <w:spacing w:line="240" w:lineRule="auto"/>
              <w:rPr>
                <w:rFonts w:ascii="仿宋" w:hAnsi="仿宋" w:cs="仿宋"/>
                <w:bCs/>
                <w:color w:val="auto"/>
                <w:sz w:val="21"/>
                <w:szCs w:val="21"/>
                <w:highlight w:val="none"/>
              </w:rPr>
            </w:pPr>
            <w:r>
              <w:rPr>
                <w:rFonts w:hint="eastAsia" w:ascii="仿宋" w:hAnsi="仿宋" w:cs="仿宋"/>
                <w:bCs/>
                <w:color w:val="auto"/>
                <w:sz w:val="21"/>
                <w:szCs w:val="21"/>
                <w:highlight w:val="none"/>
              </w:rPr>
              <w:t>投标人按照要求上传格式1-8至1-9证明材料。</w:t>
            </w:r>
          </w:p>
          <w:p>
            <w:pPr>
              <w:spacing w:line="240" w:lineRule="auto"/>
              <w:rPr>
                <w:rFonts w:ascii="仿宋" w:hAnsi="仿宋" w:cs="仿宋"/>
                <w:bCs/>
                <w:color w:val="auto"/>
                <w:sz w:val="21"/>
                <w:szCs w:val="21"/>
                <w:highlight w:val="none"/>
              </w:rPr>
            </w:pPr>
            <w:r>
              <w:rPr>
                <w:rFonts w:hint="eastAsia" w:ascii="仿宋" w:hAnsi="仿宋"/>
                <w:color w:val="auto"/>
                <w:sz w:val="21"/>
                <w:szCs w:val="21"/>
                <w:highlight w:val="none"/>
              </w:rPr>
              <w:t>采购人或者采购代理机构</w:t>
            </w:r>
            <w:r>
              <w:rPr>
                <w:rFonts w:hint="eastAsia" w:ascii="仿宋" w:hAnsi="仿宋" w:cs="仿宋"/>
                <w:bCs/>
                <w:color w:val="auto"/>
                <w:sz w:val="21"/>
                <w:szCs w:val="21"/>
                <w:highlight w:val="none"/>
              </w:rPr>
              <w:t>根据上传内容，结合投标文件</w:t>
            </w:r>
            <w:r>
              <w:rPr>
                <w:rFonts w:hint="eastAsia" w:ascii="仿宋" w:hAnsi="仿宋"/>
                <w:color w:val="auto"/>
                <w:sz w:val="21"/>
                <w:szCs w:val="21"/>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4</w:t>
            </w:r>
          </w:p>
        </w:tc>
        <w:tc>
          <w:tcPr>
            <w:tcW w:w="1219" w:type="pct"/>
            <w:vAlign w:val="center"/>
          </w:tcPr>
          <w:p>
            <w:pPr>
              <w:tabs>
                <w:tab w:val="left" w:pos="7665"/>
              </w:tabs>
              <w:spacing w:line="240" w:lineRule="auto"/>
              <w:rPr>
                <w:rFonts w:ascii="仿宋" w:hAnsi="仿宋" w:cs="仿宋"/>
                <w:b/>
                <w:color w:val="auto"/>
                <w:sz w:val="21"/>
                <w:szCs w:val="21"/>
                <w:highlight w:val="none"/>
              </w:rPr>
            </w:pPr>
            <w:r>
              <w:rPr>
                <w:rFonts w:hint="eastAsia" w:ascii="仿宋" w:hAnsi="仿宋" w:cs="宋体"/>
                <w:color w:val="auto"/>
                <w:sz w:val="21"/>
                <w:szCs w:val="21"/>
                <w:highlight w:val="none"/>
              </w:rPr>
              <w:t>4.</w:t>
            </w:r>
            <w:r>
              <w:rPr>
                <w:rFonts w:hint="eastAsia" w:ascii="仿宋" w:hAnsi="仿宋"/>
                <w:color w:val="auto"/>
                <w:sz w:val="21"/>
                <w:szCs w:val="21"/>
                <w:highlight w:val="none"/>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2500" w:type="pct"/>
            <w:vAlign w:val="center"/>
          </w:tcPr>
          <w:p>
            <w:pPr>
              <w:spacing w:line="240" w:lineRule="auto"/>
              <w:rPr>
                <w:rFonts w:ascii="仿宋" w:hAnsi="仿宋" w:cs="宋体"/>
                <w:color w:val="auto"/>
                <w:sz w:val="21"/>
                <w:szCs w:val="21"/>
                <w:highlight w:val="none"/>
              </w:rPr>
            </w:pPr>
            <w:r>
              <w:rPr>
                <w:rFonts w:hint="eastAsia" w:ascii="仿宋" w:hAnsi="仿宋" w:cs="宋体"/>
                <w:color w:val="auto"/>
                <w:spacing w:val="-6"/>
                <w:sz w:val="21"/>
                <w:szCs w:val="21"/>
                <w:highlight w:val="none"/>
              </w:rPr>
              <w:t>4.采购人/采购代理机构通过“信用中国”网站（www.creditchina.gov.cn）、“中国政府采购网”网站（www.ccgp.gov.cn）等渠道</w:t>
            </w:r>
            <w:r>
              <w:rPr>
                <w:rFonts w:hint="eastAsia" w:ascii="仿宋" w:hAnsi="仿宋" w:cs="宋体"/>
                <w:color w:val="auto"/>
                <w:sz w:val="21"/>
                <w:szCs w:val="21"/>
                <w:highlight w:val="none"/>
              </w:rPr>
              <w:t>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line="240" w:lineRule="auto"/>
              <w:rPr>
                <w:rFonts w:ascii="仿宋" w:hAnsi="仿宋" w:cs="仿宋"/>
                <w:b/>
                <w:color w:val="auto"/>
                <w:sz w:val="21"/>
                <w:szCs w:val="21"/>
                <w:highlight w:val="none"/>
              </w:rPr>
            </w:pPr>
            <w:r>
              <w:rPr>
                <w:rFonts w:hint="eastAsia" w:ascii="仿宋" w:hAnsi="仿宋" w:cs="宋体"/>
                <w:b/>
                <w:bCs/>
                <w:color w:val="auto"/>
                <w:spacing w:val="-6"/>
                <w:sz w:val="21"/>
                <w:szCs w:val="21"/>
                <w:highlight w:val="none"/>
              </w:rPr>
              <w:t>（注：此项由采购人或采购代理机构查询，投标人不提供证明材料）</w:t>
            </w:r>
          </w:p>
        </w:tc>
        <w:tc>
          <w:tcPr>
            <w:tcW w:w="801" w:type="pct"/>
            <w:vAlign w:val="center"/>
          </w:tcPr>
          <w:p>
            <w:pPr>
              <w:spacing w:line="240" w:lineRule="auto"/>
              <w:rPr>
                <w:rFonts w:ascii="仿宋" w:hAnsi="仿宋" w:cs="仿宋"/>
                <w:bCs/>
                <w:color w:val="auto"/>
                <w:sz w:val="21"/>
                <w:szCs w:val="21"/>
                <w:highlight w:val="none"/>
              </w:rPr>
            </w:pPr>
            <w:r>
              <w:rPr>
                <w:rFonts w:hint="eastAsia" w:ascii="仿宋" w:hAnsi="仿宋" w:cs="仿宋"/>
                <w:bCs/>
                <w:color w:val="auto"/>
                <w:sz w:val="21"/>
                <w:szCs w:val="21"/>
                <w:highlight w:val="none"/>
              </w:rPr>
              <w:t>投标人不用上传证明材料。</w:t>
            </w:r>
          </w:p>
          <w:p>
            <w:pPr>
              <w:pStyle w:val="2"/>
              <w:spacing w:after="0" w:line="240" w:lineRule="auto"/>
              <w:rPr>
                <w:rFonts w:ascii="仿宋" w:hAnsi="仿宋"/>
                <w:color w:val="auto"/>
                <w:sz w:val="21"/>
                <w:szCs w:val="21"/>
                <w:highlight w:val="none"/>
              </w:rPr>
            </w:pPr>
            <w:r>
              <w:rPr>
                <w:rFonts w:hint="eastAsia" w:ascii="仿宋" w:hAnsi="仿宋" w:cs="仿宋"/>
                <w:bCs/>
                <w:color w:val="auto"/>
                <w:sz w:val="21"/>
                <w:szCs w:val="21"/>
                <w:highlight w:val="none"/>
              </w:rPr>
              <w:t>由采购人或者采购代理机构查询，并根据查询的信用记录结果对投标人的资格进行审查。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color w:val="auto"/>
                <w:sz w:val="21"/>
                <w:szCs w:val="21"/>
                <w:highlight w:val="none"/>
              </w:rPr>
            </w:pPr>
            <w:r>
              <w:rPr>
                <w:rFonts w:hint="eastAsia" w:ascii="仿宋" w:hAnsi="仿宋" w:cs="仿宋"/>
                <w:bCs/>
                <w:color w:val="auto"/>
                <w:sz w:val="21"/>
                <w:szCs w:val="21"/>
                <w:highlight w:val="none"/>
              </w:rPr>
              <w:t>5</w:t>
            </w:r>
          </w:p>
        </w:tc>
        <w:tc>
          <w:tcPr>
            <w:tcW w:w="1219" w:type="pct"/>
            <w:vAlign w:val="center"/>
          </w:tcPr>
          <w:p>
            <w:pPr>
              <w:spacing w:line="240" w:lineRule="auto"/>
              <w:ind w:right="120" w:rightChars="50"/>
              <w:rPr>
                <w:rFonts w:ascii="仿宋" w:hAnsi="仿宋" w:cs="仿宋"/>
                <w:bCs/>
                <w:color w:val="auto"/>
                <w:sz w:val="21"/>
                <w:szCs w:val="21"/>
                <w:highlight w:val="none"/>
              </w:rPr>
            </w:pPr>
            <w:r>
              <w:rPr>
                <w:rFonts w:hint="eastAsia" w:ascii="仿宋" w:hAnsi="仿宋"/>
                <w:b/>
                <w:bCs/>
                <w:color w:val="auto"/>
                <w:szCs w:val="21"/>
                <w:highlight w:val="none"/>
              </w:rPr>
              <w:t>资质性要求：无。</w:t>
            </w:r>
          </w:p>
        </w:tc>
        <w:tc>
          <w:tcPr>
            <w:tcW w:w="2500" w:type="pct"/>
            <w:vAlign w:val="center"/>
          </w:tcPr>
          <w:p>
            <w:pPr>
              <w:spacing w:line="240" w:lineRule="auto"/>
              <w:rPr>
                <w:rFonts w:ascii="仿宋" w:hAnsi="仿宋" w:cs="仿宋"/>
                <w:bCs/>
                <w:color w:val="auto"/>
                <w:sz w:val="21"/>
                <w:szCs w:val="21"/>
                <w:highlight w:val="none"/>
              </w:rPr>
            </w:pPr>
            <w:r>
              <w:rPr>
                <w:rFonts w:hint="eastAsia" w:ascii="仿宋" w:hAnsi="仿宋"/>
                <w:b/>
                <w:bCs/>
                <w:color w:val="auto"/>
                <w:sz w:val="21"/>
                <w:szCs w:val="21"/>
                <w:highlight w:val="none"/>
              </w:rPr>
              <w:t>资质性要求：</w:t>
            </w:r>
            <w:r>
              <w:rPr>
                <w:rFonts w:hint="eastAsia" w:ascii="仿宋" w:hAnsi="仿宋" w:cs="仿宋"/>
                <w:bCs/>
                <w:color w:val="auto"/>
                <w:sz w:val="21"/>
                <w:szCs w:val="21"/>
                <w:highlight w:val="none"/>
              </w:rPr>
              <w:t>无。</w:t>
            </w:r>
          </w:p>
        </w:tc>
        <w:tc>
          <w:tcPr>
            <w:tcW w:w="801" w:type="pct"/>
            <w:vAlign w:val="center"/>
          </w:tcPr>
          <w:p>
            <w:pPr>
              <w:spacing w:line="240" w:lineRule="auto"/>
              <w:rPr>
                <w:rFonts w:ascii="仿宋" w:hAnsi="仿宋" w:cs="仿宋"/>
                <w:bCs/>
                <w:color w:val="auto"/>
                <w:sz w:val="21"/>
                <w:szCs w:val="21"/>
                <w:highlight w:val="none"/>
              </w:rPr>
            </w:pPr>
            <w:r>
              <w:rPr>
                <w:rFonts w:hint="eastAsia" w:ascii="仿宋" w:hAnsi="仿宋" w:cs="仿宋"/>
                <w:bCs/>
                <w:color w:val="auto"/>
                <w:spacing w:val="-6"/>
                <w:sz w:val="21"/>
                <w:szCs w:val="21"/>
                <w:highlight w:val="none"/>
              </w:rPr>
              <w:t>若不涉及，投标人不用上传证明材料。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80" w:type="pct"/>
            <w:vAlign w:val="center"/>
          </w:tcPr>
          <w:p>
            <w:pPr>
              <w:spacing w:line="240" w:lineRule="auto"/>
              <w:jc w:val="center"/>
              <w:rPr>
                <w:rFonts w:ascii="仿宋" w:hAnsi="仿宋" w:cs="仿宋"/>
                <w:bCs/>
                <w:color w:val="auto"/>
                <w:sz w:val="21"/>
                <w:szCs w:val="21"/>
                <w:highlight w:val="none"/>
              </w:rPr>
            </w:pPr>
            <w:r>
              <w:rPr>
                <w:rFonts w:ascii="仿宋" w:hAnsi="仿宋" w:cs="仿宋"/>
                <w:bCs/>
                <w:color w:val="auto"/>
                <w:sz w:val="21"/>
                <w:szCs w:val="21"/>
                <w:highlight w:val="none"/>
              </w:rPr>
              <w:t>6</w:t>
            </w:r>
          </w:p>
        </w:tc>
        <w:tc>
          <w:tcPr>
            <w:tcW w:w="1219" w:type="pct"/>
            <w:vAlign w:val="center"/>
          </w:tcPr>
          <w:p>
            <w:pPr>
              <w:pStyle w:val="81"/>
              <w:spacing w:line="240" w:lineRule="auto"/>
              <w:ind w:firstLine="0" w:firstLineChars="0"/>
              <w:rPr>
                <w:rFonts w:ascii="仿宋" w:hAnsi="仿宋" w:eastAsia="仿宋" w:cs="仿宋"/>
                <w:bCs/>
                <w:color w:val="auto"/>
                <w:szCs w:val="21"/>
                <w:highlight w:val="none"/>
              </w:rPr>
            </w:pPr>
            <w:r>
              <w:rPr>
                <w:rFonts w:hint="eastAsia" w:ascii="仿宋" w:hAnsi="仿宋" w:eastAsia="仿宋"/>
                <w:b/>
                <w:bCs/>
                <w:color w:val="auto"/>
                <w:szCs w:val="21"/>
                <w:highlight w:val="none"/>
              </w:rPr>
              <w:t>其他类似效力要求：无。</w:t>
            </w:r>
          </w:p>
        </w:tc>
        <w:tc>
          <w:tcPr>
            <w:tcW w:w="2500" w:type="pct"/>
            <w:vAlign w:val="center"/>
          </w:tcPr>
          <w:p>
            <w:pPr>
              <w:spacing w:line="240" w:lineRule="auto"/>
              <w:rPr>
                <w:rFonts w:ascii="仿宋" w:hAnsi="仿宋" w:cs="仿宋"/>
                <w:bCs/>
                <w:color w:val="auto"/>
                <w:sz w:val="21"/>
                <w:szCs w:val="21"/>
                <w:highlight w:val="none"/>
              </w:rPr>
            </w:pPr>
            <w:r>
              <w:rPr>
                <w:rFonts w:hint="eastAsia" w:ascii="仿宋" w:hAnsi="仿宋"/>
                <w:b/>
                <w:bCs/>
                <w:color w:val="auto"/>
                <w:sz w:val="21"/>
                <w:szCs w:val="21"/>
                <w:highlight w:val="none"/>
              </w:rPr>
              <w:t>其他类似效力要求：</w:t>
            </w:r>
            <w:r>
              <w:rPr>
                <w:rFonts w:hint="eastAsia" w:ascii="仿宋" w:hAnsi="仿宋" w:cs="仿宋"/>
                <w:bCs/>
                <w:color w:val="auto"/>
                <w:sz w:val="21"/>
                <w:szCs w:val="21"/>
                <w:highlight w:val="none"/>
              </w:rPr>
              <w:t>无。</w:t>
            </w:r>
          </w:p>
        </w:tc>
        <w:tc>
          <w:tcPr>
            <w:tcW w:w="801" w:type="pct"/>
            <w:vAlign w:val="center"/>
          </w:tcPr>
          <w:p>
            <w:pPr>
              <w:spacing w:line="240" w:lineRule="auto"/>
              <w:rPr>
                <w:rFonts w:ascii="仿宋" w:hAnsi="仿宋" w:cs="仿宋"/>
                <w:bCs/>
                <w:color w:val="auto"/>
                <w:spacing w:val="-6"/>
                <w:sz w:val="21"/>
                <w:szCs w:val="21"/>
                <w:highlight w:val="none"/>
              </w:rPr>
            </w:pPr>
            <w:r>
              <w:rPr>
                <w:rFonts w:hint="eastAsia" w:ascii="仿宋" w:hAnsi="仿宋" w:cs="仿宋"/>
                <w:bCs/>
                <w:color w:val="auto"/>
                <w:spacing w:val="-6"/>
                <w:sz w:val="21"/>
                <w:szCs w:val="21"/>
                <w:highlight w:val="none"/>
              </w:rPr>
              <w:t>若不涉及，投标人不用上传证明材料。</w:t>
            </w:r>
          </w:p>
        </w:tc>
      </w:tr>
    </w:tbl>
    <w:p>
      <w:pPr>
        <w:pStyle w:val="2"/>
        <w:rPr>
          <w:rFonts w:ascii="仿宋" w:hAnsi="仿宋"/>
          <w:b/>
          <w:bCs/>
          <w:color w:val="auto"/>
          <w:sz w:val="28"/>
          <w:szCs w:val="28"/>
          <w:highlight w:val="none"/>
        </w:rPr>
      </w:pPr>
    </w:p>
    <w:p>
      <w:pPr>
        <w:rPr>
          <w:rFonts w:ascii="仿宋" w:hAnsi="仿宋"/>
          <w:color w:val="auto"/>
          <w:highlight w:val="none"/>
        </w:rPr>
      </w:pPr>
    </w:p>
    <w:bookmarkEnd w:id="141"/>
    <w:p>
      <w:pPr>
        <w:rPr>
          <w:rFonts w:ascii="仿宋" w:hAnsi="仿宋"/>
          <w:color w:val="auto"/>
          <w:sz w:val="36"/>
          <w:szCs w:val="36"/>
          <w:highlight w:val="none"/>
        </w:rPr>
        <w:sectPr>
          <w:pgSz w:w="11905" w:h="16838"/>
          <w:pgMar w:top="1417" w:right="1417" w:bottom="1417" w:left="1417" w:header="425" w:footer="992" w:gutter="0"/>
          <w:cols w:space="0" w:num="1"/>
          <w:docGrid w:type="lines" w:linePitch="332" w:charSpace="0"/>
        </w:sectPr>
      </w:pPr>
      <w:bookmarkStart w:id="152" w:name="_Toc217446093"/>
    </w:p>
    <w:p>
      <w:pPr>
        <w:pStyle w:val="3"/>
        <w:spacing w:line="240" w:lineRule="auto"/>
        <w:rPr>
          <w:rFonts w:ascii="仿宋" w:hAnsi="仿宋"/>
          <w:color w:val="auto"/>
          <w:sz w:val="36"/>
          <w:szCs w:val="36"/>
          <w:highlight w:val="none"/>
        </w:rPr>
      </w:pPr>
      <w:bookmarkStart w:id="153" w:name="_Toc29522"/>
      <w:bookmarkStart w:id="154" w:name="PO_默认文件内容_32"/>
      <w:r>
        <w:rPr>
          <w:rFonts w:hint="eastAsia" w:ascii="仿宋" w:hAnsi="仿宋"/>
          <w:color w:val="auto"/>
          <w:sz w:val="36"/>
          <w:szCs w:val="36"/>
          <w:highlight w:val="none"/>
        </w:rPr>
        <w:t xml:space="preserve">第六章   </w:t>
      </w:r>
      <w:bookmarkEnd w:id="153"/>
      <w:r>
        <w:rPr>
          <w:rFonts w:hint="eastAsia" w:ascii="仿宋" w:hAnsi="仿宋"/>
          <w:color w:val="auto"/>
          <w:sz w:val="36"/>
          <w:szCs w:val="36"/>
          <w:highlight w:val="none"/>
        </w:rPr>
        <w:t>招标项目技术、服务、商务及其他要求</w:t>
      </w:r>
    </w:p>
    <w:bookmarkEnd w:id="152"/>
    <w:p>
      <w:pPr>
        <w:pStyle w:val="4"/>
        <w:spacing w:line="400" w:lineRule="exact"/>
        <w:rPr>
          <w:rFonts w:ascii="仿宋" w:hAnsi="仿宋"/>
          <w:color w:val="auto"/>
          <w:sz w:val="24"/>
          <w:szCs w:val="24"/>
          <w:highlight w:val="none"/>
        </w:rPr>
      </w:pPr>
      <w:bookmarkStart w:id="155" w:name="_Toc217446094"/>
      <w:r>
        <w:rPr>
          <w:rFonts w:hint="eastAsia" w:ascii="仿宋" w:hAnsi="仿宋"/>
          <w:color w:val="auto"/>
          <w:sz w:val="24"/>
          <w:szCs w:val="24"/>
          <w:highlight w:val="none"/>
        </w:rPr>
        <w:t>前提：本章中标注“</w:t>
      </w:r>
      <w:r>
        <w:rPr>
          <w:rFonts w:hint="eastAsia" w:ascii="仿宋" w:hAnsi="仿宋" w:cs="宋体"/>
          <w:color w:val="auto"/>
          <w:sz w:val="21"/>
          <w:szCs w:val="21"/>
          <w:highlight w:val="none"/>
        </w:rPr>
        <w:t>*</w:t>
      </w:r>
      <w:r>
        <w:rPr>
          <w:rFonts w:hint="eastAsia" w:ascii="仿宋" w:hAnsi="仿宋"/>
          <w:color w:val="auto"/>
          <w:sz w:val="24"/>
          <w:szCs w:val="24"/>
          <w:highlight w:val="none"/>
        </w:rPr>
        <w:t>”的条款为本项目的实质性条款，投标人不满足的，将按照无效投标处理。</w:t>
      </w:r>
    </w:p>
    <w:p>
      <w:pPr>
        <w:rPr>
          <w:color w:val="auto"/>
          <w:highlight w:val="none"/>
        </w:rPr>
      </w:pPr>
    </w:p>
    <w:p>
      <w:pPr>
        <w:pStyle w:val="4"/>
        <w:numPr>
          <w:ilvl w:val="0"/>
          <w:numId w:val="3"/>
        </w:numPr>
        <w:tabs>
          <w:tab w:val="left" w:pos="6938"/>
        </w:tabs>
        <w:spacing w:line="400" w:lineRule="exact"/>
        <w:rPr>
          <w:rFonts w:ascii="仿宋" w:hAnsi="仿宋"/>
          <w:color w:val="auto"/>
          <w:sz w:val="24"/>
          <w:szCs w:val="24"/>
          <w:highlight w:val="none"/>
        </w:rPr>
      </w:pPr>
      <w:r>
        <w:rPr>
          <w:rFonts w:hint="eastAsia" w:ascii="仿宋" w:hAnsi="仿宋"/>
          <w:color w:val="auto"/>
          <w:sz w:val="24"/>
          <w:szCs w:val="24"/>
          <w:highlight w:val="none"/>
        </w:rPr>
        <w:t>项目概</w:t>
      </w:r>
      <w:bookmarkEnd w:id="155"/>
      <w:r>
        <w:rPr>
          <w:rFonts w:hint="eastAsia" w:ascii="仿宋" w:hAnsi="仿宋"/>
          <w:color w:val="auto"/>
          <w:sz w:val="24"/>
          <w:szCs w:val="24"/>
          <w:highlight w:val="none"/>
        </w:rPr>
        <w:t>况</w:t>
      </w:r>
      <w:r>
        <w:rPr>
          <w:rFonts w:ascii="仿宋" w:hAnsi="仿宋"/>
          <w:color w:val="auto"/>
          <w:sz w:val="24"/>
          <w:szCs w:val="24"/>
          <w:highlight w:val="none"/>
        </w:rPr>
        <w:tab/>
      </w:r>
      <w:bookmarkStart w:id="156" w:name="_Toc217446095"/>
    </w:p>
    <w:p>
      <w:pPr>
        <w:pStyle w:val="4"/>
        <w:tabs>
          <w:tab w:val="left" w:pos="6938"/>
        </w:tabs>
        <w:spacing w:line="400" w:lineRule="exact"/>
        <w:rPr>
          <w:rFonts w:ascii="仿宋" w:hAnsi="仿宋"/>
          <w:color w:val="auto"/>
          <w:sz w:val="24"/>
          <w:szCs w:val="24"/>
          <w:highlight w:val="none"/>
        </w:rPr>
      </w:pPr>
      <w:r>
        <w:rPr>
          <w:rFonts w:hint="eastAsia" w:ascii="仿宋" w:hAnsi="仿宋"/>
          <w:color w:val="auto"/>
          <w:sz w:val="24"/>
          <w:szCs w:val="24"/>
          <w:highlight w:val="none"/>
        </w:rPr>
        <w:t>1.项目概况：本项目共2个包，01包采购其他医疗设备，02包采购污水处理设备。</w:t>
      </w:r>
    </w:p>
    <w:p>
      <w:pPr>
        <w:pStyle w:val="4"/>
        <w:tabs>
          <w:tab w:val="left" w:pos="6938"/>
        </w:tabs>
        <w:spacing w:line="400" w:lineRule="exact"/>
        <w:rPr>
          <w:rFonts w:ascii="仿宋" w:hAnsi="仿宋"/>
          <w:color w:val="auto"/>
          <w:sz w:val="24"/>
          <w:szCs w:val="24"/>
          <w:highlight w:val="none"/>
        </w:rPr>
      </w:pPr>
      <w:r>
        <w:rPr>
          <w:rFonts w:hint="eastAsia" w:ascii="仿宋" w:hAnsi="仿宋"/>
          <w:color w:val="auto"/>
          <w:sz w:val="24"/>
          <w:szCs w:val="24"/>
          <w:highlight w:val="none"/>
        </w:rPr>
        <w:t>2.标的名称及所属行业：</w:t>
      </w:r>
    </w:p>
    <w:tbl>
      <w:tblPr>
        <w:tblStyle w:val="3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878"/>
        <w:gridCol w:w="1862"/>
        <w:gridCol w:w="566"/>
        <w:gridCol w:w="568"/>
        <w:gridCol w:w="1277"/>
        <w:gridCol w:w="1279"/>
        <w:gridCol w:w="1275"/>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13" w:type="pct"/>
            <w:vAlign w:val="center"/>
          </w:tcPr>
          <w:p>
            <w:pPr>
              <w:pStyle w:val="8"/>
              <w:spacing w:line="400" w:lineRule="exact"/>
              <w:ind w:firstLine="0"/>
              <w:jc w:val="center"/>
              <w:rPr>
                <w:rFonts w:ascii="仿宋" w:hAnsi="仿宋"/>
                <w:bCs/>
                <w:color w:val="auto"/>
                <w:highlight w:val="none"/>
              </w:rPr>
            </w:pPr>
            <w:r>
              <w:rPr>
                <w:rFonts w:hint="eastAsia" w:ascii="仿宋" w:hAnsi="仿宋"/>
                <w:bCs/>
                <w:color w:val="auto"/>
                <w:highlight w:val="none"/>
              </w:rPr>
              <w:t>包号</w:t>
            </w:r>
          </w:p>
        </w:tc>
        <w:tc>
          <w:tcPr>
            <w:tcW w:w="473"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品目号</w:t>
            </w:r>
          </w:p>
        </w:tc>
        <w:tc>
          <w:tcPr>
            <w:tcW w:w="1003"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标的</w:t>
            </w:r>
            <w:r>
              <w:rPr>
                <w:rFonts w:ascii="仿宋" w:hAnsi="仿宋"/>
                <w:bCs/>
                <w:color w:val="auto"/>
                <w:highlight w:val="none"/>
              </w:rPr>
              <w:t>名称</w:t>
            </w:r>
          </w:p>
        </w:tc>
        <w:tc>
          <w:tcPr>
            <w:tcW w:w="305"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单位</w:t>
            </w:r>
          </w:p>
        </w:tc>
        <w:tc>
          <w:tcPr>
            <w:tcW w:w="306"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数量</w:t>
            </w:r>
          </w:p>
        </w:tc>
        <w:tc>
          <w:tcPr>
            <w:tcW w:w="688"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采购金额（万元）</w:t>
            </w:r>
          </w:p>
        </w:tc>
        <w:tc>
          <w:tcPr>
            <w:tcW w:w="689"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最高限价（万元）</w:t>
            </w:r>
          </w:p>
        </w:tc>
        <w:tc>
          <w:tcPr>
            <w:tcW w:w="687"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是否允许采购进口产品</w:t>
            </w:r>
          </w:p>
        </w:tc>
        <w:tc>
          <w:tcPr>
            <w:tcW w:w="435"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13" w:type="pct"/>
            <w:vAlign w:val="center"/>
          </w:tcPr>
          <w:p>
            <w:pPr>
              <w:pStyle w:val="8"/>
              <w:spacing w:line="400" w:lineRule="exact"/>
              <w:ind w:firstLine="0"/>
              <w:jc w:val="center"/>
              <w:rPr>
                <w:rFonts w:ascii="仿宋" w:hAnsi="仿宋"/>
                <w:bCs/>
                <w:color w:val="auto"/>
                <w:highlight w:val="none"/>
              </w:rPr>
            </w:pPr>
            <w:r>
              <w:rPr>
                <w:rFonts w:hint="eastAsia" w:ascii="仿宋" w:hAnsi="仿宋"/>
                <w:bCs/>
                <w:color w:val="auto"/>
                <w:highlight w:val="none"/>
              </w:rPr>
              <w:t>1</w:t>
            </w:r>
          </w:p>
        </w:tc>
        <w:tc>
          <w:tcPr>
            <w:tcW w:w="473"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1-01</w:t>
            </w:r>
          </w:p>
        </w:tc>
        <w:tc>
          <w:tcPr>
            <w:tcW w:w="1003"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其他医疗设备（详细标的清单见技术服务要求）</w:t>
            </w:r>
          </w:p>
        </w:tc>
        <w:tc>
          <w:tcPr>
            <w:tcW w:w="305" w:type="pct"/>
            <w:vAlign w:val="center"/>
          </w:tcPr>
          <w:p>
            <w:pPr>
              <w:pStyle w:val="8"/>
              <w:spacing w:line="400" w:lineRule="exact"/>
              <w:ind w:firstLine="0"/>
              <w:rPr>
                <w:rFonts w:ascii="仿宋" w:hAnsi="仿宋"/>
                <w:bCs/>
                <w:color w:val="auto"/>
                <w:highlight w:val="none"/>
              </w:rPr>
            </w:pPr>
            <w:r>
              <w:rPr>
                <w:rFonts w:ascii="仿宋" w:hAnsi="仿宋"/>
                <w:bCs/>
                <w:color w:val="auto"/>
                <w:highlight w:val="none"/>
              </w:rPr>
              <w:t>批</w:t>
            </w:r>
          </w:p>
        </w:tc>
        <w:tc>
          <w:tcPr>
            <w:tcW w:w="306"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1</w:t>
            </w:r>
          </w:p>
        </w:tc>
        <w:tc>
          <w:tcPr>
            <w:tcW w:w="688"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105.5155</w:t>
            </w:r>
            <w:r>
              <w:rPr>
                <w:rFonts w:ascii="仿宋" w:hAnsi="仿宋"/>
                <w:bCs/>
                <w:color w:val="auto"/>
                <w:highlight w:val="none"/>
              </w:rPr>
              <w:t xml:space="preserve"> </w:t>
            </w:r>
          </w:p>
        </w:tc>
        <w:tc>
          <w:tcPr>
            <w:tcW w:w="689" w:type="pct"/>
            <w:vAlign w:val="center"/>
          </w:tcPr>
          <w:p>
            <w:pPr>
              <w:pStyle w:val="8"/>
              <w:spacing w:line="400" w:lineRule="exact"/>
              <w:ind w:firstLine="0"/>
              <w:rPr>
                <w:rFonts w:ascii="仿宋" w:hAnsi="仿宋"/>
                <w:bCs/>
                <w:color w:val="auto"/>
                <w:highlight w:val="none"/>
              </w:rPr>
            </w:pPr>
            <w:r>
              <w:rPr>
                <w:rFonts w:ascii="仿宋" w:hAnsi="仿宋"/>
                <w:bCs/>
                <w:color w:val="auto"/>
                <w:highlight w:val="none"/>
              </w:rPr>
              <w:t>102.9155</w:t>
            </w:r>
          </w:p>
        </w:tc>
        <w:tc>
          <w:tcPr>
            <w:tcW w:w="687"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否</w:t>
            </w:r>
          </w:p>
        </w:tc>
        <w:tc>
          <w:tcPr>
            <w:tcW w:w="435"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13" w:type="pct"/>
            <w:vAlign w:val="center"/>
          </w:tcPr>
          <w:p>
            <w:pPr>
              <w:pStyle w:val="8"/>
              <w:spacing w:line="400" w:lineRule="exact"/>
              <w:ind w:firstLine="0"/>
              <w:jc w:val="center"/>
              <w:rPr>
                <w:rFonts w:ascii="仿宋" w:hAnsi="仿宋"/>
                <w:bCs/>
                <w:color w:val="auto"/>
                <w:highlight w:val="none"/>
              </w:rPr>
            </w:pPr>
            <w:r>
              <w:rPr>
                <w:rFonts w:hint="eastAsia" w:ascii="仿宋" w:hAnsi="仿宋"/>
                <w:bCs/>
                <w:color w:val="auto"/>
                <w:highlight w:val="none"/>
              </w:rPr>
              <w:t>2</w:t>
            </w:r>
          </w:p>
        </w:tc>
        <w:tc>
          <w:tcPr>
            <w:tcW w:w="473"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2-01</w:t>
            </w:r>
          </w:p>
        </w:tc>
        <w:tc>
          <w:tcPr>
            <w:tcW w:w="1003"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污水处理设备（详细标的清单见技术服务要求）</w:t>
            </w:r>
          </w:p>
        </w:tc>
        <w:tc>
          <w:tcPr>
            <w:tcW w:w="305" w:type="pct"/>
            <w:vAlign w:val="center"/>
          </w:tcPr>
          <w:p>
            <w:pPr>
              <w:pStyle w:val="8"/>
              <w:spacing w:line="400" w:lineRule="exact"/>
              <w:ind w:firstLine="0"/>
              <w:rPr>
                <w:rFonts w:ascii="仿宋" w:hAnsi="仿宋"/>
                <w:bCs/>
                <w:color w:val="auto"/>
                <w:highlight w:val="none"/>
              </w:rPr>
            </w:pPr>
            <w:r>
              <w:rPr>
                <w:rFonts w:ascii="仿宋" w:hAnsi="仿宋"/>
                <w:bCs/>
                <w:color w:val="auto"/>
                <w:highlight w:val="none"/>
              </w:rPr>
              <w:t>批</w:t>
            </w:r>
          </w:p>
        </w:tc>
        <w:tc>
          <w:tcPr>
            <w:tcW w:w="306"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1</w:t>
            </w:r>
          </w:p>
        </w:tc>
        <w:tc>
          <w:tcPr>
            <w:tcW w:w="688"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70</w:t>
            </w:r>
          </w:p>
        </w:tc>
        <w:tc>
          <w:tcPr>
            <w:tcW w:w="689"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70</w:t>
            </w:r>
          </w:p>
        </w:tc>
        <w:tc>
          <w:tcPr>
            <w:tcW w:w="687"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否</w:t>
            </w:r>
          </w:p>
        </w:tc>
        <w:tc>
          <w:tcPr>
            <w:tcW w:w="435" w:type="pct"/>
            <w:vAlign w:val="center"/>
          </w:tcPr>
          <w:p>
            <w:pPr>
              <w:pStyle w:val="8"/>
              <w:spacing w:line="400" w:lineRule="exact"/>
              <w:ind w:firstLine="0"/>
              <w:rPr>
                <w:rFonts w:ascii="仿宋" w:hAnsi="仿宋"/>
                <w:bCs/>
                <w:color w:val="auto"/>
                <w:highlight w:val="none"/>
              </w:rPr>
            </w:pPr>
            <w:r>
              <w:rPr>
                <w:rFonts w:hint="eastAsia" w:ascii="仿宋" w:hAnsi="仿宋"/>
                <w:bCs/>
                <w:color w:val="auto"/>
                <w:highlight w:val="none"/>
              </w:rPr>
              <w:t>工业</w:t>
            </w:r>
          </w:p>
        </w:tc>
      </w:tr>
    </w:tbl>
    <w:p>
      <w:pPr>
        <w:pStyle w:val="4"/>
        <w:spacing w:line="400" w:lineRule="exact"/>
        <w:rPr>
          <w:rFonts w:ascii="仿宋" w:hAnsi="仿宋"/>
          <w:color w:val="auto"/>
          <w:sz w:val="24"/>
          <w:szCs w:val="24"/>
          <w:highlight w:val="none"/>
        </w:rPr>
      </w:pPr>
      <w:r>
        <w:rPr>
          <w:rFonts w:hint="eastAsia" w:ascii="仿宋" w:hAnsi="仿宋"/>
          <w:color w:val="auto"/>
          <w:sz w:val="24"/>
          <w:szCs w:val="24"/>
          <w:highlight w:val="none"/>
        </w:rPr>
        <w:t>二、商务要求</w:t>
      </w:r>
    </w:p>
    <w:p>
      <w:pPr>
        <w:pStyle w:val="8"/>
        <w:spacing w:line="400" w:lineRule="exact"/>
        <w:ind w:firstLine="0"/>
        <w:rPr>
          <w:rFonts w:ascii="仿宋" w:hAnsi="仿宋"/>
          <w:b/>
          <w:bCs/>
          <w:color w:val="auto"/>
          <w:highlight w:val="none"/>
        </w:rPr>
      </w:pPr>
      <w:r>
        <w:rPr>
          <w:rFonts w:hint="eastAsia" w:ascii="仿宋" w:hAnsi="仿宋"/>
          <w:b/>
          <w:bCs/>
          <w:color w:val="auto"/>
          <w:highlight w:val="none"/>
        </w:rPr>
        <w:t>01包：</w:t>
      </w:r>
    </w:p>
    <w:p>
      <w:pPr>
        <w:pStyle w:val="8"/>
        <w:spacing w:line="400" w:lineRule="exact"/>
        <w:ind w:firstLine="422" w:firstLineChars="200"/>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1、交货期限要求</w:t>
      </w:r>
    </w:p>
    <w:p>
      <w:pPr>
        <w:pStyle w:val="8"/>
        <w:spacing w:line="400" w:lineRule="exact"/>
        <w:ind w:firstLine="480" w:firstLineChars="200"/>
        <w:rPr>
          <w:rFonts w:ascii="仿宋" w:hAnsi="仿宋"/>
          <w:bCs/>
          <w:color w:val="auto"/>
          <w:highlight w:val="none"/>
        </w:rPr>
      </w:pPr>
      <w:r>
        <w:rPr>
          <w:rFonts w:hint="eastAsia" w:ascii="仿宋" w:hAnsi="仿宋"/>
          <w:bCs/>
          <w:color w:val="auto"/>
          <w:highlight w:val="none"/>
        </w:rPr>
        <w:t>中标人须在签订合同后30日内送货到成都高新区西园社区卫生服务中心，并在接到采购人通知7日内完成货物安装、调试、技术培训等全部工作，否则将视为违约，招标人有权取消购货并索赔。其中体检一体机的租用期限是安装调试完成之日起一年。</w:t>
      </w:r>
    </w:p>
    <w:p>
      <w:pPr>
        <w:pStyle w:val="8"/>
        <w:spacing w:line="400" w:lineRule="exact"/>
        <w:ind w:firstLine="422" w:firstLineChars="200"/>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2、交货地点要求</w:t>
      </w:r>
    </w:p>
    <w:p>
      <w:pPr>
        <w:pStyle w:val="8"/>
        <w:spacing w:line="400" w:lineRule="exact"/>
        <w:ind w:firstLine="720" w:firstLineChars="300"/>
        <w:rPr>
          <w:rFonts w:ascii="仿宋" w:hAnsi="仿宋"/>
          <w:bCs/>
          <w:color w:val="auto"/>
          <w:highlight w:val="none"/>
        </w:rPr>
      </w:pPr>
      <w:r>
        <w:rPr>
          <w:rFonts w:hint="eastAsia" w:ascii="仿宋" w:hAnsi="仿宋"/>
          <w:bCs/>
          <w:color w:val="auto"/>
          <w:highlight w:val="none"/>
        </w:rPr>
        <w:t>中标人负责将设备送到成都高新区西园社区卫生服务中心指定收货地址，对不能及时进行安装、调试的设施设备需封箱保存，双方核对签字，保管期间有人为损伤的由招标人承担损失，质保期内设备如有质量问题由中标人承担。对需要延缓安装、调试的设施设备，中标人负责后续转运及费用承担。</w:t>
      </w:r>
    </w:p>
    <w:p>
      <w:pPr>
        <w:pStyle w:val="8"/>
        <w:spacing w:line="400" w:lineRule="exact"/>
        <w:ind w:firstLine="632" w:firstLineChars="300"/>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3、付款要求：</w:t>
      </w:r>
    </w:p>
    <w:p>
      <w:pPr>
        <w:pStyle w:val="8"/>
        <w:spacing w:line="400" w:lineRule="exact"/>
        <w:ind w:firstLine="480" w:firstLineChars="200"/>
        <w:rPr>
          <w:rFonts w:ascii="仿宋" w:hAnsi="仿宋"/>
          <w:bCs/>
          <w:color w:val="auto"/>
          <w:highlight w:val="none"/>
        </w:rPr>
      </w:pPr>
      <w:r>
        <w:rPr>
          <w:rFonts w:hint="eastAsia" w:ascii="仿宋" w:hAnsi="仿宋"/>
          <w:bCs/>
          <w:color w:val="auto"/>
          <w:highlight w:val="none"/>
        </w:rPr>
        <w:t>合同签订后10个工作日内预付合同金额的30%；全部设备到货后3个工作日内供应商提供合法有效的发票之后，采购人在30日内以银行转账方式向供应商支付合同金额70%。</w:t>
      </w:r>
    </w:p>
    <w:p>
      <w:pPr>
        <w:pStyle w:val="8"/>
        <w:spacing w:line="400" w:lineRule="exact"/>
        <w:ind w:firstLine="422" w:firstLineChars="200"/>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4、售后服务要求</w:t>
      </w:r>
    </w:p>
    <w:p>
      <w:pPr>
        <w:pStyle w:val="8"/>
        <w:spacing w:line="400" w:lineRule="exact"/>
        <w:rPr>
          <w:rFonts w:ascii="仿宋" w:hAnsi="仿宋"/>
          <w:bCs/>
          <w:color w:val="auto"/>
          <w:highlight w:val="none"/>
        </w:rPr>
      </w:pPr>
      <w:r>
        <w:rPr>
          <w:rFonts w:hint="eastAsia" w:ascii="仿宋" w:hAnsi="仿宋"/>
          <w:bCs/>
          <w:color w:val="auto"/>
          <w:highlight w:val="none"/>
        </w:rPr>
        <w:t>4.1 质保期为</w:t>
      </w:r>
      <w:r>
        <w:rPr>
          <w:rFonts w:hint="eastAsia"/>
          <w:color w:val="auto"/>
          <w:highlight w:val="none"/>
        </w:rPr>
        <w:t>验收合格之日起一年。</w:t>
      </w:r>
      <w:r>
        <w:rPr>
          <w:rFonts w:hint="eastAsia" w:ascii="仿宋" w:hAnsi="仿宋"/>
          <w:bCs/>
          <w:color w:val="auto"/>
          <w:highlight w:val="none"/>
        </w:rPr>
        <w:t>在质保期内，中标人应自带配件和安装工具对本次采购的所有产品进行上门安装调试和维护。对于人为损坏或其他不可抗拒的外部环境损坏部分，由中标人提供维修，只收取实际材料费。</w:t>
      </w:r>
    </w:p>
    <w:p>
      <w:pPr>
        <w:pStyle w:val="8"/>
        <w:spacing w:line="400" w:lineRule="exact"/>
        <w:rPr>
          <w:rFonts w:ascii="仿宋" w:hAnsi="仿宋"/>
          <w:bCs/>
          <w:color w:val="auto"/>
          <w:highlight w:val="none"/>
        </w:rPr>
      </w:pPr>
      <w:r>
        <w:rPr>
          <w:rFonts w:hint="eastAsia" w:ascii="仿宋" w:hAnsi="仿宋"/>
          <w:bCs/>
          <w:color w:val="auto"/>
          <w:highlight w:val="none"/>
        </w:rPr>
        <w:t>4.2 保修期外硬件部份维修只收取损坏的零部件费用。</w:t>
      </w:r>
    </w:p>
    <w:p>
      <w:pPr>
        <w:pStyle w:val="8"/>
        <w:spacing w:line="400" w:lineRule="exact"/>
        <w:rPr>
          <w:rFonts w:ascii="仿宋" w:hAnsi="仿宋"/>
          <w:bCs/>
          <w:color w:val="auto"/>
          <w:highlight w:val="none"/>
        </w:rPr>
      </w:pPr>
      <w:r>
        <w:rPr>
          <w:rFonts w:hint="eastAsia" w:ascii="仿宋" w:hAnsi="仿宋"/>
          <w:bCs/>
          <w:color w:val="auto"/>
          <w:highlight w:val="none"/>
        </w:rPr>
        <w:t>4.3 维修响应时间：提供每周7天每天24小时的全年无休服务；维修响应时间2小时以内；维修部门24小时内维修并排除故障，故障2天内不能修复时提供备用机，保证正常业务开展。（投标时提供单独承诺函加盖投标人公章）</w:t>
      </w:r>
    </w:p>
    <w:p>
      <w:pPr>
        <w:pStyle w:val="8"/>
        <w:spacing w:line="400" w:lineRule="exact"/>
        <w:rPr>
          <w:rFonts w:ascii="仿宋" w:hAnsi="仿宋"/>
          <w:bCs/>
          <w:color w:val="auto"/>
          <w:highlight w:val="none"/>
        </w:rPr>
      </w:pPr>
      <w:r>
        <w:rPr>
          <w:rFonts w:hint="eastAsia" w:ascii="仿宋" w:hAnsi="仿宋"/>
          <w:bCs/>
          <w:color w:val="auto"/>
          <w:highlight w:val="none"/>
        </w:rPr>
        <w:t>4.4 中标人应当针对采购人使用至少2名人员进行技术培训，培训至精通维护处理日常设备问题；对所有设备使用员工进行详细的操作使用培训直到员工能熟练使用设备。</w:t>
      </w:r>
    </w:p>
    <w:p>
      <w:pPr>
        <w:pStyle w:val="8"/>
        <w:spacing w:line="400" w:lineRule="exact"/>
        <w:rPr>
          <w:rFonts w:ascii="仿宋" w:hAnsi="仿宋"/>
          <w:bCs/>
          <w:color w:val="auto"/>
          <w:highlight w:val="none"/>
        </w:rPr>
      </w:pPr>
      <w:r>
        <w:rPr>
          <w:rFonts w:hint="eastAsia" w:ascii="仿宋" w:hAnsi="仿宋"/>
          <w:bCs/>
          <w:color w:val="auto"/>
          <w:highlight w:val="none"/>
        </w:rPr>
        <w:t>4.5 投标人应有完善的技术支持与服务体系，承诺中标后，专人负责与采购人联系售后服务事宜，必要的售后机具配置、具有专门的服务电话，能提供方便快捷的售后服务，当地有售后服务工程师常驻。（投标时提供单独承诺函加盖投标人公章）</w:t>
      </w:r>
    </w:p>
    <w:p>
      <w:pPr>
        <w:pStyle w:val="8"/>
        <w:spacing w:line="400" w:lineRule="exact"/>
        <w:rPr>
          <w:rFonts w:ascii="仿宋" w:hAnsi="仿宋"/>
          <w:bCs/>
          <w:color w:val="auto"/>
          <w:highlight w:val="none"/>
        </w:rPr>
      </w:pPr>
      <w:r>
        <w:rPr>
          <w:rFonts w:hint="eastAsia" w:ascii="仿宋" w:hAnsi="仿宋"/>
          <w:bCs/>
          <w:color w:val="auto"/>
          <w:highlight w:val="none"/>
        </w:rPr>
        <w:t>4.6 中标人为所投产品提供所需的配件，保障设备的正常运行。</w:t>
      </w:r>
    </w:p>
    <w:p>
      <w:pPr>
        <w:pStyle w:val="8"/>
        <w:spacing w:line="400" w:lineRule="exact"/>
        <w:ind w:firstLine="0"/>
        <w:rPr>
          <w:rFonts w:ascii="仿宋" w:hAnsi="仿宋"/>
          <w:b/>
          <w:bCs/>
          <w:color w:val="auto"/>
          <w:highlight w:val="none"/>
        </w:rPr>
      </w:pPr>
      <w:r>
        <w:rPr>
          <w:rFonts w:hint="eastAsia" w:ascii="仿宋" w:hAnsi="仿宋"/>
          <w:b/>
          <w:bCs/>
          <w:color w:val="auto"/>
          <w:highlight w:val="none"/>
        </w:rPr>
        <w:t>02包：</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1、污水处理站建设布局、设备、设施包含在费用报价里面。</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2、交货期及交货地点</w:t>
      </w:r>
    </w:p>
    <w:p>
      <w:pPr>
        <w:pStyle w:val="8"/>
        <w:spacing w:line="400" w:lineRule="exact"/>
        <w:ind w:firstLine="720" w:firstLineChars="300"/>
        <w:rPr>
          <w:rFonts w:ascii="仿宋" w:hAnsi="仿宋"/>
          <w:bCs/>
          <w:color w:val="auto"/>
          <w:highlight w:val="none"/>
        </w:rPr>
      </w:pPr>
      <w:r>
        <w:rPr>
          <w:rFonts w:hint="eastAsia" w:ascii="仿宋" w:hAnsi="仿宋"/>
          <w:bCs/>
          <w:color w:val="auto"/>
          <w:highlight w:val="none"/>
        </w:rPr>
        <w:t>交货期：</w:t>
      </w:r>
      <w:r>
        <w:rPr>
          <w:rFonts w:hint="eastAsia"/>
          <w:color w:val="auto"/>
          <w:highlight w:val="none"/>
        </w:rPr>
        <w:t>合同签订后30日内，</w:t>
      </w:r>
      <w:r>
        <w:rPr>
          <w:rFonts w:hint="eastAsia" w:ascii="仿宋" w:hAnsi="仿宋"/>
          <w:bCs/>
          <w:color w:val="auto"/>
          <w:highlight w:val="none"/>
        </w:rPr>
        <w:t>中标人负责将设备送到成都高新区西园社区卫生服务中心指定收货地址，对不能及时进行安装、调试的设施设备需封箱保存，双方核对签字，保管期间有人为损伤的由招标人承担损失，质保期内设备如有质量问题由中标人承担。对需要延缓安装、调试的设施设备，中标人负责后续转运及费用承担。</w:t>
      </w:r>
    </w:p>
    <w:p>
      <w:pPr>
        <w:pStyle w:val="8"/>
        <w:spacing w:line="400" w:lineRule="exact"/>
        <w:ind w:firstLine="720" w:firstLineChars="300"/>
        <w:rPr>
          <w:rFonts w:ascii="仿宋" w:hAnsi="仿宋"/>
          <w:bCs/>
          <w:color w:val="auto"/>
          <w:highlight w:val="none"/>
        </w:rPr>
      </w:pPr>
      <w:r>
        <w:rPr>
          <w:rFonts w:hint="eastAsia" w:ascii="仿宋" w:hAnsi="仿宋"/>
          <w:bCs/>
          <w:color w:val="auto"/>
          <w:highlight w:val="none"/>
        </w:rPr>
        <w:t>交货地点：</w:t>
      </w:r>
      <w:r>
        <w:rPr>
          <w:rFonts w:hint="eastAsia"/>
          <w:color w:val="auto"/>
          <w:highlight w:val="none"/>
        </w:rPr>
        <w:t>成都高新区西园社区卫生服务中心指定点位（成都高新西区范围内）。</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3、付款方法和条件：签订合同后15天内支付合同总价款的40%，设备送到指定地点后经采购人接收设备后支付合同总价款的</w:t>
      </w:r>
      <w:r>
        <w:rPr>
          <w:rFonts w:ascii="仿宋" w:hAnsi="仿宋"/>
          <w:bCs/>
          <w:color w:val="auto"/>
          <w:highlight w:val="none"/>
        </w:rPr>
        <w:t>5</w:t>
      </w:r>
      <w:r>
        <w:rPr>
          <w:rFonts w:hint="eastAsia" w:ascii="仿宋" w:hAnsi="仿宋"/>
          <w:bCs/>
          <w:color w:val="auto"/>
          <w:highlight w:val="none"/>
        </w:rPr>
        <w:t>0%，剩余合同总价款的10%待验收后两年内，每年水质达到《医疗机构水污染物排放标准》GB 18466-2005预处理标准并以第三方机构出具检测报告为准进行支付，支付比例为合同总价的5%。如果当年未达到排放标准，则扣除5%的合同金额。</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4、交货时应提供以下技术资料</w:t>
      </w:r>
    </w:p>
    <w:p>
      <w:pPr>
        <w:pStyle w:val="8"/>
        <w:spacing w:line="400" w:lineRule="exact"/>
        <w:rPr>
          <w:rFonts w:ascii="仿宋" w:hAnsi="仿宋"/>
          <w:bCs/>
          <w:color w:val="auto"/>
          <w:highlight w:val="none"/>
        </w:rPr>
      </w:pPr>
      <w:r>
        <w:rPr>
          <w:rFonts w:hint="eastAsia" w:ascii="仿宋" w:hAnsi="仿宋"/>
          <w:bCs/>
          <w:color w:val="auto"/>
          <w:highlight w:val="none"/>
        </w:rPr>
        <w:t>提供设备的安装图纸及说明、提供设备使用说明书、维护手册、备件手册、零件及易损件的图纸及相关资料、其它相关技术资料。</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5、安装调试及验收：</w:t>
      </w:r>
    </w:p>
    <w:p>
      <w:pPr>
        <w:pStyle w:val="8"/>
        <w:spacing w:line="400" w:lineRule="exact"/>
        <w:rPr>
          <w:rFonts w:ascii="仿宋" w:hAnsi="仿宋"/>
          <w:bCs/>
          <w:color w:val="auto"/>
          <w:highlight w:val="none"/>
        </w:rPr>
      </w:pPr>
      <w:r>
        <w:rPr>
          <w:rFonts w:hint="eastAsia" w:ascii="仿宋" w:hAnsi="仿宋"/>
          <w:bCs/>
          <w:color w:val="auto"/>
          <w:highlight w:val="none"/>
        </w:rPr>
        <w:t>A、供应商负责设备安装、调试。根据项目实际情况按采购人的要求进行安装、调试。货物到达生产现场后，供应商接到采购人通知后7日内到达现场组织安装、调试，达到正常运行要求，保证采购人正常使用。所需的费用包含在投标报价中。</w:t>
      </w:r>
    </w:p>
    <w:p>
      <w:pPr>
        <w:pStyle w:val="8"/>
        <w:spacing w:line="400" w:lineRule="exact"/>
        <w:rPr>
          <w:rFonts w:ascii="仿宋" w:hAnsi="仿宋"/>
          <w:bCs/>
          <w:color w:val="auto"/>
          <w:highlight w:val="none"/>
        </w:rPr>
      </w:pPr>
      <w:r>
        <w:rPr>
          <w:rFonts w:hint="eastAsia" w:ascii="仿宋" w:hAnsi="仿宋"/>
          <w:bCs/>
          <w:color w:val="auto"/>
          <w:highlight w:val="none"/>
        </w:rPr>
        <w:t>B、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pPr>
        <w:pStyle w:val="8"/>
        <w:spacing w:line="400" w:lineRule="exact"/>
        <w:rPr>
          <w:rFonts w:ascii="仿宋" w:hAnsi="仿宋"/>
          <w:bCs/>
          <w:color w:val="auto"/>
          <w:highlight w:val="none"/>
        </w:rPr>
      </w:pPr>
      <w:r>
        <w:rPr>
          <w:rFonts w:hint="eastAsia" w:ascii="仿宋" w:hAnsi="仿宋"/>
          <w:bCs/>
          <w:color w:val="auto"/>
          <w:highlight w:val="none"/>
        </w:rPr>
        <w:t>C、验收标准以招标文件及投标文件技术参数及要求和相关行业标准为准。</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6、质保期：</w:t>
      </w:r>
    </w:p>
    <w:p>
      <w:pPr>
        <w:pStyle w:val="8"/>
        <w:spacing w:line="400" w:lineRule="exact"/>
        <w:rPr>
          <w:rFonts w:ascii="仿宋" w:hAnsi="仿宋"/>
          <w:bCs/>
          <w:color w:val="auto"/>
          <w:highlight w:val="none"/>
        </w:rPr>
      </w:pPr>
      <w:r>
        <w:rPr>
          <w:rFonts w:hint="eastAsia" w:ascii="仿宋" w:hAnsi="仿宋"/>
          <w:bCs/>
          <w:color w:val="auto"/>
          <w:highlight w:val="none"/>
        </w:rPr>
        <w:t>A、</w:t>
      </w:r>
      <w:r>
        <w:rPr>
          <w:rFonts w:hint="eastAsia" w:ascii="仿宋" w:hAnsi="仿宋"/>
          <w:bCs/>
          <w:color w:val="auto"/>
          <w:highlight w:val="none"/>
        </w:rPr>
        <w:tab/>
      </w:r>
      <w:r>
        <w:rPr>
          <w:rFonts w:hint="eastAsia" w:ascii="仿宋" w:hAnsi="仿宋"/>
          <w:bCs/>
          <w:color w:val="auto"/>
          <w:highlight w:val="none"/>
        </w:rPr>
        <w:t>质保期为验收合格之日起2年。</w:t>
      </w:r>
    </w:p>
    <w:p>
      <w:pPr>
        <w:pStyle w:val="8"/>
        <w:spacing w:line="400" w:lineRule="exact"/>
        <w:rPr>
          <w:rFonts w:ascii="仿宋" w:hAnsi="仿宋"/>
          <w:bCs/>
          <w:color w:val="auto"/>
          <w:highlight w:val="none"/>
        </w:rPr>
      </w:pPr>
      <w:r>
        <w:rPr>
          <w:rFonts w:hint="eastAsia" w:ascii="仿宋" w:hAnsi="仿宋"/>
          <w:bCs/>
          <w:color w:val="auto"/>
          <w:highlight w:val="none"/>
        </w:rPr>
        <w:t>B、质保期内供应商应负责设备维修及抢修（</w:t>
      </w:r>
      <w:r>
        <w:rPr>
          <w:rFonts w:hint="eastAsia"/>
          <w:color w:val="auto"/>
          <w:highlight w:val="none"/>
        </w:rPr>
        <w:t>费用包含在本次投标报价中</w:t>
      </w:r>
      <w:r>
        <w:rPr>
          <w:rFonts w:hint="eastAsia" w:ascii="仿宋" w:hAnsi="仿宋"/>
          <w:bCs/>
          <w:color w:val="auto"/>
          <w:highlight w:val="none"/>
        </w:rPr>
        <w:t>）。</w:t>
      </w:r>
    </w:p>
    <w:p>
      <w:pPr>
        <w:pStyle w:val="8"/>
        <w:spacing w:line="400" w:lineRule="exact"/>
        <w:rPr>
          <w:rFonts w:ascii="仿宋" w:hAnsi="仿宋"/>
          <w:bCs/>
          <w:color w:val="auto"/>
          <w:highlight w:val="none"/>
        </w:rPr>
      </w:pPr>
      <w:r>
        <w:rPr>
          <w:rFonts w:hint="eastAsia" w:ascii="仿宋" w:hAnsi="仿宋"/>
          <w:bCs/>
          <w:color w:val="auto"/>
          <w:highlight w:val="none"/>
        </w:rPr>
        <w:t>C、供应商保证年开机率100％（365天/年计算），若未达到则按未正常运行时间相应延长保修期。</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7、售后服务要求：</w:t>
      </w:r>
    </w:p>
    <w:p>
      <w:pPr>
        <w:pStyle w:val="8"/>
        <w:spacing w:line="400" w:lineRule="exact"/>
        <w:rPr>
          <w:rFonts w:ascii="仿宋" w:hAnsi="仿宋"/>
          <w:bCs/>
          <w:color w:val="auto"/>
          <w:highlight w:val="none"/>
        </w:rPr>
      </w:pPr>
      <w:r>
        <w:rPr>
          <w:rFonts w:hint="eastAsia" w:ascii="仿宋" w:hAnsi="仿宋"/>
          <w:bCs/>
          <w:color w:val="auto"/>
          <w:highlight w:val="none"/>
        </w:rPr>
        <w:t>A、</w:t>
      </w:r>
      <w:r>
        <w:rPr>
          <w:rFonts w:hint="eastAsia" w:ascii="仿宋" w:hAnsi="仿宋"/>
          <w:bCs/>
          <w:color w:val="auto"/>
          <w:highlight w:val="none"/>
        </w:rPr>
        <w:tab/>
      </w:r>
      <w:r>
        <w:rPr>
          <w:rFonts w:hint="eastAsia" w:ascii="仿宋" w:hAnsi="仿宋"/>
          <w:bCs/>
          <w:color w:val="auto"/>
          <w:highlight w:val="none"/>
        </w:rPr>
        <w:t>备件送达期限：在设备的使用寿命期内，供应商应保证不超过7天。</w:t>
      </w:r>
    </w:p>
    <w:p>
      <w:pPr>
        <w:pStyle w:val="8"/>
        <w:spacing w:line="400" w:lineRule="exact"/>
        <w:rPr>
          <w:rFonts w:ascii="仿宋" w:hAnsi="仿宋"/>
          <w:bCs/>
          <w:color w:val="auto"/>
          <w:highlight w:val="none"/>
        </w:rPr>
      </w:pPr>
      <w:r>
        <w:rPr>
          <w:rFonts w:hint="eastAsia" w:ascii="仿宋" w:hAnsi="仿宋"/>
          <w:bCs/>
          <w:color w:val="auto"/>
          <w:highlight w:val="none"/>
        </w:rPr>
        <w:t>B、终身零配件供应：供应商应保证备件供应保证10年，并不高于市场调研的价格提供该设备所需的维修零配件。</w:t>
      </w:r>
    </w:p>
    <w:p>
      <w:pPr>
        <w:pStyle w:val="8"/>
        <w:spacing w:line="400" w:lineRule="exact"/>
        <w:rPr>
          <w:rFonts w:ascii="仿宋" w:hAnsi="仿宋"/>
          <w:bCs/>
          <w:color w:val="auto"/>
          <w:highlight w:val="none"/>
        </w:rPr>
      </w:pPr>
      <w:r>
        <w:rPr>
          <w:rFonts w:hint="eastAsia" w:ascii="仿宋" w:hAnsi="仿宋"/>
          <w:bCs/>
          <w:color w:val="auto"/>
          <w:highlight w:val="none"/>
        </w:rPr>
        <w:t>C、供应商在国内应有24小时电话维修系统，并列出工程师名单、联系电话、通讯地址及备件库地址和备件的详细目录。</w:t>
      </w:r>
    </w:p>
    <w:p>
      <w:pPr>
        <w:pStyle w:val="8"/>
        <w:spacing w:line="400" w:lineRule="exact"/>
        <w:rPr>
          <w:rFonts w:ascii="仿宋" w:hAnsi="仿宋"/>
          <w:bCs/>
          <w:color w:val="auto"/>
          <w:highlight w:val="none"/>
        </w:rPr>
      </w:pPr>
      <w:r>
        <w:rPr>
          <w:rFonts w:hint="eastAsia" w:ascii="仿宋" w:hAnsi="仿宋"/>
          <w:bCs/>
          <w:color w:val="auto"/>
          <w:highlight w:val="none"/>
        </w:rPr>
        <w:t>D、质保期后，供应商应向用户提供及时的技术服务和备品备件供应。</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8、供应商应明确设备设施的设计使用年限，并保证设计使用年限内设备的备件供应。</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9、供应商应充分考虑污水处理设备设施的安装问题，若房间布局需要做相应土建改造调整（</w:t>
      </w:r>
      <w:r>
        <w:rPr>
          <w:rFonts w:hint="eastAsia"/>
          <w:color w:val="auto"/>
          <w:highlight w:val="none"/>
        </w:rPr>
        <w:t>费用包含在本次投标报价中</w:t>
      </w:r>
      <w:r>
        <w:rPr>
          <w:rFonts w:hint="eastAsia" w:ascii="仿宋" w:hAnsi="仿宋"/>
          <w:bCs/>
          <w:color w:val="auto"/>
          <w:highlight w:val="none"/>
        </w:rPr>
        <w:t>）。污水处理站污水处理需达到环保局对污水排放的要求。</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10、安装调试完毕以后，供应商应提供专业第三方检测验收达标报告。</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11、配合完成污水处理站项目的环保竣工验收。</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12、协助完成污水处理在线检测监测以及信息上报。</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13、</w:t>
      </w:r>
      <w:r>
        <w:rPr>
          <w:rFonts w:hint="eastAsia"/>
          <w:color w:val="auto"/>
          <w:highlight w:val="none"/>
        </w:rPr>
        <w:t>污水处理设备正常运行后</w:t>
      </w:r>
      <w:r>
        <w:rPr>
          <w:color w:val="auto"/>
          <w:highlight w:val="none"/>
        </w:rPr>
        <w:t>1</w:t>
      </w:r>
      <w:r>
        <w:rPr>
          <w:rFonts w:hint="eastAsia"/>
          <w:color w:val="auto"/>
          <w:highlight w:val="none"/>
        </w:rPr>
        <w:t>年内的加料花费由供应商承担。</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14、提供申报排污许可证所需资料。</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15、质保期内如遇环保局及相关部门污水采样，必须保证污水采样抽查达标，如果不达标，需产生二次采样费，由供应商承担采样费，如果涉及罚款由供应商承担罚款费用。</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16、供应商设备能满足消毒技术，后期消毒耗材使用方便采购。</w:t>
      </w:r>
    </w:p>
    <w:p>
      <w:pPr>
        <w:pStyle w:val="8"/>
        <w:spacing w:line="400" w:lineRule="exact"/>
        <w:rPr>
          <w:rFonts w:ascii="仿宋" w:hAnsi="仿宋"/>
          <w:bCs/>
          <w:color w:val="auto"/>
          <w:highlight w:val="none"/>
        </w:rPr>
      </w:pPr>
      <w:r>
        <w:rPr>
          <w:rFonts w:hint="eastAsia" w:ascii="仿宋" w:hAnsi="仿宋" w:cs="宋体"/>
          <w:b/>
          <w:color w:val="auto"/>
          <w:sz w:val="21"/>
          <w:szCs w:val="21"/>
          <w:highlight w:val="none"/>
        </w:rPr>
        <w:t>*</w:t>
      </w:r>
      <w:r>
        <w:rPr>
          <w:rFonts w:hint="eastAsia" w:ascii="仿宋" w:hAnsi="仿宋"/>
          <w:bCs/>
          <w:color w:val="auto"/>
          <w:highlight w:val="none"/>
        </w:rPr>
        <w:t>17、前期污水排放量较小，供应商应增加调节池以满足后期达标排放要求（</w:t>
      </w:r>
      <w:r>
        <w:rPr>
          <w:rFonts w:hint="eastAsia"/>
          <w:color w:val="auto"/>
          <w:highlight w:val="none"/>
        </w:rPr>
        <w:t>费用包含在本次投标报价中</w:t>
      </w:r>
      <w:r>
        <w:rPr>
          <w:rFonts w:hint="eastAsia" w:ascii="仿宋" w:hAnsi="仿宋"/>
          <w:bCs/>
          <w:color w:val="auto"/>
          <w:highlight w:val="none"/>
        </w:rPr>
        <w:t>）。</w:t>
      </w:r>
    </w:p>
    <w:p>
      <w:pPr>
        <w:pStyle w:val="4"/>
        <w:spacing w:line="400" w:lineRule="exact"/>
        <w:rPr>
          <w:rFonts w:ascii="仿宋" w:hAnsi="仿宋"/>
          <w:color w:val="auto"/>
          <w:sz w:val="24"/>
          <w:szCs w:val="24"/>
          <w:highlight w:val="none"/>
        </w:rPr>
      </w:pPr>
      <w:r>
        <w:rPr>
          <w:rFonts w:hint="eastAsia" w:ascii="仿宋" w:hAnsi="仿宋"/>
          <w:color w:val="auto"/>
          <w:sz w:val="24"/>
          <w:szCs w:val="24"/>
          <w:highlight w:val="none"/>
        </w:rPr>
        <w:t>三、技术服务要求</w:t>
      </w:r>
      <w:bookmarkEnd w:id="156"/>
    </w:p>
    <w:p>
      <w:pPr>
        <w:spacing w:line="500" w:lineRule="exact"/>
        <w:rPr>
          <w:rFonts w:ascii="仿宋" w:hAnsi="仿宋"/>
          <w:b/>
          <w:color w:val="auto"/>
          <w:highlight w:val="none"/>
        </w:rPr>
      </w:pPr>
      <w:r>
        <w:rPr>
          <w:rFonts w:hint="eastAsia" w:ascii="仿宋" w:hAnsi="仿宋"/>
          <w:b/>
          <w:color w:val="auto"/>
          <w:highlight w:val="none"/>
        </w:rPr>
        <w:t>01包：</w:t>
      </w:r>
    </w:p>
    <w:tbl>
      <w:tblPr>
        <w:tblStyle w:val="33"/>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97"/>
        <w:gridCol w:w="660"/>
        <w:gridCol w:w="630"/>
        <w:gridCol w:w="6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Pr>
          <w:p>
            <w:pPr>
              <w:jc w:val="center"/>
              <w:rPr>
                <w:rFonts w:ascii="仿宋" w:hAnsi="仿宋"/>
                <w:color w:val="auto"/>
                <w:sz w:val="21"/>
                <w:highlight w:val="none"/>
              </w:rPr>
            </w:pPr>
            <w:r>
              <w:rPr>
                <w:rFonts w:hint="eastAsia" w:ascii="仿宋" w:hAnsi="仿宋"/>
                <w:color w:val="auto"/>
                <w:sz w:val="21"/>
                <w:highlight w:val="none"/>
              </w:rPr>
              <w:t>序号</w:t>
            </w:r>
          </w:p>
        </w:tc>
        <w:tc>
          <w:tcPr>
            <w:tcW w:w="997" w:type="dxa"/>
          </w:tcPr>
          <w:p>
            <w:pPr>
              <w:jc w:val="center"/>
              <w:rPr>
                <w:rFonts w:ascii="仿宋" w:hAnsi="仿宋"/>
                <w:color w:val="auto"/>
                <w:sz w:val="21"/>
                <w:highlight w:val="none"/>
              </w:rPr>
            </w:pPr>
            <w:r>
              <w:rPr>
                <w:rFonts w:hint="eastAsia" w:ascii="仿宋" w:hAnsi="仿宋"/>
                <w:color w:val="auto"/>
                <w:sz w:val="21"/>
                <w:highlight w:val="none"/>
              </w:rPr>
              <w:t>产品名称</w:t>
            </w:r>
          </w:p>
        </w:tc>
        <w:tc>
          <w:tcPr>
            <w:tcW w:w="660" w:type="dxa"/>
          </w:tcPr>
          <w:p>
            <w:pPr>
              <w:jc w:val="center"/>
              <w:rPr>
                <w:rFonts w:ascii="仿宋" w:hAnsi="仿宋"/>
                <w:color w:val="auto"/>
                <w:sz w:val="21"/>
                <w:highlight w:val="none"/>
              </w:rPr>
            </w:pPr>
            <w:r>
              <w:rPr>
                <w:rFonts w:hint="eastAsia" w:ascii="仿宋" w:hAnsi="仿宋"/>
                <w:color w:val="auto"/>
                <w:sz w:val="21"/>
                <w:highlight w:val="none"/>
              </w:rPr>
              <w:t>单位</w:t>
            </w:r>
          </w:p>
        </w:tc>
        <w:tc>
          <w:tcPr>
            <w:tcW w:w="630" w:type="dxa"/>
          </w:tcPr>
          <w:p>
            <w:pPr>
              <w:jc w:val="center"/>
              <w:rPr>
                <w:rFonts w:ascii="仿宋" w:hAnsi="仿宋"/>
                <w:color w:val="auto"/>
                <w:sz w:val="21"/>
                <w:highlight w:val="none"/>
              </w:rPr>
            </w:pPr>
            <w:r>
              <w:rPr>
                <w:rFonts w:hint="eastAsia" w:ascii="仿宋" w:hAnsi="仿宋"/>
                <w:color w:val="auto"/>
                <w:sz w:val="21"/>
                <w:highlight w:val="none"/>
              </w:rPr>
              <w:t>数量</w:t>
            </w:r>
          </w:p>
        </w:tc>
        <w:tc>
          <w:tcPr>
            <w:tcW w:w="6104" w:type="dxa"/>
          </w:tcPr>
          <w:p>
            <w:pPr>
              <w:jc w:val="center"/>
              <w:rPr>
                <w:rFonts w:ascii="仿宋" w:hAnsi="仿宋"/>
                <w:color w:val="auto"/>
                <w:sz w:val="21"/>
                <w:highlight w:val="none"/>
              </w:rPr>
            </w:pPr>
            <w:r>
              <w:rPr>
                <w:rFonts w:hint="eastAsia" w:ascii="仿宋" w:hAnsi="仿宋"/>
                <w:color w:val="auto"/>
                <w:sz w:val="21"/>
                <w:highlight w:val="none"/>
              </w:rPr>
              <w:t>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血压计</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21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1、测量范围：0～300mmHg(0～40kPa)基本误差：±3.75mmHg</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2、灵敏度：≥2.25mmHg</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3、外形尺寸：390×92×50mm（允差±5%）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4、净重：9kg（允差±5%）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听诊器</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个</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20</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1、耳挂式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2、含听诊头、导音管、耳挂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3</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体重秤</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个</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9</w:t>
            </w:r>
          </w:p>
        </w:tc>
        <w:tc>
          <w:tcPr>
            <w:tcW w:w="6104" w:type="dxa"/>
            <w:vAlign w:val="center"/>
          </w:tcPr>
          <w:p>
            <w:pPr>
              <w:widowControl/>
              <w:numPr>
                <w:ilvl w:val="0"/>
                <w:numId w:val="4"/>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铝制收缩杆，身高刻度，最长190cm（允差±5%）</w:t>
            </w:r>
          </w:p>
          <w:p>
            <w:pPr>
              <w:widowControl/>
              <w:numPr>
                <w:ilvl w:val="0"/>
                <w:numId w:val="4"/>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称量范围:0.1kg～120kg（允差±5%）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3、台面尺寸38.5×28cm（允差±5%）</w:t>
            </w:r>
          </w:p>
          <w:p>
            <w:pPr>
              <w:widowControl/>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4、净重:9.5kg（允差±5%）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4</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观灯片</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3</w:t>
            </w:r>
          </w:p>
        </w:tc>
        <w:tc>
          <w:tcPr>
            <w:tcW w:w="6104" w:type="dxa"/>
            <w:vAlign w:val="center"/>
          </w:tcPr>
          <w:p>
            <w:pPr>
              <w:widowControl/>
              <w:textAlignment w:val="center"/>
              <w:rPr>
                <w:rFonts w:ascii="仿宋" w:hAnsi="仿宋" w:cs="宋体"/>
                <w:color w:val="auto"/>
                <w:kern w:val="0"/>
                <w:sz w:val="21"/>
                <w:szCs w:val="22"/>
                <w:highlight w:val="none"/>
                <w:lang w:bidi="ar"/>
              </w:rPr>
            </w:pPr>
            <w:r>
              <w:rPr>
                <w:rFonts w:hint="eastAsia" w:ascii="仿宋" w:hAnsi="仿宋" w:cs="宋体"/>
                <w:color w:val="auto"/>
                <w:kern w:val="0"/>
                <w:sz w:val="21"/>
                <w:szCs w:val="22"/>
                <w:highlight w:val="none"/>
                <w:lang w:bidi="ar"/>
              </w:rPr>
              <w:t>1、LED单联观片灯可调光。</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2、尺寸：宽40cm×长50cm（允差±5%）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5</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标准对数视力表</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s="宋体"/>
                <w:color w:val="auto"/>
                <w:kern w:val="0"/>
                <w:sz w:val="21"/>
                <w:szCs w:val="22"/>
                <w:highlight w:val="none"/>
                <w:lang w:bidi="ar"/>
              </w:rPr>
            </w:pPr>
            <w:r>
              <w:rPr>
                <w:rFonts w:hint="eastAsia" w:ascii="仿宋" w:hAnsi="仿宋" w:cs="宋体"/>
                <w:color w:val="auto"/>
                <w:kern w:val="0"/>
                <w:sz w:val="21"/>
                <w:szCs w:val="22"/>
                <w:highlight w:val="none"/>
                <w:lang w:bidi="ar"/>
              </w:rPr>
              <w:t>1、灯光箱：LED灯光。</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2、E字型。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6</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肺功能仪</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1、≥10英寸LCD真彩液晶屏。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2、分辨率：≥800×480。</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3、全触控操作，双向压差式技术。</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4、可检测吸入和呼出气量和流速。</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★5、气体容量检测精度：±2%或±0.050L， 取其大者。</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★6、气体流量检测精度：±5%或±0.3L/s， 取其大者。</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★7、名词解释功能：点击相应测试参数名称。弹出相应名词解释功能。</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★8、一键还原功能：检测仪具有一键还原功能，可自动恢复到出厂状态。</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9、内置高速热敏打印机。</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10、全中文操作界面，具备操作步骤提示。</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11、完整的肺功能检测项目：用力肺活量测试曲线（FVC-T）；流速容量曲线（F-V）；肺活量曲线（VC）；最大通气量测试曲线（MVV-T）；用药前后及气道反应性试验。</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12、用力肺活量FVC检测：用力肺活量(FVC)、1 秒钟用力肺活量(FVC.1)、2秒钟用力肺活量(FVC.2)、3秒钟用力肺活量(FVC.3)、 1 秒率(FEV.1%) 、2秒率(FEV.2%)、3秒率(FEV.3% )、 最大呼气中段流速(MMF)、由 1 秒量推算出的最大通气量(MVV1)、体表面积(BSA1)、MVV1 与体表面积之比(MVV1/BSA)、 峰值流量(PEF)呼气至 7 5 % 肺活量时对应流速值(V75)、呼气至 50% 肺活量时对应流速值(V50)、呼气至 2 5 % 肺活量时对应流速值(V25)、 V50 与 V25 之比值(V50/V25)、V25 与身高之比(V25/H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13、肺活量（VC）检测：实测肺活量(VC)、潮气量(TV)、补吸气量(IRV)、补呼气量(ERV)、深吸气量(IC)、静息通气量(MV)、呼吸频率(RR)</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14、最大通气量（MVV）检测：实测最大通气量(MVV) 、体表面积(BSA)、 实测最大通气量与体表面积之比(MVV/BSA)</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15、以上检测项目可单独或组合进行测试，并实现自动诊断、报告预览、存储、查询与打印等功能。</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★16、配置大容量SD卡存储芯片，存储不少于1万人次的测量数据与曲线，并可重复使用。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17、经USB接口可实现与计算机工作站的双向数据通讯，并通过专用管理信息系统进行档案的数据、曲线、诊断结果查询和打印。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7</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红外线体温检测仪</w:t>
            </w:r>
          </w:p>
        </w:tc>
        <w:tc>
          <w:tcPr>
            <w:tcW w:w="660" w:type="dxa"/>
            <w:vAlign w:val="center"/>
          </w:tcPr>
          <w:p>
            <w:pPr>
              <w:widowControl/>
              <w:textAlignment w:val="center"/>
              <w:rPr>
                <w:rFonts w:ascii="仿宋" w:hAnsi="仿宋" w:cs="微软雅黑"/>
                <w:color w:val="auto"/>
                <w:kern w:val="0"/>
                <w:sz w:val="21"/>
                <w:szCs w:val="20"/>
                <w:highlight w:val="none"/>
                <w:lang w:bidi="ar"/>
              </w:rPr>
            </w:pPr>
            <w:r>
              <w:rPr>
                <w:rFonts w:hint="eastAsia" w:ascii="仿宋" w:hAnsi="仿宋" w:cs="微软雅黑"/>
                <w:color w:val="auto"/>
                <w:kern w:val="0"/>
                <w:sz w:val="21"/>
                <w:szCs w:val="20"/>
                <w:highlight w:val="none"/>
                <w:lang w:bidi="ar"/>
              </w:rPr>
              <w:t>台</w:t>
            </w:r>
          </w:p>
        </w:tc>
        <w:tc>
          <w:tcPr>
            <w:tcW w:w="630" w:type="dxa"/>
            <w:vAlign w:val="center"/>
          </w:tcPr>
          <w:p>
            <w:pPr>
              <w:widowControl/>
              <w:textAlignment w:val="center"/>
              <w:rPr>
                <w:rFonts w:ascii="仿宋" w:hAnsi="仿宋" w:cs="微软雅黑"/>
                <w:color w:val="auto"/>
                <w:kern w:val="0"/>
                <w:sz w:val="21"/>
                <w:szCs w:val="20"/>
                <w:highlight w:val="none"/>
                <w:lang w:bidi="ar"/>
              </w:rPr>
            </w:pPr>
            <w:r>
              <w:rPr>
                <w:rFonts w:hint="eastAsia" w:ascii="仿宋" w:hAnsi="仿宋" w:cs="微软雅黑"/>
                <w:color w:val="auto"/>
                <w:kern w:val="0"/>
                <w:sz w:val="21"/>
                <w:szCs w:val="20"/>
                <w:highlight w:val="none"/>
                <w:lang w:bidi="ar"/>
              </w:rPr>
              <w:t>1</w:t>
            </w:r>
          </w:p>
        </w:tc>
        <w:tc>
          <w:tcPr>
            <w:tcW w:w="6104" w:type="dxa"/>
            <w:vAlign w:val="center"/>
          </w:tcPr>
          <w:p>
            <w:pPr>
              <w:widowControl/>
              <w:numPr>
                <w:ilvl w:val="0"/>
                <w:numId w:val="5"/>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智能红外热成像体温筛检仪集光电子技术、热成像技术、图像处理技术和控制技术于一体，采用非制冷红外焦平面感应器。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 快速性：一秒钟以内就能检测出人体温度，支持多人同时经过监测区域，同时显示所有被测人员体温数值，支持≥</w:t>
            </w:r>
            <w:r>
              <w:rPr>
                <w:rFonts w:hint="eastAsia" w:ascii="仿宋" w:hAnsi="仿宋" w:cs="Arial"/>
                <w:color w:val="auto"/>
                <w:kern w:val="0"/>
                <w:sz w:val="21"/>
                <w:szCs w:val="22"/>
                <w:highlight w:val="none"/>
                <w:lang w:bidi="ar"/>
              </w:rPr>
              <w:t>8</w:t>
            </w:r>
            <w:r>
              <w:rPr>
                <w:rFonts w:hint="eastAsia" w:ascii="仿宋" w:hAnsi="仿宋" w:cs="宋体"/>
                <w:color w:val="auto"/>
                <w:kern w:val="0"/>
                <w:sz w:val="21"/>
                <w:szCs w:val="22"/>
                <w:highlight w:val="none"/>
                <w:lang w:bidi="ar"/>
              </w:rPr>
              <w:t>人。</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★3.准确性：保证测量误差精度可达±0.2℃（提供第三方机构出具的校准证书复印件）。</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4.灵敏性：温度分辨率≤0.1℃。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5.隐蔽性：可在被测对象完全不知情的情况下进行测温.</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6.体温≥37.3℃时开启声光报警装置。</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7.支持口罩识别功能。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8</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额镜</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1、反射率:≥85%。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2、焦距误差:≤150mm</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3、镜片座能按使用需要作任意方向转动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4、镜片直径80毫米（允差±5%）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9</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心电图机</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2</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1.12导心电波形能同时打印于A4大小的热敏纸；</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★2.起搏器采样率≥16,000Hz；</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★3.无需选择灵敏度，自动检测起搏器工作状态；</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4.电压分辨率≥1uV；</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5.模数转换≥24位；</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6.静息心电算法，适用于所有年龄段的人群；</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7.开机出波形时间≤7秒；</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8.内置存储容量≥800份；</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9.电池单次充电至少可供打印400份报告；</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10.屏幕可预览完整的心电图报告；</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11.更改患者信息后，可自动再分析心电波形，并作出新的诊断；</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★12.输入患者信息时，屏幕下方可显示一道ECG实时波形作监护；</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13.可以USB线连接外置打印机，将报告打印于A4纸；</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★14.可支持条形码扫描枪接收患者；</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15.U盘可存储并转移PDF或XML格式的报告；</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16.波形增益：2.5, 5, 10, 20, L=10 C=5, L=20 C=10 mm/mV, 自动；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17.记录仪分辨率：水平40 dots/mm @ 25 mm/s, 垂直8 dots/mm；</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18.心电放大器：直流耦合；</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19.走纸速度：5, 12.5, 25 &amp; 50 mm/s；</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20.重量≤5Kg。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10</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动态血压</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一 、技术性能</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 ★1、具有成人、小儿和新生儿三种测量模式。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2、可设置血压计模式和动态血压模式。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3、动态血压模式具有24小时以上血压、脉率监测功能，并支持自动和手动测量，可存储≥350条测量数据。</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4、血压计模式支持手动测量，可存储≥300条血压测量数据。</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 ★5、记录盒具有数据回顾功能。回顾界面包括数据列表、趋势图和大字体，并可以随意切换。</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 6、具有可选择性的参数报警处理功能。测量参数报警范围可设置，超出报警范围提供声光报警，报警开关可设置。</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 7、彩色液晶屏显示，同步显示测量过程和结果。</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 ★8、可以在记录盒上设置测量方案，并直接在记录盒上启动动态血压测量而不需要通过系统软件设置测量方案和启动动态血压测量；记录结束后信息录入和检查报告一次完成。</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9、可以满足设备工作≥48小时。具有电量检测和低电量报警功能。</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10、采用普通USB数据线与上位机通讯，传输数据方便、快捷。</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11、分析软件能编辑患者基本信息、医嘱信息、血压情况说明、当前用药等信息。</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12、分析软件能够编辑每条血压数据，为数据添加注释。</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13、分析软件可编辑动态血压开始记录的时间。</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★14、具有血压变异性、动脉硬化指数、平滑指数、血压晨峰值、心率与收缩压乘积等分析功能。</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15、报告内容任意选择打印：患者统计页、摘要统计页、动态血压总结页、填充式趋势图、勺状趋势图，血压统计分析柱状图、饼图页、拟合曲线、血压测量数据页、每小时血压数据总结页。</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★16、分析软件全开放、无加密，可任意安装到多台电脑上并方便后期软件免费升级。</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17、系统具有数据接口，支持远程诊断。</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二、技术参数</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1、血压</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测量方法：示波法</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测量方式：上臂测试</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测量范围：0～290mmHg（允差±5%）</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自动测量间隔：15、20、30、40、60、90、120、180、240分钟</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分辨率：≤1mmHg</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准确度：压力±3mmHg以内</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加压：压力泵自动加压方式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减压：自动阶梯减压方式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2、脉率</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范围：40～240bpm（允差±5%）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分辨率：≤1bpm</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3、显示器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≥2.4英寸彩色液晶屏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11</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动态心电图</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一、心电记录盒参数</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1、12导联心电波形同步采集，连续记录时间≥24小时。</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2、采用彩色液晶屏，液晶屏可切换显示12导联波形，预览心电波形质量。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★3、开启动态心电图记录后屏幕即完全变黑，记录盒进入省电模式；记录过程指示灯间歇性闪烁以示记录状态正常。</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★4、具有特殊事件标记功能。在记录过程中，若患者感觉身体不适，可长按MARK键进行标记。</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5、记录盒具有时钟功能，可自动记录心电检测的起始时间。</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6、通过USB接口传输数据。</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7、电源：采用电池供电。</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★8、采样频率：采集：≥1000点/秒/通道，全导联≥8000点/秒；存储：≥200点/秒/通道，全导联≥1600点/秒。</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9、增益精确度：≤10%</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10、增益稳定性：≤3%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★11、道间干扰：≤0.2mV</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★12、最小检测信号：≤50μV</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二、分析软件参数</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1、采用12导联同步分析并可选择任意通道为主分析导联。</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2、定标功能:可自由选择具有诊断意义的心电波形，并调整ST段的值，从而提高分析的准确度。</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3、具有房早、室早、长间歇、房扑、房颤、室扑、室颤、正常、干扰等十余种模板以及多种自定义模板。</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★4、模板分析过程具有分类参数调整功能，可根据R波高度、QRS波宽度、RR间期、RR间期比、QRS波面积、基线曲折度、基线漂移度等参数将波形快速进行分类。</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5、具有Demix分析功能，可对当前模板中某一子类中的心电波形进行分类。</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6、模板分析过程中，可通过鼠标右键和键盘快捷键快速改变波形类别。</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7、快速的回顾分析功能，可回顾任一时段的单导联或全导联心电图。</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8、顺序回放模板，可查看各导联ST段电压趋势图、各导联T波电压趋势图、SVE趋势图、VE趋势图、R间期趋势图、长间歇趋势图。</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顺序回放模板，可分类查看房早、房早成对、房早二联律、房早三联律、房速、室早、室早成对、室早二联律、室早三联律、长间歇、心房扑动、心房颤动、心室扑动、心室颤动、最高心率、最低心率和心动过缓等波形，并可选择保存。</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提供全程窦性心搏RR间期直方图、全程窦性心搏RR间期差值直方图、全程窦性心搏RR间期散点图、全程窦性心搏RR间期差值散点图、全程窦性心搏频谱图、全程窦性心搏三维频谱图、全程窦性心搏分析集成图、全程窦性心搏心率变异趋势图、全程窦性心搏心率变异性数据表；全心搏RR间期直方图、全心搏RR间期差值直方图、全心搏RR间期散点图、全心搏RR间期差值散点图、全心搏频谱图、全心搏三维频谱图、全心搏分析集成图、全心搏心率变异趋势图、全心搏心率变异性数据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11、ST段分析功能，可显示ST段抬高、ST段压低的心电图和每小时各个导联的ST段平均电压。</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12、房颤分析功能，可使用全程、分段的全自动、手动房颤分析。</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13、心率变异性分析功能，可进行短程≥5分钟或长程≥1小时及全程心率变异性分析。</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14、起搏分析功能，可以对AAI、VVI、DDD等所有起搏器进行分析。</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★15、具有睡眠呼吸暂停综合征分析功能，可打印睡眠窒息分析报告。通过对睡眠与觉醒时间段的心率变异性的对比与分析最后得出患有睡眠呼吸暂停综合征的可能性判断。</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★16、其他高级分析功能:心肌缺血分析、心率减速力分析、QTD离散度分析、心率震荡分析、T波电交替分析、向量心电分析、时间向量分析、心室晚电位分析。</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17、报告:可一次性选择多张，一站式打印操作。</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18、具有病例管理功能，提供病例信息的修改、删除、报告查看、病例导出、病例导入、病例查询等功能。</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★19、开放式分析软件，可拷贝并任意安装多台电脑。</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20、支持心电数据远程传输。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12</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儿童图形视力表</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1、长60cm,宽30cm,厚度0.6cm（允差±5%）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13</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色盲检查图谱</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1、开本：</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32；装帧：精装；页码：</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90；字数：</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6万字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14</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眼位板</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1、原生塑料，2、手柄长14cm;护眼板长6cm（允差±5%）,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15</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指杆</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1、不锈钢材质，2、伸长时50cm,缩起时12cm（允差±5%）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16</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遮眼勺</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1、材质：ABS塑料；2、手柄长14.5cm;护眼板长6.2cm,宽5.2cm（允差±5%）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17</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儿童身高计</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1、测量身高最低可测≤60cm,最高可测≥200cm.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18</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病人监护仪</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2</w:t>
            </w:r>
          </w:p>
        </w:tc>
        <w:tc>
          <w:tcPr>
            <w:tcW w:w="6104" w:type="dxa"/>
            <w:vAlign w:val="center"/>
          </w:tcPr>
          <w:p>
            <w:pPr>
              <w:widowControl/>
              <w:numPr>
                <w:ilvl w:val="1"/>
                <w:numId w:val="6"/>
              </w:numPr>
              <w:spacing w:line="240" w:lineRule="auto"/>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一体化便携监护仪，配置提手。</w:t>
            </w:r>
          </w:p>
          <w:p>
            <w:pPr>
              <w:widowControl/>
              <w:spacing w:line="240" w:lineRule="auto"/>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1.2、整机屏幕尺寸范围要求≥10.1英寸。</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★1.3、主机屏幕类型：彩色电容触摸屏，高分辨率≥1200×800像素。</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1.4、整机无风扇设计。</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1.5、内置锂电池，插槽式设计，无需螺丝刀工具支持快速拆卸和安装。单块锂电池支持监护仪工作时间≥4小时。</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★1.6、安全规格：ECG, TEMP, SpO2 , NIBP监测参数抗电击程度为防除颤CF型。</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1.7、监护仪设计使用年限≥10年。</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★1.8、监护仪清洁维护支持的清洁剂≥49种。</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1.9、监护仪主机工作大气压环境范围：57.0～107.4kPa（允差±2%）。</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1.10、监护仪主机工作温度环境范围：0～40°C（允差±2%）。</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1.11、监护仪主机工作湿度环境范围；15～95%（允差±2%）。</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2：监测参数：</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2.1、配置3/5导心电，呼吸，无创血压，血氧饱和度，脉搏和双通道体温参数监测</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2.2、心电监护支持HR，ST段分析，心律失常分析和QT/QTc连续实时监测，适用于适用于成人，小儿和新生儿。</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2.3、心电波形扫描速度支持6.25mm/s、12.5 mm/s、25 mm/s和50 mm/s。</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2.4、支持提供过去24小时心电概览报告查看，包括心率统计结果，心律失常统计结果，ST统计和QT/QTc统计结果。</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2.5、提供SpO2,PR和PI参数的实时监测，适用于成人，小儿和新生儿。</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2.6、支持指套式血氧探头，不低于IPX7防水等级，支持液体浸泡消毒和清洁。</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2.7、配置无创血压测量，适用于成人，小儿和新生儿。</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2.8、提供手动，自动，连续和序列4种测量模式，满足临床应用。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2.9、无创血压成人测量范围：收缩压25～290mmHg，舒张压10～250mmHg，平均压15～260mmHg （允差±2%）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19</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体检一体机（租用）</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numPr>
                <w:ilvl w:val="0"/>
                <w:numId w:val="7"/>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智能健康体检一体机采用</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19英寸高清液晶触摸屏，人机互动，语音动画视频引导检测人员自主完成健康体检。</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2、主要体检项目：</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身高、体重、BMI身体指数、人体成分、血压、心率、快速心电、血糖、尿酸、总胆固醇、血氧饱和度、体温、视力色盲，液晶屏显示，触屏操作，语音提示，打印测量结果，测量结果带有正常标准参数范围和膳食营养及运动建议等，可微信关注公众号扫码推送结果，可支持RS232数据传输公卫系统</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3、整个流程可以屏幕触摸方式，支持多点触摸屏操作，实时语音播  报，液晶显示，并提供现场打印体检结果服务。</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4、便携式设计，整机工程模具一次成型。</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各分项检测功能技术指标：</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一、身高测量：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方式：超声波探头测量身高</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性能：测量不受外界环境影响，测量精度高，站位靠前靠后都可以精准识别，实时温度补偿</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范围：60～200cm 精度：0.1cm（允差±3%）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二、体重测量：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方式：高精度平衡梁式压力传感器测量体重</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性能：具有偏心负载功能</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范围：8～200kg 精度：0.1kg（允差±3%）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三、体型指数测量：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性能：国际通用体格指数(BMI)，自动计算，指示体型（偏瘦、正常、偏胖、肥胖）</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（BMI=体重（公斤）除以身高（米）的平方，正常：18.5～24；超重：24.1～30；轻度肥胖：＞30；中度肥胖：＞35；高度肥胖：大于40）</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四、血压心率测量：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方式：臂式血压计</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性能：示波测定法全自动测量伸缩压及舒张压、心率，测量过程语音提示，使测量更加精准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范围：血压：0～299mmHg(0～39.9kpa) 脉搏：40～180times/min（允差±3%）</w:t>
            </w:r>
          </w:p>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精度：压力：±3mmHg（±0.4kpa）内脉搏数：（允差±3%）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五、脂肪测量：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性能：人体电阻法精准测量人体脂肪含量、基础代谢、人体水分量、肌肉率和肌肉量、骨盐、去脂体重、蛋白量和蛋白率、细胞内液和外液、等多种健康信息，手握脂肪把手，即可测量，操作简单，使用方便。</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身体脂肪率：5.0%～50%    分度值：0.5%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男正常体脂率约在10～20%之间，女约在17～30%之间。（允差±3%）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六、快速心电检测</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1、测量部位：所测心电信号为标准I导联（右手与左手之间）。</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2、心率测量范围：30bpm～240bpm（允差±3%）</w:t>
            </w:r>
          </w:p>
          <w:p>
            <w:pPr>
              <w:widowControl/>
              <w:numPr>
                <w:ilvl w:val="0"/>
                <w:numId w:val="7"/>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心率测量精度：±2bpm 或±2%两者取最大值</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七、血糖测量：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1、检体：指尖微血管全血。</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2、检测范围：20～600mg/dl（1.1～33.3mmol/L）（允差±3%）。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3、检测时间：每次检测所需时间小于10秒。</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4、检测精度：±20% 当血糖浓度≥75mg/dl（4.17mmol/L）</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八、尿酸测量：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1、检体：指尖微血管全血。</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2、检测范围：3～20mg/dl（0.18～1.19mmol/L）（允差±3%）。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3、检测时间：每次检测所需时间小于15秒。</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4、检测精度：±20% 当尿酸浓度≥5mg/dl（0.30mmol/L）</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九、总胆固醇测量：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1、检体：指尖微血管全血。</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2、检测范围：100～400mg/dl（2.59～10.35mmol/L）（允差±3%）。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3、检测时间：每次检测所需时间小于26秒。</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4、检测精度：±20% 当尿酸浓度≥150mg/dl（3.88mmol/L）</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十、血氧测量：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方式：智能血氧检测仪</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性能：指夹式血氧仪用于检测人体血氧饱和度，是呼吸循环的重要生理指数</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范围：35%～100%（95%～99%正常状态）（允差±3%）</w:t>
            </w:r>
          </w:p>
          <w:p>
            <w:pPr>
              <w:widowControl/>
              <w:numPr>
                <w:ilvl w:val="0"/>
                <w:numId w:val="8"/>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体温测量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方式：精密红外线体温测量仪</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性能：采用专业人体红外线测温芯片，无需接触人体表面，自动测量体温，实时监测环境温度，温度补偿，误差值不超过±0.2度</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体温范围：34℃～43℃   分度值：0.1℃   测量距离1～5CM（允差±3%）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十二、视力测量：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受检者读出每个视标的时间不得超过5秒。一般检查视力的距离为5米。</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异常结果：近视，远视，弱视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十三、色盲测量：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方式：被捡者双眼以距离图面60～80cm为标准，但也可参照具体情况情况酌情予以增加和缩短，不能超过50～100cm范围。测试者根据显示屏图示，然后选择看到的数值点击即可。</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十四、</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19英寸高清大屏触摸式测量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配液晶触摸屏，触屏式自助测量各项健康指标，智能管理系统，可自动输入性别年龄，同步智能引导式动画和语音提示，自动提示测量步骤和方法，根据指示完成整个测量过程。</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十五、打印体检报告</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激光喷墨打印功能，标准A4纸打印体检报告，报告打印方式含各项体检项目及医学解释。</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十六、基本属性</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1.电源电压: 交流（照明电）：110V～240V,50HZ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直流（蓄电池）：12V 26AH</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2、功耗:≤50Ｗ</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3、工作环境： 温度：－１０℃～＋４０℃ 湿度：＜８５％</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4、整机重量: 33kg （允差±3%）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5、外形尺寸:</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体检一体机：MAX:72(L)×52(W)×117(H)cm（允差±3%）</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身高体重测量仪：MAX:35(L)×60(W)×235(H)cm （允差±3%） 折叠后高度：130cm（允差±3%）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20</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诊断床</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张</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10</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 xml:space="preserve">1、规格：1900×650×650mm（±30mm）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2、床框采用 1.0mm（允差±3%） 冷轧钢板表面多功能处理静电喷塑。</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3、床脚采用40×40×1.2mm矩管（允差±3%），床脚隐藏于床体内，便于方便安装与运输并带防滑胶垫；四脚采用支撑扁钢固定，稳定性能强。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4、床面人革面，内衬高密度发酵泡沫。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21</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多功能检查床</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2</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1、床体单摇带摇把； 床框采用 1.0mm （允差±3%）冷轧钢板表面多功能处理静电喷塑，</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2、床脚采用40×40×1.2mm（允差±3%）矩管，床脚隐藏于床体内，带防滑胶垫；四脚采用支撑扁钢固定。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3、床面人革面，内衬高密度发酵泡沫。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22</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病床</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张</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8</w:t>
            </w:r>
          </w:p>
        </w:tc>
        <w:tc>
          <w:tcPr>
            <w:tcW w:w="6104"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尺寸：L2080×W900×H500mm（±50mm）</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1、床头：弧线设计，ABS材料整体注塑，可拆卸,四角带有防撞装置</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2.床板用碳钢冷板冲压成型，四边折边经静电喷塑处理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3.床边为60×40×1.5mm（允差±3%）的碳钢矩管焊成，静电喷塑处理；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4.床脚为50×50×1.5mm（允差±3%）的碳钢方管制成，静电喷塑处理；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5.丝杆为45#钢经冷拉成型，带双向过盈保护装置；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6、承重：静态承重为320KG（允差±3%）,动态承重为250KG（允差±3%）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7、杂物架：碳钢管焊接，静电喷塑处理；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8.其他：床四脚带有静音脚轮，可消除噪音、防滑，床面距离床边</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8cm，</w:t>
            </w:r>
          </w:p>
          <w:p>
            <w:pPr>
              <w:widowControl/>
              <w:numPr>
                <w:ilvl w:val="0"/>
                <w:numId w:val="9"/>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护栏：1.2MM（允差±3%）的铝管制作而成，带ABS刚性锁址装置，全覆式升降自如；</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10.背板可升降角度为0°～75°（允差±3%）</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11.摇把：ABS隐藏式摇把，带伸縮装置，摇动时无噪音。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23</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床头柜</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个</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8</w:t>
            </w:r>
          </w:p>
        </w:tc>
        <w:tc>
          <w:tcPr>
            <w:tcW w:w="6104"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尺寸：450×420×745mm（±20mm）</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1、床头柜体为全ABS工程塑料制作</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2、面板厚度≥4.0毫米,侧板和背板厚度≥2.8毫米,其余厚度≥2.0毫米。</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3、上抽、下柜,柜内有隔板；</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4、柜面下方带有抽板，抽板上带有专用温度计、消毒杯槽</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5、容易清洁消毒，耐消毒剂消毒，耐腐蚀；</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6、床头柜双侧各带毛巾架、手提袋挂钩,可收折。</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 实物净重≥12.6KG。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24</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中心供氧+负压吸引器</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套</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5</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中心供氧：</w:t>
            </w:r>
          </w:p>
          <w:p>
            <w:pPr>
              <w:widowControl/>
              <w:numPr>
                <w:ilvl w:val="0"/>
                <w:numId w:val="10"/>
              </w:numPr>
              <w:spacing w:line="240" w:lineRule="auto"/>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材    质：不锈钢+PU                                                      吸引器参数：</w:t>
            </w:r>
          </w:p>
          <w:p>
            <w:pPr>
              <w:widowControl/>
              <w:numPr>
                <w:ilvl w:val="0"/>
                <w:numId w:val="11"/>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电源电压：220±22V，50Hz±1Hz.</w:t>
            </w:r>
          </w:p>
          <w:p>
            <w:pPr>
              <w:widowControl/>
              <w:numPr>
                <w:ilvl w:val="0"/>
                <w:numId w:val="11"/>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电机功率：</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120VA.</w:t>
            </w:r>
          </w:p>
          <w:p>
            <w:pPr>
              <w:widowControl/>
              <w:numPr>
                <w:ilvl w:val="0"/>
                <w:numId w:val="11"/>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吸引泵：活塞泵。</w:t>
            </w:r>
          </w:p>
          <w:p>
            <w:pPr>
              <w:widowControl/>
              <w:numPr>
                <w:ilvl w:val="0"/>
                <w:numId w:val="11"/>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极限负压值：≥0.06MPa,</w:t>
            </w:r>
          </w:p>
          <w:p>
            <w:pPr>
              <w:widowControl/>
              <w:numPr>
                <w:ilvl w:val="0"/>
                <w:numId w:val="11"/>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噪音</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60dB(A)</w:t>
            </w:r>
          </w:p>
          <w:p>
            <w:pPr>
              <w:widowControl/>
              <w:numPr>
                <w:ilvl w:val="0"/>
                <w:numId w:val="11"/>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抽气速率：≥20L/min.</w:t>
            </w:r>
          </w:p>
          <w:p>
            <w:pPr>
              <w:widowControl/>
              <w:numPr>
                <w:ilvl w:val="0"/>
                <w:numId w:val="11"/>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抽气速率&gt;20L/min.</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8、贮液瓶2500ml/支，2支。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25</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输液椅</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个</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30</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1、高强度钢管，</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2、皮革面料，防滑扶手，</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3、坐垫厚度9cm（允差±3%），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4、输液架高180cm（允差±3%），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5、扶手高度62cm（允差±3%），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6、整体规格长73cm（允差±3%），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7、宽103cm（允差±3%），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8、高139cm（允差±3%）。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26</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抢救车</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2</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1、规格尺寸：1900×600×705mm（±50mm）</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2、车架床面条材料采用1.2mm（允差±5%）厚不锈钢冷轧板经专业设备折弯焊接而成，表面经过抗指纹磨砂处理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3、上架台面采用φ25×1.2mm（允差±5%）不锈钢焊管经过专用设备弯成型，采用圆弧过渡，连接管采用1.2mm（允差±5%）厚不锈钢矩管；</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4、下架所用连接板用3.0mm（允差±5%）不锈钢冷轧板，长脚腿采用φ32×1.2mm（允差±5%）不锈钢焊管，加强弯都经过设备弯成型；</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5、车带四只带刹φ125mm（允差±5%）超静音脚轮，外罩防护罩，有效阻止头发、污水等进入，推动时脚轮转动灵活、无卡塞现象,制锁可靠；</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6、车为上下架结构，上架为活动移动架；下架为车架，下架对角配有输液架插孔；</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7、下架两侧带有旋转护栏，护栏锁紧机构可靠。</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8、推车垫子内面采用泡沫，外表采用人造革面安全带；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9、配不锈钢输液架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27</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治疗车</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4</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1、规格：720×420×840（mm）±20mm；</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2、主架采用25×25×1.5mm（允差±5%）不锈钢矩管，</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3、上、下台面均采用1.2mm（允差±5%）厚不锈钢板，并且经过拉伸处理；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4、脚轮采用Φ100mm（允差±5%）人造胶静音轮，两轮带刹，推动平稳灵活，制动稳定可靠；</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5、双层带一抽，配置污物桶；</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6、上下两层均采用不锈钢管围边，方便物品摆放，不易掉落。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28</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污物车</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2</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一、规格</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1、外形尺寸：550×550×850mm±20mm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二、功能</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1、整体采用框构架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2、不锈钢污物车侧配超大容量污物袋一个。</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3、底层焊接托架，可以连接框架。</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4、脚轮采用静音防缠绕脚轮，对角带自刹车装置。</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三、整体材质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1、整体采用δ1.0mm（允差±5%）不锈钢板压折而成，整体焊接质量坚实牢固。</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2、顶框采用φ25×1.2mm（允差±5%）不锈钢圆管，立柱采用φ22×1.2mm（允差±5%）不锈钢圆管，底管采用φ13×1.0mm（允差±5%）不锈钢圆管。</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3、床脚采用4寸脚轮，静音高耐磨，带刹车装置。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29</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雾化机</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4</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电源电压：AC220V±、50Hz±1Hz</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最大雾化率：≥0.2mL/min</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压缩泵最大压强：≥0.15MPa</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熔丝管：RT1φ5×20/1.6A(403A)（允差±5%）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压缩泵自由空气流量：≥10L/min</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噪音：</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60dB(A)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30</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检查床</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张</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2</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 xml:space="preserve">1、规格：1900×650×650mm（±30mm）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2、床框采用 1.0mm （允差±3%）冷轧钢板表面多功能处理静电喷塑，</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3、床脚采用40×40×1.2mm（允差±3%）优质矩管，床脚隐藏于床体内，便于方便安装与运输并带防滑胶垫；四脚采用支撑扁钢固定，稳定性能强。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4、床面人革面，内衬高密度发酵泡沫，不容易变形。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31</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围栏床</w:t>
            </w:r>
          </w:p>
        </w:tc>
        <w:tc>
          <w:tcPr>
            <w:tcW w:w="660" w:type="dxa"/>
            <w:vAlign w:val="center"/>
          </w:tcPr>
          <w:p>
            <w:pPr>
              <w:widowControl/>
              <w:textAlignment w:val="center"/>
              <w:rPr>
                <w:rFonts w:ascii="仿宋" w:hAnsi="仿宋" w:cs="宋体"/>
                <w:color w:val="auto"/>
                <w:kern w:val="0"/>
                <w:sz w:val="21"/>
                <w:highlight w:val="none"/>
                <w:bdr w:val="single" w:color="000000" w:sz="4" w:space="0"/>
                <w:lang w:bidi="ar"/>
              </w:rPr>
            </w:pPr>
            <w:r>
              <w:rPr>
                <w:rFonts w:hint="eastAsia" w:ascii="仿宋" w:hAnsi="仿宋" w:cs="宋体"/>
                <w:color w:val="auto"/>
                <w:kern w:val="0"/>
                <w:sz w:val="21"/>
                <w:szCs w:val="22"/>
                <w:highlight w:val="none"/>
                <w:lang w:bidi="ar"/>
              </w:rPr>
              <w:t>张</w:t>
            </w:r>
          </w:p>
        </w:tc>
        <w:tc>
          <w:tcPr>
            <w:tcW w:w="630" w:type="dxa"/>
            <w:vAlign w:val="center"/>
          </w:tcPr>
          <w:p>
            <w:pPr>
              <w:widowControl/>
              <w:textAlignment w:val="center"/>
              <w:rPr>
                <w:rFonts w:ascii="仿宋" w:hAnsi="仿宋" w:cs="宋体"/>
                <w:color w:val="auto"/>
                <w:kern w:val="0"/>
                <w:sz w:val="21"/>
                <w:highlight w:val="none"/>
                <w:bdr w:val="single" w:color="000000" w:sz="4" w:space="0"/>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规格尺寸：L2080×W900×H500mm（±50mm）</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1、床头：弧线设计，ABS材料整体注塑，可拆卸,四角带有防撞装置</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2.床板用碳钢冷板冲压成型，四边折边经静电喷塑处理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3.床边为60×40×1.5mm（允差±3%）的碳钢矩管焊成，静电喷塑处理；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4.床脚为50×50×1.5mm（允差±3%）的碳钢方管制成，静电喷塑处理；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5.丝杆为45#钢经冷拉成型，带双向过盈保护装置；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6、承重：静态承重≥320KG,动态承重≥250KG</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7、杂物架：16mm（允差±3%）的碳钢管焊接，静电喷塑处理；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8、护栏：1.2MM（允差±3%）的铝管制作而成，带ABS刚性锁址装置，全覆式升降自如、安全耐用；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9.背板可升降角度为0°～75°（（允差±3%）</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10.摇把：钢制摇把，转动灵活；升降丝杆采用45#钢挤压成型，丝杆外表光滑耐用，摇杆采用万向联轴节结构，使用双向过摇打滑保护装置；并有防护装置不积尘。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32</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病人储物柜</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个</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55</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1、850×390×1800mm（允差±5%），采用0.5mm（允差±5%）冷轧钢板制作，6门。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33</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空气消毒机</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10</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1、外形：移动式；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2、消毒空间:</w:t>
            </w:r>
            <w:r>
              <w:rPr>
                <w:rFonts w:hint="eastAsia" w:ascii="仿宋" w:hAnsi="仿宋"/>
                <w:color w:val="auto"/>
                <w:sz w:val="21"/>
                <w:highlight w:val="none"/>
              </w:rPr>
              <w:t xml:space="preserve"> </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60m</w:t>
            </w:r>
            <w:r>
              <w:rPr>
                <w:rFonts w:hint="eastAsia" w:ascii="仿宋" w:hAnsi="仿宋" w:cs="宋体"/>
                <w:color w:val="auto"/>
                <w:kern w:val="0"/>
                <w:sz w:val="21"/>
                <w:szCs w:val="22"/>
                <w:highlight w:val="none"/>
                <w:vertAlign w:val="superscript"/>
                <w:lang w:bidi="ar"/>
              </w:rPr>
              <w:t>3</w:t>
            </w:r>
            <w:r>
              <w:rPr>
                <w:rFonts w:hint="eastAsia" w:ascii="仿宋" w:hAnsi="仿宋" w:cs="宋体"/>
                <w:color w:val="auto"/>
                <w:kern w:val="0"/>
                <w:sz w:val="21"/>
                <w:szCs w:val="22"/>
                <w:highlight w:val="none"/>
                <w:lang w:bidi="ar"/>
              </w:rPr>
              <w:t xml:space="preserve">；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★3、双通道立体式出风，循环风量：≥800m</w:t>
            </w:r>
            <w:r>
              <w:rPr>
                <w:rFonts w:hint="eastAsia" w:ascii="仿宋" w:hAnsi="仿宋" w:cs="宋体"/>
                <w:color w:val="auto"/>
                <w:kern w:val="0"/>
                <w:sz w:val="21"/>
                <w:szCs w:val="22"/>
                <w:highlight w:val="none"/>
                <w:vertAlign w:val="superscript"/>
                <w:lang w:bidi="ar"/>
              </w:rPr>
              <w:t>3</w:t>
            </w:r>
            <w:r>
              <w:rPr>
                <w:rFonts w:hint="eastAsia" w:ascii="仿宋" w:hAnsi="仿宋" w:cs="宋体"/>
                <w:color w:val="auto"/>
                <w:kern w:val="0"/>
                <w:sz w:val="21"/>
                <w:szCs w:val="22"/>
                <w:highlight w:val="none"/>
                <w:lang w:bidi="ar"/>
              </w:rPr>
              <w:t>/h；</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★4、消毒时空气中臭氧量≤0.1mg/m</w:t>
            </w:r>
            <w:r>
              <w:rPr>
                <w:rFonts w:hint="eastAsia" w:ascii="仿宋" w:hAnsi="仿宋" w:cs="宋体"/>
                <w:color w:val="auto"/>
                <w:kern w:val="0"/>
                <w:sz w:val="21"/>
                <w:szCs w:val="22"/>
                <w:highlight w:val="none"/>
                <w:vertAlign w:val="superscript"/>
                <w:lang w:bidi="ar"/>
              </w:rPr>
              <w:t>3</w:t>
            </w:r>
            <w:r>
              <w:rPr>
                <w:rFonts w:hint="eastAsia" w:ascii="仿宋" w:hAnsi="仿宋" w:cs="宋体"/>
                <w:color w:val="auto"/>
                <w:kern w:val="0"/>
                <w:sz w:val="21"/>
                <w:szCs w:val="22"/>
                <w:highlight w:val="none"/>
                <w:lang w:bidi="ar"/>
              </w:rPr>
              <w:t>；</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3、机内紫外线辐射强度: ≥11500uw/cm</w:t>
            </w:r>
            <w:r>
              <w:rPr>
                <w:rFonts w:hint="eastAsia" w:ascii="仿宋" w:hAnsi="仿宋" w:cs="宋体"/>
                <w:color w:val="auto"/>
                <w:kern w:val="0"/>
                <w:sz w:val="21"/>
                <w:szCs w:val="22"/>
                <w:highlight w:val="none"/>
                <w:vertAlign w:val="superscript"/>
                <w:lang w:bidi="ar"/>
              </w:rPr>
              <w:t>2</w:t>
            </w:r>
            <w:r>
              <w:rPr>
                <w:rFonts w:hint="eastAsia" w:ascii="仿宋" w:hAnsi="仿宋" w:cs="宋体"/>
                <w:color w:val="auto"/>
                <w:kern w:val="0"/>
                <w:sz w:val="21"/>
                <w:szCs w:val="22"/>
                <w:highlight w:val="none"/>
                <w:lang w:bidi="ar"/>
              </w:rPr>
              <w:t>；</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4、机外紫外线泄漏量：</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0uw /cm</w:t>
            </w:r>
            <w:r>
              <w:rPr>
                <w:rFonts w:hint="eastAsia" w:ascii="仿宋" w:hAnsi="仿宋" w:cs="宋体"/>
                <w:color w:val="auto"/>
                <w:kern w:val="0"/>
                <w:sz w:val="21"/>
                <w:szCs w:val="22"/>
                <w:highlight w:val="none"/>
                <w:vertAlign w:val="superscript"/>
                <w:lang w:bidi="ar"/>
              </w:rPr>
              <w:t>2</w:t>
            </w:r>
            <w:r>
              <w:rPr>
                <w:rFonts w:hint="eastAsia" w:ascii="仿宋" w:hAnsi="仿宋" w:cs="宋体"/>
                <w:color w:val="auto"/>
                <w:kern w:val="0"/>
                <w:sz w:val="21"/>
                <w:szCs w:val="22"/>
                <w:highlight w:val="none"/>
                <w:lang w:bidi="ar"/>
              </w:rPr>
              <w:t>；</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7、细菌总量≤200cfu/m</w:t>
            </w:r>
            <w:r>
              <w:rPr>
                <w:rFonts w:hint="eastAsia" w:ascii="仿宋" w:hAnsi="仿宋" w:cs="宋体"/>
                <w:color w:val="auto"/>
                <w:kern w:val="0"/>
                <w:sz w:val="21"/>
                <w:szCs w:val="22"/>
                <w:highlight w:val="none"/>
                <w:vertAlign w:val="superscript"/>
                <w:lang w:bidi="ar"/>
              </w:rPr>
              <w:t>3</w:t>
            </w:r>
            <w:r>
              <w:rPr>
                <w:rFonts w:hint="eastAsia" w:ascii="仿宋" w:hAnsi="仿宋" w:cs="宋体"/>
                <w:color w:val="auto"/>
                <w:kern w:val="0"/>
                <w:sz w:val="21"/>
                <w:szCs w:val="22"/>
                <w:highlight w:val="none"/>
                <w:lang w:bidi="ar"/>
              </w:rPr>
              <w:t>；</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8、负离子发生量:2×107个/cm</w:t>
            </w:r>
            <w:r>
              <w:rPr>
                <w:rFonts w:hint="eastAsia" w:ascii="仿宋" w:hAnsi="仿宋" w:cs="宋体"/>
                <w:color w:val="auto"/>
                <w:kern w:val="0"/>
                <w:sz w:val="21"/>
                <w:szCs w:val="22"/>
                <w:highlight w:val="none"/>
                <w:vertAlign w:val="superscript"/>
                <w:lang w:bidi="ar"/>
              </w:rPr>
              <w:t>3</w:t>
            </w:r>
            <w:r>
              <w:rPr>
                <w:rFonts w:hint="eastAsia" w:ascii="仿宋" w:hAnsi="仿宋" w:cs="宋体"/>
                <w:color w:val="auto"/>
                <w:kern w:val="0"/>
                <w:sz w:val="21"/>
                <w:szCs w:val="22"/>
                <w:highlight w:val="none"/>
                <w:lang w:bidi="ar"/>
              </w:rPr>
              <w:t>（允差±5%）；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9、功率: </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 xml:space="preserve">150W，噪音： </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55dB；</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10、工作电压：220V±22V，50Hz±1Hz</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11、远红外线遥控接收装置，可远距离遥控控制，左右</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45度任意操控；</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12、LED数码直观显示，时间任意设置；整机工作寿命计时；</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★13、临时消毒功能及程控自动运行消毒设定，程控不低于6个时间段消毒；</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14、采用C波段（254nm），无臭氧紫外线灯管；</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15、内置高浓度增量负离子发生器，释放负离子控制空气微粒净化空气。</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16、开机运行2小时，对空气中自然菌的平均杀灭率≥90.99%，对空气中的白葡萄菌杀灭率≥99.96%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34</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高压蒸气消毒器抽真空</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numPr>
                <w:ilvl w:val="0"/>
                <w:numId w:val="12"/>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电    源：AC220V±22V，50Hz</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2、容     积：</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18L</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3、设计压力：-0.1～0.3MPa（允差±5%）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4、额定工作压力：0.22MPa（允差±5%）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5、灭菌温度：121℃/134℃</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6、额定电压：220/50Hz</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7、灭菌器外形尺寸/mm：600×495×410（允差±3%）</w:t>
            </w:r>
          </w:p>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★8、灭菌器内腔尺寸/mm：φ247×360（允差±3%）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9、净  重（kg）：48（允差±5%）</w:t>
            </w:r>
          </w:p>
          <w:p>
            <w:pPr>
              <w:widowControl/>
              <w:numPr>
                <w:ilvl w:val="0"/>
                <w:numId w:val="9"/>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灭菌腔体材质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11、功    率:2kw（允差±5%）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12、水箱容积：3.5L（最高水位）；最小供水量0.5L（最低水位）（允差±3%）13、环境温度：5～40℃（允差±3%）</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 xml:space="preserve">14、相对湿度：不大于85%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★15、大气压力：76Kpa～106kpa（允差±3%）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35</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挂式消毒机</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10</w:t>
            </w:r>
          </w:p>
        </w:tc>
        <w:tc>
          <w:tcPr>
            <w:tcW w:w="6104" w:type="dxa"/>
            <w:vAlign w:val="center"/>
          </w:tcPr>
          <w:p>
            <w:pPr>
              <w:widowControl/>
              <w:numPr>
                <w:ilvl w:val="0"/>
                <w:numId w:val="13"/>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外形：平板式；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2、消毒空间:</w:t>
            </w:r>
            <w:r>
              <w:rPr>
                <w:rFonts w:hint="eastAsia" w:ascii="仿宋" w:hAnsi="仿宋"/>
                <w:color w:val="auto"/>
                <w:sz w:val="21"/>
                <w:highlight w:val="none"/>
              </w:rPr>
              <w:t xml:space="preserve"> </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60m</w:t>
            </w:r>
            <w:r>
              <w:rPr>
                <w:rFonts w:hint="eastAsia" w:ascii="仿宋" w:hAnsi="仿宋" w:cs="宋体"/>
                <w:color w:val="auto"/>
                <w:kern w:val="0"/>
                <w:sz w:val="21"/>
                <w:szCs w:val="22"/>
                <w:highlight w:val="none"/>
                <w:vertAlign w:val="superscript"/>
                <w:lang w:bidi="ar"/>
              </w:rPr>
              <w:t>3</w:t>
            </w:r>
            <w:r>
              <w:rPr>
                <w:rFonts w:hint="eastAsia" w:ascii="仿宋" w:hAnsi="仿宋" w:cs="宋体"/>
                <w:color w:val="auto"/>
                <w:kern w:val="0"/>
                <w:sz w:val="21"/>
                <w:szCs w:val="22"/>
                <w:highlight w:val="none"/>
                <w:lang w:bidi="ar"/>
              </w:rPr>
              <w:t>；</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3、循环风量≥800m</w:t>
            </w:r>
            <w:r>
              <w:rPr>
                <w:rFonts w:hint="eastAsia" w:ascii="宋体" w:hAnsi="宋体" w:eastAsia="宋体" w:cs="宋体"/>
                <w:color w:val="auto"/>
                <w:kern w:val="0"/>
                <w:sz w:val="21"/>
                <w:szCs w:val="22"/>
                <w:highlight w:val="none"/>
                <w:lang w:bidi="ar"/>
              </w:rPr>
              <w:t>³</w:t>
            </w:r>
            <w:r>
              <w:rPr>
                <w:rFonts w:hint="eastAsia" w:ascii="仿宋" w:hAnsi="仿宋" w:cs="宋体"/>
                <w:color w:val="auto"/>
                <w:kern w:val="0"/>
                <w:sz w:val="21"/>
                <w:szCs w:val="22"/>
                <w:highlight w:val="none"/>
                <w:lang w:bidi="ar"/>
              </w:rPr>
              <w:t>/h</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4、外型尺寸：（L×W×H）：980mm×395mm×175mm（允差±5%）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5、主机壳体选用全金属材质防潮工艺制成，下进上出风结构，避免风向对人吹；全翻盖式设计。</w:t>
            </w:r>
          </w:p>
          <w:p>
            <w:pPr>
              <w:widowControl/>
              <w:numPr>
                <w:ilvl w:val="0"/>
                <w:numId w:val="14"/>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人机共存：可在有人状态下进行连续动态消毒;</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7、紫外线辐照强度（垂直距离灯管15cm处）: ≥12800uw/cm</w:t>
            </w:r>
            <w:r>
              <w:rPr>
                <w:rFonts w:hint="eastAsia" w:ascii="仿宋" w:hAnsi="仿宋" w:cs="宋体"/>
                <w:color w:val="auto"/>
                <w:kern w:val="0"/>
                <w:sz w:val="21"/>
                <w:szCs w:val="22"/>
                <w:highlight w:val="none"/>
                <w:vertAlign w:val="superscript"/>
                <w:lang w:bidi="ar"/>
              </w:rPr>
              <w:t>2</w:t>
            </w:r>
            <w:r>
              <w:rPr>
                <w:rFonts w:hint="eastAsia" w:ascii="仿宋" w:hAnsi="仿宋" w:cs="宋体"/>
                <w:color w:val="auto"/>
                <w:kern w:val="0"/>
                <w:sz w:val="21"/>
                <w:szCs w:val="22"/>
                <w:highlight w:val="none"/>
                <w:lang w:bidi="ar"/>
              </w:rPr>
              <w:t>；</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★8、机外紫外线泄漏量：</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0 uw /cm</w:t>
            </w:r>
            <w:r>
              <w:rPr>
                <w:rFonts w:hint="eastAsia" w:ascii="仿宋" w:hAnsi="仿宋" w:cs="宋体"/>
                <w:color w:val="auto"/>
                <w:kern w:val="0"/>
                <w:sz w:val="21"/>
                <w:szCs w:val="22"/>
                <w:highlight w:val="none"/>
                <w:vertAlign w:val="superscript"/>
                <w:lang w:bidi="ar"/>
              </w:rPr>
              <w:t>2</w:t>
            </w:r>
            <w:r>
              <w:rPr>
                <w:rFonts w:hint="eastAsia" w:ascii="仿宋" w:hAnsi="仿宋" w:cs="宋体"/>
                <w:color w:val="auto"/>
                <w:kern w:val="0"/>
                <w:sz w:val="21"/>
                <w:szCs w:val="22"/>
                <w:highlight w:val="none"/>
                <w:lang w:bidi="ar"/>
              </w:rPr>
              <w:t>；</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9、消毒时空气中臭氧量≤0.1mg/m</w:t>
            </w:r>
            <w:r>
              <w:rPr>
                <w:rFonts w:hint="eastAsia" w:ascii="仿宋" w:hAnsi="仿宋" w:cs="宋体"/>
                <w:color w:val="auto"/>
                <w:kern w:val="0"/>
                <w:sz w:val="21"/>
                <w:szCs w:val="22"/>
                <w:highlight w:val="none"/>
                <w:vertAlign w:val="superscript"/>
                <w:lang w:bidi="ar"/>
              </w:rPr>
              <w:t>3</w:t>
            </w:r>
            <w:r>
              <w:rPr>
                <w:rFonts w:hint="eastAsia" w:ascii="仿宋" w:hAnsi="仿宋" w:cs="宋体"/>
                <w:color w:val="auto"/>
                <w:kern w:val="0"/>
                <w:sz w:val="21"/>
                <w:szCs w:val="22"/>
                <w:highlight w:val="none"/>
                <w:lang w:bidi="ar"/>
              </w:rPr>
              <w:t>；</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10、细菌总量≤200cfu/m</w:t>
            </w:r>
            <w:r>
              <w:rPr>
                <w:rFonts w:hint="eastAsia" w:ascii="仿宋" w:hAnsi="仿宋" w:cs="宋体"/>
                <w:color w:val="auto"/>
                <w:kern w:val="0"/>
                <w:sz w:val="21"/>
                <w:szCs w:val="22"/>
                <w:highlight w:val="none"/>
                <w:vertAlign w:val="superscript"/>
                <w:lang w:bidi="ar"/>
              </w:rPr>
              <w:t>3</w:t>
            </w:r>
            <w:r>
              <w:rPr>
                <w:rFonts w:hint="eastAsia" w:ascii="仿宋" w:hAnsi="仿宋" w:cs="宋体"/>
                <w:color w:val="auto"/>
                <w:kern w:val="0"/>
                <w:sz w:val="21"/>
                <w:szCs w:val="22"/>
                <w:highlight w:val="none"/>
                <w:lang w:bidi="ar"/>
              </w:rPr>
              <w:t xml:space="preserve">；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11、工作电源：220V±22V，50Hz±1Hz；噪声：≤50dB(A)</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12、负离子发生量:6×10^6个/cm</w:t>
            </w:r>
            <w:r>
              <w:rPr>
                <w:rFonts w:hint="eastAsia" w:ascii="仿宋" w:hAnsi="仿宋" w:cs="宋体"/>
                <w:color w:val="auto"/>
                <w:kern w:val="0"/>
                <w:sz w:val="21"/>
                <w:szCs w:val="22"/>
                <w:highlight w:val="none"/>
                <w:vertAlign w:val="superscript"/>
                <w:lang w:bidi="ar"/>
              </w:rPr>
              <w:t>3</w:t>
            </w:r>
            <w:r>
              <w:rPr>
                <w:rFonts w:hint="eastAsia" w:ascii="仿宋" w:hAnsi="仿宋" w:cs="宋体"/>
                <w:color w:val="auto"/>
                <w:kern w:val="0"/>
                <w:sz w:val="21"/>
                <w:szCs w:val="22"/>
                <w:highlight w:val="none"/>
                <w:lang w:bidi="ar"/>
              </w:rPr>
              <w:t>；（允差±3%）</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13、输入功率：≤150W</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14、远红外线遥控接收装置，可远距离遥控控制，左右</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45度任意操控；</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15、初效、中效以及HEPA高效过滤过滤网多重过滤；</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16、LED数码直观显示，时间任意设置；整机工作寿命计时；</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17、消毒后空气中细菌总数：Ⅱ、Ⅲ类无菌环境标准，安全防护分类： I类B型设备</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★18 、临时消毒功能及程控自动运行消毒设定，程控不低于6个时间段消毒；</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19、采用C波段（254nm），无臭氧紫外线灯管；</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20、内置高浓度增量负离子发生器，释放负离子控制空气微粒净化空气。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6" w:hRule="atLeast"/>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36</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超声清洗机</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1.清洗时间连续可调（ 2～30 分钟）（允差±5%）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2.清洗温度连续可调（ 20℃～80℃）（允差±5%）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3.缺水时自动停止加热。</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4.全触控面板操作</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5.多种振动模式可调节</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6.有自动沥干功能</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7、功率：200W（允差±3%），容积：</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37</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冰箱（小）</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3</w:t>
            </w:r>
          </w:p>
        </w:tc>
        <w:tc>
          <w:tcPr>
            <w:tcW w:w="6104" w:type="dxa"/>
            <w:vAlign w:val="center"/>
          </w:tcPr>
          <w:p>
            <w:pPr>
              <w:widowControl/>
              <w:numPr>
                <w:ilvl w:val="0"/>
                <w:numId w:val="15"/>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长宽高：494×494×840mm（允差±3%）</w:t>
            </w:r>
          </w:p>
          <w:p>
            <w:pPr>
              <w:widowControl/>
              <w:numPr>
                <w:ilvl w:val="0"/>
                <w:numId w:val="15"/>
              </w:numPr>
              <w:spacing w:line="240" w:lineRule="auto"/>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类型：冰吧</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3、容量：≤120L</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4、温区：单温区</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5、开门方式：侧开门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6、放置方式：立式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7、能效等级：一级能效</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8、控温方式：机械控温</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9、压缩机：定频</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10、制冷方式：直冷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38</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医用冷藏箱（中）</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3</w:t>
            </w:r>
          </w:p>
        </w:tc>
        <w:tc>
          <w:tcPr>
            <w:tcW w:w="6104" w:type="dxa"/>
            <w:vAlign w:val="center"/>
          </w:tcPr>
          <w:p>
            <w:pPr>
              <w:widowControl/>
              <w:numPr>
                <w:ilvl w:val="0"/>
                <w:numId w:val="16"/>
              </w:numPr>
              <w:spacing w:after="220" w:line="240" w:lineRule="auto"/>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样式：立式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2、有效容积：</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400升；</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3、外部尺寸（宽×深×高）：660x705x1940 mm；（允差±5%）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4、内部尺寸（宽×深×高）：570x585x1370 mm；（允差±5%）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5、净重：116 kg；（允差±5%）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6、门体配备：采用电加热双层钢化玻璃门，高温高湿下无凝露；</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7、箱体外部材质：喷涂钢板，防腐蚀、抗氧化、易清洁；</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8、内胆材质：采用HIPS耐低温高强度复合材料，耐脏易清洁；</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9、层架数量：配备</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5个可调节高度层架；</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10、保温材料：整体采购高密度聚氨酯发泡箱体；</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11、外门配有暗拉手</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12、电压范围：宽电压设计，在187V～242V范围内正常使用；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13、双锁设计：配有暗锁，同时配备可挂锁的锁孔，单门双锁；</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14、噪音值：整体设备噪音值不高于60dB(A)（声功率）；</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15、温度设置范围： 2—8℃（允差±5%）；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16、温度设置精度：温度设置精度0.1℃（允差±5%）；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17、显示控制器类型： 微电脑控制,精准控温， 箱内温度控制在2℃～8℃范围内，温度显示精确至0.1℃（允差±5%）；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18、压缩机情况：采用压缩机，制冷性能稳定性、安全性高；</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19、制冷剂情况：碳氢环保无氟制冷剂；</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20、温度均匀度：大风机和分层送风技术，确保温度均匀性和波动均匀度不高于1℃；</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21、温度波动性：波动值不高于2℃；</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22、风机配备：采用蒸发风机，保证运行低噪稳定；</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23、蒸发器及制冷方式：采用翅片蒸发器真风冷制冷，确保温度均匀；</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24、降温时间：25℃环境下，空载从室温冷藏降温至特性点温度用时不高于45min；</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25、多重报警功能：超温报警、开门报警、传感器故障报警、断电报警、后备电池电量低报警；</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26、三种报警方式：声音蜂鸣，LED显示闪烁，远程报警</w:t>
            </w:r>
          </w:p>
          <w:p>
            <w:pPr>
              <w:widowControl/>
              <w:spacing w:after="220"/>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27、多重保护功能：压缩机开机延时启动保护；压缩机停机间隔保护；控制器密码保护，防止参数随意调整；</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28、配备两个温度模拟感温盒，模拟物品储存温度，确保温度数据显示与储存温度一致；</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29、配套打印机接口，可连接打印机直接打印温度数据；</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30、测试孔：配置</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1个测试孔；</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31、温度数据记录：配置USB数据导出模块，同步记录箱内温度数据；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39</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医用冷藏箱（大）</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4</w:t>
            </w:r>
          </w:p>
        </w:tc>
        <w:tc>
          <w:tcPr>
            <w:tcW w:w="6104"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★1、样式：立式，半发泡门体、搭配宽门封，双开门。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2、有效容积：</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1000L。外部尺寸（宽×深×高）≤1225×795×1980（mm）内部尺寸（宽×深×高）≥1105×640×1490（mm）。</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3、气候类型：ST。使用环境温度10℃～38℃（允差±3%）</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4、储藏温度（℃）：2～8。LED显示，可自由设定温度，温度显示精确为0.1℃。（允差±5%）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5、温度控制：保持箱内温度恒定，可在2℃～8℃（允差±5%）范围内设定；箱内温度传感器为NTC，数量</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6、采用宽电压设置，具有电压自动补偿功能，使用电压范围（V）：187～242。</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★7、制冷系统：采用R290无氟环保碳氢制冷剂，变频制冷；耗电量≤4（kW·h/24h）。</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8、采用高效变频压缩机，高效可靠；EBM高效风机，节能低噪。整体箱内温度均匀度≤1.5℃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★9、整体噪音值</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45（dB(A)）。</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★10、采用高效翅片蒸发器、翅片冷凝器，常温环境下降温时间</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40min.</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★11、箱内采用热气化霜，且对箱体内温度影响小；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12、箱体内外部材料均采用彩色涂层钢板，防腐蚀.抗氧化.易清洁。</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13、采用高密度聚氨酯发泡剂，S-PVC门封，门封采用使用寿命长，整体保温效果、密封性能好。</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14、采用双层电加热半发泡玻璃门，保温效果好，并且可以有效防止凝露；</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15、箱体配置</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1个测试孔，方便用户添加第三方检测探头。</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16、配置USB模块，同步记录箱内温度数据，同时可支持连接打印机，实时打印箱内温度；</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17、控制器具有密码保护功能，防止随意调整运行参数；</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18、配置有漏电保护的电源线；</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19、多重报警功能：超温报警、开门报警、传感器故障报警、断电报警（断电后可持续显示柜内温度48h以上）、后备电池低电量报警；</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19、三种报警方式：声音蜂鸣，灯光闪烁，远程报警</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20、双门锁设计，防止随意开启</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21、三重保护功能：压缩机开机延时启动保护，压缩机停机间隔保护，控制器密码保护。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40</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妇科检查床</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4</w:t>
            </w:r>
          </w:p>
        </w:tc>
        <w:tc>
          <w:tcPr>
            <w:tcW w:w="6104"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规    格：1300×550×750mm（±50mm）</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1、床架采用不锈钢经专业设备加工，无毛刺；</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2、主管材料38×1.5mm，架管22×1.5mm；（允差±3%）</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3、背板升降采用蜗杆传动，左右两边同步摇动，转动轻巧灵活、无噪音，摇把不用时可折叠；</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4、床板两边带有不锈钢拉手，检查是可帮助病人放松；</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5、床垫采用皮革，防水；内衬高密度海绵；</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6、全钢制托脚架，带万像调节功能，平面罩有人造皮革</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7、床脚套有工程塑料防滑胶套。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41</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犬伤冲洗设备</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★1.适用于擦伤、开放性创伤、犬咬伤、武器伤、褥疮、糖尿病溃疡、外科手术感染创面的清创。</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★2.触摸液晶屏</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10.1英寸全真色医用级高清智能屏，实现触摸智能控制。</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工作模式：三种冲洗液（弱碱性皮肤黏膜清洗消毒剂、清水和生理盐水）自动反复交替冲洗（完全满足狂犬病暴露预防处置工作规范要求），也可以手动冲洗。均为一键操作。参数记忆，应用维护方便，操作简单。</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4.工作电压：DC24V</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5.总功率≤250VA</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6.脉动压力冲洗流量：0 L/min～3 L/min允差±5%，连续可调。脉动压力清创的关键在于蠕动泵的产生一定频率的脉冲水流，主要用于大面积开放性创面清创。</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7.脉动冲洗压力：最大冲洗压力</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56kPa，不会造成裸露组织的水肿</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8.蠕动泵转速＜600 r/min</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9.压力冲洗刀头大号（扇面）、中号（扇面）和小号（注型）三种刀头选择，以满足不同临床需求。</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★10.冲洗管路：压力冲洗管路外置，方便更换，清创液体不过主机内部，防止交叉感染。</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11.控制模式：触摸屏开关二种方式可以任意切换，以满足不同场景需求。</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12.语音提示：各种工作状态语音播报</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13.针式打印：单联针式打印处置记录单，便于统方和永久保存。</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14.管路自洁：以免长期不用卫生不达标的情况</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15.便于移动：底部配有万向轮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42</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可移动输液架</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个</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30</w:t>
            </w:r>
          </w:p>
        </w:tc>
        <w:tc>
          <w:tcPr>
            <w:tcW w:w="6104" w:type="dxa"/>
            <w:vAlign w:val="center"/>
          </w:tcPr>
          <w:p>
            <w:pPr>
              <w:widowControl/>
              <w:numPr>
                <w:ilvl w:val="0"/>
                <w:numId w:val="17"/>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铸铁脚架</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2、塑料脚轮，推动灵活、轻便无噪音；</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3、架管采用不锈钢，并且能够自由伸缩，带塑料锁紧手柄；</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4、架管内装有弹簧，能减少放下内管是的噪音，并且缓冲下降力度；</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5、带</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两根不锈钢液体挂钩。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43</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黄疸测量仪</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numPr>
                <w:ilvl w:val="0"/>
                <w:numId w:val="18"/>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液晶显示屏带背光，方便夜间使用；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2、自动计算1～5次平均值，测量值和平均值同时显示；</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3、可删除粗大误差数据；</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4、3位数字显示，直接读取测试结果</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★5、两种单位显示mg/dl、μmol/l，可根据需要切换单位，无需对照换算表格；</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★6、电池采用镍氢电池，每充足一次电能检测</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800次</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7、仪器无操作自动关机。</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 检测方式：光反射式，蓝色光波(450nm)、绿色光波(550nm)比较</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 显示方法：LCD显示屏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 示值误差：00～15±1mg/dL、16～25±1.5mg/dL（允差±5%）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 精密度：RSD≤2%</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 光源：氙闪光灯</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13. 电源：镍氢充电电池</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14.重量 ：≤157g（含电池组）</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★15.尺寸(mm) ：175（长）×68（宽）×26（厚）（允差±5%）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16.校验盘：对白色屏显示00.0mg/dl或00.1mg/dl，对黄色屏显示20.0±0.5mg/dl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44</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封口机</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1、用途和要求：对各类器械进行封口。</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2、工作条件：放在平稳的地点操作</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3、技术参数</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电    压：AC220V 50Hz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功    率：500W </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封口宽度：</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250mm</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压痕宽度：10mm（允差±5%）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机体尺寸：405×355×290mm（允差±5%）重    量：5.5kg （允差±5%）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45</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艾灸排烟器+管道装置</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套</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3</w:t>
            </w:r>
          </w:p>
        </w:tc>
        <w:tc>
          <w:tcPr>
            <w:tcW w:w="6104" w:type="dxa"/>
            <w:vAlign w:val="center"/>
          </w:tcPr>
          <w:p>
            <w:pPr>
              <w:widowControl/>
              <w:numPr>
                <w:ilvl w:val="0"/>
                <w:numId w:val="19"/>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艾灸专用万向吸气臂：Φ78（允差±5%）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1.1吸气臂身铝氧化，氧化厚度：1.2um（允差±5%），表面光滑、平整</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1.2臂身标准长度（允差±3%）：共4节，第一节长度30cm，第二节长度65cm，第三节长度55cm，第四节长度15cm</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1.3带球型风量调节阀：风量调节阀要求是半球型状，在吸气口的第一节关节链接处。风量调节阀和第一节关节为一体化设计。调节风量0m</w:t>
            </w:r>
            <w:r>
              <w:rPr>
                <w:rFonts w:hint="eastAsia" w:ascii="宋体" w:hAnsi="宋体" w:eastAsia="宋体" w:cs="宋体"/>
                <w:color w:val="auto"/>
                <w:kern w:val="0"/>
                <w:sz w:val="21"/>
                <w:szCs w:val="22"/>
                <w:highlight w:val="none"/>
                <w:lang w:bidi="ar"/>
              </w:rPr>
              <w:t>³</w:t>
            </w:r>
            <w:r>
              <w:rPr>
                <w:rFonts w:hint="eastAsia" w:ascii="仿宋" w:hAnsi="仿宋" w:cs="宋体"/>
                <w:color w:val="auto"/>
                <w:kern w:val="0"/>
                <w:sz w:val="21"/>
                <w:szCs w:val="22"/>
                <w:highlight w:val="none"/>
                <w:lang w:bidi="ar"/>
              </w:rPr>
              <w:t>/h～300m</w:t>
            </w:r>
            <w:r>
              <w:rPr>
                <w:rFonts w:hint="eastAsia" w:ascii="宋体" w:hAnsi="宋体" w:eastAsia="宋体" w:cs="宋体"/>
                <w:color w:val="auto"/>
                <w:kern w:val="0"/>
                <w:sz w:val="21"/>
                <w:szCs w:val="22"/>
                <w:highlight w:val="none"/>
                <w:lang w:bidi="ar"/>
              </w:rPr>
              <w:t>³</w:t>
            </w:r>
            <w:r>
              <w:rPr>
                <w:rFonts w:hint="eastAsia" w:ascii="仿宋" w:hAnsi="仿宋" w:cs="宋体"/>
                <w:color w:val="auto"/>
                <w:kern w:val="0"/>
                <w:sz w:val="21"/>
                <w:szCs w:val="22"/>
                <w:highlight w:val="none"/>
                <w:lang w:bidi="ar"/>
              </w:rPr>
              <w:t>/h，使用者可以凭手感知道“关”“闭”状态</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1.4可根据客户的需求定制吸气臂的旋转半径，最长</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2米</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可以360°旋转，任意位置旋停。吸气口口径：Φ78（允差±5%），可根据临床需求来调节灵活度，无任何死角，可伸展、收折</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2、艾灸专用集气罩：420×620mm（允差±5%）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2.1收集艾灸气体、艾灸颗粒及粉尘</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2.2颜色：透明材质，耐高温达120°C（允差±5%）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2.3集气罩尺寸：420×620mm；585X870mm;420×320mm；Φ285；Φ385（允差±5%）</w:t>
            </w:r>
          </w:p>
          <w:p>
            <w:pPr>
              <w:widowControl/>
              <w:ind w:left="110"/>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2.4清洗方法：用清水或洗涤剂擦洗即可</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2.5集气罩可以360°旋转</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3、安装支架：210×210×1000mm允（允差±5%）</w:t>
            </w:r>
          </w:p>
          <w:p>
            <w:pPr>
              <w:widowControl/>
              <w:ind w:left="110"/>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3.1长度及规格：210×210×1200mm（允差±5%）</w:t>
            </w:r>
          </w:p>
          <w:p>
            <w:pPr>
              <w:widowControl/>
              <w:ind w:left="110"/>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3.2吸口尺寸：Φ95（允差±5%），可拆卸</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4、安装底座：210×210mm（允差±5%）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4.1采用2mm（允差±5%）的铁板切割加工并喷漆而成（长度根据图纸来制作）</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4.2定位孔径：Φ12（允差±5%）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4.3底座尺寸：240×240mm（允差±5%）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5、装饰盖：150×150×15mm（允差±5%）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6、艾灸专用内风机：115W（允差±5%）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7、主管道：Φ110（允差±5%）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8、电线：ZRLV4㎜</w:t>
            </w:r>
            <w:r>
              <w:rPr>
                <w:rFonts w:hint="eastAsia" w:ascii="宋体" w:hAnsi="宋体" w:eastAsia="宋体" w:cs="宋体"/>
                <w:color w:val="auto"/>
                <w:kern w:val="0"/>
                <w:sz w:val="21"/>
                <w:szCs w:val="22"/>
                <w:highlight w:val="none"/>
                <w:lang w:bidi="ar"/>
              </w:rPr>
              <w:t>²</w:t>
            </w:r>
            <w:r>
              <w:rPr>
                <w:rFonts w:hint="eastAsia" w:ascii="仿宋" w:hAnsi="仿宋" w:cs="仿宋"/>
                <w:color w:val="auto"/>
                <w:kern w:val="0"/>
                <w:sz w:val="21"/>
                <w:szCs w:val="22"/>
                <w:highlight w:val="none"/>
                <w:lang w:bidi="ar"/>
              </w:rPr>
              <w:t>（允差±</w:t>
            </w:r>
            <w:r>
              <w:rPr>
                <w:rFonts w:hint="eastAsia" w:ascii="仿宋" w:hAnsi="仿宋" w:cs="宋体"/>
                <w:color w:val="auto"/>
                <w:kern w:val="0"/>
                <w:sz w:val="21"/>
                <w:szCs w:val="22"/>
                <w:highlight w:val="none"/>
                <w:lang w:bidi="ar"/>
              </w:rPr>
              <w:t>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9、电线：1.5㎜</w:t>
            </w:r>
            <w:r>
              <w:rPr>
                <w:rFonts w:hint="eastAsia" w:ascii="宋体" w:hAnsi="宋体" w:eastAsia="宋体" w:cs="宋体"/>
                <w:color w:val="auto"/>
                <w:kern w:val="0"/>
                <w:sz w:val="21"/>
                <w:szCs w:val="22"/>
                <w:highlight w:val="none"/>
                <w:lang w:bidi="ar"/>
              </w:rPr>
              <w:t>²</w:t>
            </w:r>
            <w:r>
              <w:rPr>
                <w:rFonts w:hint="eastAsia" w:ascii="仿宋" w:hAnsi="仿宋" w:cs="仿宋"/>
                <w:color w:val="auto"/>
                <w:kern w:val="0"/>
                <w:sz w:val="21"/>
                <w:szCs w:val="22"/>
                <w:highlight w:val="none"/>
                <w:lang w:bidi="ar"/>
              </w:rPr>
              <w:t>（允差±</w:t>
            </w:r>
            <w:r>
              <w:rPr>
                <w:rFonts w:hint="eastAsia" w:ascii="仿宋" w:hAnsi="仿宋" w:cs="宋体"/>
                <w:color w:val="auto"/>
                <w:kern w:val="0"/>
                <w:sz w:val="21"/>
                <w:szCs w:val="22"/>
                <w:highlight w:val="none"/>
                <w:lang w:bidi="ar"/>
              </w:rPr>
              <w:t>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10、电源控制系统：10A（允差±5%）</w:t>
            </w:r>
          </w:p>
          <w:p>
            <w:pPr>
              <w:widowControl/>
              <w:numPr>
                <w:ilvl w:val="0"/>
                <w:numId w:val="9"/>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三通接头：D110（允差±5%）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12、弯头：Φ200（允差±5%）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13、排式吊卡：110（允差±5%）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14、线管：Φ10（允差±5%）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15、软连接头：Φ200（允差±5%）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16、防振垫：300×300×300mm（允差±5%）</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★17、艾灸专用油烟过滤装置：Φ120（允差±5%）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46</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筛查工具箱</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筛查工具数量</w:t>
            </w:r>
            <w:r>
              <w:rPr>
                <w:rStyle w:val="85"/>
                <w:rFonts w:hint="default" w:ascii="仿宋" w:hAnsi="仿宋" w:eastAsia="仿宋"/>
                <w:color w:val="auto"/>
                <w:sz w:val="21"/>
                <w:highlight w:val="none"/>
                <w:lang w:bidi="ar"/>
              </w:rPr>
              <w:t>≥20种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47</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出诊箱</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3</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铝合金材质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48</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卧室量床</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张</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2</w:t>
            </w:r>
          </w:p>
        </w:tc>
        <w:tc>
          <w:tcPr>
            <w:tcW w:w="6104" w:type="dxa"/>
            <w:vAlign w:val="center"/>
          </w:tcPr>
          <w:p>
            <w:pPr>
              <w:widowControl/>
              <w:numPr>
                <w:ilvl w:val="0"/>
                <w:numId w:val="20"/>
              </w:numPr>
              <w:spacing w:line="240" w:lineRule="auto"/>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ABS环保无毒工程塑料</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2.测量体重,自动感应系统</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3.测量身高,可伸缩式量板</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3.测量头围,带皮尺测量头围</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4.大屏幕数字化</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3.0英寸LED显示</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5.可与电脑链接，免费提供蓝牙通讯协议</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6.通讯接口：通过蓝牙可与计算机连接</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技术参数：</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1.测量范围：体重：0.1～25kg（允差±5%）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            身高：46～80cm（允差±5%）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2.测量数值：体重：分度值:5g（允差±5%）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 xml:space="preserve">            身高：分度值:0.1cm（允差±5%）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3.电池电压：1.5V电池</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4.测量速度：</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380人次/小时</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5.数据输出：蓝牙传输</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6.整机重量：净重：2.6kg（允差±5%）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7.尺寸：604×360×89（mm）允差±5%</w:t>
            </w:r>
          </w:p>
          <w:p>
            <w:pPr>
              <w:widowControl/>
              <w:spacing w:line="240" w:lineRule="auto"/>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性能：</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1.传输：可与计算机连接，方便统计数据以备存档</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2.防潮：全封闭结构机身，一体式无螺丝外观</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3.稳准：高精传感器，精确到100g（允差±5%）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4.显示：大屏白底黑字背光分段显示</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5.专业：蓝牙芯片，快速连接，双重传输模式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6.存储：支持</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8用户，带测量数据存储对比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olor w:val="auto"/>
                <w:sz w:val="21"/>
                <w:highlight w:val="none"/>
              </w:rPr>
              <w:t>49</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口腔医师凳子</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个</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3</w:t>
            </w:r>
          </w:p>
        </w:tc>
        <w:tc>
          <w:tcPr>
            <w:tcW w:w="6104" w:type="dxa"/>
            <w:vAlign w:val="center"/>
          </w:tcPr>
          <w:p>
            <w:pPr>
              <w:widowControl/>
              <w:numPr>
                <w:ilvl w:val="0"/>
                <w:numId w:val="21"/>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长/宽/高：54.5cm×25.5cm×52cm（允差±5%）</w:t>
            </w:r>
          </w:p>
          <w:p>
            <w:pPr>
              <w:widowControl/>
              <w:numPr>
                <w:ilvl w:val="0"/>
                <w:numId w:val="21"/>
              </w:numPr>
              <w:spacing w:line="240" w:lineRule="auto"/>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材质   ：PU</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3、椅子骨架：不锈钢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50</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联排候诊椅</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个</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150</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1. 扶手脚；采用1.1mm （允差±5%）冷轧钢，模具铸型 焊接而成，抛光后除锈电镀。</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 坐板；采用1.0 mm（允差±5%）精选冷轧钢板冲孔，静电喷漆 表面光滑，经久耐用。</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 边条；1.1mm （允差±5%）的冷轧钢压边条，抛光后静电除锈后电镀。</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 横梁；采用1.2mm （允差±5%）鞍钢带钢拉伸，酸洗防锈处理后，静电喷漆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位数：</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三人位</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尺寸/CM：1750X680X760（允差±5%）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座板宽度：50cm（单个座板）（允差±5%）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重量/kg：21.5（允差±5%）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51</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柜台</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个</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6</w:t>
            </w:r>
          </w:p>
        </w:tc>
        <w:tc>
          <w:tcPr>
            <w:tcW w:w="6104" w:type="dxa"/>
            <w:vAlign w:val="center"/>
          </w:tcPr>
          <w:p>
            <w:pPr>
              <w:widowControl/>
              <w:numPr>
                <w:ilvl w:val="0"/>
                <w:numId w:val="22"/>
              </w:numPr>
              <w:textAlignment w:val="center"/>
              <w:rPr>
                <w:rFonts w:ascii="仿宋" w:hAnsi="仿宋" w:cs="宋体"/>
                <w:color w:val="auto"/>
                <w:kern w:val="0"/>
                <w:sz w:val="21"/>
                <w:szCs w:val="22"/>
                <w:highlight w:val="none"/>
                <w:lang w:bidi="ar"/>
              </w:rPr>
            </w:pPr>
            <w:r>
              <w:rPr>
                <w:rFonts w:hint="eastAsia" w:ascii="仿宋" w:hAnsi="仿宋" w:cs="宋体"/>
                <w:color w:val="auto"/>
                <w:kern w:val="0"/>
                <w:sz w:val="21"/>
                <w:szCs w:val="22"/>
                <w:highlight w:val="none"/>
                <w:lang w:bidi="ar"/>
              </w:rPr>
              <w:t>工作台长1600mm×宽700mm×高850mm（允差±5%）。</w:t>
            </w:r>
          </w:p>
          <w:p>
            <w:pPr>
              <w:widowControl/>
              <w:numPr>
                <w:ilvl w:val="255"/>
                <w:numId w:val="0"/>
              </w:numP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2、不锈钢底面材质。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52</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除湿机</w:t>
            </w:r>
          </w:p>
        </w:tc>
        <w:tc>
          <w:tcPr>
            <w:tcW w:w="66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台</w:t>
            </w:r>
          </w:p>
        </w:tc>
        <w:tc>
          <w:tcPr>
            <w:tcW w:w="630" w:type="dxa"/>
            <w:vAlign w:val="center"/>
          </w:tcPr>
          <w:p>
            <w:pPr>
              <w:widowControl/>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4</w:t>
            </w:r>
          </w:p>
        </w:tc>
        <w:tc>
          <w:tcPr>
            <w:tcW w:w="6104" w:type="dxa"/>
            <w:vAlign w:val="center"/>
          </w:tcPr>
          <w:p>
            <w:pPr>
              <w:widowControl/>
              <w:numPr>
                <w:ilvl w:val="0"/>
                <w:numId w:val="23"/>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电源：220V/50HZ</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2、功率：265W（允差±5%）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3、制冷剂：R134a/170g（允差±5%）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4、定时功能：</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24小时定时</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5、湿度调节范围：30%～80%RH（允差±5%）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6、高温功率：315W(30℃/80%RH)（允差±5%）</w:t>
            </w:r>
          </w:p>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7、最大除湿量：22L/D（允差±5%）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8、名义除湿量：0.4kg/h(27℃/60%RH)（允差±5%）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9、总重量：14kg（允差±5%）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10、排水方式：水箱/软管外接排水</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11、压缩机</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12、控制方式：智能全触屏 断电自动记忆 水满自动停机</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13、净化装置：负离子净化</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14、机身尺寸：320×255×490mm（允差±5%）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53</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DDST或DST检查桌椅</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套</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numPr>
                <w:ilvl w:val="0"/>
                <w:numId w:val="24"/>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桌材质：木质，</w:t>
            </w:r>
          </w:p>
          <w:p>
            <w:pPr>
              <w:widowControl/>
              <w:numPr>
                <w:ilvl w:val="0"/>
                <w:numId w:val="24"/>
              </w:numPr>
              <w:spacing w:line="240" w:lineRule="auto"/>
              <w:textAlignment w:val="cente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桌子长宽高：80×50×50cm（允差±5%）</w:t>
            </w:r>
          </w:p>
          <w:p>
            <w:pPr>
              <w:widowControl/>
              <w:numPr>
                <w:ilvl w:val="0"/>
                <w:numId w:val="24"/>
              </w:numPr>
              <w:spacing w:line="240" w:lineRule="auto"/>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椅子长宽高：50×26×26cm（允差±5%）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vAlign w:val="center"/>
          </w:tcPr>
          <w:p>
            <w:pPr>
              <w:widowControl/>
              <w:jc w:val="center"/>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54</w:t>
            </w:r>
          </w:p>
        </w:tc>
        <w:tc>
          <w:tcPr>
            <w:tcW w:w="997"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病房呼叫系统</w:t>
            </w:r>
          </w:p>
        </w:tc>
        <w:tc>
          <w:tcPr>
            <w:tcW w:w="66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套</w:t>
            </w:r>
          </w:p>
        </w:tc>
        <w:tc>
          <w:tcPr>
            <w:tcW w:w="630" w:type="dxa"/>
            <w:vAlign w:val="center"/>
          </w:tcPr>
          <w:p>
            <w:pPr>
              <w:rPr>
                <w:rFonts w:ascii="仿宋" w:hAnsi="仿宋" w:cs="宋体"/>
                <w:color w:val="auto"/>
                <w:kern w:val="0"/>
                <w:sz w:val="21"/>
                <w:highlight w:val="none"/>
                <w:lang w:bidi="ar"/>
              </w:rPr>
            </w:pPr>
            <w:r>
              <w:rPr>
                <w:rFonts w:hint="eastAsia" w:ascii="仿宋" w:hAnsi="仿宋" w:cs="宋体"/>
                <w:color w:val="auto"/>
                <w:kern w:val="0"/>
                <w:sz w:val="21"/>
                <w:szCs w:val="22"/>
                <w:highlight w:val="none"/>
                <w:lang w:bidi="ar"/>
              </w:rPr>
              <w:t>1</w:t>
            </w:r>
          </w:p>
        </w:tc>
        <w:tc>
          <w:tcPr>
            <w:tcW w:w="6104" w:type="dxa"/>
            <w:vAlign w:val="center"/>
          </w:tcPr>
          <w:p>
            <w:pPr>
              <w:widowControl/>
              <w:textAlignment w:val="center"/>
              <w:rPr>
                <w:rFonts w:ascii="仿宋" w:hAnsi="仿宋"/>
                <w:color w:val="auto"/>
                <w:sz w:val="21"/>
                <w:highlight w:val="none"/>
              </w:rPr>
            </w:pPr>
            <w:r>
              <w:rPr>
                <w:rFonts w:hint="eastAsia" w:ascii="仿宋" w:hAnsi="仿宋" w:cs="宋体"/>
                <w:color w:val="auto"/>
                <w:kern w:val="0"/>
                <w:sz w:val="21"/>
                <w:szCs w:val="22"/>
                <w:highlight w:val="none"/>
                <w:lang w:bidi="ar"/>
              </w:rPr>
              <w:t>主机参数；1.采用铝塑面板雕刻，金属边框。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2.采用两线制组网技术，分机号在线任意编号。</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3.可灵活设置所有床位灯，支持高级优先设定。</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4.支持呼叫对讲，呼叫显示，呼叫未处理提醒。</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5.支持语音号码，音乐振铃，故障报警</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6.</w:t>
            </w:r>
            <w:r>
              <w:rPr>
                <w:rFonts w:hint="eastAsia" w:ascii="仿宋" w:hAnsi="仿宋"/>
                <w:color w:val="auto"/>
                <w:sz w:val="21"/>
                <w:highlight w:val="none"/>
              </w:rPr>
              <w:t xml:space="preserve"> </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10级音量数控调节</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7.功能设置时,带语音提示操作</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8.可以根据现场需要设定语音播报的方式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电源：AC220 V/DC24V 2.5A</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传输方式：有线</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接收灵敏度：-114dB（允差±5%）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工作温度：-20℃～-50℃（允差±5%）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工作湿度：10%～90%（允差±5%）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主机提示音喇叭：8Ω 2W（允差±5%）</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失真度：≤10%</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有线距离：</w:t>
            </w:r>
            <w:r>
              <w:rPr>
                <w:rFonts w:hint="eastAsia" w:ascii="仿宋" w:hAnsi="仿宋" w:cs="Arial"/>
                <w:color w:val="auto"/>
                <w:kern w:val="0"/>
                <w:sz w:val="21"/>
                <w:szCs w:val="22"/>
                <w:highlight w:val="none"/>
                <w:lang w:bidi="ar"/>
              </w:rPr>
              <w:t>≥</w:t>
            </w:r>
            <w:r>
              <w:rPr>
                <w:rFonts w:hint="eastAsia" w:ascii="仿宋" w:hAnsi="仿宋" w:cs="宋体"/>
                <w:color w:val="auto"/>
                <w:kern w:val="0"/>
                <w:sz w:val="21"/>
                <w:szCs w:val="22"/>
                <w:highlight w:val="none"/>
                <w:lang w:bidi="ar"/>
              </w:rPr>
              <w:t>500m</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显示屏参数：</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1.采用亚克力面板，铝合金边框</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2.与主机同步显示床位号码</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3.安装在走廊上方，双面显示</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4.双面语音报号数码显示屏</w:t>
            </w:r>
            <w:r>
              <w:rPr>
                <w:rFonts w:hint="eastAsia" w:ascii="仿宋" w:hAnsi="仿宋" w:cs="宋体"/>
                <w:color w:val="auto"/>
                <w:kern w:val="0"/>
                <w:sz w:val="21"/>
                <w:szCs w:val="22"/>
                <w:highlight w:val="none"/>
                <w:lang w:bidi="ar"/>
              </w:rPr>
              <w:br w:type="textWrapping"/>
            </w:r>
            <w:r>
              <w:rPr>
                <w:rFonts w:hint="eastAsia" w:ascii="仿宋" w:hAnsi="仿宋" w:cs="宋体"/>
                <w:color w:val="auto"/>
                <w:kern w:val="0"/>
                <w:sz w:val="21"/>
                <w:szCs w:val="22"/>
                <w:highlight w:val="none"/>
                <w:lang w:bidi="ar"/>
              </w:rPr>
              <w:t>★尺寸;660×180×40mm（允差±5%）</w:t>
            </w:r>
          </w:p>
        </w:tc>
      </w:tr>
    </w:tbl>
    <w:p>
      <w:pPr>
        <w:pStyle w:val="18"/>
        <w:ind w:left="0" w:leftChars="0"/>
        <w:rPr>
          <w:color w:val="auto"/>
          <w:highlight w:val="none"/>
        </w:rPr>
      </w:pPr>
    </w:p>
    <w:p>
      <w:pPr>
        <w:spacing w:line="500" w:lineRule="exact"/>
        <w:rPr>
          <w:rFonts w:ascii="仿宋" w:hAnsi="仿宋"/>
          <w:b/>
          <w:color w:val="auto"/>
          <w:highlight w:val="none"/>
        </w:rPr>
      </w:pPr>
      <w:r>
        <w:rPr>
          <w:rFonts w:hint="eastAsia" w:ascii="仿宋" w:hAnsi="仿宋"/>
          <w:b/>
          <w:color w:val="auto"/>
          <w:highlight w:val="none"/>
        </w:rPr>
        <w:t>02包：</w:t>
      </w:r>
    </w:p>
    <w:p>
      <w:pPr>
        <w:jc w:val="both"/>
        <w:rPr>
          <w:rFonts w:ascii="仿宋" w:hAnsi="仿宋" w:cs="宋体"/>
          <w:b/>
          <w:bCs/>
          <w:color w:val="auto"/>
          <w:kern w:val="0"/>
          <w:sz w:val="21"/>
          <w:highlight w:val="none"/>
        </w:rPr>
      </w:pPr>
      <w:r>
        <w:rPr>
          <w:rFonts w:hint="eastAsia" w:ascii="仿宋" w:hAnsi="仿宋" w:cs="宋体"/>
          <w:color w:val="auto"/>
          <w:sz w:val="21"/>
          <w:szCs w:val="21"/>
          <w:highlight w:val="none"/>
        </w:rPr>
        <w:t>*</w:t>
      </w:r>
      <w:r>
        <w:rPr>
          <w:rFonts w:hint="eastAsia" w:ascii="仿宋" w:hAnsi="仿宋" w:cs="宋体"/>
          <w:b/>
          <w:bCs/>
          <w:color w:val="auto"/>
          <w:kern w:val="0"/>
          <w:sz w:val="21"/>
          <w:highlight w:val="none"/>
        </w:rPr>
        <w:t>1、出水指标</w:t>
      </w:r>
    </w:p>
    <w:p>
      <w:pPr>
        <w:pStyle w:val="2"/>
        <w:ind w:firstLine="420" w:firstLineChars="200"/>
        <w:rPr>
          <w:rFonts w:ascii="仿宋" w:hAnsi="仿宋" w:cs="宋体"/>
          <w:bCs/>
          <w:color w:val="auto"/>
          <w:kern w:val="0"/>
          <w:sz w:val="21"/>
          <w:szCs w:val="24"/>
          <w:highlight w:val="none"/>
        </w:rPr>
      </w:pPr>
      <w:r>
        <w:rPr>
          <w:rFonts w:hint="eastAsia" w:ascii="仿宋" w:hAnsi="仿宋" w:cs="宋体"/>
          <w:bCs/>
          <w:color w:val="auto"/>
          <w:kern w:val="0"/>
          <w:sz w:val="21"/>
          <w:szCs w:val="24"/>
          <w:highlight w:val="none"/>
        </w:rPr>
        <w:t>处理后出水水质指标 COD、BOD5、SS、粪大肠菌群均达到《医疗机构水污染物排放标准》GB 18466-2005预处理标准，相关数值：即COD≤250mg/L，BOD5≤100mg/L，SS≤60mg/L，粪大肠菌群≤5000MPN/L。</w:t>
      </w:r>
    </w:p>
    <w:p>
      <w:pPr>
        <w:jc w:val="both"/>
        <w:rPr>
          <w:rFonts w:ascii="仿宋" w:hAnsi="仿宋" w:cs="宋体"/>
          <w:b/>
          <w:bCs/>
          <w:color w:val="auto"/>
          <w:kern w:val="0"/>
          <w:sz w:val="21"/>
          <w:highlight w:val="none"/>
        </w:rPr>
      </w:pPr>
      <w:r>
        <w:rPr>
          <w:rFonts w:hint="eastAsia" w:ascii="仿宋" w:hAnsi="仿宋" w:cs="宋体"/>
          <w:color w:val="auto"/>
          <w:sz w:val="21"/>
          <w:szCs w:val="21"/>
          <w:highlight w:val="none"/>
        </w:rPr>
        <w:t>*</w:t>
      </w:r>
      <w:r>
        <w:rPr>
          <w:rFonts w:hint="eastAsia" w:ascii="仿宋" w:hAnsi="仿宋" w:cs="宋体"/>
          <w:b/>
          <w:bCs/>
          <w:color w:val="auto"/>
          <w:kern w:val="0"/>
          <w:sz w:val="21"/>
          <w:highlight w:val="none"/>
        </w:rPr>
        <w:t>2、采购技术指标要求</w:t>
      </w:r>
    </w:p>
    <w:p>
      <w:pPr>
        <w:ind w:firstLine="420" w:firstLineChars="200"/>
        <w:jc w:val="both"/>
        <w:rPr>
          <w:rFonts w:ascii="仿宋" w:hAnsi="仿宋" w:cs="宋体"/>
          <w:color w:val="auto"/>
          <w:kern w:val="0"/>
          <w:sz w:val="21"/>
          <w:highlight w:val="none"/>
        </w:rPr>
      </w:pPr>
      <w:r>
        <w:rPr>
          <w:rFonts w:hint="eastAsia" w:ascii="仿宋" w:hAnsi="仿宋" w:cs="宋体"/>
          <w:color w:val="auto"/>
          <w:kern w:val="0"/>
          <w:sz w:val="21"/>
          <w:highlight w:val="none"/>
        </w:rPr>
        <w:t>参考常规医院污水污染物含量约为 COD～450 mg/L，SS～300 mg/L，NH</w:t>
      </w:r>
      <w:r>
        <w:rPr>
          <w:rFonts w:hint="eastAsia" w:ascii="仿宋" w:hAnsi="仿宋" w:cs="宋体"/>
          <w:color w:val="auto"/>
          <w:kern w:val="0"/>
          <w:sz w:val="21"/>
          <w:highlight w:val="none"/>
          <w:vertAlign w:val="subscript"/>
        </w:rPr>
        <w:t>3</w:t>
      </w:r>
      <w:r>
        <w:rPr>
          <w:rFonts w:hint="eastAsia" w:ascii="仿宋" w:hAnsi="仿宋" w:cs="宋体"/>
          <w:color w:val="auto"/>
          <w:kern w:val="0"/>
          <w:sz w:val="21"/>
          <w:highlight w:val="none"/>
        </w:rPr>
        <w:t>-N～30mg/L，</w:t>
      </w:r>
      <w:r>
        <w:rPr>
          <w:rFonts w:hint="eastAsia" w:ascii="仿宋" w:hAnsi="仿宋" w:cs="宋体"/>
          <w:bCs/>
          <w:color w:val="auto"/>
          <w:kern w:val="0"/>
          <w:sz w:val="21"/>
          <w:highlight w:val="none"/>
        </w:rPr>
        <w:t>粪大肠菌群≤</w:t>
      </w:r>
      <w:r>
        <w:rPr>
          <w:rFonts w:hint="eastAsia" w:ascii="仿宋" w:hAnsi="仿宋"/>
          <w:color w:val="auto"/>
          <w:kern w:val="0"/>
          <w:sz w:val="21"/>
          <w:szCs w:val="20"/>
          <w:highlight w:val="none"/>
        </w:rPr>
        <w:t>10000000</w:t>
      </w:r>
      <w:r>
        <w:rPr>
          <w:rFonts w:hint="eastAsia" w:ascii="仿宋" w:hAnsi="仿宋" w:cs="宋体"/>
          <w:bCs/>
          <w:color w:val="auto"/>
          <w:kern w:val="0"/>
          <w:sz w:val="21"/>
          <w:highlight w:val="none"/>
        </w:rPr>
        <w:t>MPN/L</w:t>
      </w:r>
      <w:r>
        <w:rPr>
          <w:rFonts w:hint="eastAsia" w:ascii="仿宋" w:hAnsi="仿宋" w:cs="宋体"/>
          <w:color w:val="auto"/>
          <w:kern w:val="0"/>
          <w:sz w:val="21"/>
          <w:highlight w:val="none"/>
        </w:rPr>
        <w:t>。处理量：100m</w:t>
      </w:r>
      <w:r>
        <w:rPr>
          <w:rFonts w:hint="eastAsia" w:ascii="宋体" w:hAnsi="宋体" w:eastAsia="宋体" w:cs="宋体"/>
          <w:color w:val="auto"/>
          <w:kern w:val="0"/>
          <w:sz w:val="21"/>
          <w:highlight w:val="none"/>
        </w:rPr>
        <w:t>³</w:t>
      </w:r>
      <w:r>
        <w:rPr>
          <w:rFonts w:hint="eastAsia" w:ascii="仿宋" w:hAnsi="仿宋" w:cs="宋体"/>
          <w:color w:val="auto"/>
          <w:kern w:val="0"/>
          <w:sz w:val="21"/>
          <w:highlight w:val="none"/>
        </w:rPr>
        <w:t>/d,按废水处理系统每天运行 24 小时设计。</w:t>
      </w:r>
    </w:p>
    <w:p>
      <w:pPr>
        <w:widowControl/>
        <w:spacing w:after="120" w:line="240" w:lineRule="auto"/>
        <w:rPr>
          <w:rFonts w:ascii="仿宋" w:hAnsi="仿宋"/>
          <w:b/>
          <w:color w:val="auto"/>
          <w:kern w:val="0"/>
          <w:sz w:val="21"/>
          <w:highlight w:val="none"/>
        </w:rPr>
      </w:pPr>
      <w:r>
        <w:rPr>
          <w:rFonts w:hint="eastAsia" w:ascii="仿宋" w:hAnsi="仿宋"/>
          <w:b/>
          <w:color w:val="auto"/>
          <w:kern w:val="0"/>
          <w:sz w:val="21"/>
          <w:highlight w:val="none"/>
        </w:rPr>
        <w:t>3、项目清单及要求</w:t>
      </w:r>
    </w:p>
    <w:tbl>
      <w:tblPr>
        <w:tblStyle w:val="32"/>
        <w:tblW w:w="9081" w:type="dxa"/>
        <w:jc w:val="center"/>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983"/>
        <w:gridCol w:w="3787"/>
        <w:gridCol w:w="701"/>
        <w:gridCol w:w="762"/>
        <w:gridCol w:w="1134"/>
      </w:tblGrid>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ascii="仿宋" w:hAnsi="仿宋"/>
                <w:color w:val="auto"/>
                <w:kern w:val="0"/>
                <w:sz w:val="21"/>
                <w:highlight w:val="none"/>
              </w:rPr>
              <w:t>序号</w:t>
            </w:r>
          </w:p>
        </w:tc>
        <w:tc>
          <w:tcPr>
            <w:tcW w:w="1983" w:type="dxa"/>
            <w:vAlign w:val="center"/>
          </w:tcPr>
          <w:p>
            <w:pPr>
              <w:adjustRightInd w:val="0"/>
              <w:spacing w:line="480" w:lineRule="exact"/>
              <w:jc w:val="center"/>
              <w:textAlignment w:val="baseline"/>
              <w:rPr>
                <w:rFonts w:ascii="仿宋" w:hAnsi="仿宋"/>
                <w:color w:val="auto"/>
                <w:kern w:val="0"/>
                <w:sz w:val="21"/>
                <w:highlight w:val="none"/>
              </w:rPr>
            </w:pPr>
            <w:r>
              <w:rPr>
                <w:rFonts w:ascii="仿宋" w:hAnsi="仿宋"/>
                <w:color w:val="auto"/>
                <w:kern w:val="0"/>
                <w:sz w:val="21"/>
                <w:highlight w:val="none"/>
              </w:rPr>
              <w:t>设备名称</w:t>
            </w:r>
          </w:p>
        </w:tc>
        <w:tc>
          <w:tcPr>
            <w:tcW w:w="3787"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技术参数要求</w:t>
            </w:r>
          </w:p>
        </w:tc>
        <w:tc>
          <w:tcPr>
            <w:tcW w:w="701" w:type="dxa"/>
            <w:vAlign w:val="center"/>
          </w:tcPr>
          <w:p>
            <w:pPr>
              <w:adjustRightInd w:val="0"/>
              <w:spacing w:line="480" w:lineRule="exact"/>
              <w:jc w:val="center"/>
              <w:textAlignment w:val="baseline"/>
              <w:rPr>
                <w:rFonts w:ascii="仿宋" w:hAnsi="仿宋"/>
                <w:color w:val="auto"/>
                <w:kern w:val="0"/>
                <w:sz w:val="21"/>
                <w:highlight w:val="none"/>
              </w:rPr>
            </w:pPr>
            <w:r>
              <w:rPr>
                <w:rFonts w:ascii="仿宋" w:hAnsi="仿宋"/>
                <w:color w:val="auto"/>
                <w:kern w:val="0"/>
                <w:sz w:val="21"/>
                <w:highlight w:val="none"/>
              </w:rPr>
              <w:t>数量</w:t>
            </w:r>
          </w:p>
        </w:tc>
        <w:tc>
          <w:tcPr>
            <w:tcW w:w="762" w:type="dxa"/>
          </w:tcPr>
          <w:p>
            <w:pPr>
              <w:adjustRightInd w:val="0"/>
              <w:spacing w:line="480" w:lineRule="exact"/>
              <w:jc w:val="center"/>
              <w:textAlignment w:val="baseline"/>
              <w:rPr>
                <w:rFonts w:ascii="仿宋" w:hAnsi="仿宋"/>
                <w:color w:val="auto"/>
                <w:kern w:val="0"/>
                <w:sz w:val="21"/>
                <w:highlight w:val="none"/>
              </w:rPr>
            </w:pPr>
            <w:r>
              <w:rPr>
                <w:rFonts w:ascii="仿宋" w:hAnsi="仿宋"/>
                <w:color w:val="auto"/>
                <w:kern w:val="0"/>
                <w:sz w:val="21"/>
                <w:highlight w:val="none"/>
              </w:rPr>
              <w:t>单位</w:t>
            </w:r>
          </w:p>
        </w:tc>
        <w:tc>
          <w:tcPr>
            <w:tcW w:w="1134" w:type="dxa"/>
            <w:vAlign w:val="center"/>
          </w:tcPr>
          <w:p>
            <w:pPr>
              <w:adjustRightInd w:val="0"/>
              <w:spacing w:line="480" w:lineRule="exact"/>
              <w:jc w:val="center"/>
              <w:textAlignment w:val="baseline"/>
              <w:rPr>
                <w:rFonts w:ascii="仿宋" w:hAnsi="仿宋"/>
                <w:color w:val="auto"/>
                <w:kern w:val="0"/>
                <w:sz w:val="21"/>
                <w:highlight w:val="none"/>
              </w:rPr>
            </w:pPr>
            <w:r>
              <w:rPr>
                <w:rFonts w:ascii="仿宋" w:hAnsi="仿宋"/>
                <w:color w:val="auto"/>
                <w:kern w:val="0"/>
                <w:sz w:val="21"/>
                <w:highlight w:val="none"/>
              </w:rPr>
              <w:t>备注</w:t>
            </w: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w:t>
            </w:r>
          </w:p>
        </w:tc>
        <w:tc>
          <w:tcPr>
            <w:tcW w:w="1983"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一体化污水处理设备</w:t>
            </w:r>
          </w:p>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（核心产品）</w:t>
            </w:r>
          </w:p>
        </w:tc>
        <w:tc>
          <w:tcPr>
            <w:tcW w:w="3787" w:type="dxa"/>
            <w:vAlign w:val="center"/>
          </w:tcPr>
          <w:p>
            <w:pPr>
              <w:numPr>
                <w:ilvl w:val="0"/>
                <w:numId w:val="25"/>
              </w:numPr>
              <w:adjustRightInd w:val="0"/>
              <w:spacing w:line="480" w:lineRule="exact"/>
              <w:jc w:val="both"/>
              <w:textAlignment w:val="baseline"/>
              <w:rPr>
                <w:rFonts w:ascii="仿宋" w:hAnsi="仿宋" w:cs="宋体"/>
                <w:color w:val="auto"/>
                <w:kern w:val="0"/>
                <w:sz w:val="21"/>
                <w:highlight w:val="none"/>
              </w:rPr>
            </w:pPr>
            <w:r>
              <w:rPr>
                <w:rFonts w:hint="eastAsia" w:ascii="仿宋" w:hAnsi="仿宋" w:cs="宋体"/>
                <w:color w:val="auto"/>
                <w:kern w:val="0"/>
                <w:sz w:val="21"/>
                <w:highlight w:val="none"/>
              </w:rPr>
              <w:t>处理能力≥100m</w:t>
            </w:r>
            <w:r>
              <w:rPr>
                <w:rFonts w:hint="eastAsia" w:ascii="宋体" w:hAnsi="宋体" w:eastAsia="宋体" w:cs="宋体"/>
                <w:color w:val="auto"/>
                <w:kern w:val="0"/>
                <w:sz w:val="21"/>
                <w:highlight w:val="none"/>
              </w:rPr>
              <w:t>³</w:t>
            </w:r>
            <w:r>
              <w:rPr>
                <w:rFonts w:hint="eastAsia" w:ascii="仿宋" w:hAnsi="仿宋" w:cs="宋体"/>
                <w:color w:val="auto"/>
                <w:kern w:val="0"/>
                <w:sz w:val="21"/>
                <w:highlight w:val="none"/>
              </w:rPr>
              <w:t>/d。</w:t>
            </w:r>
          </w:p>
          <w:p>
            <w:pPr>
              <w:numPr>
                <w:ilvl w:val="0"/>
                <w:numId w:val="25"/>
              </w:numPr>
              <w:adjustRightInd w:val="0"/>
              <w:spacing w:line="480" w:lineRule="exact"/>
              <w:jc w:val="both"/>
              <w:textAlignment w:val="baseline"/>
              <w:rPr>
                <w:rFonts w:ascii="仿宋" w:hAnsi="仿宋" w:cs="宋体"/>
                <w:color w:val="auto"/>
                <w:kern w:val="0"/>
                <w:sz w:val="21"/>
                <w:highlight w:val="none"/>
              </w:rPr>
            </w:pPr>
            <w:r>
              <w:rPr>
                <w:rFonts w:hint="eastAsia" w:ascii="仿宋" w:hAnsi="仿宋" w:cs="宋体"/>
                <w:color w:val="auto"/>
                <w:kern w:val="0"/>
                <w:sz w:val="21"/>
                <w:highlight w:val="none"/>
              </w:rPr>
              <w:t>设备包含厌氧区、缺氧区、好氧区、消毒区等。</w:t>
            </w:r>
          </w:p>
          <w:p>
            <w:pPr>
              <w:adjustRightInd w:val="0"/>
              <w:spacing w:line="480" w:lineRule="exact"/>
              <w:textAlignment w:val="baseline"/>
              <w:rPr>
                <w:rFonts w:ascii="仿宋" w:hAnsi="仿宋" w:cs="宋体"/>
                <w:color w:val="auto"/>
                <w:kern w:val="0"/>
                <w:sz w:val="21"/>
                <w:highlight w:val="none"/>
              </w:rPr>
            </w:pPr>
            <w:r>
              <w:rPr>
                <w:rFonts w:hint="eastAsia" w:ascii="仿宋" w:hAnsi="仿宋"/>
                <w:color w:val="auto"/>
                <w:kern w:val="0"/>
                <w:sz w:val="21"/>
                <w:highlight w:val="none"/>
              </w:rPr>
              <w:t>3、</w:t>
            </w:r>
            <w:r>
              <w:rPr>
                <w:rFonts w:hint="eastAsia" w:ascii="仿宋" w:hAnsi="仿宋" w:cs="宋体"/>
                <w:color w:val="auto"/>
                <w:kern w:val="0"/>
                <w:sz w:val="21"/>
                <w:highlight w:val="none"/>
              </w:rPr>
              <w:t>碳钢板厚度≥8mm，加固处理，内外层防腐处理，防腐采用网络互穿防腐。</w:t>
            </w:r>
          </w:p>
          <w:p>
            <w:pPr>
              <w:adjustRightInd w:val="0"/>
              <w:spacing w:line="480" w:lineRule="exact"/>
              <w:jc w:val="both"/>
              <w:textAlignment w:val="baseline"/>
              <w:rPr>
                <w:rFonts w:ascii="仿宋" w:hAnsi="仿宋" w:cs="宋体"/>
                <w:color w:val="auto"/>
                <w:kern w:val="0"/>
                <w:sz w:val="21"/>
                <w:highlight w:val="none"/>
              </w:rPr>
            </w:pPr>
            <w:r>
              <w:rPr>
                <w:rFonts w:hint="eastAsia" w:ascii="仿宋" w:hAnsi="仿宋" w:cs="宋体"/>
                <w:color w:val="auto"/>
                <w:kern w:val="0"/>
                <w:sz w:val="21"/>
                <w:highlight w:val="none"/>
              </w:rPr>
              <w:t>4、按照24小时运行。</w:t>
            </w:r>
          </w:p>
          <w:p>
            <w:pPr>
              <w:pStyle w:val="2"/>
              <w:rPr>
                <w:color w:val="auto"/>
                <w:highlight w:val="none"/>
              </w:rPr>
            </w:pPr>
            <w:r>
              <w:rPr>
                <w:rFonts w:hint="eastAsia" w:ascii="仿宋" w:hAnsi="仿宋" w:cs="宋体"/>
                <w:color w:val="auto"/>
                <w:kern w:val="0"/>
                <w:sz w:val="21"/>
                <w:szCs w:val="24"/>
                <w:highlight w:val="none"/>
              </w:rPr>
              <w:t>5、地埋式</w:t>
            </w:r>
          </w:p>
        </w:tc>
        <w:tc>
          <w:tcPr>
            <w:tcW w:w="701"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w:t>
            </w:r>
          </w:p>
        </w:tc>
        <w:tc>
          <w:tcPr>
            <w:tcW w:w="762"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套</w:t>
            </w:r>
          </w:p>
        </w:tc>
        <w:tc>
          <w:tcPr>
            <w:tcW w:w="1134" w:type="dxa"/>
            <w:vAlign w:val="center"/>
          </w:tcPr>
          <w:p>
            <w:pPr>
              <w:adjustRightInd w:val="0"/>
              <w:spacing w:line="480" w:lineRule="exact"/>
              <w:jc w:val="center"/>
              <w:textAlignment w:val="baseline"/>
              <w:rPr>
                <w:rFonts w:ascii="仿宋" w:hAnsi="仿宋"/>
                <w:color w:val="auto"/>
                <w:kern w:val="0"/>
                <w:sz w:val="21"/>
                <w:highlight w:val="none"/>
              </w:rPr>
            </w:pP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2</w:t>
            </w:r>
          </w:p>
        </w:tc>
        <w:tc>
          <w:tcPr>
            <w:tcW w:w="1983"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格栅</w:t>
            </w:r>
          </w:p>
        </w:tc>
        <w:tc>
          <w:tcPr>
            <w:tcW w:w="3787" w:type="dxa"/>
            <w:vAlign w:val="center"/>
          </w:tcPr>
          <w:p>
            <w:pPr>
              <w:adjustRightInd w:val="0"/>
              <w:spacing w:line="480" w:lineRule="exact"/>
              <w:jc w:val="both"/>
              <w:textAlignment w:val="baseline"/>
              <w:rPr>
                <w:rFonts w:ascii="仿宋" w:hAnsi="仿宋"/>
                <w:color w:val="auto"/>
                <w:kern w:val="0"/>
                <w:sz w:val="21"/>
                <w:highlight w:val="none"/>
              </w:rPr>
            </w:pPr>
            <w:r>
              <w:rPr>
                <w:rFonts w:hint="eastAsia" w:ascii="仿宋" w:hAnsi="仿宋"/>
                <w:color w:val="auto"/>
                <w:kern w:val="0"/>
                <w:sz w:val="21"/>
                <w:highlight w:val="none"/>
              </w:rPr>
              <w:t>1、宽600mm，栅间隙≤5mm</w:t>
            </w:r>
          </w:p>
          <w:p>
            <w:pPr>
              <w:pStyle w:val="2"/>
              <w:rPr>
                <w:color w:val="auto"/>
                <w:highlight w:val="none"/>
              </w:rPr>
            </w:pPr>
            <w:r>
              <w:rPr>
                <w:rFonts w:hint="eastAsia" w:ascii="仿宋" w:hAnsi="仿宋"/>
                <w:color w:val="auto"/>
                <w:kern w:val="0"/>
                <w:sz w:val="21"/>
                <w:szCs w:val="24"/>
                <w:highlight w:val="none"/>
              </w:rPr>
              <w:t>2、不锈钢材质</w:t>
            </w:r>
          </w:p>
        </w:tc>
        <w:tc>
          <w:tcPr>
            <w:tcW w:w="701"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w:t>
            </w:r>
          </w:p>
        </w:tc>
        <w:tc>
          <w:tcPr>
            <w:tcW w:w="762"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套</w:t>
            </w:r>
          </w:p>
        </w:tc>
        <w:tc>
          <w:tcPr>
            <w:tcW w:w="1134" w:type="dxa"/>
            <w:vAlign w:val="center"/>
          </w:tcPr>
          <w:p>
            <w:pPr>
              <w:adjustRightInd w:val="0"/>
              <w:spacing w:line="480" w:lineRule="exact"/>
              <w:jc w:val="center"/>
              <w:textAlignment w:val="baseline"/>
              <w:rPr>
                <w:rFonts w:ascii="仿宋" w:hAnsi="仿宋"/>
                <w:color w:val="auto"/>
                <w:kern w:val="0"/>
                <w:sz w:val="21"/>
                <w:highlight w:val="none"/>
              </w:rPr>
            </w:pP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3</w:t>
            </w:r>
          </w:p>
        </w:tc>
        <w:tc>
          <w:tcPr>
            <w:tcW w:w="1983" w:type="dxa"/>
            <w:vAlign w:val="center"/>
          </w:tcPr>
          <w:p>
            <w:pPr>
              <w:adjustRightInd w:val="0"/>
              <w:spacing w:line="480" w:lineRule="exact"/>
              <w:jc w:val="both"/>
              <w:textAlignment w:val="baseline"/>
              <w:rPr>
                <w:rFonts w:ascii="仿宋" w:hAnsi="仿宋"/>
                <w:color w:val="auto"/>
                <w:kern w:val="0"/>
                <w:sz w:val="21"/>
                <w:highlight w:val="none"/>
              </w:rPr>
            </w:pPr>
            <w:r>
              <w:rPr>
                <w:rFonts w:hint="eastAsia" w:ascii="仿宋" w:hAnsi="仿宋"/>
                <w:color w:val="auto"/>
                <w:kern w:val="0"/>
                <w:sz w:val="21"/>
                <w:highlight w:val="none"/>
              </w:rPr>
              <w:t>二氧化氯发生器</w:t>
            </w:r>
          </w:p>
        </w:tc>
        <w:tc>
          <w:tcPr>
            <w:tcW w:w="3787" w:type="dxa"/>
            <w:vAlign w:val="center"/>
          </w:tcPr>
          <w:p>
            <w:pPr>
              <w:numPr>
                <w:ilvl w:val="0"/>
                <w:numId w:val="26"/>
              </w:numPr>
              <w:adjustRightInd w:val="0"/>
              <w:spacing w:line="480" w:lineRule="exact"/>
              <w:jc w:val="both"/>
              <w:textAlignment w:val="baseline"/>
              <w:rPr>
                <w:rFonts w:ascii="仿宋" w:hAnsi="仿宋" w:cs="宋体"/>
                <w:color w:val="auto"/>
                <w:kern w:val="0"/>
                <w:sz w:val="21"/>
                <w:highlight w:val="none"/>
              </w:rPr>
            </w:pPr>
            <w:r>
              <w:rPr>
                <w:rFonts w:hint="eastAsia" w:ascii="仿宋" w:hAnsi="仿宋"/>
                <w:color w:val="auto"/>
                <w:kern w:val="0"/>
                <w:sz w:val="21"/>
                <w:highlight w:val="none"/>
              </w:rPr>
              <w:t>处理能力≥100m</w:t>
            </w:r>
            <w:r>
              <w:rPr>
                <w:rFonts w:hint="eastAsia" w:ascii="宋体" w:hAnsi="宋体" w:eastAsia="宋体" w:cs="宋体"/>
                <w:color w:val="auto"/>
                <w:kern w:val="0"/>
                <w:sz w:val="21"/>
                <w:highlight w:val="none"/>
              </w:rPr>
              <w:t>³</w:t>
            </w:r>
            <w:r>
              <w:rPr>
                <w:rFonts w:hint="eastAsia" w:ascii="仿宋" w:hAnsi="仿宋"/>
                <w:color w:val="auto"/>
                <w:kern w:val="0"/>
                <w:sz w:val="21"/>
                <w:highlight w:val="none"/>
              </w:rPr>
              <w:t>/d，</w:t>
            </w:r>
            <w:r>
              <w:rPr>
                <w:rFonts w:hint="eastAsia" w:ascii="仿宋" w:hAnsi="仿宋" w:cs="宋体"/>
                <w:color w:val="auto"/>
                <w:kern w:val="0"/>
                <w:sz w:val="21"/>
                <w:highlight w:val="none"/>
                <w:lang w:bidi="ar"/>
              </w:rPr>
              <w:t>投加量：≥</w:t>
            </w:r>
            <w:r>
              <w:rPr>
                <w:rFonts w:ascii="仿宋" w:hAnsi="仿宋" w:cs="宋体"/>
                <w:color w:val="auto"/>
                <w:kern w:val="0"/>
                <w:sz w:val="21"/>
                <w:highlight w:val="none"/>
                <w:lang w:bidi="ar"/>
              </w:rPr>
              <w:t>200</w:t>
            </w:r>
            <w:r>
              <w:rPr>
                <w:rFonts w:hint="eastAsia" w:ascii="仿宋" w:hAnsi="仿宋" w:cs="宋体"/>
                <w:color w:val="auto"/>
                <w:kern w:val="0"/>
                <w:sz w:val="21"/>
                <w:highlight w:val="none"/>
                <w:lang w:bidi="ar"/>
              </w:rPr>
              <w:t>g</w:t>
            </w:r>
            <w:r>
              <w:rPr>
                <w:rFonts w:ascii="仿宋" w:hAnsi="仿宋" w:cs="宋体"/>
                <w:color w:val="auto"/>
                <w:kern w:val="0"/>
                <w:sz w:val="21"/>
                <w:highlight w:val="none"/>
                <w:lang w:bidi="ar"/>
              </w:rPr>
              <w:t>/</w:t>
            </w:r>
            <w:r>
              <w:rPr>
                <w:rFonts w:hint="eastAsia" w:ascii="仿宋" w:hAnsi="仿宋" w:cs="宋体"/>
                <w:color w:val="auto"/>
                <w:kern w:val="0"/>
                <w:sz w:val="21"/>
                <w:highlight w:val="none"/>
                <w:lang w:bidi="ar"/>
              </w:rPr>
              <w:t>h</w:t>
            </w:r>
            <w:r>
              <w:rPr>
                <w:rFonts w:hint="eastAsia" w:ascii="仿宋" w:hAnsi="仿宋"/>
                <w:color w:val="auto"/>
                <w:kern w:val="0"/>
                <w:sz w:val="21"/>
                <w:highlight w:val="none"/>
              </w:rPr>
              <w:t xml:space="preserve"> </w:t>
            </w:r>
            <w:r>
              <w:rPr>
                <w:rFonts w:hint="eastAsia" w:ascii="仿宋" w:hAnsi="仿宋" w:cs="宋体"/>
                <w:color w:val="auto"/>
                <w:kern w:val="0"/>
                <w:sz w:val="21"/>
                <w:highlight w:val="none"/>
              </w:rPr>
              <w:t>。</w:t>
            </w:r>
          </w:p>
          <w:p>
            <w:pPr>
              <w:numPr>
                <w:ilvl w:val="0"/>
                <w:numId w:val="26"/>
              </w:numPr>
              <w:adjustRightInd w:val="0"/>
              <w:spacing w:line="480" w:lineRule="exact"/>
              <w:jc w:val="both"/>
              <w:textAlignment w:val="baseline"/>
              <w:rPr>
                <w:rFonts w:ascii="仿宋" w:hAnsi="仿宋"/>
                <w:color w:val="auto"/>
                <w:kern w:val="0"/>
                <w:sz w:val="21"/>
                <w:highlight w:val="none"/>
              </w:rPr>
            </w:pPr>
            <w:r>
              <w:rPr>
                <w:rFonts w:hint="eastAsia" w:ascii="仿宋" w:hAnsi="仿宋" w:cs="宋体"/>
                <w:color w:val="auto"/>
                <w:kern w:val="0"/>
                <w:sz w:val="21"/>
                <w:highlight w:val="none"/>
              </w:rPr>
              <w:t>粪大肠菌群≤500（个/L）</w:t>
            </w:r>
          </w:p>
        </w:tc>
        <w:tc>
          <w:tcPr>
            <w:tcW w:w="701"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w:t>
            </w:r>
          </w:p>
        </w:tc>
        <w:tc>
          <w:tcPr>
            <w:tcW w:w="762"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套</w:t>
            </w:r>
          </w:p>
        </w:tc>
        <w:tc>
          <w:tcPr>
            <w:tcW w:w="113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s="宋体"/>
                <w:color w:val="auto"/>
                <w:kern w:val="0"/>
                <w:sz w:val="21"/>
                <w:highlight w:val="none"/>
                <w:lang w:bidi="ar"/>
              </w:rPr>
              <w:t>采用AB剂</w:t>
            </w: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4</w:t>
            </w:r>
          </w:p>
        </w:tc>
        <w:tc>
          <w:tcPr>
            <w:tcW w:w="1983" w:type="dxa"/>
            <w:vAlign w:val="center"/>
          </w:tcPr>
          <w:p>
            <w:pPr>
              <w:widowControl/>
              <w:spacing w:line="240" w:lineRule="auto"/>
              <w:jc w:val="center"/>
              <w:rPr>
                <w:rFonts w:ascii="仿宋" w:hAnsi="仿宋" w:cs="宋体"/>
                <w:color w:val="auto"/>
                <w:kern w:val="0"/>
                <w:sz w:val="21"/>
                <w:highlight w:val="none"/>
              </w:rPr>
            </w:pPr>
            <w:r>
              <w:rPr>
                <w:rFonts w:hint="eastAsia" w:ascii="仿宋" w:hAnsi="仿宋"/>
                <w:color w:val="auto"/>
                <w:kern w:val="0"/>
                <w:sz w:val="21"/>
                <w:highlight w:val="none"/>
              </w:rPr>
              <w:t>调节池提升泵</w:t>
            </w:r>
          </w:p>
        </w:tc>
        <w:tc>
          <w:tcPr>
            <w:tcW w:w="3787" w:type="dxa"/>
            <w:vAlign w:val="center"/>
          </w:tcPr>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1、流量≥10m</w:t>
            </w:r>
            <w:r>
              <w:rPr>
                <w:rFonts w:hint="eastAsia" w:ascii="宋体" w:hAnsi="宋体" w:eastAsia="宋体" w:cs="宋体"/>
                <w:color w:val="auto"/>
                <w:kern w:val="0"/>
                <w:sz w:val="21"/>
                <w:highlight w:val="none"/>
              </w:rPr>
              <w:t>³</w:t>
            </w:r>
            <w:r>
              <w:rPr>
                <w:rFonts w:hint="eastAsia" w:ascii="仿宋" w:hAnsi="仿宋"/>
                <w:color w:val="auto"/>
                <w:kern w:val="0"/>
                <w:sz w:val="21"/>
                <w:highlight w:val="none"/>
              </w:rPr>
              <w:t>/h</w:t>
            </w:r>
          </w:p>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2、扬程≥10m</w:t>
            </w:r>
          </w:p>
          <w:p>
            <w:pPr>
              <w:widowControl/>
              <w:spacing w:line="240" w:lineRule="auto"/>
              <w:jc w:val="both"/>
              <w:rPr>
                <w:rFonts w:ascii="仿宋" w:hAnsi="仿宋" w:cs="宋体"/>
                <w:color w:val="auto"/>
                <w:kern w:val="0"/>
                <w:sz w:val="21"/>
                <w:highlight w:val="none"/>
                <w:lang w:bidi="ar"/>
              </w:rPr>
            </w:pPr>
            <w:r>
              <w:rPr>
                <w:rFonts w:hint="eastAsia" w:ascii="仿宋" w:hAnsi="仿宋"/>
                <w:color w:val="auto"/>
                <w:kern w:val="0"/>
                <w:sz w:val="21"/>
                <w:highlight w:val="none"/>
              </w:rPr>
              <w:t>3、功率≤0.75kw</w:t>
            </w:r>
          </w:p>
        </w:tc>
        <w:tc>
          <w:tcPr>
            <w:tcW w:w="701"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2</w:t>
            </w:r>
          </w:p>
        </w:tc>
        <w:tc>
          <w:tcPr>
            <w:tcW w:w="762"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台</w:t>
            </w:r>
          </w:p>
        </w:tc>
        <w:tc>
          <w:tcPr>
            <w:tcW w:w="1134" w:type="dxa"/>
            <w:vAlign w:val="center"/>
          </w:tcPr>
          <w:p>
            <w:pPr>
              <w:widowControl/>
              <w:spacing w:line="240" w:lineRule="auto"/>
              <w:jc w:val="both"/>
              <w:rPr>
                <w:rFonts w:ascii="仿宋" w:hAnsi="仿宋" w:cs="宋体"/>
                <w:color w:val="auto"/>
                <w:kern w:val="0"/>
                <w:sz w:val="21"/>
                <w:highlight w:val="none"/>
              </w:rPr>
            </w:pPr>
            <w:r>
              <w:rPr>
                <w:rFonts w:hint="eastAsia" w:ascii="仿宋" w:hAnsi="仿宋"/>
                <w:color w:val="auto"/>
                <w:kern w:val="0"/>
                <w:sz w:val="21"/>
                <w:highlight w:val="none"/>
              </w:rPr>
              <w:t>一用一备</w:t>
            </w: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5</w:t>
            </w:r>
          </w:p>
        </w:tc>
        <w:tc>
          <w:tcPr>
            <w:tcW w:w="1983"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硝化液回流泵</w:t>
            </w:r>
          </w:p>
        </w:tc>
        <w:tc>
          <w:tcPr>
            <w:tcW w:w="3787" w:type="dxa"/>
            <w:vAlign w:val="center"/>
          </w:tcPr>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1、流量≥1</w:t>
            </w:r>
            <w:r>
              <w:rPr>
                <w:rFonts w:ascii="仿宋" w:hAnsi="仿宋"/>
                <w:color w:val="auto"/>
                <w:kern w:val="0"/>
                <w:sz w:val="21"/>
                <w:highlight w:val="none"/>
              </w:rPr>
              <w:t>5</w:t>
            </w:r>
            <w:r>
              <w:rPr>
                <w:rFonts w:hint="eastAsia" w:ascii="仿宋" w:hAnsi="仿宋"/>
                <w:color w:val="auto"/>
                <w:kern w:val="0"/>
                <w:sz w:val="21"/>
                <w:highlight w:val="none"/>
              </w:rPr>
              <w:t>m</w:t>
            </w:r>
            <w:r>
              <w:rPr>
                <w:rFonts w:hint="eastAsia" w:ascii="宋体" w:hAnsi="宋体" w:eastAsia="宋体" w:cs="宋体"/>
                <w:color w:val="auto"/>
                <w:kern w:val="0"/>
                <w:sz w:val="21"/>
                <w:highlight w:val="none"/>
              </w:rPr>
              <w:t>³</w:t>
            </w:r>
            <w:r>
              <w:rPr>
                <w:rFonts w:hint="eastAsia" w:ascii="仿宋" w:hAnsi="仿宋"/>
                <w:color w:val="auto"/>
                <w:kern w:val="0"/>
                <w:sz w:val="21"/>
                <w:highlight w:val="none"/>
              </w:rPr>
              <w:t>/h</w:t>
            </w:r>
          </w:p>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2、扬程≥1</w:t>
            </w:r>
            <w:r>
              <w:rPr>
                <w:rFonts w:ascii="仿宋" w:hAnsi="仿宋"/>
                <w:color w:val="auto"/>
                <w:kern w:val="0"/>
                <w:sz w:val="21"/>
                <w:highlight w:val="none"/>
              </w:rPr>
              <w:t>5</w:t>
            </w:r>
            <w:r>
              <w:rPr>
                <w:rFonts w:hint="eastAsia" w:ascii="仿宋" w:hAnsi="仿宋"/>
                <w:color w:val="auto"/>
                <w:kern w:val="0"/>
                <w:sz w:val="21"/>
                <w:highlight w:val="none"/>
              </w:rPr>
              <w:t>m</w:t>
            </w:r>
          </w:p>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3、功率≤</w:t>
            </w:r>
            <w:r>
              <w:rPr>
                <w:rFonts w:ascii="仿宋" w:hAnsi="仿宋"/>
                <w:color w:val="auto"/>
                <w:kern w:val="0"/>
                <w:sz w:val="21"/>
                <w:highlight w:val="none"/>
              </w:rPr>
              <w:t>1.1</w:t>
            </w:r>
            <w:r>
              <w:rPr>
                <w:rFonts w:hint="eastAsia" w:ascii="仿宋" w:hAnsi="仿宋"/>
                <w:color w:val="auto"/>
                <w:kern w:val="0"/>
                <w:sz w:val="21"/>
                <w:highlight w:val="none"/>
              </w:rPr>
              <w:t>kw</w:t>
            </w:r>
          </w:p>
        </w:tc>
        <w:tc>
          <w:tcPr>
            <w:tcW w:w="701"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1</w:t>
            </w:r>
          </w:p>
        </w:tc>
        <w:tc>
          <w:tcPr>
            <w:tcW w:w="762"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台</w:t>
            </w:r>
          </w:p>
        </w:tc>
        <w:tc>
          <w:tcPr>
            <w:tcW w:w="1134" w:type="dxa"/>
            <w:vAlign w:val="center"/>
          </w:tcPr>
          <w:p>
            <w:pPr>
              <w:widowControl/>
              <w:spacing w:line="240" w:lineRule="auto"/>
              <w:jc w:val="both"/>
              <w:rPr>
                <w:rFonts w:ascii="仿宋" w:hAnsi="仿宋"/>
                <w:color w:val="auto"/>
                <w:kern w:val="0"/>
                <w:sz w:val="21"/>
                <w:highlight w:val="none"/>
              </w:rPr>
            </w:pP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6</w:t>
            </w:r>
          </w:p>
        </w:tc>
        <w:tc>
          <w:tcPr>
            <w:tcW w:w="1983"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污泥回流泵</w:t>
            </w:r>
          </w:p>
        </w:tc>
        <w:tc>
          <w:tcPr>
            <w:tcW w:w="3787" w:type="dxa"/>
            <w:vAlign w:val="center"/>
          </w:tcPr>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1、流量≥1</w:t>
            </w:r>
            <w:r>
              <w:rPr>
                <w:rFonts w:ascii="仿宋" w:hAnsi="仿宋"/>
                <w:color w:val="auto"/>
                <w:kern w:val="0"/>
                <w:sz w:val="21"/>
                <w:highlight w:val="none"/>
              </w:rPr>
              <w:t>5</w:t>
            </w:r>
            <w:r>
              <w:rPr>
                <w:rFonts w:hint="eastAsia" w:ascii="仿宋" w:hAnsi="仿宋"/>
                <w:color w:val="auto"/>
                <w:kern w:val="0"/>
                <w:sz w:val="21"/>
                <w:highlight w:val="none"/>
              </w:rPr>
              <w:t>m</w:t>
            </w:r>
            <w:r>
              <w:rPr>
                <w:rFonts w:hint="eastAsia" w:ascii="宋体" w:hAnsi="宋体" w:eastAsia="宋体" w:cs="宋体"/>
                <w:color w:val="auto"/>
                <w:kern w:val="0"/>
                <w:sz w:val="21"/>
                <w:highlight w:val="none"/>
              </w:rPr>
              <w:t>³</w:t>
            </w:r>
            <w:r>
              <w:rPr>
                <w:rFonts w:hint="eastAsia" w:ascii="仿宋" w:hAnsi="仿宋"/>
                <w:color w:val="auto"/>
                <w:kern w:val="0"/>
                <w:sz w:val="21"/>
                <w:highlight w:val="none"/>
              </w:rPr>
              <w:t>/h</w:t>
            </w:r>
          </w:p>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2、扬程≥1</w:t>
            </w:r>
            <w:r>
              <w:rPr>
                <w:rFonts w:ascii="仿宋" w:hAnsi="仿宋"/>
                <w:color w:val="auto"/>
                <w:kern w:val="0"/>
                <w:sz w:val="21"/>
                <w:highlight w:val="none"/>
              </w:rPr>
              <w:t>5</w:t>
            </w:r>
            <w:r>
              <w:rPr>
                <w:rFonts w:hint="eastAsia" w:ascii="仿宋" w:hAnsi="仿宋"/>
                <w:color w:val="auto"/>
                <w:kern w:val="0"/>
                <w:sz w:val="21"/>
                <w:highlight w:val="none"/>
              </w:rPr>
              <w:t>m</w:t>
            </w:r>
          </w:p>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3、功率≤</w:t>
            </w:r>
            <w:r>
              <w:rPr>
                <w:rFonts w:ascii="仿宋" w:hAnsi="仿宋"/>
                <w:color w:val="auto"/>
                <w:kern w:val="0"/>
                <w:sz w:val="21"/>
                <w:highlight w:val="none"/>
              </w:rPr>
              <w:t>1.1</w:t>
            </w:r>
            <w:r>
              <w:rPr>
                <w:rFonts w:hint="eastAsia" w:ascii="仿宋" w:hAnsi="仿宋"/>
                <w:color w:val="auto"/>
                <w:kern w:val="0"/>
                <w:sz w:val="21"/>
                <w:highlight w:val="none"/>
              </w:rPr>
              <w:t>kw</w:t>
            </w:r>
          </w:p>
        </w:tc>
        <w:tc>
          <w:tcPr>
            <w:tcW w:w="701"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1</w:t>
            </w:r>
          </w:p>
        </w:tc>
        <w:tc>
          <w:tcPr>
            <w:tcW w:w="762"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台</w:t>
            </w:r>
          </w:p>
        </w:tc>
        <w:tc>
          <w:tcPr>
            <w:tcW w:w="1134" w:type="dxa"/>
            <w:vAlign w:val="center"/>
          </w:tcPr>
          <w:p>
            <w:pPr>
              <w:adjustRightInd w:val="0"/>
              <w:spacing w:line="480" w:lineRule="exact"/>
              <w:jc w:val="center"/>
              <w:textAlignment w:val="baseline"/>
              <w:rPr>
                <w:rFonts w:ascii="仿宋" w:hAnsi="仿宋"/>
                <w:color w:val="auto"/>
                <w:kern w:val="0"/>
                <w:sz w:val="21"/>
                <w:highlight w:val="none"/>
              </w:rPr>
            </w:pP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7</w:t>
            </w:r>
          </w:p>
        </w:tc>
        <w:tc>
          <w:tcPr>
            <w:tcW w:w="1983" w:type="dxa"/>
            <w:vAlign w:val="center"/>
          </w:tcPr>
          <w:p>
            <w:pPr>
              <w:widowControl/>
              <w:spacing w:line="240" w:lineRule="auto"/>
              <w:jc w:val="center"/>
              <w:rPr>
                <w:rFonts w:ascii="仿宋" w:hAnsi="仿宋" w:cs="宋体"/>
                <w:color w:val="auto"/>
                <w:kern w:val="0"/>
                <w:sz w:val="21"/>
                <w:highlight w:val="none"/>
              </w:rPr>
            </w:pPr>
            <w:r>
              <w:rPr>
                <w:rFonts w:hint="eastAsia" w:ascii="仿宋" w:hAnsi="仿宋" w:cs="宋体"/>
                <w:color w:val="auto"/>
                <w:kern w:val="0"/>
                <w:sz w:val="21"/>
                <w:highlight w:val="none"/>
                <w:lang w:bidi="ar"/>
              </w:rPr>
              <w:t>厌氧池搅拌器</w:t>
            </w:r>
          </w:p>
        </w:tc>
        <w:tc>
          <w:tcPr>
            <w:tcW w:w="3787" w:type="dxa"/>
            <w:vAlign w:val="center"/>
          </w:tcPr>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1、不锈钢叶片，φ≥260</w:t>
            </w:r>
          </w:p>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2、转速110rpm</w:t>
            </w:r>
          </w:p>
          <w:p>
            <w:pPr>
              <w:widowControl/>
              <w:spacing w:line="240" w:lineRule="auto"/>
              <w:jc w:val="both"/>
              <w:rPr>
                <w:rFonts w:ascii="仿宋" w:hAnsi="仿宋" w:cs="宋体"/>
                <w:color w:val="auto"/>
                <w:kern w:val="0"/>
                <w:sz w:val="21"/>
                <w:highlight w:val="none"/>
                <w:lang w:bidi="ar"/>
              </w:rPr>
            </w:pPr>
            <w:r>
              <w:rPr>
                <w:rFonts w:hint="eastAsia" w:ascii="仿宋" w:hAnsi="仿宋"/>
                <w:color w:val="auto"/>
                <w:kern w:val="0"/>
                <w:sz w:val="21"/>
                <w:highlight w:val="none"/>
              </w:rPr>
              <w:t>3、功率≤0.37kw</w:t>
            </w:r>
          </w:p>
        </w:tc>
        <w:tc>
          <w:tcPr>
            <w:tcW w:w="701"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1</w:t>
            </w:r>
          </w:p>
        </w:tc>
        <w:tc>
          <w:tcPr>
            <w:tcW w:w="762"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台</w:t>
            </w:r>
          </w:p>
        </w:tc>
        <w:tc>
          <w:tcPr>
            <w:tcW w:w="1134" w:type="dxa"/>
            <w:vAlign w:val="center"/>
          </w:tcPr>
          <w:p>
            <w:pPr>
              <w:adjustRightInd w:val="0"/>
              <w:spacing w:line="480" w:lineRule="exact"/>
              <w:jc w:val="center"/>
              <w:textAlignment w:val="baseline"/>
              <w:rPr>
                <w:rFonts w:ascii="仿宋" w:hAnsi="仿宋"/>
                <w:color w:val="auto"/>
                <w:kern w:val="0"/>
                <w:sz w:val="21"/>
                <w:highlight w:val="none"/>
              </w:rPr>
            </w:pP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8</w:t>
            </w:r>
          </w:p>
        </w:tc>
        <w:tc>
          <w:tcPr>
            <w:tcW w:w="1983" w:type="dxa"/>
            <w:vAlign w:val="center"/>
          </w:tcPr>
          <w:p>
            <w:pPr>
              <w:widowControl/>
              <w:spacing w:line="240" w:lineRule="auto"/>
              <w:jc w:val="center"/>
              <w:rPr>
                <w:rFonts w:ascii="仿宋" w:hAnsi="仿宋"/>
                <w:color w:val="auto"/>
                <w:kern w:val="0"/>
                <w:sz w:val="21"/>
                <w:highlight w:val="none"/>
              </w:rPr>
            </w:pPr>
            <w:r>
              <w:rPr>
                <w:rFonts w:hint="eastAsia" w:ascii="仿宋" w:hAnsi="仿宋" w:cs="宋体"/>
                <w:color w:val="auto"/>
                <w:kern w:val="0"/>
                <w:sz w:val="21"/>
                <w:highlight w:val="none"/>
                <w:lang w:bidi="ar"/>
              </w:rPr>
              <w:t>缺氧池搅拌器</w:t>
            </w:r>
          </w:p>
        </w:tc>
        <w:tc>
          <w:tcPr>
            <w:tcW w:w="3787" w:type="dxa"/>
            <w:vAlign w:val="center"/>
          </w:tcPr>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1、不锈钢叶片，φ≥260</w:t>
            </w:r>
          </w:p>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2、转速110rpm</w:t>
            </w:r>
          </w:p>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3、功率≤0.37kw</w:t>
            </w:r>
          </w:p>
        </w:tc>
        <w:tc>
          <w:tcPr>
            <w:tcW w:w="701"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1</w:t>
            </w:r>
          </w:p>
        </w:tc>
        <w:tc>
          <w:tcPr>
            <w:tcW w:w="762"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台</w:t>
            </w:r>
          </w:p>
        </w:tc>
        <w:tc>
          <w:tcPr>
            <w:tcW w:w="1134" w:type="dxa"/>
            <w:vAlign w:val="center"/>
          </w:tcPr>
          <w:p>
            <w:pPr>
              <w:widowControl/>
              <w:spacing w:line="240" w:lineRule="auto"/>
              <w:jc w:val="center"/>
              <w:rPr>
                <w:rFonts w:ascii="仿宋" w:hAnsi="仿宋"/>
                <w:color w:val="auto"/>
                <w:kern w:val="0"/>
                <w:sz w:val="21"/>
                <w:highlight w:val="none"/>
              </w:rPr>
            </w:pP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9</w:t>
            </w:r>
          </w:p>
        </w:tc>
        <w:tc>
          <w:tcPr>
            <w:tcW w:w="1983"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组合填料</w:t>
            </w:r>
          </w:p>
        </w:tc>
        <w:tc>
          <w:tcPr>
            <w:tcW w:w="3787" w:type="dxa"/>
            <w:vAlign w:val="center"/>
          </w:tcPr>
          <w:p>
            <w:pPr>
              <w:widowControl/>
              <w:numPr>
                <w:ilvl w:val="0"/>
                <w:numId w:val="27"/>
              </w:numPr>
              <w:spacing w:line="240" w:lineRule="auto"/>
              <w:jc w:val="both"/>
              <w:rPr>
                <w:rFonts w:ascii="仿宋" w:hAnsi="仿宋"/>
                <w:color w:val="auto"/>
                <w:kern w:val="0"/>
                <w:sz w:val="21"/>
                <w:highlight w:val="none"/>
              </w:rPr>
            </w:pPr>
            <w:r>
              <w:rPr>
                <w:rFonts w:hint="eastAsia" w:ascii="仿宋" w:hAnsi="仿宋"/>
                <w:color w:val="auto"/>
                <w:kern w:val="0"/>
                <w:sz w:val="21"/>
                <w:highlight w:val="none"/>
              </w:rPr>
              <w:t>Φ150组合填料</w:t>
            </w:r>
          </w:p>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2、L≤2.5m</w:t>
            </w:r>
          </w:p>
        </w:tc>
        <w:tc>
          <w:tcPr>
            <w:tcW w:w="701"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1</w:t>
            </w:r>
            <w:r>
              <w:rPr>
                <w:rFonts w:ascii="仿宋" w:hAnsi="仿宋"/>
                <w:color w:val="auto"/>
                <w:kern w:val="0"/>
                <w:sz w:val="21"/>
                <w:highlight w:val="none"/>
              </w:rPr>
              <w:t>00</w:t>
            </w:r>
          </w:p>
        </w:tc>
        <w:tc>
          <w:tcPr>
            <w:tcW w:w="762"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m</w:t>
            </w:r>
            <w:r>
              <w:rPr>
                <w:rFonts w:hint="eastAsia" w:ascii="宋体" w:hAnsi="宋体" w:eastAsia="宋体" w:cs="宋体"/>
                <w:color w:val="auto"/>
                <w:kern w:val="0"/>
                <w:sz w:val="21"/>
                <w:highlight w:val="none"/>
              </w:rPr>
              <w:t>³</w:t>
            </w:r>
          </w:p>
        </w:tc>
        <w:tc>
          <w:tcPr>
            <w:tcW w:w="1134" w:type="dxa"/>
            <w:vAlign w:val="center"/>
          </w:tcPr>
          <w:p>
            <w:pPr>
              <w:widowControl/>
              <w:spacing w:line="240" w:lineRule="auto"/>
              <w:jc w:val="center"/>
              <w:rPr>
                <w:rFonts w:ascii="仿宋" w:hAnsi="仿宋"/>
                <w:color w:val="auto"/>
                <w:kern w:val="0"/>
                <w:sz w:val="21"/>
                <w:highlight w:val="none"/>
              </w:rPr>
            </w:pP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10</w:t>
            </w:r>
          </w:p>
        </w:tc>
        <w:tc>
          <w:tcPr>
            <w:tcW w:w="1983"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组合填料支架</w:t>
            </w:r>
          </w:p>
        </w:tc>
        <w:tc>
          <w:tcPr>
            <w:tcW w:w="3787" w:type="dxa"/>
            <w:vAlign w:val="center"/>
          </w:tcPr>
          <w:p>
            <w:pPr>
              <w:widowControl/>
              <w:spacing w:line="240" w:lineRule="auto"/>
              <w:jc w:val="both"/>
              <w:rPr>
                <w:rFonts w:ascii="仿宋" w:hAnsi="仿宋"/>
                <w:color w:val="auto"/>
                <w:kern w:val="0"/>
                <w:sz w:val="21"/>
                <w:highlight w:val="none"/>
              </w:rPr>
            </w:pPr>
            <w:r>
              <w:rPr>
                <w:rFonts w:hint="eastAsia" w:ascii="仿宋" w:hAnsi="仿宋"/>
                <w:color w:val="auto"/>
                <w:kern w:val="0"/>
                <w:sz w:val="21"/>
                <w:highlight w:val="none"/>
              </w:rPr>
              <w:t>非标制作</w:t>
            </w:r>
          </w:p>
        </w:tc>
        <w:tc>
          <w:tcPr>
            <w:tcW w:w="701" w:type="dxa"/>
            <w:vAlign w:val="center"/>
          </w:tcPr>
          <w:p>
            <w:pPr>
              <w:widowControl/>
              <w:spacing w:line="240" w:lineRule="auto"/>
              <w:jc w:val="center"/>
              <w:rPr>
                <w:rFonts w:ascii="仿宋" w:hAnsi="仿宋"/>
                <w:color w:val="auto"/>
                <w:kern w:val="0"/>
                <w:sz w:val="21"/>
                <w:highlight w:val="none"/>
              </w:rPr>
            </w:pPr>
            <w:r>
              <w:rPr>
                <w:rFonts w:ascii="仿宋" w:hAnsi="仿宋"/>
                <w:color w:val="auto"/>
                <w:kern w:val="0"/>
                <w:sz w:val="21"/>
                <w:highlight w:val="none"/>
              </w:rPr>
              <w:t>55</w:t>
            </w:r>
          </w:p>
        </w:tc>
        <w:tc>
          <w:tcPr>
            <w:tcW w:w="762" w:type="dxa"/>
            <w:vAlign w:val="center"/>
          </w:tcPr>
          <w:p>
            <w:pPr>
              <w:widowControl/>
              <w:spacing w:line="240" w:lineRule="auto"/>
              <w:jc w:val="center"/>
              <w:rPr>
                <w:rFonts w:ascii="仿宋" w:hAnsi="仿宋"/>
                <w:color w:val="auto"/>
                <w:kern w:val="0"/>
                <w:sz w:val="21"/>
                <w:highlight w:val="none"/>
              </w:rPr>
            </w:pPr>
            <w:r>
              <w:rPr>
                <w:rFonts w:hint="eastAsia" w:ascii="仿宋" w:hAnsi="仿宋"/>
                <w:color w:val="auto"/>
                <w:kern w:val="0"/>
                <w:sz w:val="21"/>
                <w:highlight w:val="none"/>
              </w:rPr>
              <w:t>㎡</w:t>
            </w:r>
          </w:p>
        </w:tc>
        <w:tc>
          <w:tcPr>
            <w:tcW w:w="1134" w:type="dxa"/>
            <w:vAlign w:val="center"/>
          </w:tcPr>
          <w:p>
            <w:pPr>
              <w:widowControl/>
              <w:spacing w:line="240" w:lineRule="auto"/>
              <w:jc w:val="center"/>
              <w:rPr>
                <w:rFonts w:ascii="仿宋" w:hAnsi="仿宋"/>
                <w:color w:val="auto"/>
                <w:kern w:val="0"/>
                <w:sz w:val="21"/>
                <w:highlight w:val="none"/>
              </w:rPr>
            </w:pP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11</w:t>
            </w:r>
          </w:p>
        </w:tc>
        <w:tc>
          <w:tcPr>
            <w:tcW w:w="1983" w:type="dxa"/>
            <w:vAlign w:val="center"/>
          </w:tcPr>
          <w:p>
            <w:pPr>
              <w:widowControl/>
              <w:spacing w:line="240" w:lineRule="auto"/>
              <w:jc w:val="center"/>
              <w:rPr>
                <w:rFonts w:ascii="仿宋" w:hAnsi="仿宋"/>
                <w:bCs/>
                <w:color w:val="auto"/>
                <w:kern w:val="0"/>
                <w:sz w:val="21"/>
                <w:highlight w:val="none"/>
              </w:rPr>
            </w:pPr>
            <w:r>
              <w:rPr>
                <w:rFonts w:hint="eastAsia" w:ascii="仿宋" w:hAnsi="仿宋"/>
                <w:color w:val="auto"/>
                <w:kern w:val="0"/>
                <w:sz w:val="21"/>
                <w:highlight w:val="none"/>
              </w:rPr>
              <w:t>絮凝剂投加装置</w:t>
            </w:r>
          </w:p>
        </w:tc>
        <w:tc>
          <w:tcPr>
            <w:tcW w:w="3787" w:type="dxa"/>
            <w:vAlign w:val="center"/>
          </w:tcPr>
          <w:p>
            <w:pPr>
              <w:widowControl/>
              <w:spacing w:line="240" w:lineRule="auto"/>
              <w:jc w:val="both"/>
              <w:rPr>
                <w:rFonts w:ascii="仿宋" w:hAnsi="仿宋"/>
                <w:color w:val="auto"/>
                <w:kern w:val="0"/>
                <w:sz w:val="21"/>
                <w:highlight w:val="none"/>
              </w:rPr>
            </w:pPr>
            <w:r>
              <w:rPr>
                <w:rFonts w:hint="eastAsia" w:ascii="仿宋" w:hAnsi="仿宋" w:cs="宋体"/>
                <w:color w:val="auto"/>
                <w:kern w:val="0"/>
                <w:sz w:val="21"/>
                <w:highlight w:val="none"/>
                <w:lang w:bidi="ar"/>
              </w:rPr>
              <w:t>容积≥</w:t>
            </w:r>
            <w:r>
              <w:rPr>
                <w:rFonts w:ascii="仿宋" w:hAnsi="仿宋" w:cs="宋体"/>
                <w:color w:val="auto"/>
                <w:kern w:val="0"/>
                <w:sz w:val="21"/>
                <w:highlight w:val="none"/>
                <w:lang w:bidi="ar"/>
              </w:rPr>
              <w:t>15</w:t>
            </w:r>
            <w:r>
              <w:rPr>
                <w:rFonts w:hint="eastAsia" w:ascii="仿宋" w:hAnsi="仿宋" w:cs="宋体"/>
                <w:color w:val="auto"/>
                <w:kern w:val="0"/>
                <w:sz w:val="21"/>
                <w:highlight w:val="none"/>
                <w:lang w:bidi="ar"/>
              </w:rPr>
              <w:t>0L，包含搅拌机、自动加药泵</w:t>
            </w:r>
          </w:p>
        </w:tc>
        <w:tc>
          <w:tcPr>
            <w:tcW w:w="701"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w:t>
            </w:r>
          </w:p>
        </w:tc>
        <w:tc>
          <w:tcPr>
            <w:tcW w:w="762"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套</w:t>
            </w:r>
          </w:p>
        </w:tc>
        <w:tc>
          <w:tcPr>
            <w:tcW w:w="1134" w:type="dxa"/>
            <w:vAlign w:val="center"/>
          </w:tcPr>
          <w:p>
            <w:pPr>
              <w:adjustRightInd w:val="0"/>
              <w:spacing w:line="480" w:lineRule="exact"/>
              <w:jc w:val="center"/>
              <w:textAlignment w:val="baseline"/>
              <w:rPr>
                <w:rFonts w:ascii="仿宋" w:hAnsi="仿宋"/>
                <w:color w:val="auto"/>
                <w:kern w:val="0"/>
                <w:sz w:val="21"/>
                <w:highlight w:val="none"/>
              </w:rPr>
            </w:pP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12</w:t>
            </w:r>
          </w:p>
        </w:tc>
        <w:tc>
          <w:tcPr>
            <w:tcW w:w="1983" w:type="dxa"/>
            <w:vAlign w:val="center"/>
          </w:tcPr>
          <w:p>
            <w:pPr>
              <w:adjustRightInd w:val="0"/>
              <w:spacing w:line="480" w:lineRule="exact"/>
              <w:jc w:val="both"/>
              <w:textAlignment w:val="baseline"/>
              <w:rPr>
                <w:rFonts w:ascii="仿宋" w:hAnsi="仿宋"/>
                <w:bCs/>
                <w:color w:val="auto"/>
                <w:kern w:val="0"/>
                <w:sz w:val="21"/>
                <w:highlight w:val="none"/>
              </w:rPr>
            </w:pPr>
            <w:r>
              <w:rPr>
                <w:rFonts w:hint="eastAsia" w:ascii="仿宋" w:hAnsi="仿宋"/>
                <w:bCs/>
                <w:color w:val="auto"/>
                <w:kern w:val="0"/>
                <w:sz w:val="21"/>
                <w:highlight w:val="none"/>
              </w:rPr>
              <w:t>罗茨风机</w:t>
            </w:r>
          </w:p>
        </w:tc>
        <w:tc>
          <w:tcPr>
            <w:tcW w:w="3787" w:type="dxa"/>
            <w:vAlign w:val="center"/>
          </w:tcPr>
          <w:p>
            <w:pPr>
              <w:widowControl/>
              <w:spacing w:line="240" w:lineRule="auto"/>
              <w:rPr>
                <w:rFonts w:ascii="仿宋" w:hAnsi="仿宋" w:cs="宋体"/>
                <w:color w:val="auto"/>
                <w:kern w:val="0"/>
                <w:sz w:val="21"/>
                <w:highlight w:val="none"/>
                <w:lang w:bidi="ar"/>
              </w:rPr>
            </w:pPr>
            <w:r>
              <w:rPr>
                <w:rFonts w:ascii="仿宋" w:hAnsi="仿宋" w:cs="仿宋"/>
                <w:color w:val="auto"/>
                <w:kern w:val="0"/>
                <w:sz w:val="21"/>
                <w:highlight w:val="none"/>
                <w:lang w:bidi="ar"/>
              </w:rPr>
              <w:t>1、</w:t>
            </w:r>
            <w:r>
              <w:rPr>
                <w:rFonts w:hint="eastAsia" w:ascii="仿宋" w:hAnsi="仿宋" w:cs="宋体"/>
                <w:color w:val="auto"/>
                <w:kern w:val="0"/>
                <w:sz w:val="21"/>
                <w:highlight w:val="none"/>
                <w:lang w:bidi="ar"/>
              </w:rPr>
              <w:t>流量 （m</w:t>
            </w:r>
            <w:r>
              <w:rPr>
                <w:rFonts w:hint="eastAsia" w:ascii="仿宋" w:hAnsi="仿宋" w:cs="宋体"/>
                <w:color w:val="auto"/>
                <w:kern w:val="0"/>
                <w:sz w:val="21"/>
                <w:highlight w:val="none"/>
                <w:vertAlign w:val="superscript"/>
                <w:lang w:bidi="ar"/>
              </w:rPr>
              <w:t>3</w:t>
            </w:r>
            <w:r>
              <w:rPr>
                <w:rFonts w:hint="eastAsia" w:ascii="仿宋" w:hAnsi="仿宋" w:cs="宋体"/>
                <w:color w:val="auto"/>
                <w:kern w:val="0"/>
                <w:sz w:val="21"/>
                <w:highlight w:val="none"/>
                <w:lang w:bidi="ar"/>
              </w:rPr>
              <w:t>/min）：1.90-1.71；</w:t>
            </w:r>
          </w:p>
          <w:p>
            <w:pPr>
              <w:widowControl/>
              <w:spacing w:line="240" w:lineRule="auto"/>
              <w:rPr>
                <w:rFonts w:ascii="仿宋" w:hAnsi="仿宋" w:cs="宋体"/>
                <w:color w:val="auto"/>
                <w:kern w:val="0"/>
                <w:sz w:val="21"/>
                <w:highlight w:val="none"/>
                <w:lang w:bidi="ar"/>
              </w:rPr>
            </w:pPr>
            <w:r>
              <w:rPr>
                <w:rFonts w:hint="eastAsia" w:ascii="仿宋" w:hAnsi="仿宋" w:cs="仿宋"/>
                <w:color w:val="auto"/>
                <w:kern w:val="0"/>
                <w:sz w:val="21"/>
                <w:highlight w:val="none"/>
                <w:lang w:bidi="ar"/>
              </w:rPr>
              <w:t>2、</w:t>
            </w:r>
            <w:r>
              <w:rPr>
                <w:rFonts w:hint="eastAsia" w:ascii="仿宋" w:hAnsi="仿宋" w:cs="宋体"/>
                <w:color w:val="auto"/>
                <w:kern w:val="0"/>
                <w:sz w:val="21"/>
                <w:highlight w:val="none"/>
                <w:lang w:bidi="ar"/>
              </w:rPr>
              <w:t>升压 （kgf/cm）0.1-0.5</w:t>
            </w:r>
          </w:p>
          <w:p>
            <w:pPr>
              <w:widowControl/>
              <w:spacing w:line="240" w:lineRule="auto"/>
              <w:rPr>
                <w:rFonts w:ascii="仿宋" w:hAnsi="仿宋"/>
                <w:color w:val="auto"/>
                <w:kern w:val="0"/>
                <w:sz w:val="21"/>
                <w:highlight w:val="none"/>
              </w:rPr>
            </w:pPr>
            <w:r>
              <w:rPr>
                <w:rFonts w:hint="eastAsia" w:ascii="仿宋" w:hAnsi="仿宋" w:cs="仿宋"/>
                <w:color w:val="auto"/>
                <w:kern w:val="0"/>
                <w:sz w:val="21"/>
                <w:highlight w:val="none"/>
                <w:lang w:bidi="ar"/>
              </w:rPr>
              <w:t>3、</w:t>
            </w:r>
            <w:r>
              <w:rPr>
                <w:rFonts w:hint="eastAsia" w:ascii="仿宋" w:hAnsi="仿宋" w:cs="宋体"/>
                <w:color w:val="auto"/>
                <w:kern w:val="0"/>
                <w:sz w:val="21"/>
                <w:highlight w:val="none"/>
                <w:lang w:bidi="ar"/>
              </w:rPr>
              <w:t>功率</w:t>
            </w:r>
            <w:r>
              <w:rPr>
                <w:rFonts w:hint="eastAsia" w:ascii="仿宋" w:hAnsi="仿宋"/>
                <w:color w:val="auto"/>
                <w:kern w:val="0"/>
                <w:sz w:val="21"/>
                <w:highlight w:val="none"/>
              </w:rPr>
              <w:t>≤</w:t>
            </w:r>
            <w:r>
              <w:rPr>
                <w:rFonts w:ascii="仿宋" w:hAnsi="仿宋" w:cs="宋体"/>
                <w:color w:val="auto"/>
                <w:kern w:val="0"/>
                <w:sz w:val="21"/>
                <w:highlight w:val="none"/>
                <w:lang w:bidi="ar"/>
              </w:rPr>
              <w:t>2.2</w:t>
            </w:r>
            <w:r>
              <w:rPr>
                <w:rFonts w:hint="eastAsia" w:ascii="仿宋" w:hAnsi="仿宋" w:cs="宋体"/>
                <w:color w:val="auto"/>
                <w:kern w:val="0"/>
                <w:sz w:val="21"/>
                <w:highlight w:val="none"/>
                <w:lang w:bidi="ar"/>
              </w:rPr>
              <w:t>KW</w:t>
            </w:r>
          </w:p>
        </w:tc>
        <w:tc>
          <w:tcPr>
            <w:tcW w:w="701"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w:t>
            </w:r>
          </w:p>
        </w:tc>
        <w:tc>
          <w:tcPr>
            <w:tcW w:w="762"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台</w:t>
            </w:r>
          </w:p>
        </w:tc>
        <w:tc>
          <w:tcPr>
            <w:tcW w:w="1134" w:type="dxa"/>
            <w:vAlign w:val="center"/>
          </w:tcPr>
          <w:p>
            <w:pPr>
              <w:adjustRightInd w:val="0"/>
              <w:spacing w:line="480" w:lineRule="exact"/>
              <w:jc w:val="center"/>
              <w:textAlignment w:val="baseline"/>
              <w:rPr>
                <w:rFonts w:ascii="仿宋" w:hAnsi="仿宋"/>
                <w:color w:val="auto"/>
                <w:kern w:val="0"/>
                <w:sz w:val="21"/>
                <w:highlight w:val="none"/>
              </w:rPr>
            </w:pP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13</w:t>
            </w:r>
          </w:p>
        </w:tc>
        <w:tc>
          <w:tcPr>
            <w:tcW w:w="1983" w:type="dxa"/>
            <w:vAlign w:val="center"/>
          </w:tcPr>
          <w:p>
            <w:pPr>
              <w:adjustRightInd w:val="0"/>
              <w:spacing w:line="480" w:lineRule="exact"/>
              <w:jc w:val="both"/>
              <w:textAlignment w:val="baseline"/>
              <w:rPr>
                <w:rFonts w:ascii="仿宋" w:hAnsi="仿宋"/>
                <w:bCs/>
                <w:color w:val="auto"/>
                <w:kern w:val="0"/>
                <w:sz w:val="21"/>
                <w:highlight w:val="none"/>
              </w:rPr>
            </w:pPr>
            <w:r>
              <w:rPr>
                <w:rFonts w:hint="eastAsia" w:ascii="仿宋" w:hAnsi="仿宋"/>
                <w:bCs/>
                <w:color w:val="auto"/>
                <w:kern w:val="0"/>
                <w:sz w:val="21"/>
                <w:highlight w:val="none"/>
              </w:rPr>
              <w:t>管件阀门</w:t>
            </w:r>
          </w:p>
        </w:tc>
        <w:tc>
          <w:tcPr>
            <w:tcW w:w="3787" w:type="dxa"/>
            <w:vAlign w:val="center"/>
          </w:tcPr>
          <w:p>
            <w:pPr>
              <w:adjustRightInd w:val="0"/>
              <w:spacing w:line="480" w:lineRule="exact"/>
              <w:textAlignment w:val="baseline"/>
              <w:rPr>
                <w:rFonts w:ascii="仿宋" w:hAnsi="仿宋"/>
                <w:color w:val="auto"/>
                <w:kern w:val="0"/>
                <w:sz w:val="21"/>
                <w:highlight w:val="none"/>
              </w:rPr>
            </w:pPr>
            <w:r>
              <w:rPr>
                <w:rFonts w:hint="eastAsia" w:ascii="仿宋" w:hAnsi="仿宋"/>
                <w:color w:val="auto"/>
                <w:kern w:val="0"/>
                <w:sz w:val="21"/>
                <w:highlight w:val="none"/>
              </w:rPr>
              <w:t>安装用管件阀门</w:t>
            </w:r>
          </w:p>
        </w:tc>
        <w:tc>
          <w:tcPr>
            <w:tcW w:w="701"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w:t>
            </w:r>
          </w:p>
        </w:tc>
        <w:tc>
          <w:tcPr>
            <w:tcW w:w="762"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套</w:t>
            </w:r>
          </w:p>
        </w:tc>
        <w:tc>
          <w:tcPr>
            <w:tcW w:w="1134" w:type="dxa"/>
            <w:vAlign w:val="center"/>
          </w:tcPr>
          <w:p>
            <w:pPr>
              <w:adjustRightInd w:val="0"/>
              <w:spacing w:line="480" w:lineRule="exact"/>
              <w:jc w:val="center"/>
              <w:textAlignment w:val="baseline"/>
              <w:rPr>
                <w:rFonts w:ascii="仿宋" w:hAnsi="仿宋"/>
                <w:color w:val="auto"/>
                <w:kern w:val="0"/>
                <w:sz w:val="21"/>
                <w:highlight w:val="none"/>
              </w:rPr>
            </w:pP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14</w:t>
            </w:r>
          </w:p>
        </w:tc>
        <w:tc>
          <w:tcPr>
            <w:tcW w:w="1983" w:type="dxa"/>
            <w:vAlign w:val="center"/>
          </w:tcPr>
          <w:p>
            <w:pPr>
              <w:adjustRightInd w:val="0"/>
              <w:spacing w:line="480" w:lineRule="exact"/>
              <w:jc w:val="both"/>
              <w:textAlignment w:val="baseline"/>
              <w:rPr>
                <w:rFonts w:ascii="仿宋" w:hAnsi="仿宋"/>
                <w:bCs/>
                <w:color w:val="auto"/>
                <w:kern w:val="0"/>
                <w:sz w:val="21"/>
                <w:highlight w:val="none"/>
              </w:rPr>
            </w:pPr>
            <w:r>
              <w:rPr>
                <w:rFonts w:hint="eastAsia" w:ascii="仿宋" w:hAnsi="仿宋"/>
                <w:bCs/>
                <w:color w:val="auto"/>
                <w:kern w:val="0"/>
                <w:sz w:val="21"/>
                <w:highlight w:val="none"/>
              </w:rPr>
              <w:t>液位控制器</w:t>
            </w:r>
          </w:p>
        </w:tc>
        <w:tc>
          <w:tcPr>
            <w:tcW w:w="3787" w:type="dxa"/>
            <w:vAlign w:val="center"/>
          </w:tcPr>
          <w:p>
            <w:pPr>
              <w:adjustRightInd w:val="0"/>
              <w:spacing w:line="480" w:lineRule="exact"/>
              <w:textAlignment w:val="baseline"/>
              <w:rPr>
                <w:rFonts w:ascii="仿宋" w:hAnsi="仿宋"/>
                <w:color w:val="auto"/>
                <w:kern w:val="0"/>
                <w:sz w:val="21"/>
                <w:highlight w:val="none"/>
              </w:rPr>
            </w:pPr>
            <w:r>
              <w:rPr>
                <w:rFonts w:hint="eastAsia" w:ascii="仿宋" w:hAnsi="仿宋"/>
                <w:color w:val="auto"/>
                <w:kern w:val="0"/>
                <w:sz w:val="21"/>
                <w:highlight w:val="none"/>
              </w:rPr>
              <w:t>浮球液位控制，0-</w:t>
            </w:r>
            <w:r>
              <w:rPr>
                <w:rFonts w:ascii="仿宋" w:hAnsi="仿宋"/>
                <w:color w:val="auto"/>
                <w:kern w:val="0"/>
                <w:sz w:val="21"/>
                <w:highlight w:val="none"/>
              </w:rPr>
              <w:t>5</w:t>
            </w:r>
            <w:r>
              <w:rPr>
                <w:rFonts w:hint="eastAsia" w:ascii="仿宋" w:hAnsi="仿宋"/>
                <w:color w:val="auto"/>
                <w:kern w:val="0"/>
                <w:sz w:val="21"/>
                <w:highlight w:val="none"/>
              </w:rPr>
              <w:t>m</w:t>
            </w:r>
          </w:p>
        </w:tc>
        <w:tc>
          <w:tcPr>
            <w:tcW w:w="701"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3</w:t>
            </w:r>
          </w:p>
        </w:tc>
        <w:tc>
          <w:tcPr>
            <w:tcW w:w="762"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套</w:t>
            </w:r>
          </w:p>
        </w:tc>
        <w:tc>
          <w:tcPr>
            <w:tcW w:w="1134" w:type="dxa"/>
            <w:vAlign w:val="center"/>
          </w:tcPr>
          <w:p>
            <w:pPr>
              <w:adjustRightInd w:val="0"/>
              <w:spacing w:line="480" w:lineRule="exact"/>
              <w:jc w:val="center"/>
              <w:textAlignment w:val="baseline"/>
              <w:rPr>
                <w:rFonts w:ascii="仿宋" w:hAnsi="仿宋"/>
                <w:color w:val="auto"/>
                <w:kern w:val="0"/>
                <w:sz w:val="21"/>
                <w:highlight w:val="none"/>
              </w:rPr>
            </w:pP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15</w:t>
            </w:r>
          </w:p>
        </w:tc>
        <w:tc>
          <w:tcPr>
            <w:tcW w:w="1983" w:type="dxa"/>
            <w:vAlign w:val="center"/>
          </w:tcPr>
          <w:p>
            <w:pPr>
              <w:adjustRightInd w:val="0"/>
              <w:spacing w:line="480" w:lineRule="exact"/>
              <w:jc w:val="both"/>
              <w:textAlignment w:val="baseline"/>
              <w:rPr>
                <w:rFonts w:ascii="仿宋" w:hAnsi="仿宋"/>
                <w:bCs/>
                <w:color w:val="auto"/>
                <w:kern w:val="0"/>
                <w:sz w:val="21"/>
                <w:highlight w:val="none"/>
              </w:rPr>
            </w:pPr>
            <w:r>
              <w:rPr>
                <w:rFonts w:hint="eastAsia" w:ascii="仿宋" w:hAnsi="仿宋"/>
                <w:bCs/>
                <w:color w:val="auto"/>
                <w:kern w:val="0"/>
                <w:sz w:val="21"/>
                <w:highlight w:val="none"/>
              </w:rPr>
              <w:t>PLC 自动控制</w:t>
            </w:r>
          </w:p>
          <w:p>
            <w:pPr>
              <w:adjustRightInd w:val="0"/>
              <w:spacing w:line="480" w:lineRule="exact"/>
              <w:jc w:val="both"/>
              <w:textAlignment w:val="baseline"/>
              <w:rPr>
                <w:rFonts w:ascii="仿宋" w:hAnsi="仿宋"/>
                <w:bCs/>
                <w:color w:val="auto"/>
                <w:kern w:val="0"/>
                <w:sz w:val="21"/>
                <w:highlight w:val="none"/>
              </w:rPr>
            </w:pPr>
            <w:r>
              <w:rPr>
                <w:rFonts w:hint="eastAsia" w:ascii="仿宋" w:hAnsi="仿宋"/>
                <w:bCs/>
                <w:color w:val="auto"/>
                <w:kern w:val="0"/>
                <w:sz w:val="21"/>
                <w:highlight w:val="none"/>
              </w:rPr>
              <w:t>柜</w:t>
            </w:r>
          </w:p>
        </w:tc>
        <w:tc>
          <w:tcPr>
            <w:tcW w:w="3787" w:type="dxa"/>
            <w:vAlign w:val="center"/>
          </w:tcPr>
          <w:p>
            <w:pPr>
              <w:adjustRightInd w:val="0"/>
              <w:spacing w:line="480" w:lineRule="exact"/>
              <w:textAlignment w:val="baseline"/>
              <w:rPr>
                <w:rFonts w:ascii="仿宋" w:hAnsi="仿宋" w:cs="宋体"/>
                <w:color w:val="auto"/>
                <w:kern w:val="0"/>
                <w:sz w:val="21"/>
                <w:highlight w:val="none"/>
              </w:rPr>
            </w:pPr>
            <w:r>
              <w:rPr>
                <w:rFonts w:hint="eastAsia" w:ascii="仿宋" w:hAnsi="仿宋" w:cs="宋体"/>
                <w:color w:val="auto"/>
                <w:kern w:val="0"/>
                <w:sz w:val="21"/>
                <w:highlight w:val="none"/>
              </w:rPr>
              <w:t>中央智能全自动控制，网络监控手机app实现远程操控</w:t>
            </w:r>
          </w:p>
          <w:p>
            <w:pPr>
              <w:adjustRightInd w:val="0"/>
              <w:spacing w:line="480" w:lineRule="exact"/>
              <w:textAlignment w:val="baseline"/>
              <w:rPr>
                <w:rFonts w:ascii="仿宋" w:hAnsi="仿宋" w:cs="宋体"/>
                <w:color w:val="auto"/>
                <w:kern w:val="0"/>
                <w:sz w:val="21"/>
                <w:highlight w:val="none"/>
              </w:rPr>
            </w:pPr>
            <w:r>
              <w:rPr>
                <w:rFonts w:hint="eastAsia" w:ascii="仿宋" w:hAnsi="仿宋" w:cs="宋体"/>
                <w:color w:val="auto"/>
                <w:kern w:val="0"/>
                <w:sz w:val="21"/>
                <w:highlight w:val="none"/>
              </w:rPr>
              <w:t>功能：断电、反相、过压、欠压、过热报警，设备故障报警，液位报警</w:t>
            </w:r>
          </w:p>
        </w:tc>
        <w:tc>
          <w:tcPr>
            <w:tcW w:w="701"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w:t>
            </w:r>
          </w:p>
        </w:tc>
        <w:tc>
          <w:tcPr>
            <w:tcW w:w="762"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套</w:t>
            </w:r>
          </w:p>
        </w:tc>
        <w:tc>
          <w:tcPr>
            <w:tcW w:w="1134" w:type="dxa"/>
            <w:vAlign w:val="center"/>
          </w:tcPr>
          <w:p>
            <w:pPr>
              <w:adjustRightInd w:val="0"/>
              <w:spacing w:line="480" w:lineRule="exact"/>
              <w:jc w:val="both"/>
              <w:textAlignment w:val="baseline"/>
              <w:rPr>
                <w:rFonts w:ascii="仿宋" w:hAnsi="仿宋"/>
                <w:color w:val="auto"/>
                <w:kern w:val="0"/>
                <w:sz w:val="21"/>
                <w:highlight w:val="none"/>
              </w:rPr>
            </w:pPr>
          </w:p>
        </w:tc>
      </w:tr>
      <w:tr>
        <w:tblPrEx>
          <w:tblBorders>
            <w:top w:val="thickThinSmallGap" w:color="auto" w:sz="24" w:space="0"/>
            <w:left w:val="single" w:color="auto" w:sz="4" w:space="0"/>
            <w:bottom w:val="thickThinSmallGap" w:color="auto" w:sz="2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16</w:t>
            </w:r>
          </w:p>
        </w:tc>
        <w:tc>
          <w:tcPr>
            <w:tcW w:w="1983" w:type="dxa"/>
            <w:vAlign w:val="center"/>
          </w:tcPr>
          <w:p>
            <w:pPr>
              <w:adjustRightInd w:val="0"/>
              <w:spacing w:line="480" w:lineRule="exact"/>
              <w:jc w:val="both"/>
              <w:textAlignment w:val="baseline"/>
              <w:rPr>
                <w:rFonts w:ascii="仿宋" w:hAnsi="仿宋"/>
                <w:bCs/>
                <w:color w:val="auto"/>
                <w:kern w:val="0"/>
                <w:sz w:val="21"/>
                <w:highlight w:val="none"/>
              </w:rPr>
            </w:pPr>
            <w:r>
              <w:rPr>
                <w:rFonts w:hint="eastAsia" w:ascii="仿宋" w:hAnsi="仿宋"/>
                <w:bCs/>
                <w:color w:val="auto"/>
                <w:kern w:val="0"/>
                <w:sz w:val="21"/>
                <w:highlight w:val="none"/>
              </w:rPr>
              <w:t>其他辅材</w:t>
            </w:r>
          </w:p>
        </w:tc>
        <w:tc>
          <w:tcPr>
            <w:tcW w:w="3787" w:type="dxa"/>
            <w:vAlign w:val="center"/>
          </w:tcPr>
          <w:p>
            <w:pPr>
              <w:widowControl/>
              <w:spacing w:line="240" w:lineRule="auto"/>
              <w:rPr>
                <w:rFonts w:ascii="仿宋" w:hAnsi="仿宋"/>
                <w:color w:val="auto"/>
                <w:kern w:val="0"/>
                <w:sz w:val="21"/>
                <w:highlight w:val="none"/>
              </w:rPr>
            </w:pPr>
            <w:r>
              <w:rPr>
                <w:rFonts w:hint="eastAsia" w:ascii="仿宋" w:hAnsi="仿宋"/>
                <w:bCs/>
                <w:color w:val="auto"/>
                <w:kern w:val="0"/>
                <w:sz w:val="21"/>
                <w:highlight w:val="none"/>
              </w:rPr>
              <w:t>管件、沥青防锈漆、钢材、螺栓、胶水等其他与设备安装相关的所有辅材</w:t>
            </w:r>
          </w:p>
        </w:tc>
        <w:tc>
          <w:tcPr>
            <w:tcW w:w="701"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1</w:t>
            </w:r>
          </w:p>
        </w:tc>
        <w:tc>
          <w:tcPr>
            <w:tcW w:w="762" w:type="dxa"/>
            <w:vAlign w:val="center"/>
          </w:tcPr>
          <w:p>
            <w:pPr>
              <w:adjustRightInd w:val="0"/>
              <w:spacing w:line="480" w:lineRule="exact"/>
              <w:jc w:val="center"/>
              <w:textAlignment w:val="baseline"/>
              <w:rPr>
                <w:rFonts w:ascii="仿宋" w:hAnsi="仿宋"/>
                <w:color w:val="auto"/>
                <w:kern w:val="0"/>
                <w:sz w:val="21"/>
                <w:highlight w:val="none"/>
              </w:rPr>
            </w:pPr>
            <w:r>
              <w:rPr>
                <w:rFonts w:hint="eastAsia" w:ascii="仿宋" w:hAnsi="仿宋"/>
                <w:color w:val="auto"/>
                <w:kern w:val="0"/>
                <w:sz w:val="21"/>
                <w:highlight w:val="none"/>
              </w:rPr>
              <w:t>项</w:t>
            </w:r>
          </w:p>
        </w:tc>
        <w:tc>
          <w:tcPr>
            <w:tcW w:w="1134" w:type="dxa"/>
            <w:vAlign w:val="center"/>
          </w:tcPr>
          <w:p>
            <w:pPr>
              <w:adjustRightInd w:val="0"/>
              <w:spacing w:line="480" w:lineRule="exact"/>
              <w:jc w:val="center"/>
              <w:textAlignment w:val="baseline"/>
              <w:rPr>
                <w:rFonts w:ascii="仿宋" w:hAnsi="仿宋"/>
                <w:color w:val="auto"/>
                <w:kern w:val="0"/>
                <w:sz w:val="21"/>
                <w:highlight w:val="none"/>
              </w:rPr>
            </w:pPr>
          </w:p>
        </w:tc>
      </w:tr>
    </w:tbl>
    <w:p>
      <w:pPr>
        <w:spacing w:line="500" w:lineRule="exact"/>
        <w:rPr>
          <w:rFonts w:ascii="仿宋" w:hAnsi="仿宋"/>
          <w:color w:val="auto"/>
          <w:highlight w:val="none"/>
        </w:rPr>
      </w:pPr>
    </w:p>
    <w:p>
      <w:pPr>
        <w:spacing w:line="500" w:lineRule="exact"/>
        <w:rPr>
          <w:rFonts w:ascii="仿宋" w:hAnsi="仿宋"/>
          <w:color w:val="auto"/>
          <w:highlight w:val="none"/>
        </w:rPr>
        <w:sectPr>
          <w:pgSz w:w="11905" w:h="16838"/>
          <w:pgMar w:top="1417" w:right="1417" w:bottom="1417" w:left="1417" w:header="425" w:footer="992" w:gutter="0"/>
          <w:cols w:space="0" w:num="1"/>
          <w:docGrid w:type="lines" w:linePitch="332" w:charSpace="0"/>
        </w:sectPr>
      </w:pPr>
      <w:bookmarkStart w:id="157" w:name="_Toc24786"/>
    </w:p>
    <w:p>
      <w:pPr>
        <w:pStyle w:val="3"/>
        <w:spacing w:line="400" w:lineRule="exact"/>
        <w:rPr>
          <w:rFonts w:ascii="仿宋" w:hAnsi="仿宋"/>
          <w:color w:val="auto"/>
          <w:sz w:val="36"/>
          <w:szCs w:val="36"/>
          <w:highlight w:val="none"/>
        </w:rPr>
      </w:pPr>
      <w:bookmarkStart w:id="158" w:name="_Toc13518"/>
      <w:r>
        <w:rPr>
          <w:rFonts w:hint="eastAsia" w:ascii="仿宋" w:hAnsi="仿宋"/>
          <w:color w:val="auto"/>
          <w:sz w:val="36"/>
          <w:szCs w:val="36"/>
          <w:highlight w:val="none"/>
        </w:rPr>
        <w:t>第七章  评标办法</w:t>
      </w:r>
      <w:bookmarkEnd w:id="157"/>
      <w:bookmarkEnd w:id="158"/>
      <w:bookmarkStart w:id="159" w:name="_Hlt101846155"/>
      <w:bookmarkEnd w:id="159"/>
      <w:bookmarkStart w:id="160" w:name="_Toc183582280"/>
      <w:bookmarkStart w:id="161" w:name="_Toc183682415"/>
      <w:bookmarkStart w:id="162" w:name="_Toc217446097"/>
      <w:bookmarkStart w:id="163" w:name="_Toc208849007"/>
    </w:p>
    <w:p>
      <w:pPr>
        <w:pStyle w:val="4"/>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1</w:t>
      </w:r>
      <w:r>
        <w:rPr>
          <w:rFonts w:hint="eastAsia" w:ascii="仿宋" w:hAnsi="仿宋"/>
          <w:color w:val="auto"/>
          <w:sz w:val="24"/>
          <w:highlight w:val="none"/>
        </w:rPr>
        <w:t>．</w:t>
      </w:r>
      <w:r>
        <w:rPr>
          <w:rFonts w:hint="eastAsia" w:ascii="仿宋" w:hAnsi="仿宋"/>
          <w:bCs w:val="0"/>
          <w:color w:val="auto"/>
          <w:sz w:val="24"/>
          <w:szCs w:val="24"/>
          <w:highlight w:val="none"/>
        </w:rPr>
        <w:t>总则</w:t>
      </w:r>
      <w:bookmarkEnd w:id="160"/>
      <w:bookmarkEnd w:id="161"/>
      <w:bookmarkEnd w:id="162"/>
      <w:bookmarkEnd w:id="163"/>
    </w:p>
    <w:p>
      <w:pPr>
        <w:spacing w:line="400" w:lineRule="exact"/>
        <w:ind w:firstLine="480" w:firstLineChars="200"/>
        <w:rPr>
          <w:rFonts w:ascii="仿宋" w:hAnsi="仿宋"/>
          <w:color w:val="auto"/>
          <w:highlight w:val="none"/>
        </w:rPr>
      </w:pPr>
      <w:r>
        <w:rPr>
          <w:rFonts w:hint="eastAsia" w:ascii="仿宋" w:hAnsi="仿宋"/>
          <w:color w:val="auto"/>
          <w:highlight w:val="none"/>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color w:val="auto"/>
          <w:highlight w:val="none"/>
        </w:rPr>
      </w:pPr>
      <w:r>
        <w:rPr>
          <w:rFonts w:hint="eastAsia" w:ascii="仿宋" w:hAnsi="仿宋"/>
          <w:color w:val="auto"/>
          <w:highlight w:val="none"/>
        </w:rPr>
        <w:t>1.2 公开招标采购项目开标结束后，采购人或者采购代理机构应当依法对投标人的资格进行审查。依据法律法规和本招标文件的规定，对投标文件是否按照规定要求提供资格性证明材料</w:t>
      </w:r>
      <w:r>
        <w:rPr>
          <w:rFonts w:hint="eastAsia"/>
          <w:color w:val="auto"/>
          <w:highlight w:val="none"/>
        </w:rPr>
        <w:t>进行审查</w:t>
      </w:r>
      <w:r>
        <w:rPr>
          <w:rFonts w:hint="eastAsia" w:ascii="仿宋" w:hAnsi="仿宋"/>
          <w:color w:val="auto"/>
          <w:highlight w:val="none"/>
        </w:rPr>
        <w:t>，以确定投标供应商是否具备投标资格。</w:t>
      </w:r>
    </w:p>
    <w:p>
      <w:pPr>
        <w:spacing w:line="400" w:lineRule="exact"/>
        <w:ind w:firstLine="480" w:firstLineChars="200"/>
        <w:rPr>
          <w:rFonts w:ascii="仿宋" w:hAnsi="仿宋"/>
          <w:color w:val="auto"/>
          <w:highlight w:val="none"/>
        </w:rPr>
      </w:pPr>
      <w:r>
        <w:rPr>
          <w:rFonts w:hint="eastAsia" w:ascii="仿宋" w:hAnsi="仿宋"/>
          <w:color w:val="auto"/>
          <w:highlight w:val="none"/>
        </w:rPr>
        <w:t>合格投标人不足三家的，不得评标。</w:t>
      </w:r>
    </w:p>
    <w:p>
      <w:pPr>
        <w:spacing w:line="400" w:lineRule="exact"/>
        <w:ind w:firstLine="480" w:firstLineChars="200"/>
        <w:rPr>
          <w:rFonts w:ascii="仿宋" w:hAnsi="仿宋"/>
          <w:color w:val="auto"/>
          <w:highlight w:val="none"/>
        </w:rPr>
      </w:pPr>
      <w:r>
        <w:rPr>
          <w:rFonts w:hint="eastAsia" w:ascii="仿宋" w:hAnsi="仿宋"/>
          <w:color w:val="auto"/>
          <w:highlight w:val="none"/>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color w:val="auto"/>
          <w:highlight w:val="none"/>
        </w:rPr>
      </w:pPr>
      <w:r>
        <w:rPr>
          <w:rFonts w:hint="eastAsia" w:ascii="仿宋" w:hAnsi="仿宋"/>
          <w:color w:val="auto"/>
          <w:highlight w:val="none"/>
        </w:rPr>
        <w:t>1.3 评标工作应遵循公平、公正、科学及择优的原则，并以相同的评标程序和标准对待所有的投标人。</w:t>
      </w:r>
    </w:p>
    <w:p>
      <w:pPr>
        <w:spacing w:line="400" w:lineRule="exact"/>
        <w:ind w:firstLine="456" w:firstLineChars="200"/>
        <w:rPr>
          <w:rFonts w:ascii="仿宋" w:hAnsi="仿宋"/>
          <w:color w:val="auto"/>
          <w:spacing w:val="-6"/>
          <w:highlight w:val="none"/>
        </w:rPr>
      </w:pPr>
      <w:r>
        <w:rPr>
          <w:rFonts w:hint="eastAsia" w:ascii="仿宋" w:hAnsi="仿宋"/>
          <w:color w:val="auto"/>
          <w:spacing w:val="-6"/>
          <w:highlight w:val="none"/>
        </w:rPr>
        <w:t>1.4 评标委员会按照招标文件规定的评标方法和标准进行评标，并独立履行下列职责：</w:t>
      </w:r>
    </w:p>
    <w:p>
      <w:pPr>
        <w:spacing w:line="400" w:lineRule="exact"/>
        <w:ind w:firstLine="480" w:firstLineChars="200"/>
        <w:rPr>
          <w:rFonts w:ascii="仿宋" w:hAnsi="仿宋"/>
          <w:color w:val="auto"/>
          <w:highlight w:val="none"/>
        </w:rPr>
      </w:pPr>
      <w:bookmarkStart w:id="164" w:name="_Toc217446098"/>
      <w:r>
        <w:rPr>
          <w:rFonts w:hint="eastAsia" w:ascii="仿宋" w:hAnsi="仿宋"/>
          <w:color w:val="auto"/>
          <w:highlight w:val="none"/>
        </w:rPr>
        <w:t>（一）熟悉和理解招标文件；</w:t>
      </w:r>
    </w:p>
    <w:p>
      <w:pPr>
        <w:spacing w:line="400" w:lineRule="exact"/>
        <w:ind w:firstLine="480" w:firstLineChars="200"/>
        <w:rPr>
          <w:rFonts w:ascii="仿宋" w:hAnsi="仿宋"/>
          <w:color w:val="auto"/>
          <w:highlight w:val="none"/>
        </w:rPr>
      </w:pPr>
      <w:r>
        <w:rPr>
          <w:rFonts w:hint="eastAsia" w:ascii="仿宋" w:hAnsi="仿宋"/>
          <w:color w:val="auto"/>
          <w:highlight w:val="none"/>
        </w:rPr>
        <w:t>（二）审查供应商（已通过资格审查）的投标文件是否满足招标文件要求，并作出评价；</w:t>
      </w:r>
    </w:p>
    <w:p>
      <w:pPr>
        <w:spacing w:line="400" w:lineRule="exact"/>
        <w:ind w:firstLine="480" w:firstLineChars="200"/>
        <w:rPr>
          <w:rFonts w:ascii="仿宋" w:hAnsi="仿宋"/>
          <w:color w:val="auto"/>
          <w:highlight w:val="none"/>
        </w:rPr>
      </w:pPr>
      <w:r>
        <w:rPr>
          <w:rFonts w:hint="eastAsia" w:ascii="仿宋" w:hAnsi="仿宋"/>
          <w:color w:val="auto"/>
          <w:highlight w:val="none"/>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color w:val="auto"/>
          <w:highlight w:val="none"/>
        </w:rPr>
      </w:pPr>
      <w:r>
        <w:rPr>
          <w:rFonts w:hint="eastAsia" w:ascii="仿宋" w:hAnsi="仿宋"/>
          <w:color w:val="auto"/>
          <w:highlight w:val="none"/>
        </w:rPr>
        <w:t>（四）推荐中标候选供应商，或者受采购人委托确定中标供应商；</w:t>
      </w:r>
    </w:p>
    <w:p>
      <w:pPr>
        <w:spacing w:line="400" w:lineRule="exact"/>
        <w:ind w:firstLine="480" w:firstLineChars="200"/>
        <w:rPr>
          <w:rFonts w:ascii="仿宋" w:hAnsi="仿宋"/>
          <w:color w:val="auto"/>
          <w:highlight w:val="none"/>
        </w:rPr>
      </w:pPr>
      <w:r>
        <w:rPr>
          <w:rFonts w:hint="eastAsia" w:ascii="仿宋" w:hAnsi="仿宋"/>
          <w:color w:val="auto"/>
          <w:highlight w:val="none"/>
        </w:rPr>
        <w:t>（五）起草评标报告并进行签署；</w:t>
      </w:r>
    </w:p>
    <w:p>
      <w:pPr>
        <w:spacing w:line="400" w:lineRule="exact"/>
        <w:ind w:firstLine="480" w:firstLineChars="200"/>
        <w:rPr>
          <w:rFonts w:ascii="仿宋" w:hAnsi="仿宋"/>
          <w:color w:val="auto"/>
          <w:highlight w:val="none"/>
        </w:rPr>
      </w:pPr>
      <w:r>
        <w:rPr>
          <w:rFonts w:hint="eastAsia" w:ascii="仿宋" w:hAnsi="仿宋"/>
          <w:color w:val="auto"/>
          <w:highlight w:val="none"/>
        </w:rPr>
        <w:t>（六）向招标采购单位、财政部门或者其他监督部门报告非法干预评标工作的行为；</w:t>
      </w:r>
    </w:p>
    <w:p>
      <w:pPr>
        <w:spacing w:line="400" w:lineRule="exact"/>
        <w:ind w:firstLine="480" w:firstLineChars="200"/>
        <w:rPr>
          <w:rFonts w:ascii="仿宋" w:hAnsi="仿宋"/>
          <w:color w:val="auto"/>
          <w:highlight w:val="none"/>
        </w:rPr>
      </w:pPr>
      <w:r>
        <w:rPr>
          <w:rFonts w:hint="eastAsia" w:ascii="仿宋" w:hAnsi="仿宋"/>
          <w:color w:val="auto"/>
          <w:highlight w:val="none"/>
        </w:rPr>
        <w:t>（七）法律、法规和规章规定的其他职责。</w:t>
      </w:r>
    </w:p>
    <w:p>
      <w:pPr>
        <w:spacing w:line="400" w:lineRule="exact"/>
        <w:ind w:firstLine="480" w:firstLineChars="200"/>
        <w:rPr>
          <w:rFonts w:ascii="仿宋" w:hAnsi="仿宋"/>
          <w:color w:val="auto"/>
          <w:highlight w:val="none"/>
        </w:rPr>
      </w:pPr>
      <w:r>
        <w:rPr>
          <w:rFonts w:hint="eastAsia" w:ascii="仿宋" w:hAnsi="仿宋"/>
          <w:color w:val="auto"/>
          <w:highlight w:val="none"/>
        </w:rPr>
        <w:t>1.5 评标过程独立、保密。投标人非法干预评标过程的行为将导致其投标文件作为无效处理。</w:t>
      </w:r>
    </w:p>
    <w:p>
      <w:pPr>
        <w:spacing w:line="400" w:lineRule="exact"/>
        <w:ind w:firstLine="480" w:firstLineChars="200"/>
        <w:rPr>
          <w:rFonts w:ascii="仿宋" w:hAnsi="仿宋"/>
          <w:color w:val="auto"/>
          <w:highlight w:val="none"/>
        </w:rPr>
      </w:pPr>
      <w:r>
        <w:rPr>
          <w:rFonts w:hint="eastAsia" w:ascii="仿宋" w:hAnsi="仿宋"/>
          <w:color w:val="auto"/>
          <w:highlight w:val="none"/>
        </w:rPr>
        <w:t>1.6 评标委员会评价投标文件的响应性，对于投标人而言，除评标委员会要求其澄清、说明或者更正而提供的资料外，仅依据投标文件本身的内容，不寻求其他外部证据。</w:t>
      </w:r>
    </w:p>
    <w:p>
      <w:pPr>
        <w:pStyle w:val="4"/>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2</w:t>
      </w:r>
      <w:r>
        <w:rPr>
          <w:rFonts w:hint="eastAsia" w:ascii="仿宋" w:hAnsi="仿宋"/>
          <w:color w:val="auto"/>
          <w:sz w:val="24"/>
          <w:highlight w:val="none"/>
        </w:rPr>
        <w:t>．</w:t>
      </w:r>
      <w:r>
        <w:rPr>
          <w:rFonts w:hint="eastAsia" w:ascii="仿宋" w:hAnsi="仿宋"/>
          <w:bCs w:val="0"/>
          <w:color w:val="auto"/>
          <w:sz w:val="24"/>
          <w:szCs w:val="24"/>
          <w:highlight w:val="none"/>
        </w:rPr>
        <w:t>评标</w:t>
      </w:r>
      <w:bookmarkEnd w:id="164"/>
      <w:r>
        <w:rPr>
          <w:rFonts w:hint="eastAsia" w:ascii="仿宋" w:hAnsi="仿宋"/>
          <w:bCs w:val="0"/>
          <w:color w:val="auto"/>
          <w:sz w:val="24"/>
          <w:szCs w:val="24"/>
          <w:highlight w:val="none"/>
        </w:rPr>
        <w:t>方法</w:t>
      </w:r>
    </w:p>
    <w:p>
      <w:pPr>
        <w:ind w:firstLine="480" w:firstLineChars="200"/>
        <w:rPr>
          <w:rFonts w:ascii="仿宋" w:hAnsi="仿宋"/>
          <w:color w:val="auto"/>
          <w:highlight w:val="none"/>
        </w:rPr>
      </w:pPr>
      <w:bookmarkStart w:id="165" w:name="_Toc217446103"/>
      <w:bookmarkStart w:id="166" w:name="_Toc217446099"/>
      <w:r>
        <w:rPr>
          <w:rFonts w:hint="eastAsia" w:ascii="仿宋" w:hAnsi="仿宋"/>
          <w:color w:val="auto"/>
          <w:highlight w:val="none"/>
        </w:rPr>
        <w:t>2.1本项目评标方法为：</w:t>
      </w:r>
      <w:r>
        <w:rPr>
          <w:rFonts w:hint="eastAsia" w:ascii="仿宋" w:hAnsi="仿宋"/>
          <w:b/>
          <w:bCs/>
          <w:color w:val="auto"/>
          <w:highlight w:val="none"/>
        </w:rPr>
        <w:t>综合评分法</w:t>
      </w:r>
      <w:r>
        <w:rPr>
          <w:rFonts w:hint="eastAsia" w:ascii="仿宋" w:hAnsi="仿宋"/>
          <w:color w:val="auto"/>
          <w:highlight w:val="none"/>
        </w:rPr>
        <w:t>。</w:t>
      </w:r>
    </w:p>
    <w:p>
      <w:pPr>
        <w:pStyle w:val="4"/>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3</w:t>
      </w:r>
      <w:r>
        <w:rPr>
          <w:rFonts w:hint="eastAsia" w:ascii="仿宋" w:hAnsi="仿宋"/>
          <w:color w:val="auto"/>
          <w:sz w:val="24"/>
          <w:highlight w:val="none"/>
        </w:rPr>
        <w:t>．</w:t>
      </w:r>
      <w:r>
        <w:rPr>
          <w:rFonts w:hint="eastAsia" w:ascii="仿宋" w:hAnsi="仿宋"/>
          <w:bCs w:val="0"/>
          <w:color w:val="auto"/>
          <w:sz w:val="24"/>
          <w:szCs w:val="24"/>
          <w:highlight w:val="none"/>
        </w:rPr>
        <w:t>评标程序</w:t>
      </w:r>
    </w:p>
    <w:p>
      <w:pPr>
        <w:spacing w:line="400" w:lineRule="exact"/>
        <w:ind w:firstLine="480" w:firstLineChars="200"/>
        <w:rPr>
          <w:rFonts w:ascii="仿宋" w:hAnsi="仿宋"/>
          <w:color w:val="auto"/>
          <w:highlight w:val="none"/>
        </w:rPr>
      </w:pPr>
      <w:r>
        <w:rPr>
          <w:rFonts w:hint="eastAsia" w:ascii="仿宋" w:hAnsi="仿宋"/>
          <w:color w:val="auto"/>
          <w:highlight w:val="none"/>
        </w:rPr>
        <w:t>3.1熟悉和理解招标文件和停止评标。</w:t>
      </w:r>
    </w:p>
    <w:p>
      <w:pPr>
        <w:spacing w:line="400" w:lineRule="exact"/>
        <w:ind w:firstLine="480" w:firstLineChars="200"/>
        <w:rPr>
          <w:rFonts w:ascii="仿宋" w:hAnsi="仿宋"/>
          <w:color w:val="auto"/>
          <w:highlight w:val="none"/>
        </w:rPr>
      </w:pPr>
      <w:r>
        <w:rPr>
          <w:rFonts w:hint="eastAsia" w:ascii="仿宋" w:hAnsi="仿宋"/>
          <w:color w:val="auto"/>
          <w:highlight w:val="none"/>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color w:val="auto"/>
          <w:highlight w:val="none"/>
        </w:rPr>
      </w:pPr>
      <w:r>
        <w:rPr>
          <w:rFonts w:hint="eastAsia" w:ascii="仿宋" w:hAnsi="仿宋"/>
          <w:color w:val="auto"/>
          <w:highlight w:val="none"/>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color w:val="auto"/>
          <w:highlight w:val="none"/>
        </w:rPr>
      </w:pPr>
      <w:r>
        <w:rPr>
          <w:rFonts w:hint="eastAsia" w:ascii="仿宋" w:hAnsi="仿宋"/>
          <w:color w:val="auto"/>
          <w:highlight w:val="none"/>
        </w:rPr>
        <w:t>（1）招标文件的规定存在歧义、重大缺陷的；</w:t>
      </w:r>
    </w:p>
    <w:p>
      <w:pPr>
        <w:spacing w:line="400" w:lineRule="exact"/>
        <w:ind w:firstLine="480" w:firstLineChars="200"/>
        <w:rPr>
          <w:rFonts w:ascii="仿宋" w:hAnsi="仿宋"/>
          <w:color w:val="auto"/>
          <w:highlight w:val="none"/>
        </w:rPr>
      </w:pPr>
      <w:r>
        <w:rPr>
          <w:rFonts w:hint="eastAsia" w:ascii="仿宋" w:hAnsi="仿宋"/>
          <w:color w:val="auto"/>
          <w:highlight w:val="none"/>
        </w:rPr>
        <w:t>（2）招标文件明显以不合理条件对供应商实行差别待遇或者歧视待遇的；</w:t>
      </w:r>
    </w:p>
    <w:p>
      <w:pPr>
        <w:spacing w:line="400" w:lineRule="exact"/>
        <w:ind w:firstLine="480" w:firstLineChars="200"/>
        <w:rPr>
          <w:rFonts w:ascii="仿宋" w:hAnsi="仿宋"/>
          <w:color w:val="auto"/>
          <w:highlight w:val="none"/>
        </w:rPr>
      </w:pPr>
      <w:r>
        <w:rPr>
          <w:rFonts w:hint="eastAsia" w:ascii="仿宋" w:hAnsi="仿宋"/>
          <w:color w:val="auto"/>
          <w:highlight w:val="none"/>
        </w:rPr>
        <w:t>（3）采购项目属于国家规定的优先、强制采购范围，但是招标文件未依法体现优先、强制采购相关规定的；</w:t>
      </w:r>
    </w:p>
    <w:p>
      <w:pPr>
        <w:spacing w:line="400" w:lineRule="exact"/>
        <w:ind w:firstLine="480" w:firstLineChars="200"/>
        <w:rPr>
          <w:rFonts w:ascii="仿宋" w:hAnsi="仿宋"/>
          <w:color w:val="auto"/>
          <w:highlight w:val="none"/>
        </w:rPr>
      </w:pPr>
      <w:r>
        <w:rPr>
          <w:rFonts w:hint="eastAsia" w:ascii="仿宋" w:hAnsi="仿宋"/>
          <w:color w:val="auto"/>
          <w:highlight w:val="none"/>
        </w:rPr>
        <w:t>（4）采购项目属于政府采购促进中小企业发展的范围，但是招标文件未依法体现促进中小企业发展相关规定的；</w:t>
      </w:r>
    </w:p>
    <w:p>
      <w:pPr>
        <w:spacing w:line="400" w:lineRule="exact"/>
        <w:ind w:firstLine="480" w:firstLineChars="200"/>
        <w:rPr>
          <w:rFonts w:ascii="仿宋" w:hAnsi="仿宋"/>
          <w:color w:val="auto"/>
          <w:highlight w:val="none"/>
        </w:rPr>
      </w:pPr>
      <w:r>
        <w:rPr>
          <w:rFonts w:hint="eastAsia" w:ascii="仿宋" w:hAnsi="仿宋"/>
          <w:color w:val="auto"/>
          <w:highlight w:val="none"/>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color w:val="auto"/>
          <w:highlight w:val="none"/>
        </w:rPr>
      </w:pPr>
      <w:r>
        <w:rPr>
          <w:rFonts w:hint="eastAsia" w:ascii="仿宋" w:hAnsi="仿宋"/>
          <w:color w:val="auto"/>
          <w:highlight w:val="none"/>
        </w:rPr>
        <w:t>（6）招标文件将投标人的资格条件列为评分因素的；</w:t>
      </w:r>
    </w:p>
    <w:p>
      <w:pPr>
        <w:spacing w:line="400" w:lineRule="exact"/>
        <w:ind w:firstLine="480" w:firstLineChars="200"/>
        <w:rPr>
          <w:rFonts w:ascii="仿宋" w:hAnsi="仿宋"/>
          <w:color w:val="auto"/>
          <w:highlight w:val="none"/>
        </w:rPr>
      </w:pPr>
      <w:r>
        <w:rPr>
          <w:rFonts w:hint="eastAsia" w:ascii="仿宋" w:hAnsi="仿宋"/>
          <w:color w:val="auto"/>
          <w:highlight w:val="none"/>
        </w:rPr>
        <w:t>（7）招标文件有违反国家其他有关强制性规定的情形。</w:t>
      </w:r>
    </w:p>
    <w:p>
      <w:pPr>
        <w:spacing w:line="400" w:lineRule="exact"/>
        <w:ind w:firstLine="480" w:firstLineChars="200"/>
        <w:rPr>
          <w:rFonts w:ascii="仿宋" w:hAnsi="仿宋"/>
          <w:color w:val="auto"/>
          <w:highlight w:val="none"/>
        </w:rPr>
      </w:pPr>
      <w:r>
        <w:rPr>
          <w:rFonts w:hint="eastAsia" w:ascii="仿宋" w:hAnsi="仿宋"/>
          <w:color w:val="auto"/>
          <w:highlight w:val="none"/>
        </w:rPr>
        <w:t>3.1.3出现本条3.1.2规定应当停止评标情形的，评标委员会成员应当</w:t>
      </w:r>
      <w:r>
        <w:rPr>
          <w:rFonts w:hint="eastAsia" w:ascii="仿宋" w:hAnsi="仿宋"/>
          <w:color w:val="auto"/>
          <w:highlight w:val="none"/>
        </w:rPr>
        <w:t>通过“政府采购云平台”</w:t>
      </w:r>
      <w:r>
        <w:rPr>
          <w:rFonts w:hint="eastAsia" w:ascii="仿宋" w:hAnsi="仿宋"/>
          <w:color w:val="auto"/>
          <w:highlight w:val="none"/>
        </w:rPr>
        <w:t>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color w:val="auto"/>
          <w:highlight w:val="none"/>
        </w:rPr>
      </w:pPr>
      <w:r>
        <w:rPr>
          <w:rFonts w:hint="eastAsia" w:ascii="仿宋" w:hAnsi="仿宋"/>
          <w:color w:val="auto"/>
          <w:highlight w:val="none"/>
        </w:rPr>
        <w:t>3.2符合性检查。</w:t>
      </w:r>
    </w:p>
    <w:p>
      <w:pPr>
        <w:pStyle w:val="2"/>
        <w:rPr>
          <w:rFonts w:ascii="仿宋" w:hAnsi="仿宋"/>
          <w:color w:val="auto"/>
          <w:highlight w:val="none"/>
        </w:rPr>
      </w:pPr>
      <w:r>
        <w:rPr>
          <w:rFonts w:hint="eastAsia" w:ascii="仿宋" w:hAnsi="仿宋"/>
          <w:color w:val="auto"/>
          <w:highlight w:val="none"/>
        </w:rPr>
        <w:t>3.2.1评标委员会依据本招标文件的</w:t>
      </w:r>
      <w:r>
        <w:rPr>
          <w:rFonts w:hint="eastAsia" w:ascii="仿宋" w:hAnsi="仿宋"/>
          <w:b/>
          <w:bCs/>
          <w:color w:val="auto"/>
          <w:highlight w:val="none"/>
        </w:rPr>
        <w:t>实质性要求及无效投标情形</w:t>
      </w:r>
      <w:r>
        <w:rPr>
          <w:rFonts w:hint="eastAsia" w:ascii="仿宋" w:hAnsi="仿宋"/>
          <w:color w:val="auto"/>
          <w:highlight w:val="none"/>
        </w:rPr>
        <w:t>，对符合资格的投标文件进行审查，以确定其是否满足本招标文件的</w:t>
      </w:r>
      <w:r>
        <w:rPr>
          <w:rFonts w:hint="eastAsia" w:ascii="仿宋" w:hAnsi="仿宋"/>
          <w:color w:val="auto"/>
          <w:highlight w:val="none"/>
        </w:rPr>
        <w:t>符合性要求（如下表）</w:t>
      </w:r>
      <w:r>
        <w:rPr>
          <w:rFonts w:hint="eastAsia" w:ascii="仿宋" w:hAnsi="仿宋"/>
          <w:color w:val="auto"/>
          <w:highlight w:val="none"/>
        </w:rPr>
        <w:t>。本项目符合性审查事项仅限于本招标文件的明确规定。投标文件是否满足招标文件的</w:t>
      </w:r>
      <w:r>
        <w:rPr>
          <w:rFonts w:hint="eastAsia" w:ascii="仿宋" w:hAnsi="仿宋"/>
          <w:color w:val="auto"/>
          <w:highlight w:val="none"/>
        </w:rPr>
        <w:t>符合性要求（如下表）</w:t>
      </w:r>
      <w:r>
        <w:rPr>
          <w:rFonts w:hint="eastAsia" w:ascii="仿宋" w:hAnsi="仿宋"/>
          <w:color w:val="auto"/>
          <w:highlight w:val="none"/>
        </w:rPr>
        <w:t>，必须以本招标文件的明确规定作为依据，否则，不能对投标文件作为无效处理，评标委员会不得臆测符合性审查事项。</w:t>
      </w:r>
      <w:r>
        <w:rPr>
          <w:rFonts w:hint="eastAsia" w:ascii="仿宋" w:hAnsi="仿宋"/>
          <w:color w:val="auto"/>
          <w:highlight w:val="none"/>
        </w:rPr>
        <w:br w:type="textWrapping"/>
      </w:r>
      <w:r>
        <w:rPr>
          <w:rFonts w:hint="eastAsia"/>
          <w:b/>
          <w:bCs/>
          <w:color w:val="auto"/>
          <w:highlight w:val="none"/>
        </w:rPr>
        <w:t>注：投标人按照招标文件的具体要求及第三章第二部分“其他响应性投标文件”格式的相应内容进行填写并按以下要求进行关联，按要求递交投标文件。</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5093"/>
        <w:gridCol w:w="3445"/>
        <w:gridCol w:w="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7" w:hRule="atLeast"/>
        </w:trPr>
        <w:tc>
          <w:tcPr>
            <w:tcW w:w="5000" w:type="pct"/>
            <w:gridSpan w:val="4"/>
            <w:vAlign w:val="center"/>
          </w:tcPr>
          <w:p>
            <w:pPr>
              <w:spacing w:line="240" w:lineRule="auto"/>
              <w:jc w:val="center"/>
              <w:rPr>
                <w:rFonts w:ascii="仿宋" w:hAnsi="仿宋" w:cs="仿宋"/>
                <w:b/>
                <w:color w:val="auto"/>
                <w:highlight w:val="none"/>
              </w:rPr>
            </w:pPr>
            <w:r>
              <w:rPr>
                <w:rFonts w:hint="eastAsia" w:ascii="仿宋" w:hAnsi="仿宋" w:cs="仿宋"/>
                <w:b/>
                <w:color w:val="auto"/>
                <w:highlight w:val="none"/>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pct"/>
          <w:trHeight w:val="90" w:hRule="atLeast"/>
        </w:trPr>
        <w:tc>
          <w:tcPr>
            <w:tcW w:w="367" w:type="pct"/>
            <w:vAlign w:val="center"/>
          </w:tcPr>
          <w:p>
            <w:pPr>
              <w:tabs>
                <w:tab w:val="left" w:pos="851"/>
              </w:tabs>
              <w:spacing w:line="240" w:lineRule="auto"/>
              <w:jc w:val="center"/>
              <w:rPr>
                <w:rFonts w:ascii="仿宋" w:hAnsi="仿宋" w:cs="仿宋"/>
                <w:bCs/>
                <w:color w:val="auto"/>
                <w:highlight w:val="none"/>
              </w:rPr>
            </w:pPr>
            <w:r>
              <w:rPr>
                <w:rFonts w:hint="eastAsia" w:ascii="仿宋" w:hAnsi="仿宋" w:cs="仿宋"/>
                <w:bCs/>
                <w:color w:val="auto"/>
                <w:highlight w:val="none"/>
              </w:rPr>
              <w:t>序号</w:t>
            </w:r>
          </w:p>
        </w:tc>
        <w:tc>
          <w:tcPr>
            <w:tcW w:w="2742" w:type="pct"/>
            <w:vAlign w:val="center"/>
          </w:tcPr>
          <w:p>
            <w:pPr>
              <w:tabs>
                <w:tab w:val="left" w:pos="851"/>
              </w:tabs>
              <w:spacing w:line="240" w:lineRule="auto"/>
              <w:jc w:val="center"/>
              <w:rPr>
                <w:rFonts w:ascii="仿宋" w:hAnsi="仿宋" w:cs="仿宋"/>
                <w:bCs/>
                <w:color w:val="auto"/>
                <w:highlight w:val="none"/>
              </w:rPr>
            </w:pPr>
            <w:r>
              <w:rPr>
                <w:rFonts w:hint="eastAsia" w:ascii="仿宋" w:hAnsi="仿宋" w:cs="仿宋"/>
                <w:bCs/>
                <w:color w:val="auto"/>
                <w:highlight w:val="none"/>
              </w:rPr>
              <w:t>招标文件条目、实质性要求及无效投标情形</w:t>
            </w:r>
          </w:p>
        </w:tc>
        <w:tc>
          <w:tcPr>
            <w:tcW w:w="1855"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pct"/>
        </w:trPr>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1</w:t>
            </w:r>
          </w:p>
        </w:tc>
        <w:tc>
          <w:tcPr>
            <w:tcW w:w="2742" w:type="pct"/>
            <w:vAlign w:val="center"/>
          </w:tcPr>
          <w:p>
            <w:pPr>
              <w:widowControl/>
              <w:spacing w:line="240" w:lineRule="auto"/>
              <w:rPr>
                <w:rFonts w:ascii="仿宋" w:hAnsi="仿宋" w:cs="仿宋"/>
                <w:color w:val="auto"/>
                <w:highlight w:val="none"/>
              </w:rPr>
            </w:pPr>
            <w:r>
              <w:rPr>
                <w:rFonts w:hint="eastAsia" w:ascii="仿宋" w:hAnsi="仿宋" w:cs="仿宋"/>
                <w:color w:val="auto"/>
                <w:highlight w:val="none"/>
              </w:rPr>
              <w:t>招标文件第二章</w:t>
            </w:r>
            <w:r>
              <w:rPr>
                <w:rFonts w:hint="eastAsia" w:ascii="仿宋" w:hAnsi="仿宋" w:cs="仿宋"/>
                <w:color w:val="auto"/>
                <w:highlight w:val="none"/>
              </w:rPr>
              <w:br w:type="textWrapping"/>
            </w:r>
            <w:r>
              <w:rPr>
                <w:rFonts w:hint="eastAsia" w:ascii="仿宋" w:hAnsi="仿宋" w:cs="仿宋"/>
                <w:color w:val="auto"/>
                <w:highlight w:val="none"/>
              </w:rPr>
              <w:t>一、投标人须知附表序号1采购预算、最高限价</w:t>
            </w:r>
          </w:p>
        </w:tc>
        <w:tc>
          <w:tcPr>
            <w:tcW w:w="1855" w:type="pct"/>
            <w:vAlign w:val="center"/>
          </w:tcPr>
          <w:p>
            <w:pPr>
              <w:spacing w:line="240" w:lineRule="auto"/>
              <w:rPr>
                <w:rFonts w:ascii="仿宋" w:hAnsi="仿宋" w:cs="仿宋"/>
                <w:bCs/>
                <w:color w:val="auto"/>
                <w:highlight w:val="none"/>
              </w:rPr>
            </w:pPr>
            <w:r>
              <w:rPr>
                <w:rFonts w:hint="eastAsia" w:ascii="仿宋" w:hAnsi="仿宋" w:cs="仿宋"/>
                <w:bCs/>
                <w:color w:val="auto"/>
                <w:highlight w:val="none"/>
              </w:rPr>
              <w:t>投标人按照招标文件第三章格式2-4、2-5（如涉及）填写</w:t>
            </w:r>
            <w:r>
              <w:rPr>
                <w:rFonts w:hint="eastAsia" w:ascii="仿宋" w:hAnsi="仿宋" w:cs="仿宋"/>
                <w:bCs/>
                <w:color w:val="auto"/>
                <w:spacing w:val="-6"/>
                <w:highlight w:val="none"/>
              </w:rPr>
              <w:t>并关联</w:t>
            </w:r>
            <w:r>
              <w:rPr>
                <w:rFonts w:hint="eastAsia" w:ascii="仿宋" w:hAnsi="仿宋" w:cs="仿宋"/>
                <w:bCs/>
                <w:color w:val="auto"/>
                <w:highlight w:val="none"/>
              </w:rPr>
              <w:t>。评标委员会结合投标文件按照招标文件要求进行评审。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pct"/>
        </w:trPr>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2</w:t>
            </w:r>
          </w:p>
        </w:tc>
        <w:tc>
          <w:tcPr>
            <w:tcW w:w="2742" w:type="pct"/>
            <w:vAlign w:val="center"/>
          </w:tcPr>
          <w:p>
            <w:pPr>
              <w:widowControl/>
              <w:spacing w:line="240" w:lineRule="auto"/>
              <w:rPr>
                <w:rFonts w:ascii="仿宋" w:hAnsi="仿宋" w:cs="仿宋"/>
                <w:color w:val="auto"/>
                <w:highlight w:val="none"/>
              </w:rPr>
            </w:pPr>
            <w:r>
              <w:rPr>
                <w:rFonts w:hint="eastAsia" w:ascii="仿宋" w:hAnsi="仿宋" w:cs="仿宋"/>
                <w:color w:val="auto"/>
                <w:highlight w:val="none"/>
              </w:rPr>
              <w:t>招标文件第二章一、投标人须知附表序号2不正当竞争预防措施</w:t>
            </w:r>
          </w:p>
        </w:tc>
        <w:tc>
          <w:tcPr>
            <w:tcW w:w="1855" w:type="pct"/>
            <w:vAlign w:val="center"/>
          </w:tcPr>
          <w:p>
            <w:pPr>
              <w:spacing w:line="240" w:lineRule="auto"/>
              <w:rPr>
                <w:rFonts w:ascii="仿宋" w:hAnsi="仿宋" w:cs="仿宋"/>
                <w:bCs/>
                <w:color w:val="auto"/>
                <w:highlight w:val="none"/>
              </w:rPr>
            </w:pPr>
            <w:r>
              <w:rPr>
                <w:rFonts w:hint="eastAsia" w:ascii="仿宋" w:hAnsi="仿宋" w:cs="仿宋"/>
                <w:bCs/>
                <w:color w:val="auto"/>
                <w:highlight w:val="none"/>
              </w:rPr>
              <w:t>投标人关联投标文件任意页面或放弃关联即可。</w:t>
            </w:r>
          </w:p>
          <w:p>
            <w:pPr>
              <w:spacing w:line="240" w:lineRule="auto"/>
              <w:rPr>
                <w:rFonts w:ascii="仿宋" w:hAnsi="仿宋" w:cs="仿宋"/>
                <w:bCs/>
                <w:color w:val="auto"/>
                <w:highlight w:val="none"/>
              </w:rPr>
            </w:pPr>
            <w:r>
              <w:rPr>
                <w:rFonts w:hint="eastAsia" w:ascii="仿宋" w:hAnsi="仿宋" w:cs="仿宋"/>
                <w:bCs/>
                <w:color w:val="auto"/>
                <w:highlight w:val="none"/>
              </w:rPr>
              <w:t>若有需要请按评标委员会要求提供书面说明、相关证明材料</w:t>
            </w:r>
            <w:r>
              <w:rPr>
                <w:rFonts w:hint="eastAsia" w:ascii="仿宋" w:hAnsi="仿宋" w:cs="仿宋"/>
                <w:bCs/>
                <w:color w:val="auto"/>
                <w:highlight w:val="none"/>
                <w:lang w:val="zh-CN"/>
              </w:rPr>
              <w:t>（如涉及）</w:t>
            </w:r>
            <w:r>
              <w:rPr>
                <w:rFonts w:hint="eastAsia" w:ascii="仿宋" w:hAnsi="仿宋" w:cs="仿宋"/>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pct"/>
        </w:trPr>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3</w:t>
            </w:r>
          </w:p>
        </w:tc>
        <w:tc>
          <w:tcPr>
            <w:tcW w:w="2742" w:type="pct"/>
            <w:vAlign w:val="center"/>
          </w:tcPr>
          <w:p>
            <w:pPr>
              <w:spacing w:line="240" w:lineRule="auto"/>
              <w:rPr>
                <w:rFonts w:ascii="仿宋" w:hAnsi="仿宋" w:cs="仿宋"/>
                <w:color w:val="auto"/>
                <w:highlight w:val="none"/>
              </w:rPr>
            </w:pPr>
            <w:r>
              <w:rPr>
                <w:rFonts w:hint="eastAsia" w:ascii="仿宋" w:hAnsi="仿宋" w:cs="仿宋"/>
                <w:color w:val="auto"/>
                <w:highlight w:val="none"/>
              </w:rPr>
              <w:t>招标文件第二章一、投标人须知附表序号5</w:t>
            </w:r>
            <w:r>
              <w:rPr>
                <w:rFonts w:hint="eastAsia" w:ascii="仿宋" w:hAnsi="仿宋" w:cs="仿宋"/>
                <w:color w:val="auto"/>
                <w:kern w:val="0"/>
                <w:highlight w:val="none"/>
              </w:rPr>
              <w:t>节能、环保及无线局域网产品政府采购政策</w:t>
            </w:r>
          </w:p>
        </w:tc>
        <w:tc>
          <w:tcPr>
            <w:tcW w:w="1855" w:type="pct"/>
            <w:vAlign w:val="center"/>
          </w:tcPr>
          <w:p>
            <w:pPr>
              <w:spacing w:line="240" w:lineRule="auto"/>
              <w:rPr>
                <w:rFonts w:ascii="仿宋" w:hAnsi="仿宋" w:cs="仿宋"/>
                <w:bCs/>
                <w:color w:val="auto"/>
                <w:highlight w:val="none"/>
              </w:rPr>
            </w:pPr>
            <w:r>
              <w:rPr>
                <w:rFonts w:hint="eastAsia" w:ascii="仿宋" w:hAnsi="仿宋" w:cs="仿宋"/>
                <w:bCs/>
                <w:color w:val="auto"/>
                <w:highlight w:val="none"/>
              </w:rPr>
              <w:t>若不涉及投标人关联投标文件任意页面或放弃关联即可；</w:t>
            </w:r>
          </w:p>
          <w:p>
            <w:pPr>
              <w:spacing w:line="240" w:lineRule="auto"/>
              <w:rPr>
                <w:rFonts w:ascii="仿宋" w:hAnsi="仿宋" w:cs="仿宋"/>
                <w:bCs/>
                <w:color w:val="auto"/>
                <w:highlight w:val="none"/>
              </w:rPr>
            </w:pPr>
            <w:r>
              <w:rPr>
                <w:rFonts w:hint="eastAsia" w:ascii="仿宋" w:hAnsi="仿宋" w:cs="仿宋"/>
                <w:bCs/>
                <w:color w:val="auto"/>
                <w:highlight w:val="none"/>
              </w:rPr>
              <w:t>若涉及按要求提供并关联证明材料，评标委员会根据关联内容结合投标文件进行评审。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pct"/>
        </w:trPr>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4</w:t>
            </w:r>
          </w:p>
        </w:tc>
        <w:tc>
          <w:tcPr>
            <w:tcW w:w="2742" w:type="pct"/>
            <w:vAlign w:val="center"/>
          </w:tcPr>
          <w:p>
            <w:pPr>
              <w:spacing w:line="240" w:lineRule="auto"/>
              <w:rPr>
                <w:rFonts w:ascii="仿宋" w:hAnsi="仿宋" w:cs="仿宋"/>
                <w:color w:val="auto"/>
                <w:highlight w:val="none"/>
                <w:lang w:val="zh-CN"/>
              </w:rPr>
            </w:pPr>
            <w:r>
              <w:rPr>
                <w:rFonts w:hint="eastAsia" w:ascii="仿宋" w:hAnsi="仿宋" w:cs="仿宋"/>
                <w:color w:val="auto"/>
                <w:highlight w:val="none"/>
              </w:rPr>
              <w:t>招标文件</w:t>
            </w:r>
            <w:r>
              <w:rPr>
                <w:rFonts w:hint="eastAsia" w:ascii="仿宋" w:hAnsi="仿宋" w:cs="仿宋"/>
                <w:color w:val="auto"/>
                <w:highlight w:val="none"/>
                <w:lang w:val="zh-CN"/>
              </w:rPr>
              <w:t>第二章</w:t>
            </w:r>
          </w:p>
          <w:p>
            <w:pPr>
              <w:spacing w:line="240" w:lineRule="auto"/>
              <w:rPr>
                <w:rFonts w:ascii="仿宋" w:hAnsi="仿宋" w:cs="仿宋"/>
                <w:color w:val="auto"/>
                <w:highlight w:val="none"/>
                <w:lang w:val="zh-CN"/>
              </w:rPr>
            </w:pPr>
            <w:r>
              <w:rPr>
                <w:rFonts w:hint="eastAsia" w:ascii="仿宋" w:hAnsi="仿宋" w:cs="仿宋"/>
                <w:color w:val="auto"/>
                <w:highlight w:val="none"/>
              </w:rPr>
              <w:t>二、总则4.</w:t>
            </w:r>
            <w:r>
              <w:rPr>
                <w:rFonts w:hint="eastAsia" w:ascii="仿宋" w:hAnsi="仿宋" w:cs="仿宋"/>
                <w:color w:val="auto"/>
                <w:highlight w:val="none"/>
                <w:lang w:val="zh-CN"/>
              </w:rPr>
              <w:t>投标费用；5.充分、公平竞争保障措施</w:t>
            </w:r>
          </w:p>
          <w:p>
            <w:pPr>
              <w:spacing w:line="240" w:lineRule="auto"/>
              <w:rPr>
                <w:rFonts w:ascii="仿宋" w:hAnsi="仿宋" w:cs="仿宋"/>
                <w:color w:val="auto"/>
                <w:highlight w:val="none"/>
                <w:lang w:val="zh-CN"/>
              </w:rPr>
            </w:pPr>
            <w:r>
              <w:rPr>
                <w:rFonts w:hint="eastAsia" w:ascii="仿宋" w:hAnsi="仿宋" w:cs="仿宋"/>
                <w:color w:val="auto"/>
                <w:highlight w:val="none"/>
              </w:rPr>
              <w:t>四、投标文件</w:t>
            </w:r>
            <w:r>
              <w:rPr>
                <w:rFonts w:hint="eastAsia" w:ascii="仿宋" w:hAnsi="仿宋" w:cs="仿宋"/>
                <w:color w:val="auto"/>
                <w:highlight w:val="none"/>
                <w:lang w:val="zh-CN"/>
              </w:rPr>
              <w:t>13. 知识产权；14．投标文件的组成，其他响应性投标文件（一）报价部分</w:t>
            </w:r>
          </w:p>
          <w:p>
            <w:pPr>
              <w:spacing w:line="240" w:lineRule="auto"/>
              <w:rPr>
                <w:rFonts w:ascii="仿宋" w:hAnsi="仿宋" w:cs="仿宋"/>
                <w:color w:val="auto"/>
                <w:highlight w:val="none"/>
                <w:lang w:val="zh-CN"/>
              </w:rPr>
            </w:pPr>
            <w:r>
              <w:rPr>
                <w:rFonts w:hint="eastAsia" w:ascii="仿宋" w:hAnsi="仿宋" w:cs="仿宋"/>
                <w:color w:val="auto"/>
                <w:highlight w:val="none"/>
                <w:lang w:val="zh-CN"/>
              </w:rPr>
              <w:t>六、签订及履行合同和验收27.合同分包；2</w:t>
            </w:r>
            <w:r>
              <w:rPr>
                <w:rFonts w:hint="eastAsia" w:ascii="仿宋" w:hAnsi="仿宋" w:cs="仿宋"/>
                <w:color w:val="auto"/>
                <w:highlight w:val="none"/>
              </w:rPr>
              <w:t>8</w:t>
            </w:r>
            <w:r>
              <w:rPr>
                <w:rFonts w:hint="eastAsia" w:ascii="仿宋" w:hAnsi="仿宋" w:cs="仿宋"/>
                <w:color w:val="auto"/>
                <w:highlight w:val="none"/>
                <w:lang w:val="zh-CN"/>
              </w:rPr>
              <w:t>.合同</w:t>
            </w:r>
            <w:r>
              <w:rPr>
                <w:rFonts w:hint="eastAsia" w:ascii="仿宋" w:hAnsi="仿宋" w:cs="仿宋"/>
                <w:color w:val="auto"/>
                <w:highlight w:val="none"/>
              </w:rPr>
              <w:t>转包；</w:t>
            </w:r>
            <w:r>
              <w:rPr>
                <w:rFonts w:hint="eastAsia" w:ascii="仿宋" w:hAnsi="仿宋" w:cs="仿宋"/>
                <w:color w:val="auto"/>
                <w:highlight w:val="none"/>
                <w:lang w:val="zh-CN"/>
              </w:rPr>
              <w:t>30. 履约保证金</w:t>
            </w:r>
          </w:p>
          <w:p>
            <w:pPr>
              <w:spacing w:line="240" w:lineRule="auto"/>
              <w:rPr>
                <w:rFonts w:ascii="仿宋" w:hAnsi="仿宋" w:cs="仿宋"/>
                <w:color w:val="auto"/>
                <w:highlight w:val="none"/>
              </w:rPr>
            </w:pPr>
            <w:r>
              <w:rPr>
                <w:rFonts w:hint="eastAsia" w:ascii="仿宋" w:hAnsi="仿宋" w:cs="仿宋"/>
                <w:color w:val="auto"/>
                <w:highlight w:val="none"/>
              </w:rPr>
              <w:t>九、其他41</w:t>
            </w:r>
            <w:r>
              <w:rPr>
                <w:rFonts w:hint="eastAsia" w:ascii="仿宋" w:hAnsi="仿宋" w:cs="仿宋"/>
                <w:color w:val="auto"/>
                <w:highlight w:val="none"/>
                <w:lang w:val="zh-CN"/>
              </w:rPr>
              <w:t>。</w:t>
            </w:r>
          </w:p>
        </w:tc>
        <w:tc>
          <w:tcPr>
            <w:tcW w:w="1855" w:type="pct"/>
            <w:vAlign w:val="center"/>
          </w:tcPr>
          <w:p>
            <w:pPr>
              <w:spacing w:line="240" w:lineRule="auto"/>
              <w:rPr>
                <w:rFonts w:ascii="仿宋" w:hAnsi="仿宋" w:cs="仿宋"/>
                <w:bCs/>
                <w:color w:val="auto"/>
                <w:spacing w:val="-6"/>
                <w:highlight w:val="none"/>
              </w:rPr>
            </w:pPr>
            <w:r>
              <w:rPr>
                <w:rFonts w:hint="eastAsia" w:ascii="仿宋" w:hAnsi="仿宋" w:cs="仿宋"/>
                <w:bCs/>
                <w:color w:val="auto"/>
                <w:highlight w:val="none"/>
              </w:rPr>
              <w:t>投标人按照招标文件第三章格式2-3</w:t>
            </w:r>
            <w:r>
              <w:rPr>
                <w:rFonts w:hint="eastAsia" w:ascii="仿宋" w:hAnsi="仿宋" w:cs="仿宋"/>
                <w:bCs/>
                <w:color w:val="auto"/>
                <w:spacing w:val="-6"/>
                <w:highlight w:val="none"/>
              </w:rPr>
              <w:t>填写并关联。</w:t>
            </w:r>
          </w:p>
          <w:p>
            <w:pPr>
              <w:spacing w:line="240" w:lineRule="auto"/>
              <w:rPr>
                <w:rFonts w:ascii="仿宋" w:hAnsi="仿宋" w:cs="仿宋"/>
                <w:bCs/>
                <w:color w:val="auto"/>
                <w:highlight w:val="none"/>
              </w:rPr>
            </w:pPr>
            <w:r>
              <w:rPr>
                <w:rFonts w:hint="eastAsia" w:ascii="仿宋" w:hAnsi="仿宋" w:cs="仿宋"/>
                <w:bCs/>
                <w:color w:val="auto"/>
                <w:spacing w:val="-6"/>
                <w:highlight w:val="none"/>
              </w:rPr>
              <w:t>评标委员会根据关联内容结合投标文件进行评审。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pct"/>
        </w:trPr>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5</w:t>
            </w:r>
          </w:p>
        </w:tc>
        <w:tc>
          <w:tcPr>
            <w:tcW w:w="2742" w:type="pct"/>
            <w:vAlign w:val="center"/>
          </w:tcPr>
          <w:p>
            <w:pPr>
              <w:spacing w:line="240" w:lineRule="auto"/>
              <w:rPr>
                <w:rFonts w:ascii="仿宋" w:hAnsi="仿宋" w:cs="仿宋"/>
                <w:color w:val="auto"/>
                <w:highlight w:val="none"/>
              </w:rPr>
            </w:pPr>
            <w:r>
              <w:rPr>
                <w:rFonts w:hint="eastAsia" w:ascii="仿宋" w:hAnsi="仿宋" w:cs="仿宋"/>
                <w:b/>
                <w:color w:val="auto"/>
                <w:highlight w:val="none"/>
              </w:rPr>
              <w:t>招标文件第二章一、投标人须知附表序号19</w:t>
            </w:r>
            <w:r>
              <w:rPr>
                <w:rFonts w:hint="eastAsia" w:ascii="仿宋" w:hAnsi="仿宋" w:cs="仿宋"/>
                <w:b/>
                <w:color w:val="auto"/>
                <w:highlight w:val="none"/>
                <w:lang w:val="zh-CN"/>
              </w:rPr>
              <w:t>联合体</w:t>
            </w:r>
          </w:p>
        </w:tc>
        <w:tc>
          <w:tcPr>
            <w:tcW w:w="1855" w:type="pct"/>
            <w:vAlign w:val="center"/>
          </w:tcPr>
          <w:p>
            <w:pPr>
              <w:spacing w:line="240" w:lineRule="auto"/>
              <w:rPr>
                <w:rFonts w:ascii="仿宋" w:hAnsi="仿宋" w:cs="仿宋"/>
                <w:bCs/>
                <w:color w:val="auto"/>
                <w:highlight w:val="none"/>
              </w:rPr>
            </w:pPr>
            <w:r>
              <w:rPr>
                <w:rFonts w:hint="eastAsia" w:ascii="仿宋" w:hAnsi="仿宋" w:cs="仿宋"/>
                <w:bCs/>
                <w:color w:val="auto"/>
                <w:highlight w:val="none"/>
              </w:rPr>
              <w:t>若不涉及投标人关联投标文件任意页面或放弃关联即可；若涉及按要求提供证明材料并关联。</w:t>
            </w:r>
          </w:p>
          <w:p>
            <w:pPr>
              <w:spacing w:line="240" w:lineRule="auto"/>
              <w:rPr>
                <w:rFonts w:ascii="仿宋" w:hAnsi="仿宋" w:cs="仿宋"/>
                <w:bCs/>
                <w:color w:val="auto"/>
                <w:spacing w:val="-6"/>
                <w:highlight w:val="none"/>
              </w:rPr>
            </w:pPr>
            <w:r>
              <w:rPr>
                <w:rFonts w:hint="eastAsia" w:ascii="仿宋" w:hAnsi="仿宋" w:cs="仿宋"/>
                <w:bCs/>
                <w:color w:val="auto"/>
                <w:highlight w:val="none"/>
              </w:rPr>
              <w:t>评标委员会根据关联内容结合投标文件进行评审。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pct"/>
        </w:trPr>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6</w:t>
            </w:r>
          </w:p>
        </w:tc>
        <w:tc>
          <w:tcPr>
            <w:tcW w:w="2742" w:type="pct"/>
            <w:vAlign w:val="center"/>
          </w:tcPr>
          <w:p>
            <w:pPr>
              <w:spacing w:line="240" w:lineRule="auto"/>
              <w:rPr>
                <w:rFonts w:ascii="仿宋" w:hAnsi="仿宋" w:cs="仿宋"/>
                <w:b/>
                <w:bCs/>
                <w:color w:val="auto"/>
                <w:highlight w:val="none"/>
              </w:rPr>
            </w:pPr>
            <w:r>
              <w:rPr>
                <w:rFonts w:hint="eastAsia" w:ascii="仿宋" w:hAnsi="仿宋" w:cs="仿宋"/>
                <w:b/>
                <w:bCs/>
                <w:color w:val="auto"/>
                <w:highlight w:val="none"/>
              </w:rPr>
              <w:t>招标文件第二章</w:t>
            </w:r>
          </w:p>
          <w:p>
            <w:pPr>
              <w:spacing w:line="240" w:lineRule="auto"/>
              <w:rPr>
                <w:rFonts w:ascii="仿宋" w:hAnsi="仿宋" w:cs="仿宋"/>
                <w:color w:val="auto"/>
                <w:highlight w:val="none"/>
                <w:lang w:val="zh-CN"/>
              </w:rPr>
            </w:pPr>
            <w:r>
              <w:rPr>
                <w:rFonts w:hint="eastAsia" w:ascii="仿宋" w:hAnsi="仿宋" w:cs="仿宋"/>
                <w:color w:val="auto"/>
                <w:highlight w:val="none"/>
              </w:rPr>
              <w:t>一、投标人须知附表序号3进口产品；序号9合同分包</w:t>
            </w:r>
            <w:r>
              <w:rPr>
                <w:rFonts w:hint="eastAsia" w:ascii="仿宋" w:hAnsi="仿宋" w:cs="仿宋"/>
                <w:color w:val="auto"/>
                <w:highlight w:val="none"/>
                <w:lang w:val="zh-CN"/>
              </w:rPr>
              <w:br w:type="textWrapping"/>
            </w:r>
            <w:r>
              <w:rPr>
                <w:rFonts w:hint="eastAsia" w:ascii="仿宋" w:hAnsi="仿宋" w:cs="仿宋"/>
                <w:color w:val="auto"/>
                <w:highlight w:val="none"/>
              </w:rPr>
              <w:t>二、总则</w:t>
            </w:r>
            <w:r>
              <w:rPr>
                <w:rFonts w:hint="eastAsia" w:ascii="仿宋" w:hAnsi="仿宋" w:cs="仿宋"/>
                <w:color w:val="auto"/>
                <w:highlight w:val="none"/>
                <w:lang w:val="zh-CN"/>
              </w:rPr>
              <w:t>5.充分、公平竞争保障措施：</w:t>
            </w:r>
            <w:r>
              <w:rPr>
                <w:rFonts w:hint="eastAsia" w:ascii="仿宋" w:hAnsi="仿宋" w:cs="仿宋"/>
                <w:color w:val="auto"/>
                <w:highlight w:val="none"/>
              </w:rPr>
              <w:br w:type="textWrapping"/>
            </w:r>
            <w:r>
              <w:rPr>
                <w:rFonts w:hint="eastAsia" w:ascii="仿宋" w:hAnsi="仿宋" w:cs="仿宋"/>
                <w:color w:val="auto"/>
                <w:highlight w:val="none"/>
              </w:rPr>
              <w:t>四、投标文件</w:t>
            </w:r>
            <w:r>
              <w:rPr>
                <w:rFonts w:hint="eastAsia" w:ascii="仿宋" w:hAnsi="仿宋" w:cs="仿宋"/>
                <w:color w:val="auto"/>
                <w:highlight w:val="none"/>
                <w:lang w:val="zh-CN"/>
              </w:rPr>
              <w:t>10．计量单位；11. 投标货币；17．投标文件的制作和签章、加密</w:t>
            </w:r>
          </w:p>
          <w:p>
            <w:pPr>
              <w:spacing w:line="240" w:lineRule="auto"/>
              <w:rPr>
                <w:rFonts w:ascii="仿宋" w:hAnsi="仿宋" w:cs="仿宋"/>
                <w:color w:val="auto"/>
                <w:highlight w:val="none"/>
                <w:lang w:val="zh-CN"/>
              </w:rPr>
            </w:pPr>
            <w:r>
              <w:rPr>
                <w:rFonts w:hint="eastAsia" w:ascii="仿宋" w:hAnsi="仿宋" w:cs="仿宋"/>
                <w:color w:val="auto"/>
                <w:highlight w:val="none"/>
              </w:rPr>
              <w:t>七、投标纪律要求38</w:t>
            </w:r>
          </w:p>
          <w:p>
            <w:pPr>
              <w:spacing w:line="240" w:lineRule="auto"/>
              <w:rPr>
                <w:rFonts w:ascii="仿宋" w:hAnsi="仿宋" w:cs="仿宋"/>
                <w:color w:val="auto"/>
                <w:highlight w:val="none"/>
              </w:rPr>
            </w:pPr>
            <w:r>
              <w:rPr>
                <w:rFonts w:hint="eastAsia" w:ascii="仿宋" w:hAnsi="仿宋" w:cs="仿宋"/>
                <w:b/>
                <w:bCs/>
                <w:color w:val="auto"/>
                <w:highlight w:val="none"/>
              </w:rPr>
              <w:t>招标文件第七章</w:t>
            </w:r>
            <w:r>
              <w:rPr>
                <w:rFonts w:hint="eastAsia" w:ascii="仿宋" w:hAnsi="仿宋" w:cs="仿宋"/>
                <w:color w:val="auto"/>
                <w:highlight w:val="none"/>
              </w:rPr>
              <w:t>3.2.3</w:t>
            </w:r>
          </w:p>
        </w:tc>
        <w:tc>
          <w:tcPr>
            <w:tcW w:w="1855" w:type="pct"/>
            <w:vAlign w:val="center"/>
          </w:tcPr>
          <w:p>
            <w:pPr>
              <w:spacing w:line="240" w:lineRule="auto"/>
              <w:rPr>
                <w:rFonts w:ascii="仿宋" w:hAnsi="仿宋" w:cs="仿宋"/>
                <w:color w:val="auto"/>
                <w:szCs w:val="28"/>
                <w:highlight w:val="none"/>
              </w:rPr>
            </w:pPr>
            <w:r>
              <w:rPr>
                <w:rFonts w:hint="eastAsia" w:ascii="仿宋" w:hAnsi="仿宋" w:cs="仿宋"/>
                <w:bCs/>
                <w:color w:val="auto"/>
                <w:highlight w:val="none"/>
              </w:rPr>
              <w:t>投标人关联投标文件任意页面或放弃关联即可</w:t>
            </w:r>
            <w:r>
              <w:rPr>
                <w:rFonts w:hint="eastAsia" w:ascii="仿宋" w:hAnsi="仿宋" w:cs="仿宋"/>
                <w:color w:val="auto"/>
                <w:szCs w:val="28"/>
                <w:highlight w:val="none"/>
              </w:rPr>
              <w:t>。</w:t>
            </w:r>
          </w:p>
          <w:p>
            <w:pPr>
              <w:spacing w:line="240" w:lineRule="auto"/>
              <w:rPr>
                <w:rFonts w:ascii="仿宋" w:hAnsi="仿宋" w:cs="仿宋"/>
                <w:bCs/>
                <w:color w:val="auto"/>
                <w:highlight w:val="none"/>
              </w:rPr>
            </w:pPr>
            <w:r>
              <w:rPr>
                <w:rFonts w:hint="eastAsia" w:ascii="仿宋" w:hAnsi="仿宋" w:cs="仿宋"/>
                <w:color w:val="auto"/>
                <w:szCs w:val="28"/>
                <w:highlight w:val="none"/>
              </w:rPr>
              <w:t>评标委员会结合投标文件按照招标文件要求进行评审。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pct"/>
          <w:trHeight w:val="90" w:hRule="atLeast"/>
        </w:trPr>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7</w:t>
            </w:r>
          </w:p>
        </w:tc>
        <w:tc>
          <w:tcPr>
            <w:tcW w:w="2742" w:type="pct"/>
            <w:vAlign w:val="center"/>
          </w:tcPr>
          <w:p>
            <w:pPr>
              <w:spacing w:line="240" w:lineRule="auto"/>
              <w:rPr>
                <w:rFonts w:ascii="仿宋" w:hAnsi="仿宋" w:cs="仿宋"/>
                <w:color w:val="auto"/>
                <w:highlight w:val="none"/>
                <w:lang w:val="zh-CN"/>
              </w:rPr>
            </w:pPr>
            <w:r>
              <w:rPr>
                <w:rFonts w:hint="eastAsia" w:ascii="仿宋" w:hAnsi="仿宋" w:cs="仿宋"/>
                <w:b/>
                <w:bCs/>
                <w:color w:val="auto"/>
                <w:highlight w:val="none"/>
                <w:lang w:val="zh-CN"/>
              </w:rPr>
              <w:t>招标文件第二章</w:t>
            </w:r>
            <w:r>
              <w:rPr>
                <w:rFonts w:hint="eastAsia" w:ascii="仿宋" w:hAnsi="仿宋" w:cs="仿宋"/>
                <w:color w:val="auto"/>
                <w:highlight w:val="none"/>
              </w:rPr>
              <w:t>四、投标文件</w:t>
            </w:r>
            <w:r>
              <w:rPr>
                <w:rFonts w:hint="eastAsia" w:ascii="仿宋" w:hAnsi="仿宋" w:cs="仿宋"/>
                <w:color w:val="auto"/>
                <w:highlight w:val="none"/>
                <w:lang w:val="zh-CN"/>
              </w:rPr>
              <w:t>16．投标有效期</w:t>
            </w:r>
          </w:p>
        </w:tc>
        <w:tc>
          <w:tcPr>
            <w:tcW w:w="1855" w:type="pct"/>
            <w:vAlign w:val="center"/>
          </w:tcPr>
          <w:p>
            <w:pPr>
              <w:spacing w:line="240" w:lineRule="auto"/>
              <w:rPr>
                <w:rFonts w:ascii="仿宋" w:hAnsi="仿宋" w:cs="仿宋"/>
                <w:bCs/>
                <w:color w:val="auto"/>
                <w:highlight w:val="none"/>
              </w:rPr>
            </w:pPr>
            <w:r>
              <w:rPr>
                <w:rFonts w:hint="eastAsia" w:ascii="仿宋" w:hAnsi="仿宋" w:cs="仿宋"/>
                <w:bCs/>
                <w:color w:val="auto"/>
                <w:highlight w:val="none"/>
              </w:rPr>
              <w:t>投标人按照招标文件第三章格式2-2填写</w:t>
            </w:r>
            <w:r>
              <w:rPr>
                <w:rFonts w:hint="eastAsia" w:ascii="仿宋" w:hAnsi="仿宋" w:cs="仿宋"/>
                <w:bCs/>
                <w:color w:val="auto"/>
                <w:spacing w:val="-6"/>
                <w:highlight w:val="none"/>
              </w:rPr>
              <w:t>并关联</w:t>
            </w:r>
            <w:r>
              <w:rPr>
                <w:rFonts w:hint="eastAsia" w:ascii="仿宋" w:hAnsi="仿宋" w:cs="仿宋"/>
                <w:bCs/>
                <w:color w:val="auto"/>
                <w:highlight w:val="none"/>
              </w:rPr>
              <w:t>，评标委员会根据关联内容结合投标文件进行评审。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4" w:type="pct"/>
        </w:trPr>
        <w:tc>
          <w:tcPr>
            <w:tcW w:w="367" w:type="pct"/>
            <w:vAlign w:val="center"/>
          </w:tcPr>
          <w:p>
            <w:pPr>
              <w:spacing w:line="240" w:lineRule="auto"/>
              <w:jc w:val="center"/>
              <w:rPr>
                <w:rFonts w:ascii="仿宋" w:hAnsi="仿宋" w:cs="仿宋"/>
                <w:bCs/>
                <w:color w:val="auto"/>
                <w:highlight w:val="none"/>
              </w:rPr>
            </w:pPr>
            <w:r>
              <w:rPr>
                <w:rFonts w:hint="eastAsia" w:ascii="仿宋" w:hAnsi="仿宋" w:cs="仿宋"/>
                <w:bCs/>
                <w:color w:val="auto"/>
                <w:highlight w:val="none"/>
              </w:rPr>
              <w:t>8</w:t>
            </w:r>
          </w:p>
        </w:tc>
        <w:tc>
          <w:tcPr>
            <w:tcW w:w="2742" w:type="pct"/>
            <w:vAlign w:val="center"/>
          </w:tcPr>
          <w:p>
            <w:pPr>
              <w:spacing w:line="240" w:lineRule="auto"/>
              <w:rPr>
                <w:rFonts w:ascii="仿宋" w:hAnsi="仿宋" w:cs="仿宋"/>
                <w:color w:val="auto"/>
                <w:highlight w:val="none"/>
              </w:rPr>
            </w:pPr>
            <w:r>
              <w:rPr>
                <w:rFonts w:hint="eastAsia" w:ascii="仿宋" w:hAnsi="仿宋" w:cs="仿宋"/>
                <w:color w:val="auto"/>
                <w:highlight w:val="none"/>
              </w:rPr>
              <w:t>招标文件第六章商务要求、技术服务要求的实质性要求</w:t>
            </w:r>
          </w:p>
        </w:tc>
        <w:tc>
          <w:tcPr>
            <w:tcW w:w="1855" w:type="pct"/>
            <w:vAlign w:val="center"/>
          </w:tcPr>
          <w:p>
            <w:pPr>
              <w:spacing w:line="240" w:lineRule="auto"/>
              <w:rPr>
                <w:rFonts w:ascii="仿宋" w:hAnsi="仿宋" w:cs="仿宋"/>
                <w:bCs/>
                <w:color w:val="auto"/>
                <w:highlight w:val="none"/>
              </w:rPr>
            </w:pPr>
            <w:r>
              <w:rPr>
                <w:rFonts w:hint="eastAsia" w:ascii="仿宋" w:hAnsi="仿宋" w:cs="仿宋"/>
                <w:bCs/>
                <w:color w:val="auto"/>
                <w:highlight w:val="none"/>
              </w:rPr>
              <w:t>投标人按照招标文件第三章格式2-6、2-9填写</w:t>
            </w:r>
            <w:r>
              <w:rPr>
                <w:rFonts w:hint="eastAsia" w:ascii="仿宋" w:hAnsi="仿宋" w:cs="仿宋"/>
                <w:bCs/>
                <w:color w:val="auto"/>
                <w:spacing w:val="-6"/>
                <w:highlight w:val="none"/>
              </w:rPr>
              <w:t>并关联</w:t>
            </w:r>
            <w:r>
              <w:rPr>
                <w:rFonts w:hint="eastAsia" w:ascii="仿宋" w:hAnsi="仿宋" w:cs="仿宋"/>
                <w:bCs/>
                <w:color w:val="auto"/>
                <w:highlight w:val="none"/>
              </w:rPr>
              <w:t>，评委会根据关联内容结合投标文件进行评审。</w:t>
            </w:r>
          </w:p>
        </w:tc>
      </w:tr>
    </w:tbl>
    <w:p>
      <w:pPr>
        <w:spacing w:line="400" w:lineRule="exact"/>
        <w:ind w:firstLine="480" w:firstLineChars="200"/>
        <w:rPr>
          <w:rFonts w:ascii="仿宋" w:hAnsi="仿宋"/>
          <w:color w:val="auto"/>
          <w:highlight w:val="none"/>
        </w:rPr>
      </w:pPr>
      <w:r>
        <w:rPr>
          <w:rFonts w:hint="eastAsia" w:ascii="仿宋" w:hAnsi="仿宋"/>
          <w:color w:val="auto"/>
          <w:highlight w:val="none"/>
        </w:rPr>
        <w:t>3.2.2投标文件出现其他不影响采购项目实质性要求的情形，不作为符合性审查事项，不得作为无效投标处理。</w:t>
      </w:r>
    </w:p>
    <w:p>
      <w:pPr>
        <w:spacing w:line="400" w:lineRule="exact"/>
        <w:ind w:firstLine="480" w:firstLineChars="200"/>
        <w:rPr>
          <w:rFonts w:ascii="仿宋" w:hAnsi="仿宋"/>
          <w:color w:val="auto"/>
          <w:highlight w:val="none"/>
        </w:rPr>
      </w:pPr>
      <w:r>
        <w:rPr>
          <w:rFonts w:hint="eastAsia" w:ascii="仿宋" w:hAnsi="仿宋"/>
          <w:color w:val="auto"/>
          <w:highlight w:val="none"/>
        </w:rPr>
        <w:t>3.2.3除政府采购法律制度规定的情形外，本项目投标人或者其投标文件有下列情形之一的，作为无效投标处理：</w:t>
      </w:r>
    </w:p>
    <w:p>
      <w:pPr>
        <w:spacing w:line="400" w:lineRule="exact"/>
        <w:ind w:firstLine="480" w:firstLineChars="200"/>
        <w:rPr>
          <w:rFonts w:ascii="仿宋" w:hAnsi="仿宋"/>
          <w:color w:val="auto"/>
          <w:highlight w:val="none"/>
        </w:rPr>
      </w:pPr>
      <w:r>
        <w:rPr>
          <w:rFonts w:hint="eastAsia" w:ascii="仿宋" w:hAnsi="仿宋"/>
          <w:color w:val="auto"/>
          <w:highlight w:val="none"/>
        </w:rPr>
        <w:t>（一）投标文件组成明显不符合招标文件的规定要求，影响评标委员会评判的；</w:t>
      </w:r>
    </w:p>
    <w:p>
      <w:pPr>
        <w:spacing w:line="400" w:lineRule="exact"/>
        <w:ind w:firstLine="480" w:firstLineChars="200"/>
        <w:rPr>
          <w:rFonts w:ascii="仿宋" w:hAnsi="仿宋"/>
          <w:color w:val="auto"/>
          <w:highlight w:val="none"/>
        </w:rPr>
      </w:pPr>
      <w:r>
        <w:rPr>
          <w:rFonts w:hint="eastAsia" w:ascii="仿宋" w:hAnsi="仿宋"/>
          <w:color w:val="auto"/>
          <w:highlight w:val="none"/>
        </w:rPr>
        <w:t>（二）投标文件未按招标文件</w:t>
      </w:r>
      <w:r>
        <w:rPr>
          <w:rFonts w:hint="eastAsia" w:ascii="仿宋" w:hAnsi="仿宋"/>
          <w:b/>
          <w:bCs/>
          <w:color w:val="auto"/>
          <w:highlight w:val="none"/>
        </w:rPr>
        <w:t>第二章17.2</w:t>
      </w:r>
      <w:r>
        <w:rPr>
          <w:rFonts w:hint="eastAsia" w:ascii="仿宋" w:hAnsi="仿宋"/>
          <w:color w:val="auto"/>
          <w:highlight w:val="none"/>
        </w:rPr>
        <w:t>要求盖电子印章的；</w:t>
      </w:r>
    </w:p>
    <w:p>
      <w:pPr>
        <w:spacing w:line="400" w:lineRule="exact"/>
        <w:ind w:firstLine="480" w:firstLineChars="200"/>
        <w:rPr>
          <w:rFonts w:ascii="仿宋" w:hAnsi="仿宋"/>
          <w:color w:val="auto"/>
          <w:highlight w:val="none"/>
        </w:rPr>
      </w:pPr>
      <w:r>
        <w:rPr>
          <w:rFonts w:hint="eastAsia" w:ascii="仿宋" w:hAnsi="仿宋"/>
          <w:color w:val="auto"/>
          <w:highlight w:val="none"/>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color w:val="auto"/>
          <w:highlight w:val="none"/>
        </w:rPr>
      </w:pPr>
      <w:r>
        <w:rPr>
          <w:rFonts w:hint="eastAsia" w:ascii="仿宋" w:hAnsi="仿宋"/>
          <w:color w:val="auto"/>
          <w:highlight w:val="none"/>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color w:val="auto"/>
          <w:highlight w:val="none"/>
        </w:rPr>
      </w:pPr>
      <w:r>
        <w:rPr>
          <w:rFonts w:hint="eastAsia" w:ascii="仿宋" w:hAnsi="仿宋"/>
          <w:color w:val="auto"/>
          <w:highlight w:val="none"/>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color w:val="auto"/>
          <w:highlight w:val="none"/>
        </w:rPr>
      </w:pPr>
      <w:r>
        <w:rPr>
          <w:rFonts w:hint="eastAsia" w:ascii="仿宋" w:hAnsi="仿宋"/>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color w:val="auto"/>
          <w:highlight w:val="none"/>
        </w:rPr>
      </w:pPr>
      <w:r>
        <w:rPr>
          <w:rFonts w:hint="eastAsia" w:ascii="仿宋" w:hAnsi="仿宋"/>
          <w:color w:val="auto"/>
          <w:highlight w:val="none"/>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color w:val="auto"/>
          <w:highlight w:val="none"/>
        </w:rPr>
      </w:pPr>
      <w:r>
        <w:rPr>
          <w:rFonts w:hint="eastAsia" w:ascii="仿宋" w:hAnsi="仿宋"/>
          <w:color w:val="auto"/>
          <w:highlight w:val="none"/>
        </w:rPr>
        <w:t>（一）招标公告刊登的媒体名称、开标日期和地点；</w:t>
      </w:r>
    </w:p>
    <w:p>
      <w:pPr>
        <w:spacing w:line="400" w:lineRule="exact"/>
        <w:ind w:firstLine="480" w:firstLineChars="200"/>
        <w:rPr>
          <w:rFonts w:ascii="仿宋" w:hAnsi="仿宋"/>
          <w:color w:val="auto"/>
          <w:highlight w:val="none"/>
        </w:rPr>
      </w:pPr>
      <w:r>
        <w:rPr>
          <w:rFonts w:hint="eastAsia" w:ascii="仿宋" w:hAnsi="仿宋"/>
          <w:color w:val="auto"/>
          <w:highlight w:val="none"/>
        </w:rPr>
        <w:t>（二）获取招标文件的投标人名单和评标委员会成员名单；</w:t>
      </w:r>
    </w:p>
    <w:p>
      <w:pPr>
        <w:spacing w:line="400" w:lineRule="exact"/>
        <w:ind w:firstLine="480" w:firstLineChars="200"/>
        <w:rPr>
          <w:rFonts w:ascii="仿宋" w:hAnsi="仿宋"/>
          <w:color w:val="auto"/>
          <w:highlight w:val="none"/>
        </w:rPr>
      </w:pPr>
      <w:r>
        <w:rPr>
          <w:rFonts w:hint="eastAsia" w:ascii="仿宋" w:hAnsi="仿宋"/>
          <w:color w:val="auto"/>
          <w:highlight w:val="none"/>
        </w:rPr>
        <w:t>（三）评标方法和标准；</w:t>
      </w:r>
    </w:p>
    <w:p>
      <w:pPr>
        <w:spacing w:line="400" w:lineRule="exact"/>
        <w:ind w:firstLine="480" w:firstLineChars="200"/>
        <w:rPr>
          <w:rFonts w:ascii="仿宋" w:hAnsi="仿宋"/>
          <w:color w:val="auto"/>
          <w:highlight w:val="none"/>
        </w:rPr>
      </w:pPr>
      <w:r>
        <w:rPr>
          <w:rFonts w:hint="eastAsia" w:ascii="仿宋" w:hAnsi="仿宋"/>
          <w:color w:val="auto"/>
          <w:highlight w:val="none"/>
        </w:rPr>
        <w:t>（四）开标记录和评标情况及说明，包括无效投标人名单及原因；</w:t>
      </w:r>
    </w:p>
    <w:p>
      <w:pPr>
        <w:spacing w:line="400" w:lineRule="exact"/>
        <w:ind w:firstLine="480" w:firstLineChars="200"/>
        <w:rPr>
          <w:rFonts w:ascii="仿宋" w:hAnsi="仿宋"/>
          <w:color w:val="auto"/>
          <w:highlight w:val="none"/>
        </w:rPr>
      </w:pPr>
      <w:r>
        <w:rPr>
          <w:rFonts w:hint="eastAsia" w:ascii="仿宋" w:hAnsi="仿宋"/>
          <w:color w:val="auto"/>
          <w:highlight w:val="none"/>
        </w:rPr>
        <w:t>（五）评标结果和中标候选供应商排序表；</w:t>
      </w:r>
    </w:p>
    <w:p>
      <w:pPr>
        <w:spacing w:line="400" w:lineRule="exact"/>
        <w:ind w:firstLine="480" w:firstLineChars="200"/>
        <w:rPr>
          <w:rFonts w:ascii="仿宋" w:hAnsi="仿宋"/>
          <w:color w:val="auto"/>
          <w:highlight w:val="none"/>
        </w:rPr>
      </w:pPr>
      <w:r>
        <w:rPr>
          <w:rFonts w:hint="eastAsia" w:ascii="仿宋" w:hAnsi="仿宋"/>
          <w:color w:val="auto"/>
          <w:highlight w:val="none"/>
        </w:rPr>
        <w:t>（六）评标委员会授标建议；</w:t>
      </w:r>
    </w:p>
    <w:p>
      <w:pPr>
        <w:spacing w:line="400" w:lineRule="exact"/>
        <w:ind w:firstLine="480" w:firstLineChars="200"/>
        <w:rPr>
          <w:rFonts w:ascii="仿宋" w:hAnsi="仿宋"/>
          <w:color w:val="auto"/>
          <w:highlight w:val="none"/>
        </w:rPr>
      </w:pPr>
      <w:r>
        <w:rPr>
          <w:rFonts w:hint="eastAsia" w:ascii="仿宋" w:hAnsi="仿宋"/>
          <w:color w:val="auto"/>
          <w:highlight w:val="none"/>
        </w:rPr>
        <w:t>（七）报价最高的投标人为中标候选人的，评标委员会应当对其报价的合理性予以特别说明。</w:t>
      </w:r>
    </w:p>
    <w:p>
      <w:pPr>
        <w:spacing w:line="400" w:lineRule="exact"/>
        <w:ind w:firstLine="480" w:firstLineChars="200"/>
        <w:rPr>
          <w:rFonts w:ascii="仿宋" w:hAnsi="仿宋"/>
          <w:color w:val="auto"/>
          <w:highlight w:val="none"/>
        </w:rPr>
      </w:pPr>
      <w:r>
        <w:rPr>
          <w:rFonts w:hint="eastAsia" w:ascii="仿宋" w:hAnsi="仿宋"/>
          <w:color w:val="auto"/>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color w:val="auto"/>
          <w:highlight w:val="none"/>
        </w:rPr>
      </w:pPr>
      <w:r>
        <w:rPr>
          <w:rFonts w:hint="eastAsia" w:ascii="仿宋" w:hAnsi="仿宋"/>
          <w:color w:val="auto"/>
          <w:highlight w:val="none"/>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color w:val="auto"/>
          <w:highlight w:val="none"/>
        </w:rPr>
      </w:pPr>
      <w:r>
        <w:rPr>
          <w:rFonts w:hint="eastAsia" w:ascii="仿宋" w:hAnsi="仿宋"/>
          <w:color w:val="auto"/>
          <w:highlight w:val="none"/>
        </w:rPr>
        <w:t>3.8供应商应当书面澄清、说明或者更正。</w:t>
      </w:r>
    </w:p>
    <w:p>
      <w:pPr>
        <w:spacing w:line="400" w:lineRule="exact"/>
        <w:ind w:firstLine="480" w:firstLineChars="200"/>
        <w:rPr>
          <w:rFonts w:ascii="仿宋" w:hAnsi="仿宋"/>
          <w:color w:val="auto"/>
          <w:highlight w:val="none"/>
        </w:rPr>
      </w:pPr>
      <w:r>
        <w:rPr>
          <w:rFonts w:hint="eastAsia" w:ascii="仿宋" w:hAnsi="仿宋"/>
          <w:color w:val="auto"/>
          <w:highlight w:val="none"/>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color w:val="auto"/>
          <w:highlight w:val="none"/>
        </w:rPr>
      </w:pPr>
      <w:r>
        <w:rPr>
          <w:rFonts w:hint="eastAsia" w:ascii="仿宋" w:hAnsi="仿宋"/>
          <w:color w:val="auto"/>
          <w:highlight w:val="none"/>
        </w:rPr>
        <w:t>3.8.2</w:t>
      </w:r>
      <w:r>
        <w:rPr>
          <w:rFonts w:hint="eastAsia" w:ascii="仿宋" w:hAnsi="仿宋"/>
          <w:color w:val="auto"/>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color w:val="auto"/>
          <w:highlight w:val="none"/>
        </w:rPr>
        <w:t>澄清、说明或者更正不影响投标文件的效力，有效的澄清、说明或者更正材料，是投标文件的组成部分。</w:t>
      </w:r>
      <w:r>
        <w:rPr>
          <w:rFonts w:hint="eastAsia" w:ascii="仿宋" w:hAnsi="仿宋"/>
          <w:color w:val="auto"/>
          <w:highlight w:val="none"/>
          <w:lang w:val="zh-CN"/>
        </w:rPr>
        <w:t>如因系统故障</w:t>
      </w:r>
      <w:r>
        <w:rPr>
          <w:rFonts w:hint="eastAsia" w:ascii="仿宋" w:hAnsi="仿宋" w:cs="仿宋"/>
          <w:bCs/>
          <w:color w:val="auto"/>
          <w:highlight w:val="none"/>
          <w:lang w:val="zh-CN"/>
        </w:rPr>
        <w:t>（</w:t>
      </w:r>
      <w:r>
        <w:rPr>
          <w:rFonts w:hint="eastAsia" w:ascii="仿宋" w:hAnsi="仿宋"/>
          <w:color w:val="auto"/>
          <w:highlight w:val="none"/>
        </w:rPr>
        <w:t>包括组织场所停电、断网等）</w:t>
      </w:r>
      <w:r>
        <w:rPr>
          <w:rFonts w:hint="eastAsia" w:ascii="仿宋" w:hAnsi="仿宋"/>
          <w:color w:val="auto"/>
          <w:highlight w:val="none"/>
          <w:lang w:val="zh-CN"/>
        </w:rPr>
        <w:t>导致系统无法使用的，由投标人按评标委员会的要求进行澄清或者说明。</w:t>
      </w:r>
    </w:p>
    <w:p>
      <w:pPr>
        <w:spacing w:line="400" w:lineRule="exact"/>
        <w:ind w:firstLine="480" w:firstLineChars="200"/>
        <w:rPr>
          <w:rFonts w:ascii="仿宋" w:hAnsi="仿宋"/>
          <w:color w:val="auto"/>
          <w:highlight w:val="none"/>
        </w:rPr>
      </w:pPr>
      <w:r>
        <w:rPr>
          <w:rFonts w:hint="eastAsia" w:ascii="仿宋" w:hAnsi="仿宋"/>
          <w:color w:val="auto"/>
          <w:highlight w:val="none"/>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color w:val="auto"/>
          <w:highlight w:val="none"/>
        </w:rPr>
      </w:pPr>
      <w:r>
        <w:rPr>
          <w:rFonts w:hint="eastAsia" w:ascii="仿宋" w:hAnsi="仿宋"/>
          <w:color w:val="auto"/>
          <w:highlight w:val="none"/>
        </w:rPr>
        <w:t>（一）按财政部规定应当在评标时不予承认的投标文件内容事项；</w:t>
      </w:r>
    </w:p>
    <w:p>
      <w:pPr>
        <w:spacing w:line="400" w:lineRule="exact"/>
        <w:ind w:firstLine="480" w:firstLineChars="200"/>
        <w:rPr>
          <w:rFonts w:ascii="仿宋" w:hAnsi="仿宋"/>
          <w:color w:val="auto"/>
          <w:highlight w:val="none"/>
        </w:rPr>
      </w:pPr>
      <w:r>
        <w:rPr>
          <w:rFonts w:hint="eastAsia" w:ascii="仿宋" w:hAnsi="仿宋"/>
          <w:color w:val="auto"/>
          <w:highlight w:val="none"/>
        </w:rPr>
        <w:t>（二）投标文件中已经明确的内容事项；</w:t>
      </w:r>
    </w:p>
    <w:p>
      <w:pPr>
        <w:spacing w:line="400" w:lineRule="exact"/>
        <w:ind w:firstLine="480" w:firstLineChars="200"/>
        <w:rPr>
          <w:rFonts w:ascii="仿宋" w:hAnsi="仿宋"/>
          <w:color w:val="auto"/>
          <w:highlight w:val="none"/>
        </w:rPr>
      </w:pPr>
      <w:r>
        <w:rPr>
          <w:rFonts w:hint="eastAsia" w:ascii="仿宋" w:hAnsi="仿宋"/>
          <w:color w:val="auto"/>
          <w:highlight w:val="none"/>
        </w:rPr>
        <w:t>3.8.4 本项目采购过程中，投标文件报价出现前后不一致的，按照下列规定修正：</w:t>
      </w:r>
    </w:p>
    <w:p>
      <w:pPr>
        <w:spacing w:line="400" w:lineRule="exact"/>
        <w:ind w:firstLine="480" w:firstLineChars="200"/>
        <w:rPr>
          <w:rFonts w:ascii="仿宋" w:hAnsi="仿宋"/>
          <w:color w:val="auto"/>
          <w:highlight w:val="none"/>
        </w:rPr>
      </w:pPr>
      <w:r>
        <w:rPr>
          <w:rFonts w:hint="eastAsia" w:ascii="仿宋" w:hAnsi="仿宋"/>
          <w:color w:val="auto"/>
          <w:highlight w:val="none"/>
        </w:rPr>
        <w:t>（一）投标文件中开标一览表（报价表）内容与投标文件中相应内容不一致的，以开标一览表（报价表）为准；</w:t>
      </w:r>
    </w:p>
    <w:p>
      <w:pPr>
        <w:spacing w:line="400" w:lineRule="exact"/>
        <w:ind w:firstLine="480" w:firstLineChars="200"/>
        <w:rPr>
          <w:rFonts w:ascii="仿宋" w:hAnsi="仿宋"/>
          <w:color w:val="auto"/>
          <w:highlight w:val="none"/>
        </w:rPr>
      </w:pPr>
      <w:r>
        <w:rPr>
          <w:rFonts w:hint="eastAsia" w:ascii="仿宋" w:hAnsi="仿宋"/>
          <w:color w:val="auto"/>
          <w:highlight w:val="none"/>
        </w:rPr>
        <w:t>（二）大写金额和小写金额不一致的，以大写金额为准；</w:t>
      </w:r>
    </w:p>
    <w:p>
      <w:pPr>
        <w:spacing w:line="400" w:lineRule="exact"/>
        <w:ind w:firstLine="480" w:firstLineChars="200"/>
        <w:rPr>
          <w:rFonts w:ascii="仿宋" w:hAnsi="仿宋"/>
          <w:color w:val="auto"/>
          <w:highlight w:val="none"/>
        </w:rPr>
      </w:pPr>
      <w:r>
        <w:rPr>
          <w:rFonts w:hint="eastAsia" w:ascii="仿宋" w:hAnsi="仿宋"/>
          <w:color w:val="auto"/>
          <w:highlight w:val="none"/>
        </w:rPr>
        <w:t>（三）单价金额小数点或者百分比有明显错位的，以开标一览表的总价为准，并修改单价；</w:t>
      </w:r>
    </w:p>
    <w:p>
      <w:pPr>
        <w:spacing w:line="400" w:lineRule="exact"/>
        <w:ind w:firstLine="480" w:firstLineChars="200"/>
        <w:rPr>
          <w:rFonts w:ascii="仿宋" w:hAnsi="仿宋"/>
          <w:color w:val="auto"/>
          <w:highlight w:val="none"/>
        </w:rPr>
      </w:pPr>
      <w:r>
        <w:rPr>
          <w:rFonts w:hint="eastAsia" w:ascii="仿宋" w:hAnsi="仿宋"/>
          <w:color w:val="auto"/>
          <w:highlight w:val="none"/>
        </w:rPr>
        <w:t>（四）总价金额与按单价汇总金额不一致的，以单价金额计算结果为准。</w:t>
      </w:r>
    </w:p>
    <w:p>
      <w:pPr>
        <w:spacing w:line="400" w:lineRule="exact"/>
        <w:ind w:firstLine="480" w:firstLineChars="200"/>
        <w:rPr>
          <w:rFonts w:ascii="仿宋" w:hAnsi="仿宋"/>
          <w:color w:val="auto"/>
          <w:highlight w:val="none"/>
        </w:rPr>
      </w:pPr>
      <w:r>
        <w:rPr>
          <w:rFonts w:hint="eastAsia" w:ascii="仿宋" w:hAnsi="仿宋"/>
          <w:color w:val="auto"/>
          <w:highlight w:val="none"/>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b/>
          <w:color w:val="auto"/>
          <w:highlight w:val="none"/>
        </w:rPr>
      </w:pPr>
      <w:r>
        <w:rPr>
          <w:rFonts w:hint="eastAsia" w:ascii="仿宋" w:hAnsi="仿宋"/>
          <w:b/>
          <w:color w:val="auto"/>
          <w:highlight w:val="none"/>
        </w:rPr>
        <w:t>注：评标委员会应当积极履行澄清、说明或者更正的职责，不得滥用权力。供应商的投标文件应当要求澄清、说明或者更正的，不得未经澄清、说明或者更正而直接作无效投标处理。</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80"/>
        <w:ind w:firstLine="482" w:firstLineChars="200"/>
        <w:jc w:val="both"/>
        <w:rPr>
          <w:rFonts w:ascii="仿宋" w:hAnsi="仿宋" w:eastAsia="仿宋"/>
          <w:color w:val="auto"/>
          <w:highlight w:val="none"/>
        </w:rPr>
      </w:pPr>
      <w:r>
        <w:rPr>
          <w:rFonts w:hint="eastAsia" w:ascii="仿宋" w:hAnsi="仿宋" w:eastAsia="仿宋"/>
          <w:b/>
          <w:bCs/>
          <w:color w:val="auto"/>
          <w:highlight w:val="none"/>
        </w:rPr>
        <w:t>注：</w:t>
      </w:r>
      <w:r>
        <w:rPr>
          <w:rFonts w:hint="eastAsia" w:ascii="仿宋" w:hAnsi="仿宋" w:eastAsia="仿宋"/>
          <w:b/>
          <w:bCs/>
          <w:color w:val="auto"/>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auto"/>
          <w:highlight w:val="none"/>
        </w:rPr>
        <w:t>30分钟，供应商已明确表示澄清、说明完毕的除外</w:t>
      </w:r>
      <w:r>
        <w:rPr>
          <w:rFonts w:hint="eastAsia" w:ascii="仿宋" w:hAnsi="仿宋" w:eastAsia="仿宋"/>
          <w:b/>
          <w:bCs/>
          <w:color w:val="auto"/>
          <w:highlight w:val="none"/>
          <w:lang w:val="zh-CN"/>
        </w:rPr>
        <w:t>）。如因系统故障（</w:t>
      </w:r>
      <w:r>
        <w:rPr>
          <w:rFonts w:hint="eastAsia" w:ascii="仿宋" w:hAnsi="仿宋" w:eastAsia="仿宋"/>
          <w:b/>
          <w:bCs/>
          <w:color w:val="auto"/>
          <w:highlight w:val="none"/>
        </w:rPr>
        <w:t>包括组织场所停电、断网等）</w:t>
      </w:r>
      <w:r>
        <w:rPr>
          <w:rFonts w:hint="eastAsia" w:ascii="仿宋" w:hAnsi="仿宋" w:eastAsia="仿宋"/>
          <w:b/>
          <w:bCs/>
          <w:color w:val="auto"/>
          <w:highlight w:val="none"/>
          <w:lang w:val="zh-CN"/>
        </w:rPr>
        <w:t>导致系统无法使用的，由投标人按评标委员会的要求进行澄清或者说明。</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3.10招标采购单位现场复核评标结果。</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（一）分值汇总计算错误的；</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（二）分项评分超出评分标准范围的；</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（三）客观评分不一致的；</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（四）经评标委员会认定评分畸高畸低的。</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3.10.2有下列情形之一的，不得修改评标结果或者重新评审：</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（一）招标采购单位现场复核时，复核工作人员数量不足的；</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（二）招标采购单位现场复核时，没有采购监督人员现场监督的；</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（三）招标采购单位现场复核内容超出规定范围的；</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（四）招标采购单位未提供书面建议的。</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 xml:space="preserve">3.10.3出现下列情形之一的，应当中止电子化采购活动，并保留相关证明材料备查： </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（一）系统发生故障（包括感染病毒、应用或数据库出错）而无法正常使用的；</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（二）因组织场所停电、断网等原因，导致采购活动无法继续通过交易系统实施的；</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（三）其他无法保证电子化交易的公平、公正和安全的情况。</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出现前款规定的情形，不影响采购公平、公正的，待上述情形消除后继续组织采购活动；影响或者可能影响采购公平、公正的，应当依法废标或者终止采购活动。</w:t>
      </w:r>
    </w:p>
    <w:p>
      <w:pPr>
        <w:pStyle w:val="4"/>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4</w:t>
      </w:r>
      <w:r>
        <w:rPr>
          <w:rFonts w:hint="eastAsia" w:ascii="仿宋" w:hAnsi="仿宋"/>
          <w:color w:val="auto"/>
          <w:sz w:val="24"/>
          <w:highlight w:val="none"/>
        </w:rPr>
        <w:t>．</w:t>
      </w:r>
      <w:r>
        <w:rPr>
          <w:rFonts w:hint="eastAsia" w:ascii="仿宋" w:hAnsi="仿宋"/>
          <w:bCs w:val="0"/>
          <w:color w:val="auto"/>
          <w:sz w:val="24"/>
          <w:szCs w:val="24"/>
          <w:highlight w:val="none"/>
        </w:rPr>
        <w:t>评标细则及标准</w:t>
      </w:r>
      <w:bookmarkEnd w:id="165"/>
    </w:p>
    <w:p>
      <w:pPr>
        <w:spacing w:line="400" w:lineRule="exact"/>
        <w:ind w:firstLine="480" w:firstLineChars="200"/>
        <w:rPr>
          <w:rFonts w:ascii="仿宋" w:hAnsi="仿宋"/>
          <w:color w:val="auto"/>
          <w:highlight w:val="none"/>
        </w:rPr>
      </w:pPr>
      <w:r>
        <w:rPr>
          <w:rFonts w:hint="eastAsia" w:ascii="仿宋" w:hAnsi="仿宋"/>
          <w:color w:val="auto"/>
          <w:highlight w:val="none"/>
        </w:rPr>
        <w:t>4.1本项目采用综合评分法，评分因素详见综合评分明细表。</w:t>
      </w:r>
    </w:p>
    <w:p>
      <w:pPr>
        <w:pStyle w:val="80"/>
        <w:ind w:firstLine="480" w:firstLineChars="200"/>
        <w:jc w:val="both"/>
        <w:rPr>
          <w:rFonts w:ascii="仿宋" w:hAnsi="仿宋" w:eastAsia="仿宋"/>
          <w:color w:val="auto"/>
          <w:highlight w:val="none"/>
        </w:rPr>
      </w:pPr>
      <w:r>
        <w:rPr>
          <w:rFonts w:hint="eastAsia" w:ascii="仿宋" w:hAnsi="仿宋" w:eastAsia="仿宋"/>
          <w:color w:val="auto"/>
          <w:highlight w:val="none"/>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3"/>
        <w:tabs>
          <w:tab w:val="left" w:pos="600"/>
        </w:tabs>
        <w:spacing w:line="400" w:lineRule="exact"/>
        <w:ind w:left="480"/>
        <w:rPr>
          <w:rFonts w:ascii="仿宋" w:hAnsi="仿宋"/>
          <w:color w:val="auto"/>
          <w:highlight w:val="none"/>
        </w:rPr>
      </w:pPr>
      <w:r>
        <w:rPr>
          <w:rFonts w:hint="eastAsia" w:ascii="仿宋" w:hAnsi="仿宋"/>
          <w:color w:val="auto"/>
          <w:highlight w:val="none"/>
        </w:rPr>
        <w:t>4.3综合评分明细表</w:t>
      </w:r>
    </w:p>
    <w:p>
      <w:pPr>
        <w:pStyle w:val="13"/>
        <w:tabs>
          <w:tab w:val="left" w:pos="600"/>
        </w:tabs>
        <w:spacing w:line="400" w:lineRule="exact"/>
        <w:ind w:left="480"/>
        <w:rPr>
          <w:rFonts w:ascii="仿宋" w:hAnsi="仿宋"/>
          <w:color w:val="auto"/>
          <w:highlight w:val="none"/>
        </w:rPr>
      </w:pPr>
      <w:r>
        <w:rPr>
          <w:rFonts w:hint="eastAsia" w:ascii="仿宋" w:hAnsi="仿宋"/>
          <w:color w:val="auto"/>
          <w:highlight w:val="none"/>
        </w:rPr>
        <w:t>4.3.1综合评分明细表的制定以科学合理、降低评委会自由裁量权为原则。</w:t>
      </w:r>
    </w:p>
    <w:p>
      <w:pPr>
        <w:widowControl/>
        <w:ind w:firstLine="480" w:firstLineChars="200"/>
        <w:rPr>
          <w:rFonts w:ascii="仿宋" w:hAnsi="仿宋"/>
          <w:color w:val="auto"/>
          <w:highlight w:val="none"/>
        </w:rPr>
      </w:pPr>
      <w:r>
        <w:rPr>
          <w:rFonts w:hint="eastAsia" w:ascii="仿宋" w:hAnsi="仿宋"/>
          <w:color w:val="auto"/>
          <w:highlight w:val="none"/>
        </w:rPr>
        <w:t>4.3.2 综合评分明细表按须知表中的相关要求进行价格调整，再参与价格分评审。</w:t>
      </w:r>
    </w:p>
    <w:p>
      <w:pPr>
        <w:pStyle w:val="13"/>
        <w:tabs>
          <w:tab w:val="left" w:pos="600"/>
        </w:tabs>
        <w:spacing w:line="400" w:lineRule="exact"/>
        <w:ind w:left="480"/>
        <w:rPr>
          <w:rFonts w:ascii="仿宋" w:hAnsi="仿宋"/>
          <w:color w:val="auto"/>
          <w:highlight w:val="none"/>
        </w:rPr>
      </w:pPr>
      <w:r>
        <w:rPr>
          <w:rFonts w:hint="eastAsia" w:ascii="仿宋" w:hAnsi="仿宋"/>
          <w:color w:val="auto"/>
          <w:highlight w:val="none"/>
        </w:rPr>
        <w:t>4.3.3综合评分明细表</w:t>
      </w:r>
    </w:p>
    <w:p>
      <w:pPr>
        <w:pStyle w:val="13"/>
        <w:tabs>
          <w:tab w:val="left" w:pos="600"/>
        </w:tabs>
        <w:spacing w:line="400" w:lineRule="exact"/>
        <w:ind w:left="480"/>
        <w:rPr>
          <w:rFonts w:ascii="仿宋" w:hAnsi="仿宋"/>
          <w:b/>
          <w:color w:val="auto"/>
          <w:highlight w:val="none"/>
        </w:rPr>
      </w:pPr>
      <w:r>
        <w:rPr>
          <w:rFonts w:hint="eastAsia" w:ascii="仿宋" w:hAnsi="仿宋"/>
          <w:b/>
          <w:color w:val="auto"/>
          <w:highlight w:val="none"/>
        </w:rPr>
        <w:t>01包：</w:t>
      </w:r>
    </w:p>
    <w:tbl>
      <w:tblPr>
        <w:tblStyle w:val="32"/>
        <w:tblW w:w="0" w:type="auto"/>
        <w:jc w:val="center"/>
        <w:tblLayout w:type="autofit"/>
        <w:tblCellMar>
          <w:top w:w="0" w:type="dxa"/>
          <w:left w:w="108" w:type="dxa"/>
          <w:bottom w:w="0" w:type="dxa"/>
          <w:right w:w="108" w:type="dxa"/>
        </w:tblCellMar>
      </w:tblPr>
      <w:tblGrid>
        <w:gridCol w:w="472"/>
        <w:gridCol w:w="1162"/>
        <w:gridCol w:w="850"/>
        <w:gridCol w:w="5292"/>
        <w:gridCol w:w="1397"/>
      </w:tblGrid>
      <w:tr>
        <w:tblPrEx>
          <w:tblCellMar>
            <w:top w:w="0" w:type="dxa"/>
            <w:left w:w="108" w:type="dxa"/>
            <w:bottom w:w="0" w:type="dxa"/>
            <w:right w:w="108" w:type="dxa"/>
          </w:tblCellMar>
        </w:tblPrEx>
        <w:trPr>
          <w:trHeight w:val="684" w:hRule="atLeast"/>
          <w:jc w:val="center"/>
        </w:trPr>
        <w:tc>
          <w:tcPr>
            <w:tcW w:w="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ascii="仿宋" w:hAnsi="仿宋" w:cs="仿宋"/>
                <w:b/>
                <w:color w:val="auto"/>
                <w:sz w:val="21"/>
                <w:szCs w:val="21"/>
                <w:highlight w:val="none"/>
              </w:rPr>
            </w:pPr>
            <w:r>
              <w:rPr>
                <w:rFonts w:hint="eastAsia" w:ascii="仿宋" w:hAnsi="仿宋" w:cs="仿宋"/>
                <w:b/>
                <w:color w:val="auto"/>
                <w:sz w:val="21"/>
                <w:szCs w:val="21"/>
                <w:highlight w:val="none"/>
              </w:rPr>
              <w:t>序号</w:t>
            </w:r>
          </w:p>
        </w:tc>
        <w:tc>
          <w:tcPr>
            <w:tcW w:w="116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ascii="仿宋" w:hAnsi="仿宋" w:cs="仿宋"/>
                <w:b/>
                <w:color w:val="auto"/>
                <w:sz w:val="21"/>
                <w:szCs w:val="21"/>
                <w:highlight w:val="none"/>
              </w:rPr>
            </w:pPr>
            <w:r>
              <w:rPr>
                <w:rFonts w:hint="eastAsia" w:ascii="仿宋" w:hAnsi="仿宋" w:cs="仿宋"/>
                <w:b/>
                <w:color w:val="auto"/>
                <w:sz w:val="21"/>
                <w:szCs w:val="21"/>
                <w:highlight w:val="none"/>
              </w:rPr>
              <w:t>评分因素及权重</w:t>
            </w:r>
          </w:p>
        </w:tc>
        <w:tc>
          <w:tcPr>
            <w:tcW w:w="85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ascii="仿宋" w:hAnsi="仿宋" w:cs="仿宋"/>
                <w:b/>
                <w:color w:val="auto"/>
                <w:sz w:val="21"/>
                <w:szCs w:val="21"/>
                <w:highlight w:val="none"/>
              </w:rPr>
            </w:pPr>
            <w:r>
              <w:rPr>
                <w:rFonts w:hint="eastAsia" w:ascii="仿宋" w:hAnsi="仿宋" w:cs="仿宋"/>
                <w:b/>
                <w:color w:val="auto"/>
                <w:sz w:val="21"/>
                <w:szCs w:val="21"/>
                <w:highlight w:val="none"/>
              </w:rPr>
              <w:t>权重分值</w:t>
            </w:r>
          </w:p>
        </w:tc>
        <w:tc>
          <w:tcPr>
            <w:tcW w:w="529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ascii="仿宋" w:hAnsi="仿宋" w:cs="仿宋"/>
                <w:b/>
                <w:color w:val="auto"/>
                <w:sz w:val="21"/>
                <w:szCs w:val="21"/>
                <w:highlight w:val="none"/>
              </w:rPr>
            </w:pPr>
            <w:r>
              <w:rPr>
                <w:rFonts w:hint="eastAsia" w:ascii="仿宋" w:hAnsi="仿宋" w:cs="仿宋"/>
                <w:b/>
                <w:color w:val="auto"/>
                <w:sz w:val="21"/>
                <w:szCs w:val="21"/>
                <w:highlight w:val="none"/>
              </w:rPr>
              <w:t>评分标准</w:t>
            </w:r>
          </w:p>
        </w:tc>
        <w:tc>
          <w:tcPr>
            <w:tcW w:w="1397" w:type="dxa"/>
            <w:tcBorders>
              <w:top w:val="single" w:color="000000" w:sz="4" w:space="0"/>
              <w:bottom w:val="single" w:color="000000" w:sz="4" w:space="0"/>
              <w:right w:val="single" w:color="000000" w:sz="4" w:space="0"/>
            </w:tcBorders>
            <w:vAlign w:val="center"/>
          </w:tcPr>
          <w:p>
            <w:pPr>
              <w:autoSpaceDN w:val="0"/>
              <w:spacing w:line="240" w:lineRule="auto"/>
              <w:ind w:firstLine="28"/>
              <w:jc w:val="center"/>
              <w:rPr>
                <w:rFonts w:ascii="仿宋" w:hAnsi="仿宋" w:cs="仿宋"/>
                <w:b/>
                <w:color w:val="auto"/>
                <w:sz w:val="21"/>
                <w:szCs w:val="21"/>
                <w:highlight w:val="none"/>
              </w:rPr>
            </w:pPr>
            <w:r>
              <w:rPr>
                <w:rFonts w:hint="eastAsia" w:ascii="仿宋" w:hAnsi="仿宋" w:cs="仿宋"/>
                <w:b/>
                <w:color w:val="auto"/>
                <w:sz w:val="21"/>
                <w:szCs w:val="21"/>
                <w:highlight w:val="none"/>
              </w:rPr>
              <w:t>备注</w:t>
            </w:r>
          </w:p>
        </w:tc>
      </w:tr>
      <w:tr>
        <w:tblPrEx>
          <w:tblCellMar>
            <w:top w:w="0" w:type="dxa"/>
            <w:left w:w="108" w:type="dxa"/>
            <w:bottom w:w="0" w:type="dxa"/>
            <w:right w:w="108" w:type="dxa"/>
          </w:tblCellMar>
        </w:tblPrEx>
        <w:trPr>
          <w:trHeight w:val="350" w:hRule="atLeast"/>
          <w:jc w:val="center"/>
        </w:trPr>
        <w:tc>
          <w:tcPr>
            <w:tcW w:w="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color w:val="auto"/>
                <w:sz w:val="21"/>
                <w:szCs w:val="21"/>
                <w:highlight w:val="none"/>
              </w:rPr>
            </w:pPr>
            <w:r>
              <w:rPr>
                <w:rFonts w:hint="eastAsia" w:ascii="仿宋" w:hAnsi="仿宋" w:cs="仿宋"/>
                <w:color w:val="auto"/>
                <w:sz w:val="21"/>
                <w:szCs w:val="21"/>
                <w:highlight w:val="none"/>
              </w:rPr>
              <w:t>1</w:t>
            </w:r>
          </w:p>
        </w:tc>
        <w:tc>
          <w:tcPr>
            <w:tcW w:w="116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ind w:firstLine="28"/>
              <w:jc w:val="center"/>
              <w:rPr>
                <w:rFonts w:ascii="仿宋" w:hAnsi="仿宋" w:cs="仿宋"/>
                <w:color w:val="auto"/>
                <w:sz w:val="21"/>
                <w:szCs w:val="21"/>
                <w:highlight w:val="none"/>
              </w:rPr>
            </w:pPr>
            <w:r>
              <w:rPr>
                <w:rFonts w:hint="eastAsia" w:ascii="仿宋" w:hAnsi="仿宋" w:cs="仿宋"/>
                <w:color w:val="auto"/>
                <w:sz w:val="21"/>
                <w:szCs w:val="21"/>
                <w:highlight w:val="none"/>
              </w:rPr>
              <w:t>报价 30%</w:t>
            </w:r>
          </w:p>
        </w:tc>
        <w:tc>
          <w:tcPr>
            <w:tcW w:w="85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color w:val="auto"/>
                <w:sz w:val="21"/>
                <w:szCs w:val="21"/>
                <w:highlight w:val="none"/>
              </w:rPr>
            </w:pPr>
            <w:r>
              <w:rPr>
                <w:rFonts w:hint="eastAsia" w:ascii="仿宋" w:hAnsi="仿宋" w:cs="仿宋"/>
                <w:color w:val="auto"/>
                <w:sz w:val="21"/>
                <w:szCs w:val="21"/>
                <w:highlight w:val="none"/>
              </w:rPr>
              <w:t>30分</w:t>
            </w:r>
          </w:p>
        </w:tc>
        <w:tc>
          <w:tcPr>
            <w:tcW w:w="5292" w:type="dxa"/>
            <w:tcBorders>
              <w:top w:val="single" w:color="000000" w:sz="4" w:space="0"/>
              <w:bottom w:val="single" w:color="000000" w:sz="4" w:space="0"/>
              <w:right w:val="single" w:color="000000" w:sz="4" w:space="0"/>
            </w:tcBorders>
            <w:tcMar>
              <w:top w:w="0" w:type="dxa"/>
              <w:left w:w="108" w:type="dxa"/>
              <w:bottom w:w="0" w:type="dxa"/>
              <w:right w:w="108" w:type="dxa"/>
            </w:tcMar>
          </w:tcPr>
          <w:p>
            <w:pPr>
              <w:autoSpaceDN w:val="0"/>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满足招标文件要求且投标价格最低的投标报价为评标基准价，其价格分为满分。其他投标人的价格分统一按照下列公式计算：投标报价得分=(评标基准价／投标报价)×30</w:t>
            </w:r>
          </w:p>
        </w:tc>
        <w:tc>
          <w:tcPr>
            <w:tcW w:w="1397" w:type="dxa"/>
            <w:tcBorders>
              <w:top w:val="single" w:color="000000" w:sz="4" w:space="0"/>
              <w:bottom w:val="single" w:color="000000" w:sz="4" w:space="0"/>
              <w:right w:val="single" w:color="000000" w:sz="4" w:space="0"/>
            </w:tcBorders>
            <w:vAlign w:val="center"/>
          </w:tcPr>
          <w:p>
            <w:pPr>
              <w:autoSpaceDN w:val="0"/>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共同评分因素</w:t>
            </w:r>
          </w:p>
        </w:tc>
      </w:tr>
      <w:tr>
        <w:tblPrEx>
          <w:tblCellMar>
            <w:top w:w="0" w:type="dxa"/>
            <w:left w:w="108" w:type="dxa"/>
            <w:bottom w:w="0" w:type="dxa"/>
            <w:right w:w="108" w:type="dxa"/>
          </w:tblCellMar>
        </w:tblPrEx>
        <w:trPr>
          <w:trHeight w:val="558" w:hRule="atLeast"/>
          <w:jc w:val="center"/>
        </w:trPr>
        <w:tc>
          <w:tcPr>
            <w:tcW w:w="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color w:val="auto"/>
                <w:sz w:val="21"/>
                <w:szCs w:val="21"/>
                <w:highlight w:val="none"/>
              </w:rPr>
            </w:pPr>
            <w:r>
              <w:rPr>
                <w:rFonts w:hint="eastAsia" w:ascii="仿宋" w:hAnsi="仿宋" w:cs="仿宋"/>
                <w:color w:val="auto"/>
                <w:sz w:val="21"/>
                <w:szCs w:val="21"/>
                <w:highlight w:val="none"/>
              </w:rPr>
              <w:t>2</w:t>
            </w:r>
          </w:p>
        </w:tc>
        <w:tc>
          <w:tcPr>
            <w:tcW w:w="116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color w:val="auto"/>
                <w:sz w:val="21"/>
                <w:szCs w:val="21"/>
                <w:highlight w:val="none"/>
              </w:rPr>
            </w:pPr>
            <w:r>
              <w:rPr>
                <w:rFonts w:hint="eastAsia" w:ascii="仿宋" w:hAnsi="仿宋"/>
                <w:color w:val="auto"/>
                <w:sz w:val="21"/>
                <w:highlight w:val="none"/>
              </w:rPr>
              <w:t>技术服务要求 63%</w:t>
            </w:r>
          </w:p>
        </w:tc>
        <w:tc>
          <w:tcPr>
            <w:tcW w:w="85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color w:val="auto"/>
                <w:sz w:val="21"/>
                <w:szCs w:val="21"/>
                <w:highlight w:val="none"/>
              </w:rPr>
            </w:pPr>
            <w:r>
              <w:rPr>
                <w:rFonts w:hint="eastAsia" w:ascii="仿宋" w:hAnsi="仿宋" w:cs="仿宋"/>
                <w:color w:val="auto"/>
                <w:sz w:val="21"/>
                <w:szCs w:val="21"/>
                <w:highlight w:val="none"/>
              </w:rPr>
              <w:t>63分</w:t>
            </w:r>
          </w:p>
        </w:tc>
        <w:tc>
          <w:tcPr>
            <w:tcW w:w="5292" w:type="dxa"/>
            <w:tcBorders>
              <w:top w:val="single" w:color="000000" w:sz="4" w:space="0"/>
              <w:bottom w:val="single" w:color="000000" w:sz="4" w:space="0"/>
              <w:right w:val="single" w:color="000000" w:sz="4" w:space="0"/>
            </w:tcBorders>
            <w:tcMar>
              <w:top w:w="0" w:type="dxa"/>
              <w:left w:w="108" w:type="dxa"/>
              <w:bottom w:w="0" w:type="dxa"/>
              <w:right w:w="108" w:type="dxa"/>
            </w:tcMar>
          </w:tcPr>
          <w:p>
            <w:pPr>
              <w:autoSpaceDN w:val="0"/>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1、投标人针对招标文件第六章对应包件中的一般技术参数条款的响应得分规则如下：（一般技术参数以产品为单位，将每项产品中所有未标注“★”的条款，视为一项一般技术参数进行评审）</w:t>
            </w:r>
          </w:p>
          <w:p>
            <w:pPr>
              <w:autoSpaceDN w:val="0"/>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一般技术参数条款响应得分=（投标人完全满足一般技术参数条款的数量÷对应包件中一般条款的总数量，共</w:t>
            </w:r>
            <w:r>
              <w:rPr>
                <w:rFonts w:ascii="仿宋" w:hAnsi="仿宋" w:cs="仿宋"/>
                <w:color w:val="auto"/>
                <w:sz w:val="21"/>
                <w:szCs w:val="21"/>
                <w:highlight w:val="none"/>
              </w:rPr>
              <w:t>54</w:t>
            </w:r>
            <w:r>
              <w:rPr>
                <w:rFonts w:hint="eastAsia" w:ascii="仿宋" w:hAnsi="仿宋" w:cs="仿宋"/>
                <w:color w:val="auto"/>
                <w:sz w:val="21"/>
                <w:szCs w:val="21"/>
                <w:highlight w:val="none"/>
              </w:rPr>
              <w:t>条）×12分。</w:t>
            </w:r>
          </w:p>
          <w:p>
            <w:pPr>
              <w:autoSpaceDN w:val="0"/>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2、投标人针对招标文件第六章对应包件“★”技术参数条款的响应得分规则如下：</w:t>
            </w:r>
          </w:p>
          <w:p>
            <w:pPr>
              <w:autoSpaceDN w:val="0"/>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“★”技术参数条款响应得分=（投标人满足“★”技术参数条款的数量÷对应包件中“★”技术参数条款的总数量，共51条）×39分。</w:t>
            </w:r>
          </w:p>
          <w:p>
            <w:pPr>
              <w:autoSpaceDN w:val="0"/>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pPr>
              <w:autoSpaceDN w:val="0"/>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②针对一般条款的技术响应，如果招标文件第六章“技术参数要求”中技术参数条款对技术支撑材料有要求，应按要求提供，否则对应技术参数条款将视为不满足。</w:t>
            </w:r>
          </w:p>
          <w:p>
            <w:pPr>
              <w:autoSpaceDN w:val="0"/>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3、核心产品（肺功能仪、心电图机、病人监护仪、医用冷藏箱（大））在参数完全满足同时能提供授权的，每提供一个产品授权加3分，本项最多12分。</w:t>
            </w:r>
          </w:p>
        </w:tc>
        <w:tc>
          <w:tcPr>
            <w:tcW w:w="1397" w:type="dxa"/>
            <w:tcBorders>
              <w:top w:val="single" w:color="000000" w:sz="4" w:space="0"/>
              <w:bottom w:val="single" w:color="000000" w:sz="4" w:space="0"/>
              <w:right w:val="single" w:color="000000" w:sz="4" w:space="0"/>
            </w:tcBorders>
            <w:vAlign w:val="center"/>
          </w:tcPr>
          <w:p>
            <w:pPr>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技术类评分因素</w:t>
            </w:r>
          </w:p>
          <w:p>
            <w:pPr>
              <w:spacing w:line="240" w:lineRule="auto"/>
              <w:rPr>
                <w:rFonts w:ascii="仿宋" w:hAnsi="仿宋" w:cs="仿宋"/>
                <w:color w:val="auto"/>
                <w:sz w:val="21"/>
                <w:szCs w:val="21"/>
                <w:highlight w:val="none"/>
              </w:rPr>
            </w:pPr>
          </w:p>
          <w:p>
            <w:pPr>
              <w:spacing w:line="240" w:lineRule="auto"/>
              <w:rPr>
                <w:rFonts w:ascii="仿宋" w:hAnsi="仿宋" w:cs="仿宋"/>
                <w:color w:val="auto"/>
                <w:sz w:val="21"/>
                <w:szCs w:val="21"/>
                <w:highlight w:val="none"/>
              </w:rPr>
            </w:pPr>
          </w:p>
        </w:tc>
      </w:tr>
      <w:tr>
        <w:tblPrEx>
          <w:tblCellMar>
            <w:top w:w="0" w:type="dxa"/>
            <w:left w:w="108" w:type="dxa"/>
            <w:bottom w:w="0" w:type="dxa"/>
            <w:right w:w="108" w:type="dxa"/>
          </w:tblCellMar>
        </w:tblPrEx>
        <w:trPr>
          <w:trHeight w:val="350" w:hRule="atLeast"/>
          <w:jc w:val="center"/>
        </w:trPr>
        <w:tc>
          <w:tcPr>
            <w:tcW w:w="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color w:val="auto"/>
                <w:sz w:val="21"/>
                <w:szCs w:val="21"/>
                <w:highlight w:val="none"/>
              </w:rPr>
            </w:pPr>
            <w:r>
              <w:rPr>
                <w:rFonts w:hint="eastAsia" w:ascii="仿宋" w:hAnsi="仿宋" w:cs="仿宋"/>
                <w:color w:val="auto"/>
                <w:sz w:val="21"/>
                <w:szCs w:val="21"/>
                <w:highlight w:val="none"/>
              </w:rPr>
              <w:t>3</w:t>
            </w:r>
          </w:p>
        </w:tc>
        <w:tc>
          <w:tcPr>
            <w:tcW w:w="116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color w:val="auto"/>
                <w:sz w:val="21"/>
                <w:szCs w:val="21"/>
                <w:highlight w:val="none"/>
              </w:rPr>
            </w:pPr>
            <w:r>
              <w:rPr>
                <w:rFonts w:hint="eastAsia" w:ascii="仿宋" w:hAnsi="仿宋" w:cs="仿宋"/>
                <w:color w:val="auto"/>
                <w:sz w:val="21"/>
                <w:szCs w:val="21"/>
                <w:highlight w:val="none"/>
              </w:rPr>
              <w:t>售后服务方案 5%</w:t>
            </w:r>
          </w:p>
        </w:tc>
        <w:tc>
          <w:tcPr>
            <w:tcW w:w="85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color w:val="auto"/>
                <w:sz w:val="21"/>
                <w:szCs w:val="21"/>
                <w:highlight w:val="none"/>
              </w:rPr>
            </w:pPr>
            <w:r>
              <w:rPr>
                <w:rFonts w:hint="eastAsia" w:ascii="仿宋" w:hAnsi="仿宋" w:cs="仿宋"/>
                <w:color w:val="auto"/>
                <w:sz w:val="21"/>
                <w:szCs w:val="21"/>
                <w:highlight w:val="none"/>
              </w:rPr>
              <w:t>5分</w:t>
            </w:r>
          </w:p>
        </w:tc>
        <w:tc>
          <w:tcPr>
            <w:tcW w:w="5292" w:type="dxa"/>
            <w:tcBorders>
              <w:top w:val="single" w:color="000000" w:sz="4" w:space="0"/>
              <w:bottom w:val="single" w:color="000000" w:sz="4" w:space="0"/>
              <w:right w:val="single" w:color="000000" w:sz="4" w:space="0"/>
            </w:tcBorders>
            <w:tcMar>
              <w:top w:w="0" w:type="dxa"/>
              <w:left w:w="108" w:type="dxa"/>
              <w:bottom w:w="0" w:type="dxa"/>
              <w:right w:w="108" w:type="dxa"/>
            </w:tcMar>
          </w:tcPr>
          <w:p>
            <w:pPr>
              <w:widowControl/>
              <w:adjustRightInd w:val="0"/>
              <w:snapToGrid w:val="0"/>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1、投标人针对本项目的售后服务方案内容至少包含：①维保方案及人员配置情况、②技术支持方案及人员配置情况、③备品备件存储方案、④巡检方案、⑤突发应急方案。以上5项内容齐全，且同时满足：内容完整、逻辑严谨、符合项目及当地实际情况的得5分；每缺少一个部分扣1分，5分扣完为止；内容描述存在不完整、前后矛盾、不符合项目及当地实际情况中任何一种情形或其他不足之处的，每有一处扣0.5分，每项最多扣1分，5分扣完为止。</w:t>
            </w:r>
          </w:p>
          <w:p>
            <w:pPr>
              <w:widowControl/>
              <w:adjustRightInd w:val="0"/>
              <w:snapToGrid w:val="0"/>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（注：其他不足之处是指内容套用或错用、凭空编造、科学原理错误以及不可能实现的夸大情形等。）</w:t>
            </w:r>
          </w:p>
        </w:tc>
        <w:tc>
          <w:tcPr>
            <w:tcW w:w="1397" w:type="dxa"/>
            <w:tcBorders>
              <w:top w:val="single" w:color="000000" w:sz="4" w:space="0"/>
              <w:bottom w:val="single" w:color="000000" w:sz="4" w:space="0"/>
              <w:right w:val="single" w:color="000000" w:sz="4" w:space="0"/>
            </w:tcBorders>
            <w:vAlign w:val="center"/>
          </w:tcPr>
          <w:p>
            <w:pPr>
              <w:autoSpaceDN w:val="0"/>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共同评分因素</w:t>
            </w:r>
          </w:p>
        </w:tc>
      </w:tr>
      <w:tr>
        <w:tblPrEx>
          <w:tblCellMar>
            <w:top w:w="0" w:type="dxa"/>
            <w:left w:w="108" w:type="dxa"/>
            <w:bottom w:w="0" w:type="dxa"/>
            <w:right w:w="108" w:type="dxa"/>
          </w:tblCellMar>
        </w:tblPrEx>
        <w:trPr>
          <w:trHeight w:val="350" w:hRule="atLeast"/>
          <w:jc w:val="center"/>
        </w:trPr>
        <w:tc>
          <w:tcPr>
            <w:tcW w:w="4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color w:val="auto"/>
                <w:sz w:val="21"/>
                <w:szCs w:val="21"/>
                <w:highlight w:val="none"/>
              </w:rPr>
            </w:pPr>
            <w:r>
              <w:rPr>
                <w:rFonts w:hint="eastAsia" w:ascii="仿宋" w:hAnsi="仿宋" w:cs="仿宋"/>
                <w:color w:val="auto"/>
                <w:sz w:val="21"/>
                <w:szCs w:val="21"/>
                <w:highlight w:val="none"/>
              </w:rPr>
              <w:t>4</w:t>
            </w:r>
          </w:p>
        </w:tc>
        <w:tc>
          <w:tcPr>
            <w:tcW w:w="116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color w:val="auto"/>
                <w:sz w:val="21"/>
                <w:szCs w:val="21"/>
                <w:highlight w:val="none"/>
              </w:rPr>
            </w:pPr>
            <w:r>
              <w:rPr>
                <w:rFonts w:hint="eastAsia" w:ascii="仿宋" w:hAnsi="仿宋" w:cs="仿宋"/>
                <w:color w:val="auto"/>
                <w:sz w:val="21"/>
                <w:szCs w:val="21"/>
                <w:highlight w:val="none"/>
              </w:rPr>
              <w:t>节能、环境标志、无线局域网产品 2%</w:t>
            </w:r>
          </w:p>
        </w:tc>
        <w:tc>
          <w:tcPr>
            <w:tcW w:w="850"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ascii="仿宋" w:hAnsi="仿宋" w:cs="仿宋"/>
                <w:color w:val="auto"/>
                <w:sz w:val="21"/>
                <w:szCs w:val="21"/>
                <w:highlight w:val="none"/>
              </w:rPr>
            </w:pPr>
            <w:r>
              <w:rPr>
                <w:rFonts w:hint="eastAsia" w:ascii="仿宋" w:hAnsi="仿宋" w:cs="仿宋"/>
                <w:color w:val="auto"/>
                <w:sz w:val="21"/>
                <w:szCs w:val="21"/>
                <w:highlight w:val="none"/>
              </w:rPr>
              <w:t>2分</w:t>
            </w:r>
          </w:p>
        </w:tc>
        <w:tc>
          <w:tcPr>
            <w:tcW w:w="5292"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auto"/>
              <w:rPr>
                <w:rFonts w:ascii="仿宋" w:hAnsi="仿宋"/>
                <w:color w:val="auto"/>
                <w:sz w:val="21"/>
                <w:szCs w:val="21"/>
                <w:highlight w:val="none"/>
              </w:rPr>
            </w:pPr>
            <w:r>
              <w:rPr>
                <w:rFonts w:hint="eastAsia" w:ascii="仿宋" w:hAnsi="仿宋"/>
                <w:color w:val="auto"/>
                <w:sz w:val="21"/>
                <w:szCs w:val="21"/>
                <w:highlight w:val="none"/>
              </w:rPr>
              <w:t>投标产品中属于政府采购优先采购范围的，则每有一项节能产品或环境标志产品或无线局域网产品的得0.5分，非节能、环境标志产品的、无线局域网产品的不得分。本项最多得2分。</w:t>
            </w:r>
          </w:p>
          <w:p>
            <w:pPr>
              <w:spacing w:line="240" w:lineRule="auto"/>
              <w:rPr>
                <w:rFonts w:ascii="仿宋" w:hAnsi="仿宋"/>
                <w:color w:val="auto"/>
                <w:kern w:val="0"/>
                <w:sz w:val="21"/>
                <w:szCs w:val="21"/>
                <w:highlight w:val="none"/>
              </w:rPr>
            </w:pPr>
            <w:r>
              <w:rPr>
                <w:rFonts w:hint="eastAsia" w:ascii="仿宋" w:hAnsi="仿宋"/>
                <w:color w:val="auto"/>
                <w:sz w:val="21"/>
                <w:szCs w:val="21"/>
                <w:highlight w:val="none"/>
              </w:rPr>
              <w:t>注：1. 节能产品、环境标志产品优先采购范围</w:t>
            </w:r>
            <w:r>
              <w:rPr>
                <w:rFonts w:hint="eastAsia" w:ascii="仿宋" w:hAnsi="仿宋"/>
                <w:color w:val="auto"/>
                <w:kern w:val="0"/>
                <w:sz w:val="21"/>
                <w:szCs w:val="21"/>
                <w:highlight w:val="none"/>
              </w:rPr>
              <w:t>以品目清单为准</w:t>
            </w:r>
            <w:r>
              <w:rPr>
                <w:rFonts w:ascii="仿宋" w:hAnsi="仿宋"/>
                <w:color w:val="auto"/>
                <w:kern w:val="0"/>
                <w:sz w:val="21"/>
                <w:szCs w:val="21"/>
                <w:highlight w:val="none"/>
              </w:rPr>
              <w:t>。</w:t>
            </w:r>
            <w:r>
              <w:rPr>
                <w:rFonts w:hint="eastAsia" w:ascii="仿宋" w:hAnsi="仿宋"/>
                <w:color w:val="auto"/>
                <w:sz w:val="21"/>
                <w:szCs w:val="21"/>
                <w:highlight w:val="none"/>
              </w:rPr>
              <w:t>无线局域网产品优先采购范围</w:t>
            </w:r>
            <w:r>
              <w:rPr>
                <w:rFonts w:hint="eastAsia" w:ascii="仿宋" w:hAnsi="仿宋"/>
                <w:color w:val="auto"/>
                <w:kern w:val="0"/>
                <w:sz w:val="21"/>
                <w:szCs w:val="21"/>
                <w:highlight w:val="none"/>
              </w:rPr>
              <w:t>以中国</w:t>
            </w:r>
            <w:r>
              <w:rPr>
                <w:rFonts w:ascii="仿宋" w:hAnsi="仿宋"/>
                <w:color w:val="auto"/>
                <w:kern w:val="0"/>
                <w:sz w:val="21"/>
                <w:szCs w:val="21"/>
                <w:highlight w:val="none"/>
              </w:rPr>
              <w:t>政府采购网公布的</w:t>
            </w:r>
            <w:r>
              <w:rPr>
                <w:rFonts w:hint="eastAsia" w:ascii="仿宋" w:hAnsi="仿宋"/>
                <w:color w:val="auto"/>
                <w:kern w:val="0"/>
                <w:sz w:val="21"/>
                <w:szCs w:val="21"/>
                <w:highlight w:val="none"/>
              </w:rPr>
              <w:t>《无线局域网认证产品政府采购清单》为准</w:t>
            </w:r>
            <w:r>
              <w:rPr>
                <w:rFonts w:ascii="仿宋" w:hAnsi="仿宋"/>
                <w:color w:val="auto"/>
                <w:kern w:val="0"/>
                <w:sz w:val="21"/>
                <w:szCs w:val="21"/>
                <w:highlight w:val="none"/>
              </w:rPr>
              <w:t>。</w:t>
            </w:r>
          </w:p>
          <w:p>
            <w:pPr>
              <w:spacing w:line="240" w:lineRule="auto"/>
              <w:rPr>
                <w:rFonts w:ascii="仿宋" w:hAnsi="仿宋"/>
                <w:color w:val="auto"/>
                <w:kern w:val="0"/>
                <w:sz w:val="21"/>
                <w:szCs w:val="21"/>
                <w:highlight w:val="none"/>
              </w:rPr>
            </w:pPr>
            <w:r>
              <w:rPr>
                <w:rFonts w:hint="eastAsia" w:ascii="仿宋" w:hAnsi="仿宋"/>
                <w:color w:val="auto"/>
                <w:kern w:val="0"/>
                <w:sz w:val="21"/>
                <w:szCs w:val="21"/>
                <w:highlight w:val="none"/>
              </w:rPr>
              <w:t>2.</w:t>
            </w:r>
            <w:r>
              <w:rPr>
                <w:rFonts w:hint="eastAsia" w:ascii="仿宋" w:hAnsi="仿宋"/>
                <w:color w:val="auto"/>
                <w:sz w:val="21"/>
                <w:szCs w:val="21"/>
                <w:highlight w:val="none"/>
              </w:rPr>
              <w:t xml:space="preserve"> 投标产品属于</w:t>
            </w:r>
            <w:r>
              <w:rPr>
                <w:rFonts w:hint="eastAsia" w:ascii="仿宋" w:hAnsi="仿宋"/>
                <w:color w:val="auto"/>
                <w:kern w:val="0"/>
                <w:sz w:val="21"/>
                <w:szCs w:val="21"/>
                <w:highlight w:val="none"/>
              </w:rPr>
              <w:t>优先</w:t>
            </w:r>
            <w:r>
              <w:rPr>
                <w:rFonts w:ascii="仿宋" w:hAnsi="仿宋"/>
                <w:color w:val="auto"/>
                <w:kern w:val="0"/>
                <w:sz w:val="21"/>
                <w:szCs w:val="21"/>
                <w:highlight w:val="none"/>
              </w:rPr>
              <w:t>采购范围内的</w:t>
            </w:r>
            <w:r>
              <w:rPr>
                <w:rFonts w:hint="eastAsia" w:ascii="仿宋" w:hAnsi="仿宋"/>
                <w:color w:val="auto"/>
                <w:sz w:val="21"/>
                <w:szCs w:val="21"/>
                <w:highlight w:val="none"/>
              </w:rPr>
              <w:t>节能产品或者环境标志产品的</w:t>
            </w:r>
            <w:r>
              <w:rPr>
                <w:rFonts w:ascii="仿宋" w:hAnsi="仿宋"/>
                <w:color w:val="auto"/>
                <w:sz w:val="21"/>
                <w:szCs w:val="21"/>
                <w:highlight w:val="none"/>
              </w:rPr>
              <w:t>，</w:t>
            </w:r>
            <w:r>
              <w:rPr>
                <w:rFonts w:hint="eastAsia" w:ascii="仿宋" w:hAnsi="仿宋"/>
                <w:color w:val="auto"/>
                <w:kern w:val="0"/>
                <w:sz w:val="21"/>
                <w:szCs w:val="21"/>
                <w:highlight w:val="none"/>
              </w:rPr>
              <w:t>提供国家确定的认证机构出具的、处于有效期之内的节能产品、环境标志产品认证证书复印件加盖</w:t>
            </w:r>
            <w:r>
              <w:rPr>
                <w:rFonts w:ascii="仿宋" w:hAnsi="仿宋"/>
                <w:color w:val="auto"/>
                <w:kern w:val="0"/>
                <w:sz w:val="21"/>
                <w:szCs w:val="21"/>
                <w:highlight w:val="none"/>
              </w:rPr>
              <w:t>供应商公章（</w:t>
            </w:r>
            <w:r>
              <w:rPr>
                <w:rFonts w:hint="eastAsia" w:ascii="仿宋" w:hAnsi="仿宋"/>
                <w:color w:val="auto"/>
                <w:kern w:val="0"/>
                <w:sz w:val="21"/>
                <w:szCs w:val="21"/>
                <w:highlight w:val="none"/>
              </w:rPr>
              <w:t>鲜章</w:t>
            </w:r>
            <w:r>
              <w:rPr>
                <w:rFonts w:ascii="仿宋" w:hAnsi="仿宋"/>
                <w:color w:val="auto"/>
                <w:kern w:val="0"/>
                <w:sz w:val="21"/>
                <w:szCs w:val="21"/>
                <w:highlight w:val="none"/>
              </w:rPr>
              <w:t>）</w:t>
            </w:r>
            <w:r>
              <w:rPr>
                <w:rFonts w:hint="eastAsia" w:ascii="仿宋" w:hAnsi="仿宋"/>
                <w:color w:val="auto"/>
                <w:kern w:val="0"/>
                <w:sz w:val="21"/>
                <w:szCs w:val="21"/>
                <w:highlight w:val="none"/>
              </w:rPr>
              <w:t>。</w:t>
            </w:r>
          </w:p>
          <w:p>
            <w:pPr>
              <w:autoSpaceDN w:val="0"/>
              <w:spacing w:line="240" w:lineRule="auto"/>
              <w:rPr>
                <w:rFonts w:ascii="仿宋" w:hAnsi="仿宋" w:cs="仿宋"/>
                <w:bCs/>
                <w:color w:val="auto"/>
                <w:sz w:val="21"/>
                <w:szCs w:val="21"/>
                <w:highlight w:val="none"/>
              </w:rPr>
            </w:pPr>
            <w:r>
              <w:rPr>
                <w:rFonts w:ascii="仿宋" w:hAnsi="仿宋"/>
                <w:color w:val="auto"/>
                <w:kern w:val="0"/>
                <w:sz w:val="21"/>
                <w:szCs w:val="21"/>
                <w:highlight w:val="none"/>
              </w:rPr>
              <w:t>3.</w:t>
            </w:r>
            <w:r>
              <w:rPr>
                <w:rFonts w:hint="eastAsia" w:ascii="仿宋" w:hAnsi="仿宋"/>
                <w:color w:val="auto"/>
                <w:kern w:val="0"/>
                <w:sz w:val="21"/>
                <w:szCs w:val="21"/>
                <w:highlight w:val="none"/>
              </w:rPr>
              <w:t xml:space="preserve"> 投标产品属于优先</w:t>
            </w:r>
            <w:r>
              <w:rPr>
                <w:rFonts w:ascii="仿宋" w:hAnsi="仿宋"/>
                <w:color w:val="auto"/>
                <w:kern w:val="0"/>
                <w:sz w:val="21"/>
                <w:szCs w:val="21"/>
                <w:highlight w:val="none"/>
              </w:rPr>
              <w:t>采购范围内的</w:t>
            </w:r>
            <w:r>
              <w:rPr>
                <w:rFonts w:hint="eastAsia" w:ascii="仿宋" w:hAnsi="仿宋"/>
                <w:color w:val="auto"/>
                <w:sz w:val="21"/>
                <w:szCs w:val="21"/>
                <w:highlight w:val="none"/>
              </w:rPr>
              <w:t>无线局域网产品的，</w:t>
            </w:r>
            <w:r>
              <w:rPr>
                <w:rFonts w:hint="eastAsia" w:ascii="仿宋" w:hAnsi="仿宋"/>
                <w:color w:val="auto"/>
                <w:kern w:val="0"/>
                <w:sz w:val="21"/>
                <w:szCs w:val="21"/>
                <w:highlight w:val="none"/>
              </w:rPr>
              <w:t>提供政府采购清单对应页并加盖供应商单位公章（鲜章）。</w:t>
            </w:r>
          </w:p>
        </w:tc>
        <w:tc>
          <w:tcPr>
            <w:tcW w:w="1397" w:type="dxa"/>
            <w:tcBorders>
              <w:top w:val="single" w:color="000000" w:sz="4" w:space="0"/>
              <w:bottom w:val="single" w:color="000000" w:sz="4" w:space="0"/>
              <w:right w:val="single" w:color="000000" w:sz="4" w:space="0"/>
            </w:tcBorders>
            <w:vAlign w:val="center"/>
          </w:tcPr>
          <w:p>
            <w:pPr>
              <w:autoSpaceDN w:val="0"/>
              <w:spacing w:line="240" w:lineRule="auto"/>
              <w:rPr>
                <w:rFonts w:ascii="仿宋" w:hAnsi="仿宋" w:cs="仿宋"/>
                <w:color w:val="auto"/>
                <w:sz w:val="21"/>
                <w:szCs w:val="21"/>
                <w:highlight w:val="none"/>
              </w:rPr>
            </w:pPr>
            <w:r>
              <w:rPr>
                <w:rFonts w:hint="eastAsia" w:ascii="仿宋" w:hAnsi="仿宋" w:cs="仿宋"/>
                <w:color w:val="auto"/>
                <w:sz w:val="21"/>
                <w:szCs w:val="21"/>
                <w:highlight w:val="none"/>
              </w:rPr>
              <w:t>政策类评分因素</w:t>
            </w:r>
          </w:p>
        </w:tc>
      </w:tr>
    </w:tbl>
    <w:p>
      <w:pPr>
        <w:ind w:firstLine="360" w:firstLineChars="150"/>
        <w:rPr>
          <w:rFonts w:ascii="仿宋" w:hAnsi="仿宋"/>
          <w:color w:val="auto"/>
          <w:highlight w:val="none"/>
        </w:rPr>
      </w:pPr>
    </w:p>
    <w:p>
      <w:pPr>
        <w:pStyle w:val="18"/>
        <w:ind w:left="480"/>
        <w:rPr>
          <w:color w:val="auto"/>
          <w:highlight w:val="none"/>
        </w:rPr>
      </w:pPr>
    </w:p>
    <w:p>
      <w:pPr>
        <w:pStyle w:val="18"/>
        <w:ind w:left="480"/>
        <w:rPr>
          <w:color w:val="auto"/>
          <w:highlight w:val="none"/>
        </w:rPr>
      </w:pPr>
    </w:p>
    <w:p>
      <w:pPr>
        <w:pStyle w:val="18"/>
        <w:ind w:left="480"/>
        <w:rPr>
          <w:color w:val="auto"/>
          <w:highlight w:val="none"/>
        </w:rPr>
      </w:pPr>
    </w:p>
    <w:p>
      <w:pPr>
        <w:pStyle w:val="13"/>
        <w:tabs>
          <w:tab w:val="left" w:pos="600"/>
        </w:tabs>
        <w:spacing w:line="400" w:lineRule="exact"/>
        <w:ind w:left="480"/>
        <w:rPr>
          <w:rFonts w:ascii="仿宋" w:hAnsi="仿宋"/>
          <w:b/>
          <w:color w:val="auto"/>
          <w:highlight w:val="none"/>
        </w:rPr>
      </w:pPr>
      <w:r>
        <w:rPr>
          <w:rFonts w:hint="eastAsia" w:ascii="仿宋" w:hAnsi="仿宋"/>
          <w:b/>
          <w:color w:val="auto"/>
          <w:highlight w:val="none"/>
        </w:rPr>
        <w:t>02包：</w:t>
      </w:r>
    </w:p>
    <w:tbl>
      <w:tblPr>
        <w:tblStyle w:val="86"/>
        <w:tblpPr w:leftFromText="180" w:rightFromText="180" w:horzAnchor="margin" w:tblpY="936"/>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75"/>
        <w:gridCol w:w="993"/>
        <w:gridCol w:w="708"/>
        <w:gridCol w:w="467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240" w:lineRule="auto"/>
              <w:jc w:val="center"/>
              <w:rPr>
                <w:rFonts w:ascii="仿宋" w:hAnsi="仿宋" w:cs="仿宋"/>
                <w:b/>
                <w:color w:val="auto"/>
                <w:kern w:val="0"/>
                <w:sz w:val="21"/>
                <w:szCs w:val="21"/>
                <w:highlight w:val="none"/>
                <w:lang w:bidi="ar"/>
              </w:rPr>
            </w:pPr>
            <w:r>
              <w:rPr>
                <w:rFonts w:hint="eastAsia" w:ascii="仿宋" w:hAnsi="仿宋" w:cs="仿宋"/>
                <w:b/>
                <w:color w:val="auto"/>
                <w:kern w:val="0"/>
                <w:sz w:val="21"/>
                <w:szCs w:val="21"/>
                <w:highlight w:val="none"/>
                <w:lang w:bidi="ar"/>
              </w:rPr>
              <w:t>序号</w:t>
            </w:r>
          </w:p>
        </w:tc>
        <w:tc>
          <w:tcPr>
            <w:tcW w:w="2268" w:type="dxa"/>
            <w:gridSpan w:val="2"/>
            <w:vAlign w:val="center"/>
          </w:tcPr>
          <w:p>
            <w:pPr>
              <w:widowControl/>
              <w:spacing w:line="240" w:lineRule="auto"/>
              <w:jc w:val="center"/>
              <w:rPr>
                <w:rFonts w:ascii="仿宋" w:hAnsi="仿宋" w:cs="仿宋"/>
                <w:b/>
                <w:color w:val="auto"/>
                <w:kern w:val="0"/>
                <w:sz w:val="21"/>
                <w:szCs w:val="21"/>
                <w:highlight w:val="none"/>
                <w:lang w:bidi="ar"/>
              </w:rPr>
            </w:pPr>
            <w:r>
              <w:rPr>
                <w:rFonts w:ascii="仿宋" w:hAnsi="仿宋" w:cs="仿宋"/>
                <w:b/>
                <w:color w:val="auto"/>
                <w:kern w:val="0"/>
                <w:sz w:val="21"/>
                <w:szCs w:val="21"/>
                <w:highlight w:val="none"/>
                <w:lang w:bidi="ar"/>
              </w:rPr>
              <w:t>评分</w:t>
            </w:r>
            <w:r>
              <w:rPr>
                <w:rFonts w:hint="eastAsia" w:ascii="仿宋" w:hAnsi="仿宋" w:cs="仿宋"/>
                <w:b/>
                <w:color w:val="auto"/>
                <w:kern w:val="0"/>
                <w:sz w:val="21"/>
                <w:szCs w:val="21"/>
                <w:highlight w:val="none"/>
                <w:lang w:bidi="ar"/>
              </w:rPr>
              <w:t>因素及权重</w:t>
            </w:r>
          </w:p>
        </w:tc>
        <w:tc>
          <w:tcPr>
            <w:tcW w:w="708" w:type="dxa"/>
            <w:vAlign w:val="center"/>
          </w:tcPr>
          <w:p>
            <w:pPr>
              <w:widowControl/>
              <w:spacing w:line="240" w:lineRule="auto"/>
              <w:jc w:val="center"/>
              <w:rPr>
                <w:rFonts w:ascii="仿宋" w:hAnsi="仿宋" w:cs="仿宋"/>
                <w:b/>
                <w:color w:val="auto"/>
                <w:kern w:val="0"/>
                <w:sz w:val="21"/>
                <w:szCs w:val="21"/>
                <w:highlight w:val="none"/>
                <w:lang w:bidi="ar"/>
              </w:rPr>
            </w:pPr>
            <w:r>
              <w:rPr>
                <w:rFonts w:hint="eastAsia" w:ascii="仿宋" w:hAnsi="仿宋" w:cs="仿宋"/>
                <w:b/>
                <w:color w:val="auto"/>
                <w:kern w:val="0"/>
                <w:sz w:val="21"/>
                <w:szCs w:val="21"/>
                <w:highlight w:val="none"/>
                <w:lang w:bidi="ar"/>
              </w:rPr>
              <w:t>权重分值</w:t>
            </w:r>
          </w:p>
        </w:tc>
        <w:tc>
          <w:tcPr>
            <w:tcW w:w="4678" w:type="dxa"/>
            <w:vAlign w:val="center"/>
          </w:tcPr>
          <w:p>
            <w:pPr>
              <w:widowControl/>
              <w:spacing w:line="240" w:lineRule="auto"/>
              <w:jc w:val="center"/>
              <w:rPr>
                <w:rFonts w:ascii="仿宋" w:hAnsi="仿宋" w:cs="仿宋"/>
                <w:b/>
                <w:color w:val="auto"/>
                <w:kern w:val="0"/>
                <w:sz w:val="21"/>
                <w:szCs w:val="21"/>
                <w:highlight w:val="none"/>
                <w:lang w:bidi="ar"/>
              </w:rPr>
            </w:pPr>
            <w:r>
              <w:rPr>
                <w:rFonts w:hint="eastAsia" w:ascii="仿宋" w:hAnsi="仿宋" w:cs="仿宋"/>
                <w:b/>
                <w:color w:val="auto"/>
                <w:kern w:val="0"/>
                <w:sz w:val="21"/>
                <w:szCs w:val="21"/>
                <w:highlight w:val="none"/>
                <w:lang w:bidi="ar"/>
              </w:rPr>
              <w:t>评分标准</w:t>
            </w:r>
          </w:p>
        </w:tc>
        <w:tc>
          <w:tcPr>
            <w:tcW w:w="1134" w:type="dxa"/>
            <w:vAlign w:val="center"/>
          </w:tcPr>
          <w:p>
            <w:pPr>
              <w:widowControl/>
              <w:spacing w:line="240" w:lineRule="auto"/>
              <w:jc w:val="center"/>
              <w:rPr>
                <w:rFonts w:ascii="仿宋" w:hAnsi="仿宋" w:cs="仿宋"/>
                <w:b/>
                <w:color w:val="auto"/>
                <w:kern w:val="0"/>
                <w:sz w:val="21"/>
                <w:szCs w:val="21"/>
                <w:highlight w:val="none"/>
                <w:lang w:bidi="ar"/>
              </w:rPr>
            </w:pPr>
            <w:r>
              <w:rPr>
                <w:rFonts w:hint="eastAsia" w:ascii="仿宋" w:hAnsi="仿宋" w:cs="仿宋"/>
                <w:b/>
                <w:color w:val="auto"/>
                <w:kern w:val="0"/>
                <w:sz w:val="21"/>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before="148" w:line="204" w:lineRule="auto"/>
              <w:jc w:val="center"/>
              <w:rPr>
                <w:rFonts w:ascii="仿宋" w:hAnsi="仿宋" w:cs="Arial"/>
                <w:color w:val="auto"/>
                <w:sz w:val="21"/>
                <w:szCs w:val="21"/>
                <w:highlight w:val="none"/>
              </w:rPr>
            </w:pPr>
            <w:r>
              <w:rPr>
                <w:rFonts w:ascii="仿宋" w:hAnsi="仿宋" w:cs="仿宋"/>
                <w:color w:val="auto"/>
                <w:sz w:val="21"/>
                <w:szCs w:val="21"/>
                <w:highlight w:val="none"/>
              </w:rPr>
              <w:t>1</w:t>
            </w:r>
          </w:p>
        </w:tc>
        <w:tc>
          <w:tcPr>
            <w:tcW w:w="2268" w:type="dxa"/>
            <w:gridSpan w:val="2"/>
            <w:vAlign w:val="center"/>
          </w:tcPr>
          <w:p>
            <w:pPr>
              <w:spacing w:before="220" w:line="307" w:lineRule="exact"/>
              <w:jc w:val="center"/>
              <w:rPr>
                <w:rFonts w:ascii="仿宋" w:hAnsi="仿宋" w:cs="仿宋"/>
                <w:color w:val="auto"/>
                <w:spacing w:val="-6"/>
                <w:position w:val="9"/>
                <w:sz w:val="21"/>
                <w:szCs w:val="21"/>
                <w:highlight w:val="none"/>
              </w:rPr>
            </w:pPr>
            <w:r>
              <w:rPr>
                <w:rFonts w:ascii="仿宋" w:hAnsi="仿宋" w:cs="仿宋"/>
                <w:color w:val="auto"/>
                <w:spacing w:val="-8"/>
                <w:sz w:val="21"/>
                <w:szCs w:val="21"/>
                <w:highlight w:val="none"/>
              </w:rPr>
              <w:t>报价</w:t>
            </w:r>
            <w:r>
              <w:rPr>
                <w:rFonts w:hint="eastAsia" w:ascii="仿宋" w:hAnsi="仿宋" w:cs="仿宋"/>
                <w:color w:val="auto"/>
                <w:spacing w:val="-8"/>
                <w:sz w:val="21"/>
                <w:szCs w:val="21"/>
                <w:highlight w:val="none"/>
              </w:rPr>
              <w:t xml:space="preserve"> </w:t>
            </w:r>
            <w:r>
              <w:rPr>
                <w:rFonts w:hint="eastAsia" w:ascii="仿宋" w:hAnsi="仿宋" w:cs="仿宋"/>
                <w:color w:val="auto"/>
                <w:spacing w:val="-4"/>
                <w:sz w:val="21"/>
                <w:szCs w:val="21"/>
                <w:highlight w:val="none"/>
              </w:rPr>
              <w:t>3</w:t>
            </w:r>
            <w:r>
              <w:rPr>
                <w:rFonts w:ascii="仿宋" w:hAnsi="仿宋" w:cs="仿宋"/>
                <w:color w:val="auto"/>
                <w:spacing w:val="-4"/>
                <w:sz w:val="21"/>
                <w:szCs w:val="21"/>
                <w:highlight w:val="none"/>
              </w:rPr>
              <w:t>0%</w:t>
            </w:r>
          </w:p>
        </w:tc>
        <w:tc>
          <w:tcPr>
            <w:tcW w:w="708" w:type="dxa"/>
            <w:vAlign w:val="center"/>
          </w:tcPr>
          <w:p>
            <w:pPr>
              <w:spacing w:before="220" w:line="307" w:lineRule="exact"/>
              <w:jc w:val="center"/>
              <w:rPr>
                <w:rFonts w:ascii="仿宋" w:hAnsi="仿宋" w:cs="Arial"/>
                <w:color w:val="auto"/>
                <w:sz w:val="21"/>
                <w:szCs w:val="21"/>
                <w:highlight w:val="none"/>
              </w:rPr>
            </w:pPr>
            <w:r>
              <w:rPr>
                <w:rFonts w:hint="eastAsia" w:ascii="仿宋" w:hAnsi="仿宋" w:cs="仿宋"/>
                <w:color w:val="auto"/>
                <w:spacing w:val="-6"/>
                <w:position w:val="9"/>
                <w:sz w:val="21"/>
                <w:szCs w:val="21"/>
                <w:highlight w:val="none"/>
              </w:rPr>
              <w:t>30分</w:t>
            </w:r>
          </w:p>
        </w:tc>
        <w:tc>
          <w:tcPr>
            <w:tcW w:w="4678" w:type="dxa"/>
          </w:tcPr>
          <w:p>
            <w:pPr>
              <w:spacing w:before="69" w:line="302" w:lineRule="auto"/>
              <w:ind w:right="105"/>
              <w:jc w:val="both"/>
              <w:rPr>
                <w:rFonts w:ascii="仿宋" w:hAnsi="仿宋" w:cs="Arial"/>
                <w:color w:val="auto"/>
                <w:sz w:val="21"/>
                <w:szCs w:val="21"/>
                <w:highlight w:val="none"/>
              </w:rPr>
            </w:pPr>
            <w:r>
              <w:rPr>
                <w:rFonts w:hint="eastAsia" w:ascii="仿宋" w:hAnsi="仿宋" w:cs="仿宋"/>
                <w:color w:val="auto"/>
                <w:spacing w:val="3"/>
                <w:sz w:val="21"/>
                <w:szCs w:val="21"/>
                <w:highlight w:val="none"/>
              </w:rPr>
              <w:t>满足招标文件要求且投标价格最低的投标报价为评标基准价，其价格分为满分。其他投标人的价格分统一按照下列公式计算：投标报价得分=(评标基准价／投标报价)×30</w:t>
            </w:r>
          </w:p>
        </w:tc>
        <w:tc>
          <w:tcPr>
            <w:tcW w:w="1134" w:type="dxa"/>
            <w:vAlign w:val="center"/>
          </w:tcPr>
          <w:p>
            <w:pPr>
              <w:spacing w:line="240" w:lineRule="auto"/>
              <w:jc w:val="center"/>
              <w:rPr>
                <w:rFonts w:ascii="仿宋" w:hAnsi="仿宋" w:cs="Arial"/>
                <w:color w:val="auto"/>
                <w:sz w:val="21"/>
                <w:szCs w:val="21"/>
                <w:highlight w:val="none"/>
              </w:rPr>
            </w:pPr>
            <w:r>
              <w:rPr>
                <w:rFonts w:hint="eastAsia" w:ascii="仿宋" w:hAnsi="仿宋" w:cs="Arial"/>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before="301" w:line="204" w:lineRule="auto"/>
              <w:jc w:val="center"/>
              <w:rPr>
                <w:rFonts w:ascii="仿宋" w:hAnsi="仿宋" w:cs="Arial"/>
                <w:color w:val="auto"/>
                <w:sz w:val="21"/>
                <w:szCs w:val="21"/>
                <w:highlight w:val="none"/>
              </w:rPr>
            </w:pPr>
            <w:r>
              <w:rPr>
                <w:rFonts w:ascii="仿宋" w:hAnsi="仿宋" w:cs="仿宋"/>
                <w:color w:val="auto"/>
                <w:sz w:val="21"/>
                <w:szCs w:val="21"/>
                <w:highlight w:val="none"/>
              </w:rPr>
              <w:t>2</w:t>
            </w:r>
          </w:p>
        </w:tc>
        <w:tc>
          <w:tcPr>
            <w:tcW w:w="2268" w:type="dxa"/>
            <w:gridSpan w:val="2"/>
            <w:vAlign w:val="center"/>
          </w:tcPr>
          <w:p>
            <w:pPr>
              <w:spacing w:before="69" w:line="302" w:lineRule="auto"/>
              <w:ind w:right="105"/>
              <w:jc w:val="center"/>
              <w:rPr>
                <w:rFonts w:ascii="仿宋" w:hAnsi="仿宋" w:cs="仿宋"/>
                <w:color w:val="auto"/>
                <w:spacing w:val="-8"/>
                <w:sz w:val="21"/>
                <w:szCs w:val="21"/>
                <w:highlight w:val="none"/>
              </w:rPr>
            </w:pPr>
            <w:r>
              <w:rPr>
                <w:rFonts w:hint="eastAsia" w:ascii="仿宋" w:hAnsi="仿宋" w:cs="仿宋"/>
                <w:color w:val="auto"/>
                <w:spacing w:val="-8"/>
                <w:sz w:val="21"/>
                <w:szCs w:val="21"/>
                <w:highlight w:val="none"/>
              </w:rPr>
              <w:t>技术服务要求</w:t>
            </w:r>
          </w:p>
          <w:p>
            <w:pPr>
              <w:spacing w:before="1" w:line="204" w:lineRule="auto"/>
              <w:jc w:val="center"/>
              <w:rPr>
                <w:rFonts w:ascii="仿宋" w:hAnsi="仿宋" w:cs="仿宋"/>
                <w:color w:val="auto"/>
                <w:spacing w:val="-6"/>
                <w:position w:val="10"/>
                <w:sz w:val="21"/>
                <w:szCs w:val="21"/>
                <w:highlight w:val="none"/>
              </w:rPr>
            </w:pPr>
            <w:r>
              <w:rPr>
                <w:rFonts w:hint="eastAsia" w:ascii="仿宋" w:hAnsi="仿宋" w:cs="仿宋"/>
                <w:color w:val="auto"/>
                <w:spacing w:val="-8"/>
                <w:sz w:val="21"/>
                <w:szCs w:val="21"/>
                <w:highlight w:val="none"/>
              </w:rPr>
              <w:t>8</w:t>
            </w:r>
            <w:r>
              <w:rPr>
                <w:rFonts w:ascii="仿宋" w:hAnsi="仿宋" w:cs="仿宋"/>
                <w:color w:val="auto"/>
                <w:spacing w:val="-8"/>
                <w:sz w:val="21"/>
                <w:szCs w:val="21"/>
                <w:highlight w:val="none"/>
              </w:rPr>
              <w:t>%</w:t>
            </w:r>
          </w:p>
        </w:tc>
        <w:tc>
          <w:tcPr>
            <w:tcW w:w="708" w:type="dxa"/>
            <w:vAlign w:val="center"/>
          </w:tcPr>
          <w:p>
            <w:pPr>
              <w:spacing w:before="1" w:line="204" w:lineRule="auto"/>
              <w:jc w:val="center"/>
              <w:rPr>
                <w:rFonts w:ascii="仿宋" w:hAnsi="仿宋" w:cs="Arial"/>
                <w:color w:val="auto"/>
                <w:sz w:val="21"/>
                <w:szCs w:val="21"/>
                <w:highlight w:val="none"/>
              </w:rPr>
            </w:pPr>
            <w:r>
              <w:rPr>
                <w:rFonts w:hint="eastAsia" w:ascii="仿宋" w:hAnsi="仿宋" w:cs="仿宋"/>
                <w:color w:val="auto"/>
                <w:spacing w:val="-6"/>
                <w:position w:val="10"/>
                <w:sz w:val="21"/>
                <w:szCs w:val="21"/>
                <w:highlight w:val="none"/>
              </w:rPr>
              <w:t>8分</w:t>
            </w:r>
          </w:p>
        </w:tc>
        <w:tc>
          <w:tcPr>
            <w:tcW w:w="4678" w:type="dxa"/>
          </w:tcPr>
          <w:p>
            <w:pPr>
              <w:spacing w:before="69" w:line="302" w:lineRule="auto"/>
              <w:ind w:right="105"/>
              <w:jc w:val="both"/>
              <w:rPr>
                <w:rFonts w:ascii="仿宋" w:hAnsi="仿宋" w:cs="仿宋"/>
                <w:color w:val="auto"/>
                <w:spacing w:val="-3"/>
                <w:sz w:val="21"/>
                <w:szCs w:val="21"/>
                <w:highlight w:val="none"/>
              </w:rPr>
            </w:pPr>
            <w:r>
              <w:rPr>
                <w:rFonts w:hint="eastAsia" w:ascii="仿宋" w:hAnsi="仿宋" w:cs="仿宋"/>
                <w:color w:val="auto"/>
                <w:spacing w:val="-3"/>
                <w:sz w:val="21"/>
                <w:szCs w:val="21"/>
                <w:highlight w:val="none"/>
              </w:rPr>
              <w:t>投标人针对招标文件第六章对应包件中的技术参数要求</w:t>
            </w:r>
            <w:r>
              <w:rPr>
                <w:rFonts w:ascii="仿宋" w:hAnsi="仿宋" w:cs="仿宋"/>
                <w:color w:val="auto"/>
                <w:spacing w:val="-3"/>
                <w:sz w:val="21"/>
                <w:szCs w:val="21"/>
                <w:highlight w:val="none"/>
              </w:rPr>
              <w:t>，完全符合招标文件要求得</w:t>
            </w:r>
            <w:r>
              <w:rPr>
                <w:rFonts w:hint="eastAsia" w:ascii="仿宋" w:hAnsi="仿宋" w:cs="仿宋"/>
                <w:color w:val="auto"/>
                <w:spacing w:val="-3"/>
                <w:sz w:val="21"/>
                <w:szCs w:val="21"/>
                <w:highlight w:val="none"/>
              </w:rPr>
              <w:t>8</w:t>
            </w:r>
            <w:r>
              <w:rPr>
                <w:rFonts w:ascii="仿宋" w:hAnsi="仿宋" w:cs="仿宋"/>
                <w:color w:val="auto"/>
                <w:spacing w:val="-3"/>
                <w:sz w:val="21"/>
                <w:szCs w:val="21"/>
                <w:highlight w:val="none"/>
              </w:rPr>
              <w:t>分 ，低于招标文件要求的，每负偏离一项扣</w:t>
            </w:r>
            <w:r>
              <w:rPr>
                <w:rFonts w:hint="eastAsia" w:ascii="仿宋" w:hAnsi="仿宋" w:cs="仿宋"/>
                <w:color w:val="auto"/>
                <w:spacing w:val="-3"/>
                <w:sz w:val="21"/>
                <w:szCs w:val="21"/>
                <w:highlight w:val="none"/>
              </w:rPr>
              <w:t>0.5</w:t>
            </w:r>
            <w:r>
              <w:rPr>
                <w:rFonts w:ascii="仿宋" w:hAnsi="仿宋" w:cs="仿宋"/>
                <w:color w:val="auto"/>
                <w:spacing w:val="-3"/>
                <w:sz w:val="21"/>
                <w:szCs w:val="21"/>
                <w:highlight w:val="none"/>
              </w:rPr>
              <w:t>分， 扣完为止。</w:t>
            </w:r>
            <w:r>
              <w:rPr>
                <w:rFonts w:hint="eastAsia" w:ascii="仿宋" w:hAnsi="仿宋" w:cs="仿宋"/>
                <w:color w:val="auto"/>
                <w:spacing w:val="-3"/>
                <w:sz w:val="21"/>
                <w:szCs w:val="21"/>
                <w:highlight w:val="none"/>
              </w:rPr>
              <w:t>（扣分项以“序号”列为单位，共16项）</w:t>
            </w:r>
          </w:p>
        </w:tc>
        <w:tc>
          <w:tcPr>
            <w:tcW w:w="1134" w:type="dxa"/>
            <w:vAlign w:val="center"/>
          </w:tcPr>
          <w:p>
            <w:pPr>
              <w:spacing w:line="240" w:lineRule="auto"/>
              <w:jc w:val="center"/>
              <w:rPr>
                <w:rFonts w:ascii="仿宋" w:hAnsi="仿宋" w:cs="Arial"/>
                <w:color w:val="auto"/>
                <w:sz w:val="21"/>
                <w:szCs w:val="21"/>
                <w:highlight w:val="none"/>
              </w:rPr>
            </w:pPr>
            <w:r>
              <w:rPr>
                <w:rFonts w:hint="eastAsia" w:ascii="仿宋" w:hAnsi="仿宋" w:cs="Arial"/>
                <w:color w:val="auto"/>
                <w:sz w:val="21"/>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vAlign w:val="center"/>
          </w:tcPr>
          <w:p>
            <w:pPr>
              <w:spacing w:before="301" w:line="204" w:lineRule="auto"/>
              <w:jc w:val="center"/>
              <w:rPr>
                <w:rFonts w:ascii="仿宋" w:hAnsi="仿宋" w:cs="仿宋"/>
                <w:color w:val="auto"/>
                <w:sz w:val="21"/>
                <w:szCs w:val="21"/>
                <w:highlight w:val="none"/>
              </w:rPr>
            </w:pPr>
            <w:r>
              <w:rPr>
                <w:rFonts w:hint="eastAsia" w:ascii="仿宋" w:hAnsi="仿宋" w:cs="仿宋"/>
                <w:color w:val="auto"/>
                <w:sz w:val="21"/>
                <w:szCs w:val="21"/>
                <w:highlight w:val="none"/>
              </w:rPr>
              <w:t>3</w:t>
            </w:r>
          </w:p>
        </w:tc>
        <w:tc>
          <w:tcPr>
            <w:tcW w:w="1275" w:type="dxa"/>
            <w:vMerge w:val="restart"/>
            <w:vAlign w:val="center"/>
          </w:tcPr>
          <w:p>
            <w:pPr>
              <w:spacing w:before="241" w:line="204" w:lineRule="auto"/>
              <w:jc w:val="center"/>
              <w:rPr>
                <w:rFonts w:ascii="仿宋" w:hAnsi="仿宋" w:cs="仿宋"/>
                <w:color w:val="auto"/>
                <w:sz w:val="21"/>
                <w:szCs w:val="21"/>
                <w:highlight w:val="none"/>
              </w:rPr>
            </w:pPr>
            <w:r>
              <w:rPr>
                <w:rFonts w:ascii="仿宋" w:hAnsi="仿宋" w:cs="仿宋"/>
                <w:color w:val="auto"/>
                <w:spacing w:val="-8"/>
                <w:sz w:val="21"/>
                <w:szCs w:val="21"/>
                <w:highlight w:val="none"/>
              </w:rPr>
              <w:t>服务</w:t>
            </w:r>
          </w:p>
          <w:p>
            <w:pPr>
              <w:spacing w:before="63" w:line="204" w:lineRule="auto"/>
              <w:jc w:val="center"/>
              <w:rPr>
                <w:rFonts w:ascii="仿宋" w:hAnsi="仿宋" w:cs="仿宋"/>
                <w:color w:val="auto"/>
                <w:sz w:val="21"/>
                <w:szCs w:val="21"/>
                <w:highlight w:val="none"/>
              </w:rPr>
            </w:pPr>
            <w:r>
              <w:rPr>
                <w:rFonts w:ascii="仿宋" w:hAnsi="仿宋" w:cs="仿宋"/>
                <w:color w:val="auto"/>
                <w:spacing w:val="-10"/>
                <w:sz w:val="21"/>
                <w:szCs w:val="21"/>
                <w:highlight w:val="none"/>
              </w:rPr>
              <w:t>方案</w:t>
            </w:r>
          </w:p>
          <w:p>
            <w:pPr>
              <w:spacing w:before="301" w:line="204" w:lineRule="auto"/>
              <w:jc w:val="center"/>
              <w:rPr>
                <w:rFonts w:ascii="仿宋" w:hAnsi="仿宋" w:cs="仿宋"/>
                <w:color w:val="auto"/>
                <w:sz w:val="21"/>
                <w:szCs w:val="21"/>
                <w:highlight w:val="none"/>
              </w:rPr>
            </w:pPr>
            <w:r>
              <w:rPr>
                <w:rFonts w:hint="eastAsia" w:ascii="仿宋" w:hAnsi="仿宋" w:cs="仿宋"/>
                <w:color w:val="auto"/>
                <w:spacing w:val="-4"/>
                <w:sz w:val="21"/>
                <w:szCs w:val="21"/>
                <w:highlight w:val="none"/>
              </w:rPr>
              <w:t>47</w:t>
            </w:r>
            <w:r>
              <w:rPr>
                <w:rFonts w:ascii="仿宋" w:hAnsi="仿宋" w:cs="仿宋"/>
                <w:color w:val="auto"/>
                <w:spacing w:val="-4"/>
                <w:sz w:val="21"/>
                <w:szCs w:val="21"/>
                <w:highlight w:val="none"/>
              </w:rPr>
              <w:t>%</w:t>
            </w:r>
          </w:p>
        </w:tc>
        <w:tc>
          <w:tcPr>
            <w:tcW w:w="993" w:type="dxa"/>
            <w:vAlign w:val="center"/>
          </w:tcPr>
          <w:p>
            <w:pPr>
              <w:spacing w:before="68" w:line="204" w:lineRule="auto"/>
              <w:jc w:val="center"/>
              <w:rPr>
                <w:rFonts w:ascii="仿宋" w:hAnsi="仿宋" w:cs="仿宋"/>
                <w:color w:val="auto"/>
                <w:sz w:val="21"/>
                <w:szCs w:val="21"/>
                <w:highlight w:val="none"/>
              </w:rPr>
            </w:pPr>
            <w:r>
              <w:rPr>
                <w:rFonts w:ascii="仿宋" w:hAnsi="仿宋" w:cs="仿宋"/>
                <w:color w:val="auto"/>
                <w:sz w:val="21"/>
                <w:szCs w:val="21"/>
                <w:highlight w:val="none"/>
              </w:rPr>
              <w:t>项目背景分析</w:t>
            </w:r>
          </w:p>
        </w:tc>
        <w:tc>
          <w:tcPr>
            <w:tcW w:w="708" w:type="dxa"/>
            <w:vAlign w:val="center"/>
          </w:tcPr>
          <w:p>
            <w:pPr>
              <w:spacing w:before="74" w:line="204" w:lineRule="auto"/>
              <w:jc w:val="center"/>
              <w:rPr>
                <w:rFonts w:ascii="仿宋" w:hAnsi="仿宋" w:cs="Arial"/>
                <w:color w:val="auto"/>
                <w:sz w:val="21"/>
                <w:szCs w:val="21"/>
                <w:highlight w:val="none"/>
              </w:rPr>
            </w:pPr>
            <w:r>
              <w:rPr>
                <w:rFonts w:hint="eastAsia" w:ascii="仿宋" w:hAnsi="仿宋" w:cs="仿宋"/>
                <w:color w:val="auto"/>
                <w:sz w:val="21"/>
                <w:szCs w:val="21"/>
                <w:highlight w:val="none"/>
              </w:rPr>
              <w:t>12</w:t>
            </w:r>
            <w:r>
              <w:rPr>
                <w:rFonts w:ascii="仿宋" w:hAnsi="仿宋" w:cs="仿宋"/>
                <w:color w:val="auto"/>
                <w:sz w:val="21"/>
                <w:szCs w:val="21"/>
                <w:highlight w:val="none"/>
              </w:rPr>
              <w:t>分</w:t>
            </w:r>
          </w:p>
        </w:tc>
        <w:tc>
          <w:tcPr>
            <w:tcW w:w="4678" w:type="dxa"/>
          </w:tcPr>
          <w:p>
            <w:pPr>
              <w:spacing w:before="106" w:line="316" w:lineRule="auto"/>
              <w:ind w:right="185"/>
              <w:jc w:val="both"/>
              <w:rPr>
                <w:rFonts w:ascii="仿宋" w:hAnsi="仿宋" w:cs="仿宋"/>
                <w:color w:val="auto"/>
                <w:spacing w:val="-4"/>
                <w:sz w:val="21"/>
                <w:szCs w:val="21"/>
                <w:highlight w:val="none"/>
              </w:rPr>
            </w:pPr>
            <w:r>
              <w:rPr>
                <w:rFonts w:hint="eastAsia" w:ascii="仿宋" w:hAnsi="仿宋" w:cs="仿宋"/>
                <w:color w:val="auto"/>
                <w:spacing w:val="-4"/>
                <w:sz w:val="21"/>
                <w:szCs w:val="21"/>
                <w:highlight w:val="none"/>
              </w:rPr>
              <w:t>投标人根据对本项目情况分析提供总体方案（包括但不限于：①项目现状分析，②项目重点/难点分析，③主要风险及应对措施，④合理化建议）进行综合评审：内容完整、逻辑严谨、符合项目及当地实际情况的得12分；每缺少一个部分扣3分，12分扣完为止；内容描述存在不完整、前后矛盾、不符合项目及当地实际情况中任何一种情形或其他不足之处的，每有一处扣1分，每项最多扣3分，12分扣完为止。</w:t>
            </w:r>
          </w:p>
          <w:p>
            <w:pPr>
              <w:spacing w:before="106" w:line="316" w:lineRule="auto"/>
              <w:ind w:right="185"/>
              <w:jc w:val="both"/>
              <w:rPr>
                <w:rFonts w:ascii="仿宋" w:hAnsi="仿宋" w:cs="仿宋"/>
                <w:color w:val="auto"/>
                <w:spacing w:val="-4"/>
                <w:sz w:val="21"/>
                <w:szCs w:val="21"/>
                <w:highlight w:val="none"/>
              </w:rPr>
            </w:pPr>
            <w:r>
              <w:rPr>
                <w:rFonts w:hint="eastAsia" w:ascii="仿宋" w:hAnsi="仿宋" w:cs="仿宋"/>
                <w:color w:val="auto"/>
                <w:spacing w:val="-4"/>
                <w:sz w:val="21"/>
                <w:szCs w:val="21"/>
                <w:highlight w:val="none"/>
              </w:rPr>
              <w:t>（注：其他不足之处是指内容套用或错用、凭空编造、科学原理错误以及不可能实现的夸大情形等。）</w:t>
            </w:r>
          </w:p>
        </w:tc>
        <w:tc>
          <w:tcPr>
            <w:tcW w:w="1134" w:type="dxa"/>
            <w:vAlign w:val="center"/>
          </w:tcPr>
          <w:p>
            <w:pPr>
              <w:spacing w:line="240" w:lineRule="auto"/>
              <w:jc w:val="center"/>
              <w:rPr>
                <w:rFonts w:ascii="仿宋" w:hAnsi="仿宋" w:cs="Arial"/>
                <w:color w:val="auto"/>
                <w:sz w:val="21"/>
                <w:szCs w:val="21"/>
                <w:highlight w:val="none"/>
              </w:rPr>
            </w:pPr>
            <w:r>
              <w:rPr>
                <w:rFonts w:hint="eastAsia" w:ascii="仿宋" w:hAnsi="仿宋" w:cs="Arial"/>
                <w:color w:val="auto"/>
                <w:sz w:val="21"/>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spacing w:line="240" w:lineRule="auto"/>
              <w:jc w:val="center"/>
              <w:rPr>
                <w:rFonts w:ascii="仿宋" w:hAnsi="仿宋" w:cs="Arial"/>
                <w:color w:val="auto"/>
                <w:sz w:val="21"/>
                <w:szCs w:val="21"/>
                <w:highlight w:val="none"/>
              </w:rPr>
            </w:pPr>
          </w:p>
        </w:tc>
        <w:tc>
          <w:tcPr>
            <w:tcW w:w="1275" w:type="dxa"/>
            <w:vMerge w:val="continue"/>
            <w:vAlign w:val="center"/>
          </w:tcPr>
          <w:p>
            <w:pPr>
              <w:spacing w:before="301" w:line="204" w:lineRule="auto"/>
              <w:jc w:val="center"/>
              <w:rPr>
                <w:rFonts w:ascii="仿宋" w:hAnsi="仿宋" w:cs="Arial"/>
                <w:color w:val="auto"/>
                <w:sz w:val="21"/>
                <w:szCs w:val="21"/>
                <w:highlight w:val="none"/>
              </w:rPr>
            </w:pPr>
          </w:p>
        </w:tc>
        <w:tc>
          <w:tcPr>
            <w:tcW w:w="993" w:type="dxa"/>
            <w:vAlign w:val="center"/>
          </w:tcPr>
          <w:p>
            <w:pPr>
              <w:spacing w:before="68" w:line="204" w:lineRule="auto"/>
              <w:jc w:val="center"/>
              <w:rPr>
                <w:rFonts w:ascii="仿宋" w:hAnsi="仿宋" w:cs="仿宋"/>
                <w:color w:val="auto"/>
                <w:sz w:val="21"/>
                <w:szCs w:val="21"/>
                <w:highlight w:val="none"/>
              </w:rPr>
            </w:pPr>
            <w:r>
              <w:rPr>
                <w:rFonts w:ascii="仿宋" w:hAnsi="仿宋" w:cs="仿宋"/>
                <w:color w:val="auto"/>
                <w:sz w:val="21"/>
                <w:szCs w:val="21"/>
                <w:highlight w:val="none"/>
              </w:rPr>
              <w:t>安装方案</w:t>
            </w:r>
          </w:p>
        </w:tc>
        <w:tc>
          <w:tcPr>
            <w:tcW w:w="708" w:type="dxa"/>
            <w:vAlign w:val="center"/>
          </w:tcPr>
          <w:p>
            <w:pPr>
              <w:spacing w:before="68" w:line="204" w:lineRule="auto"/>
              <w:jc w:val="center"/>
              <w:rPr>
                <w:rFonts w:ascii="仿宋" w:hAnsi="仿宋" w:cs="Arial"/>
                <w:color w:val="auto"/>
                <w:sz w:val="21"/>
                <w:szCs w:val="21"/>
                <w:highlight w:val="none"/>
              </w:rPr>
            </w:pPr>
            <w:r>
              <w:rPr>
                <w:rFonts w:hint="eastAsia" w:ascii="仿宋" w:hAnsi="仿宋" w:cs="仿宋"/>
                <w:color w:val="auto"/>
                <w:sz w:val="21"/>
                <w:szCs w:val="21"/>
                <w:highlight w:val="none"/>
              </w:rPr>
              <w:t>12</w:t>
            </w:r>
            <w:r>
              <w:rPr>
                <w:rFonts w:ascii="仿宋" w:hAnsi="仿宋" w:cs="仿宋"/>
                <w:color w:val="auto"/>
                <w:sz w:val="21"/>
                <w:szCs w:val="21"/>
                <w:highlight w:val="none"/>
              </w:rPr>
              <w:t>分</w:t>
            </w:r>
          </w:p>
        </w:tc>
        <w:tc>
          <w:tcPr>
            <w:tcW w:w="4678" w:type="dxa"/>
          </w:tcPr>
          <w:p>
            <w:pPr>
              <w:spacing w:before="121" w:line="316" w:lineRule="auto"/>
              <w:ind w:right="105"/>
              <w:jc w:val="both"/>
              <w:rPr>
                <w:rFonts w:ascii="仿宋" w:hAnsi="仿宋" w:cs="仿宋"/>
                <w:color w:val="auto"/>
                <w:spacing w:val="-7"/>
                <w:sz w:val="21"/>
                <w:szCs w:val="21"/>
                <w:highlight w:val="none"/>
              </w:rPr>
            </w:pPr>
            <w:r>
              <w:rPr>
                <w:rFonts w:ascii="仿宋" w:hAnsi="仿宋" w:cs="仿宋"/>
                <w:color w:val="auto"/>
                <w:spacing w:val="-7"/>
                <w:sz w:val="21"/>
                <w:szCs w:val="21"/>
                <w:highlight w:val="none"/>
              </w:rPr>
              <w:t>提供安装方案，包含</w:t>
            </w:r>
            <w:r>
              <w:rPr>
                <w:rFonts w:hint="eastAsia" w:ascii="仿宋" w:hAnsi="仿宋" w:cs="仿宋"/>
                <w:color w:val="auto"/>
                <w:spacing w:val="-7"/>
                <w:sz w:val="21"/>
                <w:szCs w:val="21"/>
                <w:highlight w:val="none"/>
              </w:rPr>
              <w:t>①</w:t>
            </w:r>
            <w:r>
              <w:rPr>
                <w:rFonts w:ascii="仿宋" w:hAnsi="仿宋" w:cs="仿宋"/>
                <w:color w:val="auto"/>
                <w:spacing w:val="-7"/>
                <w:sz w:val="21"/>
                <w:szCs w:val="21"/>
                <w:highlight w:val="none"/>
              </w:rPr>
              <w:t>安装流程、</w:t>
            </w:r>
            <w:r>
              <w:rPr>
                <w:rFonts w:hint="eastAsia" w:ascii="仿宋" w:hAnsi="仿宋" w:cs="仿宋"/>
                <w:color w:val="auto"/>
                <w:spacing w:val="-7"/>
                <w:sz w:val="21"/>
                <w:szCs w:val="21"/>
                <w:highlight w:val="none"/>
              </w:rPr>
              <w:t>②</w:t>
            </w:r>
            <w:r>
              <w:rPr>
                <w:rFonts w:ascii="仿宋" w:hAnsi="仿宋" w:cs="仿宋"/>
                <w:color w:val="auto"/>
                <w:spacing w:val="-7"/>
                <w:sz w:val="21"/>
                <w:szCs w:val="21"/>
                <w:highlight w:val="none"/>
              </w:rPr>
              <w:t>安装技术要求及标准、 ③安装</w:t>
            </w:r>
            <w:r>
              <w:rPr>
                <w:rFonts w:hint="eastAsia" w:ascii="仿宋" w:hAnsi="仿宋" w:cs="仿宋"/>
                <w:color w:val="auto"/>
                <w:spacing w:val="-7"/>
                <w:sz w:val="21"/>
                <w:szCs w:val="21"/>
                <w:highlight w:val="none"/>
              </w:rPr>
              <w:t>布局</w:t>
            </w:r>
            <w:r>
              <w:rPr>
                <w:rFonts w:ascii="仿宋" w:hAnsi="仿宋" w:cs="仿宋"/>
                <w:color w:val="auto"/>
                <w:spacing w:val="-7"/>
                <w:sz w:val="21"/>
                <w:szCs w:val="21"/>
                <w:highlight w:val="none"/>
              </w:rPr>
              <w:t>等内容进行阐述，</w:t>
            </w:r>
            <w:r>
              <w:rPr>
                <w:rFonts w:hint="eastAsia" w:ascii="仿宋" w:hAnsi="仿宋" w:cs="仿宋"/>
                <w:color w:val="auto"/>
                <w:spacing w:val="-7"/>
                <w:sz w:val="21"/>
                <w:szCs w:val="21"/>
                <w:highlight w:val="none"/>
              </w:rPr>
              <w:t>内容完整、逻辑严谨、符合项目及当地实际情况的得12分；每缺少一个部分扣4分，12分扣完为止；内容描述存在不完整、前后矛盾、不符合项目及当地实际情况中任何一种情形或其他不足之处的，每有一处扣1分，每项最多扣4分，12分扣完为止。</w:t>
            </w:r>
          </w:p>
          <w:p>
            <w:pPr>
              <w:spacing w:before="121" w:line="316" w:lineRule="auto"/>
              <w:ind w:right="105"/>
              <w:jc w:val="both"/>
              <w:rPr>
                <w:rFonts w:ascii="仿宋" w:hAnsi="仿宋" w:cs="Arial"/>
                <w:color w:val="auto"/>
                <w:sz w:val="21"/>
                <w:szCs w:val="21"/>
                <w:highlight w:val="none"/>
              </w:rPr>
            </w:pPr>
            <w:r>
              <w:rPr>
                <w:rFonts w:hint="eastAsia" w:ascii="仿宋" w:hAnsi="仿宋" w:cs="仿宋"/>
                <w:color w:val="auto"/>
                <w:spacing w:val="-7"/>
                <w:sz w:val="21"/>
                <w:szCs w:val="21"/>
                <w:highlight w:val="none"/>
              </w:rPr>
              <w:t>（注：其他不足之处是指内容套用或错用、凭空编造、科学原理错误以及不可能实现的夸大情形等。）</w:t>
            </w:r>
          </w:p>
        </w:tc>
        <w:tc>
          <w:tcPr>
            <w:tcW w:w="1134" w:type="dxa"/>
            <w:vAlign w:val="center"/>
          </w:tcPr>
          <w:p>
            <w:pPr>
              <w:spacing w:line="240" w:lineRule="auto"/>
              <w:jc w:val="center"/>
              <w:rPr>
                <w:rFonts w:ascii="仿宋" w:hAnsi="仿宋" w:cs="Arial"/>
                <w:color w:val="auto"/>
                <w:sz w:val="21"/>
                <w:szCs w:val="21"/>
                <w:highlight w:val="none"/>
              </w:rPr>
            </w:pPr>
            <w:r>
              <w:rPr>
                <w:rFonts w:hint="eastAsia" w:ascii="仿宋" w:hAnsi="仿宋" w:cs="Arial"/>
                <w:color w:val="auto"/>
                <w:sz w:val="21"/>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spacing w:line="240" w:lineRule="auto"/>
              <w:jc w:val="center"/>
              <w:rPr>
                <w:rFonts w:ascii="仿宋" w:hAnsi="仿宋" w:cs="Arial"/>
                <w:color w:val="auto"/>
                <w:sz w:val="21"/>
                <w:szCs w:val="21"/>
                <w:highlight w:val="none"/>
              </w:rPr>
            </w:pPr>
          </w:p>
        </w:tc>
        <w:tc>
          <w:tcPr>
            <w:tcW w:w="1275" w:type="dxa"/>
            <w:vMerge w:val="continue"/>
            <w:vAlign w:val="center"/>
          </w:tcPr>
          <w:p>
            <w:pPr>
              <w:spacing w:line="240" w:lineRule="auto"/>
              <w:jc w:val="center"/>
              <w:rPr>
                <w:rFonts w:ascii="仿宋" w:hAnsi="仿宋" w:cs="Arial"/>
                <w:color w:val="auto"/>
                <w:sz w:val="21"/>
                <w:szCs w:val="21"/>
                <w:highlight w:val="none"/>
              </w:rPr>
            </w:pPr>
          </w:p>
        </w:tc>
        <w:tc>
          <w:tcPr>
            <w:tcW w:w="993" w:type="dxa"/>
            <w:vAlign w:val="center"/>
          </w:tcPr>
          <w:p>
            <w:pPr>
              <w:spacing w:before="151" w:line="345" w:lineRule="exact"/>
              <w:jc w:val="center"/>
              <w:rPr>
                <w:rFonts w:ascii="仿宋" w:hAnsi="仿宋" w:cs="仿宋"/>
                <w:color w:val="auto"/>
                <w:position w:val="9"/>
                <w:sz w:val="21"/>
                <w:szCs w:val="21"/>
                <w:highlight w:val="none"/>
              </w:rPr>
            </w:pPr>
            <w:r>
              <w:rPr>
                <w:rFonts w:hint="eastAsia" w:ascii="仿宋" w:hAnsi="仿宋" w:cs="仿宋"/>
                <w:color w:val="auto"/>
                <w:position w:val="9"/>
                <w:sz w:val="21"/>
                <w:szCs w:val="21"/>
                <w:highlight w:val="none"/>
              </w:rPr>
              <w:t>系统</w:t>
            </w:r>
            <w:r>
              <w:rPr>
                <w:rFonts w:ascii="仿宋" w:hAnsi="仿宋" w:cs="仿宋"/>
                <w:color w:val="auto"/>
                <w:position w:val="9"/>
                <w:sz w:val="21"/>
                <w:szCs w:val="21"/>
                <w:highlight w:val="none"/>
              </w:rPr>
              <w:t>方案</w:t>
            </w:r>
          </w:p>
        </w:tc>
        <w:tc>
          <w:tcPr>
            <w:tcW w:w="708" w:type="dxa"/>
            <w:vAlign w:val="center"/>
          </w:tcPr>
          <w:p>
            <w:pPr>
              <w:spacing w:before="1" w:line="204" w:lineRule="auto"/>
              <w:jc w:val="center"/>
              <w:rPr>
                <w:rFonts w:ascii="仿宋" w:hAnsi="仿宋" w:cs="Arial"/>
                <w:color w:val="auto"/>
                <w:sz w:val="21"/>
                <w:szCs w:val="21"/>
                <w:highlight w:val="none"/>
              </w:rPr>
            </w:pPr>
            <w:r>
              <w:rPr>
                <w:rFonts w:hint="eastAsia" w:ascii="仿宋" w:hAnsi="仿宋" w:cs="Arial"/>
                <w:color w:val="auto"/>
                <w:sz w:val="21"/>
                <w:szCs w:val="21"/>
                <w:highlight w:val="none"/>
              </w:rPr>
              <w:t>9分</w:t>
            </w:r>
          </w:p>
        </w:tc>
        <w:tc>
          <w:tcPr>
            <w:tcW w:w="4678" w:type="dxa"/>
          </w:tcPr>
          <w:p>
            <w:pPr>
              <w:spacing w:before="121" w:line="316" w:lineRule="auto"/>
              <w:ind w:right="105"/>
              <w:jc w:val="both"/>
              <w:rPr>
                <w:rFonts w:ascii="仿宋" w:hAnsi="仿宋" w:cs="仿宋"/>
                <w:color w:val="auto"/>
                <w:spacing w:val="-7"/>
                <w:sz w:val="21"/>
                <w:szCs w:val="21"/>
                <w:highlight w:val="none"/>
              </w:rPr>
            </w:pPr>
            <w:r>
              <w:rPr>
                <w:rFonts w:ascii="仿宋" w:hAnsi="仿宋" w:cs="仿宋"/>
                <w:color w:val="auto"/>
                <w:spacing w:val="-7"/>
                <w:sz w:val="21"/>
                <w:szCs w:val="21"/>
                <w:highlight w:val="none"/>
              </w:rPr>
              <w:t>对</w:t>
            </w:r>
            <w:r>
              <w:rPr>
                <w:rFonts w:hint="eastAsia" w:ascii="仿宋" w:hAnsi="仿宋" w:cs="仿宋"/>
                <w:color w:val="auto"/>
                <w:spacing w:val="-7"/>
                <w:sz w:val="21"/>
                <w:szCs w:val="21"/>
                <w:highlight w:val="none"/>
              </w:rPr>
              <w:t>①</w:t>
            </w:r>
            <w:r>
              <w:rPr>
                <w:rFonts w:ascii="仿宋" w:hAnsi="仿宋" w:cs="仿宋"/>
                <w:color w:val="auto"/>
                <w:spacing w:val="-7"/>
                <w:sz w:val="21"/>
                <w:szCs w:val="21"/>
                <w:highlight w:val="none"/>
              </w:rPr>
              <w:t>现场控制（手动和自动）、</w:t>
            </w:r>
            <w:r>
              <w:rPr>
                <w:rFonts w:hint="eastAsia" w:ascii="仿宋" w:hAnsi="仿宋" w:cs="仿宋"/>
                <w:color w:val="auto"/>
                <w:spacing w:val="-7"/>
                <w:sz w:val="21"/>
                <w:szCs w:val="21"/>
                <w:highlight w:val="none"/>
              </w:rPr>
              <w:t>②</w:t>
            </w:r>
            <w:r>
              <w:rPr>
                <w:rFonts w:ascii="仿宋" w:hAnsi="仿宋" w:cs="仿宋"/>
                <w:color w:val="auto"/>
                <w:spacing w:val="-7"/>
                <w:sz w:val="21"/>
                <w:szCs w:val="21"/>
                <w:highlight w:val="none"/>
              </w:rPr>
              <w:t>远程控制操作（界面、方法及监控）等内容进行阐述，</w:t>
            </w:r>
            <w:r>
              <w:rPr>
                <w:rFonts w:hint="eastAsia" w:ascii="仿宋" w:hAnsi="仿宋" w:cs="仿宋"/>
                <w:color w:val="auto"/>
                <w:spacing w:val="-7"/>
                <w:sz w:val="21"/>
                <w:szCs w:val="21"/>
                <w:highlight w:val="none"/>
              </w:rPr>
              <w:t>内容完整、逻辑严谨、符合项目及当地实际情况的得9分；每缺少一个部分扣4.5分，9分扣完为止；内容描述存在不完整、前后矛盾、不符合项目及当地实际情况中任何一种情形或其他不足之处的，每有一处扣1分，每项最多扣4.5分，9分扣完为止。</w:t>
            </w:r>
          </w:p>
          <w:p>
            <w:pPr>
              <w:spacing w:before="121" w:line="316" w:lineRule="auto"/>
              <w:ind w:right="105"/>
              <w:jc w:val="both"/>
              <w:rPr>
                <w:rFonts w:ascii="仿宋" w:hAnsi="仿宋" w:cs="Arial"/>
                <w:color w:val="auto"/>
                <w:sz w:val="21"/>
                <w:szCs w:val="21"/>
                <w:highlight w:val="none"/>
              </w:rPr>
            </w:pPr>
            <w:r>
              <w:rPr>
                <w:rFonts w:hint="eastAsia" w:ascii="仿宋" w:hAnsi="仿宋" w:cs="仿宋"/>
                <w:color w:val="auto"/>
                <w:spacing w:val="-7"/>
                <w:sz w:val="21"/>
                <w:szCs w:val="21"/>
                <w:highlight w:val="none"/>
              </w:rPr>
              <w:t>（注：其他不足之处是指内容套用或错用、凭空编造、科学原理错误以及不可能实现的夸大情形等。）</w:t>
            </w:r>
          </w:p>
        </w:tc>
        <w:tc>
          <w:tcPr>
            <w:tcW w:w="1134" w:type="dxa"/>
            <w:vAlign w:val="center"/>
          </w:tcPr>
          <w:p>
            <w:pPr>
              <w:spacing w:line="240" w:lineRule="auto"/>
              <w:jc w:val="center"/>
              <w:rPr>
                <w:rFonts w:ascii="仿宋" w:hAnsi="仿宋" w:cs="Arial"/>
                <w:color w:val="auto"/>
                <w:sz w:val="21"/>
                <w:szCs w:val="21"/>
                <w:highlight w:val="none"/>
              </w:rPr>
            </w:pPr>
            <w:r>
              <w:rPr>
                <w:rFonts w:hint="eastAsia" w:ascii="仿宋" w:hAnsi="仿宋" w:cs="Arial"/>
                <w:color w:val="auto"/>
                <w:sz w:val="21"/>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spacing w:line="240" w:lineRule="auto"/>
              <w:jc w:val="center"/>
              <w:rPr>
                <w:rFonts w:ascii="仿宋" w:hAnsi="仿宋" w:cs="Arial"/>
                <w:color w:val="auto"/>
                <w:sz w:val="21"/>
                <w:szCs w:val="21"/>
                <w:highlight w:val="none"/>
              </w:rPr>
            </w:pPr>
          </w:p>
        </w:tc>
        <w:tc>
          <w:tcPr>
            <w:tcW w:w="1275" w:type="dxa"/>
            <w:vMerge w:val="continue"/>
            <w:vAlign w:val="center"/>
          </w:tcPr>
          <w:p>
            <w:pPr>
              <w:spacing w:line="240" w:lineRule="auto"/>
              <w:jc w:val="center"/>
              <w:rPr>
                <w:rFonts w:ascii="仿宋" w:hAnsi="仿宋" w:cs="Arial"/>
                <w:color w:val="auto"/>
                <w:sz w:val="21"/>
                <w:szCs w:val="21"/>
                <w:highlight w:val="none"/>
              </w:rPr>
            </w:pPr>
          </w:p>
        </w:tc>
        <w:tc>
          <w:tcPr>
            <w:tcW w:w="993" w:type="dxa"/>
            <w:vAlign w:val="center"/>
          </w:tcPr>
          <w:p>
            <w:pPr>
              <w:spacing w:before="67" w:line="343" w:lineRule="exact"/>
              <w:jc w:val="center"/>
              <w:rPr>
                <w:rFonts w:ascii="仿宋" w:hAnsi="仿宋" w:cs="仿宋"/>
                <w:color w:val="auto"/>
                <w:position w:val="9"/>
                <w:sz w:val="21"/>
                <w:szCs w:val="21"/>
                <w:highlight w:val="none"/>
              </w:rPr>
            </w:pPr>
            <w:r>
              <w:rPr>
                <w:rFonts w:hint="eastAsia" w:ascii="仿宋" w:hAnsi="仿宋" w:cs="仿宋"/>
                <w:color w:val="auto"/>
                <w:position w:val="9"/>
                <w:sz w:val="21"/>
                <w:szCs w:val="21"/>
                <w:highlight w:val="none"/>
              </w:rPr>
              <w:t>运行成本方案</w:t>
            </w:r>
          </w:p>
        </w:tc>
        <w:tc>
          <w:tcPr>
            <w:tcW w:w="708" w:type="dxa"/>
            <w:vAlign w:val="center"/>
          </w:tcPr>
          <w:p>
            <w:pPr>
              <w:spacing w:before="147" w:line="309" w:lineRule="exact"/>
              <w:jc w:val="center"/>
              <w:rPr>
                <w:rFonts w:ascii="仿宋" w:hAnsi="仿宋" w:cs="Arial"/>
                <w:color w:val="auto"/>
                <w:sz w:val="21"/>
                <w:szCs w:val="21"/>
                <w:highlight w:val="none"/>
              </w:rPr>
            </w:pPr>
            <w:r>
              <w:rPr>
                <w:rFonts w:hint="eastAsia" w:ascii="仿宋" w:hAnsi="仿宋" w:cs="仿宋"/>
                <w:color w:val="auto"/>
                <w:position w:val="10"/>
                <w:sz w:val="21"/>
                <w:szCs w:val="21"/>
                <w:highlight w:val="none"/>
              </w:rPr>
              <w:t>8分</w:t>
            </w:r>
          </w:p>
        </w:tc>
        <w:tc>
          <w:tcPr>
            <w:tcW w:w="4678" w:type="dxa"/>
          </w:tcPr>
          <w:p>
            <w:pPr>
              <w:spacing w:before="121" w:line="316" w:lineRule="auto"/>
              <w:ind w:right="105"/>
              <w:jc w:val="both"/>
              <w:rPr>
                <w:rFonts w:ascii="仿宋" w:hAnsi="仿宋" w:cs="仿宋"/>
                <w:color w:val="auto"/>
                <w:spacing w:val="-7"/>
                <w:sz w:val="21"/>
                <w:szCs w:val="21"/>
                <w:highlight w:val="none"/>
              </w:rPr>
            </w:pPr>
            <w:r>
              <w:rPr>
                <w:rFonts w:ascii="仿宋" w:hAnsi="仿宋" w:cs="仿宋"/>
                <w:color w:val="auto"/>
                <w:spacing w:val="-6"/>
                <w:sz w:val="21"/>
                <w:szCs w:val="21"/>
                <w:highlight w:val="none"/>
              </w:rPr>
              <w:t>投标人根据本项目的情况，从后期运营的</w:t>
            </w:r>
            <w:r>
              <w:rPr>
                <w:rFonts w:hint="eastAsia" w:ascii="仿宋" w:hAnsi="仿宋" w:cs="仿宋"/>
                <w:color w:val="auto"/>
                <w:spacing w:val="-6"/>
                <w:sz w:val="21"/>
                <w:szCs w:val="21"/>
                <w:highlight w:val="none"/>
              </w:rPr>
              <w:t>①人员</w:t>
            </w:r>
            <w:r>
              <w:rPr>
                <w:rFonts w:ascii="仿宋" w:hAnsi="仿宋" w:cs="仿宋"/>
                <w:color w:val="auto"/>
                <w:spacing w:val="-6"/>
                <w:sz w:val="21"/>
                <w:szCs w:val="21"/>
                <w:highlight w:val="none"/>
              </w:rPr>
              <w:t>、</w:t>
            </w:r>
            <w:r>
              <w:rPr>
                <w:rFonts w:hint="eastAsia" w:ascii="仿宋" w:hAnsi="仿宋" w:cs="仿宋"/>
                <w:color w:val="auto"/>
                <w:spacing w:val="-6"/>
                <w:sz w:val="21"/>
                <w:szCs w:val="21"/>
                <w:highlight w:val="none"/>
              </w:rPr>
              <w:t>②</w:t>
            </w:r>
            <w:r>
              <w:rPr>
                <w:rFonts w:ascii="仿宋" w:hAnsi="仿宋" w:cs="仿宋"/>
                <w:color w:val="auto"/>
                <w:spacing w:val="-6"/>
                <w:sz w:val="21"/>
                <w:szCs w:val="21"/>
                <w:highlight w:val="none"/>
              </w:rPr>
              <w:t>用电、③药剂、④维护等方面进行阐述，</w:t>
            </w:r>
            <w:r>
              <w:rPr>
                <w:rFonts w:hint="eastAsia" w:ascii="仿宋" w:hAnsi="仿宋" w:cs="仿宋"/>
                <w:color w:val="auto"/>
                <w:spacing w:val="-7"/>
                <w:sz w:val="21"/>
                <w:szCs w:val="21"/>
                <w:highlight w:val="none"/>
              </w:rPr>
              <w:t>内容完整、逻辑严谨、符合项目及当地实际情况的得8分；每缺少一个部分扣2分，8分扣完为止；内容描述存在不完整、前后矛盾、不符合项目及当地实际情况中任何一种情形或其他不足之处的，每有一处扣1分，每项最多扣2分，8分扣完为止。</w:t>
            </w:r>
          </w:p>
          <w:p>
            <w:pPr>
              <w:spacing w:before="223" w:line="316" w:lineRule="auto"/>
              <w:ind w:right="185"/>
              <w:jc w:val="both"/>
              <w:rPr>
                <w:rFonts w:ascii="仿宋" w:hAnsi="仿宋" w:cs="Arial"/>
                <w:color w:val="auto"/>
                <w:sz w:val="21"/>
                <w:szCs w:val="21"/>
                <w:highlight w:val="none"/>
              </w:rPr>
            </w:pPr>
            <w:r>
              <w:rPr>
                <w:rFonts w:hint="eastAsia" w:ascii="仿宋" w:hAnsi="仿宋" w:cs="仿宋"/>
                <w:color w:val="auto"/>
                <w:spacing w:val="-7"/>
                <w:sz w:val="21"/>
                <w:szCs w:val="21"/>
                <w:highlight w:val="none"/>
              </w:rPr>
              <w:t>（注：其他不足之处是指内容套用或错用、凭空编造、科学原理错误以及不可能实现的夸大情形等。）</w:t>
            </w:r>
          </w:p>
        </w:tc>
        <w:tc>
          <w:tcPr>
            <w:tcW w:w="1134" w:type="dxa"/>
            <w:vAlign w:val="center"/>
          </w:tcPr>
          <w:p>
            <w:pPr>
              <w:spacing w:line="240" w:lineRule="auto"/>
              <w:jc w:val="center"/>
              <w:rPr>
                <w:rFonts w:ascii="仿宋" w:hAnsi="仿宋" w:cs="Arial"/>
                <w:color w:val="auto"/>
                <w:sz w:val="21"/>
                <w:szCs w:val="21"/>
                <w:highlight w:val="none"/>
              </w:rPr>
            </w:pPr>
            <w:r>
              <w:rPr>
                <w:rFonts w:hint="eastAsia" w:ascii="仿宋" w:hAnsi="仿宋" w:cs="Arial"/>
                <w:color w:val="auto"/>
                <w:sz w:val="21"/>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spacing w:line="240" w:lineRule="auto"/>
              <w:jc w:val="center"/>
              <w:rPr>
                <w:rFonts w:ascii="仿宋" w:hAnsi="仿宋" w:cs="Arial"/>
                <w:color w:val="auto"/>
                <w:sz w:val="21"/>
                <w:szCs w:val="21"/>
                <w:highlight w:val="none"/>
              </w:rPr>
            </w:pPr>
          </w:p>
        </w:tc>
        <w:tc>
          <w:tcPr>
            <w:tcW w:w="1275" w:type="dxa"/>
            <w:vMerge w:val="continue"/>
            <w:vAlign w:val="center"/>
          </w:tcPr>
          <w:p>
            <w:pPr>
              <w:spacing w:line="240" w:lineRule="auto"/>
              <w:jc w:val="center"/>
              <w:rPr>
                <w:rFonts w:ascii="仿宋" w:hAnsi="仿宋" w:cs="Arial"/>
                <w:color w:val="auto"/>
                <w:sz w:val="21"/>
                <w:szCs w:val="21"/>
                <w:highlight w:val="none"/>
              </w:rPr>
            </w:pPr>
          </w:p>
        </w:tc>
        <w:tc>
          <w:tcPr>
            <w:tcW w:w="993" w:type="dxa"/>
            <w:vAlign w:val="center"/>
          </w:tcPr>
          <w:p>
            <w:pPr>
              <w:spacing w:before="68" w:line="204" w:lineRule="auto"/>
              <w:jc w:val="center"/>
              <w:rPr>
                <w:rFonts w:ascii="仿宋" w:hAnsi="仿宋" w:cs="仿宋"/>
                <w:color w:val="auto"/>
                <w:sz w:val="21"/>
                <w:szCs w:val="21"/>
                <w:highlight w:val="none"/>
              </w:rPr>
            </w:pPr>
            <w:r>
              <w:rPr>
                <w:rFonts w:ascii="仿宋" w:hAnsi="仿宋" w:cs="仿宋"/>
                <w:color w:val="auto"/>
                <w:sz w:val="21"/>
                <w:szCs w:val="21"/>
                <w:highlight w:val="none"/>
              </w:rPr>
              <w:t>售后服务方案</w:t>
            </w:r>
          </w:p>
        </w:tc>
        <w:tc>
          <w:tcPr>
            <w:tcW w:w="708" w:type="dxa"/>
            <w:vAlign w:val="center"/>
          </w:tcPr>
          <w:p>
            <w:pPr>
              <w:spacing w:before="147" w:line="204" w:lineRule="auto"/>
              <w:jc w:val="center"/>
              <w:rPr>
                <w:rFonts w:ascii="仿宋" w:hAnsi="仿宋" w:cs="Arial"/>
                <w:color w:val="auto"/>
                <w:sz w:val="21"/>
                <w:szCs w:val="21"/>
                <w:highlight w:val="none"/>
              </w:rPr>
            </w:pPr>
            <w:r>
              <w:rPr>
                <w:rFonts w:ascii="仿宋" w:hAnsi="仿宋" w:cs="仿宋"/>
                <w:color w:val="auto"/>
                <w:sz w:val="21"/>
                <w:szCs w:val="21"/>
                <w:highlight w:val="none"/>
              </w:rPr>
              <w:t>6分</w:t>
            </w:r>
          </w:p>
        </w:tc>
        <w:tc>
          <w:tcPr>
            <w:tcW w:w="4678" w:type="dxa"/>
          </w:tcPr>
          <w:p>
            <w:pPr>
              <w:spacing w:before="121" w:line="316" w:lineRule="auto"/>
              <w:ind w:right="105"/>
              <w:jc w:val="both"/>
              <w:rPr>
                <w:rFonts w:ascii="仿宋" w:hAnsi="仿宋" w:cs="仿宋"/>
                <w:color w:val="auto"/>
                <w:spacing w:val="-7"/>
                <w:sz w:val="21"/>
                <w:szCs w:val="21"/>
                <w:highlight w:val="none"/>
              </w:rPr>
            </w:pPr>
            <w:r>
              <w:rPr>
                <w:rFonts w:ascii="仿宋" w:hAnsi="仿宋" w:cs="仿宋"/>
                <w:color w:val="auto"/>
                <w:spacing w:val="-6"/>
                <w:sz w:val="21"/>
                <w:szCs w:val="21"/>
                <w:highlight w:val="none"/>
              </w:rPr>
              <w:t>售后服务方案中有</w:t>
            </w:r>
            <w:r>
              <w:rPr>
                <w:rFonts w:hint="eastAsia" w:ascii="仿宋" w:hAnsi="仿宋" w:cs="仿宋"/>
                <w:color w:val="auto"/>
                <w:spacing w:val="-6"/>
                <w:sz w:val="21"/>
                <w:szCs w:val="21"/>
                <w:highlight w:val="none"/>
              </w:rPr>
              <w:t>①</w:t>
            </w:r>
            <w:r>
              <w:rPr>
                <w:rFonts w:ascii="仿宋" w:hAnsi="仿宋" w:cs="仿宋"/>
                <w:color w:val="auto"/>
                <w:spacing w:val="-6"/>
                <w:sz w:val="21"/>
                <w:szCs w:val="21"/>
                <w:highlight w:val="none"/>
              </w:rPr>
              <w:t>售后服务制度</w:t>
            </w:r>
            <w:r>
              <w:rPr>
                <w:rFonts w:ascii="仿宋" w:hAnsi="仿宋" w:cs="仿宋"/>
                <w:color w:val="auto"/>
                <w:spacing w:val="-52"/>
                <w:sz w:val="21"/>
                <w:szCs w:val="21"/>
                <w:highlight w:val="none"/>
              </w:rPr>
              <w:t xml:space="preserve"> </w:t>
            </w:r>
            <w:r>
              <w:rPr>
                <w:rFonts w:ascii="仿宋" w:hAnsi="仿宋" w:cs="仿宋"/>
                <w:color w:val="auto"/>
                <w:spacing w:val="-6"/>
                <w:sz w:val="21"/>
                <w:szCs w:val="21"/>
                <w:highlight w:val="none"/>
              </w:rPr>
              <w:t>、</w:t>
            </w:r>
            <w:r>
              <w:rPr>
                <w:rFonts w:ascii="仿宋" w:hAnsi="仿宋" w:cs="仿宋"/>
                <w:color w:val="auto"/>
                <w:spacing w:val="-80"/>
                <w:sz w:val="21"/>
                <w:szCs w:val="21"/>
                <w:highlight w:val="none"/>
              </w:rPr>
              <w:t xml:space="preserve"> </w:t>
            </w:r>
            <w:r>
              <w:rPr>
                <w:rFonts w:hint="eastAsia" w:ascii="仿宋" w:hAnsi="仿宋" w:cs="仿宋"/>
                <w:color w:val="auto"/>
                <w:spacing w:val="-6"/>
                <w:sz w:val="21"/>
                <w:szCs w:val="21"/>
                <w:highlight w:val="none"/>
              </w:rPr>
              <w:t>②</w:t>
            </w:r>
            <w:r>
              <w:rPr>
                <w:rFonts w:ascii="仿宋" w:hAnsi="仿宋" w:cs="仿宋"/>
                <w:color w:val="auto"/>
                <w:spacing w:val="-6"/>
                <w:sz w:val="21"/>
                <w:szCs w:val="21"/>
                <w:highlight w:val="none"/>
              </w:rPr>
              <w:t>售后服务人员配置</w:t>
            </w:r>
            <w:r>
              <w:rPr>
                <w:rFonts w:ascii="仿宋" w:hAnsi="仿宋" w:cs="仿宋"/>
                <w:color w:val="auto"/>
                <w:spacing w:val="-75"/>
                <w:sz w:val="21"/>
                <w:szCs w:val="21"/>
                <w:highlight w:val="none"/>
              </w:rPr>
              <w:t xml:space="preserve"> </w:t>
            </w:r>
            <w:r>
              <w:rPr>
                <w:rFonts w:ascii="仿宋" w:hAnsi="仿宋" w:cs="仿宋"/>
                <w:color w:val="auto"/>
                <w:spacing w:val="-3"/>
                <w:sz w:val="21"/>
                <w:szCs w:val="21"/>
                <w:highlight w:val="none"/>
              </w:rPr>
              <w:t>及培训、</w:t>
            </w:r>
            <w:r>
              <w:rPr>
                <w:rFonts w:ascii="仿宋" w:hAnsi="仿宋" w:cs="仿宋"/>
                <w:color w:val="auto"/>
                <w:spacing w:val="-78"/>
                <w:sz w:val="21"/>
                <w:szCs w:val="21"/>
                <w:highlight w:val="none"/>
              </w:rPr>
              <w:t xml:space="preserve"> </w:t>
            </w:r>
            <w:r>
              <w:rPr>
                <w:rFonts w:ascii="仿宋" w:hAnsi="仿宋" w:cs="仿宋"/>
                <w:color w:val="auto"/>
                <w:spacing w:val="-6"/>
                <w:sz w:val="21"/>
                <w:szCs w:val="21"/>
                <w:highlight w:val="none"/>
              </w:rPr>
              <w:t>③</w:t>
            </w:r>
            <w:r>
              <w:rPr>
                <w:rFonts w:hint="eastAsia" w:ascii="仿宋" w:hAnsi="仿宋" w:cs="仿宋"/>
                <w:color w:val="auto"/>
                <w:spacing w:val="-6"/>
                <w:sz w:val="21"/>
                <w:szCs w:val="21"/>
                <w:highlight w:val="none"/>
              </w:rPr>
              <w:t>突发应急方案</w:t>
            </w:r>
            <w:r>
              <w:rPr>
                <w:rFonts w:ascii="仿宋" w:hAnsi="仿宋" w:cs="仿宋"/>
                <w:color w:val="auto"/>
                <w:spacing w:val="-3"/>
                <w:sz w:val="21"/>
                <w:szCs w:val="21"/>
                <w:highlight w:val="none"/>
              </w:rPr>
              <w:t>等方面进行阐述</w:t>
            </w:r>
            <w:r>
              <w:rPr>
                <w:rFonts w:ascii="仿宋" w:hAnsi="仿宋" w:cs="仿宋"/>
                <w:color w:val="auto"/>
                <w:spacing w:val="-70"/>
                <w:sz w:val="21"/>
                <w:szCs w:val="21"/>
                <w:highlight w:val="none"/>
              </w:rPr>
              <w:t xml:space="preserve"> </w:t>
            </w:r>
            <w:r>
              <w:rPr>
                <w:rFonts w:ascii="仿宋" w:hAnsi="仿宋" w:cs="仿宋"/>
                <w:color w:val="auto"/>
                <w:spacing w:val="-3"/>
                <w:sz w:val="21"/>
                <w:szCs w:val="21"/>
                <w:highlight w:val="none"/>
              </w:rPr>
              <w:t>，</w:t>
            </w:r>
            <w:r>
              <w:rPr>
                <w:rFonts w:ascii="仿宋" w:hAnsi="仿宋" w:cs="仿宋"/>
                <w:color w:val="auto"/>
                <w:spacing w:val="-85"/>
                <w:sz w:val="21"/>
                <w:szCs w:val="21"/>
                <w:highlight w:val="none"/>
              </w:rPr>
              <w:t xml:space="preserve"> </w:t>
            </w:r>
            <w:r>
              <w:rPr>
                <w:rFonts w:hint="eastAsia" w:ascii="仿宋" w:hAnsi="仿宋" w:cs="仿宋"/>
                <w:color w:val="auto"/>
                <w:spacing w:val="-7"/>
                <w:sz w:val="21"/>
                <w:szCs w:val="21"/>
                <w:highlight w:val="none"/>
              </w:rPr>
              <w:t>内容完整、逻辑严谨、符合项目及当地实际情况的得6分；每缺少一个部分扣2分，6分扣完为止；内容描述存在不完整、前后矛盾、不符合项目及当地实际情况中任何一种情形或其他不足之处的，每有一处扣1分，每项最多扣2分，6分扣完为止。</w:t>
            </w:r>
          </w:p>
          <w:p>
            <w:pPr>
              <w:spacing w:before="121" w:line="316" w:lineRule="auto"/>
              <w:ind w:right="105"/>
              <w:jc w:val="both"/>
              <w:rPr>
                <w:rFonts w:ascii="仿宋" w:hAnsi="仿宋" w:cs="仿宋"/>
                <w:color w:val="auto"/>
                <w:spacing w:val="-7"/>
                <w:sz w:val="21"/>
                <w:szCs w:val="21"/>
                <w:highlight w:val="none"/>
              </w:rPr>
            </w:pPr>
            <w:r>
              <w:rPr>
                <w:rFonts w:hint="eastAsia" w:ascii="仿宋" w:hAnsi="仿宋" w:cs="仿宋"/>
                <w:color w:val="auto"/>
                <w:spacing w:val="-7"/>
                <w:sz w:val="21"/>
                <w:szCs w:val="21"/>
                <w:highlight w:val="none"/>
              </w:rPr>
              <w:t>（注：其他不足之处是指内容套用或错用、凭空编造、科学原理错误以及不可能实现的夸大情形等。）</w:t>
            </w:r>
          </w:p>
        </w:tc>
        <w:tc>
          <w:tcPr>
            <w:tcW w:w="1134" w:type="dxa"/>
            <w:vAlign w:val="center"/>
          </w:tcPr>
          <w:p>
            <w:pPr>
              <w:spacing w:line="240" w:lineRule="auto"/>
              <w:jc w:val="center"/>
              <w:rPr>
                <w:rFonts w:ascii="仿宋" w:hAnsi="仿宋" w:cs="Arial"/>
                <w:color w:val="auto"/>
                <w:sz w:val="21"/>
                <w:szCs w:val="21"/>
                <w:highlight w:val="none"/>
              </w:rPr>
            </w:pPr>
            <w:r>
              <w:rPr>
                <w:rFonts w:hint="eastAsia" w:ascii="仿宋" w:hAnsi="仿宋" w:cs="Arial"/>
                <w:color w:val="auto"/>
                <w:sz w:val="21"/>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534" w:type="dxa"/>
            <w:vAlign w:val="center"/>
          </w:tcPr>
          <w:p>
            <w:pPr>
              <w:spacing w:line="240" w:lineRule="auto"/>
              <w:jc w:val="center"/>
              <w:rPr>
                <w:rFonts w:ascii="仿宋" w:hAnsi="仿宋" w:cs="Arial"/>
                <w:color w:val="auto"/>
                <w:sz w:val="21"/>
                <w:szCs w:val="21"/>
                <w:highlight w:val="none"/>
              </w:rPr>
            </w:pPr>
            <w:r>
              <w:rPr>
                <w:rFonts w:hint="eastAsia" w:ascii="仿宋" w:hAnsi="仿宋" w:cs="Arial"/>
                <w:color w:val="auto"/>
                <w:sz w:val="21"/>
                <w:szCs w:val="21"/>
                <w:highlight w:val="none"/>
              </w:rPr>
              <w:t>4</w:t>
            </w:r>
          </w:p>
        </w:tc>
        <w:tc>
          <w:tcPr>
            <w:tcW w:w="2268" w:type="dxa"/>
            <w:gridSpan w:val="2"/>
            <w:vAlign w:val="center"/>
          </w:tcPr>
          <w:p>
            <w:pPr>
              <w:spacing w:before="233" w:line="292" w:lineRule="exact"/>
              <w:jc w:val="center"/>
              <w:rPr>
                <w:rFonts w:ascii="仿宋" w:hAnsi="仿宋" w:cs="仿宋"/>
                <w:color w:val="auto"/>
                <w:position w:val="5"/>
                <w:sz w:val="21"/>
                <w:szCs w:val="21"/>
                <w:highlight w:val="none"/>
              </w:rPr>
            </w:pPr>
            <w:r>
              <w:rPr>
                <w:rFonts w:hint="eastAsia" w:ascii="仿宋" w:hAnsi="仿宋" w:cs="仿宋"/>
                <w:color w:val="auto"/>
                <w:spacing w:val="-10"/>
                <w:position w:val="5"/>
                <w:sz w:val="21"/>
                <w:szCs w:val="21"/>
                <w:highlight w:val="none"/>
              </w:rPr>
              <w:t>履约能力 9%</w:t>
            </w:r>
          </w:p>
        </w:tc>
        <w:tc>
          <w:tcPr>
            <w:tcW w:w="708" w:type="dxa"/>
            <w:vAlign w:val="center"/>
          </w:tcPr>
          <w:p>
            <w:pPr>
              <w:spacing w:before="1" w:line="204" w:lineRule="auto"/>
              <w:jc w:val="center"/>
              <w:rPr>
                <w:rFonts w:ascii="仿宋" w:hAnsi="仿宋" w:cs="Arial"/>
                <w:color w:val="auto"/>
                <w:sz w:val="21"/>
                <w:szCs w:val="21"/>
                <w:highlight w:val="none"/>
              </w:rPr>
            </w:pPr>
            <w:r>
              <w:rPr>
                <w:rFonts w:hint="eastAsia" w:ascii="仿宋" w:hAnsi="仿宋" w:cs="仿宋"/>
                <w:color w:val="auto"/>
                <w:sz w:val="21"/>
                <w:szCs w:val="21"/>
                <w:highlight w:val="none"/>
              </w:rPr>
              <w:t>9</w:t>
            </w:r>
            <w:r>
              <w:rPr>
                <w:rFonts w:ascii="仿宋" w:hAnsi="仿宋" w:cs="仿宋"/>
                <w:color w:val="auto"/>
                <w:sz w:val="21"/>
                <w:szCs w:val="21"/>
                <w:highlight w:val="none"/>
              </w:rPr>
              <w:t>分</w:t>
            </w:r>
          </w:p>
        </w:tc>
        <w:tc>
          <w:tcPr>
            <w:tcW w:w="4678" w:type="dxa"/>
          </w:tcPr>
          <w:p>
            <w:pPr>
              <w:spacing w:before="78" w:line="281" w:lineRule="auto"/>
              <w:ind w:right="100"/>
              <w:jc w:val="both"/>
              <w:rPr>
                <w:rFonts w:ascii="仿宋" w:hAnsi="仿宋" w:cs="仿宋"/>
                <w:color w:val="auto"/>
                <w:spacing w:val="-8"/>
                <w:sz w:val="21"/>
                <w:szCs w:val="21"/>
                <w:highlight w:val="none"/>
              </w:rPr>
            </w:pPr>
            <w:r>
              <w:rPr>
                <w:rFonts w:ascii="仿宋" w:hAnsi="仿宋" w:cs="仿宋"/>
                <w:color w:val="auto"/>
                <w:spacing w:val="-10"/>
                <w:w w:val="99"/>
                <w:sz w:val="21"/>
                <w:szCs w:val="21"/>
                <w:highlight w:val="none"/>
              </w:rPr>
              <w:t>投标人自</w:t>
            </w:r>
            <w:r>
              <w:rPr>
                <w:rFonts w:ascii="仿宋" w:hAnsi="仿宋" w:cs="仿宋"/>
                <w:color w:val="auto"/>
                <w:spacing w:val="-39"/>
                <w:sz w:val="21"/>
                <w:szCs w:val="21"/>
                <w:highlight w:val="none"/>
              </w:rPr>
              <w:t xml:space="preserve"> </w:t>
            </w:r>
            <w:r>
              <w:rPr>
                <w:rFonts w:ascii="仿宋" w:hAnsi="仿宋" w:cs="仿宋"/>
                <w:color w:val="auto"/>
                <w:spacing w:val="-10"/>
                <w:w w:val="99"/>
                <w:sz w:val="21"/>
                <w:szCs w:val="21"/>
                <w:highlight w:val="none"/>
              </w:rPr>
              <w:t>201</w:t>
            </w:r>
            <w:r>
              <w:rPr>
                <w:rFonts w:hint="eastAsia" w:ascii="仿宋" w:hAnsi="仿宋" w:cs="仿宋"/>
                <w:color w:val="auto"/>
                <w:spacing w:val="-10"/>
                <w:w w:val="99"/>
                <w:sz w:val="21"/>
                <w:szCs w:val="21"/>
                <w:highlight w:val="none"/>
              </w:rPr>
              <w:t>7</w:t>
            </w:r>
            <w:r>
              <w:rPr>
                <w:rFonts w:ascii="仿宋" w:hAnsi="仿宋" w:cs="仿宋"/>
                <w:color w:val="auto"/>
                <w:spacing w:val="-10"/>
                <w:w w:val="99"/>
                <w:sz w:val="21"/>
                <w:szCs w:val="21"/>
                <w:highlight w:val="none"/>
              </w:rPr>
              <w:t>年</w:t>
            </w:r>
            <w:r>
              <w:rPr>
                <w:rFonts w:ascii="仿宋" w:hAnsi="仿宋" w:cs="仿宋"/>
                <w:color w:val="auto"/>
                <w:spacing w:val="-30"/>
                <w:sz w:val="21"/>
                <w:szCs w:val="21"/>
                <w:highlight w:val="none"/>
              </w:rPr>
              <w:t xml:space="preserve"> </w:t>
            </w:r>
            <w:r>
              <w:rPr>
                <w:rFonts w:ascii="仿宋" w:hAnsi="仿宋" w:cs="仿宋"/>
                <w:color w:val="auto"/>
                <w:spacing w:val="-10"/>
                <w:w w:val="99"/>
                <w:sz w:val="21"/>
                <w:szCs w:val="21"/>
                <w:highlight w:val="none"/>
              </w:rPr>
              <w:t>1</w:t>
            </w:r>
            <w:r>
              <w:rPr>
                <w:rFonts w:ascii="仿宋" w:hAnsi="仿宋" w:cs="仿宋"/>
                <w:color w:val="auto"/>
                <w:spacing w:val="-27"/>
                <w:sz w:val="21"/>
                <w:szCs w:val="21"/>
                <w:highlight w:val="none"/>
              </w:rPr>
              <w:t xml:space="preserve"> </w:t>
            </w:r>
            <w:r>
              <w:rPr>
                <w:rFonts w:ascii="仿宋" w:hAnsi="仿宋" w:cs="仿宋"/>
                <w:color w:val="auto"/>
                <w:spacing w:val="-10"/>
                <w:w w:val="99"/>
                <w:sz w:val="21"/>
                <w:szCs w:val="21"/>
                <w:highlight w:val="none"/>
              </w:rPr>
              <w:t>月</w:t>
            </w:r>
            <w:r>
              <w:rPr>
                <w:rFonts w:ascii="仿宋" w:hAnsi="仿宋" w:cs="仿宋"/>
                <w:color w:val="auto"/>
                <w:spacing w:val="-30"/>
                <w:sz w:val="21"/>
                <w:szCs w:val="21"/>
                <w:highlight w:val="none"/>
              </w:rPr>
              <w:t xml:space="preserve"> </w:t>
            </w:r>
            <w:r>
              <w:rPr>
                <w:rFonts w:ascii="仿宋" w:hAnsi="仿宋" w:cs="仿宋"/>
                <w:color w:val="auto"/>
                <w:spacing w:val="-10"/>
                <w:w w:val="99"/>
                <w:sz w:val="21"/>
                <w:szCs w:val="21"/>
                <w:highlight w:val="none"/>
              </w:rPr>
              <w:t>1日以来（含</w:t>
            </w:r>
            <w:r>
              <w:rPr>
                <w:rFonts w:ascii="仿宋" w:hAnsi="仿宋" w:cs="仿宋"/>
                <w:color w:val="auto"/>
                <w:spacing w:val="-37"/>
                <w:sz w:val="21"/>
                <w:szCs w:val="21"/>
                <w:highlight w:val="none"/>
              </w:rPr>
              <w:t>），</w:t>
            </w:r>
            <w:r>
              <w:rPr>
                <w:rFonts w:ascii="仿宋" w:hAnsi="仿宋" w:cs="仿宋"/>
                <w:color w:val="auto"/>
                <w:spacing w:val="-10"/>
                <w:w w:val="99"/>
                <w:sz w:val="21"/>
                <w:szCs w:val="21"/>
                <w:highlight w:val="none"/>
              </w:rPr>
              <w:t>每具有一个类似项目（</w:t>
            </w:r>
            <w:r>
              <w:rPr>
                <w:rFonts w:hint="eastAsia" w:ascii="仿宋" w:hAnsi="仿宋" w:cs="仿宋"/>
                <w:color w:val="auto"/>
                <w:spacing w:val="-10"/>
                <w:w w:val="99"/>
                <w:sz w:val="21"/>
                <w:szCs w:val="21"/>
                <w:highlight w:val="none"/>
              </w:rPr>
              <w:t>污水处理工程</w:t>
            </w:r>
            <w:r>
              <w:rPr>
                <w:rFonts w:ascii="仿宋" w:hAnsi="仿宋" w:cs="仿宋"/>
                <w:color w:val="auto"/>
                <w:spacing w:val="-8"/>
                <w:sz w:val="21"/>
                <w:szCs w:val="21"/>
                <w:highlight w:val="none"/>
              </w:rPr>
              <w:t>）履约经验得</w:t>
            </w:r>
            <w:r>
              <w:rPr>
                <w:rFonts w:ascii="仿宋" w:hAnsi="仿宋" w:cs="仿宋"/>
                <w:color w:val="auto"/>
                <w:spacing w:val="-24"/>
                <w:sz w:val="21"/>
                <w:szCs w:val="21"/>
                <w:highlight w:val="none"/>
              </w:rPr>
              <w:t xml:space="preserve"> </w:t>
            </w:r>
            <w:r>
              <w:rPr>
                <w:rFonts w:ascii="仿宋" w:hAnsi="仿宋" w:cs="仿宋"/>
                <w:color w:val="auto"/>
                <w:spacing w:val="-8"/>
                <w:sz w:val="21"/>
                <w:szCs w:val="21"/>
                <w:highlight w:val="none"/>
              </w:rPr>
              <w:t>1</w:t>
            </w:r>
            <w:r>
              <w:rPr>
                <w:rFonts w:ascii="仿宋" w:hAnsi="仿宋" w:cs="仿宋"/>
                <w:color w:val="auto"/>
                <w:spacing w:val="-37"/>
                <w:sz w:val="21"/>
                <w:szCs w:val="21"/>
                <w:highlight w:val="none"/>
              </w:rPr>
              <w:t xml:space="preserve"> </w:t>
            </w:r>
            <w:r>
              <w:rPr>
                <w:rFonts w:ascii="仿宋" w:hAnsi="仿宋" w:cs="仿宋"/>
                <w:color w:val="auto"/>
                <w:spacing w:val="-8"/>
                <w:sz w:val="21"/>
                <w:szCs w:val="21"/>
                <w:highlight w:val="none"/>
              </w:rPr>
              <w:t>分</w:t>
            </w:r>
            <w:r>
              <w:rPr>
                <w:rFonts w:ascii="仿宋" w:hAnsi="仿宋" w:cs="仿宋"/>
                <w:color w:val="auto"/>
                <w:spacing w:val="-76"/>
                <w:sz w:val="21"/>
                <w:szCs w:val="21"/>
                <w:highlight w:val="none"/>
              </w:rPr>
              <w:t xml:space="preserve"> </w:t>
            </w:r>
            <w:r>
              <w:rPr>
                <w:rFonts w:ascii="仿宋" w:hAnsi="仿宋" w:cs="仿宋"/>
                <w:color w:val="auto"/>
                <w:spacing w:val="-8"/>
                <w:sz w:val="21"/>
                <w:szCs w:val="21"/>
                <w:highlight w:val="none"/>
              </w:rPr>
              <w:t>，</w:t>
            </w:r>
            <w:r>
              <w:rPr>
                <w:rFonts w:ascii="仿宋" w:hAnsi="仿宋" w:cs="仿宋"/>
                <w:color w:val="auto"/>
                <w:spacing w:val="-84"/>
                <w:sz w:val="21"/>
                <w:szCs w:val="21"/>
                <w:highlight w:val="none"/>
              </w:rPr>
              <w:t xml:space="preserve"> </w:t>
            </w:r>
            <w:r>
              <w:rPr>
                <w:rFonts w:ascii="仿宋" w:hAnsi="仿宋" w:cs="仿宋"/>
                <w:color w:val="auto"/>
                <w:spacing w:val="-8"/>
                <w:sz w:val="21"/>
                <w:szCs w:val="21"/>
                <w:highlight w:val="none"/>
              </w:rPr>
              <w:t>最多得</w:t>
            </w:r>
            <w:r>
              <w:rPr>
                <w:rFonts w:ascii="仿宋" w:hAnsi="仿宋" w:cs="仿宋"/>
                <w:color w:val="auto"/>
                <w:spacing w:val="-43"/>
                <w:sz w:val="21"/>
                <w:szCs w:val="21"/>
                <w:highlight w:val="none"/>
              </w:rPr>
              <w:t xml:space="preserve"> </w:t>
            </w:r>
            <w:r>
              <w:rPr>
                <w:rFonts w:hint="eastAsia" w:ascii="仿宋" w:hAnsi="仿宋" w:cs="仿宋"/>
                <w:color w:val="auto"/>
                <w:spacing w:val="-8"/>
                <w:sz w:val="21"/>
                <w:szCs w:val="21"/>
                <w:highlight w:val="none"/>
              </w:rPr>
              <w:t>9</w:t>
            </w:r>
            <w:r>
              <w:rPr>
                <w:rFonts w:ascii="仿宋" w:hAnsi="仿宋" w:cs="仿宋"/>
                <w:color w:val="auto"/>
                <w:spacing w:val="-8"/>
                <w:sz w:val="21"/>
                <w:szCs w:val="21"/>
                <w:highlight w:val="none"/>
              </w:rPr>
              <w:t>分</w:t>
            </w:r>
            <w:r>
              <w:rPr>
                <w:rFonts w:ascii="仿宋" w:hAnsi="仿宋" w:cs="仿宋"/>
                <w:color w:val="auto"/>
                <w:spacing w:val="-74"/>
                <w:sz w:val="21"/>
                <w:szCs w:val="21"/>
                <w:highlight w:val="none"/>
              </w:rPr>
              <w:t xml:space="preserve"> </w:t>
            </w:r>
            <w:r>
              <w:rPr>
                <w:rFonts w:ascii="仿宋" w:hAnsi="仿宋" w:cs="仿宋"/>
                <w:color w:val="auto"/>
                <w:spacing w:val="-8"/>
                <w:sz w:val="21"/>
                <w:szCs w:val="21"/>
                <w:highlight w:val="none"/>
              </w:rPr>
              <w:t>。</w:t>
            </w:r>
          </w:p>
          <w:p>
            <w:pPr>
              <w:spacing w:before="78" w:line="281" w:lineRule="auto"/>
              <w:ind w:right="100"/>
              <w:jc w:val="both"/>
              <w:rPr>
                <w:rFonts w:ascii="仿宋" w:hAnsi="仿宋" w:cs="Arial"/>
                <w:color w:val="auto"/>
                <w:sz w:val="21"/>
                <w:szCs w:val="21"/>
                <w:highlight w:val="none"/>
              </w:rPr>
            </w:pPr>
            <w:r>
              <w:rPr>
                <w:rFonts w:ascii="仿宋" w:hAnsi="仿宋" w:cs="仿宋"/>
                <w:color w:val="auto"/>
                <w:spacing w:val="-7"/>
                <w:sz w:val="21"/>
                <w:szCs w:val="21"/>
                <w:highlight w:val="none"/>
              </w:rPr>
              <w:t>（注</w:t>
            </w:r>
            <w:r>
              <w:rPr>
                <w:rFonts w:ascii="仿宋" w:hAnsi="仿宋" w:cs="仿宋"/>
                <w:color w:val="auto"/>
                <w:spacing w:val="-63"/>
                <w:sz w:val="21"/>
                <w:szCs w:val="21"/>
                <w:highlight w:val="none"/>
              </w:rPr>
              <w:t xml:space="preserve"> </w:t>
            </w:r>
            <w:r>
              <w:rPr>
                <w:rFonts w:ascii="仿宋" w:hAnsi="仿宋" w:cs="仿宋"/>
                <w:color w:val="auto"/>
                <w:spacing w:val="-7"/>
                <w:sz w:val="21"/>
                <w:szCs w:val="21"/>
                <w:highlight w:val="none"/>
              </w:rPr>
              <w:t>：提供合同</w:t>
            </w:r>
            <w:r>
              <w:rPr>
                <w:rFonts w:hint="eastAsia" w:ascii="仿宋" w:hAnsi="仿宋" w:cs="仿宋"/>
                <w:color w:val="auto"/>
                <w:spacing w:val="-7"/>
                <w:sz w:val="21"/>
                <w:szCs w:val="21"/>
                <w:highlight w:val="none"/>
              </w:rPr>
              <w:t>复印件</w:t>
            </w:r>
            <w:r>
              <w:rPr>
                <w:rFonts w:ascii="仿宋" w:hAnsi="仿宋" w:cs="仿宋"/>
                <w:color w:val="auto"/>
                <w:spacing w:val="-7"/>
                <w:sz w:val="21"/>
                <w:szCs w:val="21"/>
                <w:highlight w:val="none"/>
              </w:rPr>
              <w:t>加盖公章</w:t>
            </w:r>
            <w:r>
              <w:rPr>
                <w:rFonts w:ascii="仿宋" w:hAnsi="仿宋" w:cs="仿宋"/>
                <w:color w:val="auto"/>
                <w:spacing w:val="-72"/>
                <w:sz w:val="21"/>
                <w:szCs w:val="21"/>
                <w:highlight w:val="none"/>
              </w:rPr>
              <w:t xml:space="preserve"> </w:t>
            </w:r>
            <w:r>
              <w:rPr>
                <w:rFonts w:ascii="仿宋" w:hAnsi="仿宋" w:cs="仿宋"/>
                <w:color w:val="auto"/>
                <w:spacing w:val="-7"/>
                <w:sz w:val="21"/>
                <w:szCs w:val="21"/>
                <w:highlight w:val="none"/>
              </w:rPr>
              <w:t>；</w:t>
            </w:r>
            <w:r>
              <w:rPr>
                <w:rFonts w:ascii="仿宋" w:hAnsi="仿宋" w:cs="仿宋"/>
                <w:color w:val="auto"/>
                <w:spacing w:val="-65"/>
                <w:sz w:val="21"/>
                <w:szCs w:val="21"/>
                <w:highlight w:val="none"/>
              </w:rPr>
              <w:t xml:space="preserve"> </w:t>
            </w:r>
            <w:r>
              <w:rPr>
                <w:rFonts w:ascii="仿宋" w:hAnsi="仿宋" w:cs="仿宋"/>
                <w:color w:val="auto"/>
                <w:spacing w:val="-7"/>
                <w:sz w:val="21"/>
                <w:szCs w:val="21"/>
                <w:highlight w:val="none"/>
              </w:rPr>
              <w:t>以合同签订时间为准</w:t>
            </w:r>
            <w:r>
              <w:rPr>
                <w:rFonts w:ascii="仿宋" w:hAnsi="仿宋" w:cs="仿宋"/>
                <w:color w:val="auto"/>
                <w:spacing w:val="-68"/>
                <w:sz w:val="21"/>
                <w:szCs w:val="21"/>
                <w:highlight w:val="none"/>
              </w:rPr>
              <w:t xml:space="preserve"> </w:t>
            </w:r>
            <w:r>
              <w:rPr>
                <w:rFonts w:ascii="仿宋" w:hAnsi="仿宋" w:cs="仿宋"/>
                <w:color w:val="auto"/>
                <w:spacing w:val="-7"/>
                <w:sz w:val="21"/>
                <w:szCs w:val="21"/>
                <w:highlight w:val="none"/>
              </w:rPr>
              <w:t>。）</w:t>
            </w:r>
          </w:p>
        </w:tc>
        <w:tc>
          <w:tcPr>
            <w:tcW w:w="1134" w:type="dxa"/>
            <w:vAlign w:val="center"/>
          </w:tcPr>
          <w:p>
            <w:pPr>
              <w:spacing w:line="240" w:lineRule="auto"/>
              <w:jc w:val="center"/>
              <w:rPr>
                <w:rFonts w:ascii="仿宋" w:hAnsi="仿宋" w:cs="Arial"/>
                <w:color w:val="auto"/>
                <w:sz w:val="21"/>
                <w:szCs w:val="21"/>
                <w:highlight w:val="none"/>
              </w:rPr>
            </w:pPr>
            <w:r>
              <w:rPr>
                <w:rFonts w:hint="eastAsia" w:ascii="仿宋" w:hAnsi="仿宋" w:cs="Arial"/>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before="81" w:line="204" w:lineRule="auto"/>
              <w:ind w:firstLine="157"/>
              <w:jc w:val="center"/>
              <w:rPr>
                <w:rFonts w:ascii="仿宋" w:hAnsi="仿宋" w:cs="Arial"/>
                <w:color w:val="auto"/>
                <w:sz w:val="21"/>
                <w:szCs w:val="21"/>
                <w:highlight w:val="none"/>
              </w:rPr>
            </w:pPr>
            <w:r>
              <w:rPr>
                <w:rFonts w:ascii="仿宋" w:hAnsi="仿宋" w:cs="仿宋"/>
                <w:color w:val="auto"/>
                <w:sz w:val="21"/>
                <w:szCs w:val="21"/>
                <w:highlight w:val="none"/>
              </w:rPr>
              <w:t>5</w:t>
            </w:r>
          </w:p>
        </w:tc>
        <w:tc>
          <w:tcPr>
            <w:tcW w:w="2268" w:type="dxa"/>
            <w:gridSpan w:val="2"/>
            <w:vAlign w:val="center"/>
          </w:tcPr>
          <w:p>
            <w:pPr>
              <w:spacing w:line="240" w:lineRule="auto"/>
              <w:jc w:val="center"/>
              <w:rPr>
                <w:rFonts w:ascii="仿宋" w:hAnsi="仿宋" w:cs="Arial"/>
                <w:color w:val="auto"/>
                <w:sz w:val="21"/>
                <w:szCs w:val="21"/>
                <w:highlight w:val="none"/>
              </w:rPr>
            </w:pPr>
            <w:r>
              <w:rPr>
                <w:rFonts w:hint="eastAsia" w:ascii="仿宋" w:hAnsi="仿宋" w:cs="Arial"/>
                <w:color w:val="auto"/>
                <w:sz w:val="21"/>
                <w:szCs w:val="21"/>
                <w:highlight w:val="none"/>
              </w:rPr>
              <w:t>拟投入本项目的人员配置 4%</w:t>
            </w:r>
          </w:p>
        </w:tc>
        <w:tc>
          <w:tcPr>
            <w:tcW w:w="708" w:type="dxa"/>
            <w:vAlign w:val="center"/>
          </w:tcPr>
          <w:p>
            <w:pPr>
              <w:spacing w:before="1" w:line="204" w:lineRule="auto"/>
              <w:jc w:val="center"/>
              <w:rPr>
                <w:rFonts w:ascii="仿宋" w:hAnsi="仿宋" w:cs="Arial"/>
                <w:color w:val="auto"/>
                <w:sz w:val="21"/>
                <w:szCs w:val="21"/>
                <w:highlight w:val="none"/>
              </w:rPr>
            </w:pPr>
            <w:r>
              <w:rPr>
                <w:rFonts w:hint="eastAsia" w:ascii="仿宋" w:hAnsi="仿宋" w:cs="仿宋"/>
                <w:color w:val="auto"/>
                <w:spacing w:val="-10"/>
                <w:w w:val="98"/>
                <w:sz w:val="21"/>
                <w:szCs w:val="21"/>
                <w:highlight w:val="none"/>
              </w:rPr>
              <w:t>4</w:t>
            </w:r>
            <w:r>
              <w:rPr>
                <w:rFonts w:ascii="仿宋" w:hAnsi="仿宋" w:cs="仿宋"/>
                <w:color w:val="auto"/>
                <w:sz w:val="21"/>
                <w:szCs w:val="21"/>
                <w:highlight w:val="none"/>
              </w:rPr>
              <w:t>分</w:t>
            </w:r>
          </w:p>
        </w:tc>
        <w:tc>
          <w:tcPr>
            <w:tcW w:w="4678" w:type="dxa"/>
          </w:tcPr>
          <w:p>
            <w:pPr>
              <w:spacing w:before="200" w:line="204" w:lineRule="auto"/>
              <w:jc w:val="both"/>
              <w:rPr>
                <w:rFonts w:ascii="仿宋" w:hAnsi="仿宋" w:cs="仿宋"/>
                <w:color w:val="auto"/>
                <w:spacing w:val="-6"/>
                <w:sz w:val="21"/>
                <w:szCs w:val="21"/>
                <w:highlight w:val="none"/>
              </w:rPr>
            </w:pPr>
            <w:r>
              <w:rPr>
                <w:rFonts w:hint="eastAsia" w:ascii="仿宋" w:hAnsi="仿宋" w:cs="仿宋"/>
                <w:color w:val="auto"/>
                <w:spacing w:val="-6"/>
                <w:sz w:val="21"/>
                <w:szCs w:val="21"/>
                <w:highlight w:val="none"/>
              </w:rPr>
              <w:t>项目负责人具有给排水（或环境工程）专业中级工程师职称的得2分，高级工程师及以上职称得4分，最多得4分。</w:t>
            </w:r>
          </w:p>
          <w:p>
            <w:pPr>
              <w:spacing w:before="78" w:line="235" w:lineRule="auto"/>
              <w:ind w:right="105"/>
              <w:jc w:val="both"/>
              <w:rPr>
                <w:rFonts w:ascii="仿宋" w:hAnsi="仿宋" w:cs="Arial"/>
                <w:color w:val="auto"/>
                <w:sz w:val="21"/>
                <w:szCs w:val="21"/>
                <w:highlight w:val="none"/>
              </w:rPr>
            </w:pPr>
            <w:r>
              <w:rPr>
                <w:rFonts w:ascii="仿宋" w:hAnsi="仿宋" w:cs="仿宋"/>
                <w:color w:val="auto"/>
                <w:spacing w:val="-5"/>
                <w:sz w:val="21"/>
                <w:szCs w:val="21"/>
                <w:highlight w:val="none"/>
              </w:rPr>
              <w:t>（注</w:t>
            </w:r>
            <w:r>
              <w:rPr>
                <w:rFonts w:ascii="仿宋" w:hAnsi="仿宋" w:cs="仿宋"/>
                <w:color w:val="auto"/>
                <w:spacing w:val="-62"/>
                <w:sz w:val="21"/>
                <w:szCs w:val="21"/>
                <w:highlight w:val="none"/>
              </w:rPr>
              <w:t xml:space="preserve"> </w:t>
            </w:r>
            <w:r>
              <w:rPr>
                <w:rFonts w:ascii="仿宋" w:hAnsi="仿宋" w:cs="仿宋"/>
                <w:color w:val="auto"/>
                <w:spacing w:val="-5"/>
                <w:sz w:val="21"/>
                <w:szCs w:val="21"/>
                <w:highlight w:val="none"/>
              </w:rPr>
              <w:t>：拟派人员需为</w:t>
            </w:r>
            <w:r>
              <w:rPr>
                <w:rFonts w:hint="eastAsia" w:ascii="仿宋" w:hAnsi="仿宋" w:cs="仿宋"/>
                <w:color w:val="auto"/>
                <w:spacing w:val="-5"/>
                <w:sz w:val="21"/>
                <w:szCs w:val="21"/>
                <w:highlight w:val="none"/>
              </w:rPr>
              <w:t>投标人</w:t>
            </w:r>
            <w:r>
              <w:rPr>
                <w:rFonts w:ascii="仿宋" w:hAnsi="仿宋" w:cs="仿宋"/>
                <w:color w:val="auto"/>
                <w:spacing w:val="-5"/>
                <w:sz w:val="21"/>
                <w:szCs w:val="21"/>
                <w:highlight w:val="none"/>
              </w:rPr>
              <w:t>本公司人员</w:t>
            </w:r>
            <w:r>
              <w:rPr>
                <w:rFonts w:ascii="仿宋" w:hAnsi="仿宋" w:cs="仿宋"/>
                <w:color w:val="auto"/>
                <w:spacing w:val="-71"/>
                <w:sz w:val="21"/>
                <w:szCs w:val="21"/>
                <w:highlight w:val="none"/>
              </w:rPr>
              <w:t xml:space="preserve"> </w:t>
            </w:r>
            <w:r>
              <w:rPr>
                <w:rFonts w:ascii="仿宋" w:hAnsi="仿宋" w:cs="仿宋"/>
                <w:color w:val="auto"/>
                <w:spacing w:val="-5"/>
                <w:sz w:val="21"/>
                <w:szCs w:val="21"/>
                <w:highlight w:val="none"/>
              </w:rPr>
              <w:t>，</w:t>
            </w:r>
            <w:r>
              <w:rPr>
                <w:rFonts w:ascii="仿宋" w:hAnsi="仿宋" w:cs="仿宋"/>
                <w:color w:val="auto"/>
                <w:spacing w:val="-88"/>
                <w:sz w:val="21"/>
                <w:szCs w:val="21"/>
                <w:highlight w:val="none"/>
              </w:rPr>
              <w:t xml:space="preserve"> </w:t>
            </w:r>
            <w:r>
              <w:rPr>
                <w:rFonts w:ascii="仿宋" w:hAnsi="仿宋" w:cs="仿宋"/>
                <w:color w:val="auto"/>
                <w:spacing w:val="-5"/>
                <w:sz w:val="21"/>
                <w:szCs w:val="21"/>
                <w:highlight w:val="none"/>
              </w:rPr>
              <w:t>提供相关证明材料和人员资</w:t>
            </w:r>
            <w:r>
              <w:rPr>
                <w:rFonts w:ascii="仿宋" w:hAnsi="仿宋" w:cs="仿宋"/>
                <w:color w:val="auto"/>
                <w:spacing w:val="-85"/>
                <w:sz w:val="21"/>
                <w:szCs w:val="21"/>
                <w:highlight w:val="none"/>
              </w:rPr>
              <w:t xml:space="preserve"> </w:t>
            </w:r>
            <w:r>
              <w:rPr>
                <w:rFonts w:ascii="仿宋" w:hAnsi="仿宋" w:cs="仿宋"/>
                <w:color w:val="auto"/>
                <w:spacing w:val="-6"/>
                <w:sz w:val="21"/>
                <w:szCs w:val="21"/>
                <w:highlight w:val="none"/>
              </w:rPr>
              <w:t>质相关证明材料</w:t>
            </w:r>
            <w:r>
              <w:rPr>
                <w:rFonts w:ascii="仿宋" w:hAnsi="仿宋" w:cs="仿宋"/>
                <w:color w:val="auto"/>
                <w:spacing w:val="-73"/>
                <w:sz w:val="21"/>
                <w:szCs w:val="21"/>
                <w:highlight w:val="none"/>
              </w:rPr>
              <w:t xml:space="preserve"> </w:t>
            </w:r>
            <w:r>
              <w:rPr>
                <w:rFonts w:ascii="仿宋" w:hAnsi="仿宋" w:cs="仿宋"/>
                <w:color w:val="auto"/>
                <w:spacing w:val="-6"/>
                <w:sz w:val="21"/>
                <w:szCs w:val="21"/>
                <w:highlight w:val="none"/>
              </w:rPr>
              <w:t>。）</w:t>
            </w:r>
          </w:p>
        </w:tc>
        <w:tc>
          <w:tcPr>
            <w:tcW w:w="1134" w:type="dxa"/>
            <w:vAlign w:val="center"/>
          </w:tcPr>
          <w:p>
            <w:pPr>
              <w:spacing w:line="240" w:lineRule="auto"/>
              <w:jc w:val="center"/>
              <w:rPr>
                <w:rFonts w:ascii="仿宋" w:hAnsi="仿宋" w:cs="Arial"/>
                <w:color w:val="auto"/>
                <w:sz w:val="21"/>
                <w:szCs w:val="21"/>
                <w:highlight w:val="none"/>
              </w:rPr>
            </w:pPr>
            <w:r>
              <w:rPr>
                <w:rFonts w:hint="eastAsia" w:ascii="仿宋" w:hAnsi="仿宋" w:cs="Arial"/>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3" w:hRule="atLeast"/>
        </w:trPr>
        <w:tc>
          <w:tcPr>
            <w:tcW w:w="534" w:type="dxa"/>
            <w:vAlign w:val="center"/>
          </w:tcPr>
          <w:p>
            <w:pPr>
              <w:spacing w:before="157" w:line="204" w:lineRule="auto"/>
              <w:ind w:firstLine="155"/>
              <w:jc w:val="center"/>
              <w:rPr>
                <w:rFonts w:ascii="仿宋" w:hAnsi="仿宋" w:cs="仿宋"/>
                <w:color w:val="auto"/>
                <w:sz w:val="21"/>
                <w:szCs w:val="21"/>
                <w:highlight w:val="none"/>
              </w:rPr>
            </w:pPr>
            <w:r>
              <w:rPr>
                <w:rFonts w:ascii="仿宋" w:hAnsi="仿宋" w:cs="仿宋"/>
                <w:color w:val="auto"/>
                <w:sz w:val="21"/>
                <w:szCs w:val="21"/>
                <w:highlight w:val="none"/>
              </w:rPr>
              <w:t>6</w:t>
            </w:r>
          </w:p>
        </w:tc>
        <w:tc>
          <w:tcPr>
            <w:tcW w:w="2268" w:type="dxa"/>
            <w:gridSpan w:val="2"/>
            <w:vAlign w:val="center"/>
          </w:tcPr>
          <w:p>
            <w:pPr>
              <w:spacing w:before="135" w:line="204" w:lineRule="auto"/>
              <w:jc w:val="center"/>
              <w:rPr>
                <w:rFonts w:ascii="仿宋" w:hAnsi="仿宋" w:cs="仿宋"/>
                <w:color w:val="auto"/>
                <w:spacing w:val="-9"/>
                <w:sz w:val="21"/>
                <w:szCs w:val="21"/>
                <w:highlight w:val="none"/>
              </w:rPr>
            </w:pPr>
            <w:r>
              <w:rPr>
                <w:rFonts w:hint="eastAsia" w:ascii="仿宋" w:hAnsi="仿宋" w:cs="仿宋"/>
                <w:color w:val="auto"/>
                <w:spacing w:val="-9"/>
                <w:sz w:val="21"/>
                <w:szCs w:val="21"/>
                <w:highlight w:val="none"/>
              </w:rPr>
              <w:t>节能、环境标志、无线局域网产品 2%</w:t>
            </w:r>
          </w:p>
        </w:tc>
        <w:tc>
          <w:tcPr>
            <w:tcW w:w="708" w:type="dxa"/>
            <w:vAlign w:val="center"/>
          </w:tcPr>
          <w:p>
            <w:pPr>
              <w:spacing w:before="135" w:line="204" w:lineRule="auto"/>
              <w:jc w:val="center"/>
              <w:rPr>
                <w:rFonts w:ascii="仿宋" w:hAnsi="仿宋" w:cs="仿宋"/>
                <w:color w:val="auto"/>
                <w:sz w:val="21"/>
                <w:szCs w:val="21"/>
                <w:highlight w:val="none"/>
              </w:rPr>
            </w:pPr>
            <w:r>
              <w:rPr>
                <w:rFonts w:hint="eastAsia" w:ascii="仿宋" w:hAnsi="仿宋" w:cs="仿宋"/>
                <w:color w:val="auto"/>
                <w:spacing w:val="-9"/>
                <w:sz w:val="21"/>
                <w:szCs w:val="21"/>
                <w:highlight w:val="none"/>
              </w:rPr>
              <w:t>2分</w:t>
            </w:r>
          </w:p>
        </w:tc>
        <w:tc>
          <w:tcPr>
            <w:tcW w:w="4678" w:type="dxa"/>
          </w:tcPr>
          <w:p>
            <w:pPr>
              <w:spacing w:before="135" w:line="204" w:lineRule="auto"/>
              <w:jc w:val="both"/>
              <w:rPr>
                <w:rFonts w:ascii="仿宋" w:hAnsi="仿宋" w:cs="仿宋"/>
                <w:color w:val="auto"/>
                <w:spacing w:val="-9"/>
                <w:sz w:val="21"/>
                <w:szCs w:val="21"/>
                <w:highlight w:val="none"/>
              </w:rPr>
            </w:pPr>
            <w:r>
              <w:rPr>
                <w:rFonts w:hint="eastAsia" w:ascii="仿宋" w:hAnsi="仿宋" w:cs="仿宋"/>
                <w:color w:val="auto"/>
                <w:spacing w:val="-9"/>
                <w:sz w:val="21"/>
                <w:szCs w:val="21"/>
                <w:highlight w:val="none"/>
              </w:rPr>
              <w:t>投标产品中属于政府采购优先采购范围的，则每有一项节能产品或环境标志产品或无线局域网产品的得0.5分，非节能、环境标志产品的、无线局域网产品的不得分。本项最多得2分。</w:t>
            </w:r>
          </w:p>
          <w:p>
            <w:pPr>
              <w:spacing w:before="135" w:line="204" w:lineRule="auto"/>
              <w:jc w:val="both"/>
              <w:rPr>
                <w:rFonts w:ascii="仿宋" w:hAnsi="仿宋" w:cs="仿宋"/>
                <w:color w:val="auto"/>
                <w:spacing w:val="-9"/>
                <w:sz w:val="21"/>
                <w:szCs w:val="21"/>
                <w:highlight w:val="none"/>
              </w:rPr>
            </w:pPr>
            <w:r>
              <w:rPr>
                <w:rFonts w:hint="eastAsia" w:ascii="仿宋" w:hAnsi="仿宋" w:cs="仿宋"/>
                <w:color w:val="auto"/>
                <w:spacing w:val="-9"/>
                <w:sz w:val="21"/>
                <w:szCs w:val="21"/>
                <w:highlight w:val="none"/>
              </w:rPr>
              <w:t>注：1. 节能产品、环境标志产品优先采购范围以品目清单为准。无线局域网产品优先采购范围以中国政府采购网公布的《无线局域网认证产品政府采购清单》为准。</w:t>
            </w:r>
          </w:p>
          <w:p>
            <w:pPr>
              <w:spacing w:before="135" w:line="204" w:lineRule="auto"/>
              <w:jc w:val="both"/>
              <w:rPr>
                <w:rFonts w:ascii="仿宋" w:hAnsi="仿宋" w:cs="仿宋"/>
                <w:color w:val="auto"/>
                <w:spacing w:val="-9"/>
                <w:sz w:val="21"/>
                <w:szCs w:val="21"/>
                <w:highlight w:val="none"/>
              </w:rPr>
            </w:pPr>
            <w:r>
              <w:rPr>
                <w:rFonts w:hint="eastAsia" w:ascii="仿宋" w:hAnsi="仿宋" w:cs="仿宋"/>
                <w:color w:val="auto"/>
                <w:spacing w:val="-9"/>
                <w:sz w:val="21"/>
                <w:szCs w:val="21"/>
                <w:highlight w:val="none"/>
              </w:rPr>
              <w:t>2. 投标产品属于优先采购范围内的节能产品或者环境标志产品的，提供国家确定的认证机构出具的、处于有效期之内的节能产品、环境标志产品认证证书复印件加盖供应商公章（鲜章）。</w:t>
            </w:r>
          </w:p>
          <w:p>
            <w:pPr>
              <w:spacing w:before="135" w:line="204" w:lineRule="auto"/>
              <w:jc w:val="both"/>
              <w:rPr>
                <w:rFonts w:ascii="仿宋" w:hAnsi="仿宋" w:cs="仿宋"/>
                <w:color w:val="auto"/>
                <w:spacing w:val="-5"/>
                <w:sz w:val="21"/>
                <w:szCs w:val="21"/>
                <w:highlight w:val="none"/>
              </w:rPr>
            </w:pPr>
            <w:r>
              <w:rPr>
                <w:rFonts w:hint="eastAsia" w:ascii="仿宋" w:hAnsi="仿宋" w:cs="仿宋"/>
                <w:color w:val="auto"/>
                <w:spacing w:val="-9"/>
                <w:sz w:val="21"/>
                <w:szCs w:val="21"/>
                <w:highlight w:val="none"/>
              </w:rPr>
              <w:t>3. 投标产品属于优先采购范围内的无线局域网产品的，提供政府采购清单对应页并加盖供应商单位公章（鲜章）。</w:t>
            </w:r>
          </w:p>
        </w:tc>
        <w:tc>
          <w:tcPr>
            <w:tcW w:w="1134" w:type="dxa"/>
            <w:vAlign w:val="center"/>
          </w:tcPr>
          <w:p>
            <w:pPr>
              <w:spacing w:line="240" w:lineRule="auto"/>
              <w:jc w:val="center"/>
              <w:rPr>
                <w:rFonts w:ascii="仿宋" w:hAnsi="仿宋" w:cs="Arial"/>
                <w:color w:val="auto"/>
                <w:sz w:val="21"/>
                <w:szCs w:val="21"/>
                <w:highlight w:val="none"/>
              </w:rPr>
            </w:pPr>
            <w:r>
              <w:rPr>
                <w:rFonts w:hint="eastAsia" w:ascii="仿宋" w:hAnsi="仿宋" w:cs="Arial"/>
                <w:color w:val="auto"/>
                <w:sz w:val="21"/>
                <w:szCs w:val="21"/>
                <w:highlight w:val="none"/>
              </w:rPr>
              <w:t>政策类评分因素</w:t>
            </w:r>
          </w:p>
        </w:tc>
      </w:tr>
    </w:tbl>
    <w:p>
      <w:pPr>
        <w:pStyle w:val="13"/>
        <w:tabs>
          <w:tab w:val="left" w:pos="600"/>
        </w:tabs>
        <w:spacing w:line="400" w:lineRule="exact"/>
        <w:ind w:left="480"/>
        <w:rPr>
          <w:rFonts w:ascii="仿宋" w:hAnsi="仿宋"/>
          <w:b/>
          <w:color w:val="auto"/>
          <w:highlight w:val="none"/>
        </w:rPr>
      </w:pPr>
    </w:p>
    <w:p>
      <w:pPr>
        <w:ind w:firstLine="360" w:firstLineChars="150"/>
        <w:rPr>
          <w:rFonts w:ascii="仿宋" w:hAnsi="仿宋"/>
          <w:color w:val="auto"/>
          <w:highlight w:val="none"/>
        </w:rPr>
      </w:pPr>
      <w:r>
        <w:rPr>
          <w:rFonts w:hint="eastAsia" w:ascii="仿宋" w:hAnsi="仿宋"/>
          <w:color w:val="auto"/>
          <w:highlight w:val="none"/>
        </w:rPr>
        <w:t>注： 评分的取值按四舍五入法，保留小数点后两位。</w:t>
      </w:r>
    </w:p>
    <w:p>
      <w:pPr>
        <w:pStyle w:val="11"/>
        <w:ind w:firstLine="420" w:firstLineChars="175"/>
        <w:rPr>
          <w:rFonts w:ascii="仿宋" w:hAnsi="仿宋" w:eastAsia="仿宋"/>
          <w:color w:val="auto"/>
          <w:sz w:val="24"/>
          <w:highlight w:val="none"/>
        </w:rPr>
      </w:pPr>
      <w:bookmarkStart w:id="167" w:name="_Toc217446059"/>
      <w:r>
        <w:rPr>
          <w:rFonts w:hint="eastAsia" w:ascii="仿宋" w:hAnsi="仿宋" w:eastAsia="仿宋"/>
          <w:color w:val="auto"/>
          <w:sz w:val="24"/>
          <w:highlight w:val="none"/>
        </w:rPr>
        <w:t xml:space="preserve">4.3.4 本次综合评分法由评标委员会各成员独立对通过初审（资格检查和符合性检查）的投标人的投标文件进行评审和打分，    </w:t>
      </w:r>
    </w:p>
    <w:p>
      <w:pPr>
        <w:pStyle w:val="11"/>
        <w:ind w:firstLine="480" w:firstLineChars="200"/>
        <w:rPr>
          <w:rFonts w:ascii="仿宋" w:hAnsi="仿宋" w:eastAsia="仿宋"/>
          <w:color w:val="auto"/>
          <w:sz w:val="24"/>
          <w:highlight w:val="none"/>
        </w:rPr>
      </w:pPr>
      <w:r>
        <w:rPr>
          <w:rFonts w:hint="eastAsia" w:ascii="仿宋" w:hAnsi="仿宋" w:eastAsia="仿宋"/>
          <w:color w:val="auto"/>
          <w:sz w:val="24"/>
          <w:highlight w:val="none"/>
        </w:rPr>
        <w:t>评标得分＝（A1＋A2＋……＋An）/N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＋（B1＋B2＋……＋Bn）/ 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＋（C1＋C2＋……＋Cn）/ 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＋（D1＋D2＋……＋Dn）/ N</w:t>
      </w:r>
      <w:r>
        <w:rPr>
          <w:rFonts w:hint="eastAsia" w:ascii="仿宋" w:hAnsi="仿宋" w:eastAsia="仿宋"/>
          <w:color w:val="auto"/>
          <w:sz w:val="24"/>
          <w:highlight w:val="none"/>
          <w:vertAlign w:val="subscript"/>
        </w:rPr>
        <w:t>D</w:t>
      </w:r>
    </w:p>
    <w:p>
      <w:pPr>
        <w:pStyle w:val="11"/>
        <w:ind w:firstLine="480" w:firstLineChars="200"/>
        <w:rPr>
          <w:rFonts w:ascii="仿宋" w:hAnsi="仿宋" w:eastAsia="仿宋"/>
          <w:bCs/>
          <w:color w:val="auto"/>
          <w:sz w:val="24"/>
          <w:highlight w:val="none"/>
        </w:rPr>
      </w:pPr>
      <w:r>
        <w:rPr>
          <w:rFonts w:hint="eastAsia" w:ascii="仿宋" w:hAnsi="仿宋" w:eastAsia="仿宋"/>
          <w:color w:val="auto"/>
          <w:sz w:val="24"/>
          <w:highlight w:val="none"/>
        </w:rPr>
        <w:t>A1、A2……An分别为每个经济类评委（经济类专家）的打分，N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为经济类评委（经济类专家）人数；B1、B2＋……Bn 分别为每个技术类评委（技术类专家和采购人代表）的打分，N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为技术类评委（技术类专家和采购人代表）人数；C1、C2……Cn 分别为每个政策合同类评委（法律类专家）的打分，N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为政策合同类评委（法律类专家）人数；</w:t>
      </w:r>
      <w:r>
        <w:rPr>
          <w:rFonts w:hint="eastAsia" w:ascii="仿宋" w:hAnsi="仿宋" w:eastAsia="仿宋"/>
          <w:color w:val="auto"/>
          <w:spacing w:val="-6"/>
          <w:sz w:val="24"/>
          <w:highlight w:val="none"/>
        </w:rPr>
        <w:t>D1、D2……Dn 分别为评标委员会每个成员的打分（共同评分类），N</w:t>
      </w:r>
      <w:r>
        <w:rPr>
          <w:rFonts w:hint="eastAsia" w:ascii="仿宋" w:hAnsi="仿宋" w:eastAsia="仿宋"/>
          <w:color w:val="auto"/>
          <w:spacing w:val="-6"/>
          <w:sz w:val="24"/>
          <w:highlight w:val="none"/>
          <w:vertAlign w:val="subscript"/>
        </w:rPr>
        <w:t>D</w:t>
      </w:r>
      <w:r>
        <w:rPr>
          <w:rFonts w:hint="eastAsia" w:ascii="仿宋" w:hAnsi="仿宋" w:eastAsia="仿宋"/>
          <w:color w:val="auto"/>
          <w:spacing w:val="-6"/>
          <w:sz w:val="24"/>
          <w:highlight w:val="none"/>
        </w:rPr>
        <w:t>为评标委员会人</w:t>
      </w:r>
      <w:r>
        <w:rPr>
          <w:rFonts w:hint="eastAsia" w:ascii="仿宋" w:hAnsi="仿宋" w:eastAsia="仿宋"/>
          <w:bCs/>
          <w:color w:val="auto"/>
          <w:spacing w:val="-6"/>
          <w:sz w:val="24"/>
          <w:highlight w:val="none"/>
        </w:rPr>
        <w:t>数。</w:t>
      </w:r>
    </w:p>
    <w:bookmarkEnd w:id="167"/>
    <w:p>
      <w:pPr>
        <w:pStyle w:val="4"/>
        <w:spacing w:line="400" w:lineRule="exact"/>
        <w:ind w:firstLine="482" w:firstLineChars="200"/>
        <w:rPr>
          <w:rFonts w:ascii="仿宋" w:hAnsi="仿宋"/>
          <w:bCs w:val="0"/>
          <w:color w:val="auto"/>
          <w:sz w:val="24"/>
          <w:szCs w:val="24"/>
          <w:highlight w:val="none"/>
        </w:rPr>
      </w:pPr>
      <w:bookmarkStart w:id="168" w:name="_Toc217446060"/>
      <w:r>
        <w:rPr>
          <w:rFonts w:hint="eastAsia" w:ascii="仿宋" w:hAnsi="仿宋"/>
          <w:bCs w:val="0"/>
          <w:color w:val="auto"/>
          <w:sz w:val="24"/>
          <w:szCs w:val="24"/>
          <w:highlight w:val="none"/>
        </w:rPr>
        <w:t>5</w:t>
      </w:r>
      <w:r>
        <w:rPr>
          <w:rFonts w:hint="eastAsia" w:ascii="仿宋" w:hAnsi="仿宋"/>
          <w:color w:val="auto"/>
          <w:sz w:val="24"/>
          <w:highlight w:val="none"/>
        </w:rPr>
        <w:t>．</w:t>
      </w:r>
      <w:r>
        <w:rPr>
          <w:rFonts w:hint="eastAsia" w:ascii="仿宋" w:hAnsi="仿宋"/>
          <w:bCs w:val="0"/>
          <w:color w:val="auto"/>
          <w:sz w:val="24"/>
          <w:szCs w:val="24"/>
          <w:highlight w:val="none"/>
        </w:rPr>
        <w:t>废 标</w:t>
      </w:r>
    </w:p>
    <w:p>
      <w:pPr>
        <w:spacing w:line="400" w:lineRule="exact"/>
        <w:ind w:firstLine="480" w:firstLineChars="200"/>
        <w:rPr>
          <w:rFonts w:ascii="仿宋" w:hAnsi="仿宋"/>
          <w:color w:val="auto"/>
          <w:highlight w:val="none"/>
        </w:rPr>
      </w:pPr>
      <w:r>
        <w:rPr>
          <w:rFonts w:hint="eastAsia" w:ascii="仿宋" w:hAnsi="仿宋"/>
          <w:color w:val="auto"/>
          <w:highlight w:val="none"/>
        </w:rPr>
        <w:t>5.1本次政府采购活动中，出现下列情形之一的，予以废标：</w:t>
      </w:r>
    </w:p>
    <w:p>
      <w:pPr>
        <w:spacing w:line="400" w:lineRule="exact"/>
        <w:ind w:firstLine="480" w:firstLineChars="200"/>
        <w:rPr>
          <w:rFonts w:ascii="仿宋" w:hAnsi="仿宋"/>
          <w:color w:val="auto"/>
          <w:highlight w:val="none"/>
        </w:rPr>
      </w:pPr>
      <w:r>
        <w:rPr>
          <w:rFonts w:hint="eastAsia" w:ascii="仿宋" w:hAnsi="仿宋"/>
          <w:color w:val="auto"/>
          <w:highlight w:val="none"/>
        </w:rPr>
        <w:t>（1）符合专业条件的供应商或者对招标文件作实质响应的供应商不足三家的；</w:t>
      </w:r>
    </w:p>
    <w:p>
      <w:pPr>
        <w:spacing w:line="400" w:lineRule="exact"/>
        <w:ind w:firstLine="480" w:firstLineChars="200"/>
        <w:rPr>
          <w:rFonts w:ascii="仿宋" w:hAnsi="仿宋"/>
          <w:color w:val="auto"/>
          <w:highlight w:val="none"/>
        </w:rPr>
      </w:pPr>
      <w:r>
        <w:rPr>
          <w:rFonts w:hint="eastAsia" w:ascii="仿宋" w:hAnsi="仿宋"/>
          <w:color w:val="auto"/>
          <w:highlight w:val="none"/>
        </w:rPr>
        <w:t>（2）出现影响采购公正的违法、违规行为的；</w:t>
      </w:r>
    </w:p>
    <w:p>
      <w:pPr>
        <w:spacing w:line="400" w:lineRule="exact"/>
        <w:ind w:firstLine="480" w:firstLineChars="200"/>
        <w:rPr>
          <w:rFonts w:ascii="仿宋" w:hAnsi="仿宋"/>
          <w:color w:val="auto"/>
          <w:highlight w:val="none"/>
        </w:rPr>
      </w:pPr>
      <w:r>
        <w:rPr>
          <w:rFonts w:hint="eastAsia" w:ascii="仿宋" w:hAnsi="仿宋"/>
          <w:color w:val="auto"/>
          <w:highlight w:val="none"/>
        </w:rPr>
        <w:t>（3）投标人的报价均超过了采购预算，采购人不能支付的；</w:t>
      </w:r>
    </w:p>
    <w:p>
      <w:pPr>
        <w:spacing w:line="400" w:lineRule="exact"/>
        <w:ind w:firstLine="480" w:firstLineChars="200"/>
        <w:rPr>
          <w:rFonts w:ascii="仿宋" w:hAnsi="仿宋"/>
          <w:color w:val="auto"/>
          <w:highlight w:val="none"/>
        </w:rPr>
      </w:pPr>
      <w:r>
        <w:rPr>
          <w:rFonts w:hint="eastAsia" w:ascii="仿宋" w:hAnsi="仿宋"/>
          <w:color w:val="auto"/>
          <w:highlight w:val="none"/>
        </w:rPr>
        <w:t>（4）因重大变故，采购任务取消的。</w:t>
      </w:r>
    </w:p>
    <w:p>
      <w:pPr>
        <w:spacing w:line="400" w:lineRule="exact"/>
        <w:ind w:firstLine="480" w:firstLineChars="200"/>
        <w:rPr>
          <w:rFonts w:ascii="仿宋" w:hAnsi="仿宋"/>
          <w:color w:val="auto"/>
          <w:highlight w:val="none"/>
        </w:rPr>
      </w:pPr>
      <w:r>
        <w:rPr>
          <w:rFonts w:hint="eastAsia" w:ascii="仿宋" w:hAnsi="仿宋"/>
          <w:color w:val="auto"/>
          <w:highlight w:val="none"/>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color w:val="auto"/>
          <w:highlight w:val="none"/>
        </w:rPr>
      </w:pPr>
      <w:r>
        <w:rPr>
          <w:rFonts w:hint="eastAsia" w:ascii="仿宋" w:hAnsi="仿宋"/>
          <w:color w:val="auto"/>
          <w:highlight w:val="none"/>
        </w:rPr>
        <w:t>5.2对于评标过程中废标的采购项目，评标委员会应当对招标文件是否存在倾向性和歧视性、是否存在不合理条款进行论证，并出具书面论证意见。</w:t>
      </w:r>
    </w:p>
    <w:p>
      <w:pPr>
        <w:pStyle w:val="4"/>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6</w:t>
      </w:r>
      <w:r>
        <w:rPr>
          <w:rFonts w:hint="eastAsia" w:ascii="仿宋" w:hAnsi="仿宋"/>
          <w:color w:val="auto"/>
          <w:sz w:val="24"/>
          <w:highlight w:val="none"/>
        </w:rPr>
        <w:t>．</w:t>
      </w:r>
      <w:r>
        <w:rPr>
          <w:rFonts w:hint="eastAsia" w:ascii="仿宋" w:hAnsi="仿宋"/>
          <w:bCs w:val="0"/>
          <w:color w:val="auto"/>
          <w:sz w:val="24"/>
          <w:szCs w:val="24"/>
          <w:highlight w:val="none"/>
        </w:rPr>
        <w:t>定标</w:t>
      </w:r>
      <w:bookmarkEnd w:id="168"/>
      <w:bookmarkStart w:id="169" w:name="_Toc217446061"/>
    </w:p>
    <w:p>
      <w:pPr>
        <w:spacing w:line="400" w:lineRule="exact"/>
        <w:ind w:firstLine="480" w:firstLineChars="200"/>
        <w:rPr>
          <w:rFonts w:ascii="仿宋" w:hAnsi="仿宋"/>
          <w:color w:val="auto"/>
          <w:highlight w:val="none"/>
        </w:rPr>
      </w:pPr>
      <w:r>
        <w:rPr>
          <w:rFonts w:hint="eastAsia" w:ascii="仿宋" w:hAnsi="仿宋"/>
          <w:color w:val="auto"/>
          <w:highlight w:val="none"/>
        </w:rPr>
        <w:t>6.1. 定标原则</w:t>
      </w:r>
      <w:bookmarkEnd w:id="169"/>
      <w:r>
        <w:rPr>
          <w:rFonts w:hint="eastAsia" w:ascii="仿宋" w:hAnsi="仿宋"/>
          <w:color w:val="auto"/>
          <w:highlight w:val="none"/>
        </w:rPr>
        <w:t>：本项目根据评标委员会推荐的中标候选供应商名单，按顺序确定中标供应商。</w:t>
      </w:r>
    </w:p>
    <w:p>
      <w:pPr>
        <w:spacing w:line="400" w:lineRule="exact"/>
        <w:ind w:firstLine="480" w:firstLineChars="200"/>
        <w:rPr>
          <w:rFonts w:ascii="仿宋" w:hAnsi="仿宋"/>
          <w:color w:val="auto"/>
          <w:highlight w:val="none"/>
        </w:rPr>
      </w:pPr>
      <w:bookmarkStart w:id="170" w:name="_Toc217446062"/>
      <w:r>
        <w:rPr>
          <w:rFonts w:hint="eastAsia" w:ascii="仿宋" w:hAnsi="仿宋"/>
          <w:color w:val="auto"/>
          <w:highlight w:val="none"/>
        </w:rPr>
        <w:t>6.2. 定标程序</w:t>
      </w:r>
      <w:bookmarkEnd w:id="170"/>
    </w:p>
    <w:p>
      <w:pPr>
        <w:spacing w:line="400" w:lineRule="exact"/>
        <w:ind w:firstLine="480" w:firstLineChars="200"/>
        <w:rPr>
          <w:rFonts w:ascii="仿宋" w:hAnsi="仿宋"/>
          <w:color w:val="auto"/>
          <w:highlight w:val="none"/>
        </w:rPr>
      </w:pPr>
      <w:r>
        <w:rPr>
          <w:rFonts w:hint="eastAsia" w:ascii="仿宋" w:hAnsi="仿宋"/>
          <w:color w:val="auto"/>
          <w:highlight w:val="none"/>
        </w:rPr>
        <w:t>6.2.1 评标委员会将评标情况写出书面报告，推荐中标候选供应商。</w:t>
      </w:r>
    </w:p>
    <w:p>
      <w:pPr>
        <w:spacing w:line="400" w:lineRule="exact"/>
        <w:ind w:firstLine="480" w:firstLineChars="200"/>
        <w:rPr>
          <w:rFonts w:ascii="仿宋" w:hAnsi="仿宋"/>
          <w:color w:val="auto"/>
          <w:highlight w:val="none"/>
        </w:rPr>
      </w:pPr>
      <w:r>
        <w:rPr>
          <w:rFonts w:hint="eastAsia" w:ascii="仿宋" w:hAnsi="仿宋"/>
          <w:color w:val="auto"/>
          <w:highlight w:val="none"/>
        </w:rPr>
        <w:t>6.2.2 采购代理机构在评标结束后2个工作日内将评标报告送采购人。</w:t>
      </w:r>
    </w:p>
    <w:p>
      <w:pPr>
        <w:spacing w:line="400" w:lineRule="exact"/>
        <w:ind w:firstLine="480" w:firstLineChars="200"/>
        <w:rPr>
          <w:rFonts w:ascii="仿宋" w:hAnsi="仿宋"/>
          <w:color w:val="auto"/>
          <w:highlight w:val="none"/>
        </w:rPr>
      </w:pPr>
      <w:r>
        <w:rPr>
          <w:rFonts w:hint="eastAsia" w:ascii="仿宋" w:hAnsi="仿宋"/>
          <w:color w:val="auto"/>
          <w:highlight w:val="none"/>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color w:val="auto"/>
          <w:highlight w:val="none"/>
        </w:rPr>
      </w:pPr>
      <w:r>
        <w:rPr>
          <w:rFonts w:hint="eastAsia" w:ascii="仿宋" w:hAnsi="仿宋"/>
          <w:color w:val="auto"/>
          <w:highlight w:val="none"/>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color w:val="auto"/>
          <w:highlight w:val="none"/>
        </w:rPr>
      </w:pPr>
      <w:r>
        <w:rPr>
          <w:rFonts w:hint="eastAsia" w:ascii="仿宋" w:hAnsi="仿宋"/>
          <w:color w:val="auto"/>
          <w:highlight w:val="none"/>
        </w:rPr>
        <w:t>6.2.5 招标采购单位不退回投标人投标文件和其他投标资料。</w:t>
      </w:r>
    </w:p>
    <w:bookmarkEnd w:id="166"/>
    <w:p>
      <w:pPr>
        <w:pStyle w:val="4"/>
        <w:spacing w:line="400" w:lineRule="exact"/>
        <w:ind w:firstLine="482" w:firstLineChars="200"/>
        <w:rPr>
          <w:rFonts w:ascii="仿宋" w:hAnsi="仿宋"/>
          <w:bCs w:val="0"/>
          <w:color w:val="auto"/>
          <w:sz w:val="24"/>
          <w:szCs w:val="24"/>
          <w:highlight w:val="none"/>
        </w:rPr>
      </w:pPr>
      <w:bookmarkStart w:id="171" w:name="_Toc208849022"/>
      <w:bookmarkStart w:id="172" w:name="_Toc183582297"/>
      <w:bookmarkStart w:id="173" w:name="_Toc183682432"/>
      <w:bookmarkStart w:id="174" w:name="_Toc217446105"/>
      <w:r>
        <w:rPr>
          <w:rFonts w:hint="eastAsia" w:ascii="仿宋" w:hAnsi="仿宋"/>
          <w:bCs w:val="0"/>
          <w:color w:val="auto"/>
          <w:sz w:val="24"/>
          <w:szCs w:val="24"/>
          <w:highlight w:val="none"/>
        </w:rPr>
        <w:t>7</w:t>
      </w:r>
      <w:bookmarkEnd w:id="171"/>
      <w:bookmarkEnd w:id="172"/>
      <w:bookmarkEnd w:id="173"/>
      <w:bookmarkEnd w:id="174"/>
      <w:r>
        <w:rPr>
          <w:rFonts w:hint="eastAsia" w:ascii="仿宋" w:hAnsi="仿宋"/>
          <w:color w:val="auto"/>
          <w:sz w:val="24"/>
          <w:highlight w:val="none"/>
        </w:rPr>
        <w:t>．</w:t>
      </w:r>
      <w:r>
        <w:rPr>
          <w:rFonts w:hint="eastAsia" w:ascii="仿宋" w:hAnsi="仿宋"/>
          <w:bCs w:val="0"/>
          <w:color w:val="auto"/>
          <w:sz w:val="24"/>
          <w:szCs w:val="24"/>
          <w:highlight w:val="none"/>
        </w:rPr>
        <w:t>评标专家在政府采购活动中承担以下义务：</w:t>
      </w:r>
    </w:p>
    <w:p>
      <w:pPr>
        <w:spacing w:line="400" w:lineRule="exact"/>
        <w:ind w:firstLine="480" w:firstLineChars="200"/>
        <w:rPr>
          <w:rFonts w:ascii="仿宋" w:hAnsi="仿宋"/>
          <w:color w:val="auto"/>
          <w:highlight w:val="none"/>
        </w:rPr>
      </w:pPr>
      <w:r>
        <w:rPr>
          <w:rFonts w:hint="eastAsia" w:ascii="仿宋" w:hAnsi="仿宋"/>
          <w:color w:val="auto"/>
          <w:highlight w:val="none"/>
        </w:rPr>
        <w:t xml:space="preserve">（一）遵守评审工作纪律； </w:t>
      </w:r>
    </w:p>
    <w:p>
      <w:pPr>
        <w:spacing w:line="400" w:lineRule="exact"/>
        <w:ind w:firstLine="480" w:firstLineChars="200"/>
        <w:rPr>
          <w:rFonts w:ascii="仿宋" w:hAnsi="仿宋"/>
          <w:color w:val="auto"/>
          <w:highlight w:val="none"/>
        </w:rPr>
      </w:pPr>
      <w:r>
        <w:rPr>
          <w:rFonts w:hint="eastAsia" w:ascii="仿宋" w:hAnsi="仿宋"/>
          <w:color w:val="auto"/>
          <w:highlight w:val="none"/>
        </w:rPr>
        <w:t>（二）按照客观、公正、审慎的原则，根据采购文件规定的评审程序、评审方法和评审标准进行独立评审；</w:t>
      </w:r>
    </w:p>
    <w:p>
      <w:pPr>
        <w:spacing w:line="400" w:lineRule="exact"/>
        <w:ind w:firstLine="480" w:firstLineChars="200"/>
        <w:rPr>
          <w:rFonts w:ascii="仿宋" w:hAnsi="仿宋"/>
          <w:color w:val="auto"/>
          <w:highlight w:val="none"/>
        </w:rPr>
      </w:pPr>
      <w:r>
        <w:rPr>
          <w:rFonts w:hint="eastAsia" w:ascii="仿宋" w:hAnsi="仿宋"/>
          <w:color w:val="auto"/>
          <w:highlight w:val="none"/>
        </w:rPr>
        <w:t>（三）不得泄露评审文件、评审情况和在评审过程中获悉的商业秘密；</w:t>
      </w:r>
    </w:p>
    <w:p>
      <w:pPr>
        <w:spacing w:line="400" w:lineRule="exact"/>
        <w:ind w:firstLine="480" w:firstLineChars="200"/>
        <w:rPr>
          <w:rFonts w:ascii="仿宋" w:hAnsi="仿宋"/>
          <w:color w:val="auto"/>
          <w:highlight w:val="none"/>
        </w:rPr>
      </w:pPr>
      <w:r>
        <w:rPr>
          <w:rFonts w:hint="eastAsia" w:ascii="仿宋" w:hAnsi="仿宋"/>
          <w:color w:val="auto"/>
          <w:highlight w:val="none"/>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color w:val="auto"/>
          <w:highlight w:val="none"/>
        </w:rPr>
      </w:pPr>
      <w:r>
        <w:rPr>
          <w:rFonts w:hint="eastAsia" w:ascii="仿宋" w:hAnsi="仿宋"/>
          <w:color w:val="auto"/>
          <w:highlight w:val="none"/>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color w:val="auto"/>
          <w:highlight w:val="none"/>
        </w:rPr>
      </w:pPr>
      <w:r>
        <w:rPr>
          <w:rFonts w:hint="eastAsia" w:ascii="仿宋" w:hAnsi="仿宋"/>
          <w:color w:val="auto"/>
          <w:highlight w:val="none"/>
        </w:rPr>
        <w:t>（六）配合答复处理供应商的询问、质疑和投诉等事项；</w:t>
      </w:r>
    </w:p>
    <w:p>
      <w:pPr>
        <w:spacing w:line="400" w:lineRule="exact"/>
        <w:ind w:firstLine="480" w:firstLineChars="200"/>
        <w:rPr>
          <w:rFonts w:ascii="仿宋" w:hAnsi="仿宋"/>
          <w:color w:val="auto"/>
          <w:highlight w:val="none"/>
        </w:rPr>
      </w:pPr>
      <w:r>
        <w:rPr>
          <w:rFonts w:hint="eastAsia" w:ascii="仿宋" w:hAnsi="仿宋"/>
          <w:color w:val="auto"/>
          <w:highlight w:val="none"/>
        </w:rPr>
        <w:t>（七）法律、法规和规章规定的其他义务。</w:t>
      </w:r>
    </w:p>
    <w:p>
      <w:pPr>
        <w:pStyle w:val="4"/>
        <w:spacing w:line="400" w:lineRule="exact"/>
        <w:ind w:firstLine="482" w:firstLineChars="200"/>
        <w:rPr>
          <w:rFonts w:ascii="仿宋" w:hAnsi="仿宋"/>
          <w:bCs w:val="0"/>
          <w:color w:val="auto"/>
          <w:sz w:val="24"/>
          <w:szCs w:val="24"/>
          <w:highlight w:val="none"/>
        </w:rPr>
      </w:pPr>
      <w:r>
        <w:rPr>
          <w:rFonts w:hint="eastAsia" w:ascii="仿宋" w:hAnsi="仿宋"/>
          <w:bCs w:val="0"/>
          <w:color w:val="auto"/>
          <w:sz w:val="24"/>
          <w:szCs w:val="24"/>
          <w:highlight w:val="none"/>
        </w:rPr>
        <w:t>8</w:t>
      </w:r>
      <w:r>
        <w:rPr>
          <w:rFonts w:hint="eastAsia" w:ascii="仿宋" w:hAnsi="仿宋"/>
          <w:color w:val="auto"/>
          <w:sz w:val="24"/>
          <w:highlight w:val="none"/>
        </w:rPr>
        <w:t>．</w:t>
      </w:r>
      <w:r>
        <w:rPr>
          <w:rFonts w:hint="eastAsia" w:ascii="仿宋" w:hAnsi="仿宋"/>
          <w:bCs w:val="0"/>
          <w:color w:val="auto"/>
          <w:sz w:val="24"/>
          <w:szCs w:val="24"/>
          <w:highlight w:val="none"/>
        </w:rPr>
        <w:t>评标专家在政府采购活动中应当遵守以下工作纪律：</w:t>
      </w:r>
    </w:p>
    <w:p>
      <w:pPr>
        <w:spacing w:line="400" w:lineRule="exact"/>
        <w:ind w:firstLine="480" w:firstLineChars="200"/>
        <w:rPr>
          <w:rFonts w:ascii="仿宋" w:hAnsi="仿宋"/>
          <w:color w:val="auto"/>
          <w:highlight w:val="none"/>
        </w:rPr>
      </w:pPr>
      <w:r>
        <w:rPr>
          <w:rFonts w:hint="eastAsia" w:ascii="仿宋" w:hAnsi="仿宋"/>
          <w:color w:val="auto"/>
          <w:highlight w:val="none"/>
        </w:rPr>
        <w:t>（一）遵行《政府采购法》第十二条和《政府采购法实施条例》第九条及财政部关于回避的规定。</w:t>
      </w:r>
    </w:p>
    <w:p>
      <w:pPr>
        <w:spacing w:line="400" w:lineRule="exact"/>
        <w:ind w:firstLine="480" w:firstLineChars="200"/>
        <w:rPr>
          <w:rFonts w:ascii="仿宋" w:hAnsi="仿宋"/>
          <w:color w:val="auto"/>
          <w:highlight w:val="none"/>
        </w:rPr>
      </w:pPr>
      <w:r>
        <w:rPr>
          <w:rFonts w:hint="eastAsia" w:ascii="仿宋" w:hAnsi="仿宋"/>
          <w:color w:val="auto"/>
          <w:highlight w:val="none"/>
        </w:rPr>
        <w:t>（二）评标前，应当将通讯工具或者相关电子设备交由招标采购单位统一保管。</w:t>
      </w:r>
    </w:p>
    <w:p>
      <w:pPr>
        <w:spacing w:line="400" w:lineRule="exact"/>
        <w:ind w:firstLine="480" w:firstLineChars="200"/>
        <w:rPr>
          <w:rFonts w:ascii="仿宋" w:hAnsi="仿宋"/>
          <w:color w:val="auto"/>
          <w:highlight w:val="none"/>
        </w:rPr>
      </w:pPr>
      <w:r>
        <w:rPr>
          <w:rFonts w:hint="eastAsia" w:ascii="仿宋" w:hAnsi="仿宋"/>
          <w:color w:val="auto"/>
          <w:highlight w:val="none"/>
        </w:rPr>
        <w:t>（三）评标过程中，不得与外界联系，因发生不可预见情况，确实需要与外界联系的，应当在监督人员监督之下办理。</w:t>
      </w:r>
    </w:p>
    <w:p>
      <w:pPr>
        <w:spacing w:line="400" w:lineRule="exact"/>
        <w:ind w:firstLine="480" w:firstLineChars="200"/>
        <w:rPr>
          <w:rFonts w:ascii="仿宋" w:hAnsi="仿宋"/>
          <w:color w:val="auto"/>
          <w:highlight w:val="none"/>
        </w:rPr>
      </w:pPr>
      <w:r>
        <w:rPr>
          <w:rFonts w:hint="eastAsia" w:ascii="仿宋" w:hAnsi="仿宋"/>
          <w:color w:val="auto"/>
          <w:highlight w:val="none"/>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color w:val="auto"/>
          <w:highlight w:val="none"/>
        </w:rPr>
      </w:pPr>
      <w:r>
        <w:rPr>
          <w:rFonts w:hint="eastAsia" w:ascii="仿宋" w:hAnsi="仿宋"/>
          <w:color w:val="auto"/>
          <w:highlight w:val="none"/>
        </w:rPr>
        <w:t>（五）在评标过程中和评标结束后，不得记录、复制或带走任何评标资料，除因规定的义务外，不得向外界透露评标内容。</w:t>
      </w:r>
    </w:p>
    <w:p>
      <w:pPr>
        <w:spacing w:line="400" w:lineRule="exact"/>
        <w:ind w:firstLine="480" w:firstLineChars="200"/>
        <w:rPr>
          <w:rFonts w:ascii="仿宋" w:hAnsi="仿宋"/>
          <w:color w:val="auto"/>
          <w:highlight w:val="none"/>
        </w:rPr>
      </w:pPr>
      <w:r>
        <w:rPr>
          <w:rFonts w:hint="eastAsia" w:ascii="仿宋" w:hAnsi="仿宋"/>
          <w:color w:val="auto"/>
          <w:highlight w:val="none"/>
        </w:rPr>
        <w:t>（六）服从评标现场招标采购单位的现场秩序管理，接受评标现场监督人员的合法监督。</w:t>
      </w:r>
    </w:p>
    <w:p>
      <w:pPr>
        <w:spacing w:line="400" w:lineRule="exact"/>
        <w:ind w:firstLine="480" w:firstLineChars="200"/>
        <w:rPr>
          <w:rFonts w:ascii="仿宋" w:hAnsi="仿宋"/>
          <w:color w:val="auto"/>
          <w:highlight w:val="none"/>
        </w:rPr>
      </w:pPr>
      <w:r>
        <w:rPr>
          <w:rFonts w:hint="eastAsia" w:ascii="仿宋" w:hAnsi="仿宋"/>
          <w:color w:val="auto"/>
          <w:highlight w:val="none"/>
        </w:rPr>
        <w:t>（七）遵守有关廉洁自律规定，不得私下接触供应商，不得收受供应商及有关业务单位和个人的财物或好处，不得接受采购组织单位的请托。</w:t>
      </w:r>
    </w:p>
    <w:p>
      <w:pPr>
        <w:pStyle w:val="3"/>
        <w:spacing w:line="400" w:lineRule="exact"/>
        <w:rPr>
          <w:rFonts w:ascii="仿宋" w:hAnsi="仿宋"/>
          <w:color w:val="auto"/>
          <w:sz w:val="36"/>
          <w:szCs w:val="36"/>
          <w:highlight w:val="none"/>
        </w:rPr>
      </w:pPr>
      <w:bookmarkStart w:id="175" w:name="_Toc23042"/>
      <w:r>
        <w:rPr>
          <w:rFonts w:hint="eastAsia" w:ascii="仿宋" w:hAnsi="仿宋"/>
          <w:color w:val="auto"/>
          <w:sz w:val="36"/>
          <w:szCs w:val="36"/>
          <w:highlight w:val="none"/>
        </w:rPr>
        <w:br w:type="page"/>
      </w:r>
      <w:bookmarkStart w:id="176" w:name="_Toc3520"/>
      <w:r>
        <w:rPr>
          <w:rFonts w:hint="eastAsia" w:ascii="仿宋" w:hAnsi="仿宋"/>
          <w:color w:val="auto"/>
          <w:sz w:val="36"/>
          <w:szCs w:val="36"/>
          <w:highlight w:val="none"/>
        </w:rPr>
        <w:t>第八章  政府采购合同</w:t>
      </w:r>
      <w:bookmarkEnd w:id="175"/>
      <w:bookmarkEnd w:id="176"/>
    </w:p>
    <w:p>
      <w:pPr>
        <w:spacing w:line="400" w:lineRule="exact"/>
        <w:rPr>
          <w:rFonts w:ascii="仿宋" w:hAnsi="仿宋"/>
          <w:color w:val="auto"/>
          <w:highlight w:val="none"/>
        </w:rPr>
      </w:pPr>
    </w:p>
    <w:p>
      <w:pPr>
        <w:ind w:firstLine="480" w:firstLineChars="200"/>
        <w:rPr>
          <w:rFonts w:ascii="仿宋" w:hAnsi="仿宋"/>
          <w:color w:val="auto"/>
          <w:highlight w:val="none"/>
        </w:rPr>
      </w:pPr>
      <w:r>
        <w:rPr>
          <w:rFonts w:hint="eastAsia" w:ascii="仿宋" w:hAnsi="仿宋"/>
          <w:color w:val="auto"/>
          <w:highlight w:val="none"/>
        </w:rPr>
        <w:t>合同编号：</w:t>
      </w:r>
      <w:r>
        <w:rPr>
          <w:rFonts w:hint="eastAsia" w:ascii="仿宋" w:hAnsi="仿宋"/>
          <w:color w:val="auto"/>
          <w:szCs w:val="21"/>
          <w:highlight w:val="none"/>
        </w:rPr>
        <w:t>XXXX。</w:t>
      </w:r>
    </w:p>
    <w:p>
      <w:pPr>
        <w:ind w:firstLine="480" w:firstLineChars="200"/>
        <w:rPr>
          <w:rFonts w:ascii="仿宋" w:hAnsi="仿宋"/>
          <w:color w:val="auto"/>
          <w:highlight w:val="none"/>
        </w:rPr>
      </w:pPr>
      <w:r>
        <w:rPr>
          <w:rFonts w:hint="eastAsia" w:ascii="仿宋" w:hAnsi="仿宋"/>
          <w:color w:val="auto"/>
          <w:highlight w:val="none"/>
        </w:rPr>
        <w:t>签订地点：</w:t>
      </w:r>
      <w:r>
        <w:rPr>
          <w:rFonts w:hint="eastAsia" w:ascii="仿宋" w:hAnsi="仿宋"/>
          <w:color w:val="auto"/>
          <w:szCs w:val="21"/>
          <w:highlight w:val="none"/>
        </w:rPr>
        <w:t>XXXX。</w:t>
      </w:r>
    </w:p>
    <w:p>
      <w:pPr>
        <w:ind w:firstLine="480" w:firstLineChars="200"/>
        <w:rPr>
          <w:rFonts w:ascii="仿宋" w:hAnsi="仿宋"/>
          <w:color w:val="auto"/>
          <w:highlight w:val="none"/>
        </w:rPr>
      </w:pPr>
      <w:r>
        <w:rPr>
          <w:rFonts w:hint="eastAsia" w:ascii="仿宋" w:hAnsi="仿宋"/>
          <w:color w:val="auto"/>
          <w:highlight w:val="none"/>
        </w:rPr>
        <w:t>签订时间：</w:t>
      </w:r>
      <w:r>
        <w:rPr>
          <w:rFonts w:hint="eastAsia" w:ascii="仿宋" w:hAnsi="仿宋"/>
          <w:color w:val="auto"/>
          <w:szCs w:val="21"/>
          <w:highlight w:val="none"/>
        </w:rPr>
        <w:t>XXXX</w:t>
      </w:r>
      <w:r>
        <w:rPr>
          <w:rFonts w:hint="eastAsia" w:ascii="仿宋" w:hAnsi="仿宋"/>
          <w:color w:val="auto"/>
          <w:highlight w:val="none"/>
        </w:rPr>
        <w:t>年</w:t>
      </w:r>
      <w:r>
        <w:rPr>
          <w:rFonts w:hint="eastAsia" w:ascii="仿宋" w:hAnsi="仿宋"/>
          <w:color w:val="auto"/>
          <w:szCs w:val="21"/>
          <w:highlight w:val="none"/>
        </w:rPr>
        <w:t>XX</w:t>
      </w:r>
      <w:r>
        <w:rPr>
          <w:rFonts w:hint="eastAsia" w:ascii="仿宋" w:hAnsi="仿宋"/>
          <w:color w:val="auto"/>
          <w:highlight w:val="none"/>
        </w:rPr>
        <w:t>月</w:t>
      </w:r>
      <w:r>
        <w:rPr>
          <w:rFonts w:hint="eastAsia" w:ascii="仿宋" w:hAnsi="仿宋"/>
          <w:color w:val="auto"/>
          <w:szCs w:val="21"/>
          <w:highlight w:val="none"/>
        </w:rPr>
        <w:t>XX</w:t>
      </w:r>
      <w:r>
        <w:rPr>
          <w:rFonts w:hint="eastAsia" w:ascii="仿宋" w:hAnsi="仿宋"/>
          <w:color w:val="auto"/>
          <w:highlight w:val="none"/>
        </w:rPr>
        <w:t>日。</w:t>
      </w:r>
    </w:p>
    <w:p>
      <w:pPr>
        <w:ind w:firstLine="480" w:firstLineChars="200"/>
        <w:rPr>
          <w:rFonts w:ascii="仿宋" w:hAnsi="仿宋"/>
          <w:color w:val="auto"/>
          <w:highlight w:val="none"/>
        </w:rPr>
      </w:pPr>
      <w:r>
        <w:rPr>
          <w:rFonts w:hint="eastAsia" w:ascii="仿宋" w:hAnsi="仿宋"/>
          <w:color w:val="auto"/>
          <w:highlight w:val="none"/>
        </w:rPr>
        <w:t>采购人（甲方）：</w:t>
      </w:r>
    </w:p>
    <w:p>
      <w:pPr>
        <w:ind w:firstLine="480" w:firstLineChars="200"/>
        <w:rPr>
          <w:rFonts w:ascii="仿宋" w:hAnsi="仿宋"/>
          <w:color w:val="auto"/>
          <w:highlight w:val="none"/>
        </w:rPr>
      </w:pPr>
      <w:r>
        <w:rPr>
          <w:rFonts w:hint="eastAsia" w:ascii="仿宋" w:hAnsi="仿宋"/>
          <w:color w:val="auto"/>
          <w:highlight w:val="none"/>
        </w:rPr>
        <w:t>供应商（乙</w:t>
      </w:r>
      <w:r>
        <w:rPr>
          <w:rFonts w:ascii="仿宋" w:hAnsi="仿宋"/>
          <w:color w:val="auto"/>
          <w:highlight w:val="none"/>
        </w:rPr>
        <w:t>方</w:t>
      </w:r>
      <w:r>
        <w:rPr>
          <w:rFonts w:hint="eastAsia" w:ascii="仿宋" w:hAnsi="仿宋"/>
          <w:color w:val="auto"/>
          <w:highlight w:val="none"/>
        </w:rPr>
        <w:t>）</w:t>
      </w:r>
      <w:r>
        <w:rPr>
          <w:rFonts w:ascii="仿宋" w:hAnsi="仿宋"/>
          <w:color w:val="auto"/>
          <w:highlight w:val="none"/>
        </w:rPr>
        <w:t>：</w:t>
      </w:r>
    </w:p>
    <w:p>
      <w:pPr>
        <w:spacing w:line="400" w:lineRule="exact"/>
        <w:rPr>
          <w:rFonts w:ascii="仿宋" w:hAnsi="仿宋"/>
          <w:color w:val="auto"/>
          <w:highlight w:val="none"/>
        </w:rPr>
      </w:pPr>
    </w:p>
    <w:p>
      <w:pPr>
        <w:pStyle w:val="79"/>
        <w:ind w:firstLine="480"/>
        <w:rPr>
          <w:rFonts w:ascii="仿宋" w:hAnsi="仿宋" w:eastAsia="仿宋"/>
          <w:color w:val="auto"/>
          <w:highlight w:val="none"/>
        </w:rPr>
      </w:pPr>
      <w:r>
        <w:rPr>
          <w:rFonts w:hint="eastAsia" w:ascii="仿宋" w:hAnsi="仿宋" w:eastAsia="仿宋"/>
          <w:color w:val="auto"/>
          <w:highlight w:val="none"/>
        </w:rPr>
        <w:t>根据《中华人民共和国政府采购法》、《中华人民共和国民法典》及</w:t>
      </w:r>
      <w:r>
        <w:rPr>
          <w:rFonts w:hint="eastAsia" w:ascii="仿宋" w:hAnsi="仿宋" w:eastAsia="仿宋"/>
          <w:color w:val="auto"/>
          <w:szCs w:val="21"/>
          <w:highlight w:val="none"/>
        </w:rPr>
        <w:t>XXXX</w:t>
      </w:r>
      <w:r>
        <w:rPr>
          <w:rFonts w:hint="eastAsia" w:ascii="仿宋" w:hAnsi="仿宋" w:eastAsia="仿宋"/>
          <w:color w:val="auto"/>
          <w:highlight w:val="none"/>
        </w:rPr>
        <w:t>采购项目（项目编号：</w:t>
      </w:r>
      <w:r>
        <w:rPr>
          <w:rFonts w:hint="eastAsia" w:ascii="仿宋" w:hAnsi="仿宋" w:eastAsia="仿宋"/>
          <w:color w:val="auto"/>
          <w:szCs w:val="21"/>
          <w:highlight w:val="none"/>
        </w:rPr>
        <w:t>XX</w:t>
      </w:r>
      <w:r>
        <w:rPr>
          <w:rFonts w:hint="eastAsia" w:ascii="仿宋" w:hAnsi="仿宋" w:eastAsia="仿宋"/>
          <w:color w:val="auto"/>
          <w:highlight w:val="none"/>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400" w:lineRule="exact"/>
        <w:ind w:firstLine="482" w:firstLineChars="200"/>
        <w:rPr>
          <w:rFonts w:ascii="仿宋" w:hAnsi="仿宋"/>
          <w:color w:val="auto"/>
          <w:sz w:val="24"/>
          <w:szCs w:val="24"/>
          <w:highlight w:val="none"/>
        </w:rPr>
      </w:pPr>
      <w:bookmarkStart w:id="177" w:name="_Toc217446107"/>
      <w:r>
        <w:rPr>
          <w:rFonts w:hint="eastAsia" w:ascii="仿宋" w:hAnsi="仿宋"/>
          <w:color w:val="auto"/>
          <w:sz w:val="24"/>
          <w:szCs w:val="24"/>
          <w:highlight w:val="none"/>
        </w:rPr>
        <w:t>一、合同货物</w:t>
      </w:r>
      <w:bookmarkEnd w:id="177"/>
    </w:p>
    <w:tbl>
      <w:tblPr>
        <w:tblStyle w:val="32"/>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color w:val="auto"/>
                <w:highlight w:val="none"/>
              </w:rPr>
            </w:pPr>
            <w:r>
              <w:rPr>
                <w:rFonts w:hint="eastAsia" w:ascii="仿宋" w:hAnsi="仿宋" w:cs="Arial"/>
                <w:color w:val="auto"/>
                <w:highlight w:val="none"/>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s="Arial"/>
                <w:color w:val="auto"/>
                <w:highlight w:val="none"/>
              </w:rPr>
            </w:pPr>
            <w:r>
              <w:rPr>
                <w:rFonts w:hint="eastAsia" w:ascii="仿宋" w:hAnsi="仿宋" w:cs="Arial"/>
                <w:color w:val="auto"/>
                <w:highlight w:val="none"/>
              </w:rPr>
              <w:t>规格</w:t>
            </w:r>
          </w:p>
          <w:p>
            <w:pPr>
              <w:spacing w:line="400" w:lineRule="exact"/>
              <w:jc w:val="center"/>
              <w:rPr>
                <w:rFonts w:ascii="仿宋" w:hAnsi="仿宋"/>
                <w:color w:val="auto"/>
                <w:highlight w:val="none"/>
              </w:rPr>
            </w:pPr>
            <w:r>
              <w:rPr>
                <w:rFonts w:hint="eastAsia" w:ascii="仿宋" w:hAnsi="仿宋" w:cs="Arial"/>
                <w:color w:val="auto"/>
                <w:highlight w:val="none"/>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color w:val="auto"/>
                <w:highlight w:val="none"/>
              </w:rPr>
            </w:pPr>
            <w:r>
              <w:rPr>
                <w:rFonts w:hint="eastAsia" w:ascii="仿宋" w:hAnsi="仿宋" w:cs="Arial"/>
                <w:color w:val="auto"/>
                <w:highlight w:val="none"/>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color w:val="auto"/>
                <w:highlight w:val="none"/>
              </w:rPr>
            </w:pPr>
            <w:r>
              <w:rPr>
                <w:rFonts w:hint="eastAsia" w:ascii="仿宋" w:hAnsi="仿宋" w:cs="Arial"/>
                <w:color w:val="auto"/>
                <w:highlight w:val="none"/>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cs="Arial"/>
                <w:color w:val="auto"/>
                <w:highlight w:val="none"/>
              </w:rPr>
            </w:pPr>
            <w:r>
              <w:rPr>
                <w:rFonts w:hint="eastAsia" w:ascii="仿宋" w:hAnsi="仿宋" w:cs="Arial"/>
                <w:color w:val="auto"/>
                <w:highlight w:val="none"/>
              </w:rPr>
              <w:t>单价</w:t>
            </w:r>
          </w:p>
          <w:p>
            <w:pPr>
              <w:spacing w:line="400" w:lineRule="exact"/>
              <w:jc w:val="center"/>
              <w:rPr>
                <w:rFonts w:ascii="仿宋" w:hAnsi="仿宋" w:cs="Arial"/>
                <w:color w:val="auto"/>
                <w:highlight w:val="none"/>
              </w:rPr>
            </w:pPr>
            <w:r>
              <w:rPr>
                <w:rFonts w:hint="eastAsia" w:ascii="仿宋" w:hAnsi="仿宋" w:cs="Arial"/>
                <w:color w:val="auto"/>
                <w:highlight w:val="none"/>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cs="Arial"/>
                <w:color w:val="auto"/>
                <w:highlight w:val="none"/>
              </w:rPr>
            </w:pPr>
            <w:r>
              <w:rPr>
                <w:rFonts w:hint="eastAsia" w:ascii="仿宋" w:hAnsi="仿宋" w:cs="Arial"/>
                <w:color w:val="auto"/>
                <w:highlight w:val="none"/>
              </w:rPr>
              <w:t>总价</w:t>
            </w:r>
          </w:p>
          <w:p>
            <w:pPr>
              <w:spacing w:line="400" w:lineRule="exact"/>
              <w:rPr>
                <w:rFonts w:ascii="仿宋" w:hAnsi="仿宋"/>
                <w:color w:val="auto"/>
                <w:highlight w:val="none"/>
              </w:rPr>
            </w:pPr>
            <w:r>
              <w:rPr>
                <w:rFonts w:hint="eastAsia" w:ascii="仿宋" w:hAnsi="仿宋" w:cs="Arial"/>
                <w:color w:val="auto"/>
                <w:highlight w:val="none"/>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s="Arial"/>
                <w:color w:val="auto"/>
                <w:highlight w:val="none"/>
              </w:rPr>
            </w:pPr>
            <w:r>
              <w:rPr>
                <w:rFonts w:hint="eastAsia" w:ascii="仿宋" w:hAnsi="仿宋" w:cs="Arial"/>
                <w:color w:val="auto"/>
                <w:highlight w:val="none"/>
              </w:rPr>
              <w:t>随机</w:t>
            </w:r>
          </w:p>
          <w:p>
            <w:pPr>
              <w:spacing w:line="400" w:lineRule="exact"/>
              <w:jc w:val="center"/>
              <w:rPr>
                <w:rFonts w:ascii="仿宋" w:hAnsi="仿宋"/>
                <w:color w:val="auto"/>
                <w:highlight w:val="none"/>
              </w:rPr>
            </w:pPr>
            <w:r>
              <w:rPr>
                <w:rFonts w:hint="eastAsia" w:ascii="仿宋" w:hAnsi="仿宋" w:cs="Arial"/>
                <w:color w:val="auto"/>
                <w:highlight w:val="none"/>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color w:val="auto"/>
                <w:highlight w:val="none"/>
              </w:rPr>
            </w:pPr>
            <w:r>
              <w:rPr>
                <w:rFonts w:hint="eastAsia" w:ascii="仿宋" w:hAnsi="仿宋" w:cs="Arial"/>
                <w:color w:val="auto"/>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highlight w:val="none"/>
              </w:rPr>
            </w:pPr>
          </w:p>
        </w:tc>
      </w:tr>
    </w:tbl>
    <w:p>
      <w:pPr>
        <w:pStyle w:val="4"/>
        <w:spacing w:line="400" w:lineRule="exact"/>
        <w:ind w:firstLine="482" w:firstLineChars="200"/>
        <w:rPr>
          <w:rFonts w:ascii="仿宋" w:hAnsi="仿宋"/>
          <w:color w:val="auto"/>
          <w:sz w:val="24"/>
          <w:szCs w:val="24"/>
          <w:highlight w:val="none"/>
        </w:rPr>
      </w:pPr>
      <w:bookmarkStart w:id="178" w:name="_Toc217446108"/>
      <w:r>
        <w:rPr>
          <w:rFonts w:hint="eastAsia" w:ascii="仿宋" w:hAnsi="仿宋"/>
          <w:color w:val="auto"/>
          <w:sz w:val="24"/>
          <w:szCs w:val="24"/>
          <w:highlight w:val="none"/>
        </w:rPr>
        <w:t>二、合同总价</w:t>
      </w:r>
      <w:bookmarkEnd w:id="178"/>
    </w:p>
    <w:p>
      <w:pPr>
        <w:pStyle w:val="8"/>
        <w:spacing w:line="400" w:lineRule="exact"/>
        <w:ind w:firstLineChars="175"/>
        <w:rPr>
          <w:rFonts w:ascii="仿宋" w:hAnsi="仿宋"/>
          <w:color w:val="auto"/>
          <w:highlight w:val="none"/>
        </w:rPr>
      </w:pPr>
      <w:r>
        <w:rPr>
          <w:rFonts w:hint="eastAsia" w:ascii="仿宋" w:hAnsi="仿宋"/>
          <w:color w:val="auto"/>
          <w:highlight w:val="none"/>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482" w:firstLineChars="200"/>
        <w:rPr>
          <w:rFonts w:ascii="仿宋" w:hAnsi="仿宋"/>
          <w:color w:val="auto"/>
          <w:sz w:val="24"/>
          <w:szCs w:val="24"/>
          <w:highlight w:val="none"/>
        </w:rPr>
      </w:pPr>
      <w:bookmarkStart w:id="179" w:name="_Toc217446109"/>
      <w:r>
        <w:rPr>
          <w:rFonts w:hint="eastAsia" w:ascii="仿宋" w:hAnsi="仿宋"/>
          <w:color w:val="auto"/>
          <w:sz w:val="24"/>
          <w:szCs w:val="24"/>
          <w:highlight w:val="none"/>
        </w:rPr>
        <w:t>三、质量要求</w:t>
      </w:r>
      <w:bookmarkEnd w:id="179"/>
    </w:p>
    <w:p>
      <w:pPr>
        <w:pStyle w:val="79"/>
        <w:ind w:firstLine="480"/>
        <w:rPr>
          <w:rFonts w:ascii="仿宋" w:hAnsi="仿宋" w:eastAsia="仿宋"/>
          <w:color w:val="auto"/>
          <w:highlight w:val="none"/>
        </w:rPr>
      </w:pPr>
      <w:r>
        <w:rPr>
          <w:rFonts w:hint="eastAsia" w:ascii="仿宋" w:hAnsi="仿宋" w:eastAsia="仿宋"/>
          <w:color w:val="auto"/>
          <w:highlight w:val="none"/>
        </w:rPr>
        <w:t>1、乙方须提供全新的货物（含零部件、配件等），表面无划伤、无碰撞痕迹，且权属清楚，不得侵害他人的知识产权。</w:t>
      </w:r>
    </w:p>
    <w:p>
      <w:pPr>
        <w:pStyle w:val="79"/>
        <w:ind w:firstLine="480"/>
        <w:rPr>
          <w:rFonts w:ascii="仿宋" w:hAnsi="仿宋" w:eastAsia="仿宋"/>
          <w:color w:val="auto"/>
          <w:highlight w:val="none"/>
        </w:rPr>
      </w:pPr>
      <w:r>
        <w:rPr>
          <w:rFonts w:hint="eastAsia" w:ascii="仿宋" w:hAnsi="仿宋" w:eastAsia="仿宋"/>
          <w:color w:val="auto"/>
          <w:highlight w:val="none"/>
        </w:rPr>
        <w:t>2、货物必须符合或优于国家（行业）标准，以及本项目招标文件的质量要求和技术指标与出厂标准。</w:t>
      </w:r>
    </w:p>
    <w:p>
      <w:pPr>
        <w:pStyle w:val="79"/>
        <w:ind w:firstLine="480"/>
        <w:rPr>
          <w:rFonts w:ascii="仿宋" w:hAnsi="仿宋" w:eastAsia="仿宋"/>
          <w:color w:val="auto"/>
          <w:highlight w:val="none"/>
        </w:rPr>
      </w:pPr>
      <w:r>
        <w:rPr>
          <w:rFonts w:hint="eastAsia" w:ascii="仿宋" w:hAnsi="仿宋" w:eastAsia="仿宋"/>
          <w:color w:val="auto"/>
          <w:highlight w:val="none"/>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79"/>
        <w:ind w:firstLine="480"/>
        <w:rPr>
          <w:rFonts w:ascii="仿宋" w:hAnsi="仿宋" w:eastAsia="仿宋"/>
          <w:color w:val="auto"/>
          <w:highlight w:val="none"/>
        </w:rPr>
      </w:pPr>
      <w:r>
        <w:rPr>
          <w:rFonts w:hint="eastAsia" w:ascii="仿宋" w:hAnsi="仿宋" w:eastAsia="仿宋"/>
          <w:color w:val="auto"/>
          <w:highlight w:val="none"/>
        </w:rPr>
        <w:t>4、货物制造质量出现问题，乙方应负责三包（包修、包换、包退），费用由乙方负担，甲方有权到乙方生产场地检查货物质量和生产进度。</w:t>
      </w:r>
    </w:p>
    <w:p>
      <w:pPr>
        <w:pStyle w:val="79"/>
        <w:ind w:firstLine="480"/>
        <w:rPr>
          <w:rFonts w:ascii="仿宋" w:hAnsi="仿宋" w:eastAsia="仿宋"/>
          <w:color w:val="auto"/>
          <w:highlight w:val="none"/>
        </w:rPr>
      </w:pPr>
      <w:r>
        <w:rPr>
          <w:rFonts w:hint="eastAsia" w:ascii="仿宋" w:hAnsi="仿宋" w:eastAsia="仿宋"/>
          <w:color w:val="auto"/>
          <w:highlight w:val="none"/>
        </w:rPr>
        <w:t>5、货到现场后由于甲方保管不当造成的质量问题，乙方亦应负责修理，但费用由甲方负担。</w:t>
      </w:r>
    </w:p>
    <w:p>
      <w:pPr>
        <w:pStyle w:val="4"/>
        <w:spacing w:line="400" w:lineRule="exact"/>
        <w:ind w:firstLine="482" w:firstLineChars="200"/>
        <w:rPr>
          <w:rFonts w:ascii="仿宋" w:hAnsi="仿宋"/>
          <w:color w:val="auto"/>
          <w:sz w:val="24"/>
          <w:szCs w:val="24"/>
          <w:highlight w:val="none"/>
        </w:rPr>
      </w:pPr>
      <w:bookmarkStart w:id="180" w:name="_Toc217446110"/>
      <w:r>
        <w:rPr>
          <w:rFonts w:hint="eastAsia" w:ascii="仿宋" w:hAnsi="仿宋"/>
          <w:color w:val="auto"/>
          <w:sz w:val="24"/>
          <w:szCs w:val="24"/>
          <w:highlight w:val="none"/>
        </w:rPr>
        <w:t>四、交货及验收</w:t>
      </w:r>
      <w:bookmarkEnd w:id="180"/>
    </w:p>
    <w:p>
      <w:pPr>
        <w:pStyle w:val="79"/>
        <w:ind w:firstLine="480"/>
        <w:rPr>
          <w:rFonts w:ascii="仿宋" w:hAnsi="仿宋" w:eastAsia="仿宋"/>
          <w:color w:val="auto"/>
          <w:highlight w:val="none"/>
        </w:rPr>
      </w:pPr>
      <w:r>
        <w:rPr>
          <w:rFonts w:hint="eastAsia" w:ascii="仿宋" w:hAnsi="仿宋" w:eastAsia="仿宋"/>
          <w:color w:val="auto"/>
          <w:highlight w:val="none"/>
        </w:rPr>
        <w:t>1、乙方交货期限为合同签订生效后的</w:t>
      </w:r>
      <w:r>
        <w:rPr>
          <w:rFonts w:hint="eastAsia" w:ascii="仿宋" w:hAnsi="仿宋" w:eastAsia="仿宋"/>
          <w:color w:val="auto"/>
          <w:szCs w:val="21"/>
          <w:highlight w:val="none"/>
        </w:rPr>
        <w:t>XX</w:t>
      </w:r>
      <w:r>
        <w:rPr>
          <w:rFonts w:hint="eastAsia" w:ascii="仿宋" w:hAnsi="仿宋" w:eastAsia="仿宋"/>
          <w:color w:val="auto"/>
          <w:highlight w:val="none"/>
        </w:rPr>
        <w:t>日内，在合同签订生效之日起</w:t>
      </w:r>
      <w:r>
        <w:rPr>
          <w:rFonts w:hint="eastAsia" w:ascii="仿宋" w:hAnsi="仿宋" w:eastAsia="仿宋"/>
          <w:color w:val="auto"/>
          <w:szCs w:val="21"/>
          <w:highlight w:val="none"/>
        </w:rPr>
        <w:t>XX</w:t>
      </w:r>
      <w:r>
        <w:rPr>
          <w:rFonts w:hint="eastAsia" w:ascii="仿宋" w:hAnsi="仿宋" w:eastAsia="仿宋"/>
          <w:color w:val="auto"/>
          <w:highlight w:val="none"/>
        </w:rPr>
        <w:t>天内交货到甲方指定地点，随即在</w:t>
      </w:r>
      <w:r>
        <w:rPr>
          <w:rFonts w:hint="eastAsia" w:ascii="仿宋" w:hAnsi="仿宋" w:eastAsia="仿宋"/>
          <w:color w:val="auto"/>
          <w:szCs w:val="21"/>
          <w:highlight w:val="none"/>
        </w:rPr>
        <w:t>XX</w:t>
      </w:r>
      <w:r>
        <w:rPr>
          <w:rFonts w:hint="eastAsia" w:ascii="仿宋" w:hAnsi="仿宋" w:eastAsia="仿宋"/>
          <w:color w:val="auto"/>
          <w:highlight w:val="none"/>
        </w:rPr>
        <w:t>日内全部完成安装调试验收合格交付使用，并且最迟应在</w:t>
      </w:r>
      <w:r>
        <w:rPr>
          <w:rFonts w:hint="eastAsia" w:ascii="仿宋" w:hAnsi="仿宋" w:eastAsia="仿宋"/>
          <w:color w:val="auto"/>
          <w:szCs w:val="21"/>
          <w:highlight w:val="none"/>
        </w:rPr>
        <w:t>XX</w:t>
      </w:r>
      <w:r>
        <w:rPr>
          <w:rFonts w:hint="eastAsia" w:ascii="仿宋" w:hAnsi="仿宋" w:eastAsia="仿宋"/>
          <w:color w:val="auto"/>
          <w:highlight w:val="none"/>
        </w:rPr>
        <w:t>年</w:t>
      </w:r>
      <w:r>
        <w:rPr>
          <w:rFonts w:hint="eastAsia" w:ascii="仿宋" w:hAnsi="仿宋" w:eastAsia="仿宋"/>
          <w:color w:val="auto"/>
          <w:szCs w:val="21"/>
          <w:highlight w:val="none"/>
        </w:rPr>
        <w:t>XX</w:t>
      </w:r>
      <w:r>
        <w:rPr>
          <w:rFonts w:hint="eastAsia" w:ascii="仿宋" w:hAnsi="仿宋" w:eastAsia="仿宋"/>
          <w:color w:val="auto"/>
          <w:highlight w:val="none"/>
        </w:rPr>
        <w:t>月</w:t>
      </w:r>
      <w:r>
        <w:rPr>
          <w:rFonts w:hint="eastAsia" w:ascii="仿宋" w:hAnsi="仿宋" w:eastAsia="仿宋"/>
          <w:color w:val="auto"/>
          <w:szCs w:val="21"/>
          <w:highlight w:val="none"/>
        </w:rPr>
        <w:t>XX</w:t>
      </w:r>
      <w:r>
        <w:rPr>
          <w:rFonts w:hint="eastAsia" w:ascii="仿宋" w:hAnsi="仿宋" w:eastAsia="仿宋"/>
          <w:color w:val="auto"/>
          <w:highlight w:val="none"/>
        </w:rPr>
        <w:t>日前全部完成安装调试验收合格交付使用(如由于采购人的原因造成合同延迟签订或验收的，时间顺延)。交货验收时须提供产品质检部门从同类产品中抽样检查合格的检测报告。</w:t>
      </w:r>
    </w:p>
    <w:p>
      <w:pPr>
        <w:pStyle w:val="79"/>
        <w:ind w:firstLine="480"/>
        <w:rPr>
          <w:rFonts w:ascii="仿宋" w:hAnsi="仿宋" w:eastAsia="仿宋"/>
          <w:color w:val="auto"/>
          <w:highlight w:val="none"/>
        </w:rPr>
      </w:pPr>
      <w:r>
        <w:rPr>
          <w:rFonts w:hint="eastAsia" w:ascii="仿宋" w:hAnsi="仿宋" w:eastAsia="仿宋"/>
          <w:color w:val="auto"/>
          <w:highlight w:val="none"/>
        </w:rPr>
        <w:t>2、验收由甲方组织，乙方配合进行：</w:t>
      </w:r>
    </w:p>
    <w:p>
      <w:pPr>
        <w:pStyle w:val="79"/>
        <w:ind w:firstLine="480"/>
        <w:rPr>
          <w:rFonts w:ascii="仿宋" w:hAnsi="仿宋" w:eastAsia="仿宋"/>
          <w:color w:val="auto"/>
          <w:highlight w:val="none"/>
        </w:rPr>
      </w:pPr>
      <w:r>
        <w:rPr>
          <w:rFonts w:hint="eastAsia" w:ascii="仿宋" w:hAnsi="仿宋" w:eastAsia="仿宋"/>
          <w:color w:val="auto"/>
          <w:highlight w:val="none"/>
        </w:rPr>
        <w:t>(1) 货物在乙方通知安装调试完毕后日内初步验收。初步验收合格后，进入试用期；试用期间发生重大质量问题，修复后试用相应顺延；试用期结束后日内完成最终验收；</w:t>
      </w:r>
    </w:p>
    <w:p>
      <w:pPr>
        <w:pStyle w:val="79"/>
        <w:ind w:firstLine="480"/>
        <w:rPr>
          <w:rFonts w:ascii="仿宋" w:hAnsi="仿宋" w:eastAsia="仿宋"/>
          <w:color w:val="auto"/>
          <w:highlight w:val="none"/>
        </w:rPr>
      </w:pPr>
      <w:r>
        <w:rPr>
          <w:rFonts w:hint="eastAsia" w:ascii="仿宋" w:hAnsi="仿宋" w:eastAsia="仿宋"/>
          <w:color w:val="auto"/>
          <w:highlight w:val="none"/>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79"/>
        <w:ind w:firstLine="480"/>
        <w:rPr>
          <w:rFonts w:ascii="仿宋" w:hAnsi="仿宋" w:eastAsia="仿宋"/>
          <w:color w:val="auto"/>
          <w:highlight w:val="none"/>
        </w:rPr>
      </w:pPr>
      <w:r>
        <w:rPr>
          <w:rFonts w:hint="eastAsia" w:ascii="仿宋" w:hAnsi="仿宋" w:eastAsia="仿宋"/>
          <w:color w:val="auto"/>
          <w:highlight w:val="none"/>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79"/>
        <w:ind w:firstLine="480"/>
        <w:rPr>
          <w:rFonts w:ascii="仿宋" w:hAnsi="仿宋" w:eastAsia="仿宋"/>
          <w:color w:val="auto"/>
          <w:highlight w:val="none"/>
        </w:rPr>
      </w:pPr>
      <w:r>
        <w:rPr>
          <w:rFonts w:hint="eastAsia" w:ascii="仿宋" w:hAnsi="仿宋" w:eastAsia="仿宋"/>
          <w:color w:val="auto"/>
          <w:highlight w:val="none"/>
        </w:rPr>
        <w:t>(4) 如质量验收合格，双方签署质量验收报告。</w:t>
      </w:r>
    </w:p>
    <w:p>
      <w:pPr>
        <w:pStyle w:val="79"/>
        <w:ind w:firstLine="480"/>
        <w:rPr>
          <w:rFonts w:ascii="仿宋" w:hAnsi="仿宋" w:eastAsia="仿宋"/>
          <w:color w:val="auto"/>
          <w:highlight w:val="none"/>
        </w:rPr>
      </w:pPr>
      <w:r>
        <w:rPr>
          <w:rFonts w:hint="eastAsia" w:ascii="仿宋" w:hAnsi="仿宋" w:eastAsia="仿宋"/>
          <w:color w:val="auto"/>
          <w:highlight w:val="none"/>
        </w:rPr>
        <w:t>3、货物安装完成后日内，甲方无故不进行验收工作并已使用货物的，视同已安装调试完成并验收合格。</w:t>
      </w:r>
    </w:p>
    <w:p>
      <w:pPr>
        <w:pStyle w:val="79"/>
        <w:ind w:firstLine="480"/>
        <w:rPr>
          <w:rFonts w:ascii="仿宋" w:hAnsi="仿宋" w:eastAsia="仿宋"/>
          <w:color w:val="auto"/>
          <w:highlight w:val="none"/>
        </w:rPr>
      </w:pPr>
      <w:r>
        <w:rPr>
          <w:rFonts w:hint="eastAsia" w:ascii="仿宋" w:hAnsi="仿宋" w:eastAsia="仿宋"/>
          <w:color w:val="auto"/>
          <w:highlight w:val="none"/>
        </w:rPr>
        <w:t>4、乙方应将所提供货物的装箱清单、配件、随机工具、用户使用手册、原厂保修卡等资料交付给甲方；乙方不能完整交付货物及本款规定的单证和工具的，必须负责补齐，否则视为未按合同约定交货。</w:t>
      </w:r>
    </w:p>
    <w:p>
      <w:pPr>
        <w:pStyle w:val="79"/>
        <w:ind w:firstLine="480"/>
        <w:rPr>
          <w:rFonts w:ascii="仿宋" w:hAnsi="仿宋" w:eastAsia="仿宋"/>
          <w:color w:val="auto"/>
          <w:highlight w:val="none"/>
        </w:rPr>
      </w:pPr>
      <w:r>
        <w:rPr>
          <w:rFonts w:hint="eastAsia" w:ascii="仿宋" w:hAnsi="仿宋" w:eastAsia="仿宋"/>
          <w:color w:val="auto"/>
          <w:highlight w:val="none"/>
        </w:rPr>
        <w:t>5、如货物经乙方次维修仍不能达到合同约定的质量标准，甲方有权退货，并视作乙方不能交付货物而须支付违约赔偿金给甲方，甲方还可依法追究乙方的违约责任。</w:t>
      </w:r>
      <w:r>
        <w:rPr>
          <w:rFonts w:eastAsia="仿宋" w:cs="Calibri"/>
          <w:color w:val="auto"/>
          <w:highlight w:val="none"/>
        </w:rPr>
        <w:t> </w:t>
      </w:r>
    </w:p>
    <w:p>
      <w:pPr>
        <w:pStyle w:val="79"/>
        <w:ind w:firstLine="480"/>
        <w:rPr>
          <w:rFonts w:ascii="仿宋" w:hAnsi="仿宋" w:eastAsia="仿宋"/>
          <w:color w:val="auto"/>
          <w:highlight w:val="none"/>
        </w:rPr>
      </w:pPr>
      <w:r>
        <w:rPr>
          <w:rFonts w:hint="eastAsia" w:ascii="仿宋" w:hAnsi="仿宋" w:eastAsia="仿宋"/>
          <w:color w:val="auto"/>
          <w:highlight w:val="none"/>
        </w:rPr>
        <w:t>6、其他未尽事宜应严格按照《财政部关于进一步加强政府采购需求和履约验收管理的指导意见》（财库〔2016〕205号）等政府采购相关法律法规的要求进行。</w:t>
      </w:r>
    </w:p>
    <w:p>
      <w:pPr>
        <w:pStyle w:val="4"/>
        <w:spacing w:line="400" w:lineRule="exact"/>
        <w:ind w:firstLine="482" w:firstLineChars="200"/>
        <w:rPr>
          <w:rFonts w:ascii="仿宋" w:hAnsi="仿宋"/>
          <w:color w:val="auto"/>
          <w:sz w:val="24"/>
          <w:szCs w:val="24"/>
          <w:highlight w:val="none"/>
        </w:rPr>
      </w:pPr>
      <w:bookmarkStart w:id="181" w:name="_Toc217446111"/>
      <w:r>
        <w:rPr>
          <w:rFonts w:hint="eastAsia" w:ascii="仿宋" w:hAnsi="仿宋"/>
          <w:color w:val="auto"/>
          <w:sz w:val="24"/>
          <w:szCs w:val="24"/>
          <w:highlight w:val="none"/>
        </w:rPr>
        <w:t>五、付款方式</w:t>
      </w:r>
      <w:bookmarkEnd w:id="181"/>
    </w:p>
    <w:p>
      <w:pPr>
        <w:pStyle w:val="79"/>
        <w:ind w:firstLine="480"/>
        <w:rPr>
          <w:rFonts w:ascii="仿宋" w:hAnsi="仿宋" w:eastAsia="仿宋"/>
          <w:color w:val="auto"/>
          <w:highlight w:val="none"/>
        </w:rPr>
      </w:pPr>
      <w:r>
        <w:rPr>
          <w:rFonts w:hint="eastAsia" w:ascii="仿宋" w:hAnsi="仿宋" w:eastAsia="仿宋"/>
          <w:color w:val="auto"/>
          <w:highlight w:val="none"/>
        </w:rPr>
        <w:t>（一）适用于无预付款采购项目</w:t>
      </w:r>
    </w:p>
    <w:p>
      <w:pPr>
        <w:pStyle w:val="79"/>
        <w:ind w:firstLine="480"/>
        <w:rPr>
          <w:rFonts w:ascii="仿宋" w:hAnsi="仿宋" w:eastAsia="仿宋"/>
          <w:color w:val="auto"/>
          <w:highlight w:val="none"/>
        </w:rPr>
      </w:pPr>
      <w:r>
        <w:rPr>
          <w:rFonts w:hint="eastAsia" w:ascii="仿宋" w:hAnsi="仿宋" w:eastAsia="仿宋"/>
          <w:color w:val="auto"/>
          <w:highlight w:val="none"/>
        </w:rPr>
        <w:t>1、全部货物安装调试完毕并验收合格之日起，甲方接到乙方通知与票据凭证资料</w:t>
      </w:r>
      <w:r>
        <w:rPr>
          <w:rFonts w:hint="eastAsia" w:ascii="仿宋" w:hAnsi="仿宋" w:eastAsia="仿宋" w:cs="Times New Roman"/>
          <w:color w:val="auto"/>
          <w:spacing w:val="-6"/>
          <w:highlight w:val="none"/>
        </w:rPr>
        <w:t>以后的日内，按照财政性资金支付有关规定，向乙方支付合同价款￥元，人民币大写元整；</w:t>
      </w:r>
    </w:p>
    <w:p>
      <w:pPr>
        <w:pStyle w:val="79"/>
        <w:ind w:firstLine="480"/>
        <w:rPr>
          <w:rFonts w:ascii="仿宋" w:hAnsi="仿宋" w:eastAsia="仿宋"/>
          <w:color w:val="auto"/>
          <w:highlight w:val="none"/>
        </w:rPr>
      </w:pPr>
      <w:r>
        <w:rPr>
          <w:rFonts w:hint="eastAsia" w:ascii="仿宋" w:hAnsi="仿宋" w:eastAsia="仿宋"/>
          <w:color w:val="auto"/>
          <w:highlight w:val="none"/>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79"/>
        <w:ind w:firstLine="480"/>
        <w:rPr>
          <w:rFonts w:ascii="仿宋" w:hAnsi="仿宋" w:eastAsia="仿宋"/>
          <w:color w:val="auto"/>
          <w:highlight w:val="none"/>
        </w:rPr>
      </w:pPr>
      <w:r>
        <w:rPr>
          <w:rFonts w:hint="eastAsia" w:ascii="仿宋" w:hAnsi="仿宋" w:eastAsia="仿宋"/>
          <w:color w:val="auto"/>
          <w:highlight w:val="none"/>
        </w:rPr>
        <w:t>3、乙方须向甲方出具合法有效完整的完税发票及凭证资料进行支付结算。</w:t>
      </w:r>
    </w:p>
    <w:p>
      <w:pPr>
        <w:pStyle w:val="79"/>
        <w:ind w:firstLine="480"/>
        <w:rPr>
          <w:rFonts w:ascii="仿宋" w:hAnsi="仿宋" w:eastAsia="仿宋"/>
          <w:color w:val="auto"/>
          <w:highlight w:val="none"/>
        </w:rPr>
      </w:pPr>
      <w:r>
        <w:rPr>
          <w:rFonts w:hint="eastAsia" w:ascii="仿宋" w:hAnsi="仿宋" w:eastAsia="仿宋"/>
          <w:color w:val="auto"/>
          <w:highlight w:val="none"/>
        </w:rPr>
        <w:t>（二）适用于有预付款采购项目（预付款建议不超过政府采购合同金额的30%）</w:t>
      </w:r>
    </w:p>
    <w:p>
      <w:pPr>
        <w:pStyle w:val="79"/>
        <w:ind w:firstLine="480"/>
        <w:rPr>
          <w:rFonts w:ascii="仿宋" w:hAnsi="仿宋" w:eastAsia="仿宋"/>
          <w:color w:val="auto"/>
          <w:highlight w:val="none"/>
        </w:rPr>
      </w:pPr>
      <w:r>
        <w:rPr>
          <w:rFonts w:hint="eastAsia" w:ascii="仿宋" w:hAnsi="仿宋" w:eastAsia="仿宋"/>
          <w:color w:val="auto"/>
          <w:highlight w:val="none"/>
        </w:rPr>
        <w:t>1、甲方在本合同签订生效之日起接到乙方通知和票据凭证资料以及乙方交给甲方的合同履约保证金（按合同总价的百分之  计算款额￥元，人民币大写：元整）后的日内支付合同金额百分之的价款；</w:t>
      </w:r>
    </w:p>
    <w:p>
      <w:pPr>
        <w:pStyle w:val="79"/>
        <w:ind w:firstLine="480"/>
        <w:rPr>
          <w:rFonts w:ascii="仿宋" w:hAnsi="仿宋" w:eastAsia="仿宋"/>
          <w:color w:val="auto"/>
          <w:highlight w:val="none"/>
        </w:rPr>
      </w:pPr>
      <w:r>
        <w:rPr>
          <w:rFonts w:hint="eastAsia" w:ascii="仿宋" w:hAnsi="仿宋" w:eastAsia="仿宋"/>
          <w:color w:val="auto"/>
          <w:highlight w:val="none"/>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79"/>
        <w:ind w:firstLine="480"/>
        <w:rPr>
          <w:rFonts w:ascii="仿宋" w:hAnsi="仿宋" w:eastAsia="仿宋"/>
          <w:color w:val="auto"/>
          <w:highlight w:val="none"/>
        </w:rPr>
      </w:pPr>
      <w:r>
        <w:rPr>
          <w:rFonts w:hint="eastAsia" w:ascii="仿宋" w:hAnsi="仿宋" w:eastAsia="仿宋"/>
          <w:color w:val="auto"/>
          <w:highlight w:val="none"/>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79"/>
        <w:ind w:firstLine="480"/>
        <w:rPr>
          <w:rFonts w:ascii="仿宋" w:hAnsi="仿宋" w:eastAsia="仿宋"/>
          <w:color w:val="auto"/>
          <w:highlight w:val="none"/>
        </w:rPr>
      </w:pPr>
      <w:r>
        <w:rPr>
          <w:rFonts w:hint="eastAsia" w:ascii="仿宋" w:hAnsi="仿宋" w:eastAsia="仿宋"/>
          <w:color w:val="auto"/>
          <w:highlight w:val="none"/>
        </w:rPr>
        <w:t>4、乙方须向甲方出具合法有效完整的完税发票及凭证资料进行支付结算。</w:t>
      </w:r>
    </w:p>
    <w:p>
      <w:pPr>
        <w:pStyle w:val="4"/>
        <w:spacing w:line="400" w:lineRule="exact"/>
        <w:ind w:firstLine="482" w:firstLineChars="200"/>
        <w:rPr>
          <w:rFonts w:ascii="仿宋" w:hAnsi="仿宋"/>
          <w:color w:val="auto"/>
          <w:sz w:val="24"/>
          <w:szCs w:val="24"/>
          <w:highlight w:val="none"/>
        </w:rPr>
      </w:pPr>
      <w:bookmarkStart w:id="182" w:name="_Toc217446112"/>
      <w:r>
        <w:rPr>
          <w:rFonts w:hint="eastAsia" w:ascii="仿宋" w:hAnsi="仿宋"/>
          <w:color w:val="auto"/>
          <w:sz w:val="24"/>
          <w:szCs w:val="24"/>
          <w:highlight w:val="none"/>
        </w:rPr>
        <w:t>六、售后服务</w:t>
      </w:r>
      <w:bookmarkEnd w:id="182"/>
    </w:p>
    <w:p>
      <w:pPr>
        <w:pStyle w:val="79"/>
        <w:ind w:firstLine="480"/>
        <w:rPr>
          <w:rFonts w:ascii="仿宋" w:hAnsi="仿宋" w:eastAsia="仿宋"/>
          <w:color w:val="auto"/>
          <w:highlight w:val="none"/>
        </w:rPr>
      </w:pPr>
      <w:r>
        <w:rPr>
          <w:rFonts w:hint="eastAsia" w:ascii="仿宋" w:hAnsi="仿宋" w:eastAsia="仿宋"/>
          <w:color w:val="auto"/>
          <w:highlight w:val="none"/>
        </w:rPr>
        <w:t>1、质保期为验收合格后</w:t>
      </w:r>
      <w:r>
        <w:rPr>
          <w:rFonts w:hint="eastAsia" w:ascii="仿宋" w:hAnsi="仿宋" w:eastAsia="仿宋"/>
          <w:color w:val="auto"/>
          <w:szCs w:val="21"/>
          <w:highlight w:val="none"/>
        </w:rPr>
        <w:t>XX</w:t>
      </w:r>
      <w:r>
        <w:rPr>
          <w:rFonts w:hint="eastAsia" w:ascii="仿宋" w:hAnsi="仿宋" w:eastAsia="仿宋"/>
          <w:color w:val="auto"/>
          <w:highlight w:val="none"/>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79"/>
        <w:ind w:firstLine="480"/>
        <w:rPr>
          <w:rFonts w:ascii="仿宋" w:hAnsi="仿宋" w:eastAsia="仿宋"/>
          <w:color w:val="auto"/>
          <w:highlight w:val="none"/>
        </w:rPr>
      </w:pPr>
      <w:r>
        <w:rPr>
          <w:rFonts w:hint="eastAsia" w:ascii="仿宋" w:hAnsi="仿宋" w:eastAsia="仿宋"/>
          <w:color w:val="auto"/>
          <w:highlight w:val="none"/>
        </w:rPr>
        <w:t>2、乙方须指派专人负责与甲方联系售后服务事宜。</w:t>
      </w:r>
      <w:r>
        <w:rPr>
          <w:rFonts w:eastAsia="仿宋" w:cs="Calibri"/>
          <w:color w:val="auto"/>
          <w:highlight w:val="none"/>
        </w:rPr>
        <w:t> </w:t>
      </w:r>
    </w:p>
    <w:p>
      <w:pPr>
        <w:pStyle w:val="4"/>
        <w:spacing w:line="400" w:lineRule="exact"/>
        <w:ind w:firstLine="482" w:firstLineChars="200"/>
        <w:rPr>
          <w:rFonts w:ascii="仿宋" w:hAnsi="仿宋"/>
          <w:color w:val="auto"/>
          <w:sz w:val="24"/>
          <w:szCs w:val="24"/>
          <w:highlight w:val="none"/>
        </w:rPr>
      </w:pPr>
      <w:bookmarkStart w:id="183" w:name="_Toc217446113"/>
      <w:r>
        <w:rPr>
          <w:rFonts w:hint="eastAsia" w:ascii="仿宋" w:hAnsi="仿宋"/>
          <w:color w:val="auto"/>
          <w:sz w:val="24"/>
          <w:szCs w:val="24"/>
          <w:highlight w:val="none"/>
        </w:rPr>
        <w:t>七、违约责任</w:t>
      </w:r>
      <w:bookmarkEnd w:id="183"/>
    </w:p>
    <w:p>
      <w:pPr>
        <w:pStyle w:val="79"/>
        <w:ind w:firstLine="480"/>
        <w:rPr>
          <w:rFonts w:ascii="仿宋" w:hAnsi="仿宋" w:eastAsia="仿宋"/>
          <w:color w:val="auto"/>
          <w:highlight w:val="none"/>
        </w:rPr>
      </w:pPr>
      <w:r>
        <w:rPr>
          <w:rFonts w:hint="eastAsia" w:ascii="仿宋" w:hAnsi="仿宋" w:eastAsia="仿宋"/>
          <w:color w:val="auto"/>
          <w:highlight w:val="none"/>
        </w:rPr>
        <w:t>1、甲方违约责任</w:t>
      </w:r>
    </w:p>
    <w:p>
      <w:pPr>
        <w:pStyle w:val="79"/>
        <w:ind w:firstLine="480"/>
        <w:rPr>
          <w:rFonts w:ascii="仿宋" w:hAnsi="仿宋" w:eastAsia="仿宋"/>
          <w:color w:val="auto"/>
          <w:highlight w:val="none"/>
        </w:rPr>
      </w:pPr>
      <w:r>
        <w:rPr>
          <w:rFonts w:hint="eastAsia" w:ascii="仿宋" w:hAnsi="仿宋" w:eastAsia="仿宋"/>
          <w:color w:val="auto"/>
          <w:highlight w:val="none"/>
        </w:rPr>
        <w:t>（1） 甲方无正当理由拒收货物的，甲方应偿付合同总价百分之  的违约金；</w:t>
      </w:r>
    </w:p>
    <w:p>
      <w:pPr>
        <w:pStyle w:val="79"/>
        <w:ind w:firstLine="480"/>
        <w:rPr>
          <w:rFonts w:ascii="仿宋" w:hAnsi="仿宋" w:eastAsia="仿宋"/>
          <w:color w:val="auto"/>
          <w:highlight w:val="none"/>
        </w:rPr>
      </w:pPr>
      <w:r>
        <w:rPr>
          <w:rFonts w:hint="eastAsia" w:ascii="仿宋" w:hAnsi="仿宋" w:eastAsia="仿宋"/>
          <w:color w:val="auto"/>
          <w:highlight w:val="none"/>
        </w:rPr>
        <w:t>（2） 甲方逾期支付货款的，除应及时付足货款外，应向乙方偿付欠款总额万分之/天的违约金；逾期付款超过天的，乙方有权终止合同；</w:t>
      </w:r>
    </w:p>
    <w:p>
      <w:pPr>
        <w:pStyle w:val="79"/>
        <w:ind w:firstLine="480"/>
        <w:rPr>
          <w:rFonts w:ascii="仿宋" w:hAnsi="仿宋" w:eastAsia="仿宋"/>
          <w:color w:val="auto"/>
          <w:highlight w:val="none"/>
        </w:rPr>
      </w:pPr>
      <w:r>
        <w:rPr>
          <w:rFonts w:hint="eastAsia" w:ascii="仿宋" w:hAnsi="仿宋" w:eastAsia="仿宋"/>
          <w:color w:val="auto"/>
          <w:highlight w:val="none"/>
        </w:rPr>
        <w:t>（3） 甲方偿付的违约金不足以弥补乙方损失的，还应按乙方损失尚未弥补的部分，支付赔偿金给乙方。</w:t>
      </w:r>
    </w:p>
    <w:p>
      <w:pPr>
        <w:pStyle w:val="79"/>
        <w:ind w:firstLine="480"/>
        <w:rPr>
          <w:rFonts w:ascii="仿宋" w:hAnsi="仿宋" w:eastAsia="仿宋"/>
          <w:color w:val="auto"/>
          <w:highlight w:val="none"/>
        </w:rPr>
      </w:pPr>
      <w:r>
        <w:rPr>
          <w:rFonts w:hint="eastAsia" w:ascii="仿宋" w:hAnsi="仿宋" w:eastAsia="仿宋"/>
          <w:color w:val="auto"/>
          <w:highlight w:val="none"/>
        </w:rPr>
        <w:t>2、乙方违约责任</w:t>
      </w:r>
    </w:p>
    <w:p>
      <w:pPr>
        <w:pStyle w:val="79"/>
        <w:ind w:firstLine="480"/>
        <w:rPr>
          <w:rFonts w:ascii="仿宋" w:hAnsi="仿宋" w:eastAsia="仿宋"/>
          <w:color w:val="auto"/>
          <w:highlight w:val="none"/>
        </w:rPr>
      </w:pPr>
      <w:r>
        <w:rPr>
          <w:rFonts w:hint="eastAsia" w:ascii="仿宋" w:hAnsi="仿宋" w:eastAsia="仿宋"/>
          <w:color w:val="auto"/>
          <w:highlight w:val="none"/>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79"/>
        <w:ind w:firstLine="480"/>
        <w:rPr>
          <w:rFonts w:ascii="仿宋" w:hAnsi="仿宋" w:eastAsia="仿宋"/>
          <w:color w:val="auto"/>
          <w:highlight w:val="none"/>
        </w:rPr>
      </w:pPr>
      <w:r>
        <w:rPr>
          <w:rFonts w:hint="eastAsia" w:ascii="仿宋" w:hAnsi="仿宋" w:eastAsia="仿宋"/>
          <w:color w:val="auto"/>
          <w:highlight w:val="none"/>
        </w:rPr>
        <w:t>（2）乙方不能交付货物或逾期交付货物而违约的，除应及时交足货物外，应向甲方偿付逾期交货部分货款总额的万分之/天的违约金；逾期交货超过</w:t>
      </w:r>
      <w:r>
        <w:rPr>
          <w:rFonts w:hint="eastAsia" w:ascii="仿宋" w:hAnsi="仿宋" w:eastAsia="仿宋"/>
          <w:color w:val="auto"/>
          <w:szCs w:val="21"/>
          <w:highlight w:val="none"/>
        </w:rPr>
        <w:t>XX</w:t>
      </w:r>
      <w:r>
        <w:rPr>
          <w:rFonts w:hint="eastAsia" w:ascii="仿宋" w:hAnsi="仿宋" w:eastAsia="仿宋"/>
          <w:color w:val="auto"/>
          <w:highlight w:val="none"/>
        </w:rPr>
        <w:t>天，甲方有权终止合同，乙方则应按合同总价的百分之的款额向甲方偿付赔偿金，并须全额退还甲方已经付给乙方的货款及其利息。</w:t>
      </w:r>
    </w:p>
    <w:p>
      <w:pPr>
        <w:pStyle w:val="79"/>
        <w:ind w:firstLine="480"/>
        <w:rPr>
          <w:rFonts w:ascii="仿宋" w:hAnsi="仿宋" w:eastAsia="仿宋"/>
          <w:color w:val="auto"/>
          <w:highlight w:val="none"/>
        </w:rPr>
      </w:pPr>
      <w:r>
        <w:rPr>
          <w:rFonts w:hint="eastAsia" w:ascii="仿宋" w:hAnsi="仿宋" w:eastAsia="仿宋"/>
          <w:color w:val="auto"/>
          <w:highlight w:val="none"/>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79"/>
        <w:ind w:firstLine="480"/>
        <w:rPr>
          <w:rFonts w:ascii="仿宋" w:hAnsi="仿宋" w:eastAsia="仿宋"/>
          <w:color w:val="auto"/>
          <w:highlight w:val="none"/>
        </w:rPr>
      </w:pPr>
      <w:r>
        <w:rPr>
          <w:rFonts w:hint="eastAsia" w:ascii="仿宋" w:hAnsi="仿宋" w:eastAsia="仿宋"/>
          <w:color w:val="auto"/>
          <w:highlight w:val="none"/>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79"/>
        <w:ind w:firstLine="480"/>
        <w:rPr>
          <w:rFonts w:ascii="仿宋" w:hAnsi="仿宋" w:eastAsia="仿宋"/>
          <w:color w:val="auto"/>
          <w:highlight w:val="none"/>
        </w:rPr>
      </w:pPr>
      <w:r>
        <w:rPr>
          <w:rFonts w:hint="eastAsia" w:ascii="仿宋" w:hAnsi="仿宋" w:eastAsia="仿宋"/>
          <w:color w:val="auto"/>
          <w:highlight w:val="none"/>
        </w:rPr>
        <w:t>（5）乙方偿付的违约金不足以弥补甲方损失的，还应按甲方损失尚未弥补的部分，支付赔偿金给甲方。</w:t>
      </w:r>
    </w:p>
    <w:p>
      <w:pPr>
        <w:pStyle w:val="4"/>
        <w:spacing w:line="400" w:lineRule="exact"/>
        <w:ind w:firstLine="482" w:firstLineChars="200"/>
        <w:rPr>
          <w:rFonts w:ascii="仿宋" w:hAnsi="仿宋"/>
          <w:color w:val="auto"/>
          <w:sz w:val="24"/>
          <w:szCs w:val="24"/>
          <w:highlight w:val="none"/>
        </w:rPr>
      </w:pPr>
      <w:bookmarkStart w:id="184" w:name="_Toc217446114"/>
      <w:r>
        <w:rPr>
          <w:rFonts w:hint="eastAsia" w:ascii="仿宋" w:hAnsi="仿宋"/>
          <w:color w:val="auto"/>
          <w:sz w:val="24"/>
          <w:szCs w:val="24"/>
          <w:highlight w:val="none"/>
        </w:rPr>
        <w:t>八、争议解决办法</w:t>
      </w:r>
      <w:bookmarkEnd w:id="184"/>
    </w:p>
    <w:p>
      <w:pPr>
        <w:pStyle w:val="79"/>
        <w:ind w:firstLine="480"/>
        <w:rPr>
          <w:rFonts w:ascii="仿宋" w:hAnsi="仿宋" w:eastAsia="仿宋"/>
          <w:color w:val="auto"/>
          <w:highlight w:val="none"/>
        </w:rPr>
      </w:pPr>
      <w:r>
        <w:rPr>
          <w:rFonts w:hint="eastAsia" w:ascii="仿宋" w:hAnsi="仿宋" w:eastAsia="仿宋"/>
          <w:color w:val="auto"/>
          <w:highlight w:val="none"/>
        </w:rPr>
        <w:t>1、因货物的质量问题发生争议，由质量技术监督部门或其指定的质量鉴定机构进行质量鉴定。货物符合标准的，鉴定费由甲方承担；货物不符合质量标准的，鉴定费由乙方承担。</w:t>
      </w:r>
    </w:p>
    <w:p>
      <w:pPr>
        <w:pStyle w:val="79"/>
        <w:ind w:firstLine="480"/>
        <w:rPr>
          <w:rFonts w:ascii="仿宋" w:hAnsi="仿宋" w:eastAsia="仿宋"/>
          <w:color w:val="auto"/>
          <w:highlight w:val="none"/>
        </w:rPr>
      </w:pPr>
      <w:r>
        <w:rPr>
          <w:rFonts w:hint="eastAsia" w:ascii="仿宋" w:hAnsi="仿宋" w:eastAsia="仿宋"/>
          <w:color w:val="auto"/>
          <w:highlight w:val="none"/>
        </w:rPr>
        <w:t>2、合同履行期间,若双方发生争议，可协商或由有关部门调解解决，协商或调解不成的，由当事人依法维护其合法权益。</w:t>
      </w:r>
    </w:p>
    <w:p>
      <w:pPr>
        <w:pStyle w:val="4"/>
        <w:spacing w:line="400" w:lineRule="exact"/>
        <w:ind w:firstLine="482" w:firstLineChars="200"/>
        <w:rPr>
          <w:rFonts w:ascii="仿宋" w:hAnsi="仿宋"/>
          <w:color w:val="auto"/>
          <w:sz w:val="24"/>
          <w:szCs w:val="24"/>
          <w:highlight w:val="none"/>
        </w:rPr>
      </w:pPr>
      <w:bookmarkStart w:id="185" w:name="_Toc217446115"/>
      <w:r>
        <w:rPr>
          <w:rFonts w:hint="eastAsia" w:ascii="仿宋" w:hAnsi="仿宋"/>
          <w:color w:val="auto"/>
          <w:sz w:val="24"/>
          <w:szCs w:val="24"/>
          <w:highlight w:val="none"/>
        </w:rPr>
        <w:t>九、其他</w:t>
      </w:r>
      <w:bookmarkEnd w:id="185"/>
    </w:p>
    <w:p>
      <w:pPr>
        <w:pStyle w:val="79"/>
        <w:ind w:firstLine="480"/>
        <w:rPr>
          <w:rFonts w:ascii="仿宋" w:hAnsi="仿宋" w:eastAsia="仿宋"/>
          <w:color w:val="auto"/>
          <w:highlight w:val="none"/>
        </w:rPr>
      </w:pPr>
      <w:r>
        <w:rPr>
          <w:rFonts w:hint="eastAsia" w:ascii="仿宋" w:hAnsi="仿宋" w:eastAsia="仿宋"/>
          <w:color w:val="auto"/>
          <w:highlight w:val="none"/>
        </w:rPr>
        <w:t>1、如有未尽事宜，由双方依法订立补充合同。</w:t>
      </w:r>
    </w:p>
    <w:p>
      <w:pPr>
        <w:pStyle w:val="79"/>
        <w:ind w:firstLine="480"/>
        <w:rPr>
          <w:rFonts w:ascii="仿宋" w:hAnsi="仿宋" w:eastAsia="仿宋"/>
          <w:color w:val="auto"/>
          <w:highlight w:val="none"/>
        </w:rPr>
      </w:pPr>
      <w:r>
        <w:rPr>
          <w:rFonts w:hint="eastAsia" w:ascii="仿宋" w:hAnsi="仿宋" w:eastAsia="仿宋"/>
          <w:color w:val="auto"/>
          <w:highlight w:val="none"/>
        </w:rPr>
        <w:t>2、本合同一式六份，自双方签章之日起生效。甲方三份，乙方、政府采购管理部门、采购代理机构各一份。</w:t>
      </w:r>
    </w:p>
    <w:p>
      <w:pPr>
        <w:spacing w:line="400" w:lineRule="exact"/>
        <w:rPr>
          <w:rFonts w:ascii="仿宋" w:hAnsi="仿宋"/>
          <w:color w:val="auto"/>
          <w:highlight w:val="none"/>
        </w:rPr>
      </w:pPr>
    </w:p>
    <w:p>
      <w:pPr>
        <w:spacing w:line="400" w:lineRule="exact"/>
        <w:ind w:firstLine="480" w:firstLineChars="200"/>
        <w:rPr>
          <w:rFonts w:ascii="仿宋" w:hAnsi="仿宋"/>
          <w:color w:val="auto"/>
          <w:highlight w:val="none"/>
        </w:rPr>
      </w:pPr>
      <w:r>
        <w:rPr>
          <w:rFonts w:hint="eastAsia" w:ascii="仿宋" w:hAnsi="仿宋"/>
          <w:color w:val="auto"/>
          <w:highlight w:val="none"/>
        </w:rPr>
        <w:t xml:space="preserve">甲方：   （盖章）   </w:t>
      </w:r>
      <w:r>
        <w:rPr>
          <w:rFonts w:hint="eastAsia" w:ascii="仿宋" w:hAnsi="仿宋"/>
          <w:color w:val="auto"/>
          <w:highlight w:val="none"/>
        </w:rPr>
        <w:tab/>
      </w:r>
      <w:r>
        <w:rPr>
          <w:rFonts w:hint="eastAsia" w:ascii="仿宋" w:hAnsi="仿宋"/>
          <w:color w:val="auto"/>
          <w:highlight w:val="none"/>
        </w:rPr>
        <w:tab/>
      </w:r>
      <w:r>
        <w:rPr>
          <w:rFonts w:hint="eastAsia" w:ascii="仿宋" w:hAnsi="仿宋"/>
          <w:color w:val="auto"/>
          <w:highlight w:val="none"/>
        </w:rPr>
        <w:tab/>
      </w:r>
      <w:r>
        <w:rPr>
          <w:rFonts w:hint="eastAsia" w:ascii="仿宋" w:hAnsi="仿宋"/>
          <w:color w:val="auto"/>
          <w:highlight w:val="none"/>
        </w:rPr>
        <w:t xml:space="preserve">       乙方：   （盖章）</w:t>
      </w:r>
    </w:p>
    <w:p>
      <w:pPr>
        <w:spacing w:line="400" w:lineRule="exact"/>
        <w:ind w:firstLine="480" w:firstLineChars="200"/>
        <w:rPr>
          <w:rFonts w:ascii="仿宋" w:hAnsi="仿宋"/>
          <w:color w:val="auto"/>
          <w:highlight w:val="none"/>
        </w:rPr>
      </w:pPr>
      <w:r>
        <w:rPr>
          <w:rFonts w:hint="eastAsia" w:ascii="仿宋" w:hAnsi="仿宋"/>
          <w:color w:val="auto"/>
          <w:highlight w:val="none"/>
        </w:rPr>
        <w:t>法定代表人/单位负责人：            法定代表人/单位负责人 ：</w:t>
      </w:r>
    </w:p>
    <w:p>
      <w:pPr>
        <w:spacing w:line="400" w:lineRule="exact"/>
        <w:ind w:firstLine="480" w:firstLineChars="200"/>
        <w:rPr>
          <w:rFonts w:ascii="仿宋" w:hAnsi="仿宋"/>
          <w:color w:val="auto"/>
          <w:highlight w:val="none"/>
        </w:rPr>
      </w:pPr>
      <w:r>
        <w:rPr>
          <w:rFonts w:hint="eastAsia" w:ascii="仿宋" w:hAnsi="仿宋"/>
          <w:color w:val="auto"/>
          <w:highlight w:val="none"/>
        </w:rPr>
        <w:t>地    址：                         地    址：</w:t>
      </w:r>
    </w:p>
    <w:p>
      <w:pPr>
        <w:spacing w:line="400" w:lineRule="exact"/>
        <w:ind w:firstLine="480" w:firstLineChars="200"/>
        <w:rPr>
          <w:rFonts w:ascii="仿宋" w:hAnsi="仿宋"/>
          <w:color w:val="auto"/>
          <w:highlight w:val="none"/>
        </w:rPr>
      </w:pPr>
      <w:r>
        <w:rPr>
          <w:rFonts w:hint="eastAsia" w:ascii="仿宋" w:hAnsi="仿宋"/>
          <w:color w:val="auto"/>
          <w:highlight w:val="none"/>
        </w:rPr>
        <w:t>开户银行：                         开户银行：</w:t>
      </w:r>
    </w:p>
    <w:p>
      <w:pPr>
        <w:spacing w:line="400" w:lineRule="exact"/>
        <w:ind w:firstLine="480" w:firstLineChars="200"/>
        <w:rPr>
          <w:rFonts w:ascii="仿宋" w:hAnsi="仿宋"/>
          <w:color w:val="auto"/>
          <w:highlight w:val="none"/>
        </w:rPr>
      </w:pPr>
      <w:r>
        <w:rPr>
          <w:rFonts w:hint="eastAsia" w:ascii="仿宋" w:hAnsi="仿宋"/>
          <w:color w:val="auto"/>
          <w:highlight w:val="none"/>
        </w:rPr>
        <w:t>账号：                             账号：</w:t>
      </w:r>
    </w:p>
    <w:p>
      <w:pPr>
        <w:spacing w:line="400" w:lineRule="exact"/>
        <w:ind w:firstLine="480" w:firstLineChars="200"/>
        <w:rPr>
          <w:rFonts w:ascii="仿宋" w:hAnsi="仿宋"/>
          <w:color w:val="auto"/>
          <w:highlight w:val="none"/>
        </w:rPr>
      </w:pPr>
      <w:r>
        <w:rPr>
          <w:rFonts w:hint="eastAsia" w:ascii="仿宋" w:hAnsi="仿宋"/>
          <w:color w:val="auto"/>
          <w:highlight w:val="none"/>
        </w:rPr>
        <w:t>电    话：                         电    话：</w:t>
      </w:r>
    </w:p>
    <w:p>
      <w:pPr>
        <w:spacing w:line="400" w:lineRule="exact"/>
        <w:ind w:firstLine="480" w:firstLineChars="200"/>
        <w:rPr>
          <w:rFonts w:ascii="仿宋" w:hAnsi="仿宋"/>
          <w:color w:val="auto"/>
          <w:highlight w:val="none"/>
        </w:rPr>
      </w:pPr>
      <w:r>
        <w:rPr>
          <w:rFonts w:hint="eastAsia" w:ascii="仿宋" w:hAnsi="仿宋"/>
          <w:color w:val="auto"/>
          <w:highlight w:val="none"/>
        </w:rPr>
        <w:t>传    真：                         传    真：</w:t>
      </w:r>
    </w:p>
    <w:p>
      <w:pPr>
        <w:ind w:firstLine="480" w:firstLineChars="200"/>
        <w:rPr>
          <w:rFonts w:ascii="仿宋" w:hAnsi="仿宋"/>
          <w:b/>
          <w:color w:val="auto"/>
          <w:kern w:val="44"/>
          <w:sz w:val="36"/>
          <w:szCs w:val="36"/>
          <w:highlight w:val="none"/>
        </w:rPr>
        <w:sectPr>
          <w:footerReference r:id="rId13" w:type="default"/>
          <w:pgSz w:w="11905" w:h="16838"/>
          <w:pgMar w:top="1417" w:right="1417" w:bottom="1417" w:left="1417" w:header="425" w:footer="992" w:gutter="0"/>
          <w:cols w:space="0" w:num="1"/>
          <w:docGrid w:type="lines" w:linePitch="332" w:charSpace="0"/>
        </w:sectPr>
      </w:pPr>
      <w:r>
        <w:rPr>
          <w:rFonts w:hint="eastAsia" w:ascii="仿宋" w:hAnsi="仿宋"/>
          <w:color w:val="auto"/>
          <w:highlight w:val="none"/>
        </w:rPr>
        <w:t>签约日期：</w:t>
      </w:r>
      <w:r>
        <w:rPr>
          <w:rFonts w:hint="eastAsia" w:ascii="仿宋" w:hAnsi="仿宋"/>
          <w:color w:val="auto"/>
          <w:szCs w:val="21"/>
          <w:highlight w:val="none"/>
        </w:rPr>
        <w:t>XX</w:t>
      </w:r>
      <w:r>
        <w:rPr>
          <w:rFonts w:hint="eastAsia" w:ascii="仿宋" w:hAnsi="仿宋"/>
          <w:color w:val="auto"/>
          <w:highlight w:val="none"/>
        </w:rPr>
        <w:t>年</w:t>
      </w:r>
      <w:r>
        <w:rPr>
          <w:rFonts w:hint="eastAsia" w:ascii="仿宋" w:hAnsi="仿宋"/>
          <w:color w:val="auto"/>
          <w:szCs w:val="21"/>
          <w:highlight w:val="none"/>
        </w:rPr>
        <w:t>XX</w:t>
      </w:r>
      <w:r>
        <w:rPr>
          <w:rFonts w:hint="eastAsia" w:ascii="仿宋" w:hAnsi="仿宋"/>
          <w:color w:val="auto"/>
          <w:highlight w:val="none"/>
        </w:rPr>
        <w:t>月</w:t>
      </w:r>
      <w:r>
        <w:rPr>
          <w:rFonts w:hint="eastAsia" w:ascii="仿宋" w:hAnsi="仿宋"/>
          <w:color w:val="auto"/>
          <w:szCs w:val="21"/>
          <w:highlight w:val="none"/>
        </w:rPr>
        <w:t>XX</w:t>
      </w:r>
      <w:r>
        <w:rPr>
          <w:rFonts w:hint="eastAsia" w:ascii="仿宋" w:hAnsi="仿宋"/>
          <w:color w:val="auto"/>
          <w:highlight w:val="none"/>
        </w:rPr>
        <w:t xml:space="preserve">日 </w:t>
      </w:r>
      <w:r>
        <w:rPr>
          <w:rFonts w:hint="eastAsia" w:ascii="仿宋" w:hAnsi="仿宋"/>
          <w:color w:val="auto"/>
          <w:highlight w:val="none"/>
        </w:rPr>
        <w:tab/>
      </w:r>
      <w:r>
        <w:rPr>
          <w:rFonts w:hint="eastAsia" w:ascii="仿宋" w:hAnsi="仿宋"/>
          <w:color w:val="auto"/>
          <w:highlight w:val="none"/>
        </w:rPr>
        <w:tab/>
      </w:r>
      <w:r>
        <w:rPr>
          <w:rFonts w:hint="eastAsia" w:ascii="仿宋" w:hAnsi="仿宋"/>
          <w:color w:val="auto"/>
          <w:highlight w:val="none"/>
        </w:rPr>
        <w:tab/>
      </w:r>
      <w:r>
        <w:rPr>
          <w:rFonts w:hint="eastAsia" w:ascii="仿宋" w:hAnsi="仿宋"/>
          <w:color w:val="auto"/>
          <w:highlight w:val="none"/>
        </w:rPr>
        <w:t>签约日期：</w:t>
      </w:r>
      <w:r>
        <w:rPr>
          <w:rFonts w:hint="eastAsia" w:ascii="仿宋" w:hAnsi="仿宋"/>
          <w:color w:val="auto"/>
          <w:szCs w:val="21"/>
          <w:highlight w:val="none"/>
        </w:rPr>
        <w:t>XX</w:t>
      </w:r>
      <w:r>
        <w:rPr>
          <w:rFonts w:hint="eastAsia" w:ascii="仿宋" w:hAnsi="仿宋"/>
          <w:color w:val="auto"/>
          <w:highlight w:val="none"/>
        </w:rPr>
        <w:t>年</w:t>
      </w:r>
      <w:r>
        <w:rPr>
          <w:rFonts w:hint="eastAsia" w:ascii="仿宋" w:hAnsi="仿宋"/>
          <w:color w:val="auto"/>
          <w:szCs w:val="21"/>
          <w:highlight w:val="none"/>
        </w:rPr>
        <w:t>XX</w:t>
      </w:r>
      <w:r>
        <w:rPr>
          <w:rFonts w:hint="eastAsia" w:ascii="仿宋" w:hAnsi="仿宋"/>
          <w:color w:val="auto"/>
          <w:highlight w:val="none"/>
        </w:rPr>
        <w:t>月</w:t>
      </w:r>
      <w:r>
        <w:rPr>
          <w:rFonts w:hint="eastAsia" w:ascii="仿宋" w:hAnsi="仿宋"/>
          <w:color w:val="auto"/>
          <w:szCs w:val="21"/>
          <w:highlight w:val="none"/>
        </w:rPr>
        <w:t>XX日</w:t>
      </w:r>
    </w:p>
    <w:bookmarkEnd w:id="154"/>
    <w:p>
      <w:pPr>
        <w:widowControl/>
        <w:spacing w:line="360" w:lineRule="atLeast"/>
        <w:outlineLvl w:val="1"/>
        <w:rPr>
          <w:rFonts w:ascii="仿宋" w:hAnsi="仿宋"/>
          <w:b/>
          <w:color w:val="auto"/>
          <w:sz w:val="32"/>
          <w:szCs w:val="32"/>
          <w:highlight w:val="none"/>
        </w:rPr>
      </w:pPr>
      <w:r>
        <w:rPr>
          <w:rFonts w:hint="eastAsia" w:ascii="仿宋" w:hAnsi="仿宋"/>
          <w:b/>
          <w:color w:val="auto"/>
          <w:sz w:val="32"/>
          <w:szCs w:val="32"/>
          <w:highlight w:val="none"/>
        </w:rPr>
        <w:t>附件一：川财采〔2018〕123号</w:t>
      </w:r>
    </w:p>
    <w:p>
      <w:pPr>
        <w:rPr>
          <w:rFonts w:ascii="仿宋" w:hAnsi="仿宋"/>
          <w:color w:val="auto"/>
          <w:highlight w:val="none"/>
        </w:rPr>
      </w:pPr>
    </w:p>
    <w:p>
      <w:pPr>
        <w:rPr>
          <w:rFonts w:ascii="仿宋" w:hAnsi="仿宋"/>
          <w:color w:val="auto"/>
          <w:highlight w:val="none"/>
        </w:rPr>
      </w:pPr>
      <w:r>
        <w:rPr>
          <w:rFonts w:ascii="仿宋" w:hAnsi="仿宋"/>
          <w:color w:val="auto"/>
          <w:highlight w:val="none"/>
        </w:rPr>
        <w:drawing>
          <wp:inline distT="0" distB="0" distL="0" distR="0">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rFonts w:ascii="仿宋" w:hAnsi="仿宋"/>
          <w:color w:val="auto"/>
          <w:highlight w:val="none"/>
        </w:rPr>
      </w:pPr>
      <w:r>
        <w:rPr>
          <w:rFonts w:ascii="仿宋" w:hAnsi="仿宋"/>
          <w:color w:val="auto"/>
          <w:highlight w:val="none"/>
        </w:rPr>
        <w:drawing>
          <wp:inline distT="0" distB="0" distL="0" distR="0">
            <wp:extent cx="5796915" cy="8134985"/>
            <wp:effectExtent l="0" t="0" r="13335" b="18415"/>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279765"/>
            <wp:effectExtent l="0" t="0" r="2540" b="6985"/>
            <wp:docPr id="28" name="图片 28"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color w:val="auto"/>
          <w:highlight w:val="none"/>
        </w:rPr>
        <w:drawing>
          <wp:inline distT="0" distB="0" distL="0" distR="0">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rPr>
          <w:rFonts w:ascii="仿宋" w:hAnsi="仿宋"/>
          <w:b/>
          <w:color w:val="auto"/>
          <w:sz w:val="32"/>
          <w:szCs w:val="32"/>
          <w:highlight w:val="none"/>
        </w:rPr>
      </w:pPr>
      <w:r>
        <w:rPr>
          <w:rFonts w:hint="eastAsia" w:ascii="仿宋" w:hAnsi="仿宋"/>
          <w:b/>
          <w:color w:val="auto"/>
          <w:sz w:val="32"/>
          <w:szCs w:val="32"/>
          <w:highlight w:val="none"/>
        </w:rPr>
        <w:br w:type="page"/>
      </w:r>
    </w:p>
    <w:p>
      <w:pPr>
        <w:widowControl/>
        <w:spacing w:line="360" w:lineRule="atLeast"/>
        <w:outlineLvl w:val="1"/>
        <w:rPr>
          <w:rFonts w:ascii="仿宋" w:hAnsi="仿宋"/>
          <w:b/>
          <w:color w:val="auto"/>
          <w:sz w:val="32"/>
          <w:szCs w:val="32"/>
          <w:highlight w:val="none"/>
        </w:rPr>
      </w:pPr>
      <w:r>
        <w:rPr>
          <w:rFonts w:hint="eastAsia" w:ascii="仿宋" w:hAnsi="仿宋"/>
          <w:b/>
          <w:color w:val="auto"/>
          <w:sz w:val="32"/>
          <w:szCs w:val="32"/>
          <w:highlight w:val="none"/>
        </w:rPr>
        <w:t>附件二：成财采〔2019〕17号</w:t>
      </w:r>
    </w:p>
    <w:p>
      <w:pPr>
        <w:rPr>
          <w:rFonts w:ascii="仿宋" w:hAnsi="仿宋"/>
          <w:color w:val="auto"/>
          <w:highlight w:val="none"/>
        </w:rPr>
      </w:pPr>
      <w:r>
        <w:rPr>
          <w:rFonts w:hint="eastAsia" w:ascii="仿宋" w:hAnsi="仿宋"/>
          <w:color w:val="auto"/>
          <w:highlight w:val="none"/>
        </w:rPr>
        <w:drawing>
          <wp:inline distT="0" distB="0" distL="0" distR="0">
            <wp:extent cx="5971540" cy="799846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10580" cy="8364220"/>
            <wp:effectExtent l="0" t="0" r="1397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30900" cy="7664450"/>
            <wp:effectExtent l="0" t="0" r="1270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59780" cy="7603490"/>
            <wp:effectExtent l="0" t="0" r="762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75655" cy="8314690"/>
            <wp:effectExtent l="0" t="0" r="1079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70905" cy="8053705"/>
            <wp:effectExtent l="0" t="0" r="1079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color w:val="auto"/>
          <w:highlight w:val="none"/>
        </w:rPr>
      </w:pPr>
      <w:r>
        <w:rPr>
          <w:rFonts w:hint="eastAsia" w:ascii="仿宋" w:hAnsi="仿宋"/>
          <w:color w:val="auto"/>
          <w:highlight w:val="none"/>
        </w:rPr>
        <w:drawing>
          <wp:inline distT="0" distB="0" distL="0" distR="0">
            <wp:extent cx="5920105" cy="8364220"/>
            <wp:effectExtent l="0" t="0" r="444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68035" cy="7672705"/>
            <wp:effectExtent l="0" t="0" r="1841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99785" cy="8348980"/>
            <wp:effectExtent l="0" t="0" r="571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6010910" cy="7740015"/>
            <wp:effectExtent l="0" t="0" r="889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99785" cy="8348980"/>
            <wp:effectExtent l="0" t="0" r="571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70905" cy="7463790"/>
            <wp:effectExtent l="0" t="0" r="1079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pStyle w:val="8"/>
        <w:ind w:firstLine="0"/>
        <w:rPr>
          <w:rFonts w:ascii="仿宋" w:hAnsi="仿宋"/>
          <w:color w:val="auto"/>
          <w:highlight w:val="none"/>
        </w:rPr>
      </w:pPr>
    </w:p>
    <w:p>
      <w:pPr>
        <w:pStyle w:val="8"/>
        <w:ind w:firstLine="0"/>
        <w:rPr>
          <w:rFonts w:ascii="仿宋" w:hAnsi="仿宋"/>
          <w:color w:val="auto"/>
          <w:highlight w:val="none"/>
        </w:rPr>
      </w:pPr>
    </w:p>
    <w:p>
      <w:pPr>
        <w:pStyle w:val="8"/>
        <w:ind w:firstLine="0"/>
        <w:rPr>
          <w:rFonts w:ascii="仿宋" w:hAnsi="仿宋"/>
          <w:color w:val="auto"/>
          <w:highlight w:val="none"/>
        </w:rPr>
      </w:pPr>
    </w:p>
    <w:p>
      <w:pPr>
        <w:widowControl/>
        <w:spacing w:line="360" w:lineRule="atLeast"/>
        <w:outlineLvl w:val="1"/>
        <w:rPr>
          <w:rFonts w:ascii="仿宋" w:hAnsi="仿宋"/>
          <w:b/>
          <w:color w:val="auto"/>
          <w:sz w:val="32"/>
          <w:szCs w:val="32"/>
          <w:highlight w:val="none"/>
        </w:rPr>
      </w:pPr>
      <w:r>
        <w:rPr>
          <w:rFonts w:hint="eastAsia" w:ascii="仿宋" w:hAnsi="仿宋"/>
          <w:b/>
          <w:color w:val="auto"/>
          <w:sz w:val="32"/>
          <w:szCs w:val="32"/>
          <w:highlight w:val="none"/>
        </w:rPr>
        <w:t>附件三：成财采〔2020〕20号</w:t>
      </w:r>
    </w:p>
    <w:p>
      <w:pPr>
        <w:pStyle w:val="8"/>
        <w:ind w:firstLine="0"/>
        <w:rPr>
          <w:color w:val="auto"/>
          <w:highlight w:val="none"/>
        </w:rPr>
      </w:pPr>
    </w:p>
    <w:p>
      <w:pPr>
        <w:rPr>
          <w:color w:val="auto"/>
          <w:highlight w:val="none"/>
        </w:rPr>
      </w:pPr>
      <w:r>
        <w:rPr>
          <w:color w:val="auto"/>
          <w:highlight w:val="none"/>
        </w:rPr>
        <w:drawing>
          <wp:inline distT="0" distB="0" distL="0" distR="0">
            <wp:extent cx="5760085" cy="7719060"/>
            <wp:effectExtent l="0" t="0" r="12065" b="1524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4"/>
                    <a:stretch>
                      <a:fillRect/>
                    </a:stretch>
                  </pic:blipFill>
                  <pic:spPr>
                    <a:xfrm>
                      <a:off x="0" y="0"/>
                      <a:ext cx="5760085" cy="7719060"/>
                    </a:xfrm>
                    <a:prstGeom prst="rect">
                      <a:avLst/>
                    </a:prstGeom>
                  </pic:spPr>
                </pic:pic>
              </a:graphicData>
            </a:graphic>
          </wp:inline>
        </w:drawing>
      </w:r>
    </w:p>
    <w:p>
      <w:pPr>
        <w:rPr>
          <w:color w:val="auto"/>
          <w:highlight w:val="none"/>
        </w:rPr>
      </w:pPr>
      <w:r>
        <w:rPr>
          <w:color w:val="auto"/>
          <w:highlight w:val="none"/>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5"/>
                    <a:stretch>
                      <a:fillRect/>
                    </a:stretch>
                  </pic:blipFill>
                  <pic:spPr>
                    <a:xfrm>
                      <a:off x="0" y="0"/>
                      <a:ext cx="5760085" cy="8389620"/>
                    </a:xfrm>
                    <a:prstGeom prst="rect">
                      <a:avLst/>
                    </a:prstGeom>
                  </pic:spPr>
                </pic:pic>
              </a:graphicData>
            </a:graphic>
          </wp:inline>
        </w:drawing>
      </w:r>
    </w:p>
    <w:p>
      <w:pPr>
        <w:rPr>
          <w:color w:val="auto"/>
          <w:highlight w:val="none"/>
        </w:rPr>
      </w:pPr>
      <w:r>
        <w:rPr>
          <w:color w:val="auto"/>
          <w:highlight w:val="none"/>
        </w:rPr>
        <w:drawing>
          <wp:inline distT="0" distB="0" distL="0" distR="0">
            <wp:extent cx="5760085" cy="3675380"/>
            <wp:effectExtent l="0" t="0" r="12065" b="127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6"/>
                    <a:stretch>
                      <a:fillRect/>
                    </a:stretch>
                  </pic:blipFill>
                  <pic:spPr>
                    <a:xfrm>
                      <a:off x="0" y="0"/>
                      <a:ext cx="5760085" cy="3675380"/>
                    </a:xfrm>
                    <a:prstGeom prst="rect">
                      <a:avLst/>
                    </a:prstGeom>
                  </pic:spPr>
                </pic:pic>
              </a:graphicData>
            </a:graphic>
          </wp:inline>
        </w:drawing>
      </w:r>
    </w:p>
    <w:p>
      <w:pPr>
        <w:rPr>
          <w:rFonts w:ascii="宋体" w:hAnsi="宋体" w:eastAsia="宋体" w:cs="宋体"/>
          <w:b/>
          <w:bCs/>
          <w:color w:val="auto"/>
          <w:szCs w:val="32"/>
          <w:highlight w:val="none"/>
        </w:rPr>
      </w:pPr>
      <w:r>
        <w:rPr>
          <w:rFonts w:hint="eastAsia" w:ascii="宋体" w:hAnsi="宋体" w:eastAsia="宋体" w:cs="宋体"/>
          <w:b/>
          <w:bCs/>
          <w:color w:val="auto"/>
          <w:szCs w:val="32"/>
          <w:highlight w:val="none"/>
        </w:rPr>
        <w:br w:type="page"/>
      </w:r>
    </w:p>
    <w:p>
      <w:pPr>
        <w:outlineLvl w:val="1"/>
        <w:rPr>
          <w:rFonts w:ascii="仿宋" w:hAnsi="仿宋" w:cs="仿宋"/>
          <w:b/>
          <w:bCs/>
          <w:color w:val="auto"/>
          <w:szCs w:val="32"/>
          <w:highlight w:val="none"/>
        </w:rPr>
      </w:pPr>
      <w:r>
        <w:rPr>
          <w:rFonts w:hint="eastAsia" w:ascii="仿宋" w:hAnsi="仿宋" w:cs="仿宋"/>
          <w:b/>
          <w:bCs/>
          <w:color w:val="auto"/>
          <w:szCs w:val="32"/>
          <w:highlight w:val="none"/>
        </w:rPr>
        <w:t>附件四：政府采购云平台使用介绍</w:t>
      </w:r>
    </w:p>
    <w:p>
      <w:pPr>
        <w:rPr>
          <w:rFonts w:ascii="仿宋" w:hAnsi="仿宋" w:cs="仿宋"/>
          <w:b/>
          <w:bCs/>
          <w:color w:val="auto"/>
          <w:szCs w:val="32"/>
          <w:highlight w:val="none"/>
        </w:rPr>
      </w:pPr>
      <w:r>
        <w:rPr>
          <w:rFonts w:hint="eastAsia" w:ascii="仿宋" w:hAnsi="仿宋" w:cs="仿宋"/>
          <w:b/>
          <w:bCs/>
          <w:color w:val="auto"/>
          <w:szCs w:val="32"/>
          <w:highlight w:val="none"/>
        </w:rPr>
        <w:t>1.输入网址：</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40"/>
          <w:rFonts w:hint="eastAsia" w:ascii="仿宋" w:hAnsi="仿宋" w:cs="仿宋"/>
          <w:b/>
          <w:bCs/>
          <w:color w:val="auto"/>
          <w:szCs w:val="32"/>
          <w:highlight w:val="none"/>
        </w:rPr>
        <w:t>https://www.zcygov.cn</w:t>
      </w:r>
      <w:r>
        <w:rPr>
          <w:rStyle w:val="40"/>
          <w:rFonts w:hint="eastAsia" w:ascii="仿宋" w:hAnsi="仿宋" w:cs="仿宋"/>
          <w:b/>
          <w:bCs/>
          <w:color w:val="auto"/>
          <w:szCs w:val="32"/>
          <w:highlight w:val="none"/>
        </w:rPr>
        <w:fldChar w:fldCharType="end"/>
      </w:r>
    </w:p>
    <w:p>
      <w:pPr>
        <w:rPr>
          <w:rFonts w:ascii="仿宋" w:hAnsi="仿宋" w:cs="仿宋"/>
          <w:b/>
          <w:bCs/>
          <w:color w:val="auto"/>
          <w:szCs w:val="32"/>
          <w:highlight w:val="none"/>
        </w:rPr>
      </w:pPr>
      <w:r>
        <w:rPr>
          <w:rFonts w:hint="eastAsia" w:ascii="仿宋" w:hAnsi="仿宋" w:cs="仿宋"/>
          <w:b/>
          <w:bCs/>
          <w:color w:val="auto"/>
          <w:szCs w:val="32"/>
          <w:highlight w:val="none"/>
        </w:rPr>
        <w:t>2.选择与项目对应的行政区域如：四川省-成都市-成都市本级</w:t>
      </w:r>
    </w:p>
    <w:p>
      <w:pPr>
        <w:rPr>
          <w:color w:val="auto"/>
          <w:highlight w:val="none"/>
        </w:rPr>
      </w:pPr>
      <w:r>
        <w:rPr>
          <w:color w:val="auto"/>
          <w:highlight w:val="none"/>
        </w:rPr>
        <w:drawing>
          <wp:inline distT="0" distB="0" distL="114300" distR="114300">
            <wp:extent cx="5760085" cy="3602990"/>
            <wp:effectExtent l="0" t="0" r="12065" b="1651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47"/>
                    <a:stretch>
                      <a:fillRect/>
                    </a:stretch>
                  </pic:blipFill>
                  <pic:spPr>
                    <a:xfrm>
                      <a:off x="0" y="0"/>
                      <a:ext cx="5760085" cy="3602990"/>
                    </a:xfrm>
                    <a:prstGeom prst="rect">
                      <a:avLst/>
                    </a:prstGeom>
                    <a:noFill/>
                    <a:ln>
                      <a:noFill/>
                    </a:ln>
                  </pic:spPr>
                </pic:pic>
              </a:graphicData>
            </a:graphic>
          </wp:inline>
        </w:drawing>
      </w:r>
    </w:p>
    <w:p>
      <w:pPr>
        <w:rPr>
          <w:color w:val="auto"/>
          <w:highlight w:val="none"/>
        </w:rPr>
      </w:pPr>
    </w:p>
    <w:p>
      <w:pPr>
        <w:numPr>
          <w:ilvl w:val="0"/>
          <w:numId w:val="28"/>
        </w:numPr>
        <w:rPr>
          <w:rFonts w:ascii="宋体" w:hAnsi="宋体" w:eastAsia="宋体" w:cs="宋体"/>
          <w:b/>
          <w:bCs/>
          <w:color w:val="auto"/>
          <w:szCs w:val="32"/>
          <w:highlight w:val="none"/>
        </w:rPr>
      </w:pPr>
      <w:r>
        <w:rPr>
          <w:rFonts w:hint="eastAsia" w:ascii="宋体" w:hAnsi="宋体" w:eastAsia="宋体" w:cs="宋体"/>
          <w:b/>
          <w:bCs/>
          <w:color w:val="auto"/>
          <w:szCs w:val="32"/>
          <w:highlight w:val="none"/>
        </w:rPr>
        <w:t>点击操作指南-供应商</w:t>
      </w:r>
    </w:p>
    <w:p>
      <w:pPr>
        <w:rPr>
          <w:rFonts w:ascii="宋体" w:hAnsi="宋体" w:eastAsia="宋体" w:cs="宋体"/>
          <w:b/>
          <w:bCs/>
          <w:color w:val="auto"/>
          <w:szCs w:val="32"/>
          <w:highlight w:val="none"/>
        </w:rPr>
      </w:pPr>
      <w:r>
        <w:rPr>
          <w:color w:val="auto"/>
          <w:highlight w:val="none"/>
        </w:rPr>
        <w:drawing>
          <wp:inline distT="0" distB="0" distL="114300" distR="114300">
            <wp:extent cx="5760085" cy="2982595"/>
            <wp:effectExtent l="0" t="0" r="12065" b="8255"/>
            <wp:docPr id="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pic:cNvPicPr>
                      <a:picLocks noChangeAspect="1"/>
                    </pic:cNvPicPr>
                  </pic:nvPicPr>
                  <pic:blipFill>
                    <a:blip r:embed="rId48"/>
                    <a:stretch>
                      <a:fillRect/>
                    </a:stretch>
                  </pic:blipFill>
                  <pic:spPr>
                    <a:xfrm>
                      <a:off x="0" y="0"/>
                      <a:ext cx="5760085" cy="2982595"/>
                    </a:xfrm>
                    <a:prstGeom prst="rect">
                      <a:avLst/>
                    </a:prstGeom>
                    <a:noFill/>
                    <a:ln>
                      <a:noFill/>
                    </a:ln>
                  </pic:spPr>
                </pic:pic>
              </a:graphicData>
            </a:graphic>
          </wp:inline>
        </w:drawing>
      </w:r>
      <w:r>
        <w:rPr>
          <w:color w:val="auto"/>
          <w:highlight w:val="none"/>
        </w:rPr>
        <w:br w:type="page"/>
      </w:r>
      <w:r>
        <w:rPr>
          <w:rFonts w:hint="eastAsia" w:ascii="宋体" w:hAnsi="宋体" w:eastAsia="宋体" w:cs="宋体"/>
          <w:b/>
          <w:bCs/>
          <w:color w:val="auto"/>
          <w:szCs w:val="32"/>
          <w:highlight w:val="none"/>
        </w:rPr>
        <w:t>4.进入政采云供应商学习专题页面</w:t>
      </w:r>
    </w:p>
    <w:p>
      <w:pPr>
        <w:rPr>
          <w:b/>
          <w:bCs/>
          <w:color w:val="auto"/>
          <w:highlight w:val="none"/>
        </w:rPr>
      </w:pPr>
      <w:r>
        <w:rPr>
          <w:rFonts w:hint="eastAsia"/>
          <w:b/>
          <w:bCs/>
          <w:color w:val="auto"/>
          <w:highlight w:val="none"/>
        </w:rPr>
        <w:t>（https://edu.zcygov.cn/luban/xxzt-chengdu-gys?utm=a0017.b1347.cl50.5.0917bc90b7bb11eb807c353645758db6）</w:t>
      </w:r>
    </w:p>
    <w:p>
      <w:pPr>
        <w:rPr>
          <w:color w:val="auto"/>
          <w:highlight w:val="none"/>
        </w:rPr>
      </w:pPr>
      <w:r>
        <w:rPr>
          <w:color w:val="auto"/>
          <w:highlight w:val="none"/>
        </w:rPr>
        <w:drawing>
          <wp:inline distT="0" distB="0" distL="114300" distR="114300">
            <wp:extent cx="5760085" cy="2867025"/>
            <wp:effectExtent l="0" t="0" r="12065" b="9525"/>
            <wp:docPr id="1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
                    <pic:cNvPicPr>
                      <a:picLocks noChangeAspect="1"/>
                    </pic:cNvPicPr>
                  </pic:nvPicPr>
                  <pic:blipFill>
                    <a:blip r:embed="rId49"/>
                    <a:stretch>
                      <a:fillRect/>
                    </a:stretch>
                  </pic:blipFill>
                  <pic:spPr>
                    <a:xfrm>
                      <a:off x="0" y="0"/>
                      <a:ext cx="5760085" cy="2867025"/>
                    </a:xfrm>
                    <a:prstGeom prst="rect">
                      <a:avLst/>
                    </a:prstGeom>
                    <a:noFill/>
                    <a:ln>
                      <a:noFill/>
                    </a:ln>
                  </pic:spPr>
                </pic:pic>
              </a:graphicData>
            </a:graphic>
          </wp:inline>
        </w:drawing>
      </w:r>
    </w:p>
    <w:p>
      <w:pPr>
        <w:rPr>
          <w:rFonts w:ascii="宋体" w:hAnsi="宋体" w:cs="宋体"/>
          <w:b/>
          <w:bCs/>
          <w:color w:val="auto"/>
          <w:szCs w:val="32"/>
          <w:highlight w:val="none"/>
        </w:rPr>
      </w:pPr>
    </w:p>
    <w:p>
      <w:pPr>
        <w:rPr>
          <w:rFonts w:ascii="宋体" w:hAnsi="宋体" w:cs="宋体"/>
          <w:b/>
          <w:bCs/>
          <w:color w:val="auto"/>
          <w:szCs w:val="32"/>
          <w:highlight w:val="none"/>
        </w:rPr>
      </w:pPr>
      <w:r>
        <w:rPr>
          <w:rFonts w:hint="eastAsia" w:ascii="宋体" w:hAnsi="宋体" w:cs="宋体"/>
          <w:b/>
          <w:bCs/>
          <w:color w:val="auto"/>
          <w:szCs w:val="32"/>
          <w:highlight w:val="none"/>
        </w:rPr>
        <w:t>5.供应商资讯服务渠道</w:t>
      </w:r>
    </w:p>
    <w:p>
      <w:pPr>
        <w:rPr>
          <w:color w:val="auto"/>
          <w:highlight w:val="none"/>
        </w:rPr>
      </w:pPr>
      <w:r>
        <w:rPr>
          <w:color w:val="auto"/>
          <w:highlight w:val="none"/>
        </w:rPr>
        <w:drawing>
          <wp:inline distT="0" distB="0" distL="114300" distR="114300">
            <wp:extent cx="5760085" cy="2065020"/>
            <wp:effectExtent l="0" t="0" r="12065" b="1143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5760085" cy="2065020"/>
                    </a:xfrm>
                    <a:prstGeom prst="rect">
                      <a:avLst/>
                    </a:prstGeom>
                    <a:noFill/>
                    <a:ln>
                      <a:noFill/>
                    </a:ln>
                  </pic:spPr>
                </pic:pic>
              </a:graphicData>
            </a:graphic>
          </wp:inline>
        </w:drawing>
      </w:r>
    </w:p>
    <w:p>
      <w:pPr>
        <w:rPr>
          <w:color w:val="auto"/>
          <w:highlight w:val="none"/>
        </w:rPr>
      </w:pPr>
      <w:r>
        <w:rPr>
          <w:color w:val="auto"/>
          <w:highlight w:val="none"/>
        </w:rPr>
        <w:br w:type="page"/>
      </w:r>
      <w:r>
        <w:rPr>
          <w:rFonts w:hint="eastAsia" w:ascii="宋体" w:hAnsi="宋体" w:eastAsia="宋体" w:cs="宋体"/>
          <w:b/>
          <w:bCs/>
          <w:color w:val="auto"/>
          <w:szCs w:val="32"/>
          <w:highlight w:val="none"/>
        </w:rPr>
        <w:t>6.入驻政府采购云平台（注册）</w:t>
      </w:r>
    </w:p>
    <w:p>
      <w:pPr>
        <w:rPr>
          <w:color w:val="auto"/>
          <w:highlight w:val="none"/>
        </w:rPr>
      </w:pPr>
      <w:r>
        <w:rPr>
          <w:color w:val="auto"/>
          <w:highlight w:val="none"/>
        </w:rPr>
        <w:drawing>
          <wp:inline distT="0" distB="0" distL="114300" distR="114300">
            <wp:extent cx="5760085" cy="2345055"/>
            <wp:effectExtent l="0" t="0" r="12065" b="17145"/>
            <wp:docPr id="1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
                    <pic:cNvPicPr>
                      <a:picLocks noChangeAspect="1"/>
                    </pic:cNvPicPr>
                  </pic:nvPicPr>
                  <pic:blipFill>
                    <a:blip r:embed="rId51"/>
                    <a:stretch>
                      <a:fillRect/>
                    </a:stretch>
                  </pic:blipFill>
                  <pic:spPr>
                    <a:xfrm>
                      <a:off x="0" y="0"/>
                      <a:ext cx="5760085" cy="2345055"/>
                    </a:xfrm>
                    <a:prstGeom prst="rect">
                      <a:avLst/>
                    </a:prstGeom>
                    <a:noFill/>
                    <a:ln>
                      <a:noFill/>
                    </a:ln>
                  </pic:spPr>
                </pic:pic>
              </a:graphicData>
            </a:graphic>
          </wp:inline>
        </w:drawing>
      </w:r>
    </w:p>
    <w:p>
      <w:pPr>
        <w:rPr>
          <w:color w:val="auto"/>
          <w:highlight w:val="none"/>
        </w:rPr>
      </w:pPr>
      <w:r>
        <w:rPr>
          <w:rFonts w:hint="eastAsia" w:ascii="宋体" w:hAnsi="宋体" w:eastAsia="宋体" w:cs="宋体"/>
          <w:b/>
          <w:bCs/>
          <w:color w:val="auto"/>
          <w:szCs w:val="32"/>
          <w:highlight w:val="none"/>
        </w:rPr>
        <w:t>7.下载《供应商政府采购项目电子交易操作指南》</w:t>
      </w:r>
    </w:p>
    <w:p>
      <w:pPr>
        <w:rPr>
          <w:color w:val="auto"/>
          <w:highlight w:val="none"/>
        </w:rPr>
      </w:pPr>
      <w:r>
        <w:rPr>
          <w:color w:val="auto"/>
          <w:highlight w:val="none"/>
        </w:rPr>
        <w:drawing>
          <wp:inline distT="0" distB="0" distL="114300" distR="114300">
            <wp:extent cx="5760085" cy="3191510"/>
            <wp:effectExtent l="0" t="0" r="12065" b="8890"/>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52"/>
                    <a:stretch>
                      <a:fillRect/>
                    </a:stretch>
                  </pic:blipFill>
                  <pic:spPr>
                    <a:xfrm>
                      <a:off x="0" y="0"/>
                      <a:ext cx="5760085" cy="3191510"/>
                    </a:xfrm>
                    <a:prstGeom prst="rect">
                      <a:avLst/>
                    </a:prstGeom>
                    <a:noFill/>
                    <a:ln>
                      <a:noFill/>
                    </a:ln>
                  </pic:spPr>
                </pic:pic>
              </a:graphicData>
            </a:graphic>
          </wp:inline>
        </w:drawing>
      </w:r>
    </w:p>
    <w:sectPr>
      <w:footerReference r:id="rId14" w:type="default"/>
      <w:pgSz w:w="11905" w:h="16838"/>
      <w:pgMar w:top="1417" w:right="1417" w:bottom="1417" w:left="1417" w:header="425" w:footer="992" w:gutter="0"/>
      <w:cols w:space="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Eʩ">
    <w:altName w:val="宋体"/>
    <w:panose1 w:val="00000000000000000000"/>
    <w:charset w:val="00"/>
    <w:family w:val="auto"/>
    <w:pitch w:val="default"/>
    <w:sig w:usb0="00000000" w:usb1="00000000" w:usb2="00000000"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5"/>
      </w:rPr>
    </w:pPr>
    <w:r>
      <w:fldChar w:fldCharType="begin"/>
    </w:r>
    <w:r>
      <w:rPr>
        <w:rStyle w:val="35"/>
      </w:rPr>
      <w:instrText xml:space="preserve">PAGE  </w:instrText>
    </w:r>
    <w:r>
      <w:fldChar w:fldCharType="separate"/>
    </w:r>
    <w:r>
      <w:rPr>
        <w:rStyle w:val="35"/>
      </w:rPr>
      <w:t>20</w:t>
    </w:r>
    <w:r>
      <w:fldChar w:fldCharType="end"/>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rPr>
                              <w:rStyle w:val="35"/>
                            </w:rPr>
                          </w:pPr>
                          <w:r>
                            <w:fldChar w:fldCharType="begin"/>
                          </w:r>
                          <w:r>
                            <w:rPr>
                              <w:rStyle w:val="35"/>
                            </w:rPr>
                            <w:instrText xml:space="preserve">PAGE  </w:instrText>
                          </w:r>
                          <w:r>
                            <w:fldChar w:fldCharType="separate"/>
                          </w:r>
                          <w:r>
                            <w:rPr>
                              <w:rStyle w:val="35"/>
                            </w:rP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20"/>
                      <w:jc w:val="center"/>
                      <w:rPr>
                        <w:rStyle w:val="35"/>
                      </w:rPr>
                    </w:pPr>
                    <w:r>
                      <w:fldChar w:fldCharType="begin"/>
                    </w:r>
                    <w:r>
                      <w:rPr>
                        <w:rStyle w:val="35"/>
                      </w:rPr>
                      <w:instrText xml:space="preserve">PAGE  </w:instrText>
                    </w:r>
                    <w:r>
                      <w:fldChar w:fldCharType="separate"/>
                    </w:r>
                    <w:r>
                      <w:rPr>
                        <w:rStyle w:val="35"/>
                      </w:rPr>
                      <w:t>85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r>
                            <w:fldChar w:fldCharType="begin"/>
                          </w:r>
                          <w:r>
                            <w:rPr>
                              <w:rStyle w:val="35"/>
                            </w:rPr>
                            <w:instrText xml:space="preserve"> PAGE </w:instrText>
                          </w:r>
                          <w:r>
                            <w:fldChar w:fldCharType="separate"/>
                          </w:r>
                          <w:r>
                            <w:rPr>
                              <w:rStyle w:val="35"/>
                            </w:rP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20"/>
                      <w:jc w:val="center"/>
                    </w:pPr>
                    <w:r>
                      <w:fldChar w:fldCharType="begin"/>
                    </w:r>
                    <w:r>
                      <w:rPr>
                        <w:rStyle w:val="35"/>
                      </w:rPr>
                      <w:instrText xml:space="preserve"> PAGE </w:instrText>
                    </w:r>
                    <w:r>
                      <w:fldChar w:fldCharType="separate"/>
                    </w:r>
                    <w:r>
                      <w:rPr>
                        <w:rStyle w:val="35"/>
                      </w:rPr>
                      <w:t>97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5"/>
      </w:rPr>
    </w:pPr>
    <w:r>
      <w:fldChar w:fldCharType="begin"/>
    </w:r>
    <w:r>
      <w:rPr>
        <w:rStyle w:val="35"/>
      </w:rPr>
      <w:instrText xml:space="preserve">PAGE  </w:instrText>
    </w:r>
    <w:r>
      <w:fldChar w:fldCharType="separate"/>
    </w:r>
    <w:r>
      <w:rPr>
        <w:rStyle w:val="35"/>
      </w:rPr>
      <w:t>135</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7456" behindDoc="1" locked="0" layoutInCell="1" allowOverlap="1">
          <wp:simplePos x="0" y="0"/>
          <wp:positionH relativeFrom="column">
            <wp:posOffset>-13970</wp:posOffset>
          </wp:positionH>
          <wp:positionV relativeFrom="paragraph">
            <wp:posOffset>-69215</wp:posOffset>
          </wp:positionV>
          <wp:extent cx="2219325" cy="474980"/>
          <wp:effectExtent l="0" t="0" r="9525" b="127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F47CC"/>
    <w:multiLevelType w:val="singleLevel"/>
    <w:tmpl w:val="81CF47CC"/>
    <w:lvl w:ilvl="0" w:tentative="0">
      <w:start w:val="1"/>
      <w:numFmt w:val="decimal"/>
      <w:lvlText w:val="%1."/>
      <w:lvlJc w:val="left"/>
      <w:pPr>
        <w:tabs>
          <w:tab w:val="left" w:pos="312"/>
        </w:tabs>
      </w:pPr>
    </w:lvl>
  </w:abstractNum>
  <w:abstractNum w:abstractNumId="1">
    <w:nsid w:val="8663B39F"/>
    <w:multiLevelType w:val="singleLevel"/>
    <w:tmpl w:val="8663B39F"/>
    <w:lvl w:ilvl="0" w:tentative="0">
      <w:start w:val="1"/>
      <w:numFmt w:val="decimal"/>
      <w:suff w:val="nothing"/>
      <w:lvlText w:val="%1、"/>
      <w:lvlJc w:val="left"/>
    </w:lvl>
  </w:abstractNum>
  <w:abstractNum w:abstractNumId="2">
    <w:nsid w:val="891619BC"/>
    <w:multiLevelType w:val="singleLevel"/>
    <w:tmpl w:val="891619BC"/>
    <w:lvl w:ilvl="0" w:tentative="0">
      <w:start w:val="11"/>
      <w:numFmt w:val="chineseCounting"/>
      <w:suff w:val="nothing"/>
      <w:lvlText w:val="%1、"/>
      <w:lvlJc w:val="left"/>
      <w:rPr>
        <w:rFonts w:hint="eastAsia"/>
      </w:rPr>
    </w:lvl>
  </w:abstractNum>
  <w:abstractNum w:abstractNumId="3">
    <w:nsid w:val="8D4C2486"/>
    <w:multiLevelType w:val="singleLevel"/>
    <w:tmpl w:val="8D4C2486"/>
    <w:lvl w:ilvl="0" w:tentative="0">
      <w:start w:val="1"/>
      <w:numFmt w:val="decimal"/>
      <w:suff w:val="nothing"/>
      <w:lvlText w:val="%1、"/>
      <w:lvlJc w:val="left"/>
    </w:lvl>
  </w:abstractNum>
  <w:abstractNum w:abstractNumId="4">
    <w:nsid w:val="A3E095B0"/>
    <w:multiLevelType w:val="singleLevel"/>
    <w:tmpl w:val="A3E095B0"/>
    <w:lvl w:ilvl="0" w:tentative="0">
      <w:start w:val="1"/>
      <w:numFmt w:val="decimal"/>
      <w:suff w:val="nothing"/>
      <w:lvlText w:val="%1、"/>
      <w:lvlJc w:val="left"/>
    </w:lvl>
  </w:abstractNum>
  <w:abstractNum w:abstractNumId="5">
    <w:nsid w:val="A59F8C2B"/>
    <w:multiLevelType w:val="singleLevel"/>
    <w:tmpl w:val="A59F8C2B"/>
    <w:lvl w:ilvl="0" w:tentative="0">
      <w:start w:val="1"/>
      <w:numFmt w:val="decimal"/>
      <w:suff w:val="nothing"/>
      <w:lvlText w:val="%1、"/>
      <w:lvlJc w:val="left"/>
    </w:lvl>
  </w:abstractNum>
  <w:abstractNum w:abstractNumId="6">
    <w:nsid w:val="AE72648F"/>
    <w:multiLevelType w:val="singleLevel"/>
    <w:tmpl w:val="AE72648F"/>
    <w:lvl w:ilvl="0" w:tentative="0">
      <w:start w:val="1"/>
      <w:numFmt w:val="decimal"/>
      <w:suff w:val="nothing"/>
      <w:lvlText w:val="%1、"/>
      <w:lvlJc w:val="left"/>
      <w:pPr>
        <w:ind w:left="110" w:firstLine="0"/>
      </w:pPr>
    </w:lvl>
  </w:abstractNum>
  <w:abstractNum w:abstractNumId="7">
    <w:nsid w:val="B869F85A"/>
    <w:multiLevelType w:val="singleLevel"/>
    <w:tmpl w:val="B869F85A"/>
    <w:lvl w:ilvl="0" w:tentative="0">
      <w:start w:val="1"/>
      <w:numFmt w:val="decimal"/>
      <w:suff w:val="nothing"/>
      <w:lvlText w:val="%1、"/>
      <w:lvlJc w:val="left"/>
    </w:lvl>
  </w:abstractNum>
  <w:abstractNum w:abstractNumId="8">
    <w:nsid w:val="D4110258"/>
    <w:multiLevelType w:val="singleLevel"/>
    <w:tmpl w:val="D4110258"/>
    <w:lvl w:ilvl="0" w:tentative="0">
      <w:start w:val="6"/>
      <w:numFmt w:val="decimal"/>
      <w:suff w:val="nothing"/>
      <w:lvlText w:val="%1、"/>
      <w:lvlJc w:val="left"/>
    </w:lvl>
  </w:abstractNum>
  <w:abstractNum w:abstractNumId="9">
    <w:nsid w:val="DD3AA959"/>
    <w:multiLevelType w:val="singleLevel"/>
    <w:tmpl w:val="DD3AA959"/>
    <w:lvl w:ilvl="0" w:tentative="0">
      <w:start w:val="1"/>
      <w:numFmt w:val="decimal"/>
      <w:suff w:val="nothing"/>
      <w:lvlText w:val="%1、"/>
      <w:lvlJc w:val="left"/>
    </w:lvl>
  </w:abstractNum>
  <w:abstractNum w:abstractNumId="10">
    <w:nsid w:val="E0033E4E"/>
    <w:multiLevelType w:val="singleLevel"/>
    <w:tmpl w:val="E0033E4E"/>
    <w:lvl w:ilvl="0" w:tentative="0">
      <w:start w:val="9"/>
      <w:numFmt w:val="decimal"/>
      <w:suff w:val="nothing"/>
      <w:lvlText w:val="%1、"/>
      <w:lvlJc w:val="left"/>
    </w:lvl>
  </w:abstractNum>
  <w:abstractNum w:abstractNumId="11">
    <w:nsid w:val="E64A7F9A"/>
    <w:multiLevelType w:val="singleLevel"/>
    <w:tmpl w:val="E64A7F9A"/>
    <w:lvl w:ilvl="0" w:tentative="0">
      <w:start w:val="1"/>
      <w:numFmt w:val="decimal"/>
      <w:suff w:val="nothing"/>
      <w:lvlText w:val="%1、"/>
      <w:lvlJc w:val="left"/>
    </w:lvl>
  </w:abstractNum>
  <w:abstractNum w:abstractNumId="12">
    <w:nsid w:val="FB7BF54B"/>
    <w:multiLevelType w:val="singleLevel"/>
    <w:tmpl w:val="FB7BF54B"/>
    <w:lvl w:ilvl="0" w:tentative="0">
      <w:start w:val="1"/>
      <w:numFmt w:val="chineseCounting"/>
      <w:suff w:val="nothing"/>
      <w:lvlText w:val="%1、"/>
      <w:lvlJc w:val="left"/>
      <w:rPr>
        <w:rFonts w:hint="eastAsia"/>
      </w:rPr>
    </w:lvl>
  </w:abstractNum>
  <w:abstractNum w:abstractNumId="13">
    <w:nsid w:val="0253437C"/>
    <w:multiLevelType w:val="singleLevel"/>
    <w:tmpl w:val="0253437C"/>
    <w:lvl w:ilvl="0" w:tentative="0">
      <w:start w:val="1"/>
      <w:numFmt w:val="decimal"/>
      <w:suff w:val="nothing"/>
      <w:lvlText w:val="%1、"/>
      <w:lvlJc w:val="left"/>
    </w:lvl>
  </w:abstractNum>
  <w:abstractNum w:abstractNumId="14">
    <w:nsid w:val="03AB56B2"/>
    <w:multiLevelType w:val="singleLevel"/>
    <w:tmpl w:val="03AB56B2"/>
    <w:lvl w:ilvl="0" w:tentative="0">
      <w:start w:val="1"/>
      <w:numFmt w:val="decimal"/>
      <w:suff w:val="nothing"/>
      <w:lvlText w:val="%1、"/>
      <w:lvlJc w:val="left"/>
    </w:lvl>
  </w:abstractNum>
  <w:abstractNum w:abstractNumId="15">
    <w:nsid w:val="0B314A3D"/>
    <w:multiLevelType w:val="singleLevel"/>
    <w:tmpl w:val="0B314A3D"/>
    <w:lvl w:ilvl="0" w:tentative="0">
      <w:start w:val="1"/>
      <w:numFmt w:val="decimal"/>
      <w:lvlText w:val="%1."/>
      <w:lvlJc w:val="left"/>
      <w:pPr>
        <w:tabs>
          <w:tab w:val="left" w:pos="312"/>
        </w:tabs>
      </w:pPr>
    </w:lvl>
  </w:abstractNum>
  <w:abstractNum w:abstractNumId="16">
    <w:nsid w:val="10886DAD"/>
    <w:multiLevelType w:val="singleLevel"/>
    <w:tmpl w:val="10886DAD"/>
    <w:lvl w:ilvl="0" w:tentative="0">
      <w:start w:val="1"/>
      <w:numFmt w:val="decimal"/>
      <w:suff w:val="nothing"/>
      <w:lvlText w:val="%1、"/>
      <w:lvlJc w:val="left"/>
    </w:lvl>
  </w:abstractNum>
  <w:abstractNum w:abstractNumId="17">
    <w:nsid w:val="1517B247"/>
    <w:multiLevelType w:val="singleLevel"/>
    <w:tmpl w:val="1517B247"/>
    <w:lvl w:ilvl="0" w:tentative="0">
      <w:start w:val="3"/>
      <w:numFmt w:val="decimal"/>
      <w:lvlText w:val="%1."/>
      <w:lvlJc w:val="left"/>
      <w:pPr>
        <w:tabs>
          <w:tab w:val="left" w:pos="312"/>
        </w:tabs>
      </w:pPr>
    </w:lvl>
  </w:abstractNum>
  <w:abstractNum w:abstractNumId="18">
    <w:nsid w:val="1CAA709D"/>
    <w:multiLevelType w:val="singleLevel"/>
    <w:tmpl w:val="1CAA709D"/>
    <w:lvl w:ilvl="0" w:tentative="0">
      <w:start w:val="1"/>
      <w:numFmt w:val="decimal"/>
      <w:suff w:val="nothing"/>
      <w:lvlText w:val="%1、"/>
      <w:lvlJc w:val="left"/>
    </w:lvl>
  </w:abstractNum>
  <w:abstractNum w:abstractNumId="19">
    <w:nsid w:val="25A309B4"/>
    <w:multiLevelType w:val="singleLevel"/>
    <w:tmpl w:val="25A309B4"/>
    <w:lvl w:ilvl="0" w:tentative="0">
      <w:start w:val="1"/>
      <w:numFmt w:val="decimal"/>
      <w:suff w:val="nothing"/>
      <w:lvlText w:val="%1、"/>
      <w:lvlJc w:val="left"/>
    </w:lvl>
  </w:abstractNum>
  <w:abstractNum w:abstractNumId="20">
    <w:nsid w:val="2E11D609"/>
    <w:multiLevelType w:val="singleLevel"/>
    <w:tmpl w:val="2E11D609"/>
    <w:lvl w:ilvl="0" w:tentative="0">
      <w:start w:val="1"/>
      <w:numFmt w:val="decimal"/>
      <w:suff w:val="nothing"/>
      <w:lvlText w:val="%1、"/>
      <w:lvlJc w:val="left"/>
    </w:lvl>
  </w:abstractNum>
  <w:abstractNum w:abstractNumId="21">
    <w:nsid w:val="4A9D58C3"/>
    <w:multiLevelType w:val="singleLevel"/>
    <w:tmpl w:val="4A9D58C3"/>
    <w:lvl w:ilvl="0" w:tentative="0">
      <w:start w:val="1"/>
      <w:numFmt w:val="decimal"/>
      <w:suff w:val="nothing"/>
      <w:lvlText w:val="%1、"/>
      <w:lvlJc w:val="left"/>
    </w:lvl>
  </w:abstractNum>
  <w:abstractNum w:abstractNumId="22">
    <w:nsid w:val="4F904B95"/>
    <w:multiLevelType w:val="singleLevel"/>
    <w:tmpl w:val="4F904B95"/>
    <w:lvl w:ilvl="0" w:tentative="0">
      <w:start w:val="1"/>
      <w:numFmt w:val="decimal"/>
      <w:suff w:val="nothing"/>
      <w:lvlText w:val="%1、"/>
      <w:lvlJc w:val="left"/>
    </w:lvl>
  </w:abstractNum>
  <w:abstractNum w:abstractNumId="23">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4">
    <w:nsid w:val="59C07086"/>
    <w:multiLevelType w:val="singleLevel"/>
    <w:tmpl w:val="59C07086"/>
    <w:lvl w:ilvl="0" w:tentative="0">
      <w:start w:val="1"/>
      <w:numFmt w:val="decimal"/>
      <w:suff w:val="nothing"/>
      <w:lvlText w:val="%1、"/>
      <w:lvlJc w:val="left"/>
    </w:lvl>
  </w:abstractNum>
  <w:abstractNum w:abstractNumId="25">
    <w:nsid w:val="642675C0"/>
    <w:multiLevelType w:val="singleLevel"/>
    <w:tmpl w:val="642675C0"/>
    <w:lvl w:ilvl="0" w:tentative="0">
      <w:start w:val="1"/>
      <w:numFmt w:val="decimal"/>
      <w:suff w:val="nothing"/>
      <w:lvlText w:val="%1、"/>
      <w:lvlJc w:val="left"/>
    </w:lvl>
  </w:abstractNum>
  <w:abstractNum w:abstractNumId="26">
    <w:nsid w:val="6ACF6B60"/>
    <w:multiLevelType w:val="singleLevel"/>
    <w:tmpl w:val="6ACF6B60"/>
    <w:lvl w:ilvl="0" w:tentative="0">
      <w:start w:val="1"/>
      <w:numFmt w:val="decimal"/>
      <w:suff w:val="nothing"/>
      <w:lvlText w:val="%1、"/>
      <w:lvlJc w:val="left"/>
    </w:lvl>
  </w:abstractNum>
  <w:abstractNum w:abstractNumId="27">
    <w:nsid w:val="79574AD5"/>
    <w:multiLevelType w:val="multilevel"/>
    <w:tmpl w:val="79574AD5"/>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num w:numId="1">
    <w:abstractNumId w:val="23"/>
  </w:num>
  <w:num w:numId="2">
    <w:abstractNumId w:val="24"/>
  </w:num>
  <w:num w:numId="3">
    <w:abstractNumId w:val="12"/>
  </w:num>
  <w:num w:numId="4">
    <w:abstractNumId w:val="13"/>
  </w:num>
  <w:num w:numId="5">
    <w:abstractNumId w:val="0"/>
  </w:num>
  <w:num w:numId="6">
    <w:abstractNumId w:val="27"/>
  </w:num>
  <w:num w:numId="7">
    <w:abstractNumId w:val="26"/>
  </w:num>
  <w:num w:numId="8">
    <w:abstractNumId w:val="2"/>
  </w:num>
  <w:num w:numId="9">
    <w:abstractNumId w:val="10"/>
  </w:num>
  <w:num w:numId="10">
    <w:abstractNumId w:val="20"/>
  </w:num>
  <w:num w:numId="11">
    <w:abstractNumId w:val="22"/>
  </w:num>
  <w:num w:numId="12">
    <w:abstractNumId w:val="3"/>
  </w:num>
  <w:num w:numId="13">
    <w:abstractNumId w:val="18"/>
  </w:num>
  <w:num w:numId="14">
    <w:abstractNumId w:val="8"/>
  </w:num>
  <w:num w:numId="15">
    <w:abstractNumId w:val="11"/>
  </w:num>
  <w:num w:numId="16">
    <w:abstractNumId w:val="7"/>
  </w:num>
  <w:num w:numId="17">
    <w:abstractNumId w:val="5"/>
  </w:num>
  <w:num w:numId="18">
    <w:abstractNumId w:val="14"/>
  </w:num>
  <w:num w:numId="19">
    <w:abstractNumId w:val="6"/>
  </w:num>
  <w:num w:numId="20">
    <w:abstractNumId w:val="15"/>
  </w:num>
  <w:num w:numId="21">
    <w:abstractNumId w:val="25"/>
  </w:num>
  <w:num w:numId="22">
    <w:abstractNumId w:val="4"/>
  </w:num>
  <w:num w:numId="23">
    <w:abstractNumId w:val="9"/>
  </w:num>
  <w:num w:numId="24">
    <w:abstractNumId w:val="16"/>
  </w:num>
  <w:num w:numId="25">
    <w:abstractNumId w:val="19"/>
  </w:num>
  <w:num w:numId="26">
    <w:abstractNumId w:val="1"/>
  </w:num>
  <w:num w:numId="27">
    <w:abstractNumId w:val="2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6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A4"/>
    <w:rsid w:val="00002BC8"/>
    <w:rsid w:val="00004999"/>
    <w:rsid w:val="00005A08"/>
    <w:rsid w:val="00005CBA"/>
    <w:rsid w:val="00012DFD"/>
    <w:rsid w:val="00012FD5"/>
    <w:rsid w:val="00014226"/>
    <w:rsid w:val="00014620"/>
    <w:rsid w:val="00014D0D"/>
    <w:rsid w:val="00017C33"/>
    <w:rsid w:val="0002273E"/>
    <w:rsid w:val="00026F51"/>
    <w:rsid w:val="00027D45"/>
    <w:rsid w:val="00031280"/>
    <w:rsid w:val="000313D6"/>
    <w:rsid w:val="00032960"/>
    <w:rsid w:val="00034FAC"/>
    <w:rsid w:val="00036DD3"/>
    <w:rsid w:val="00041BB2"/>
    <w:rsid w:val="0004575C"/>
    <w:rsid w:val="000466FA"/>
    <w:rsid w:val="00055426"/>
    <w:rsid w:val="000568CA"/>
    <w:rsid w:val="000600AF"/>
    <w:rsid w:val="00060876"/>
    <w:rsid w:val="00066FD7"/>
    <w:rsid w:val="0006721B"/>
    <w:rsid w:val="000704D0"/>
    <w:rsid w:val="000710B4"/>
    <w:rsid w:val="00071E7D"/>
    <w:rsid w:val="00074346"/>
    <w:rsid w:val="00077860"/>
    <w:rsid w:val="00077DD1"/>
    <w:rsid w:val="00077DE7"/>
    <w:rsid w:val="0008028F"/>
    <w:rsid w:val="000807B8"/>
    <w:rsid w:val="00081940"/>
    <w:rsid w:val="00081ACF"/>
    <w:rsid w:val="00081E20"/>
    <w:rsid w:val="0008657E"/>
    <w:rsid w:val="000927C1"/>
    <w:rsid w:val="000950F5"/>
    <w:rsid w:val="000A2724"/>
    <w:rsid w:val="000A4FBB"/>
    <w:rsid w:val="000B00F6"/>
    <w:rsid w:val="000B0178"/>
    <w:rsid w:val="000B56A8"/>
    <w:rsid w:val="000C4D8B"/>
    <w:rsid w:val="000C5C74"/>
    <w:rsid w:val="000C74F3"/>
    <w:rsid w:val="000D04AE"/>
    <w:rsid w:val="000D177A"/>
    <w:rsid w:val="000E034A"/>
    <w:rsid w:val="000E2C65"/>
    <w:rsid w:val="000F0F4A"/>
    <w:rsid w:val="000F52BD"/>
    <w:rsid w:val="001006AC"/>
    <w:rsid w:val="00100E3F"/>
    <w:rsid w:val="0010458F"/>
    <w:rsid w:val="00110C4C"/>
    <w:rsid w:val="00111127"/>
    <w:rsid w:val="00111DF3"/>
    <w:rsid w:val="001124B6"/>
    <w:rsid w:val="00116C4A"/>
    <w:rsid w:val="00120146"/>
    <w:rsid w:val="00120EDB"/>
    <w:rsid w:val="00121C83"/>
    <w:rsid w:val="00125159"/>
    <w:rsid w:val="00126B9E"/>
    <w:rsid w:val="00126F6B"/>
    <w:rsid w:val="00127A61"/>
    <w:rsid w:val="00131E63"/>
    <w:rsid w:val="0013576E"/>
    <w:rsid w:val="00136A76"/>
    <w:rsid w:val="00140FCB"/>
    <w:rsid w:val="001446E8"/>
    <w:rsid w:val="00146025"/>
    <w:rsid w:val="00146049"/>
    <w:rsid w:val="00154227"/>
    <w:rsid w:val="00155248"/>
    <w:rsid w:val="00157B94"/>
    <w:rsid w:val="00160692"/>
    <w:rsid w:val="00160A1F"/>
    <w:rsid w:val="0016390B"/>
    <w:rsid w:val="001655E5"/>
    <w:rsid w:val="001704CE"/>
    <w:rsid w:val="00172A27"/>
    <w:rsid w:val="00174428"/>
    <w:rsid w:val="001764E7"/>
    <w:rsid w:val="00176CF3"/>
    <w:rsid w:val="0018196F"/>
    <w:rsid w:val="00182F59"/>
    <w:rsid w:val="001831D8"/>
    <w:rsid w:val="001864BC"/>
    <w:rsid w:val="00194284"/>
    <w:rsid w:val="00194F42"/>
    <w:rsid w:val="001A506C"/>
    <w:rsid w:val="001A7E0C"/>
    <w:rsid w:val="001B1EA8"/>
    <w:rsid w:val="001B2E50"/>
    <w:rsid w:val="001B3670"/>
    <w:rsid w:val="001B37D0"/>
    <w:rsid w:val="001B5470"/>
    <w:rsid w:val="001B6F9B"/>
    <w:rsid w:val="001C39DF"/>
    <w:rsid w:val="001C5545"/>
    <w:rsid w:val="001C6458"/>
    <w:rsid w:val="001C663D"/>
    <w:rsid w:val="001C79E1"/>
    <w:rsid w:val="001D0ED4"/>
    <w:rsid w:val="001D3A0D"/>
    <w:rsid w:val="001D51CC"/>
    <w:rsid w:val="001D551E"/>
    <w:rsid w:val="001D5BC9"/>
    <w:rsid w:val="001D6D78"/>
    <w:rsid w:val="001E3D53"/>
    <w:rsid w:val="001E62E4"/>
    <w:rsid w:val="001F31C2"/>
    <w:rsid w:val="001F7923"/>
    <w:rsid w:val="0020259B"/>
    <w:rsid w:val="00204A0A"/>
    <w:rsid w:val="002052FA"/>
    <w:rsid w:val="00206BA8"/>
    <w:rsid w:val="00206C49"/>
    <w:rsid w:val="00211169"/>
    <w:rsid w:val="002118F4"/>
    <w:rsid w:val="002122D2"/>
    <w:rsid w:val="0021385D"/>
    <w:rsid w:val="0022010B"/>
    <w:rsid w:val="00221B29"/>
    <w:rsid w:val="002313E1"/>
    <w:rsid w:val="0023173D"/>
    <w:rsid w:val="00234838"/>
    <w:rsid w:val="00240F5B"/>
    <w:rsid w:val="00241191"/>
    <w:rsid w:val="00244DA7"/>
    <w:rsid w:val="00245F77"/>
    <w:rsid w:val="002511B4"/>
    <w:rsid w:val="0025124D"/>
    <w:rsid w:val="00252461"/>
    <w:rsid w:val="002530F1"/>
    <w:rsid w:val="002542DF"/>
    <w:rsid w:val="00263CF7"/>
    <w:rsid w:val="00263DA2"/>
    <w:rsid w:val="00265193"/>
    <w:rsid w:val="002658EC"/>
    <w:rsid w:val="00270DEB"/>
    <w:rsid w:val="002745D8"/>
    <w:rsid w:val="0028188C"/>
    <w:rsid w:val="00281E5A"/>
    <w:rsid w:val="0029027D"/>
    <w:rsid w:val="0029163E"/>
    <w:rsid w:val="00294623"/>
    <w:rsid w:val="002A612B"/>
    <w:rsid w:val="002A6375"/>
    <w:rsid w:val="002B2427"/>
    <w:rsid w:val="002C106A"/>
    <w:rsid w:val="002C329D"/>
    <w:rsid w:val="002D01F9"/>
    <w:rsid w:val="002D1F74"/>
    <w:rsid w:val="002D2C63"/>
    <w:rsid w:val="002E045A"/>
    <w:rsid w:val="002E503F"/>
    <w:rsid w:val="002E7506"/>
    <w:rsid w:val="002E7BC0"/>
    <w:rsid w:val="002F37EA"/>
    <w:rsid w:val="002F520F"/>
    <w:rsid w:val="002F6D0D"/>
    <w:rsid w:val="0031422A"/>
    <w:rsid w:val="003168B8"/>
    <w:rsid w:val="00324B25"/>
    <w:rsid w:val="003342CD"/>
    <w:rsid w:val="003458FC"/>
    <w:rsid w:val="00346011"/>
    <w:rsid w:val="0034623A"/>
    <w:rsid w:val="00346345"/>
    <w:rsid w:val="0035424A"/>
    <w:rsid w:val="0035534C"/>
    <w:rsid w:val="00356497"/>
    <w:rsid w:val="00363B4C"/>
    <w:rsid w:val="00365899"/>
    <w:rsid w:val="0037202C"/>
    <w:rsid w:val="00375607"/>
    <w:rsid w:val="00376598"/>
    <w:rsid w:val="00377993"/>
    <w:rsid w:val="00380A7A"/>
    <w:rsid w:val="00382E72"/>
    <w:rsid w:val="003915D3"/>
    <w:rsid w:val="003932F1"/>
    <w:rsid w:val="003933BF"/>
    <w:rsid w:val="00394160"/>
    <w:rsid w:val="003960B1"/>
    <w:rsid w:val="003A4040"/>
    <w:rsid w:val="003B0180"/>
    <w:rsid w:val="003B30A2"/>
    <w:rsid w:val="003B46C3"/>
    <w:rsid w:val="003B6E5D"/>
    <w:rsid w:val="003C4910"/>
    <w:rsid w:val="003C54F7"/>
    <w:rsid w:val="003C65EB"/>
    <w:rsid w:val="003C6882"/>
    <w:rsid w:val="003D1473"/>
    <w:rsid w:val="003D155D"/>
    <w:rsid w:val="003D340D"/>
    <w:rsid w:val="003D69C6"/>
    <w:rsid w:val="003D6F53"/>
    <w:rsid w:val="003E04BD"/>
    <w:rsid w:val="003F229D"/>
    <w:rsid w:val="003F282E"/>
    <w:rsid w:val="003F2C7F"/>
    <w:rsid w:val="003F2D60"/>
    <w:rsid w:val="003F7817"/>
    <w:rsid w:val="004003E6"/>
    <w:rsid w:val="00400A0C"/>
    <w:rsid w:val="00400C69"/>
    <w:rsid w:val="004046F6"/>
    <w:rsid w:val="00404D61"/>
    <w:rsid w:val="0040786F"/>
    <w:rsid w:val="00411CCF"/>
    <w:rsid w:val="00425694"/>
    <w:rsid w:val="00425952"/>
    <w:rsid w:val="00436C81"/>
    <w:rsid w:val="00441B45"/>
    <w:rsid w:val="00442A12"/>
    <w:rsid w:val="00443A3E"/>
    <w:rsid w:val="00443C9D"/>
    <w:rsid w:val="00446AF4"/>
    <w:rsid w:val="00447068"/>
    <w:rsid w:val="004472DC"/>
    <w:rsid w:val="00447329"/>
    <w:rsid w:val="00461136"/>
    <w:rsid w:val="00463351"/>
    <w:rsid w:val="004647E9"/>
    <w:rsid w:val="00467303"/>
    <w:rsid w:val="00470084"/>
    <w:rsid w:val="00471CE6"/>
    <w:rsid w:val="00476840"/>
    <w:rsid w:val="00477CC9"/>
    <w:rsid w:val="00477D5B"/>
    <w:rsid w:val="004801A2"/>
    <w:rsid w:val="0048066F"/>
    <w:rsid w:val="0048193F"/>
    <w:rsid w:val="004823A9"/>
    <w:rsid w:val="004835DE"/>
    <w:rsid w:val="00483E87"/>
    <w:rsid w:val="00484CA2"/>
    <w:rsid w:val="00491273"/>
    <w:rsid w:val="00491548"/>
    <w:rsid w:val="0049253B"/>
    <w:rsid w:val="004948C3"/>
    <w:rsid w:val="004976BF"/>
    <w:rsid w:val="00497A8F"/>
    <w:rsid w:val="004A33EE"/>
    <w:rsid w:val="004A43E2"/>
    <w:rsid w:val="004A7770"/>
    <w:rsid w:val="004B26EF"/>
    <w:rsid w:val="004B3152"/>
    <w:rsid w:val="004B4830"/>
    <w:rsid w:val="004B55A1"/>
    <w:rsid w:val="004B6659"/>
    <w:rsid w:val="004B68AA"/>
    <w:rsid w:val="004B6A1B"/>
    <w:rsid w:val="004B6B4A"/>
    <w:rsid w:val="004C0057"/>
    <w:rsid w:val="004C5806"/>
    <w:rsid w:val="004C6380"/>
    <w:rsid w:val="004D2F26"/>
    <w:rsid w:val="004D5042"/>
    <w:rsid w:val="004D7C15"/>
    <w:rsid w:val="004D7DBD"/>
    <w:rsid w:val="004E0AA2"/>
    <w:rsid w:val="004E2B25"/>
    <w:rsid w:val="004E4E76"/>
    <w:rsid w:val="004E7F3F"/>
    <w:rsid w:val="00501853"/>
    <w:rsid w:val="00515181"/>
    <w:rsid w:val="005163CD"/>
    <w:rsid w:val="005168F4"/>
    <w:rsid w:val="00520B03"/>
    <w:rsid w:val="00521953"/>
    <w:rsid w:val="00523D82"/>
    <w:rsid w:val="005257DB"/>
    <w:rsid w:val="00527AEC"/>
    <w:rsid w:val="0053180F"/>
    <w:rsid w:val="00534A69"/>
    <w:rsid w:val="00540502"/>
    <w:rsid w:val="00541309"/>
    <w:rsid w:val="00542330"/>
    <w:rsid w:val="00543683"/>
    <w:rsid w:val="00544C50"/>
    <w:rsid w:val="0055121B"/>
    <w:rsid w:val="005533A3"/>
    <w:rsid w:val="0055397A"/>
    <w:rsid w:val="00553C6B"/>
    <w:rsid w:val="005601FA"/>
    <w:rsid w:val="005613B2"/>
    <w:rsid w:val="00562DDC"/>
    <w:rsid w:val="00564793"/>
    <w:rsid w:val="00565A7C"/>
    <w:rsid w:val="0057246E"/>
    <w:rsid w:val="00574C57"/>
    <w:rsid w:val="00582E4E"/>
    <w:rsid w:val="00584C51"/>
    <w:rsid w:val="005878FE"/>
    <w:rsid w:val="00595C5C"/>
    <w:rsid w:val="00595C5D"/>
    <w:rsid w:val="0059655E"/>
    <w:rsid w:val="005A0067"/>
    <w:rsid w:val="005A1CF1"/>
    <w:rsid w:val="005B0612"/>
    <w:rsid w:val="005B1B38"/>
    <w:rsid w:val="005B74F7"/>
    <w:rsid w:val="005D0969"/>
    <w:rsid w:val="005D0EC3"/>
    <w:rsid w:val="005D7774"/>
    <w:rsid w:val="005E1836"/>
    <w:rsid w:val="005F3806"/>
    <w:rsid w:val="005F3EE4"/>
    <w:rsid w:val="005F4E22"/>
    <w:rsid w:val="005F5201"/>
    <w:rsid w:val="005F60EC"/>
    <w:rsid w:val="005F642B"/>
    <w:rsid w:val="005F6EBB"/>
    <w:rsid w:val="005F7B57"/>
    <w:rsid w:val="00603874"/>
    <w:rsid w:val="00605EAF"/>
    <w:rsid w:val="00614074"/>
    <w:rsid w:val="00614BC1"/>
    <w:rsid w:val="006157EB"/>
    <w:rsid w:val="0061749C"/>
    <w:rsid w:val="00630348"/>
    <w:rsid w:val="00632B18"/>
    <w:rsid w:val="00632DAF"/>
    <w:rsid w:val="00633423"/>
    <w:rsid w:val="006356F5"/>
    <w:rsid w:val="0063620A"/>
    <w:rsid w:val="00637B12"/>
    <w:rsid w:val="006400B9"/>
    <w:rsid w:val="0064485D"/>
    <w:rsid w:val="00644A1D"/>
    <w:rsid w:val="006520A3"/>
    <w:rsid w:val="0065217B"/>
    <w:rsid w:val="00654DFA"/>
    <w:rsid w:val="00655336"/>
    <w:rsid w:val="00660350"/>
    <w:rsid w:val="00667C09"/>
    <w:rsid w:val="00672EA8"/>
    <w:rsid w:val="00680DDE"/>
    <w:rsid w:val="00681805"/>
    <w:rsid w:val="00681950"/>
    <w:rsid w:val="0068409A"/>
    <w:rsid w:val="006867E8"/>
    <w:rsid w:val="00692899"/>
    <w:rsid w:val="00692C62"/>
    <w:rsid w:val="0069734B"/>
    <w:rsid w:val="00697B03"/>
    <w:rsid w:val="00697F29"/>
    <w:rsid w:val="006B298A"/>
    <w:rsid w:val="006B2BFC"/>
    <w:rsid w:val="006B6A6A"/>
    <w:rsid w:val="006B7CAC"/>
    <w:rsid w:val="006C2F6E"/>
    <w:rsid w:val="006C44D9"/>
    <w:rsid w:val="006C7032"/>
    <w:rsid w:val="006C7392"/>
    <w:rsid w:val="006D07A4"/>
    <w:rsid w:val="006D25B2"/>
    <w:rsid w:val="006D33DD"/>
    <w:rsid w:val="006D34EB"/>
    <w:rsid w:val="006D5CCD"/>
    <w:rsid w:val="006D5E7B"/>
    <w:rsid w:val="006E1558"/>
    <w:rsid w:val="006E6C03"/>
    <w:rsid w:val="006E79C5"/>
    <w:rsid w:val="006F3235"/>
    <w:rsid w:val="006F48EA"/>
    <w:rsid w:val="006F516D"/>
    <w:rsid w:val="00700F47"/>
    <w:rsid w:val="00702E21"/>
    <w:rsid w:val="00705EAF"/>
    <w:rsid w:val="00707FBE"/>
    <w:rsid w:val="007115FF"/>
    <w:rsid w:val="00713012"/>
    <w:rsid w:val="007153BB"/>
    <w:rsid w:val="0071620E"/>
    <w:rsid w:val="00716981"/>
    <w:rsid w:val="00720EA8"/>
    <w:rsid w:val="00724B7D"/>
    <w:rsid w:val="00724C92"/>
    <w:rsid w:val="007260CB"/>
    <w:rsid w:val="007324BF"/>
    <w:rsid w:val="00735657"/>
    <w:rsid w:val="00735C0A"/>
    <w:rsid w:val="007376A9"/>
    <w:rsid w:val="00737C29"/>
    <w:rsid w:val="00742256"/>
    <w:rsid w:val="0075036A"/>
    <w:rsid w:val="00753832"/>
    <w:rsid w:val="00754AC9"/>
    <w:rsid w:val="007634BB"/>
    <w:rsid w:val="00765C03"/>
    <w:rsid w:val="00766C26"/>
    <w:rsid w:val="007713BF"/>
    <w:rsid w:val="00771618"/>
    <w:rsid w:val="00783296"/>
    <w:rsid w:val="00783785"/>
    <w:rsid w:val="00790D91"/>
    <w:rsid w:val="00792625"/>
    <w:rsid w:val="00792B37"/>
    <w:rsid w:val="00793187"/>
    <w:rsid w:val="0079409D"/>
    <w:rsid w:val="00795ED8"/>
    <w:rsid w:val="00796927"/>
    <w:rsid w:val="007A1E95"/>
    <w:rsid w:val="007A21FB"/>
    <w:rsid w:val="007A5716"/>
    <w:rsid w:val="007B2E58"/>
    <w:rsid w:val="007B43BF"/>
    <w:rsid w:val="007B4401"/>
    <w:rsid w:val="007B5DDD"/>
    <w:rsid w:val="007B7057"/>
    <w:rsid w:val="007B7B3F"/>
    <w:rsid w:val="007C0548"/>
    <w:rsid w:val="007C0D3B"/>
    <w:rsid w:val="007C0F63"/>
    <w:rsid w:val="007C1FCF"/>
    <w:rsid w:val="007C4877"/>
    <w:rsid w:val="007D06D4"/>
    <w:rsid w:val="007D1E6D"/>
    <w:rsid w:val="007D309B"/>
    <w:rsid w:val="007E50C6"/>
    <w:rsid w:val="007F23CC"/>
    <w:rsid w:val="007F2529"/>
    <w:rsid w:val="007F4102"/>
    <w:rsid w:val="007F4887"/>
    <w:rsid w:val="007F4C2C"/>
    <w:rsid w:val="007F6688"/>
    <w:rsid w:val="007F6783"/>
    <w:rsid w:val="007F7DF0"/>
    <w:rsid w:val="0080026D"/>
    <w:rsid w:val="00800333"/>
    <w:rsid w:val="008017BC"/>
    <w:rsid w:val="00807CB2"/>
    <w:rsid w:val="00807F06"/>
    <w:rsid w:val="00810BAE"/>
    <w:rsid w:val="00811285"/>
    <w:rsid w:val="00813950"/>
    <w:rsid w:val="0081462D"/>
    <w:rsid w:val="008156F6"/>
    <w:rsid w:val="00821367"/>
    <w:rsid w:val="008264B4"/>
    <w:rsid w:val="00826913"/>
    <w:rsid w:val="00840781"/>
    <w:rsid w:val="00842459"/>
    <w:rsid w:val="008437CF"/>
    <w:rsid w:val="00850DFA"/>
    <w:rsid w:val="00851987"/>
    <w:rsid w:val="00852A8B"/>
    <w:rsid w:val="00853D13"/>
    <w:rsid w:val="00855513"/>
    <w:rsid w:val="00855A40"/>
    <w:rsid w:val="00855D1A"/>
    <w:rsid w:val="00857874"/>
    <w:rsid w:val="008618F1"/>
    <w:rsid w:val="008636AA"/>
    <w:rsid w:val="008708A3"/>
    <w:rsid w:val="008729E2"/>
    <w:rsid w:val="008764F2"/>
    <w:rsid w:val="008808E8"/>
    <w:rsid w:val="00887131"/>
    <w:rsid w:val="008901E4"/>
    <w:rsid w:val="008909F4"/>
    <w:rsid w:val="008915C0"/>
    <w:rsid w:val="0089475E"/>
    <w:rsid w:val="00895B03"/>
    <w:rsid w:val="00895F44"/>
    <w:rsid w:val="00896E0A"/>
    <w:rsid w:val="008A1A83"/>
    <w:rsid w:val="008A67E5"/>
    <w:rsid w:val="008B1B2A"/>
    <w:rsid w:val="008B225D"/>
    <w:rsid w:val="008B2541"/>
    <w:rsid w:val="008B298C"/>
    <w:rsid w:val="008B3623"/>
    <w:rsid w:val="008C0538"/>
    <w:rsid w:val="008C44E1"/>
    <w:rsid w:val="008D0E2D"/>
    <w:rsid w:val="008D201C"/>
    <w:rsid w:val="008D37ED"/>
    <w:rsid w:val="008E05EC"/>
    <w:rsid w:val="008E2988"/>
    <w:rsid w:val="008F0827"/>
    <w:rsid w:val="008F2A19"/>
    <w:rsid w:val="008F5A9B"/>
    <w:rsid w:val="008F79EB"/>
    <w:rsid w:val="0090669C"/>
    <w:rsid w:val="009237C2"/>
    <w:rsid w:val="00923828"/>
    <w:rsid w:val="00926C2C"/>
    <w:rsid w:val="00930DC4"/>
    <w:rsid w:val="00931B5E"/>
    <w:rsid w:val="009322CE"/>
    <w:rsid w:val="00935EC8"/>
    <w:rsid w:val="00936EAF"/>
    <w:rsid w:val="00937792"/>
    <w:rsid w:val="00946B90"/>
    <w:rsid w:val="0095084B"/>
    <w:rsid w:val="00952752"/>
    <w:rsid w:val="009541AC"/>
    <w:rsid w:val="00954C80"/>
    <w:rsid w:val="00960527"/>
    <w:rsid w:val="00962738"/>
    <w:rsid w:val="00966267"/>
    <w:rsid w:val="009664AA"/>
    <w:rsid w:val="00970385"/>
    <w:rsid w:val="009739B8"/>
    <w:rsid w:val="00976571"/>
    <w:rsid w:val="009817A5"/>
    <w:rsid w:val="009819B0"/>
    <w:rsid w:val="00987459"/>
    <w:rsid w:val="009874BC"/>
    <w:rsid w:val="00991D09"/>
    <w:rsid w:val="009935F3"/>
    <w:rsid w:val="00993F62"/>
    <w:rsid w:val="009A335D"/>
    <w:rsid w:val="009A64D2"/>
    <w:rsid w:val="009B5AED"/>
    <w:rsid w:val="009B6124"/>
    <w:rsid w:val="009C3A7A"/>
    <w:rsid w:val="009C7AAC"/>
    <w:rsid w:val="009D1140"/>
    <w:rsid w:val="009D1A57"/>
    <w:rsid w:val="009D3D06"/>
    <w:rsid w:val="009D4D5E"/>
    <w:rsid w:val="009D65F6"/>
    <w:rsid w:val="009D7909"/>
    <w:rsid w:val="009E1BB2"/>
    <w:rsid w:val="009E5E2C"/>
    <w:rsid w:val="009E6D88"/>
    <w:rsid w:val="009F06A4"/>
    <w:rsid w:val="009F07D6"/>
    <w:rsid w:val="009F3A1E"/>
    <w:rsid w:val="00A0584D"/>
    <w:rsid w:val="00A05B38"/>
    <w:rsid w:val="00A072F3"/>
    <w:rsid w:val="00A10CF6"/>
    <w:rsid w:val="00A11805"/>
    <w:rsid w:val="00A11A5F"/>
    <w:rsid w:val="00A123DE"/>
    <w:rsid w:val="00A2023A"/>
    <w:rsid w:val="00A27DF2"/>
    <w:rsid w:val="00A31650"/>
    <w:rsid w:val="00A36B3A"/>
    <w:rsid w:val="00A43A3E"/>
    <w:rsid w:val="00A50A22"/>
    <w:rsid w:val="00A53C13"/>
    <w:rsid w:val="00A54D7B"/>
    <w:rsid w:val="00A57910"/>
    <w:rsid w:val="00A6078C"/>
    <w:rsid w:val="00A62BB9"/>
    <w:rsid w:val="00A638B5"/>
    <w:rsid w:val="00A817B9"/>
    <w:rsid w:val="00A860D0"/>
    <w:rsid w:val="00A9445B"/>
    <w:rsid w:val="00AA0C5D"/>
    <w:rsid w:val="00AA3975"/>
    <w:rsid w:val="00AA567D"/>
    <w:rsid w:val="00AA74AB"/>
    <w:rsid w:val="00AB2816"/>
    <w:rsid w:val="00AB3FAC"/>
    <w:rsid w:val="00AB46DD"/>
    <w:rsid w:val="00AB5277"/>
    <w:rsid w:val="00AB6CED"/>
    <w:rsid w:val="00AB6E97"/>
    <w:rsid w:val="00AC1BEA"/>
    <w:rsid w:val="00AC4B70"/>
    <w:rsid w:val="00AC5FAD"/>
    <w:rsid w:val="00AD14A4"/>
    <w:rsid w:val="00AD1A09"/>
    <w:rsid w:val="00AD66A4"/>
    <w:rsid w:val="00AD7C87"/>
    <w:rsid w:val="00AE2970"/>
    <w:rsid w:val="00AF3A15"/>
    <w:rsid w:val="00B00064"/>
    <w:rsid w:val="00B00AD5"/>
    <w:rsid w:val="00B053D3"/>
    <w:rsid w:val="00B1146B"/>
    <w:rsid w:val="00B13A04"/>
    <w:rsid w:val="00B13EB9"/>
    <w:rsid w:val="00B1519E"/>
    <w:rsid w:val="00B170E2"/>
    <w:rsid w:val="00B17E8C"/>
    <w:rsid w:val="00B2073D"/>
    <w:rsid w:val="00B20885"/>
    <w:rsid w:val="00B22353"/>
    <w:rsid w:val="00B230B9"/>
    <w:rsid w:val="00B2707A"/>
    <w:rsid w:val="00B278D8"/>
    <w:rsid w:val="00B37C03"/>
    <w:rsid w:val="00B417E6"/>
    <w:rsid w:val="00B41A4B"/>
    <w:rsid w:val="00B5017F"/>
    <w:rsid w:val="00B502D9"/>
    <w:rsid w:val="00B5144D"/>
    <w:rsid w:val="00B51B5B"/>
    <w:rsid w:val="00B55E1F"/>
    <w:rsid w:val="00B57323"/>
    <w:rsid w:val="00B6215C"/>
    <w:rsid w:val="00B6229F"/>
    <w:rsid w:val="00B62DE9"/>
    <w:rsid w:val="00B638CF"/>
    <w:rsid w:val="00B70D54"/>
    <w:rsid w:val="00B83A92"/>
    <w:rsid w:val="00B84487"/>
    <w:rsid w:val="00B87177"/>
    <w:rsid w:val="00B92D46"/>
    <w:rsid w:val="00B97FDB"/>
    <w:rsid w:val="00BA2C02"/>
    <w:rsid w:val="00BB2DE8"/>
    <w:rsid w:val="00BB5349"/>
    <w:rsid w:val="00BB587A"/>
    <w:rsid w:val="00BC0B0B"/>
    <w:rsid w:val="00BC0D47"/>
    <w:rsid w:val="00BC171B"/>
    <w:rsid w:val="00BD2825"/>
    <w:rsid w:val="00BD4923"/>
    <w:rsid w:val="00BD725F"/>
    <w:rsid w:val="00BD7EDE"/>
    <w:rsid w:val="00BE12BA"/>
    <w:rsid w:val="00BE1DC4"/>
    <w:rsid w:val="00BE4F81"/>
    <w:rsid w:val="00BE5F19"/>
    <w:rsid w:val="00BE6D27"/>
    <w:rsid w:val="00BE7162"/>
    <w:rsid w:val="00BF1C1A"/>
    <w:rsid w:val="00BF2F31"/>
    <w:rsid w:val="00BF327B"/>
    <w:rsid w:val="00BF44AF"/>
    <w:rsid w:val="00BF4F6B"/>
    <w:rsid w:val="00C11464"/>
    <w:rsid w:val="00C135F1"/>
    <w:rsid w:val="00C16CAE"/>
    <w:rsid w:val="00C20CCC"/>
    <w:rsid w:val="00C263C5"/>
    <w:rsid w:val="00C2698A"/>
    <w:rsid w:val="00C32442"/>
    <w:rsid w:val="00C35329"/>
    <w:rsid w:val="00C42025"/>
    <w:rsid w:val="00C426AE"/>
    <w:rsid w:val="00C43357"/>
    <w:rsid w:val="00C44078"/>
    <w:rsid w:val="00C469F5"/>
    <w:rsid w:val="00C51792"/>
    <w:rsid w:val="00C57406"/>
    <w:rsid w:val="00C60CAF"/>
    <w:rsid w:val="00C60E4D"/>
    <w:rsid w:val="00C60EBE"/>
    <w:rsid w:val="00C63085"/>
    <w:rsid w:val="00C63E34"/>
    <w:rsid w:val="00C66156"/>
    <w:rsid w:val="00C678E7"/>
    <w:rsid w:val="00C72BFE"/>
    <w:rsid w:val="00C74D26"/>
    <w:rsid w:val="00C802B9"/>
    <w:rsid w:val="00C80625"/>
    <w:rsid w:val="00C93366"/>
    <w:rsid w:val="00C9384F"/>
    <w:rsid w:val="00C94011"/>
    <w:rsid w:val="00C97743"/>
    <w:rsid w:val="00CA78A0"/>
    <w:rsid w:val="00CB32D3"/>
    <w:rsid w:val="00CB70F6"/>
    <w:rsid w:val="00CC60D9"/>
    <w:rsid w:val="00CC7A1B"/>
    <w:rsid w:val="00CE1587"/>
    <w:rsid w:val="00CE3358"/>
    <w:rsid w:val="00CE3929"/>
    <w:rsid w:val="00CF0E03"/>
    <w:rsid w:val="00CF3EB7"/>
    <w:rsid w:val="00CF468E"/>
    <w:rsid w:val="00CF4C07"/>
    <w:rsid w:val="00D03342"/>
    <w:rsid w:val="00D05D66"/>
    <w:rsid w:val="00D06611"/>
    <w:rsid w:val="00D077E3"/>
    <w:rsid w:val="00D16923"/>
    <w:rsid w:val="00D21610"/>
    <w:rsid w:val="00D22E9A"/>
    <w:rsid w:val="00D23F79"/>
    <w:rsid w:val="00D248B1"/>
    <w:rsid w:val="00D278D7"/>
    <w:rsid w:val="00D27B2D"/>
    <w:rsid w:val="00D30DD0"/>
    <w:rsid w:val="00D31554"/>
    <w:rsid w:val="00D324EE"/>
    <w:rsid w:val="00D346BD"/>
    <w:rsid w:val="00D41E28"/>
    <w:rsid w:val="00D5711D"/>
    <w:rsid w:val="00D65397"/>
    <w:rsid w:val="00D65B1B"/>
    <w:rsid w:val="00D70002"/>
    <w:rsid w:val="00D73ADA"/>
    <w:rsid w:val="00D74F41"/>
    <w:rsid w:val="00D7647C"/>
    <w:rsid w:val="00D8057B"/>
    <w:rsid w:val="00D82F98"/>
    <w:rsid w:val="00D91960"/>
    <w:rsid w:val="00D9402C"/>
    <w:rsid w:val="00D958C4"/>
    <w:rsid w:val="00D96214"/>
    <w:rsid w:val="00DA3844"/>
    <w:rsid w:val="00DA4678"/>
    <w:rsid w:val="00DA5951"/>
    <w:rsid w:val="00DC25E9"/>
    <w:rsid w:val="00DC397C"/>
    <w:rsid w:val="00DD3125"/>
    <w:rsid w:val="00DD4D87"/>
    <w:rsid w:val="00DD681B"/>
    <w:rsid w:val="00DD7CCE"/>
    <w:rsid w:val="00DE1061"/>
    <w:rsid w:val="00DE1DA8"/>
    <w:rsid w:val="00DE45E2"/>
    <w:rsid w:val="00DE5E00"/>
    <w:rsid w:val="00DE7047"/>
    <w:rsid w:val="00DF07BC"/>
    <w:rsid w:val="00DF2FB0"/>
    <w:rsid w:val="00DF4F7E"/>
    <w:rsid w:val="00E07402"/>
    <w:rsid w:val="00E10FBB"/>
    <w:rsid w:val="00E234C3"/>
    <w:rsid w:val="00E24592"/>
    <w:rsid w:val="00E2552D"/>
    <w:rsid w:val="00E2579C"/>
    <w:rsid w:val="00E25DAF"/>
    <w:rsid w:val="00E31232"/>
    <w:rsid w:val="00E31CA1"/>
    <w:rsid w:val="00E32B95"/>
    <w:rsid w:val="00E361B6"/>
    <w:rsid w:val="00E36A28"/>
    <w:rsid w:val="00E37288"/>
    <w:rsid w:val="00E42076"/>
    <w:rsid w:val="00E44C02"/>
    <w:rsid w:val="00E45EC4"/>
    <w:rsid w:val="00E46384"/>
    <w:rsid w:val="00E46D82"/>
    <w:rsid w:val="00E4799F"/>
    <w:rsid w:val="00E56542"/>
    <w:rsid w:val="00E6197B"/>
    <w:rsid w:val="00E6518C"/>
    <w:rsid w:val="00E654AA"/>
    <w:rsid w:val="00E65606"/>
    <w:rsid w:val="00E65A0F"/>
    <w:rsid w:val="00E71A6E"/>
    <w:rsid w:val="00E71E14"/>
    <w:rsid w:val="00E75590"/>
    <w:rsid w:val="00E90AE3"/>
    <w:rsid w:val="00E933E1"/>
    <w:rsid w:val="00E958E1"/>
    <w:rsid w:val="00E97A4E"/>
    <w:rsid w:val="00EA2267"/>
    <w:rsid w:val="00EA6119"/>
    <w:rsid w:val="00EA67DA"/>
    <w:rsid w:val="00EB5E0C"/>
    <w:rsid w:val="00EB7B26"/>
    <w:rsid w:val="00EC064B"/>
    <w:rsid w:val="00EC0844"/>
    <w:rsid w:val="00EC43FE"/>
    <w:rsid w:val="00EC457B"/>
    <w:rsid w:val="00EC4AF9"/>
    <w:rsid w:val="00EC5271"/>
    <w:rsid w:val="00ED03A0"/>
    <w:rsid w:val="00ED2A24"/>
    <w:rsid w:val="00ED669B"/>
    <w:rsid w:val="00EE5D28"/>
    <w:rsid w:val="00EE7408"/>
    <w:rsid w:val="00EF1468"/>
    <w:rsid w:val="00EF1778"/>
    <w:rsid w:val="00EF454B"/>
    <w:rsid w:val="00F0146E"/>
    <w:rsid w:val="00F0179D"/>
    <w:rsid w:val="00F019FD"/>
    <w:rsid w:val="00F041F0"/>
    <w:rsid w:val="00F07F82"/>
    <w:rsid w:val="00F13484"/>
    <w:rsid w:val="00F20B42"/>
    <w:rsid w:val="00F224F5"/>
    <w:rsid w:val="00F244BE"/>
    <w:rsid w:val="00F24EFE"/>
    <w:rsid w:val="00F25C82"/>
    <w:rsid w:val="00F309E7"/>
    <w:rsid w:val="00F3255E"/>
    <w:rsid w:val="00F33EA0"/>
    <w:rsid w:val="00F35632"/>
    <w:rsid w:val="00F35F7E"/>
    <w:rsid w:val="00F361E0"/>
    <w:rsid w:val="00F502DC"/>
    <w:rsid w:val="00F53C41"/>
    <w:rsid w:val="00F56BA2"/>
    <w:rsid w:val="00F56BA8"/>
    <w:rsid w:val="00F57400"/>
    <w:rsid w:val="00F67B1E"/>
    <w:rsid w:val="00F71591"/>
    <w:rsid w:val="00F71D44"/>
    <w:rsid w:val="00F7268A"/>
    <w:rsid w:val="00F758F5"/>
    <w:rsid w:val="00F77F8E"/>
    <w:rsid w:val="00F87B73"/>
    <w:rsid w:val="00FA132B"/>
    <w:rsid w:val="00FA23F6"/>
    <w:rsid w:val="00FA2838"/>
    <w:rsid w:val="00FA2D0F"/>
    <w:rsid w:val="00FA37DA"/>
    <w:rsid w:val="00FB2C37"/>
    <w:rsid w:val="00FB4D54"/>
    <w:rsid w:val="00FB5080"/>
    <w:rsid w:val="00FB68A9"/>
    <w:rsid w:val="00FB7969"/>
    <w:rsid w:val="00FC1EF3"/>
    <w:rsid w:val="00FC2A7F"/>
    <w:rsid w:val="00FD1FFA"/>
    <w:rsid w:val="00FD3E6E"/>
    <w:rsid w:val="00FE00FB"/>
    <w:rsid w:val="00FE32F2"/>
    <w:rsid w:val="00FE4EC1"/>
    <w:rsid w:val="00FE66D3"/>
    <w:rsid w:val="00FE6BB7"/>
    <w:rsid w:val="00FE7038"/>
    <w:rsid w:val="01F07F2F"/>
    <w:rsid w:val="04774FC6"/>
    <w:rsid w:val="05AE1124"/>
    <w:rsid w:val="06636D94"/>
    <w:rsid w:val="06C95B3E"/>
    <w:rsid w:val="080D324A"/>
    <w:rsid w:val="09CB1368"/>
    <w:rsid w:val="0ADC1DDC"/>
    <w:rsid w:val="0B0F40FC"/>
    <w:rsid w:val="0BA431A7"/>
    <w:rsid w:val="0C976B1C"/>
    <w:rsid w:val="0CC55F5A"/>
    <w:rsid w:val="0D373AE3"/>
    <w:rsid w:val="0D656CD8"/>
    <w:rsid w:val="10154C70"/>
    <w:rsid w:val="114805EA"/>
    <w:rsid w:val="12CE4068"/>
    <w:rsid w:val="12E05ECC"/>
    <w:rsid w:val="139F704C"/>
    <w:rsid w:val="17447766"/>
    <w:rsid w:val="20274E6D"/>
    <w:rsid w:val="225D6364"/>
    <w:rsid w:val="249C09FA"/>
    <w:rsid w:val="24AE18EE"/>
    <w:rsid w:val="2719423C"/>
    <w:rsid w:val="27AA4C9B"/>
    <w:rsid w:val="27DC450B"/>
    <w:rsid w:val="281B5A0F"/>
    <w:rsid w:val="28413134"/>
    <w:rsid w:val="2B6739C3"/>
    <w:rsid w:val="2CFA126F"/>
    <w:rsid w:val="308C6CED"/>
    <w:rsid w:val="333F487B"/>
    <w:rsid w:val="372E3495"/>
    <w:rsid w:val="37F824D3"/>
    <w:rsid w:val="38083014"/>
    <w:rsid w:val="38F53945"/>
    <w:rsid w:val="3A823585"/>
    <w:rsid w:val="3BFB0147"/>
    <w:rsid w:val="3CFB406E"/>
    <w:rsid w:val="3E676D80"/>
    <w:rsid w:val="409B3328"/>
    <w:rsid w:val="40D74270"/>
    <w:rsid w:val="40E517CE"/>
    <w:rsid w:val="41EB06BE"/>
    <w:rsid w:val="42FB1B1D"/>
    <w:rsid w:val="46A376CA"/>
    <w:rsid w:val="470A0A30"/>
    <w:rsid w:val="476F7FEF"/>
    <w:rsid w:val="47B24F42"/>
    <w:rsid w:val="48AA1A8D"/>
    <w:rsid w:val="48E724CD"/>
    <w:rsid w:val="490A230C"/>
    <w:rsid w:val="4A966A1A"/>
    <w:rsid w:val="4E0D2105"/>
    <w:rsid w:val="4E9E1EE5"/>
    <w:rsid w:val="519F68C3"/>
    <w:rsid w:val="524D6516"/>
    <w:rsid w:val="527F6965"/>
    <w:rsid w:val="52C67E2F"/>
    <w:rsid w:val="532F70D5"/>
    <w:rsid w:val="565D4E8B"/>
    <w:rsid w:val="56FB6CA0"/>
    <w:rsid w:val="591E42C6"/>
    <w:rsid w:val="607F361A"/>
    <w:rsid w:val="60BB2175"/>
    <w:rsid w:val="626773A5"/>
    <w:rsid w:val="63521C09"/>
    <w:rsid w:val="64A90E8A"/>
    <w:rsid w:val="6570314D"/>
    <w:rsid w:val="67FC1E70"/>
    <w:rsid w:val="69DC6DBD"/>
    <w:rsid w:val="6D7D4C87"/>
    <w:rsid w:val="6DC259EE"/>
    <w:rsid w:val="6FD6706A"/>
    <w:rsid w:val="72055EDB"/>
    <w:rsid w:val="73D67B39"/>
    <w:rsid w:val="761B46E6"/>
    <w:rsid w:val="7696299F"/>
    <w:rsid w:val="76EA3E9B"/>
    <w:rsid w:val="76F45CA6"/>
    <w:rsid w:val="7C3E1AA7"/>
    <w:rsid w:val="7C604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仿宋" w:cs="Times New Roman"/>
      <w:kern w:val="2"/>
      <w:sz w:val="24"/>
      <w:szCs w:val="24"/>
      <w:lang w:val="en-US" w:eastAsia="zh-CN" w:bidi="ar-SA"/>
    </w:rPr>
  </w:style>
  <w:style w:type="paragraph" w:styleId="3">
    <w:name w:val="heading 1"/>
    <w:basedOn w:val="1"/>
    <w:next w:val="1"/>
    <w:link w:val="46"/>
    <w:qFormat/>
    <w:uiPriority w:val="0"/>
    <w:pPr>
      <w:keepNext/>
      <w:keepLines/>
      <w:spacing w:before="340" w:after="330" w:line="576" w:lineRule="auto"/>
      <w:jc w:val="center"/>
      <w:outlineLvl w:val="0"/>
    </w:pPr>
    <w:rPr>
      <w:b/>
      <w:kern w:val="44"/>
      <w:sz w:val="44"/>
      <w:szCs w:val="20"/>
    </w:rPr>
  </w:style>
  <w:style w:type="paragraph" w:styleId="4">
    <w:name w:val="heading 2"/>
    <w:basedOn w:val="1"/>
    <w:next w:val="1"/>
    <w:link w:val="47"/>
    <w:qFormat/>
    <w:uiPriority w:val="0"/>
    <w:pPr>
      <w:keepNext/>
      <w:keepLines/>
      <w:spacing w:before="260" w:after="260" w:line="416" w:lineRule="auto"/>
      <w:outlineLvl w:val="1"/>
    </w:pPr>
    <w:rPr>
      <w:rFonts w:ascii="Arial" w:hAnsi="Arial"/>
      <w:b/>
      <w:bCs/>
      <w:sz w:val="32"/>
      <w:szCs w:val="32"/>
    </w:rPr>
  </w:style>
  <w:style w:type="paragraph" w:styleId="5">
    <w:name w:val="heading 3"/>
    <w:basedOn w:val="1"/>
    <w:next w:val="1"/>
    <w:link w:val="48"/>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4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4">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Body Text"/>
    <w:basedOn w:val="1"/>
    <w:link w:val="60"/>
    <w:qFormat/>
    <w:uiPriority w:val="0"/>
    <w:pPr>
      <w:spacing w:after="120"/>
    </w:pPr>
    <w:rPr>
      <w:szCs w:val="20"/>
    </w:rPr>
  </w:style>
  <w:style w:type="paragraph" w:styleId="7">
    <w:name w:val="toc 7"/>
    <w:basedOn w:val="1"/>
    <w:next w:val="1"/>
    <w:unhideWhenUsed/>
    <w:qFormat/>
    <w:uiPriority w:val="0"/>
    <w:pPr>
      <w:ind w:left="2520" w:leftChars="1200"/>
    </w:pPr>
    <w:rPr>
      <w:rFonts w:asciiTheme="minorHAnsi" w:hAnsiTheme="minorHAnsi" w:eastAsiaTheme="minorEastAsia" w:cstheme="minorBidi"/>
      <w:szCs w:val="22"/>
    </w:rPr>
  </w:style>
  <w:style w:type="paragraph" w:styleId="8">
    <w:name w:val="Normal Indent"/>
    <w:basedOn w:val="1"/>
    <w:qFormat/>
    <w:uiPriority w:val="0"/>
    <w:pPr>
      <w:autoSpaceDE w:val="0"/>
      <w:autoSpaceDN w:val="0"/>
      <w:adjustRightInd w:val="0"/>
      <w:ind w:firstLine="420"/>
    </w:pPr>
    <w:rPr>
      <w:rFonts w:ascii="宋体"/>
      <w:kern w:val="0"/>
      <w:szCs w:val="20"/>
    </w:rPr>
  </w:style>
  <w:style w:type="paragraph" w:styleId="9">
    <w:name w:val="Document Map"/>
    <w:basedOn w:val="1"/>
    <w:link w:val="73"/>
    <w:qFormat/>
    <w:uiPriority w:val="0"/>
    <w:pPr>
      <w:spacing w:after="160" w:line="259" w:lineRule="auto"/>
      <w:jc w:val="both"/>
    </w:pPr>
    <w:rPr>
      <w:rFonts w:ascii="宋体" w:hAnsi="Calibri" w:eastAsia="宋体"/>
      <w:sz w:val="18"/>
      <w:szCs w:val="18"/>
    </w:rPr>
  </w:style>
  <w:style w:type="paragraph" w:styleId="10">
    <w:name w:val="toa heading"/>
    <w:basedOn w:val="1"/>
    <w:next w:val="1"/>
    <w:semiHidden/>
    <w:qFormat/>
    <w:uiPriority w:val="0"/>
    <w:pPr>
      <w:autoSpaceDE w:val="0"/>
      <w:autoSpaceDN w:val="0"/>
      <w:adjustRightInd w:val="0"/>
      <w:spacing w:before="120"/>
    </w:pPr>
    <w:rPr>
      <w:rFonts w:ascii="Arial" w:hAnsi="Arial"/>
      <w:kern w:val="0"/>
      <w:szCs w:val="20"/>
    </w:rPr>
  </w:style>
  <w:style w:type="paragraph" w:styleId="11">
    <w:name w:val="annotation text"/>
    <w:basedOn w:val="1"/>
    <w:link w:val="71"/>
    <w:unhideWhenUsed/>
    <w:qFormat/>
    <w:uiPriority w:val="0"/>
    <w:pPr>
      <w:spacing w:after="160" w:line="259" w:lineRule="auto"/>
    </w:pPr>
    <w:rPr>
      <w:rFonts w:ascii="Calibri" w:hAnsi="Calibri" w:eastAsia="宋体"/>
      <w:sz w:val="21"/>
    </w:rPr>
  </w:style>
  <w:style w:type="paragraph" w:styleId="12">
    <w:name w:val="Body Text 3"/>
    <w:basedOn w:val="1"/>
    <w:qFormat/>
    <w:uiPriority w:val="0"/>
    <w:pPr>
      <w:spacing w:after="120"/>
    </w:pPr>
    <w:rPr>
      <w:sz w:val="16"/>
      <w:szCs w:val="16"/>
    </w:rPr>
  </w:style>
  <w:style w:type="paragraph" w:styleId="13">
    <w:name w:val="Body Text Indent"/>
    <w:basedOn w:val="1"/>
    <w:link w:val="70"/>
    <w:unhideWhenUsed/>
    <w:qFormat/>
    <w:uiPriority w:val="0"/>
    <w:pPr>
      <w:spacing w:after="120"/>
      <w:ind w:left="420" w:leftChars="200"/>
    </w:pPr>
  </w:style>
  <w:style w:type="paragraph" w:styleId="14">
    <w:name w:val="toc 5"/>
    <w:basedOn w:val="1"/>
    <w:next w:val="1"/>
    <w:unhideWhenUsed/>
    <w:qFormat/>
    <w:uiPriority w:val="0"/>
    <w:pPr>
      <w:ind w:left="1680" w:leftChars="800"/>
    </w:pPr>
    <w:rPr>
      <w:rFonts w:asciiTheme="minorHAnsi" w:hAnsiTheme="minorHAnsi" w:cstheme="minorBidi"/>
      <w:szCs w:val="22"/>
    </w:rPr>
  </w:style>
  <w:style w:type="paragraph" w:styleId="15">
    <w:name w:val="toc 3"/>
    <w:basedOn w:val="1"/>
    <w:next w:val="1"/>
    <w:qFormat/>
    <w:uiPriority w:val="0"/>
    <w:pPr>
      <w:ind w:left="840" w:leftChars="400"/>
    </w:pPr>
  </w:style>
  <w:style w:type="paragraph" w:styleId="16">
    <w:name w:val="toc 8"/>
    <w:basedOn w:val="1"/>
    <w:next w:val="1"/>
    <w:unhideWhenUsed/>
    <w:qFormat/>
    <w:uiPriority w:val="0"/>
    <w:pPr>
      <w:ind w:left="2940" w:leftChars="1400"/>
    </w:pPr>
    <w:rPr>
      <w:rFonts w:asciiTheme="minorHAnsi" w:hAnsiTheme="minorHAnsi" w:eastAsiaTheme="minorEastAsia" w:cstheme="minorBidi"/>
      <w:szCs w:val="22"/>
    </w:rPr>
  </w:style>
  <w:style w:type="paragraph" w:styleId="17">
    <w:name w:val="Date"/>
    <w:basedOn w:val="1"/>
    <w:next w:val="1"/>
    <w:qFormat/>
    <w:uiPriority w:val="0"/>
    <w:pPr>
      <w:ind w:left="100" w:leftChars="2500"/>
    </w:pPr>
  </w:style>
  <w:style w:type="paragraph" w:styleId="18">
    <w:name w:val="Body Text Indent 2"/>
    <w:basedOn w:val="1"/>
    <w:qFormat/>
    <w:uiPriority w:val="0"/>
    <w:pPr>
      <w:spacing w:after="120" w:line="480" w:lineRule="auto"/>
      <w:ind w:left="420" w:leftChars="200"/>
    </w:pPr>
  </w:style>
  <w:style w:type="paragraph" w:styleId="19">
    <w:name w:val="Balloon Text"/>
    <w:basedOn w:val="1"/>
    <w:link w:val="58"/>
    <w:unhideWhenUsed/>
    <w:qFormat/>
    <w:uiPriority w:val="0"/>
    <w:rPr>
      <w:sz w:val="18"/>
      <w:szCs w:val="18"/>
    </w:rPr>
  </w:style>
  <w:style w:type="paragraph" w:styleId="20">
    <w:name w:val="footer"/>
    <w:basedOn w:val="1"/>
    <w:link w:val="67"/>
    <w:qFormat/>
    <w:uiPriority w:val="99"/>
    <w:pPr>
      <w:tabs>
        <w:tab w:val="center" w:pos="4153"/>
        <w:tab w:val="right" w:pos="8306"/>
      </w:tabs>
      <w:snapToGrid w:val="0"/>
    </w:pPr>
    <w:rPr>
      <w:sz w:val="18"/>
      <w:szCs w:val="18"/>
    </w:rPr>
  </w:style>
  <w:style w:type="paragraph" w:styleId="21">
    <w:name w:val="header"/>
    <w:basedOn w:val="1"/>
    <w:link w:val="68"/>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9000"/>
      </w:tabs>
      <w:adjustRightInd w:val="0"/>
      <w:snapToGrid w:val="0"/>
      <w:spacing w:line="540" w:lineRule="atLeast"/>
      <w:ind w:left="2" w:firstLine="2"/>
      <w:jc w:val="center"/>
    </w:pPr>
    <w:rPr>
      <w:rFonts w:ascii="宋体" w:hAnsi="宋体"/>
      <w:szCs w:val="28"/>
    </w:rPr>
  </w:style>
  <w:style w:type="paragraph" w:styleId="23">
    <w:name w:val="toc 4"/>
    <w:basedOn w:val="1"/>
    <w:next w:val="1"/>
    <w:unhideWhenUsed/>
    <w:qFormat/>
    <w:uiPriority w:val="0"/>
    <w:pPr>
      <w:ind w:left="1260" w:leftChars="600"/>
    </w:pPr>
    <w:rPr>
      <w:rFonts w:asciiTheme="minorHAnsi" w:hAnsiTheme="minorHAnsi" w:cstheme="minorBidi"/>
      <w:szCs w:val="22"/>
    </w:rPr>
  </w:style>
  <w:style w:type="paragraph" w:styleId="24">
    <w:name w:val="Subtitle"/>
    <w:basedOn w:val="6"/>
    <w:link w:val="57"/>
    <w:qFormat/>
    <w:uiPriority w:val="0"/>
    <w:pPr>
      <w:widowControl/>
      <w:overflowPunct w:val="0"/>
      <w:autoSpaceDE w:val="0"/>
      <w:autoSpaceDN w:val="0"/>
      <w:adjustRightInd w:val="0"/>
      <w:spacing w:before="0" w:after="0" w:line="377" w:lineRule="auto"/>
      <w:textAlignment w:val="baseline"/>
    </w:pPr>
    <w:rPr>
      <w:rFonts w:ascii="Arial" w:hAnsi="Arial"/>
      <w:b w:val="0"/>
      <w:kern w:val="0"/>
      <w:szCs w:val="20"/>
    </w:rPr>
  </w:style>
  <w:style w:type="paragraph" w:styleId="25">
    <w:name w:val="toc 6"/>
    <w:basedOn w:val="1"/>
    <w:next w:val="1"/>
    <w:unhideWhenUsed/>
    <w:qFormat/>
    <w:uiPriority w:val="0"/>
    <w:pPr>
      <w:ind w:left="2100" w:leftChars="1000"/>
    </w:pPr>
    <w:rPr>
      <w:rFonts w:asciiTheme="minorHAnsi" w:hAnsiTheme="minorHAnsi" w:eastAsiaTheme="minorEastAsia" w:cstheme="minorBidi"/>
      <w:szCs w:val="22"/>
    </w:rPr>
  </w:style>
  <w:style w:type="paragraph" w:styleId="26">
    <w:name w:val="toc 2"/>
    <w:basedOn w:val="1"/>
    <w:next w:val="1"/>
    <w:qFormat/>
    <w:uiPriority w:val="0"/>
    <w:pPr>
      <w:ind w:left="420" w:leftChars="200"/>
    </w:pPr>
  </w:style>
  <w:style w:type="paragraph" w:styleId="27">
    <w:name w:val="toc 9"/>
    <w:basedOn w:val="1"/>
    <w:next w:val="1"/>
    <w:unhideWhenUsed/>
    <w:qFormat/>
    <w:uiPriority w:val="0"/>
    <w:pPr>
      <w:ind w:left="3360" w:leftChars="1600"/>
    </w:pPr>
    <w:rPr>
      <w:rFonts w:asciiTheme="minorHAnsi" w:hAnsiTheme="minorHAnsi" w:eastAsiaTheme="minorEastAsia" w:cstheme="minorBidi"/>
      <w:szCs w:val="22"/>
    </w:rPr>
  </w:style>
  <w:style w:type="paragraph" w:styleId="28">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rPr>
  </w:style>
  <w:style w:type="paragraph" w:styleId="29">
    <w:name w:val="Normal (Web)"/>
    <w:basedOn w:val="1"/>
    <w:unhideWhenUsed/>
    <w:qFormat/>
    <w:uiPriority w:val="0"/>
    <w:rPr>
      <w:kern w:val="0"/>
    </w:rPr>
  </w:style>
  <w:style w:type="paragraph" w:styleId="30">
    <w:name w:val="Title"/>
    <w:basedOn w:val="1"/>
    <w:next w:val="1"/>
    <w:link w:val="69"/>
    <w:qFormat/>
    <w:uiPriority w:val="10"/>
    <w:pPr>
      <w:spacing w:before="240" w:after="60"/>
      <w:jc w:val="center"/>
      <w:outlineLvl w:val="0"/>
    </w:pPr>
    <w:rPr>
      <w:rFonts w:asciiTheme="majorHAnsi" w:hAnsiTheme="majorHAnsi" w:cstheme="majorBidi"/>
      <w:b/>
      <w:bCs/>
      <w:sz w:val="32"/>
      <w:szCs w:val="32"/>
    </w:rPr>
  </w:style>
  <w:style w:type="paragraph" w:styleId="31">
    <w:name w:val="annotation subject"/>
    <w:basedOn w:val="11"/>
    <w:next w:val="11"/>
    <w:link w:val="72"/>
    <w:qFormat/>
    <w:uiPriority w:val="0"/>
    <w:rPr>
      <w:b/>
      <w:bCs/>
    </w:rPr>
  </w:style>
  <w:style w:type="table" w:styleId="33">
    <w:name w:val="Table Grid"/>
    <w:basedOn w:val="32"/>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qFormat/>
    <w:uiPriority w:val="0"/>
  </w:style>
  <w:style w:type="character" w:styleId="36">
    <w:name w:val="FollowedHyperlink"/>
    <w:basedOn w:val="34"/>
    <w:semiHidden/>
    <w:unhideWhenUsed/>
    <w:qFormat/>
    <w:uiPriority w:val="0"/>
    <w:rPr>
      <w:color w:val="800080" w:themeColor="followedHyperlink"/>
      <w:u w:val="single"/>
      <w14:textFill>
        <w14:solidFill>
          <w14:schemeClr w14:val="folHlink"/>
        </w14:solidFill>
      </w14:textFill>
    </w:rPr>
  </w:style>
  <w:style w:type="character" w:styleId="37">
    <w:name w:val="Emphasis"/>
    <w:qFormat/>
    <w:uiPriority w:val="20"/>
  </w:style>
  <w:style w:type="character" w:styleId="38">
    <w:name w:val="HTML Definition"/>
    <w:unhideWhenUsed/>
    <w:qFormat/>
    <w:uiPriority w:val="99"/>
  </w:style>
  <w:style w:type="character" w:styleId="39">
    <w:name w:val="HTML Variable"/>
    <w:unhideWhenUsed/>
    <w:qFormat/>
    <w:uiPriority w:val="99"/>
  </w:style>
  <w:style w:type="character" w:styleId="40">
    <w:name w:val="Hyperlink"/>
    <w:basedOn w:val="34"/>
    <w:qFormat/>
    <w:uiPriority w:val="99"/>
    <w:rPr>
      <w:color w:val="2D64B3"/>
      <w:u w:val="none"/>
    </w:rPr>
  </w:style>
  <w:style w:type="character" w:styleId="41">
    <w:name w:val="HTML Code"/>
    <w:unhideWhenUsed/>
    <w:qFormat/>
    <w:uiPriority w:val="99"/>
    <w:rPr>
      <w:rFonts w:ascii="Arial" w:hAnsi="Arial" w:cs="Arial"/>
      <w:sz w:val="20"/>
    </w:rPr>
  </w:style>
  <w:style w:type="character" w:styleId="42">
    <w:name w:val="annotation reference"/>
    <w:qFormat/>
    <w:uiPriority w:val="0"/>
    <w:rPr>
      <w:sz w:val="21"/>
      <w:szCs w:val="21"/>
    </w:rPr>
  </w:style>
  <w:style w:type="character" w:styleId="43">
    <w:name w:val="HTML Cite"/>
    <w:unhideWhenUsed/>
    <w:qFormat/>
    <w:uiPriority w:val="99"/>
  </w:style>
  <w:style w:type="character" w:styleId="44">
    <w:name w:val="HTML Keyboard"/>
    <w:unhideWhenUsed/>
    <w:qFormat/>
    <w:uiPriority w:val="99"/>
    <w:rPr>
      <w:rFonts w:ascii="Arial" w:hAnsi="Arial" w:cs="Arial"/>
      <w:sz w:val="20"/>
    </w:rPr>
  </w:style>
  <w:style w:type="character" w:styleId="45">
    <w:name w:val="HTML Sample"/>
    <w:unhideWhenUsed/>
    <w:qFormat/>
    <w:uiPriority w:val="99"/>
    <w:rPr>
      <w:rFonts w:hint="eastAsia" w:ascii="Arial" w:hAnsi="Arial" w:cs="Arial"/>
    </w:rPr>
  </w:style>
  <w:style w:type="character" w:customStyle="1" w:styleId="46">
    <w:name w:val="标题 1 Char"/>
    <w:link w:val="3"/>
    <w:qFormat/>
    <w:uiPriority w:val="0"/>
    <w:rPr>
      <w:b/>
      <w:kern w:val="44"/>
      <w:sz w:val="44"/>
    </w:rPr>
  </w:style>
  <w:style w:type="character" w:customStyle="1" w:styleId="47">
    <w:name w:val="标题 2 Char"/>
    <w:link w:val="4"/>
    <w:qFormat/>
    <w:uiPriority w:val="0"/>
    <w:rPr>
      <w:rFonts w:ascii="Arial" w:hAnsi="Arial"/>
      <w:b/>
      <w:bCs/>
      <w:kern w:val="2"/>
      <w:sz w:val="32"/>
      <w:szCs w:val="32"/>
    </w:rPr>
  </w:style>
  <w:style w:type="character" w:customStyle="1" w:styleId="48">
    <w:name w:val="标题 3 Char"/>
    <w:link w:val="5"/>
    <w:qFormat/>
    <w:uiPriority w:val="0"/>
    <w:rPr>
      <w:rFonts w:eastAsia="仿宋"/>
      <w:b/>
      <w:bCs/>
      <w:sz w:val="32"/>
      <w:szCs w:val="32"/>
    </w:rPr>
  </w:style>
  <w:style w:type="character" w:customStyle="1" w:styleId="49">
    <w:name w:val="标题 4 Char"/>
    <w:basedOn w:val="34"/>
    <w:link w:val="6"/>
    <w:semiHidden/>
    <w:qFormat/>
    <w:uiPriority w:val="9"/>
    <w:rPr>
      <w:rFonts w:asciiTheme="majorHAnsi" w:hAnsiTheme="majorHAnsi" w:eastAsiaTheme="majorEastAsia" w:cstheme="majorBidi"/>
      <w:b/>
      <w:bCs/>
      <w:kern w:val="2"/>
      <w:sz w:val="28"/>
      <w:szCs w:val="28"/>
    </w:rPr>
  </w:style>
  <w:style w:type="character" w:customStyle="1" w:styleId="50">
    <w:name w:val="release-day"/>
    <w:qFormat/>
    <w:uiPriority w:val="0"/>
    <w:rPr>
      <w:bdr w:val="single" w:color="BDEBB0" w:sz="6" w:space="0"/>
      <w:shd w:val="clear" w:color="auto" w:fill="F5FFF1"/>
    </w:rPr>
  </w:style>
  <w:style w:type="character" w:customStyle="1" w:styleId="51">
    <w:name w:val="style11"/>
    <w:qFormat/>
    <w:uiPriority w:val="0"/>
    <w:rPr>
      <w:color w:val="FFFFFF"/>
    </w:rPr>
  </w:style>
  <w:style w:type="character" w:customStyle="1" w:styleId="52">
    <w:name w:val="bds_more2"/>
    <w:basedOn w:val="34"/>
    <w:qFormat/>
    <w:uiPriority w:val="0"/>
  </w:style>
  <w:style w:type="character" w:customStyle="1" w:styleId="53">
    <w:name w:val="标题 2 Char1"/>
    <w:qFormat/>
    <w:uiPriority w:val="0"/>
    <w:rPr>
      <w:rFonts w:ascii="Arial" w:hAnsi="Arial" w:eastAsia="黑体"/>
      <w:b/>
      <w:bCs/>
      <w:kern w:val="2"/>
      <w:sz w:val="32"/>
      <w:szCs w:val="32"/>
      <w:lang w:val="en-US" w:eastAsia="zh-CN" w:bidi="ar-SA"/>
    </w:rPr>
  </w:style>
  <w:style w:type="character" w:customStyle="1" w:styleId="54">
    <w:name w:val="bds_nopic"/>
    <w:basedOn w:val="34"/>
    <w:qFormat/>
    <w:uiPriority w:val="0"/>
  </w:style>
  <w:style w:type="character" w:customStyle="1" w:styleId="55">
    <w:name w:val="bds_more1"/>
    <w:qFormat/>
    <w:uiPriority w:val="0"/>
    <w:rPr>
      <w:rFonts w:hint="eastAsia" w:ascii="宋体" w:hAnsi="宋体" w:eastAsia="宋体" w:cs="宋体"/>
    </w:rPr>
  </w:style>
  <w:style w:type="character" w:customStyle="1" w:styleId="56">
    <w:name w:val="bds_more"/>
    <w:basedOn w:val="34"/>
    <w:qFormat/>
    <w:uiPriority w:val="0"/>
  </w:style>
  <w:style w:type="character" w:customStyle="1" w:styleId="57">
    <w:name w:val="副标题 Char"/>
    <w:link w:val="24"/>
    <w:qFormat/>
    <w:uiPriority w:val="0"/>
    <w:rPr>
      <w:rFonts w:ascii="Arial" w:hAnsi="Arial" w:eastAsiaTheme="majorEastAsia" w:cstheme="majorBidi"/>
      <w:bCs/>
      <w:sz w:val="28"/>
    </w:rPr>
  </w:style>
  <w:style w:type="character" w:customStyle="1" w:styleId="58">
    <w:name w:val="批注框文本 Char"/>
    <w:link w:val="19"/>
    <w:qFormat/>
    <w:uiPriority w:val="0"/>
    <w:rPr>
      <w:kern w:val="2"/>
      <w:sz w:val="18"/>
      <w:szCs w:val="18"/>
    </w:rPr>
  </w:style>
  <w:style w:type="character" w:customStyle="1" w:styleId="59">
    <w:name w:val="legend"/>
    <w:qFormat/>
    <w:uiPriority w:val="0"/>
    <w:rPr>
      <w:rFonts w:ascii="Arial" w:hAnsi="Arial" w:cs="Arial"/>
      <w:b/>
      <w:color w:val="73B304"/>
      <w:sz w:val="21"/>
      <w:szCs w:val="21"/>
      <w:shd w:val="clear" w:color="auto" w:fill="FFFFFF"/>
    </w:rPr>
  </w:style>
  <w:style w:type="character" w:customStyle="1" w:styleId="60">
    <w:name w:val="正文文本 Char"/>
    <w:link w:val="2"/>
    <w:qFormat/>
    <w:uiPriority w:val="0"/>
    <w:rPr>
      <w:kern w:val="2"/>
      <w:sz w:val="21"/>
    </w:rPr>
  </w:style>
  <w:style w:type="character" w:customStyle="1" w:styleId="61">
    <w:name w:val="num"/>
    <w:qFormat/>
    <w:uiPriority w:val="0"/>
    <w:rPr>
      <w:b/>
      <w:color w:val="FF7800"/>
    </w:rPr>
  </w:style>
  <w:style w:type="paragraph" w:customStyle="1" w:styleId="62">
    <w:name w:val="p0"/>
    <w:basedOn w:val="1"/>
    <w:qFormat/>
    <w:uiPriority w:val="0"/>
    <w:pPr>
      <w:widowControl/>
    </w:pPr>
    <w:rPr>
      <w:kern w:val="0"/>
      <w:szCs w:val="21"/>
    </w:rPr>
  </w:style>
  <w:style w:type="paragraph" w:customStyle="1" w:styleId="63">
    <w:name w:val="op_mapdots_left"/>
    <w:basedOn w:val="1"/>
    <w:qFormat/>
    <w:uiPriority w:val="0"/>
    <w:pPr>
      <w:widowControl/>
    </w:pPr>
    <w:rPr>
      <w:rFonts w:ascii="宋体" w:hAnsi="宋体" w:cs="宋体"/>
      <w:kern w:val="0"/>
    </w:rPr>
  </w:style>
  <w:style w:type="paragraph" w:customStyle="1" w:styleId="64">
    <w:name w:val="TOC 标题1"/>
    <w:basedOn w:val="3"/>
    <w:next w:val="1"/>
    <w:unhideWhenUsed/>
    <w:qFormat/>
    <w:uiPriority w:val="39"/>
    <w:pPr>
      <w:widowControl/>
      <w:spacing w:before="480" w:after="0" w:line="276" w:lineRule="auto"/>
      <w:jc w:val="left"/>
      <w:outlineLvl w:val="9"/>
    </w:pPr>
    <w:rPr>
      <w:rFonts w:ascii="Cambria" w:hAnsi="Cambria"/>
      <w:bCs/>
      <w:color w:val="365F91"/>
      <w:kern w:val="0"/>
      <w:sz w:val="28"/>
      <w:szCs w:val="28"/>
    </w:rPr>
  </w:style>
  <w:style w:type="character" w:customStyle="1" w:styleId="65">
    <w:name w:val="正文文本 + 间距 0 pt1"/>
    <w:basedOn w:val="60"/>
    <w:qFormat/>
    <w:uiPriority w:val="0"/>
    <w:rPr>
      <w:rFonts w:ascii="Arial Unicode MS" w:hAnsi="Calibri" w:eastAsia="Arial Unicode MS" w:cs="Arial Unicode MS"/>
      <w:spacing w:val="4"/>
      <w:kern w:val="2"/>
      <w:sz w:val="15"/>
      <w:szCs w:val="15"/>
    </w:rPr>
  </w:style>
  <w:style w:type="paragraph" w:styleId="66">
    <w:name w:val="List Paragraph"/>
    <w:basedOn w:val="1"/>
    <w:qFormat/>
    <w:uiPriority w:val="99"/>
    <w:pPr>
      <w:ind w:firstLine="420" w:firstLineChars="200"/>
    </w:pPr>
  </w:style>
  <w:style w:type="character" w:customStyle="1" w:styleId="67">
    <w:name w:val="页脚 Char"/>
    <w:basedOn w:val="34"/>
    <w:link w:val="20"/>
    <w:qFormat/>
    <w:uiPriority w:val="99"/>
    <w:rPr>
      <w:kern w:val="2"/>
      <w:sz w:val="18"/>
      <w:szCs w:val="18"/>
    </w:rPr>
  </w:style>
  <w:style w:type="character" w:customStyle="1" w:styleId="68">
    <w:name w:val="页眉 Char"/>
    <w:basedOn w:val="34"/>
    <w:link w:val="21"/>
    <w:qFormat/>
    <w:uiPriority w:val="0"/>
    <w:rPr>
      <w:kern w:val="2"/>
      <w:sz w:val="18"/>
      <w:szCs w:val="18"/>
    </w:rPr>
  </w:style>
  <w:style w:type="character" w:customStyle="1" w:styleId="69">
    <w:name w:val="标题 Char"/>
    <w:basedOn w:val="34"/>
    <w:link w:val="30"/>
    <w:qFormat/>
    <w:uiPriority w:val="10"/>
    <w:rPr>
      <w:rFonts w:eastAsia="仿宋" w:asciiTheme="majorHAnsi" w:hAnsiTheme="majorHAnsi" w:cstheme="majorBidi"/>
      <w:b/>
      <w:bCs/>
      <w:kern w:val="2"/>
      <w:sz w:val="32"/>
      <w:szCs w:val="32"/>
    </w:rPr>
  </w:style>
  <w:style w:type="character" w:customStyle="1" w:styleId="70">
    <w:name w:val="正文文本缩进 Char"/>
    <w:basedOn w:val="34"/>
    <w:link w:val="13"/>
    <w:qFormat/>
    <w:uiPriority w:val="0"/>
    <w:rPr>
      <w:rFonts w:eastAsia="仿宋"/>
      <w:kern w:val="2"/>
      <w:sz w:val="24"/>
      <w:szCs w:val="24"/>
    </w:rPr>
  </w:style>
  <w:style w:type="character" w:customStyle="1" w:styleId="71">
    <w:name w:val="批注文字 Char"/>
    <w:basedOn w:val="34"/>
    <w:link w:val="11"/>
    <w:qFormat/>
    <w:uiPriority w:val="0"/>
    <w:rPr>
      <w:rFonts w:ascii="Calibri" w:hAnsi="Calibri"/>
      <w:kern w:val="2"/>
      <w:sz w:val="21"/>
      <w:szCs w:val="24"/>
    </w:rPr>
  </w:style>
  <w:style w:type="character" w:customStyle="1" w:styleId="72">
    <w:name w:val="批注主题 Char"/>
    <w:basedOn w:val="71"/>
    <w:link w:val="31"/>
    <w:qFormat/>
    <w:uiPriority w:val="0"/>
    <w:rPr>
      <w:rFonts w:ascii="Calibri" w:hAnsi="Calibri"/>
      <w:b/>
      <w:bCs/>
      <w:kern w:val="2"/>
      <w:sz w:val="21"/>
      <w:szCs w:val="24"/>
    </w:rPr>
  </w:style>
  <w:style w:type="character" w:customStyle="1" w:styleId="73">
    <w:name w:val="文档结构图 Char"/>
    <w:basedOn w:val="34"/>
    <w:link w:val="9"/>
    <w:qFormat/>
    <w:uiPriority w:val="0"/>
    <w:rPr>
      <w:rFonts w:ascii="宋体" w:hAnsi="Calibri"/>
      <w:kern w:val="2"/>
      <w:sz w:val="18"/>
      <w:szCs w:val="18"/>
    </w:rPr>
  </w:style>
  <w:style w:type="character" w:customStyle="1" w:styleId="74">
    <w:name w:val="font91"/>
    <w:qFormat/>
    <w:uiPriority w:val="0"/>
    <w:rPr>
      <w:rFonts w:hint="eastAsia" w:ascii="宋体" w:hAnsi="宋体" w:eastAsia="宋体" w:cs="宋体"/>
      <w:color w:val="FF0000"/>
      <w:sz w:val="21"/>
      <w:szCs w:val="21"/>
      <w:u w:val="single"/>
    </w:rPr>
  </w:style>
  <w:style w:type="character" w:customStyle="1" w:styleId="75">
    <w:name w:val="font101"/>
    <w:qFormat/>
    <w:uiPriority w:val="0"/>
    <w:rPr>
      <w:rFonts w:hint="eastAsia" w:ascii="宋体" w:hAnsi="宋体" w:eastAsia="宋体" w:cs="宋体"/>
      <w:color w:val="000000"/>
      <w:sz w:val="21"/>
      <w:szCs w:val="21"/>
      <w:u w:val="single"/>
    </w:rPr>
  </w:style>
  <w:style w:type="character" w:customStyle="1" w:styleId="76">
    <w:name w:val="font111"/>
    <w:qFormat/>
    <w:uiPriority w:val="0"/>
    <w:rPr>
      <w:rFonts w:hint="default" w:ascii="Eʩ" w:hAnsi="Eʩ" w:eastAsia="Eʩ" w:cs="Eʩ"/>
      <w:color w:val="000000"/>
      <w:sz w:val="21"/>
      <w:szCs w:val="21"/>
      <w:u w:val="single"/>
    </w:rPr>
  </w:style>
  <w:style w:type="character" w:customStyle="1" w:styleId="77">
    <w:name w:val="font31"/>
    <w:qFormat/>
    <w:uiPriority w:val="0"/>
    <w:rPr>
      <w:rFonts w:hint="eastAsia" w:ascii="宋体" w:hAnsi="宋体" w:eastAsia="宋体" w:cs="宋体"/>
      <w:color w:val="000000"/>
      <w:sz w:val="21"/>
      <w:szCs w:val="21"/>
      <w:u w:val="none"/>
    </w:rPr>
  </w:style>
  <w:style w:type="paragraph" w:customStyle="1" w:styleId="78">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79">
    <w:name w:val="样式 首行缩进:  2 字符"/>
    <w:basedOn w:val="1"/>
    <w:qFormat/>
    <w:uiPriority w:val="0"/>
    <w:pPr>
      <w:spacing w:after="160" w:line="400" w:lineRule="exact"/>
      <w:ind w:firstLine="200" w:firstLineChars="200"/>
      <w:jc w:val="both"/>
    </w:pPr>
    <w:rPr>
      <w:rFonts w:ascii="Calibri" w:hAnsi="Calibri" w:eastAsia="宋体" w:cs="宋体"/>
    </w:rPr>
  </w:style>
  <w:style w:type="paragraph" w:customStyle="1" w:styleId="80">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81">
    <w:name w:val="正文首行缩进两字符"/>
    <w:basedOn w:val="1"/>
    <w:qFormat/>
    <w:uiPriority w:val="0"/>
    <w:pPr>
      <w:spacing w:after="160"/>
      <w:ind w:firstLine="200" w:firstLineChars="200"/>
      <w:jc w:val="both"/>
    </w:pPr>
    <w:rPr>
      <w:rFonts w:ascii="Calibri" w:hAnsi="Calibri" w:eastAsia="宋体"/>
      <w:sz w:val="21"/>
    </w:rPr>
  </w:style>
  <w:style w:type="character" w:customStyle="1" w:styleId="82">
    <w:name w:val="批注文字 Char1"/>
    <w:basedOn w:val="34"/>
    <w:qFormat/>
    <w:uiPriority w:val="0"/>
    <w:rPr>
      <w:rFonts w:ascii="Times New Roman" w:hAnsi="Times New Roman" w:eastAsia="宋体" w:cs="Times New Roman"/>
      <w:szCs w:val="24"/>
    </w:rPr>
  </w:style>
  <w:style w:type="paragraph" w:customStyle="1" w:styleId="83">
    <w:name w:val="修订1"/>
    <w:hidden/>
    <w:unhideWhenUsed/>
    <w:qFormat/>
    <w:uiPriority w:val="99"/>
    <w:rPr>
      <w:rFonts w:ascii="Calibri" w:hAnsi="Calibri" w:eastAsia="宋体" w:cs="Times New Roman"/>
      <w:kern w:val="2"/>
      <w:sz w:val="21"/>
      <w:szCs w:val="24"/>
      <w:lang w:val="en-US" w:eastAsia="zh-CN" w:bidi="ar-SA"/>
    </w:rPr>
  </w:style>
  <w:style w:type="paragraph" w:customStyle="1" w:styleId="84">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85">
    <w:name w:val="font11"/>
    <w:basedOn w:val="34"/>
    <w:qFormat/>
    <w:uiPriority w:val="0"/>
    <w:rPr>
      <w:rFonts w:hint="eastAsia" w:ascii="宋体" w:hAnsi="宋体" w:eastAsia="宋体" w:cs="宋体"/>
      <w:color w:val="000000"/>
      <w:sz w:val="22"/>
      <w:szCs w:val="22"/>
      <w:u w:val="none"/>
    </w:rPr>
  </w:style>
  <w:style w:type="table" w:customStyle="1" w:styleId="86">
    <w:name w:val="网格型1"/>
    <w:basedOn w:val="32"/>
    <w:qFormat/>
    <w:uiPriority w:val="0"/>
    <w:pPr>
      <w:widowControl w:val="0"/>
      <w:jc w:val="both"/>
    </w:pPr>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FB47CC-26D3-4164-A571-E05C12DADED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9685</Words>
  <Characters>55207</Characters>
  <Lines>460</Lines>
  <Paragraphs>129</Paragraphs>
  <TotalTime>356</TotalTime>
  <ScaleCrop>false</ScaleCrop>
  <LinksUpToDate>false</LinksUpToDate>
  <CharactersWithSpaces>64763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2015-08-04T00:59:00Z</dcterms:created>
  <dc:creator>微软用户</dc:creator>
  <cp:lastModifiedBy>francis</cp:lastModifiedBy>
  <cp:lastPrinted>2015-07-05T09:18:00Z</cp:lastPrinted>
  <dcterms:modified xsi:type="dcterms:W3CDTF">2021-10-28T07:50:25Z</dcterms:modified>
  <dc:title>目   录 </dc:title>
  <cp:revision>373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7CDB864F999F4831B454450026936192</vt:lpwstr>
  </property>
</Properties>
</file>