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仿宋" w:hAnsi="仿宋" w:eastAsia="仿宋"/>
          <w:color w:val="000000" w:themeColor="text1"/>
          <w:sz w:val="30"/>
          <w:szCs w:val="30"/>
          <w14:textFill>
            <w14:solidFill>
              <w14:schemeClr w14:val="tx1"/>
            </w14:solidFill>
          </w14:textFill>
        </w:rPr>
      </w:pPr>
    </w:p>
    <w:p>
      <w:pPr>
        <w:spacing w:after="0" w:line="360" w:lineRule="auto"/>
        <w:jc w:val="center"/>
        <w:rPr>
          <w:rFonts w:ascii="Times New Roman" w:hAnsi="Times New Roman"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招标编号：510118202100124</w:t>
      </w:r>
    </w:p>
    <w:p>
      <w:pPr>
        <w:spacing w:after="0" w:line="360" w:lineRule="auto"/>
        <w:jc w:val="left"/>
        <w:rPr>
          <w:rFonts w:ascii="仿宋" w:hAnsi="仿宋" w:eastAsia="仿宋"/>
          <w:color w:val="000000" w:themeColor="text1"/>
          <w:sz w:val="52"/>
          <w:szCs w:val="52"/>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ab/>
      </w:r>
    </w:p>
    <w:p>
      <w:pPr>
        <w:spacing w:after="0" w:line="360" w:lineRule="auto"/>
        <w:jc w:val="center"/>
        <w:rPr>
          <w:rFonts w:ascii="仿宋" w:hAnsi="仿宋" w:eastAsia="仿宋"/>
          <w:color w:val="000000" w:themeColor="text1"/>
          <w:sz w:val="52"/>
          <w:szCs w:val="52"/>
          <w14:textFill>
            <w14:solidFill>
              <w14:schemeClr w14:val="tx1"/>
            </w14:solidFill>
          </w14:textFill>
        </w:rPr>
      </w:pPr>
      <w:bookmarkStart w:id="0" w:name="_Hlk80276814"/>
      <w:r>
        <w:rPr>
          <w:rFonts w:hint="eastAsia" w:ascii="仿宋" w:hAnsi="仿宋" w:eastAsia="仿宋"/>
          <w:color w:val="000000" w:themeColor="text1"/>
          <w:sz w:val="52"/>
          <w:szCs w:val="52"/>
          <w14:textFill>
            <w14:solidFill>
              <w14:schemeClr w14:val="tx1"/>
            </w14:solidFill>
          </w14:textFill>
        </w:rPr>
        <w:t>成都东部新区、成都高新区前期征地拆迁资金专项审计工作服务采购项目</w:t>
      </w:r>
      <w:bookmarkEnd w:id="0"/>
    </w:p>
    <w:p>
      <w:pPr>
        <w:tabs>
          <w:tab w:val="left" w:pos="380"/>
        </w:tabs>
        <w:spacing w:after="0" w:line="360" w:lineRule="auto"/>
        <w:jc w:val="left"/>
        <w:rPr>
          <w:rFonts w:ascii="仿宋" w:hAnsi="仿宋" w:eastAsia="仿宋"/>
          <w:color w:val="000000" w:themeColor="text1"/>
          <w:sz w:val="52"/>
          <w:szCs w:val="52"/>
          <w14:textFill>
            <w14:solidFill>
              <w14:schemeClr w14:val="tx1"/>
            </w14:solidFill>
          </w14:textFill>
        </w:rPr>
      </w:pPr>
      <w:r>
        <w:rPr>
          <w:rFonts w:ascii="仿宋" w:hAnsi="仿宋" w:eastAsia="仿宋"/>
          <w:color w:val="000000" w:themeColor="text1"/>
          <w:sz w:val="52"/>
          <w:szCs w:val="52"/>
          <w14:textFill>
            <w14:solidFill>
              <w14:schemeClr w14:val="tx1"/>
            </w14:solidFill>
          </w14:textFill>
        </w:rPr>
        <w:tab/>
      </w:r>
    </w:p>
    <w:p>
      <w:pPr>
        <w:tabs>
          <w:tab w:val="left" w:pos="2505"/>
          <w:tab w:val="center" w:pos="4204"/>
          <w:tab w:val="center" w:pos="4479"/>
          <w:tab w:val="left" w:pos="6695"/>
        </w:tabs>
        <w:spacing w:after="0" w:line="360" w:lineRule="auto"/>
        <w:jc w:val="left"/>
        <w:rPr>
          <w:rFonts w:ascii="仿宋" w:hAnsi="仿宋" w:eastAsia="仿宋"/>
          <w:color w:val="000000" w:themeColor="text1"/>
          <w:sz w:val="52"/>
          <w:szCs w:val="52"/>
          <w14:textFill>
            <w14:solidFill>
              <w14:schemeClr w14:val="tx1"/>
            </w14:solidFill>
          </w14:textFill>
        </w:rPr>
      </w:pPr>
      <w:r>
        <w:rPr>
          <w:rFonts w:ascii="仿宋" w:hAnsi="仿宋" w:eastAsia="仿宋"/>
          <w:color w:val="000000" w:themeColor="text1"/>
          <w:sz w:val="52"/>
          <w:szCs w:val="52"/>
          <w14:textFill>
            <w14:solidFill>
              <w14:schemeClr w14:val="tx1"/>
            </w14:solidFill>
          </w14:textFill>
        </w:rPr>
        <w:tab/>
      </w:r>
      <w:r>
        <w:rPr>
          <w:rFonts w:ascii="仿宋" w:hAnsi="仿宋" w:eastAsia="仿宋"/>
          <w:color w:val="000000" w:themeColor="text1"/>
          <w:sz w:val="52"/>
          <w:szCs w:val="52"/>
          <w14:textFill>
            <w14:solidFill>
              <w14:schemeClr w14:val="tx1"/>
            </w14:solidFill>
          </w14:textFill>
        </w:rPr>
        <w:tab/>
      </w:r>
      <w:r>
        <w:rPr>
          <w:rFonts w:ascii="仿宋" w:hAnsi="仿宋" w:eastAsia="仿宋"/>
          <w:color w:val="000000" w:themeColor="text1"/>
          <w:sz w:val="52"/>
          <w:szCs w:val="52"/>
          <w14:textFill>
            <w14:solidFill>
              <w14:schemeClr w14:val="tx1"/>
            </w14:solidFill>
          </w14:textFill>
        </w:rPr>
        <w:tab/>
      </w:r>
      <w:r>
        <w:rPr>
          <w:rFonts w:hint="eastAsia" w:ascii="仿宋" w:hAnsi="仿宋" w:eastAsia="仿宋"/>
          <w:color w:val="000000" w:themeColor="text1"/>
          <w:sz w:val="52"/>
          <w:szCs w:val="52"/>
          <w14:textFill>
            <w14:solidFill>
              <w14:schemeClr w14:val="tx1"/>
            </w14:solidFill>
          </w14:textFill>
        </w:rPr>
        <w:t>招</w:t>
      </w:r>
    </w:p>
    <w:p>
      <w:pPr>
        <w:spacing w:after="0" w:line="360" w:lineRule="auto"/>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标</w:t>
      </w:r>
    </w:p>
    <w:p>
      <w:pPr>
        <w:spacing w:after="0" w:line="360" w:lineRule="auto"/>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文</w:t>
      </w:r>
    </w:p>
    <w:p>
      <w:pPr>
        <w:spacing w:after="0" w:line="360" w:lineRule="auto"/>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件</w:t>
      </w:r>
    </w:p>
    <w:p>
      <w:pPr>
        <w:spacing w:after="0" w:line="360" w:lineRule="auto"/>
        <w:jc w:val="center"/>
        <w:rPr>
          <w:rFonts w:ascii="仿宋" w:hAnsi="仿宋" w:eastAsia="仿宋" w:cs="宋体"/>
          <w:color w:val="000000" w:themeColor="text1"/>
          <w:sz w:val="32"/>
          <w:szCs w:val="32"/>
          <w14:textFill>
            <w14:solidFill>
              <w14:schemeClr w14:val="tx1"/>
            </w14:solidFill>
          </w14:textFill>
        </w:rPr>
      </w:pPr>
    </w:p>
    <w:p>
      <w:pPr>
        <w:spacing w:after="0" w:line="360" w:lineRule="auto"/>
        <w:jc w:val="center"/>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t>成都东部新区党工委管委会（成都市东部新城办）财政金融局</w:t>
      </w:r>
    </w:p>
    <w:p>
      <w:pPr>
        <w:spacing w:after="0"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四川成与诚招标代理有限公司</w:t>
      </w:r>
    </w:p>
    <w:p>
      <w:pPr>
        <w:spacing w:after="0"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共同编制</w:t>
      </w:r>
    </w:p>
    <w:p>
      <w:pPr>
        <w:spacing w:after="0" w:line="360" w:lineRule="auto"/>
        <w:jc w:val="center"/>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t>2021</w:t>
      </w:r>
      <w:r>
        <w:rPr>
          <w:rFonts w:hint="eastAsia" w:ascii="仿宋" w:hAnsi="仿宋" w:eastAsia="仿宋" w:cs="宋体"/>
          <w:color w:val="000000" w:themeColor="text1"/>
          <w:sz w:val="32"/>
          <w:szCs w:val="32"/>
          <w14:textFill>
            <w14:solidFill>
              <w14:schemeClr w14:val="tx1"/>
            </w14:solidFill>
          </w14:textFill>
        </w:rPr>
        <w:t>年</w:t>
      </w:r>
      <w:r>
        <w:rPr>
          <w:rFonts w:ascii="仿宋" w:hAnsi="仿宋" w:eastAsia="仿宋" w:cs="宋体"/>
          <w:color w:val="000000" w:themeColor="text1"/>
          <w:sz w:val="32"/>
          <w:szCs w:val="32"/>
          <w14:textFill>
            <w14:solidFill>
              <w14:schemeClr w14:val="tx1"/>
            </w14:solidFill>
          </w14:textFill>
        </w:rPr>
        <w:t>9</w:t>
      </w:r>
      <w:r>
        <w:rPr>
          <w:rFonts w:hint="eastAsia" w:ascii="仿宋" w:hAnsi="仿宋" w:eastAsia="仿宋" w:cs="宋体"/>
          <w:color w:val="000000" w:themeColor="text1"/>
          <w:sz w:val="32"/>
          <w:szCs w:val="32"/>
          <w14:textFill>
            <w14:solidFill>
              <w14:schemeClr w14:val="tx1"/>
            </w14:solidFill>
          </w14:textFill>
        </w:rPr>
        <w:t>月</w:t>
      </w:r>
    </w:p>
    <w:p>
      <w:pPr>
        <w:spacing w:after="0" w:line="240" w:lineRule="auto"/>
        <w:jc w:val="center"/>
        <w:rPr>
          <w:rFonts w:ascii="仿宋" w:hAnsi="仿宋" w:eastAsia="仿宋" w:cs="仿宋"/>
          <w:color w:val="000000" w:themeColor="text1"/>
          <w:sz w:val="36"/>
          <w:szCs w:val="44"/>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38"/>
          <w:pgMar w:top="1440" w:right="1474" w:bottom="1440" w:left="1474" w:header="425" w:footer="992" w:gutter="0"/>
          <w:cols w:space="0" w:num="1"/>
          <w:titlePg/>
          <w:docGrid w:linePitch="312" w:charSpace="0"/>
        </w:sectPr>
      </w:pPr>
    </w:p>
    <w:p>
      <w:pPr>
        <w:spacing w:after="0" w:line="24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为进一步规范四川成与诚招标代理有限公司政府采购行为，维护政府采购制度，净化政府采购市场环境。四川成与诚招标代理有限公司在代理政府采购事务过程中郑重承诺：</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二、公司员工遵纪守法，不得以不正当手段争取、承揽代理政府采购事务和向任何单位和个人支付现金、实物或其他利益的行为。</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四、公司员工不得与供应商存在任何商业上的利害关系，不得在供应商单位兼职和任职，不得泄漏政府采购过程中的机密。</w:t>
      </w:r>
    </w:p>
    <w:p>
      <w:pPr>
        <w:spacing w:after="0"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after="0" w:line="480" w:lineRule="auto"/>
        <w:ind w:firstLine="480" w:firstLineChars="20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举报电话：028-83475775</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宋体"/>
          <w:color w:val="000000" w:themeColor="text1"/>
          <w:sz w:val="24"/>
          <w14:textFill>
            <w14:solidFill>
              <w14:schemeClr w14:val="tx1"/>
            </w14:solidFill>
          </w14:textFill>
        </w:rPr>
        <w:t>四川成与诚招标代理有限公司</w:t>
      </w:r>
    </w:p>
    <w:p>
      <w:pPr>
        <w:widowControl/>
        <w:spacing w:after="0" w:line="240" w:lineRule="auto"/>
        <w:jc w:val="lef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p>
    <w:p>
      <w:pPr>
        <w:spacing w:after="0"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after="0" w:line="480" w:lineRule="auto"/>
        <w:ind w:firstLine="480" w:firstLineChars="200"/>
        <w:rPr>
          <w:rFonts w:ascii="仿宋" w:hAnsi="仿宋" w:eastAsia="仿宋" w:cs="仿宋"/>
          <w:color w:val="000000" w:themeColor="text1"/>
          <w:sz w:val="24"/>
          <w:szCs w:val="32"/>
          <w14:textFill>
            <w14:solidFill>
              <w14:schemeClr w14:val="tx1"/>
            </w14:solidFill>
          </w14:textFill>
        </w:rPr>
      </w:pPr>
    </w:p>
    <w:p>
      <w:pPr>
        <w:spacing w:after="0"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四川成与诚招标代理有限公司位于四川省成都市</w:t>
      </w:r>
      <w:r>
        <w:rPr>
          <w:rFonts w:hint="eastAsia" w:ascii="仿宋" w:hAnsi="仿宋" w:eastAsia="仿宋" w:cs="仿宋"/>
          <w:color w:val="000000" w:themeColor="text1"/>
          <w:sz w:val="24"/>
          <w14:textFill>
            <w14:solidFill>
              <w14:schemeClr w14:val="tx1"/>
            </w14:solidFill>
          </w14:textFill>
        </w:rPr>
        <w:t>高新</w:t>
      </w:r>
      <w:r>
        <w:rPr>
          <w:rFonts w:hint="eastAsia" w:ascii="仿宋" w:hAnsi="仿宋" w:eastAsia="仿宋" w:cs="仿宋"/>
          <w:color w:val="000000" w:themeColor="text1"/>
          <w:sz w:val="24"/>
          <w:szCs w:val="32"/>
          <w14:textFill>
            <w14:solidFill>
              <w14:schemeClr w14:val="tx1"/>
            </w14:solidFill>
          </w14:textFill>
        </w:rPr>
        <w:t>区锦尚西一路</w:t>
      </w:r>
      <w:r>
        <w:rPr>
          <w:rFonts w:hint="eastAsia" w:ascii="仿宋" w:hAnsi="仿宋" w:eastAsia="仿宋" w:cs="仿宋"/>
          <w:b/>
          <w:bCs/>
          <w:color w:val="000000" w:themeColor="text1"/>
          <w:sz w:val="24"/>
          <w:szCs w:val="32"/>
          <w14:textFill>
            <w14:solidFill>
              <w14:schemeClr w14:val="tx1"/>
            </w14:solidFill>
          </w14:textFill>
        </w:rPr>
        <w:t>楚峰国际中心45A03号（44层）</w:t>
      </w:r>
      <w:r>
        <w:rPr>
          <w:rFonts w:hint="eastAsia" w:ascii="仿宋" w:hAnsi="仿宋" w:eastAsia="仿宋" w:cs="仿宋"/>
          <w:color w:val="000000" w:themeColor="text1"/>
          <w:sz w:val="24"/>
          <w:szCs w:val="32"/>
          <w14:textFill>
            <w14:solidFill>
              <w14:schemeClr w14:val="tx1"/>
            </w14:solidFill>
          </w14:textFill>
        </w:rPr>
        <w:t>，可采用以下交通方式：</w:t>
      </w:r>
    </w:p>
    <w:p>
      <w:pPr>
        <w:spacing w:after="0"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1、地铁：1号线孵化园地铁站A口，步行300米即可到达。</w:t>
      </w:r>
    </w:p>
    <w:p>
      <w:pPr>
        <w:spacing w:after="0"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2、自驾：高德地图导航输入“楚峰国际中心”，停车场入口位于锦尚西一路。</w:t>
      </w:r>
    </w:p>
    <w:p>
      <w:pPr>
        <w:spacing w:after="0"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w:t>
      </w:r>
      <w:r>
        <w:rPr>
          <w:rFonts w:ascii="仿宋" w:hAnsi="仿宋" w:eastAsia="仿宋" w:cs="仿宋"/>
          <w:color w:val="000000" w:themeColor="text1"/>
          <w:sz w:val="24"/>
          <w:szCs w:val="32"/>
          <w14:textFill>
            <w14:solidFill>
              <w14:schemeClr w14:val="tx1"/>
            </w14:solidFill>
          </w14:textFill>
        </w:rPr>
        <w:t>5</w:t>
      </w:r>
      <w:r>
        <w:rPr>
          <w:rFonts w:hint="eastAsia" w:ascii="仿宋" w:hAnsi="仿宋" w:eastAsia="仿宋" w:cs="仿宋"/>
          <w:color w:val="000000" w:themeColor="text1"/>
          <w:sz w:val="24"/>
          <w:szCs w:val="32"/>
          <w14:textFill>
            <w14:solidFill>
              <w14:schemeClr w14:val="tx1"/>
            </w14:solidFill>
          </w14:textFill>
        </w:rPr>
        <w:t>层，乘地下客梯至一楼大堂（地下客梯只能到一楼）。来访人员在大堂选乘高区单/</w:t>
      </w:r>
      <w:r>
        <w:rPr>
          <w:rFonts w:hint="eastAsia" w:ascii="仿宋" w:hAnsi="仿宋" w:eastAsia="仿宋" w:cs="仿宋"/>
          <w:color w:val="000000" w:themeColor="text1"/>
          <w:sz w:val="24"/>
          <w14:textFill>
            <w14:solidFill>
              <w14:schemeClr w14:val="tx1"/>
            </w14:solidFill>
          </w14:textFill>
        </w:rPr>
        <w:t>双层</w:t>
      </w:r>
      <w:r>
        <w:rPr>
          <w:rFonts w:hint="eastAsia" w:ascii="仿宋" w:hAnsi="仿宋" w:eastAsia="仿宋" w:cs="仿宋"/>
          <w:color w:val="000000" w:themeColor="text1"/>
          <w:sz w:val="24"/>
          <w:szCs w:val="32"/>
          <w14:textFill>
            <w14:solidFill>
              <w14:schemeClr w14:val="tx1"/>
            </w14:solidFill>
          </w14:textFill>
        </w:rPr>
        <w:t>客梯上楼；大件样品可直接从货梯上楼。</w:t>
      </w:r>
    </w:p>
    <w:p>
      <w:pPr>
        <w:spacing w:after="0" w:line="480" w:lineRule="auto"/>
        <w:jc w:val="center"/>
        <w:rPr>
          <w:rFonts w:ascii="仿宋" w:hAnsi="仿宋" w:eastAsia="仿宋" w:cs="仿宋"/>
          <w:color w:val="000000" w:themeColor="text1"/>
          <w:sz w:val="36"/>
          <w:szCs w:val="4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9" cstate="print">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000000" w:themeColor="text1"/>
          <w:sz w:val="24"/>
          <w:szCs w:val="32"/>
          <w14:textFill>
            <w14:solidFill>
              <w14:schemeClr w14:val="tx1"/>
            </w14:solidFill>
          </w14:textFill>
        </w:rPr>
        <w:br w:type="page"/>
      </w:r>
      <w:r>
        <w:rPr>
          <w:rFonts w:hint="eastAsia" w:ascii="仿宋" w:hAnsi="仿宋" w:eastAsia="仿宋" w:cs="仿宋"/>
          <w:color w:val="000000" w:themeColor="text1"/>
          <w:sz w:val="36"/>
          <w:szCs w:val="44"/>
          <w14:textFill>
            <w14:solidFill>
              <w14:schemeClr w14:val="tx1"/>
            </w14:solidFill>
          </w14:textFill>
        </w:rPr>
        <w:t>温馨提示</w:t>
      </w:r>
    </w:p>
    <w:p>
      <w:pPr>
        <w:spacing w:after="0" w:line="360" w:lineRule="auto"/>
        <w:jc w:val="left"/>
        <w:rPr>
          <w:rFonts w:ascii="仿宋" w:hAnsi="仿宋" w:eastAsia="仿宋" w:cs="仿宋"/>
          <w:color w:val="000000" w:themeColor="text1"/>
          <w:sz w:val="24"/>
          <w:szCs w:val="32"/>
          <w14:textFill>
            <w14:solidFill>
              <w14:schemeClr w14:val="tx1"/>
            </w14:solidFill>
          </w14:textFill>
        </w:rPr>
      </w:pPr>
    </w:p>
    <w:p>
      <w:pPr>
        <w:spacing w:after="0" w:line="360" w:lineRule="auto"/>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各供应商：</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欢迎参与本次采购活动，为优化政府采购营商环境，减少供应商参加政府采购活动成本，温馨提示如下：</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一、报名：注意报名的截止时间、报名的方式以及需要提供的资料，任何一项不满足的将拒绝接收。</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三、制作投标（响应）文件：注意采购文件中的资格要求和实质性要求，任何一条不满足的将作无效处理。注意采购文件中的评分要求，未按要求提供证明材料的将不予认可。</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四、投标（响应）：注意投标（响应）截止时间和递交文件的地点，未按要求密封或逾期送达的将拒绝接收。</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五、结果查询：结果公告将在发布采购公告的同一网站进行公布，供应商应自行关注，任何询问项目评审情况和中标（成交）情况的行为都将被拒绝。</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六、服务费：中标（成交）结果公布后，中标（成交）人应及时足额缴纳服务费，我司在收到服务费后才可开具发票。</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after="0"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八、采购合同：中标（成交）人应在招标文件规定的期限内凭中标（成交）通知书与采购人签订采购合同。</w:t>
      </w:r>
      <w:r>
        <w:rPr>
          <w:rFonts w:hint="eastAsia" w:ascii="仿宋" w:hAnsi="仿宋" w:eastAsia="仿宋" w:cs="仿宋"/>
          <w:color w:val="000000" w:themeColor="text1"/>
          <w:sz w:val="24"/>
          <w:szCs w:val="32"/>
          <w14:textFill>
            <w14:solidFill>
              <w14:schemeClr w14:val="tx1"/>
            </w14:solidFill>
          </w14:textFill>
        </w:rPr>
        <w:br w:type="page"/>
      </w:r>
    </w:p>
    <w:p>
      <w:pPr>
        <w:jc w:val="center"/>
        <w:rPr>
          <w:rFonts w:ascii="仿宋" w:hAnsi="仿宋" w:eastAsia="仿宋"/>
          <w:b/>
          <w:bCs/>
          <w:color w:val="000000" w:themeColor="text1"/>
          <w:sz w:val="36"/>
          <w:szCs w:val="36"/>
          <w14:textFill>
            <w14:solidFill>
              <w14:schemeClr w14:val="tx1"/>
            </w14:solidFill>
          </w14:textFill>
        </w:rPr>
      </w:pPr>
      <w:bookmarkStart w:id="1" w:name="_Hlt101233737"/>
      <w:bookmarkEnd w:id="1"/>
      <w:bookmarkStart w:id="2" w:name="_Hlt101843627"/>
      <w:bookmarkEnd w:id="2"/>
      <w:r>
        <w:rPr>
          <w:rFonts w:hint="eastAsia" w:ascii="仿宋" w:hAnsi="仿宋" w:eastAsia="仿宋"/>
          <w:b/>
          <w:bCs/>
          <w:color w:val="000000" w:themeColor="text1"/>
          <w:sz w:val="36"/>
          <w:szCs w:val="36"/>
          <w14:textFill>
            <w14:solidFill>
              <w14:schemeClr w14:val="tx1"/>
            </w14:solidFill>
          </w14:textFill>
        </w:rPr>
        <w:t>目</w:t>
      </w:r>
      <w:r>
        <w:rPr>
          <w:rFonts w:ascii="仿宋" w:hAnsi="仿宋" w:eastAsia="仿宋"/>
          <w:b/>
          <w:bCs/>
          <w:color w:val="000000" w:themeColor="text1"/>
          <w:sz w:val="36"/>
          <w:szCs w:val="36"/>
          <w14:textFill>
            <w14:solidFill>
              <w14:schemeClr w14:val="tx1"/>
            </w14:solidFill>
          </w14:textFill>
        </w:rPr>
        <w:t xml:space="preserve">    </w:t>
      </w:r>
      <w:r>
        <w:rPr>
          <w:rFonts w:hint="eastAsia" w:ascii="仿宋" w:hAnsi="仿宋" w:eastAsia="仿宋"/>
          <w:b/>
          <w:bCs/>
          <w:color w:val="000000" w:themeColor="text1"/>
          <w:sz w:val="36"/>
          <w:szCs w:val="36"/>
          <w14:textFill>
            <w14:solidFill>
              <w14:schemeClr w14:val="tx1"/>
            </w14:solidFill>
          </w14:textFill>
        </w:rPr>
        <w:t>录</w:t>
      </w:r>
    </w:p>
    <w:p>
      <w:pPr>
        <w:jc w:val="center"/>
        <w:rPr>
          <w:rFonts w:ascii="仿宋" w:hAnsi="仿宋" w:eastAsia="仿宋"/>
          <w:b/>
          <w:bCs/>
          <w:color w:val="000000" w:themeColor="text1"/>
          <w:sz w:val="36"/>
          <w:szCs w:val="36"/>
          <w14:textFill>
            <w14:solidFill>
              <w14:schemeClr w14:val="tx1"/>
            </w14:solidFill>
          </w14:textFill>
        </w:rPr>
      </w:pPr>
    </w:p>
    <w:p>
      <w:pPr>
        <w:pStyle w:val="19"/>
        <w:tabs>
          <w:tab w:val="right" w:leader="dot" w:pos="8957"/>
        </w:tabs>
        <w:rPr>
          <w:color w:val="000000" w:themeColor="text1"/>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fldChar w:fldCharType="begin"/>
      </w:r>
      <w:r>
        <w:rPr>
          <w:rFonts w:ascii="仿宋" w:hAnsi="仿宋" w:eastAsia="仿宋" w:cs="宋体"/>
          <w:color w:val="000000" w:themeColor="text1"/>
          <w:sz w:val="28"/>
          <w:szCs w:val="28"/>
          <w14:textFill>
            <w14:solidFill>
              <w14:schemeClr w14:val="tx1"/>
            </w14:solidFill>
          </w14:textFill>
        </w:rPr>
        <w:instrText xml:space="preserve">TOC \o "1-1" \h \u </w:instrText>
      </w:r>
      <w:r>
        <w:rPr>
          <w:rFonts w:hint="eastAsia" w:ascii="仿宋" w:hAnsi="仿宋" w:eastAsia="仿宋" w:cs="宋体"/>
          <w:color w:val="000000" w:themeColor="text1"/>
          <w:sz w:val="28"/>
          <w:szCs w:val="28"/>
          <w14:textFill>
            <w14:solidFill>
              <w14:schemeClr w14:val="tx1"/>
            </w14:solidFill>
          </w14:textFill>
        </w:rPr>
        <w:fldChar w:fldCharType="separate"/>
      </w:r>
      <w:r>
        <w:fldChar w:fldCharType="begin"/>
      </w:r>
      <w:r>
        <w:instrText xml:space="preserve"> HYPERLINK \l "_Toc9780" </w:instrText>
      </w:r>
      <w:r>
        <w:fldChar w:fldCharType="separate"/>
      </w:r>
      <w:r>
        <w:rPr>
          <w:rFonts w:hint="eastAsia" w:ascii="仿宋" w:hAnsi="仿宋" w:eastAsia="仿宋"/>
          <w:color w:val="000000" w:themeColor="text1"/>
          <w:szCs w:val="36"/>
          <w14:textFill>
            <w14:solidFill>
              <w14:schemeClr w14:val="tx1"/>
            </w14:solidFill>
          </w14:textFill>
        </w:rPr>
        <w:t>第一章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_Toc9780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"_Toc9253" </w:instrText>
      </w:r>
      <w:r>
        <w:fldChar w:fldCharType="separate"/>
      </w:r>
      <w:r>
        <w:rPr>
          <w:rFonts w:hint="eastAsia" w:ascii="仿宋" w:hAnsi="仿宋" w:eastAsia="仿宋"/>
          <w:color w:val="000000" w:themeColor="text1"/>
          <w:szCs w:val="36"/>
          <w14:textFill>
            <w14:solidFill>
              <w14:schemeClr w14:val="tx1"/>
            </w14:solidFill>
          </w14:textFill>
        </w:rPr>
        <w:t>第二章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_Toc9253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"_Toc24136" </w:instrText>
      </w:r>
      <w:r>
        <w:fldChar w:fldCharType="separate"/>
      </w:r>
      <w:r>
        <w:rPr>
          <w:rFonts w:hint="eastAsia" w:ascii="仿宋" w:hAnsi="仿宋" w:eastAsia="仿宋"/>
          <w:color w:val="000000" w:themeColor="text1"/>
          <w:szCs w:val="36"/>
          <w14:textFill>
            <w14:solidFill>
              <w14:schemeClr w14:val="tx1"/>
            </w14:solidFill>
          </w14:textFill>
        </w:rPr>
        <w:t>第三章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_Toc24136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"_Toc32359" </w:instrText>
      </w:r>
      <w:r>
        <w:fldChar w:fldCharType="separate"/>
      </w:r>
      <w:r>
        <w:rPr>
          <w:rFonts w:hint="eastAsia" w:ascii="仿宋" w:hAnsi="仿宋" w:eastAsia="仿宋"/>
          <w:color w:val="000000" w:themeColor="text1"/>
          <w:szCs w:val="36"/>
          <w14:textFill>
            <w14:solidFill>
              <w14:schemeClr w14:val="tx1"/>
            </w14:solidFill>
          </w14:textFill>
        </w:rPr>
        <w:t>第四章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投标人和投标产品的资格、资质性及其他类似效力要求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_Toc32359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"_Toc13090" </w:instrText>
      </w:r>
      <w:r>
        <w:fldChar w:fldCharType="separate"/>
      </w:r>
      <w:r>
        <w:rPr>
          <w:rFonts w:hint="eastAsia" w:ascii="仿宋" w:hAnsi="仿宋" w:eastAsia="仿宋"/>
          <w:color w:val="000000" w:themeColor="text1"/>
          <w:szCs w:val="36"/>
          <w14:textFill>
            <w14:solidFill>
              <w14:schemeClr w14:val="tx1"/>
            </w14:solidFill>
          </w14:textFill>
        </w:rPr>
        <w:t>第五章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资格性审查要求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"_Toc5020" </w:instrText>
      </w:r>
      <w:r>
        <w:fldChar w:fldCharType="separate"/>
      </w:r>
      <w:r>
        <w:rPr>
          <w:rFonts w:hint="eastAsia" w:ascii="仿宋" w:hAnsi="仿宋" w:eastAsia="仿宋"/>
          <w:color w:val="000000" w:themeColor="text1"/>
          <w:szCs w:val="36"/>
          <w14:textFill>
            <w14:solidFill>
              <w14:schemeClr w14:val="tx1"/>
            </w14:solidFill>
          </w14:textFill>
        </w:rPr>
        <w:t>第六章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招标项目技术、服务、政府采购合同内容条款及其他商务要求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"_Toc31835" </w:instrText>
      </w:r>
      <w:r>
        <w:fldChar w:fldCharType="separate"/>
      </w:r>
      <w:r>
        <w:rPr>
          <w:rFonts w:hint="eastAsia" w:ascii="仿宋" w:hAnsi="仿宋" w:eastAsia="仿宋"/>
          <w:color w:val="000000" w:themeColor="text1"/>
          <w:szCs w:val="36"/>
          <w14:textFill>
            <w14:solidFill>
              <w14:schemeClr w14:val="tx1"/>
            </w14:solidFill>
          </w14:textFill>
        </w:rPr>
        <w:t>第七章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_Toc31835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19"/>
        <w:tabs>
          <w:tab w:val="right" w:leader="dot" w:pos="8957"/>
        </w:tabs>
        <w:rPr>
          <w:color w:val="000000" w:themeColor="text1"/>
          <w14:textFill>
            <w14:solidFill>
              <w14:schemeClr w14:val="tx1"/>
            </w14:solidFill>
          </w14:textFill>
        </w:rPr>
      </w:pPr>
      <w:r>
        <w:fldChar w:fldCharType="begin"/>
      </w:r>
      <w:r>
        <w:instrText xml:space="preserve"> HYPERLINK \l "_Toc20745" </w:instrText>
      </w:r>
      <w:r>
        <w:fldChar w:fldCharType="separate"/>
      </w:r>
      <w:r>
        <w:rPr>
          <w:rFonts w:hint="eastAsia" w:ascii="仿宋" w:hAnsi="仿宋" w:eastAsia="仿宋"/>
          <w:color w:val="000000" w:themeColor="text1"/>
          <w:szCs w:val="36"/>
          <w14:textFill>
            <w14:solidFill>
              <w14:schemeClr w14:val="tx1"/>
            </w14:solidFill>
          </w14:textFill>
        </w:rPr>
        <w:t>第八章</w:t>
      </w:r>
      <w:r>
        <w:rPr>
          <w:rFonts w:ascii="仿宋" w:hAnsi="仿宋" w:eastAsia="仿宋"/>
          <w:color w:val="000000" w:themeColor="text1"/>
          <w:szCs w:val="36"/>
          <w14:textFill>
            <w14:solidFill>
              <w14:schemeClr w14:val="tx1"/>
            </w14:solidFill>
          </w14:textFill>
        </w:rPr>
        <w:t xml:space="preserve">  </w:t>
      </w:r>
      <w:r>
        <w:rPr>
          <w:rFonts w:hint="eastAsia" w:ascii="仿宋" w:hAnsi="仿宋" w:eastAsia="仿宋"/>
          <w:color w:val="000000" w:themeColor="text1"/>
          <w:szCs w:val="36"/>
          <w14:textFill>
            <w14:solidFill>
              <w14:schemeClr w14:val="tx1"/>
            </w14:solidFill>
          </w14:textFill>
        </w:rPr>
        <w:t>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_Toc20745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480" w:lineRule="auto"/>
        <w:rPr>
          <w:rFonts w:ascii="仿宋" w:hAnsi="仿宋" w:eastAsia="仿宋"/>
          <w:color w:val="000000" w:themeColor="text1"/>
          <w:sz w:val="28"/>
          <w:szCs w:val="28"/>
          <w14:textFill>
            <w14:solidFill>
              <w14:schemeClr w14:val="tx1"/>
            </w14:solidFill>
          </w14:textFill>
        </w:rPr>
        <w:sectPr>
          <w:headerReference r:id="rId11" w:type="first"/>
          <w:footerReference r:id="rId13" w:type="first"/>
          <w:footerReference r:id="rId12" w:type="default"/>
          <w:pgSz w:w="11905" w:h="16838"/>
          <w:pgMar w:top="1440" w:right="1474" w:bottom="1440" w:left="1474" w:header="425" w:footer="992" w:gutter="0"/>
          <w:pgNumType w:start="1"/>
          <w:cols w:space="0" w:num="1"/>
          <w:titlePg/>
          <w:docGrid w:linePitch="312" w:charSpace="0"/>
        </w:sectPr>
      </w:pPr>
      <w:r>
        <w:rPr>
          <w:rFonts w:hint="eastAsia" w:ascii="仿宋" w:hAnsi="仿宋" w:eastAsia="仿宋" w:cs="宋体"/>
          <w:color w:val="000000" w:themeColor="text1"/>
          <w:szCs w:val="28"/>
          <w14:textFill>
            <w14:solidFill>
              <w14:schemeClr w14:val="tx1"/>
            </w14:solidFill>
          </w14:textFill>
        </w:rPr>
        <w:fldChar w:fldCharType="end"/>
      </w:r>
      <w:bookmarkStart w:id="3" w:name="_Toc24584"/>
    </w:p>
    <w:p>
      <w:pPr>
        <w:pStyle w:val="3"/>
        <w:spacing w:line="240" w:lineRule="atLeast"/>
        <w:jc w:val="center"/>
        <w:rPr>
          <w:rFonts w:ascii="仿宋" w:hAnsi="仿宋" w:eastAsia="仿宋"/>
          <w:color w:val="000000" w:themeColor="text1"/>
          <w:sz w:val="36"/>
          <w:szCs w:val="36"/>
          <w14:textFill>
            <w14:solidFill>
              <w14:schemeClr w14:val="tx1"/>
            </w14:solidFill>
          </w14:textFill>
        </w:rPr>
      </w:pPr>
      <w:bookmarkStart w:id="4" w:name="_Toc9780"/>
      <w:r>
        <w:rPr>
          <w:rFonts w:hint="eastAsia" w:ascii="仿宋" w:hAnsi="仿宋" w:eastAsia="仿宋"/>
          <w:color w:val="000000" w:themeColor="text1"/>
          <w:sz w:val="36"/>
          <w:szCs w:val="36"/>
          <w14:textFill>
            <w14:solidFill>
              <w14:schemeClr w14:val="tx1"/>
            </w14:solidFill>
          </w14:textFill>
        </w:rPr>
        <w:t>第一章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投标邀请</w:t>
      </w:r>
      <w:bookmarkEnd w:id="3"/>
      <w:bookmarkEnd w:id="4"/>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u w:val="single"/>
          <w14:textFill>
            <w14:solidFill>
              <w14:schemeClr w14:val="tx1"/>
            </w14:solidFill>
          </w14:textFill>
        </w:rPr>
        <w:t>四川成与诚招标代理有限公司</w:t>
      </w:r>
      <w:r>
        <w:rPr>
          <w:rFonts w:hint="eastAsia" w:ascii="仿宋" w:hAnsi="仿宋" w:eastAsia="仿宋" w:cs="宋体"/>
          <w:color w:val="000000" w:themeColor="text1"/>
          <w:sz w:val="24"/>
          <w14:textFill>
            <w14:solidFill>
              <w14:schemeClr w14:val="tx1"/>
            </w14:solidFill>
          </w14:textFill>
        </w:rPr>
        <w:t>受</w:t>
      </w:r>
      <w:r>
        <w:rPr>
          <w:rFonts w:ascii="仿宋" w:hAnsi="仿宋" w:eastAsia="仿宋" w:cs="宋体"/>
          <w:color w:val="000000" w:themeColor="text1"/>
          <w:sz w:val="24"/>
          <w:u w:val="single"/>
          <w14:textFill>
            <w14:solidFill>
              <w14:schemeClr w14:val="tx1"/>
            </w14:solidFill>
          </w14:textFill>
        </w:rPr>
        <w:t>成都东部新区党工委管委会（成都市东部新城办）财政金融局</w:t>
      </w:r>
      <w:r>
        <w:rPr>
          <w:rFonts w:hint="eastAsia" w:ascii="仿宋" w:hAnsi="仿宋" w:eastAsia="仿宋" w:cs="宋体"/>
          <w:color w:val="000000" w:themeColor="text1"/>
          <w:sz w:val="24"/>
          <w14:textFill>
            <w14:solidFill>
              <w14:schemeClr w14:val="tx1"/>
            </w14:solidFill>
          </w14:textFill>
        </w:rPr>
        <w:t>委托，拟对</w:t>
      </w:r>
      <w:bookmarkStart w:id="5" w:name="PO_默认文件内容_4"/>
      <w:r>
        <w:rPr>
          <w:rFonts w:hint="eastAsia" w:ascii="仿宋" w:hAnsi="仿宋" w:eastAsia="仿宋" w:cs="宋体"/>
          <w:color w:val="000000" w:themeColor="text1"/>
          <w:sz w:val="24"/>
          <w:u w:val="single"/>
          <w14:textFill>
            <w14:solidFill>
              <w14:schemeClr w14:val="tx1"/>
            </w14:solidFill>
          </w14:textFill>
        </w:rPr>
        <w:t>成都东部新区、成都高新区前期征地拆迁资金专项审计工作服务采购项目</w:t>
      </w:r>
      <w:r>
        <w:rPr>
          <w:rFonts w:hint="eastAsia" w:ascii="仿宋" w:hAnsi="仿宋" w:eastAsia="仿宋" w:cs="宋体"/>
          <w:color w:val="000000" w:themeColor="text1"/>
          <w:sz w:val="24"/>
          <w14:textFill>
            <w14:solidFill>
              <w14:schemeClr w14:val="tx1"/>
            </w14:solidFill>
          </w14:textFill>
        </w:rPr>
        <w:t>进行国内公开招标，兹邀请符合本次招标要求的供应商参加投标。</w:t>
      </w:r>
      <w:bookmarkEnd w:id="5"/>
    </w:p>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bookmarkStart w:id="6" w:name="PO_默认文件内容_14"/>
      <w:r>
        <w:rPr>
          <w:rFonts w:hint="eastAsia" w:ascii="仿宋" w:hAnsi="仿宋" w:eastAsia="仿宋"/>
          <w:b/>
          <w:color w:val="000000" w:themeColor="text1"/>
          <w:sz w:val="24"/>
          <w14:textFill>
            <w14:solidFill>
              <w14:schemeClr w14:val="tx1"/>
            </w14:solidFill>
          </w14:textFill>
        </w:rPr>
        <w:t>一、招标编号：510118202100124</w:t>
      </w:r>
    </w:p>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二、招标项目：</w:t>
      </w:r>
      <w:r>
        <w:rPr>
          <w:rFonts w:hint="eastAsia" w:ascii="仿宋" w:hAnsi="仿宋" w:eastAsia="仿宋"/>
          <w:b/>
          <w:color w:val="000000" w:themeColor="text1"/>
          <w:sz w:val="24"/>
          <w:u w:val="single"/>
          <w14:textFill>
            <w14:solidFill>
              <w14:schemeClr w14:val="tx1"/>
            </w14:solidFill>
          </w14:textFill>
        </w:rPr>
        <w:t>成都东部新区、成都高新区前期征地拆迁资金专项审计工作服务采购项目</w:t>
      </w:r>
      <w:bookmarkStart w:id="222" w:name="_GoBack"/>
      <w:bookmarkEnd w:id="222"/>
    </w:p>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三、资金来源：财政性资金</w:t>
      </w:r>
    </w:p>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四、招标项目简介：</w:t>
      </w:r>
    </w:p>
    <w:p>
      <w:pPr>
        <w:spacing w:after="120" w:afterLines="50" w:line="420" w:lineRule="exact"/>
        <w:ind w:firstLine="480"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本项目共</w:t>
      </w:r>
      <w:r>
        <w:rPr>
          <w:rFonts w:ascii="仿宋" w:hAnsi="仿宋" w:eastAsia="仿宋"/>
          <w:color w:val="000000" w:themeColor="text1"/>
          <w:sz w:val="24"/>
          <w:szCs w:val="28"/>
          <w14:textFill>
            <w14:solidFill>
              <w14:schemeClr w14:val="tx1"/>
            </w14:solidFill>
          </w14:textFill>
        </w:rPr>
        <w:t>1</w:t>
      </w:r>
      <w:r>
        <w:rPr>
          <w:rFonts w:hint="eastAsia" w:ascii="仿宋" w:hAnsi="仿宋" w:eastAsia="仿宋"/>
          <w:color w:val="000000" w:themeColor="text1"/>
          <w:sz w:val="24"/>
          <w:szCs w:val="28"/>
          <w14:textFill>
            <w14:solidFill>
              <w14:schemeClr w14:val="tx1"/>
            </w14:solidFill>
          </w14:textFill>
        </w:rPr>
        <w:t>个包，采购</w:t>
      </w:r>
      <w:r>
        <w:rPr>
          <w:rFonts w:hint="eastAsia" w:ascii="仿宋" w:hAnsi="仿宋" w:eastAsia="仿宋"/>
          <w:b/>
          <w:color w:val="000000" w:themeColor="text1"/>
          <w:sz w:val="24"/>
          <w:szCs w:val="28"/>
          <w14:textFill>
            <w14:solidFill>
              <w14:schemeClr w14:val="tx1"/>
            </w14:solidFill>
          </w14:textFill>
        </w:rPr>
        <w:t>成都东部新区、成都高新区前期征地拆迁资金专项审计服务工作</w:t>
      </w:r>
      <w:r>
        <w:rPr>
          <w:rFonts w:hint="eastAsia" w:ascii="仿宋" w:hAnsi="仿宋" w:eastAsia="仿宋"/>
          <w:bCs/>
          <w:color w:val="000000" w:themeColor="text1"/>
          <w:sz w:val="24"/>
          <w:szCs w:val="28"/>
          <w14:textFill>
            <w14:solidFill>
              <w14:schemeClr w14:val="tx1"/>
            </w14:solidFill>
          </w14:textFill>
        </w:rPr>
        <w:t>服务供应商一名。</w:t>
      </w:r>
      <w:r>
        <w:rPr>
          <w:rFonts w:hint="eastAsia" w:ascii="仿宋" w:hAnsi="仿宋" w:eastAsia="仿宋"/>
          <w:color w:val="000000" w:themeColor="text1"/>
          <w:sz w:val="24"/>
          <w:szCs w:val="28"/>
          <w14:textFill>
            <w14:solidFill>
              <w14:schemeClr w14:val="tx1"/>
            </w14:solidFill>
          </w14:textFill>
        </w:rPr>
        <w:t>（具体详见招标文件第六章）。</w:t>
      </w:r>
      <w:bookmarkEnd w:id="6"/>
    </w:p>
    <w:p>
      <w:pPr>
        <w:spacing w:after="120" w:afterLines="50" w:line="420" w:lineRule="exact"/>
        <w:ind w:firstLine="482" w:firstLineChars="200"/>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五、供应商参加本次政府采购活动，应当在提交投标文件前具备下列条件：</w:t>
      </w:r>
    </w:p>
    <w:p>
      <w:pPr>
        <w:pStyle w:val="42"/>
        <w:spacing w:line="420" w:lineRule="exact"/>
        <w:ind w:firstLine="48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落实政府采购政策需满足的资格要求：</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 xml:space="preserve">2.1 </w:t>
      </w:r>
      <w:r>
        <w:rPr>
          <w:rFonts w:hint="eastAsia" w:ascii="仿宋" w:hAnsi="仿宋" w:eastAsia="仿宋"/>
          <w:color w:val="000000" w:themeColor="text1"/>
          <w:sz w:val="24"/>
          <w14:textFill>
            <w14:solidFill>
              <w14:schemeClr w14:val="tx1"/>
            </w14:solidFill>
          </w14:textFill>
        </w:rPr>
        <w:t>本项目专门面向中小企业采购（监狱企业、残疾人福利性单位均视同小微企业），非中小企业参与的将视为无效</w:t>
      </w:r>
      <w:r>
        <w:rPr>
          <w:rFonts w:hint="eastAsia" w:ascii="仿宋" w:hAnsi="仿宋" w:eastAsia="仿宋"/>
          <w:color w:val="000000" w:themeColor="text1"/>
          <w:sz w:val="24"/>
          <w:lang w:eastAsia="zh-Hans"/>
          <w14:textFill>
            <w14:solidFill>
              <w14:schemeClr w14:val="tx1"/>
            </w14:solidFill>
          </w14:textFill>
        </w:rPr>
        <w:t>投标</w:t>
      </w:r>
      <w:r>
        <w:rPr>
          <w:rFonts w:ascii="仿宋" w:hAnsi="仿宋" w:eastAsia="仿宋"/>
          <w:color w:val="000000" w:themeColor="text1"/>
          <w:sz w:val="24"/>
          <w14:textFill>
            <w14:solidFill>
              <w14:schemeClr w14:val="tx1"/>
            </w14:solidFill>
          </w14:textFill>
        </w:rPr>
        <w:t>。</w:t>
      </w:r>
    </w:p>
    <w:p>
      <w:pPr>
        <w:pStyle w:val="42"/>
        <w:spacing w:line="420" w:lineRule="exact"/>
        <w:ind w:firstLine="48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、本项目的特定资格要求：</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具有有效的会计师事务所执业许可证书。</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3.2</w:t>
      </w:r>
      <w:r>
        <w:rPr>
          <w:rFonts w:hint="eastAsia" w:ascii="仿宋" w:hAnsi="仿宋" w:eastAsia="仿宋" w:cs="宋体"/>
          <w:color w:val="000000" w:themeColor="text1"/>
          <w:sz w:val="24"/>
          <w14:textFill>
            <w14:solidFill>
              <w14:schemeClr w14:val="tx1"/>
            </w14:solidFill>
          </w14:textFill>
        </w:rPr>
        <w:t>以联合体形式参加投标的，联合体各方均应当符合《政府采购法》第二十二条第一款规定的条件，并提交联合体协议，载明联合体各方承担的工作和相应的责任。</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3.3</w:t>
      </w:r>
      <w:r>
        <w:rPr>
          <w:rFonts w:hint="eastAsia" w:ascii="仿宋" w:hAnsi="仿宋" w:eastAsia="仿宋" w:cs="宋体"/>
          <w:color w:val="000000" w:themeColor="text1"/>
          <w:sz w:val="24"/>
          <w14:textFill>
            <w14:solidFill>
              <w14:schemeClr w14:val="tx1"/>
            </w14:solidFill>
          </w14:textFill>
        </w:rPr>
        <w:t>联合体中有同类资质的供应商按照联合体分工承担相同工作的，应当按照资质等级较低的供应商确定资质等级。</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3.4</w:t>
      </w:r>
      <w:r>
        <w:rPr>
          <w:rFonts w:hint="eastAsia" w:ascii="仿宋" w:hAnsi="仿宋" w:eastAsia="仿宋" w:cs="宋体"/>
          <w:color w:val="000000" w:themeColor="text1"/>
          <w:sz w:val="24"/>
          <w14:textFill>
            <w14:solidFill>
              <w14:schemeClr w14:val="tx1"/>
            </w14:solidFill>
          </w14:textFill>
        </w:rPr>
        <w:t>联合体各方不得再单独参加或者与其他供应商另外组成联合体参加同一合同项下的政府采购活动。</w:t>
      </w:r>
    </w:p>
    <w:p>
      <w:pPr>
        <w:pStyle w:val="42"/>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（详见招标文件第四</w:t>
      </w:r>
      <w:r>
        <w:rPr>
          <w:rFonts w:ascii="仿宋" w:hAnsi="仿宋" w:eastAsia="仿宋" w:cs="宋体"/>
          <w:color w:val="000000" w:themeColor="text1"/>
          <w:sz w:val="24"/>
          <w14:textFill>
            <w14:solidFill>
              <w14:schemeClr w14:val="tx1"/>
            </w14:solidFill>
          </w14:textFill>
        </w:rPr>
        <w:t>、</w:t>
      </w:r>
      <w:r>
        <w:rPr>
          <w:rFonts w:hint="eastAsia" w:ascii="仿宋" w:hAnsi="仿宋" w:eastAsia="仿宋" w:cs="宋体"/>
          <w:color w:val="000000" w:themeColor="text1"/>
          <w:sz w:val="24"/>
          <w:lang w:eastAsia="zh-Hans"/>
          <w14:textFill>
            <w14:solidFill>
              <w14:schemeClr w14:val="tx1"/>
            </w14:solidFill>
          </w14:textFill>
        </w:rPr>
        <w:t>五</w:t>
      </w:r>
      <w:r>
        <w:rPr>
          <w:rFonts w:hint="eastAsia" w:ascii="仿宋" w:hAnsi="仿宋" w:eastAsia="仿宋" w:cs="宋体"/>
          <w:color w:val="000000" w:themeColor="text1"/>
          <w:sz w:val="24"/>
          <w14:textFill>
            <w14:solidFill>
              <w14:schemeClr w14:val="tx1"/>
            </w14:solidFill>
          </w14:textFill>
        </w:rPr>
        <w:t>章）</w:t>
      </w:r>
    </w:p>
    <w:p>
      <w:pPr>
        <w:spacing w:line="440" w:lineRule="exact"/>
        <w:ind w:firstLine="602" w:firstLineChars="25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after="0" w:line="440" w:lineRule="exact"/>
        <w:ind w:firstLine="456"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eastAsia="仿宋"/>
          <w:color w:val="000000" w:themeColor="text1"/>
          <w:sz w:val="24"/>
          <w14:textFill>
            <w14:solidFill>
              <w14:schemeClr w14:val="tx1"/>
            </w14:solidFill>
          </w14:textFill>
        </w:rPr>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七、招标文件获取时间、地点：</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bookmarkStart w:id="7" w:name="PO_默认文件内容_47"/>
      <w:r>
        <w:rPr>
          <w:rFonts w:hint="eastAsia" w:ascii="仿宋" w:hAnsi="仿宋" w:eastAsia="仿宋"/>
          <w:color w:val="000000" w:themeColor="text1"/>
          <w:sz w:val="24"/>
          <w14:textFill>
            <w14:solidFill>
              <w14:schemeClr w14:val="tx1"/>
            </w14:solidFill>
          </w14:textFill>
        </w:rPr>
        <w:t>招标文件获取时间：2021年</w:t>
      </w:r>
      <w:r>
        <w:rPr>
          <w:rFonts w:ascii="仿宋" w:hAnsi="仿宋" w:eastAsia="仿宋"/>
          <w:color w:val="000000" w:themeColor="text1"/>
          <w:sz w:val="24"/>
          <w14:textFill>
            <w14:solidFill>
              <w14:schemeClr w14:val="tx1"/>
            </w14:solidFill>
          </w14:textFill>
        </w:rPr>
        <w:t>09</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:00至2021年</w:t>
      </w:r>
      <w:r>
        <w:rPr>
          <w:rFonts w:ascii="仿宋" w:hAnsi="仿宋" w:eastAsia="仿宋"/>
          <w:color w:val="000000" w:themeColor="text1"/>
          <w:sz w:val="24"/>
          <w14:textFill>
            <w14:solidFill>
              <w14:schemeClr w14:val="tx1"/>
            </w14:solidFill>
          </w14:textFill>
        </w:rPr>
        <w:t>09</w:t>
      </w:r>
      <w:r>
        <w:rPr>
          <w:rFonts w:hint="eastAsia" w:ascii="仿宋" w:hAnsi="仿宋" w:eastAsia="仿宋"/>
          <w:color w:val="000000" w:themeColor="text1"/>
          <w:sz w:val="24"/>
          <w14:textFill>
            <w14:solidFill>
              <w14:schemeClr w14:val="tx1"/>
            </w14:solidFill>
          </w14:textFill>
        </w:rPr>
        <w:t>月</w:t>
      </w:r>
      <w:r>
        <w:rPr>
          <w:rFonts w:ascii="仿宋" w:hAnsi="仿宋" w:eastAsia="仿宋"/>
          <w:color w:val="000000" w:themeColor="text1"/>
          <w:sz w:val="24"/>
          <w:lang w:eastAsia="zh-Hans"/>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23</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59</w:t>
      </w:r>
      <w:r>
        <w:rPr>
          <w:rFonts w:hint="eastAsia" w:ascii="仿宋" w:hAnsi="仿宋" w:eastAsia="仿宋"/>
          <w:color w:val="000000" w:themeColor="text1"/>
          <w:sz w:val="24"/>
          <w14:textFill>
            <w14:solidFill>
              <w14:schemeClr w14:val="tx1"/>
            </w14:solidFill>
          </w14:textFill>
        </w:rPr>
        <w:t>（北京时间）</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color w:val="000000" w:themeColor="text1"/>
          <w:sz w:val="24"/>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提示：</w:t>
      </w:r>
    </w:p>
    <w:p>
      <w:pPr>
        <w:numPr>
          <w:ilvl w:val="0"/>
          <w:numId w:val="1"/>
        </w:num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本项目招标文件免费获取。</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（3）本项目为电子招标投标项目，投标人参与本项目全过程中凡涉及系统操作请详见</w:t>
      </w:r>
      <w:r>
        <w:rPr>
          <w:rFonts w:hint="eastAsia" w:ascii="仿宋" w:hAnsi="仿宋" w:eastAsia="仿宋"/>
          <w:b/>
          <w:bCs/>
          <w:color w:val="000000" w:themeColor="text1"/>
          <w:sz w:val="24"/>
          <w14:textFill>
            <w14:solidFill>
              <w14:schemeClr w14:val="tx1"/>
            </w14:solidFill>
          </w14:textFill>
        </w:rPr>
        <w:t>《供应商政府采购项目电子交易操作指南》</w:t>
      </w:r>
      <w:r>
        <w:rPr>
          <w:rFonts w:hint="eastAsia" w:ascii="仿宋" w:hAnsi="仿宋" w:eastAsia="仿宋"/>
          <w:color w:val="000000" w:themeColor="text1"/>
          <w:sz w:val="24"/>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14:textFill>
            <w14:solidFill>
              <w14:schemeClr w14:val="tx1"/>
            </w14:solidFill>
          </w14:textFill>
        </w:rPr>
        <w:t>招标文件附件三-政府采购云平台使用介绍</w:t>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（4）政府采购云平台投标人注册地址：</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https://middle.zcygov.cn/v-settle-front/registry</w:t>
      </w:r>
      <w:bookmarkEnd w:id="7"/>
    </w:p>
    <w:p>
      <w:pPr>
        <w:spacing w:after="120" w:afterLines="50" w:line="420" w:lineRule="exact"/>
        <w:ind w:firstLine="482" w:firstLineChars="20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投标截止时间和开标时间：</w:t>
      </w:r>
      <w:r>
        <w:rPr>
          <w:rFonts w:hint="eastAsia" w:ascii="仿宋" w:hAnsi="仿宋" w:eastAsia="仿宋"/>
          <w:color w:val="000000" w:themeColor="text1"/>
          <w:sz w:val="24"/>
          <w14:textFill>
            <w14:solidFill>
              <w14:schemeClr w14:val="tx1"/>
            </w14:solidFill>
          </w14:textFill>
        </w:rPr>
        <w:t>2021年09月</w:t>
      </w:r>
      <w:r>
        <w:rPr>
          <w:rFonts w:hint="eastAsia" w:ascii="仿宋" w:hAnsi="仿宋" w:eastAsia="仿宋"/>
          <w:color w:val="000000" w:themeColor="text1"/>
          <w:sz w:val="24"/>
          <w:lang w:val="en-US" w:eastAsia="zh-CN"/>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日09:30</w:t>
      </w:r>
      <w:r>
        <w:rPr>
          <w:rFonts w:hint="eastAsia" w:ascii="仿宋" w:hAnsi="仿宋" w:eastAsia="仿宋"/>
          <w:color w:val="000000" w:themeColor="text1"/>
          <w:sz w:val="24"/>
          <w:szCs w:val="28"/>
          <w14:textFill>
            <w14:solidFill>
              <w14:schemeClr w14:val="tx1"/>
            </w14:solidFill>
          </w14:textFill>
        </w:rPr>
        <w:t>（北京时间）。</w:t>
      </w:r>
    </w:p>
    <w:p>
      <w:pPr>
        <w:pStyle w:val="11"/>
        <w:spacing w:after="120" w:afterLines="50" w:line="420" w:lineRule="exact"/>
        <w:ind w:firstLine="480"/>
        <w:rPr>
          <w:rFonts w:ascii="仿宋" w:hAnsi="仿宋" w:eastAsia="仿宋"/>
          <w:color w:val="000000" w:themeColor="text1"/>
          <w:sz w:val="24"/>
          <w:szCs w:val="28"/>
          <w14:textFill>
            <w14:solidFill>
              <w14:schemeClr w14:val="tx1"/>
            </w14:solidFill>
          </w14:textFill>
        </w:rPr>
      </w:pPr>
      <w:bookmarkStart w:id="8" w:name="PO_默认文件内容_12"/>
      <w:r>
        <w:rPr>
          <w:rFonts w:hint="eastAsia" w:ascii="仿宋" w:hAnsi="仿宋" w:eastAsia="仿宋"/>
          <w:color w:val="000000" w:themeColor="text1"/>
          <w:sz w:val="24"/>
          <w:szCs w:val="28"/>
          <w14:textFill>
            <w14:solidFill>
              <w14:schemeClr w14:val="tx1"/>
            </w14:solidFill>
          </w14:textFill>
        </w:rPr>
        <w:t>投标截止时间前，投标人应将加密的电子投标文件递交至“政府采购云平台”对应项目（包件）。</w:t>
      </w:r>
      <w:bookmarkEnd w:id="8"/>
    </w:p>
    <w:p>
      <w:pPr>
        <w:spacing w:after="120" w:afterLines="50" w:line="420" w:lineRule="exact"/>
        <w:ind w:firstLine="482" w:firstLineChars="200"/>
        <w:jc w:val="left"/>
        <w:rPr>
          <w:rFonts w:ascii="仿宋" w:hAnsi="仿宋" w:eastAsia="仿宋"/>
          <w:b/>
          <w:bCs/>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w:t>
      </w:r>
      <w:r>
        <w:rPr>
          <w:rFonts w:hint="eastAsia" w:ascii="仿宋" w:hAnsi="仿宋" w:eastAsia="仿宋"/>
          <w:b/>
          <w:bCs/>
          <w:color w:val="000000" w:themeColor="text1"/>
          <w:sz w:val="24"/>
          <w:szCs w:val="28"/>
          <w14:textFill>
            <w14:solidFill>
              <w14:schemeClr w14:val="tx1"/>
            </w14:solidFill>
          </w14:textFill>
        </w:rPr>
        <w:t>开标地点：</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（1）本项目为不见面开标项目。</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（2）开标地点：政府采购云平台(https://www.zcygov.cn)。</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（3）本项目只接受投标人加密并递交至“政府采购云平台”的投标文件。</w:t>
      </w:r>
    </w:p>
    <w:p>
      <w:pPr>
        <w:spacing w:line="420" w:lineRule="exact"/>
        <w:ind w:firstLine="482" w:firstLineChars="200"/>
        <w:rPr>
          <w:rFonts w:ascii="仿宋" w:hAnsi="仿宋" w:eastAsia="仿宋"/>
          <w:color w:val="000000" w:themeColor="text1"/>
          <w:sz w:val="24"/>
          <w14:textFill>
            <w14:solidFill>
              <w14:schemeClr w14:val="tx1"/>
            </w14:solidFill>
          </w14:textFill>
        </w:rPr>
      </w:pPr>
      <w:bookmarkStart w:id="9" w:name="PO_默认文件内容_13"/>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color w:val="000000" w:themeColor="text1"/>
          <w:sz w:val="24"/>
          <w14:textFill>
            <w14:solidFill>
              <w14:schemeClr w14:val="tx1"/>
            </w14:solidFill>
          </w14:textFill>
        </w:rPr>
        <w:t>本投标邀请在四川政府采购网上以公告形式发布。</w:t>
      </w:r>
      <w:bookmarkEnd w:id="9"/>
    </w:p>
    <w:p>
      <w:pPr>
        <w:spacing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十一、供应商信用融资：</w:t>
      </w:r>
    </w:p>
    <w:p>
      <w:pPr>
        <w:spacing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pacing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spacing w:line="420" w:lineRule="exact"/>
        <w:ind w:firstLine="480" w:firstLineChars="200"/>
        <w:rPr>
          <w:rFonts w:ascii="仿宋" w:hAnsi="仿宋" w:eastAsia="仿宋"/>
          <w:color w:val="000000" w:themeColor="text1"/>
          <w:sz w:val="24"/>
          <w14:textFill>
            <w14:solidFill>
              <w14:schemeClr w14:val="tx1"/>
            </w14:solidFill>
          </w14:textFill>
        </w:rPr>
      </w:pPr>
    </w:p>
    <w:p>
      <w:pPr>
        <w:spacing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十二、联系方式</w:t>
      </w:r>
    </w:p>
    <w:p>
      <w:pPr>
        <w:spacing w:line="420" w:lineRule="exact"/>
        <w:ind w:firstLine="1265" w:firstLineChars="525"/>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成都东部新区党工委管委会（成都市东部新城办）财政金融局</w:t>
      </w:r>
    </w:p>
    <w:p>
      <w:pPr>
        <w:tabs>
          <w:tab w:val="center" w:pos="5109"/>
        </w:tabs>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成都东部新区三岔街道板桥村2组166号</w:t>
      </w:r>
      <w:r>
        <w:rPr>
          <w:rFonts w:ascii="仿宋" w:hAnsi="仿宋" w:eastAsia="仿宋"/>
          <w:color w:val="000000" w:themeColor="text1"/>
          <w:sz w:val="24"/>
          <w14:textFill>
            <w14:solidFill>
              <w14:schemeClr w14:val="tx1"/>
            </w14:solidFill>
          </w14:textFill>
        </w:rPr>
        <w:tab/>
      </w:r>
    </w:p>
    <w:p>
      <w:pPr>
        <w:tabs>
          <w:tab w:val="center" w:pos="5109"/>
        </w:tabs>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人：王老师</w:t>
      </w:r>
    </w:p>
    <w:p>
      <w:pPr>
        <w:tabs>
          <w:tab w:val="center" w:pos="5109"/>
        </w:tabs>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028-86360129</w:t>
      </w:r>
      <w:r>
        <w:rPr>
          <w:rFonts w:hint="eastAsia" w:ascii="仿宋" w:hAnsi="仿宋" w:eastAsia="仿宋"/>
          <w:color w:val="000000" w:themeColor="text1"/>
          <w:sz w:val="24"/>
          <w14:textFill>
            <w14:solidFill>
              <w14:schemeClr w14:val="tx1"/>
            </w14:solidFill>
          </w14:textFill>
        </w:rPr>
        <w:t>、18583920138</w:t>
      </w:r>
    </w:p>
    <w:p>
      <w:pPr>
        <w:spacing w:line="420" w:lineRule="exact"/>
        <w:ind w:firstLine="1260" w:firstLineChars="525"/>
        <w:rPr>
          <w:rFonts w:ascii="仿宋" w:hAnsi="仿宋" w:eastAsia="仿宋"/>
          <w:color w:val="000000" w:themeColor="text1"/>
          <w:sz w:val="24"/>
          <w14:textFill>
            <w14:solidFill>
              <w14:schemeClr w14:val="tx1"/>
            </w14:solidFill>
          </w14:textFill>
        </w:rPr>
      </w:pPr>
    </w:p>
    <w:p>
      <w:pPr>
        <w:spacing w:line="420" w:lineRule="exact"/>
        <w:ind w:firstLine="1265" w:firstLineChars="525"/>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w:t>
      </w:r>
      <w:r>
        <w:rPr>
          <w:rFonts w:hint="eastAsia" w:ascii="仿宋" w:hAnsi="仿宋" w:eastAsia="仿宋"/>
          <w:b/>
          <w:color w:val="000000" w:themeColor="text1"/>
          <w:sz w:val="24"/>
          <w14:textFill>
            <w14:solidFill>
              <w14:schemeClr w14:val="tx1"/>
            </w14:solidFill>
          </w14:textFill>
        </w:rPr>
        <w:t>四川成与诚招标代理有限公司</w:t>
      </w:r>
    </w:p>
    <w:p>
      <w:pPr>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址：四川省成都市高新区锦尚西一路楚峰国际中心2307</w:t>
      </w:r>
    </w:p>
    <w:p>
      <w:pPr>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人：丁女士</w:t>
      </w:r>
    </w:p>
    <w:p>
      <w:pPr>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联系电话：028-83475775、</w:t>
      </w:r>
      <w:r>
        <w:rPr>
          <w:rFonts w:ascii="仿宋" w:hAnsi="仿宋" w:eastAsia="仿宋"/>
          <w:color w:val="000000" w:themeColor="text1"/>
          <w:sz w:val="24"/>
          <w14:textFill>
            <w14:solidFill>
              <w14:schemeClr w14:val="tx1"/>
            </w14:solidFill>
          </w14:textFill>
        </w:rPr>
        <w:t>19108232480</w:t>
      </w:r>
    </w:p>
    <w:p>
      <w:pPr>
        <w:pStyle w:val="24"/>
        <w:spacing w:after="50" w:afterAutospacing="0" w:line="42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 </w:t>
      </w:r>
    </w:p>
    <w:p>
      <w:pPr>
        <w:pStyle w:val="24"/>
        <w:spacing w:after="50" w:afterAutospacing="0" w:line="420" w:lineRule="exact"/>
        <w:rPr>
          <w:rFonts w:ascii="仿宋" w:hAnsi="仿宋" w:eastAsia="仿宋"/>
          <w:color w:val="000000" w:themeColor="text1"/>
          <w:sz w:val="36"/>
          <w:szCs w:val="36"/>
          <w14:textFill>
            <w14:solidFill>
              <w14:schemeClr w14:val="tx1"/>
            </w14:solidFill>
          </w14:textFill>
        </w:rPr>
        <w:sectPr>
          <w:footerReference r:id="rId15" w:type="first"/>
          <w:footerReference r:id="rId14" w:type="default"/>
          <w:pgSz w:w="11905" w:h="16838"/>
          <w:pgMar w:top="1440" w:right="1474" w:bottom="1440" w:left="1474" w:header="425" w:footer="992" w:gutter="0"/>
          <w:cols w:space="0" w:num="1"/>
          <w:titlePg/>
          <w:docGrid w:linePitch="312" w:charSpace="0"/>
        </w:sectPr>
      </w:pPr>
      <w:bookmarkStart w:id="10" w:name="_Toc12497"/>
      <w:bookmarkStart w:id="11" w:name="_Toc213397009"/>
      <w:bookmarkStart w:id="12" w:name="_Toc213396945"/>
      <w:bookmarkStart w:id="13" w:name="_Toc217446031"/>
      <w:bookmarkStart w:id="14" w:name="_Toc213496267"/>
      <w:bookmarkStart w:id="15" w:name="_Toc213396759"/>
    </w:p>
    <w:p>
      <w:pPr>
        <w:pStyle w:val="3"/>
        <w:jc w:val="center"/>
        <w:rPr>
          <w:rFonts w:ascii="仿宋" w:hAnsi="仿宋" w:eastAsia="仿宋"/>
          <w:color w:val="000000" w:themeColor="text1"/>
          <w:sz w:val="36"/>
          <w:szCs w:val="36"/>
          <w14:textFill>
            <w14:solidFill>
              <w14:schemeClr w14:val="tx1"/>
            </w14:solidFill>
          </w14:textFill>
        </w:rPr>
      </w:pPr>
      <w:bookmarkStart w:id="16" w:name="_Toc9253"/>
      <w:r>
        <w:rPr>
          <w:rFonts w:hint="eastAsia" w:ascii="仿宋" w:hAnsi="仿宋" w:eastAsia="仿宋"/>
          <w:color w:val="000000" w:themeColor="text1"/>
          <w:sz w:val="36"/>
          <w:szCs w:val="36"/>
          <w14:textFill>
            <w14:solidFill>
              <w14:schemeClr w14:val="tx1"/>
            </w14:solidFill>
          </w14:textFill>
        </w:rPr>
        <w:t>第二章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投标人须知</w:t>
      </w:r>
      <w:bookmarkEnd w:id="10"/>
      <w:bookmarkEnd w:id="16"/>
    </w:p>
    <w:p>
      <w:pPr>
        <w:pStyle w:val="4"/>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一、投标人须知附表</w:t>
      </w:r>
      <w:bookmarkEnd w:id="11"/>
      <w:bookmarkEnd w:id="12"/>
      <w:bookmarkEnd w:id="13"/>
      <w:bookmarkEnd w:id="14"/>
      <w:bookmarkEnd w:id="15"/>
    </w:p>
    <w:tbl>
      <w:tblPr>
        <w:tblStyle w:val="26"/>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序号</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条款名称</w:t>
            </w:r>
          </w:p>
        </w:tc>
        <w:tc>
          <w:tcPr>
            <w:tcW w:w="6111"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p>
        </w:tc>
        <w:tc>
          <w:tcPr>
            <w:tcW w:w="2552" w:type="dxa"/>
            <w:tcBorders>
              <w:bottom w:val="single" w:color="auto" w:sz="4" w:space="0"/>
            </w:tcBorders>
            <w:vAlign w:val="center"/>
          </w:tcPr>
          <w:p>
            <w:pPr>
              <w:autoSpaceDE w:val="0"/>
              <w:autoSpaceDN w:val="0"/>
              <w:adjustRightInd w:val="0"/>
              <w:snapToGrid w:val="0"/>
              <w:spacing w:after="0" w:line="360" w:lineRule="auto"/>
              <w:ind w:left="38"/>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采购预算</w:t>
            </w:r>
          </w:p>
          <w:p>
            <w:pPr>
              <w:autoSpaceDE w:val="0"/>
              <w:autoSpaceDN w:val="0"/>
              <w:adjustRightInd w:val="0"/>
              <w:snapToGrid w:val="0"/>
              <w:spacing w:after="0" w:line="360" w:lineRule="auto"/>
              <w:ind w:left="38"/>
              <w:jc w:val="center"/>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（实质性要求）</w:t>
            </w:r>
          </w:p>
        </w:tc>
        <w:tc>
          <w:tcPr>
            <w:tcW w:w="6111" w:type="dxa"/>
            <w:tcBorders>
              <w:bottom w:val="single" w:color="auto" w:sz="4" w:space="0"/>
            </w:tcBorders>
          </w:tcPr>
          <w:p>
            <w:pPr>
              <w:widowControl/>
              <w:adjustRightInd w:val="0"/>
              <w:snapToGrid w:val="0"/>
              <w:spacing w:after="0" w:line="360" w:lineRule="auto"/>
              <w:jc w:val="left"/>
              <w:rPr>
                <w:rFonts w:ascii="仿宋" w:hAnsi="仿宋" w:eastAsia="仿宋"/>
                <w:color w:val="000000" w:themeColor="text1"/>
                <w:kern w:val="0"/>
                <w:szCs w:val="21"/>
                <w14:textFill>
                  <w14:solidFill>
                    <w14:schemeClr w14:val="tx1"/>
                  </w14:solidFill>
                </w14:textFill>
              </w:rPr>
            </w:pPr>
            <w:bookmarkStart w:id="17"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60万元</w:t>
            </w:r>
            <w:bookmarkEnd w:id="17"/>
          </w:p>
          <w:p>
            <w:pPr>
              <w:autoSpaceDE w:val="0"/>
              <w:autoSpaceDN w:val="0"/>
              <w:adjustRightInd w:val="0"/>
              <w:snapToGrid w:val="0"/>
              <w:spacing w:after="0" w:line="360" w:lineRule="auto"/>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continue"/>
            <w:vAlign w:val="center"/>
          </w:tcPr>
          <w:p>
            <w:pPr>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最高限价</w:t>
            </w:r>
          </w:p>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（实质性要求）</w:t>
            </w:r>
          </w:p>
        </w:tc>
        <w:tc>
          <w:tcPr>
            <w:tcW w:w="6111" w:type="dxa"/>
            <w:tcBorders>
              <w:top w:val="single" w:color="auto" w:sz="4" w:space="0"/>
            </w:tcBorders>
          </w:tcPr>
          <w:p>
            <w:pPr>
              <w:widowControl/>
              <w:adjustRightInd w:val="0"/>
              <w:snapToGrid w:val="0"/>
              <w:spacing w:after="0" w:line="360" w:lineRule="auto"/>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最高</w:t>
            </w:r>
            <w:r>
              <w:rPr>
                <w:rFonts w:ascii="仿宋" w:hAnsi="仿宋" w:eastAsia="仿宋"/>
                <w:color w:val="000000" w:themeColor="text1"/>
                <w:kern w:val="0"/>
                <w:szCs w:val="21"/>
                <w14:textFill>
                  <w14:solidFill>
                    <w14:schemeClr w14:val="tx1"/>
                  </w14:solidFill>
                </w14:textFill>
              </w:rPr>
              <w:t>限价</w:t>
            </w:r>
            <w:r>
              <w:rPr>
                <w:rFonts w:hint="eastAsia" w:ascii="仿宋" w:hAnsi="仿宋"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60万元</w:t>
            </w:r>
          </w:p>
          <w:p>
            <w:pPr>
              <w:autoSpaceDE w:val="0"/>
              <w:autoSpaceDN w:val="0"/>
              <w:adjustRightInd w:val="0"/>
              <w:snapToGrid w:val="0"/>
              <w:spacing w:after="0" w:line="360" w:lineRule="auto"/>
              <w:rPr>
                <w:rFonts w:ascii="仿宋" w:hAnsi="仿宋" w:eastAsia="仿宋" w:cs="宋体"/>
                <w:color w:val="000000" w:themeColor="text1"/>
                <w:kern w:val="0"/>
                <w:szCs w:val="21"/>
                <w14:textFill>
                  <w14:solidFill>
                    <w14:schemeClr w14:val="tx1"/>
                  </w14:solidFill>
                </w14:textFill>
              </w:rPr>
            </w:pPr>
            <w:bookmarkStart w:id="18" w:name="PO_默认文件内容_27"/>
            <w:r>
              <w:rPr>
                <w:rFonts w:hint="eastAsia" w:ascii="仿宋" w:hAnsi="仿宋" w:eastAsia="仿宋" w:cs="宋体"/>
                <w:color w:val="000000" w:themeColor="text1"/>
                <w:kern w:val="0"/>
                <w:szCs w:val="21"/>
                <w14:textFill>
                  <w14:solidFill>
                    <w14:schemeClr w14:val="tx1"/>
                  </w14:solidFill>
                </w14:textFill>
              </w:rPr>
              <w:t>超过最高限价的报价为无效投标。</w:t>
            </w:r>
          </w:p>
          <w:p>
            <w:pPr>
              <w:widowControl/>
              <w:adjustRightInd w:val="0"/>
              <w:snapToGrid w:val="0"/>
              <w:spacing w:after="0" w:line="360" w:lineRule="auto"/>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不正当竞争预防措施</w:t>
            </w:r>
          </w:p>
          <w:p>
            <w:pPr>
              <w:autoSpaceDE w:val="0"/>
              <w:autoSpaceDN w:val="0"/>
              <w:adjustRightInd w:val="0"/>
              <w:snapToGrid w:val="0"/>
              <w:spacing w:after="0" w:line="360" w:lineRule="auto"/>
              <w:ind w:left="38"/>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（实质性要求）</w:t>
            </w:r>
          </w:p>
        </w:tc>
        <w:tc>
          <w:tcPr>
            <w:tcW w:w="6111" w:type="dxa"/>
            <w:vAlign w:val="center"/>
          </w:tcPr>
          <w:p>
            <w:pPr>
              <w:autoSpaceDE w:val="0"/>
              <w:autoSpaceDN w:val="0"/>
              <w:adjustRightInd w:val="0"/>
              <w:snapToGrid w:val="0"/>
              <w:spacing w:after="0" w:line="360" w:lineRule="auto"/>
              <w:rPr>
                <w:rFonts w:ascii="仿宋" w:hAnsi="仿宋" w:eastAsia="仿宋" w:cs="宋体"/>
                <w:color w:val="000000" w:themeColor="text1"/>
                <w:kern w:val="0"/>
                <w:szCs w:val="21"/>
                <w14:textFill>
                  <w14:solidFill>
                    <w14:schemeClr w14:val="tx1"/>
                  </w14:solidFill>
                </w14:textFill>
              </w:rPr>
            </w:pPr>
            <w:bookmarkStart w:id="19" w:name="PO_默认文件内容_1"/>
            <w:r>
              <w:rPr>
                <w:rFonts w:hint="eastAsia" w:ascii="仿宋" w:hAnsi="仿宋" w:eastAsia="仿宋" w:cs="宋体"/>
                <w:color w:val="000000" w:themeColor="text1"/>
                <w:kern w:val="0"/>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pPr>
              <w:autoSpaceDE w:val="0"/>
              <w:autoSpaceDN w:val="0"/>
              <w:adjustRightInd w:val="0"/>
              <w:snapToGrid w:val="0"/>
              <w:spacing w:after="0" w:line="360" w:lineRule="auto"/>
              <w:rPr>
                <w:rFonts w:ascii="仿宋" w:hAnsi="仿宋" w:eastAsia="仿宋"/>
                <w:color w:val="000000" w:themeColor="text1"/>
                <w:szCs w:val="21"/>
                <w14:textFill>
                  <w14:solidFill>
                    <w14:schemeClr w14:val="tx1"/>
                  </w14:solidFill>
                </w14:textFill>
              </w:rPr>
            </w:pPr>
            <w:r>
              <w:rPr>
                <w:rFonts w:hint="eastAsia" w:ascii="仿宋" w:hAnsi="仿宋" w:eastAsia="仿宋"/>
                <w:b/>
                <w:bCs/>
                <w:color w:val="000000" w:themeColor="text1"/>
                <w:szCs w:val="21"/>
                <w14:textFill>
                  <w14:solidFill>
                    <w14:schemeClr w14:val="tx1"/>
                  </w14:solidFill>
                </w14:textFill>
              </w:rPr>
              <w:t>注：</w:t>
            </w:r>
            <w:r>
              <w:rPr>
                <w:rFonts w:hint="eastAsia" w:ascii="仿宋" w:hAnsi="仿宋" w:eastAsia="仿宋"/>
                <w:b/>
                <w:bCs/>
                <w:color w:val="000000" w:themeColor="text1"/>
                <w:szCs w:val="2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szCs w:val="21"/>
                <w14:textFill>
                  <w14:solidFill>
                    <w14:schemeClr w14:val="tx1"/>
                  </w14:solidFill>
                </w14:textFill>
              </w:rPr>
              <w:t>30分钟，供应商已明确表示澄清、说明完毕的除外</w:t>
            </w:r>
            <w:r>
              <w:rPr>
                <w:rFonts w:hint="eastAsia" w:ascii="仿宋" w:hAnsi="仿宋" w:eastAsia="仿宋"/>
                <w:b/>
                <w:bCs/>
                <w:color w:val="000000" w:themeColor="text1"/>
                <w:szCs w:val="21"/>
                <w:lang w:val="zh-CN"/>
                <w14:textFill>
                  <w14:solidFill>
                    <w14:schemeClr w14:val="tx1"/>
                  </w14:solidFill>
                </w14:textFill>
              </w:rPr>
              <w:t>）。如因系统故障（</w:t>
            </w:r>
            <w:r>
              <w:rPr>
                <w:rFonts w:hint="eastAsia" w:ascii="仿宋" w:hAnsi="仿宋" w:eastAsia="仿宋"/>
                <w:b/>
                <w:bCs/>
                <w:color w:val="000000" w:themeColor="text1"/>
                <w:szCs w:val="21"/>
                <w14:textFill>
                  <w14:solidFill>
                    <w14:schemeClr w14:val="tx1"/>
                  </w14:solidFill>
                </w14:textFill>
              </w:rPr>
              <w:t>包括组织场所停电、断网等）</w:t>
            </w:r>
            <w:r>
              <w:rPr>
                <w:rFonts w:hint="eastAsia" w:ascii="仿宋" w:hAnsi="仿宋" w:eastAsia="仿宋"/>
                <w:b/>
                <w:bCs/>
                <w:color w:val="000000" w:themeColor="text1"/>
                <w:szCs w:val="21"/>
                <w:lang w:val="zh-CN"/>
                <w14:textFill>
                  <w14:solidFill>
                    <w14:schemeClr w14:val="tx1"/>
                  </w14:solidFill>
                </w14:textFill>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color w:val="000000" w:themeColor="text1"/>
                <w:kern w:val="0"/>
                <w:szCs w:val="21"/>
                <w:lang w:val="zh-CN"/>
                <w14:textFill>
                  <w14:solidFill>
                    <w14:schemeClr w14:val="tx1"/>
                  </w14:solidFill>
                </w14:textFill>
              </w:rPr>
            </w:pPr>
            <w:r>
              <w:rPr>
                <w:rFonts w:hint="eastAsia" w:ascii="仿宋" w:hAnsi="仿宋" w:eastAsia="仿宋" w:cs="Courier New"/>
                <w:color w:val="000000" w:themeColor="text1"/>
                <w:kern w:val="0"/>
                <w:szCs w:val="21"/>
                <w:lang w:val="zh-CN"/>
                <w14:textFill>
                  <w14:solidFill>
                    <w14:schemeClr w14:val="tx1"/>
                  </w14:solidFill>
                </w14:textFill>
              </w:rPr>
              <w:t>3</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进口产品</w:t>
            </w:r>
          </w:p>
          <w:p>
            <w:pPr>
              <w:autoSpaceDE w:val="0"/>
              <w:autoSpaceDN w:val="0"/>
              <w:adjustRightInd w:val="0"/>
              <w:snapToGrid w:val="0"/>
              <w:spacing w:after="0" w:line="360" w:lineRule="auto"/>
              <w:ind w:left="38"/>
              <w:jc w:val="center"/>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（本项目不适用）</w:t>
            </w:r>
          </w:p>
        </w:tc>
        <w:tc>
          <w:tcPr>
            <w:tcW w:w="6111" w:type="dxa"/>
            <w:vAlign w:val="center"/>
          </w:tcPr>
          <w:p>
            <w:pPr>
              <w:adjustRightInd w:val="0"/>
              <w:snapToGrid w:val="0"/>
              <w:spacing w:after="0" w:line="360" w:lineRule="auto"/>
              <w:ind w:right="105" w:rightChars="50"/>
              <w:jc w:val="left"/>
              <w:rPr>
                <w:rFonts w:ascii="仿宋" w:hAnsi="仿宋" w:eastAsia="仿宋"/>
                <w:color w:val="000000" w:themeColor="text1"/>
                <w:szCs w:val="21"/>
                <w:lang w:val="zh-CN"/>
                <w14:textFill>
                  <w14:solidFill>
                    <w14:schemeClr w14:val="tx1"/>
                  </w14:solidFill>
                </w14:textFill>
              </w:rPr>
            </w:pPr>
            <w:bookmarkStart w:id="20" w:name="PO_默认文件内容_15"/>
            <w:r>
              <w:rPr>
                <w:rFonts w:hint="eastAsia" w:ascii="仿宋" w:hAnsi="仿宋" w:eastAsia="仿宋"/>
                <w:color w:val="000000" w:themeColor="text1"/>
                <w:szCs w:val="21"/>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color w:val="000000" w:themeColor="text1"/>
                <w:kern w:val="0"/>
                <w:szCs w:val="21"/>
                <w:lang w:val="zh-CN"/>
                <w14:textFill>
                  <w14:solidFill>
                    <w14:schemeClr w14:val="tx1"/>
                  </w14:solidFill>
                </w14:textFill>
              </w:rPr>
            </w:pPr>
            <w:r>
              <w:rPr>
                <w:rFonts w:ascii="仿宋" w:hAnsi="仿宋" w:eastAsia="仿宋" w:cs="Courier New"/>
                <w:color w:val="000000" w:themeColor="text1"/>
                <w:kern w:val="0"/>
                <w:szCs w:val="21"/>
                <w:lang w:val="zh-CN"/>
                <w14:textFill>
                  <w14:solidFill>
                    <w14:schemeClr w14:val="tx1"/>
                  </w14:solidFill>
                </w14:textFill>
              </w:rPr>
              <w:t>4</w:t>
            </w:r>
          </w:p>
        </w:tc>
        <w:tc>
          <w:tcPr>
            <w:tcW w:w="2552" w:type="dxa"/>
            <w:vAlign w:val="center"/>
          </w:tcPr>
          <w:p>
            <w:pPr>
              <w:pStyle w:val="44"/>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小微企业（监狱企业、残疾人福利性单位</w:t>
            </w:r>
            <w:r>
              <w:rPr>
                <w:rFonts w:hint="eastAsia" w:ascii="仿宋" w:hAnsi="仿宋" w:eastAsia="仿宋"/>
                <w:color w:val="000000" w:themeColor="text1"/>
                <w:sz w:val="21"/>
                <w:szCs w:val="21"/>
                <w14:textFill>
                  <w14:solidFill>
                    <w14:schemeClr w14:val="tx1"/>
                  </w14:solidFill>
                </w14:textFill>
              </w:rPr>
              <w:t>视同小微企业</w:t>
            </w:r>
            <w:r>
              <w:rPr>
                <w:rFonts w:hint="eastAsia" w:ascii="仿宋" w:hAnsi="仿宋" w:eastAsia="仿宋" w:cs="Times New Roman"/>
                <w:color w:val="000000" w:themeColor="text1"/>
                <w:kern w:val="2"/>
                <w:sz w:val="21"/>
                <w:szCs w:val="21"/>
                <w14:textFill>
                  <w14:solidFill>
                    <w14:schemeClr w14:val="tx1"/>
                  </w14:solidFill>
                </w14:textFill>
              </w:rPr>
              <w:t>）价格扣除</w:t>
            </w:r>
          </w:p>
          <w:p>
            <w:pPr>
              <w:pStyle w:val="44"/>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w:t>
            </w:r>
            <w:r>
              <w:rPr>
                <w:rFonts w:ascii="仿宋" w:hAnsi="仿宋" w:eastAsia="仿宋" w:cs="Times New Roman"/>
                <w:color w:val="000000" w:themeColor="text1"/>
                <w:kern w:val="2"/>
                <w:sz w:val="21"/>
                <w:szCs w:val="21"/>
                <w14:textFill>
                  <w14:solidFill>
                    <w14:schemeClr w14:val="tx1"/>
                  </w14:solidFill>
                </w14:textFill>
              </w:rPr>
              <w:t>项目不适用</w:t>
            </w:r>
            <w:r>
              <w:rPr>
                <w:rFonts w:hint="eastAsia" w:ascii="仿宋" w:hAnsi="仿宋" w:eastAsia="仿宋" w:cs="Times New Roman"/>
                <w:color w:val="000000" w:themeColor="text1"/>
                <w:kern w:val="2"/>
                <w:sz w:val="21"/>
                <w:szCs w:val="21"/>
                <w14:textFill>
                  <w14:solidFill>
                    <w14:schemeClr w14:val="tx1"/>
                  </w14:solidFill>
                </w14:textFill>
              </w:rPr>
              <w:t>）</w:t>
            </w:r>
          </w:p>
        </w:tc>
        <w:tc>
          <w:tcPr>
            <w:tcW w:w="6111" w:type="dxa"/>
            <w:vAlign w:val="center"/>
          </w:tcPr>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2、参加政府采购活动的中小企业提供《中小企业声明函》原件，未提供的，视为放弃享受小微企业价格扣除优惠政策。</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color w:val="000000" w:themeColor="text1"/>
                <w:kern w:val="0"/>
                <w:szCs w:val="21"/>
                <w:lang w:val="zh-CN"/>
                <w14:textFill>
                  <w14:solidFill>
                    <w14:schemeClr w14:val="tx1"/>
                  </w14:solidFill>
                </w14:textFill>
              </w:rPr>
            </w:pPr>
            <w:r>
              <w:rPr>
                <w:rFonts w:ascii="仿宋" w:hAnsi="仿宋" w:eastAsia="仿宋"/>
                <w:color w:val="000000" w:themeColor="text1"/>
                <w:szCs w:val="21"/>
                <w14:textFill>
                  <w14:solidFill>
                    <w14:schemeClr w14:val="tx1"/>
                  </w14:solidFill>
                </w14:textFill>
              </w:rPr>
              <w:t>5</w:t>
            </w:r>
          </w:p>
        </w:tc>
        <w:tc>
          <w:tcPr>
            <w:tcW w:w="2552" w:type="dxa"/>
            <w:vAlign w:val="center"/>
          </w:tcPr>
          <w:p>
            <w:pPr>
              <w:adjustRightInd w:val="0"/>
              <w:snapToGrid w:val="0"/>
              <w:spacing w:after="0" w:line="360" w:lineRule="auto"/>
              <w:ind w:left="105" w:leftChars="50" w:right="105" w:rightChars="50"/>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节能、环保及无线局域网产品政府采购政策</w:t>
            </w:r>
          </w:p>
          <w:p>
            <w:pPr>
              <w:adjustRightInd w:val="0"/>
              <w:snapToGrid w:val="0"/>
              <w:spacing w:after="0" w:line="360" w:lineRule="auto"/>
              <w:ind w:left="105" w:leftChars="50" w:right="105" w:rightChars="50"/>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（本项目不适用）</w:t>
            </w:r>
          </w:p>
        </w:tc>
        <w:tc>
          <w:tcPr>
            <w:tcW w:w="6111" w:type="dxa"/>
            <w:vAlign w:val="center"/>
          </w:tcPr>
          <w:p>
            <w:pPr>
              <w:adjustRightInd w:val="0"/>
              <w:snapToGrid w:val="0"/>
              <w:spacing w:after="0" w:line="360" w:lineRule="auto"/>
              <w:ind w:right="105" w:rightChars="50"/>
              <w:jc w:val="left"/>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仿宋" w:hAnsi="仿宋" w:eastAsia="仿宋"/>
                <w:b/>
                <w:color w:val="000000" w:themeColor="text1"/>
                <w:szCs w:val="21"/>
                <w14:textFill>
                  <w14:solidFill>
                    <w14:schemeClr w14:val="tx1"/>
                  </w14:solidFill>
                </w14:textFill>
              </w:rPr>
              <w:t>（实质性要求）</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本项目采购的产品属于品目清单优先采购范围的，按照第七章《综合评分明细表》的规则进行加分。</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spacing w:after="0" w:line="360" w:lineRule="auto"/>
              <w:ind w:right="105" w:rightChars="50"/>
              <w:jc w:val="left"/>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本项目采购的产品属于中国</w:t>
            </w:r>
            <w:r>
              <w:rPr>
                <w:rFonts w:ascii="仿宋" w:hAnsi="仿宋" w:eastAsia="仿宋"/>
                <w:color w:val="000000" w:themeColor="text1"/>
                <w:szCs w:val="21"/>
                <w14:textFill>
                  <w14:solidFill>
                    <w14:schemeClr w14:val="tx1"/>
                  </w14:solidFill>
                </w14:textFill>
              </w:rPr>
              <w:t>政府采购网公布的</w:t>
            </w:r>
            <w:r>
              <w:rPr>
                <w:rFonts w:hint="eastAsia" w:ascii="仿宋" w:hAnsi="仿宋" w:eastAsia="仿宋"/>
                <w:color w:val="000000" w:themeColor="text1"/>
                <w:szCs w:val="21"/>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6</w:t>
            </w:r>
          </w:p>
        </w:tc>
        <w:tc>
          <w:tcPr>
            <w:tcW w:w="2552" w:type="dxa"/>
            <w:vAlign w:val="center"/>
          </w:tcPr>
          <w:p>
            <w:pPr>
              <w:adjustRightInd w:val="0"/>
              <w:snapToGrid w:val="0"/>
              <w:spacing w:after="0" w:line="360" w:lineRule="auto"/>
              <w:ind w:left="105" w:leftChars="50"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评标情况公告</w:t>
            </w:r>
          </w:p>
        </w:tc>
        <w:tc>
          <w:tcPr>
            <w:tcW w:w="6111" w:type="dxa"/>
            <w:vAlign w:val="center"/>
          </w:tcPr>
          <w:p>
            <w:pPr>
              <w:widowControl/>
              <w:adjustRightInd w:val="0"/>
              <w:snapToGrid w:val="0"/>
              <w:spacing w:after="0" w:line="360" w:lineRule="auto"/>
              <w:jc w:val="left"/>
              <w:rPr>
                <w:rFonts w:ascii="仿宋" w:hAnsi="仿宋" w:eastAsia="仿宋"/>
                <w:color w:val="000000" w:themeColor="text1"/>
                <w:szCs w:val="21"/>
                <w14:textFill>
                  <w14:solidFill>
                    <w14:schemeClr w14:val="tx1"/>
                  </w14:solidFill>
                </w14:textFill>
              </w:rPr>
            </w:pPr>
            <w:bookmarkStart w:id="21" w:name="PO_默认文件内容_6"/>
            <w:r>
              <w:rPr>
                <w:rFonts w:hint="eastAsia" w:ascii="仿宋" w:hAnsi="仿宋" w:eastAsia="仿宋"/>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7</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投标保证金</w:t>
            </w:r>
          </w:p>
        </w:tc>
        <w:tc>
          <w:tcPr>
            <w:tcW w:w="6111" w:type="dxa"/>
            <w:vAlign w:val="center"/>
          </w:tcPr>
          <w:p>
            <w:pPr>
              <w:autoSpaceDE w:val="0"/>
              <w:autoSpaceDN w:val="0"/>
              <w:adjustRightInd w:val="0"/>
              <w:snapToGrid w:val="0"/>
              <w:spacing w:after="0" w:line="360" w:lineRule="auto"/>
              <w:rPr>
                <w:rFonts w:ascii="仿宋" w:hAnsi="仿宋" w:eastAsia="仿宋" w:cs="宋体"/>
                <w:b/>
                <w:color w:val="000000" w:themeColor="text1"/>
                <w:kern w:val="0"/>
                <w:szCs w:val="21"/>
                <w:lang w:val="zh-CN"/>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8</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履约保证金</w:t>
            </w:r>
          </w:p>
        </w:tc>
        <w:tc>
          <w:tcPr>
            <w:tcW w:w="6111" w:type="dxa"/>
            <w:vAlign w:val="center"/>
          </w:tcPr>
          <w:p>
            <w:pPr>
              <w:autoSpaceDE w:val="0"/>
              <w:autoSpaceDN w:val="0"/>
              <w:adjustRightInd w:val="0"/>
              <w:snapToGrid w:val="0"/>
              <w:spacing w:after="0" w:line="360" w:lineRule="auto"/>
              <w:rPr>
                <w:rFonts w:ascii="仿宋" w:hAnsi="仿宋" w:eastAsia="仿宋" w:cs="宋体"/>
                <w:kern w:val="0"/>
                <w:szCs w:val="21"/>
                <w:lang w:val="zh-CN"/>
              </w:rPr>
            </w:pPr>
            <w:bookmarkStart w:id="22" w:name="PO_默认文件内容_11"/>
            <w:r>
              <w:rPr>
                <w:rFonts w:hint="eastAsia" w:ascii="仿宋" w:hAnsi="仿宋" w:eastAsia="仿宋" w:cs="宋体"/>
                <w:kern w:val="0"/>
                <w:szCs w:val="21"/>
                <w:lang w:val="zh-CN"/>
              </w:rPr>
              <w:t>金    额：</w:t>
            </w:r>
            <w:r>
              <w:rPr>
                <w:rFonts w:hint="eastAsia" w:ascii="仿宋" w:hAnsi="仿宋" w:eastAsia="仿宋" w:cs="宋体"/>
                <w:kern w:val="0"/>
                <w:szCs w:val="21"/>
              </w:rPr>
              <w:t>政府采购合同金额的</w:t>
            </w:r>
            <w:r>
              <w:rPr>
                <w:rFonts w:ascii="仿宋" w:hAnsi="仿宋" w:eastAsia="仿宋" w:cs="宋体"/>
                <w:kern w:val="0"/>
                <w:szCs w:val="21"/>
              </w:rPr>
              <w:t>10</w:t>
            </w:r>
            <w:r>
              <w:rPr>
                <w:rFonts w:hint="eastAsia" w:ascii="仿宋" w:hAnsi="仿宋" w:eastAsia="仿宋" w:cs="宋体"/>
                <w:kern w:val="0"/>
                <w:szCs w:val="21"/>
              </w:rPr>
              <w:t>%</w:t>
            </w:r>
            <w:r>
              <w:rPr>
                <w:rFonts w:hint="eastAsia" w:ascii="仿宋" w:hAnsi="仿宋" w:eastAsia="仿宋" w:cs="宋体"/>
                <w:kern w:val="0"/>
                <w:szCs w:val="21"/>
                <w:lang w:val="zh-CN"/>
              </w:rPr>
              <w:t>。</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交款方式：履约保证金可以以支票、汇票、本票或者金融机构出具的保函等非现金形式提交（包括网银转账，电汇等方式）。</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收款单位：</w:t>
            </w:r>
            <w:r>
              <w:rPr>
                <w:rFonts w:hint="eastAsia" w:ascii="仿宋" w:hAnsi="仿宋" w:eastAsia="仿宋" w:cs="宋体"/>
                <w:kern w:val="0"/>
                <w:szCs w:val="21"/>
                <w:lang w:eastAsia="zh-Hans"/>
              </w:rPr>
              <w:t>待签订正式合同时补充</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开 户 行：</w:t>
            </w:r>
            <w:r>
              <w:rPr>
                <w:rFonts w:hint="eastAsia" w:ascii="仿宋" w:hAnsi="仿宋" w:eastAsia="仿宋" w:cs="宋体"/>
                <w:kern w:val="0"/>
                <w:szCs w:val="21"/>
                <w:lang w:eastAsia="zh-Hans"/>
              </w:rPr>
              <w:t>待签订正式合同时补充</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银行账号：</w:t>
            </w:r>
            <w:r>
              <w:rPr>
                <w:rFonts w:hint="eastAsia" w:ascii="仿宋" w:hAnsi="仿宋" w:eastAsia="仿宋" w:cs="宋体"/>
                <w:kern w:val="0"/>
                <w:szCs w:val="21"/>
                <w:lang w:eastAsia="zh-Hans"/>
              </w:rPr>
              <w:t>待签订正式合同时补充</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交款时间：中标、成交通知书发放后，政府采购合同签订前。</w:t>
            </w:r>
            <w:bookmarkEnd w:id="22"/>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履约保证金退还</w:t>
            </w:r>
            <w:r>
              <w:rPr>
                <w:rFonts w:hint="eastAsia" w:ascii="仿宋" w:hAnsi="仿宋" w:eastAsia="仿宋" w:cs="宋体"/>
                <w:kern w:val="0"/>
                <w:szCs w:val="21"/>
                <w:lang w:eastAsia="zh-Hans"/>
              </w:rPr>
              <w:t>时间和</w:t>
            </w:r>
            <w:r>
              <w:rPr>
                <w:rFonts w:hint="eastAsia" w:ascii="仿宋" w:hAnsi="仿宋" w:eastAsia="仿宋" w:cs="宋体"/>
                <w:kern w:val="0"/>
                <w:szCs w:val="21"/>
                <w:lang w:val="zh-CN"/>
              </w:rPr>
              <w:t>方式：履约验收合格后的</w:t>
            </w:r>
            <w:r>
              <w:rPr>
                <w:rFonts w:ascii="仿宋" w:hAnsi="仿宋" w:eastAsia="仿宋" w:cs="宋体"/>
                <w:kern w:val="0"/>
                <w:szCs w:val="21"/>
              </w:rPr>
              <w:t>1</w:t>
            </w:r>
            <w:r>
              <w:rPr>
                <w:rFonts w:hint="eastAsia" w:ascii="仿宋" w:hAnsi="仿宋" w:eastAsia="仿宋" w:cs="宋体"/>
                <w:kern w:val="0"/>
                <w:szCs w:val="21"/>
                <w:lang w:val="zh-CN"/>
              </w:rPr>
              <w:t>个月一次性无息退还。</w:t>
            </w:r>
          </w:p>
          <w:p>
            <w:pPr>
              <w:autoSpaceDE w:val="0"/>
              <w:autoSpaceDN w:val="0"/>
              <w:adjustRightInd w:val="0"/>
              <w:snapToGrid w:val="0"/>
              <w:spacing w:after="0" w:line="360" w:lineRule="auto"/>
              <w:rPr>
                <w:rFonts w:ascii="仿宋" w:hAnsi="仿宋" w:eastAsia="仿宋" w:cs="宋体"/>
                <w:kern w:val="0"/>
                <w:szCs w:val="21"/>
                <w:lang w:val="zh-CN"/>
              </w:rPr>
            </w:pPr>
            <w:r>
              <w:rPr>
                <w:rFonts w:hint="eastAsia" w:ascii="仿宋" w:hAnsi="仿宋" w:eastAsia="仿宋" w:cs="宋体"/>
                <w:kern w:val="0"/>
                <w:szCs w:val="21"/>
                <w:lang w:val="zh-CN"/>
              </w:rPr>
              <w:t>履约保证金不予退还情形：中标人不履行与招标人订立的合同的。</w:t>
            </w:r>
          </w:p>
          <w:p>
            <w:pPr>
              <w:autoSpaceDE w:val="0"/>
              <w:autoSpaceDN w:val="0"/>
              <w:adjustRightInd w:val="0"/>
              <w:snapToGrid w:val="0"/>
              <w:spacing w:after="0" w:line="360" w:lineRule="auto"/>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s="宋体"/>
                <w:kern w:val="0"/>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9</w:t>
            </w:r>
          </w:p>
        </w:tc>
        <w:tc>
          <w:tcPr>
            <w:tcW w:w="2552"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合同分包</w:t>
            </w:r>
          </w:p>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（实质性要求）</w:t>
            </w:r>
          </w:p>
        </w:tc>
        <w:tc>
          <w:tcPr>
            <w:tcW w:w="6111" w:type="dxa"/>
            <w:vAlign w:val="center"/>
          </w:tcPr>
          <w:p>
            <w:pPr>
              <w:autoSpaceDE w:val="0"/>
              <w:autoSpaceDN w:val="0"/>
              <w:adjustRightInd w:val="0"/>
              <w:snapToGrid w:val="0"/>
              <w:spacing w:after="0" w:line="360" w:lineRule="auto"/>
              <w:ind w:firstLine="210" w:firstLineChars="100"/>
              <w:rPr>
                <w:rFonts w:ascii="仿宋" w:hAnsi="仿宋" w:eastAsia="仿宋"/>
                <w:b/>
                <w:color w:val="000000" w:themeColor="text1"/>
                <w:szCs w:val="21"/>
                <w14:textFill>
                  <w14:solidFill>
                    <w14:schemeClr w14:val="tx1"/>
                  </w14:solidFill>
                </w14:textFill>
              </w:rPr>
            </w:pPr>
            <w:r>
              <w:rPr>
                <w:rFonts w:ascii="Segoe UI Symbol" w:hAnsi="Segoe UI Symbol" w:eastAsia="仿宋" w:cs="Segoe UI Symbol"/>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本项目不接受合同分包。</w:t>
            </w:r>
          </w:p>
          <w:p>
            <w:pPr>
              <w:autoSpaceDE w:val="0"/>
              <w:autoSpaceDN w:val="0"/>
              <w:adjustRightInd w:val="0"/>
              <w:snapToGrid w:val="0"/>
              <w:spacing w:after="0" w:line="360" w:lineRule="auto"/>
              <w:ind w:firstLine="210" w:firstLineChars="100"/>
              <w:rPr>
                <w:rFonts w:ascii="仿宋" w:hAnsi="仿宋" w:eastAsia="仿宋"/>
                <w:b/>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本项目接受合同分包，具体要求如下：</w:t>
            </w:r>
          </w:p>
          <w:p>
            <w:pPr>
              <w:autoSpaceDE w:val="0"/>
              <w:autoSpaceDN w:val="0"/>
              <w:adjustRightInd w:val="0"/>
              <w:snapToGrid w:val="0"/>
              <w:spacing w:after="0" w:line="360" w:lineRule="auto"/>
              <w:ind w:firstLine="210" w:firstLineChars="100"/>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autoSpaceDE w:val="0"/>
              <w:autoSpaceDN w:val="0"/>
              <w:adjustRightInd w:val="0"/>
              <w:snapToGrid w:val="0"/>
              <w:spacing w:after="0" w:line="360" w:lineRule="auto"/>
              <w:ind w:firstLine="210" w:firstLineChars="100"/>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分包履行合同的部分应当为采购项目的非主体、非关键性工作，不属于中标人的主要合同义务。本</w:t>
            </w:r>
            <w:r>
              <w:rPr>
                <w:rFonts w:ascii="仿宋" w:hAnsi="仿宋" w:eastAsia="仿宋"/>
                <w:color w:val="000000" w:themeColor="text1"/>
                <w:szCs w:val="21"/>
                <w14:textFill>
                  <w14:solidFill>
                    <w14:schemeClr w14:val="tx1"/>
                  </w14:solidFill>
                </w14:textFill>
              </w:rPr>
              <w:t>项目</w:t>
            </w:r>
            <w:r>
              <w:rPr>
                <w:rFonts w:hint="eastAsia" w:ascii="仿宋" w:hAnsi="仿宋" w:eastAsia="仿宋"/>
                <w:color w:val="000000" w:themeColor="text1"/>
                <w:szCs w:val="21"/>
                <w14:textFill>
                  <w14:solidFill>
                    <w14:schemeClr w14:val="tx1"/>
                  </w14:solidFill>
                </w14:textFill>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10</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开标、评标工作咨询；</w:t>
            </w:r>
          </w:p>
          <w:p>
            <w:pPr>
              <w:autoSpaceDE w:val="0"/>
              <w:autoSpaceDN w:val="0"/>
              <w:adjustRightInd w:val="0"/>
              <w:snapToGrid w:val="0"/>
              <w:spacing w:after="0" w:line="360" w:lineRule="auto"/>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bCs/>
                <w:color w:val="000000" w:themeColor="text1"/>
                <w:szCs w:val="21"/>
                <w14:textFill>
                  <w14:solidFill>
                    <w14:schemeClr w14:val="tx1"/>
                  </w14:solidFill>
                </w14:textFill>
              </w:rPr>
              <w:t>采购项目具体事项咨询</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联 系 人：丁女士</w:t>
            </w:r>
          </w:p>
          <w:p>
            <w:pPr>
              <w:adjustRightInd w:val="0"/>
              <w:snapToGrid w:val="0"/>
              <w:spacing w:after="0" w:line="360" w:lineRule="auto"/>
              <w:ind w:right="105" w:rightChars="50"/>
              <w:jc w:val="left"/>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联系电话：028-83475775、</w:t>
            </w:r>
            <w:r>
              <w:rPr>
                <w:rFonts w:ascii="仿宋" w:hAnsi="仿宋" w:eastAsia="仿宋"/>
                <w:b/>
                <w:color w:val="000000" w:themeColor="text1"/>
                <w:szCs w:val="21"/>
                <w14:textFill>
                  <w14:solidFill>
                    <w14:schemeClr w14:val="tx1"/>
                  </w14:solidFill>
                </w14:textFill>
              </w:rPr>
              <w:t>19108232480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11</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中标通知书领取</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bookmarkStart w:id="23" w:name="PO_默认文件内容_29"/>
            <w:r>
              <w:rPr>
                <w:rFonts w:hint="eastAsia" w:ascii="仿宋" w:hAnsi="仿宋" w:eastAsia="仿宋"/>
                <w:color w:val="000000" w:themeColor="text1"/>
                <w:szCs w:val="21"/>
                <w:lang w:val="zh-CN"/>
                <w14:textFill>
                  <w14:solidFill>
                    <w14:schemeClr w14:val="tx1"/>
                  </w14:solidFill>
                </w14:textFill>
              </w:rPr>
              <w:t>在四川政府采购网公告中标结果同时发出中标通知书，中标供应商自行登录政府采购云平台下载中标通知书。</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12</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s="宋体"/>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供应商询问</w:t>
            </w:r>
          </w:p>
        </w:tc>
        <w:tc>
          <w:tcPr>
            <w:tcW w:w="6111" w:type="dxa"/>
            <w:tcBorders>
              <w:top w:val="single" w:color="auto" w:sz="4" w:space="0"/>
              <w:bottom w:val="single" w:color="auto" w:sz="4" w:space="0"/>
            </w:tcBorders>
            <w:vAlign w:val="center"/>
          </w:tcPr>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根据委托代理协议约定，供应商询问由采购代理机构负责答复。</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项目问题询问：</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人：蒋先生</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联系电话：028-83475775、18583950100。</w:t>
            </w:r>
          </w:p>
          <w:p>
            <w:pPr>
              <w:adjustRightInd w:val="0"/>
              <w:snapToGrid w:val="0"/>
              <w:spacing w:after="0" w:line="360" w:lineRule="auto"/>
              <w:ind w:right="105" w:right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联系地址：四川省成都市高新区锦尚西一路楚峰国际中心2307。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13</w:t>
            </w:r>
          </w:p>
        </w:tc>
        <w:tc>
          <w:tcPr>
            <w:tcW w:w="2552" w:type="dxa"/>
            <w:tcBorders>
              <w:top w:val="single" w:color="auto" w:sz="4" w:space="0"/>
            </w:tcBorders>
            <w:vAlign w:val="center"/>
          </w:tcPr>
          <w:p>
            <w:pPr>
              <w:adjustRightInd w:val="0"/>
              <w:snapToGrid w:val="0"/>
              <w:spacing w:after="0" w:line="360" w:lineRule="auto"/>
              <w:ind w:left="105" w:leftChars="50"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供应商质疑</w:t>
            </w:r>
          </w:p>
        </w:tc>
        <w:tc>
          <w:tcPr>
            <w:tcW w:w="6111" w:type="dxa"/>
            <w:tcBorders>
              <w:top w:val="single" w:color="auto" w:sz="4" w:space="0"/>
            </w:tcBorders>
            <w:vAlign w:val="center"/>
          </w:tcPr>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bookmarkStart w:id="24" w:name="PO_默认文件内容_30"/>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人：蒋先生</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联系电话：028-83475775、18583950100。</w:t>
            </w:r>
          </w:p>
          <w:p>
            <w:pPr>
              <w:adjustRightInd w:val="0"/>
              <w:snapToGrid w:val="0"/>
              <w:spacing w:after="0" w:line="360" w:lineRule="auto"/>
              <w:ind w:right="105" w:right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联系地址：四川省成都市高新区锦尚西一路楚峰国际中心2307。</w:t>
            </w:r>
          </w:p>
          <w:p>
            <w:pPr>
              <w:adjustRightInd w:val="0"/>
              <w:snapToGrid w:val="0"/>
              <w:spacing w:after="0" w:line="360" w:lineRule="auto"/>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注：根据《中华人民共和国政府采购法》等规定，供应商质疑不得超出采购文件、采购过程、采购结果的范围</w:t>
            </w:r>
            <w:bookmarkEnd w:id="24"/>
            <w:r>
              <w:rPr>
                <w:rFonts w:hint="eastAsia" w:ascii="仿宋" w:hAnsi="仿宋" w:eastAsia="仿宋"/>
                <w:color w:val="000000" w:themeColor="text1"/>
                <w:szCs w:val="21"/>
                <w:lang w:val="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 </w:t>
            </w:r>
            <w:r>
              <w:rPr>
                <w:rFonts w:hint="eastAsia" w:ascii="仿宋" w:hAnsi="仿宋" w:eastAsia="仿宋"/>
                <w:color w:val="000000" w:themeColor="text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14</w:t>
            </w: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供应商投诉</w:t>
            </w:r>
          </w:p>
        </w:tc>
        <w:tc>
          <w:tcPr>
            <w:tcW w:w="6111" w:type="dxa"/>
            <w:tcBorders>
              <w:top w:val="single" w:color="auto" w:sz="4" w:space="0"/>
            </w:tcBorders>
          </w:tcPr>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w:t>
            </w:r>
            <w:r>
              <w:rPr>
                <w:rFonts w:ascii="仿宋" w:hAnsi="仿宋" w:eastAsia="仿宋"/>
                <w:color w:val="000000" w:themeColor="text1"/>
                <w:szCs w:val="21"/>
                <w14:textFill>
                  <w14:solidFill>
                    <w14:schemeClr w14:val="tx1"/>
                  </w14:solidFill>
                </w14:textFill>
              </w:rPr>
              <w:t>成都东部新区党工委管委会（成都市东部新城办）财政金融局</w:t>
            </w:r>
            <w:r>
              <w:rPr>
                <w:rFonts w:hint="eastAsia" w:ascii="仿宋" w:hAnsi="仿宋" w:eastAsia="仿宋"/>
                <w:color w:val="000000" w:themeColor="text1"/>
                <w:szCs w:val="21"/>
                <w14:textFill>
                  <w14:solidFill>
                    <w14:schemeClr w14:val="tx1"/>
                  </w14:solidFill>
                </w14:textFill>
              </w:rPr>
              <w:t>。</w:t>
            </w:r>
          </w:p>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联系电话：028-86360129。</w:t>
            </w:r>
          </w:p>
          <w:p>
            <w:pPr>
              <w:adjustRightInd w:val="0"/>
              <w:snapToGrid w:val="0"/>
              <w:spacing w:after="0" w:line="360" w:lineRule="auto"/>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w:t>
            </w:r>
          </w:p>
        </w:tc>
        <w:tc>
          <w:tcPr>
            <w:tcW w:w="2552"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政府采购合同</w:t>
            </w:r>
          </w:p>
          <w:p>
            <w:pPr>
              <w:autoSpaceDE w:val="0"/>
              <w:autoSpaceDN w:val="0"/>
              <w:adjustRightInd w:val="0"/>
              <w:snapToGrid w:val="0"/>
              <w:spacing w:after="0" w:line="360" w:lineRule="auto"/>
              <w:jc w:val="center"/>
              <w:rPr>
                <w:rFonts w:ascii="仿宋" w:hAnsi="仿宋" w:eastAsia="仿宋"/>
                <w:color w:val="000000" w:themeColor="text1"/>
                <w:szCs w:val="21"/>
                <w14:textFill>
                  <w14:solidFill>
                    <w14:schemeClr w14:val="tx1"/>
                  </w14:solidFill>
                </w14:textFill>
              </w:rPr>
            </w:pPr>
            <w:r>
              <w:rPr>
                <w:rFonts w:hint="eastAsia" w:ascii="仿宋" w:hAnsi="仿宋" w:eastAsia="仿宋" w:cs="宋体"/>
                <w:color w:val="000000" w:themeColor="text1"/>
                <w:kern w:val="0"/>
                <w:szCs w:val="21"/>
                <w14:textFill>
                  <w14:solidFill>
                    <w14:schemeClr w14:val="tx1"/>
                  </w14:solidFill>
                </w14:textFill>
              </w:rPr>
              <w:t>公告备案</w:t>
            </w:r>
          </w:p>
        </w:tc>
        <w:tc>
          <w:tcPr>
            <w:tcW w:w="6111" w:type="dxa"/>
          </w:tcPr>
          <w:p>
            <w:pPr>
              <w:adjustRightInd w:val="0"/>
              <w:snapToGrid w:val="0"/>
              <w:spacing w:after="0" w:line="360" w:lineRule="auto"/>
              <w:ind w:right="105" w:rightChars="50"/>
              <w:jc w:val="left"/>
              <w:rPr>
                <w:rFonts w:ascii="仿宋" w:hAnsi="仿宋" w:eastAsia="仿宋"/>
                <w:color w:val="000000" w:themeColor="text1"/>
                <w:szCs w:val="21"/>
                <w14:textFill>
                  <w14:solidFill>
                    <w14:schemeClr w14:val="tx1"/>
                  </w14:solidFill>
                </w14:textFill>
              </w:rPr>
            </w:pPr>
            <w:bookmarkStart w:id="25" w:name="PO_默认文件内容_38"/>
            <w:r>
              <w:rPr>
                <w:rFonts w:hint="eastAsia" w:ascii="仿宋" w:hAnsi="仿宋" w:eastAsia="仿宋"/>
                <w:color w:val="000000" w:themeColor="text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lang w:val="zh-CN"/>
                <w14:textFill>
                  <w14:solidFill>
                    <w14:schemeClr w14:val="tx1"/>
                  </w14:solidFill>
                </w14:textFill>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16</w:t>
            </w:r>
          </w:p>
        </w:tc>
        <w:tc>
          <w:tcPr>
            <w:tcW w:w="2552" w:type="dxa"/>
            <w:vAlign w:val="center"/>
          </w:tcPr>
          <w:p>
            <w:pPr>
              <w:pStyle w:val="44"/>
              <w:snapToGrid w:val="0"/>
              <w:spacing w:after="0" w:line="36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招标服务费</w:t>
            </w:r>
          </w:p>
        </w:tc>
        <w:tc>
          <w:tcPr>
            <w:tcW w:w="6111" w:type="dxa"/>
            <w:vAlign w:val="center"/>
          </w:tcPr>
          <w:p>
            <w:pPr>
              <w:autoSpaceDE w:val="0"/>
              <w:autoSpaceDN w:val="0"/>
              <w:adjustRightInd w:val="0"/>
              <w:snapToGrid w:val="0"/>
              <w:spacing w:after="0" w:line="360" w:lineRule="auto"/>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本项目招标代理服务费按定额人民币</w:t>
            </w:r>
            <w:r>
              <w:rPr>
                <w:rFonts w:hint="eastAsia" w:ascii="仿宋" w:hAnsi="仿宋" w:eastAsia="仿宋"/>
                <w:color w:val="000000" w:themeColor="text1"/>
                <w:szCs w:val="21"/>
                <w:u w:val="single"/>
                <w14:textFill>
                  <w14:solidFill>
                    <w14:schemeClr w14:val="tx1"/>
                  </w14:solidFill>
                </w14:textFill>
              </w:rPr>
              <w:t xml:space="preserve">  </w:t>
            </w:r>
            <w:r>
              <w:rPr>
                <w:rFonts w:ascii="仿宋" w:hAnsi="仿宋" w:eastAsia="仿宋"/>
                <w:color w:val="000000" w:themeColor="text1"/>
                <w:szCs w:val="21"/>
                <w:u w:val="single"/>
                <w14:textFill>
                  <w14:solidFill>
                    <w14:schemeClr w14:val="tx1"/>
                  </w14:solidFill>
                </w14:textFill>
              </w:rPr>
              <w:t xml:space="preserve">7000 </w:t>
            </w:r>
            <w:r>
              <w:rPr>
                <w:rFonts w:hint="eastAsia" w:ascii="仿宋" w:hAnsi="仿宋" w:eastAsia="仿宋"/>
                <w:color w:val="000000" w:themeColor="text1"/>
                <w:szCs w:val="21"/>
                <w:u w:val="single"/>
                <w14:textFill>
                  <w14:solidFill>
                    <w14:schemeClr w14:val="tx1"/>
                  </w14:solidFill>
                </w14:textFill>
              </w:rPr>
              <w:t xml:space="preserve"> </w:t>
            </w:r>
            <w:r>
              <w:rPr>
                <w:rFonts w:hint="eastAsia" w:ascii="仿宋" w:hAnsi="仿宋" w:eastAsia="仿宋"/>
                <w:color w:val="000000" w:themeColor="text1"/>
                <w:szCs w:val="21"/>
                <w14:textFill>
                  <w14:solidFill>
                    <w14:schemeClr w14:val="tx1"/>
                  </w14:solidFill>
                </w14:textFill>
              </w:rPr>
              <w:t>元（大写柒仟元整）收取，由中标人在领取中标通知书之前向招标代理机构支付。</w:t>
            </w:r>
          </w:p>
          <w:p>
            <w:pPr>
              <w:autoSpaceDE w:val="0"/>
              <w:autoSpaceDN w:val="0"/>
              <w:adjustRightInd w:val="0"/>
              <w:snapToGrid w:val="0"/>
              <w:spacing w:after="0" w:line="360" w:lineRule="auto"/>
              <w:jc w:val="left"/>
              <w:rPr>
                <w:rFonts w:ascii="仿宋" w:hAnsi="仿宋" w:eastAsia="仿宋"/>
                <w:b/>
                <w:bCs/>
                <w:color w:val="000000" w:themeColor="text1"/>
                <w:szCs w:val="21"/>
                <w:lang w:val="zh-CN"/>
                <w14:textFill>
                  <w14:solidFill>
                    <w14:schemeClr w14:val="tx1"/>
                  </w14:solidFill>
                </w14:textFill>
              </w:rPr>
            </w:pPr>
            <w:r>
              <w:rPr>
                <w:rFonts w:hint="eastAsia" w:ascii="仿宋" w:hAnsi="仿宋" w:eastAsia="仿宋"/>
                <w:b/>
                <w:bCs/>
                <w:color w:val="000000" w:themeColor="text1"/>
                <w:szCs w:val="21"/>
                <w:lang w:val="zh-CN"/>
                <w14:textFill>
                  <w14:solidFill>
                    <w14:schemeClr w14:val="tx1"/>
                  </w14:solidFill>
                </w14:textFill>
              </w:rPr>
              <w:t>收款单位：四川成与诚招标代理有限公司</w:t>
            </w:r>
          </w:p>
          <w:p>
            <w:pPr>
              <w:autoSpaceDE w:val="0"/>
              <w:autoSpaceDN w:val="0"/>
              <w:adjustRightInd w:val="0"/>
              <w:snapToGrid w:val="0"/>
              <w:spacing w:after="0" w:line="360" w:lineRule="auto"/>
              <w:jc w:val="left"/>
              <w:rPr>
                <w:rFonts w:ascii="仿宋" w:hAnsi="仿宋" w:eastAsia="仿宋"/>
                <w:b/>
                <w:bCs/>
                <w:color w:val="000000" w:themeColor="text1"/>
                <w:szCs w:val="21"/>
                <w:lang w:val="zh-CN"/>
                <w14:textFill>
                  <w14:solidFill>
                    <w14:schemeClr w14:val="tx1"/>
                  </w14:solidFill>
                </w14:textFill>
              </w:rPr>
            </w:pPr>
            <w:r>
              <w:rPr>
                <w:rFonts w:hint="eastAsia" w:ascii="仿宋" w:hAnsi="仿宋" w:eastAsia="仿宋"/>
                <w:b/>
                <w:bCs/>
                <w:color w:val="000000" w:themeColor="text1"/>
                <w:szCs w:val="21"/>
                <w:lang w:val="zh-CN"/>
                <w14:textFill>
                  <w14:solidFill>
                    <w14:schemeClr w14:val="tx1"/>
                  </w14:solidFill>
                </w14:textFill>
              </w:rPr>
              <w:t>开 户 行：中信银行股份有限公司成都高升路支行</w:t>
            </w:r>
          </w:p>
          <w:p>
            <w:pPr>
              <w:adjustRightInd w:val="0"/>
              <w:snapToGrid w:val="0"/>
              <w:spacing w:after="0" w:line="360" w:lineRule="auto"/>
              <w:ind w:right="105" w:rightChars="50"/>
              <w:rPr>
                <w:rFonts w:ascii="仿宋" w:hAnsi="仿宋"/>
                <w:color w:val="000000" w:themeColor="text1"/>
                <w:szCs w:val="21"/>
                <w14:textFill>
                  <w14:solidFill>
                    <w14:schemeClr w14:val="tx1"/>
                  </w14:solidFill>
                </w14:textFill>
              </w:rPr>
            </w:pPr>
            <w:r>
              <w:rPr>
                <w:rFonts w:hint="eastAsia" w:ascii="仿宋" w:hAnsi="仿宋" w:eastAsia="仿宋"/>
                <w:b/>
                <w:bCs/>
                <w:color w:val="000000" w:themeColor="text1"/>
                <w:szCs w:val="21"/>
                <w:lang w:val="zh-CN"/>
                <w14:textFill>
                  <w14:solidFill>
                    <w14:schemeClr w14:val="tx1"/>
                  </w14:solidFill>
                </w14:textFill>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17</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送样提醒</w:t>
            </w:r>
          </w:p>
        </w:tc>
        <w:tc>
          <w:tcPr>
            <w:tcW w:w="6111" w:type="dxa"/>
            <w:tcBorders>
              <w:left w:val="single" w:color="auto" w:sz="4" w:space="0"/>
            </w:tcBorders>
            <w:vAlign w:val="center"/>
          </w:tcPr>
          <w:p>
            <w:pPr>
              <w:adjustRightInd w:val="0"/>
              <w:snapToGrid w:val="0"/>
              <w:spacing w:after="0" w:line="360" w:lineRule="auto"/>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承诺提醒</w:t>
            </w:r>
          </w:p>
        </w:tc>
        <w:tc>
          <w:tcPr>
            <w:tcW w:w="6111" w:type="dxa"/>
            <w:tcBorders>
              <w:left w:val="single" w:color="auto" w:sz="4" w:space="0"/>
            </w:tcBorders>
            <w:vAlign w:val="center"/>
          </w:tcPr>
          <w:p>
            <w:pPr>
              <w:adjustRightInd w:val="0"/>
              <w:snapToGrid w:val="0"/>
              <w:spacing w:after="0" w:line="360" w:lineRule="auto"/>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19</w:t>
            </w:r>
          </w:p>
        </w:tc>
        <w:tc>
          <w:tcPr>
            <w:tcW w:w="2552" w:type="dxa"/>
            <w:tcBorders>
              <w:right w:val="single" w:color="auto" w:sz="4" w:space="0"/>
            </w:tcBorders>
            <w:vAlign w:val="center"/>
          </w:tcPr>
          <w:p>
            <w:pPr>
              <w:adjustRightInd w:val="0"/>
              <w:snapToGrid w:val="0"/>
              <w:spacing w:after="0" w:line="360" w:lineRule="auto"/>
              <w:ind w:firstLine="105" w:firstLine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联合体（</w:t>
            </w:r>
            <w:r>
              <w:rPr>
                <w:rFonts w:hint="eastAsia" w:ascii="仿宋" w:hAnsi="仿宋" w:eastAsia="仿宋"/>
                <w:color w:val="000000" w:themeColor="text1"/>
                <w:szCs w:val="21"/>
                <w14:textFill>
                  <w14:solidFill>
                    <w14:schemeClr w14:val="tx1"/>
                  </w14:solidFill>
                </w14:textFill>
              </w:rPr>
              <w:t>实质性要求）</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ascii="仿宋" w:hAnsi="仿宋" w:eastAsia="仿宋"/>
                <w:color w:val="000000" w:themeColor="text1"/>
                <w:szCs w:val="21"/>
                <w14:textFill>
                  <w14:solidFill>
                    <w14:schemeClr w14:val="tx1"/>
                  </w14:solidFill>
                </w14:textFill>
              </w:rPr>
            </w:pPr>
            <w:r>
              <w:rPr>
                <w:rFonts w:ascii="Segoe UI Emoji" w:hAnsi="Segoe UI Emoji" w:eastAsia="仿宋" w:cs="Segoe UI Emoji"/>
                <w:color w:val="000000" w:themeColor="text1"/>
                <w:szCs w:val="21"/>
                <w:lang w:val="zh-CN"/>
                <w14:textFill>
                  <w14:solidFill>
                    <w14:schemeClr w14:val="tx1"/>
                  </w14:solidFill>
                </w14:textFill>
              </w:rPr>
              <w:sym w:font="Wingdings 2" w:char="F0A3"/>
            </w:r>
            <w:r>
              <w:rPr>
                <w:rFonts w:hint="eastAsia" w:ascii="仿宋" w:hAnsi="仿宋" w:eastAsia="仿宋"/>
                <w:color w:val="000000" w:themeColor="text1"/>
                <w:szCs w:val="21"/>
                <w:lang w:val="zh-CN"/>
                <w14:textFill>
                  <w14:solidFill>
                    <w14:schemeClr w14:val="tx1"/>
                  </w14:solidFill>
                </w14:textFill>
              </w:rPr>
              <w:t xml:space="preserve">本项目不允许联合体参加 </w:t>
            </w:r>
            <w:r>
              <w:rPr>
                <w:rFonts w:hint="eastAsia" w:ascii="仿宋" w:hAnsi="仿宋" w:eastAsia="仿宋"/>
                <w:color w:val="000000" w:themeColor="text1"/>
                <w:szCs w:val="21"/>
                <w14:textFill>
                  <w14:solidFill>
                    <w14:schemeClr w14:val="tx1"/>
                  </w14:solidFill>
                </w14:textFill>
              </w:rPr>
              <w:t xml:space="preserve">   </w:t>
            </w:r>
          </w:p>
          <w:p>
            <w:pPr>
              <w:adjustRightInd w:val="0"/>
              <w:snapToGrid w:val="0"/>
              <w:spacing w:after="0" w:line="360" w:lineRule="auto"/>
              <w:ind w:firstLine="105" w:firstLine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sym w:font="Wingdings 2" w:char="F052"/>
            </w:r>
            <w:r>
              <w:rPr>
                <w:rFonts w:hint="eastAsia" w:ascii="仿宋" w:hAnsi="仿宋" w:eastAsia="仿宋"/>
                <w:color w:val="000000" w:themeColor="text1"/>
                <w:szCs w:val="21"/>
                <w:lang w:val="zh-CN"/>
                <w14:textFill>
                  <w14:solidFill>
                    <w14:schemeClr w14:val="tx1"/>
                  </w14:solidFill>
                </w14:textFill>
              </w:rPr>
              <w:t>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20</w:t>
            </w:r>
          </w:p>
        </w:tc>
        <w:tc>
          <w:tcPr>
            <w:tcW w:w="2552" w:type="dxa"/>
            <w:tcBorders>
              <w:right w:val="single" w:color="auto" w:sz="4" w:space="0"/>
            </w:tcBorders>
            <w:vAlign w:val="center"/>
          </w:tcPr>
          <w:p>
            <w:pPr>
              <w:pStyle w:val="44"/>
              <w:ind w:left="96"/>
              <w:jc w:val="cente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现场考察或标前答疑会</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本项目不组织。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21</w:t>
            </w:r>
          </w:p>
        </w:tc>
        <w:tc>
          <w:tcPr>
            <w:tcW w:w="2552" w:type="dxa"/>
            <w:tcBorders>
              <w:right w:val="single" w:color="auto" w:sz="4" w:space="0"/>
            </w:tcBorders>
            <w:vAlign w:val="center"/>
          </w:tcPr>
          <w:p>
            <w:pPr>
              <w:pStyle w:val="44"/>
              <w:ind w:left="96"/>
              <w:jc w:val="cente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温馨提示</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widowControl/>
        <w:spacing w:after="0" w:line="240" w:lineRule="auto"/>
        <w:jc w:val="left"/>
        <w:rPr>
          <w:rFonts w:ascii="仿宋" w:hAnsi="仿宋" w:eastAsia="仿宋"/>
          <w:color w:val="000000" w:themeColor="text1"/>
          <w14:textFill>
            <w14:solidFill>
              <w14:schemeClr w14:val="tx1"/>
            </w14:solidFill>
          </w14:textFill>
        </w:rPr>
      </w:pPr>
    </w:p>
    <w:p>
      <w:pPr>
        <w:pStyle w:val="4"/>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w:t>
      </w:r>
      <w:r>
        <w:rPr>
          <w:rFonts w:ascii="仿宋" w:hAnsi="仿宋" w:eastAsia="仿宋"/>
          <w:bCs w:val="0"/>
          <w:color w:val="000000" w:themeColor="text1"/>
          <w14:textFill>
            <w14:solidFill>
              <w14:schemeClr w14:val="tx1"/>
            </w14:solidFill>
          </w14:textFill>
        </w:rPr>
        <w:t xml:space="preserve">  </w:t>
      </w:r>
      <w:r>
        <w:rPr>
          <w:rFonts w:hint="eastAsia" w:ascii="仿宋" w:hAnsi="仿宋" w:eastAsia="仿宋"/>
          <w:bCs w:val="0"/>
          <w:color w:val="000000" w:themeColor="text1"/>
          <w14:textFill>
            <w14:solidFill>
              <w14:schemeClr w14:val="tx1"/>
            </w14:solidFill>
          </w14:textFill>
        </w:rPr>
        <w:t>则</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6" w:name="_Toc183582205"/>
      <w:bookmarkStart w:id="27" w:name="_Toc183682342"/>
      <w:bookmarkStart w:id="28" w:name="_Toc217446034"/>
      <w:bookmarkStart w:id="29" w:name="PO_默认文件内容_24"/>
      <w:r>
        <w:rPr>
          <w:rFonts w:ascii="仿宋" w:hAnsi="仿宋" w:eastAsia="仿宋"/>
          <w:color w:val="000000" w:themeColor="text1"/>
          <w:sz w:val="24"/>
          <w:szCs w:val="24"/>
          <w14:textFill>
            <w14:solidFill>
              <w14:schemeClr w14:val="tx1"/>
            </w14:solidFill>
          </w14:textFill>
        </w:rPr>
        <w:t>1.</w:t>
      </w:r>
      <w:bookmarkEnd w:id="26"/>
      <w:bookmarkEnd w:id="27"/>
      <w:r>
        <w:rPr>
          <w:rFonts w:hint="eastAsia" w:ascii="仿宋" w:hAnsi="仿宋" w:eastAsia="仿宋"/>
          <w:color w:val="000000" w:themeColor="text1"/>
          <w:sz w:val="24"/>
          <w:szCs w:val="24"/>
          <w14:textFill>
            <w14:solidFill>
              <w14:schemeClr w14:val="tx1"/>
            </w14:solidFill>
          </w14:textFill>
        </w:rPr>
        <w:t xml:space="preserve"> 适用范围</w:t>
      </w:r>
      <w:bookmarkEnd w:id="28"/>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本招标文件仅适用于本次招标采购项目。</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30" w:name="_Toc183682343"/>
      <w:bookmarkStart w:id="31" w:name="_Toc183582206"/>
      <w:bookmarkStart w:id="32" w:name="_Toc217446035"/>
      <w:r>
        <w:rPr>
          <w:rFonts w:ascii="仿宋" w:hAnsi="仿宋" w:eastAsia="仿宋"/>
          <w:color w:val="000000" w:themeColor="text1"/>
          <w:sz w:val="24"/>
          <w14:textFill>
            <w14:solidFill>
              <w14:schemeClr w14:val="tx1"/>
            </w14:solidFill>
          </w14:textFill>
        </w:rPr>
        <w:t xml:space="preserve">2. </w:t>
      </w:r>
      <w:bookmarkEnd w:id="30"/>
      <w:bookmarkEnd w:id="31"/>
      <w:r>
        <w:rPr>
          <w:rFonts w:hint="eastAsia" w:ascii="仿宋" w:hAnsi="仿宋" w:eastAsia="仿宋"/>
          <w:color w:val="000000" w:themeColor="text1"/>
          <w:sz w:val="24"/>
          <w14:textFill>
            <w14:solidFill>
              <w14:schemeClr w14:val="tx1"/>
            </w14:solidFill>
          </w14:textFill>
        </w:rPr>
        <w:t>有关</w:t>
      </w:r>
      <w:r>
        <w:rPr>
          <w:rFonts w:hint="eastAsia" w:ascii="仿宋" w:hAnsi="仿宋" w:eastAsia="仿宋"/>
          <w:color w:val="000000" w:themeColor="text1"/>
          <w:sz w:val="24"/>
          <w:szCs w:val="24"/>
          <w14:textFill>
            <w14:solidFill>
              <w14:schemeClr w14:val="tx1"/>
            </w14:solidFill>
          </w14:textFill>
        </w:rPr>
        <w:t>定义</w:t>
      </w:r>
      <w:bookmarkEnd w:id="29"/>
      <w:bookmarkEnd w:id="32"/>
    </w:p>
    <w:p>
      <w:pPr>
        <w:tabs>
          <w:tab w:val="left" w:pos="7665"/>
        </w:tabs>
        <w:spacing w:after="0" w:line="400" w:lineRule="exact"/>
        <w:ind w:firstLine="480" w:firstLineChars="200"/>
        <w:jc w:val="left"/>
        <w:rPr>
          <w:rFonts w:ascii="仿宋" w:hAnsi="仿宋" w:eastAsia="仿宋"/>
          <w:color w:val="000000" w:themeColor="text1"/>
          <w:sz w:val="24"/>
          <w14:textFill>
            <w14:solidFill>
              <w14:schemeClr w14:val="tx1"/>
            </w14:solidFill>
          </w14:textFill>
        </w:rPr>
      </w:pPr>
      <w:bookmarkStart w:id="33" w:name="PO_默认文件内容_35"/>
      <w:r>
        <w:rPr>
          <w:rFonts w:hint="eastAsia" w:ascii="仿宋" w:hAnsi="仿宋" w:eastAsia="仿宋"/>
          <w:color w:val="000000" w:themeColor="text1"/>
          <w:sz w:val="24"/>
          <w14:textFill>
            <w14:solidFill>
              <w14:schemeClr w14:val="tx1"/>
            </w14:solidFill>
          </w14:textFill>
        </w:rPr>
        <w:t xml:space="preserve">2.1 “采购人”系指依法进行政府采购的国家机关、事业单位、团体组织。本次招标的采购人是 </w:t>
      </w:r>
      <w:r>
        <w:rPr>
          <w:rFonts w:ascii="仿宋" w:hAnsi="仿宋" w:eastAsia="仿宋"/>
          <w:b/>
          <w:color w:val="000000" w:themeColor="text1"/>
          <w:sz w:val="24"/>
          <w:u w:val="single"/>
          <w14:textFill>
            <w14:solidFill>
              <w14:schemeClr w14:val="tx1"/>
            </w14:solidFill>
          </w14:textFill>
        </w:rPr>
        <w:t>成都东部新区党工委管委会（成都市东部新城办）财政金融局</w:t>
      </w:r>
      <w:r>
        <w:rPr>
          <w:rFonts w:hint="eastAsia" w:ascii="仿宋" w:hAnsi="仿宋" w:eastAsia="仿宋"/>
          <w:color w:val="000000" w:themeColor="text1"/>
          <w:sz w:val="24"/>
          <w14:textFill>
            <w14:solidFill>
              <w14:schemeClr w14:val="tx1"/>
            </w14:solidFill>
          </w14:textFill>
        </w:rPr>
        <w:t>。</w:t>
      </w:r>
    </w:p>
    <w:p>
      <w:pPr>
        <w:tabs>
          <w:tab w:val="left" w:pos="7665"/>
        </w:tabs>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仿宋" w:hAnsi="仿宋" w:eastAsia="仿宋"/>
          <w:b/>
          <w:bCs/>
          <w:color w:val="000000" w:themeColor="text1"/>
          <w:sz w:val="24"/>
          <w:u w:val="single"/>
          <w14:textFill>
            <w14:solidFill>
              <w14:schemeClr w14:val="tx1"/>
            </w14:solidFill>
          </w14:textFill>
        </w:rPr>
        <w:t>四川成与诚招标代理有限公司</w:t>
      </w:r>
      <w:r>
        <w:rPr>
          <w:rFonts w:hint="eastAsia" w:ascii="仿宋" w:hAnsi="仿宋" w:eastAsia="仿宋"/>
          <w:color w:val="000000" w:themeColor="text1"/>
          <w:sz w:val="24"/>
          <w14:textFill>
            <w14:solidFill>
              <w14:schemeClr w14:val="tx1"/>
            </w14:solidFill>
          </w14:textFill>
        </w:rPr>
        <w:t>。</w:t>
      </w:r>
    </w:p>
    <w:p>
      <w:pPr>
        <w:tabs>
          <w:tab w:val="left" w:pos="7665"/>
        </w:tabs>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 “投标人”系指获取了招标文件拟参加投标和向采购人提供货物及相应服务的供应商。</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34" w:name="_Toc217446036"/>
      <w:bookmarkStart w:id="35" w:name="_Toc183682344"/>
      <w:bookmarkStart w:id="36" w:name="_Toc183582207"/>
      <w:bookmarkStart w:id="37" w:name="_Toc217390843"/>
      <w:r>
        <w:rPr>
          <w:rFonts w:ascii="仿宋" w:hAnsi="仿宋" w:eastAsia="仿宋"/>
          <w:color w:val="000000" w:themeColor="text1"/>
          <w:sz w:val="24"/>
          <w14:textFill>
            <w14:solidFill>
              <w14:schemeClr w14:val="tx1"/>
            </w14:solidFill>
          </w14:textFill>
        </w:rPr>
        <w:t xml:space="preserve">3. </w:t>
      </w:r>
      <w:r>
        <w:rPr>
          <w:rFonts w:hint="eastAsia" w:ascii="仿宋" w:hAnsi="仿宋" w:eastAsia="仿宋"/>
          <w:color w:val="000000" w:themeColor="text1"/>
          <w:sz w:val="24"/>
          <w14:textFill>
            <w14:solidFill>
              <w14:schemeClr w14:val="tx1"/>
            </w14:solidFill>
          </w14:textFill>
        </w:rPr>
        <w:t>合格的投标人</w:t>
      </w:r>
      <w:bookmarkEnd w:id="34"/>
      <w:bookmarkEnd w:id="35"/>
      <w:bookmarkEnd w:id="36"/>
      <w:bookmarkEnd w:id="37"/>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（1）本招标文件规定的供应商资格条件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（3）按照招标文件第一章第七条要求规定获取了招标文件。</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38" w:name="_Toc183582208"/>
      <w:bookmarkStart w:id="39" w:name="_Toc183682345"/>
      <w:bookmarkStart w:id="40" w:name="_Toc217446037"/>
      <w:r>
        <w:rPr>
          <w:rFonts w:ascii="仿宋" w:hAnsi="仿宋" w:eastAsia="仿宋"/>
          <w:color w:val="000000" w:themeColor="text1"/>
          <w:sz w:val="24"/>
          <w14:textFill>
            <w14:solidFill>
              <w14:schemeClr w14:val="tx1"/>
            </w14:solidFill>
          </w14:textFill>
        </w:rPr>
        <w:t xml:space="preserve">4. </w:t>
      </w:r>
      <w:r>
        <w:rPr>
          <w:rFonts w:hint="eastAsia" w:ascii="仿宋" w:hAnsi="仿宋" w:eastAsia="仿宋"/>
          <w:color w:val="000000" w:themeColor="text1"/>
          <w:sz w:val="24"/>
          <w14:textFill>
            <w14:solidFill>
              <w14:schemeClr w14:val="tx1"/>
            </w14:solidFill>
          </w14:textFill>
        </w:rPr>
        <w:t>投标费用</w:t>
      </w:r>
      <w:bookmarkEnd w:id="38"/>
      <w:bookmarkEnd w:id="39"/>
      <w:bookmarkEnd w:id="40"/>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投标人参加投标的有关费用由投标人自行承担。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5. </w:t>
      </w:r>
      <w:r>
        <w:rPr>
          <w:rFonts w:hint="eastAsia" w:ascii="仿宋" w:hAnsi="仿宋" w:eastAsia="仿宋"/>
          <w:color w:val="000000" w:themeColor="text1"/>
          <w:sz w:val="24"/>
          <w14:textFill>
            <w14:solidFill>
              <w14:schemeClr w14:val="tx1"/>
            </w14:solidFill>
          </w14:textFill>
        </w:rPr>
        <w:t>充分、公平竞争保障措施</w:t>
      </w:r>
      <w:r>
        <w:rPr>
          <w:rFonts w:hint="eastAsia" w:ascii="仿宋" w:hAnsi="仿宋" w:eastAsia="仿宋"/>
          <w:color w:val="000000" w:themeColor="text1"/>
          <w:sz w:val="24"/>
          <w:szCs w:val="24"/>
          <w14:textFill>
            <w14:solidFill>
              <w14:schemeClr w14:val="tx1"/>
            </w14:solidFill>
          </w14:textFill>
        </w:rPr>
        <w:t>（实质性要求）</w:t>
      </w:r>
    </w:p>
    <w:p>
      <w:pPr>
        <w:pStyle w:val="45"/>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5.1 </w:t>
      </w:r>
      <w:r>
        <w:rPr>
          <w:rFonts w:hint="eastAsia" w:ascii="仿宋" w:hAnsi="仿宋" w:eastAsia="仿宋"/>
          <w:b/>
          <w:color w:val="000000" w:themeColor="text1"/>
          <w:sz w:val="24"/>
          <w14:textFill>
            <w14:solidFill>
              <w14:schemeClr w14:val="tx1"/>
            </w14:solidFill>
          </w14:textFill>
        </w:rPr>
        <w:t>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5"/>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5.2 </w:t>
      </w:r>
      <w:r>
        <w:rPr>
          <w:rFonts w:hint="eastAsia" w:ascii="仿宋" w:hAnsi="仿宋" w:eastAsia="仿宋"/>
          <w:b/>
          <w:color w:val="000000" w:themeColor="text1"/>
          <w:sz w:val="24"/>
          <w14:textFill>
            <w14:solidFill>
              <w14:schemeClr w14:val="tx1"/>
            </w14:solidFill>
          </w14:textFill>
        </w:rPr>
        <w:t>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5.3 </w:t>
      </w:r>
      <w:r>
        <w:rPr>
          <w:rFonts w:hint="eastAsia" w:ascii="仿宋" w:hAnsi="仿宋" w:eastAsia="仿宋"/>
          <w:b/>
          <w:color w:val="000000" w:themeColor="text1"/>
          <w:sz w:val="24"/>
          <w14:textFill>
            <w14:solidFill>
              <w14:schemeClr w14:val="tx1"/>
            </w14:solidFill>
          </w14:textFill>
        </w:rPr>
        <w:t>利害关系代理人处理。</w:t>
      </w:r>
      <w:bookmarkStart w:id="41" w:name="_Toc183682346"/>
      <w:bookmarkStart w:id="42" w:name="_Toc217446038"/>
      <w:bookmarkStart w:id="43" w:name="_Toc183582209"/>
      <w:bookmarkStart w:id="44" w:name="_Toc89075875"/>
      <w:bookmarkStart w:id="45" w:name="_Toc77400779"/>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三、招标文件</w:t>
      </w:r>
      <w:bookmarkEnd w:id="41"/>
      <w:bookmarkEnd w:id="42"/>
      <w:bookmarkEnd w:id="43"/>
      <w:bookmarkEnd w:id="44"/>
      <w:bookmarkEnd w:id="45"/>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6" w:name="_Toc217446039"/>
      <w:bookmarkStart w:id="47" w:name="_Toc183582210"/>
      <w:bookmarkStart w:id="48" w:name="_Toc183682347"/>
      <w:r>
        <w:rPr>
          <w:rFonts w:hint="eastAsia" w:ascii="仿宋" w:hAnsi="仿宋" w:eastAsia="仿宋"/>
          <w:color w:val="000000" w:themeColor="text1"/>
          <w:sz w:val="24"/>
          <w14:textFill>
            <w14:solidFill>
              <w14:schemeClr w14:val="tx1"/>
            </w14:solidFill>
          </w14:textFill>
        </w:rPr>
        <w:t>6．招标文件的构成</w:t>
      </w:r>
      <w:bookmarkEnd w:id="46"/>
      <w:bookmarkEnd w:id="47"/>
      <w:bookmarkEnd w:id="48"/>
    </w:p>
    <w:p>
      <w:pPr>
        <w:tabs>
          <w:tab w:val="left" w:pos="7665"/>
        </w:tabs>
        <w:spacing w:line="400" w:lineRule="exact"/>
        <w:ind w:firstLine="480" w:firstLineChars="200"/>
        <w:rPr>
          <w:rFonts w:ascii="仿宋" w:hAnsi="仿宋" w:eastAsia="仿宋"/>
          <w:color w:val="000000" w:themeColor="text1"/>
          <w:kern w:val="0"/>
          <w:sz w:val="24"/>
          <w:szCs w:val="22"/>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（一）投标</w:t>
      </w:r>
      <w:r>
        <w:rPr>
          <w:rFonts w:hint="eastAsia" w:ascii="仿宋" w:hAnsi="仿宋" w:eastAsia="仿宋"/>
          <w:color w:val="000000" w:themeColor="text1"/>
          <w:sz w:val="24"/>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（五）资格性审查要求；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（六）招标项目技术、服务、政府采购合同内容条款及其他商务要求；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（八）合同主要条款。</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9" w:name="_Toc183582211"/>
      <w:bookmarkStart w:id="50" w:name="_Toc183682348"/>
      <w:bookmarkStart w:id="51" w:name="_Toc217446040"/>
      <w:r>
        <w:rPr>
          <w:rFonts w:ascii="仿宋" w:hAnsi="仿宋" w:eastAsia="仿宋"/>
          <w:color w:val="000000" w:themeColor="text1"/>
          <w:sz w:val="24"/>
          <w14:textFill>
            <w14:solidFill>
              <w14:schemeClr w14:val="tx1"/>
            </w14:solidFill>
          </w14:textFill>
        </w:rPr>
        <w:t xml:space="preserve">7. </w:t>
      </w:r>
      <w:r>
        <w:rPr>
          <w:rFonts w:hint="eastAsia" w:ascii="仿宋" w:hAnsi="仿宋" w:eastAsia="仿宋"/>
          <w:color w:val="000000" w:themeColor="text1"/>
          <w:sz w:val="24"/>
          <w14:textFill>
            <w14:solidFill>
              <w14:schemeClr w14:val="tx1"/>
            </w14:solidFill>
          </w14:textFill>
        </w:rPr>
        <w:t>招标文件的澄清</w:t>
      </w:r>
      <w:bookmarkEnd w:id="49"/>
      <w:bookmarkEnd w:id="50"/>
      <w:r>
        <w:rPr>
          <w:rFonts w:hint="eastAsia" w:ascii="仿宋" w:hAnsi="仿宋" w:eastAsia="仿宋"/>
          <w:color w:val="000000" w:themeColor="text1"/>
          <w:sz w:val="24"/>
          <w14:textFill>
            <w14:solidFill>
              <w14:schemeClr w14:val="tx1"/>
            </w14:solidFill>
          </w14:textFill>
        </w:rPr>
        <w:t>和修改</w:t>
      </w:r>
      <w:bookmarkEnd w:id="5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7.1 </w:t>
      </w:r>
      <w:r>
        <w:rPr>
          <w:rFonts w:hint="eastAsia" w:ascii="仿宋" w:hAnsi="仿宋" w:eastAsia="仿宋"/>
          <w:color w:val="000000" w:themeColor="text1"/>
          <w:sz w:val="24"/>
          <w14:textFill>
            <w14:solidFill>
              <w14:schemeClr w14:val="tx1"/>
            </w14:solidFill>
          </w14:textFill>
        </w:rPr>
        <w:t>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7.2 </w:t>
      </w:r>
      <w:r>
        <w:rPr>
          <w:rFonts w:hint="eastAsia" w:ascii="仿宋" w:hAnsi="仿宋" w:eastAsia="仿宋"/>
          <w:color w:val="000000" w:themeColor="text1"/>
          <w:sz w:val="24"/>
          <w14:textFill>
            <w14:solidFill>
              <w14:schemeClr w14:val="tx1"/>
            </w14:solidFill>
          </w14:textFill>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7.3 </w:t>
      </w:r>
      <w:r>
        <w:rPr>
          <w:rFonts w:hint="eastAsia" w:ascii="仿宋" w:hAnsi="仿宋" w:eastAsia="仿宋"/>
          <w:color w:val="000000" w:themeColor="text1"/>
          <w:sz w:val="24"/>
          <w14:textFill>
            <w14:solidFill>
              <w14:schemeClr w14:val="tx1"/>
            </w14:solidFill>
          </w14:textFill>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更正通知通过政府采购云平台通知所有获取招标文件的潜在供应商。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7.4 </w:t>
      </w:r>
      <w:r>
        <w:rPr>
          <w:rFonts w:hint="eastAsia" w:ascii="仿宋" w:hAnsi="仿宋" w:eastAsia="仿宋"/>
          <w:color w:val="000000" w:themeColor="text1"/>
          <w:sz w:val="24"/>
          <w14:textFill>
            <w14:solidFill>
              <w14:schemeClr w14:val="tx1"/>
            </w14:solidFill>
          </w14:textFill>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52" w:name="_Toc208848971"/>
      <w:bookmarkStart w:id="53" w:name="_Toc217446041"/>
      <w:r>
        <w:rPr>
          <w:rFonts w:ascii="仿宋" w:hAnsi="仿宋" w:eastAsia="仿宋"/>
          <w:color w:val="000000" w:themeColor="text1"/>
          <w:sz w:val="24"/>
          <w14:textFill>
            <w14:solidFill>
              <w14:schemeClr w14:val="tx1"/>
            </w14:solidFill>
          </w14:textFill>
        </w:rPr>
        <w:t xml:space="preserve">8. </w:t>
      </w:r>
      <w:r>
        <w:rPr>
          <w:rFonts w:hint="eastAsia" w:ascii="仿宋" w:hAnsi="仿宋" w:eastAsia="仿宋"/>
          <w:color w:val="000000" w:themeColor="text1"/>
          <w:sz w:val="24"/>
          <w14:textFill>
            <w14:solidFill>
              <w14:schemeClr w14:val="tx1"/>
            </w14:solidFill>
          </w14:textFill>
        </w:rPr>
        <w:t>答疑会和现场考察</w:t>
      </w:r>
      <w:bookmarkEnd w:id="52"/>
      <w:bookmarkEnd w:id="53"/>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8.1 </w:t>
      </w:r>
      <w:r>
        <w:rPr>
          <w:rFonts w:hint="eastAsia" w:ascii="仿宋" w:hAnsi="仿宋" w:eastAsia="仿宋"/>
          <w:color w:val="000000" w:themeColor="text1"/>
          <w:sz w:val="24"/>
          <w14:textFill>
            <w14:solidFill>
              <w14:schemeClr w14:val="tx1"/>
            </w14:solidFill>
          </w14:textFill>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现场考察或标前答疑会时间：详见投标人须知表。</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现场考察或标前答疑会地点：详见投标人须知表。</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供应商考察现场所发生的一切费用由供应商自己承担。</w:t>
      </w:r>
    </w:p>
    <w:p>
      <w:pPr>
        <w:pStyle w:val="4"/>
        <w:spacing w:line="400" w:lineRule="exact"/>
        <w:jc w:val="center"/>
        <w:rPr>
          <w:rFonts w:ascii="仿宋" w:hAnsi="仿宋" w:eastAsia="仿宋"/>
          <w:bCs w:val="0"/>
          <w:color w:val="000000" w:themeColor="text1"/>
          <w14:textFill>
            <w14:solidFill>
              <w14:schemeClr w14:val="tx1"/>
            </w14:solidFill>
          </w14:textFill>
        </w:rPr>
      </w:pPr>
      <w:bookmarkStart w:id="54" w:name="_Toc77400780"/>
      <w:bookmarkStart w:id="55" w:name="_Toc89075876"/>
      <w:bookmarkStart w:id="56" w:name="_Toc217446042"/>
      <w:bookmarkStart w:id="57" w:name="_Toc183682351"/>
      <w:bookmarkStart w:id="58" w:name="_Toc183582214"/>
      <w:r>
        <w:rPr>
          <w:rFonts w:hint="eastAsia" w:ascii="仿宋" w:hAnsi="仿宋" w:eastAsia="仿宋"/>
          <w:bCs w:val="0"/>
          <w:color w:val="000000" w:themeColor="text1"/>
          <w14:textFill>
            <w14:solidFill>
              <w14:schemeClr w14:val="tx1"/>
            </w14:solidFill>
          </w14:textFill>
        </w:rPr>
        <w:t>四、投标文件</w:t>
      </w:r>
      <w:bookmarkEnd w:id="54"/>
      <w:bookmarkEnd w:id="55"/>
      <w:bookmarkEnd w:id="56"/>
      <w:bookmarkEnd w:id="57"/>
      <w:bookmarkEnd w:id="58"/>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59" w:name="_Toc183582215"/>
      <w:bookmarkStart w:id="60" w:name="_Toc217446043"/>
      <w:bookmarkStart w:id="61" w:name="_Toc183682352"/>
      <w:r>
        <w:rPr>
          <w:rFonts w:hint="eastAsia" w:ascii="仿宋" w:hAnsi="仿宋" w:eastAsia="仿宋"/>
          <w:bCs w:val="0"/>
          <w:color w:val="000000" w:themeColor="text1"/>
          <w:sz w:val="24"/>
          <w14:textFill>
            <w14:solidFill>
              <w14:schemeClr w14:val="tx1"/>
            </w14:solidFill>
          </w14:textFill>
        </w:rPr>
        <w:t>9．投标文件的语言</w:t>
      </w:r>
      <w:bookmarkEnd w:id="59"/>
      <w:bookmarkEnd w:id="60"/>
      <w:bookmarkEnd w:id="61"/>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bookmarkStart w:id="62" w:name="_Toc217446044"/>
      <w:bookmarkStart w:id="63" w:name="_Toc183582216"/>
      <w:bookmarkStart w:id="64" w:name="_Toc183682353"/>
      <w:r>
        <w:rPr>
          <w:rFonts w:ascii="仿宋" w:hAnsi="仿宋" w:eastAsia="仿宋"/>
          <w:color w:val="000000" w:themeColor="text1"/>
          <w:sz w:val="24"/>
          <w14:textFill>
            <w14:solidFill>
              <w14:schemeClr w14:val="tx1"/>
            </w14:solidFill>
          </w14:textFill>
        </w:rPr>
        <w:t xml:space="preserve">9.1 </w:t>
      </w:r>
      <w:r>
        <w:rPr>
          <w:rFonts w:hint="eastAsia" w:ascii="仿宋" w:hAnsi="仿宋" w:eastAsia="仿宋"/>
          <w:color w:val="000000" w:themeColor="text1"/>
          <w:sz w:val="24"/>
          <w14:textFill>
            <w14:solidFill>
              <w14:schemeClr w14:val="tx1"/>
            </w14:solidFill>
          </w14:textFill>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9.2 </w:t>
      </w:r>
      <w:r>
        <w:rPr>
          <w:rFonts w:hint="eastAsia" w:ascii="仿宋" w:hAnsi="仿宋" w:eastAsia="仿宋"/>
          <w:color w:val="000000" w:themeColor="text1"/>
          <w:sz w:val="24"/>
          <w14:textFill>
            <w14:solidFill>
              <w14:schemeClr w14:val="tx1"/>
            </w14:solidFill>
          </w14:textFill>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 xml:space="preserve">9.3 </w:t>
      </w:r>
      <w:r>
        <w:rPr>
          <w:rFonts w:hint="eastAsia" w:ascii="仿宋" w:hAnsi="仿宋" w:eastAsia="仿宋" w:cs="宋体"/>
          <w:color w:val="000000" w:themeColor="text1"/>
          <w:sz w:val="24"/>
          <w14:textFill>
            <w14:solidFill>
              <w14:schemeClr w14:val="tx1"/>
            </w14:solidFill>
          </w14:textFill>
        </w:rPr>
        <w:t>如因未翻译而造成的废标，由投标人承担。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10．计量单位</w:t>
      </w:r>
      <w:bookmarkEnd w:id="62"/>
      <w:bookmarkEnd w:id="63"/>
      <w:bookmarkEnd w:id="64"/>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5" w:name="_Toc217446045"/>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投标货币</w:t>
      </w:r>
      <w:bookmarkEnd w:id="65"/>
      <w:r>
        <w:rPr>
          <w:rFonts w:hint="eastAsia" w:ascii="仿宋" w:hAnsi="仿宋" w:eastAsia="仿宋"/>
          <w:color w:val="000000" w:themeColor="text1"/>
          <w:sz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本次招标项目的投标均以人民币报价。</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6" w:name="_Toc217446046"/>
      <w:bookmarkStart w:id="67" w:name="_Toc217446047"/>
      <w:r>
        <w:rPr>
          <w:rFonts w:ascii="仿宋" w:hAnsi="仿宋" w:eastAsia="仿宋"/>
          <w:color w:val="000000" w:themeColor="text1"/>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联合体投标</w:t>
      </w:r>
      <w:bookmarkEnd w:id="66"/>
      <w:r>
        <w:rPr>
          <w:rFonts w:hint="eastAsia" w:ascii="仿宋" w:hAnsi="仿宋" w:eastAsia="仿宋"/>
          <w:color w:val="000000" w:themeColor="text1"/>
          <w:sz w:val="24"/>
          <w14:textFill>
            <w14:solidFill>
              <w14:schemeClr w14:val="tx1"/>
            </w14:solidFill>
          </w14:textFill>
        </w:rPr>
        <w:t>（仅适用于允许联合体参与的项目</w:t>
      </w:r>
      <w:r>
        <w:rPr>
          <w:rFonts w:ascii="仿宋" w:hAnsi="仿宋" w:eastAsia="仿宋"/>
          <w:color w:val="000000" w:themeColor="text1"/>
          <w:sz w:val="24"/>
          <w14:textFill>
            <w14:solidFill>
              <w14:schemeClr w14:val="tx1"/>
            </w14:solidFill>
          </w14:textFill>
        </w:rPr>
        <w:t>）</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8" w:name="_Toc308164797"/>
      <w:r>
        <w:rPr>
          <w:rFonts w:ascii="仿宋" w:hAnsi="仿宋" w:eastAsia="仿宋"/>
          <w:color w:val="000000" w:themeColor="text1"/>
          <w:sz w:val="24"/>
          <w14:textFill>
            <w14:solidFill>
              <w14:schemeClr w14:val="tx1"/>
            </w14:solidFill>
          </w14:textFill>
        </w:rPr>
        <w:t xml:space="preserve">13. </w:t>
      </w:r>
      <w:r>
        <w:rPr>
          <w:rFonts w:hint="eastAsia" w:ascii="仿宋" w:hAnsi="仿宋" w:eastAsia="仿宋"/>
          <w:color w:val="000000" w:themeColor="text1"/>
          <w:sz w:val="24"/>
          <w14:textFill>
            <w14:solidFill>
              <w14:schemeClr w14:val="tx1"/>
            </w14:solidFill>
          </w14:textFill>
        </w:rPr>
        <w:t>知识产权</w:t>
      </w:r>
      <w:bookmarkEnd w:id="67"/>
      <w:bookmarkEnd w:id="68"/>
      <w:r>
        <w:rPr>
          <w:rFonts w:hint="eastAsia" w:ascii="仿宋" w:hAnsi="仿宋" w:eastAsia="仿宋"/>
          <w:color w:val="000000" w:themeColor="text1"/>
          <w:sz w:val="24"/>
          <w14:textFill>
            <w14:solidFill>
              <w14:schemeClr w14:val="tx1"/>
            </w14:solidFill>
          </w14:textFill>
        </w:rPr>
        <w:t>（实质性要求）</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13.1 </w:t>
      </w:r>
      <w:r>
        <w:rPr>
          <w:rFonts w:hint="eastAsia" w:ascii="仿宋" w:hAnsi="仿宋" w:eastAsia="仿宋"/>
          <w:color w:val="000000" w:themeColor="text1"/>
          <w:sz w:val="24"/>
          <w:szCs w:val="24"/>
          <w14:textFill>
            <w14:solidFill>
              <w14:schemeClr w14:val="tx1"/>
            </w14:solidFill>
          </w14:textFill>
        </w:rPr>
        <w:t>投标人应保证在本项目使用的任何产品和服务（包括部分使用）时，不会产生因第三方提出侵犯其专利权、商标权或其它知识产权而引起的法律和经济纠纷，如</w:t>
      </w:r>
      <w:r>
        <w:rPr>
          <w:rFonts w:hint="eastAsia" w:ascii="仿宋" w:hAnsi="仿宋" w:eastAsia="仿宋"/>
          <w:color w:val="000000" w:themeColor="text1"/>
          <w:spacing w:val="-6"/>
          <w:sz w:val="24"/>
          <w:szCs w:val="24"/>
          <w14:textFill>
            <w14:solidFill>
              <w14:schemeClr w14:val="tx1"/>
            </w14:solidFill>
          </w14:textFill>
        </w:rPr>
        <w:t>因专利权、商标权或其它知识产权而引起法律和经济纠纷，由投标人承担所有相关责任。</w:t>
      </w:r>
    </w:p>
    <w:p>
      <w:pPr>
        <w:pStyle w:val="11"/>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13.2 </w:t>
      </w:r>
      <w:r>
        <w:rPr>
          <w:rFonts w:hint="eastAsia" w:ascii="仿宋" w:hAnsi="仿宋" w:eastAsia="仿宋"/>
          <w:color w:val="000000" w:themeColor="text1"/>
          <w:sz w:val="24"/>
          <w:szCs w:val="24"/>
          <w14:textFill>
            <w14:solidFill>
              <w14:schemeClr w14:val="tx1"/>
            </w14:solidFill>
          </w14:textFill>
        </w:rPr>
        <w:t>采购人享有本项目实施过程中产生的知识成果及知识产权。</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13.3 </w:t>
      </w:r>
      <w:r>
        <w:rPr>
          <w:rFonts w:hint="eastAsia" w:ascii="仿宋" w:hAnsi="仿宋" w:eastAsia="仿宋"/>
          <w:color w:val="000000" w:themeColor="text1"/>
          <w:sz w:val="24"/>
          <w14:textFill>
            <w14:solidFill>
              <w14:schemeClr w14:val="tx1"/>
            </w14:solidFill>
          </w14:textFill>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9" w:name="_Toc183582217"/>
      <w:bookmarkStart w:id="70" w:name="_Toc183682354"/>
      <w:bookmarkStart w:id="71" w:name="_Toc217446048"/>
      <w:bookmarkStart w:id="72" w:name="_Toc308164798"/>
      <w:r>
        <w:rPr>
          <w:rFonts w:hint="eastAsia" w:ascii="仿宋" w:hAnsi="仿宋" w:eastAsia="仿宋"/>
          <w:color w:val="000000" w:themeColor="text1"/>
          <w:sz w:val="24"/>
          <w14:textFill>
            <w14:solidFill>
              <w14:schemeClr w14:val="tx1"/>
            </w14:solidFill>
          </w14:textFill>
        </w:rPr>
        <w:t>14．投标文件的组成</w:t>
      </w:r>
      <w:bookmarkEnd w:id="69"/>
      <w:bookmarkEnd w:id="70"/>
      <w:bookmarkEnd w:id="71"/>
      <w:bookmarkEnd w:id="7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文件一：资格性投标文件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文件二：其他响应性投标文件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严格按照招标文件要求提供以下四个方面的相关材料：</w:t>
      </w:r>
    </w:p>
    <w:p>
      <w:pPr>
        <w:pStyle w:val="46"/>
        <w:numPr>
          <w:ilvl w:val="0"/>
          <w:numId w:val="2"/>
        </w:numPr>
        <w:spacing w:line="400" w:lineRule="exact"/>
        <w:ind w:firstLineChars="0"/>
        <w:rPr>
          <w:rFonts w:ascii="仿宋" w:hAnsi="仿宋" w:eastAsia="仿宋"/>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报价部分。</w:t>
      </w:r>
    </w:p>
    <w:p>
      <w:pPr>
        <w:spacing w:line="400" w:lineRule="exact"/>
        <w:ind w:left="48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1、投标人按照招标文件要求填写的“开标一览表”、“报价明细表”（如涉及）。 </w:t>
      </w:r>
    </w:p>
    <w:p>
      <w:pPr>
        <w:spacing w:line="400" w:lineRule="exact"/>
        <w:ind w:left="48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2、本次招标报价要求：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（二）服务部分。</w:t>
      </w:r>
      <w:r>
        <w:rPr>
          <w:rFonts w:hint="eastAsia" w:ascii="仿宋" w:hAnsi="仿宋" w:eastAsia="仿宋"/>
          <w:color w:val="000000" w:themeColor="text1"/>
          <w:sz w:val="24"/>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（1）服务方案、项目实施方案；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（2）验收标准和验收方法；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（3）服务应答表；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（三）商务部分。</w:t>
      </w:r>
      <w:r>
        <w:rPr>
          <w:rFonts w:hint="eastAsia" w:ascii="仿宋" w:hAnsi="仿宋" w:eastAsia="仿宋"/>
          <w:color w:val="000000" w:themeColor="text1"/>
          <w:sz w:val="24"/>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）证明投标人业绩和荣誉的有关材料复印件；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）商务应答表；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）其他投标人认为需要提供的文件和资料。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（四）其他部分。</w:t>
      </w:r>
      <w:r>
        <w:rPr>
          <w:rFonts w:hint="eastAsia" w:ascii="仿宋" w:hAnsi="仿宋" w:eastAsia="仿宋"/>
          <w:bCs/>
          <w:color w:val="000000" w:themeColor="text1"/>
          <w:sz w:val="24"/>
          <w14:textFill>
            <w14:solidFill>
              <w14:schemeClr w14:val="tx1"/>
            </w14:solidFill>
          </w14:textFill>
        </w:rPr>
        <w:t>投标人按照招标文件要求作出的其他应答和承诺。</w:t>
      </w:r>
    </w:p>
    <w:p>
      <w:pPr>
        <w:pStyle w:val="5"/>
        <w:tabs>
          <w:tab w:val="left" w:pos="3480"/>
        </w:tabs>
        <w:spacing w:line="400" w:lineRule="exact"/>
        <w:ind w:firstLine="482" w:firstLineChars="200"/>
        <w:rPr>
          <w:rFonts w:ascii="仿宋" w:hAnsi="仿宋" w:eastAsia="仿宋"/>
          <w:color w:val="000000" w:themeColor="text1"/>
          <w:sz w:val="24"/>
          <w14:textFill>
            <w14:solidFill>
              <w14:schemeClr w14:val="tx1"/>
            </w14:solidFill>
          </w14:textFill>
        </w:rPr>
      </w:pPr>
      <w:bookmarkStart w:id="73" w:name="_Toc183582218"/>
      <w:bookmarkStart w:id="74" w:name="_Toc183682355"/>
      <w:bookmarkStart w:id="75" w:name="_Toc308164799"/>
      <w:bookmarkStart w:id="76" w:name="_Toc217446049"/>
      <w:r>
        <w:rPr>
          <w:rFonts w:hint="eastAsia" w:ascii="仿宋" w:hAnsi="仿宋" w:eastAsia="仿宋"/>
          <w:color w:val="000000" w:themeColor="text1"/>
          <w:sz w:val="24"/>
          <w14:textFill>
            <w14:solidFill>
              <w14:schemeClr w14:val="tx1"/>
            </w14:solidFill>
          </w14:textFill>
        </w:rPr>
        <w:t>15．投标文件格式</w:t>
      </w:r>
      <w:bookmarkEnd w:id="73"/>
      <w:bookmarkEnd w:id="74"/>
      <w:bookmarkEnd w:id="75"/>
      <w:bookmarkEnd w:id="76"/>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15.1 </w:t>
      </w:r>
      <w:r>
        <w:rPr>
          <w:rFonts w:hint="eastAsia" w:ascii="仿宋" w:hAnsi="仿宋" w:eastAsia="仿宋"/>
          <w:color w:val="000000" w:themeColor="text1"/>
          <w:sz w:val="24"/>
          <w14:textFill>
            <w14:solidFill>
              <w14:schemeClr w14:val="tx1"/>
            </w14:solidFill>
          </w14:textFill>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15.2 </w:t>
      </w:r>
      <w:r>
        <w:rPr>
          <w:rFonts w:hint="eastAsia" w:ascii="仿宋" w:hAnsi="仿宋" w:eastAsia="仿宋"/>
          <w:color w:val="000000" w:themeColor="text1"/>
          <w:sz w:val="24"/>
          <w14:textFill>
            <w14:solidFill>
              <w14:schemeClr w14:val="tx1"/>
            </w14:solidFill>
          </w14:textFill>
        </w:rPr>
        <w:t>对于没有格式要求的投标文件由投标人自行编写。</w:t>
      </w:r>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77" w:name="_Toc183582224"/>
      <w:bookmarkStart w:id="78" w:name="_Toc183682361"/>
      <w:bookmarkStart w:id="79" w:name="_Toc308164801"/>
      <w:bookmarkStart w:id="80" w:name="_Toc217446051"/>
      <w:r>
        <w:rPr>
          <w:rFonts w:hint="eastAsia" w:ascii="仿宋" w:hAnsi="仿宋" w:eastAsia="仿宋"/>
          <w:bCs w:val="0"/>
          <w:color w:val="000000" w:themeColor="text1"/>
          <w:sz w:val="24"/>
          <w14:textFill>
            <w14:solidFill>
              <w14:schemeClr w14:val="tx1"/>
            </w14:solidFill>
          </w14:textFill>
        </w:rPr>
        <w:t>16．投标有效期</w:t>
      </w:r>
      <w:bookmarkEnd w:id="77"/>
      <w:bookmarkEnd w:id="78"/>
      <w:bookmarkEnd w:id="79"/>
      <w:bookmarkEnd w:id="80"/>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14:textFill>
            <w14:solidFill>
              <w14:schemeClr w14:val="tx1"/>
            </w14:solidFill>
          </w14:textFill>
        </w:rPr>
        <w:t>本项目投标有效期为投标截止时间届满后</w:t>
      </w:r>
      <w:r>
        <w:rPr>
          <w:rFonts w:ascii="仿宋" w:hAnsi="仿宋" w:eastAsia="仿宋"/>
          <w:b/>
          <w:bCs/>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.3 </w:t>
      </w:r>
      <w:r>
        <w:rPr>
          <w:rFonts w:hint="eastAsia" w:ascii="仿宋" w:hAnsi="仿宋" w:eastAsia="仿宋"/>
          <w:color w:val="000000" w:themeColor="text1"/>
          <w:sz w:val="24"/>
          <w14:textFill>
            <w14:solidFill>
              <w14:schemeClr w14:val="tx1"/>
            </w14:solidFill>
          </w14:textFill>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bookmarkStart w:id="81" w:name="_Toc183682362"/>
      <w:bookmarkStart w:id="82" w:name="_Toc217446052"/>
      <w:bookmarkStart w:id="83" w:name="_Toc183582225"/>
      <w:bookmarkStart w:id="84" w:name="_Toc308164802"/>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r>
        <w:rPr>
          <w:rFonts w:hint="eastAsia" w:ascii="仿宋" w:hAnsi="仿宋" w:eastAsia="仿宋"/>
          <w:bCs w:val="0"/>
          <w:color w:val="000000" w:themeColor="text1"/>
          <w:sz w:val="24"/>
          <w14:textFill>
            <w14:solidFill>
              <w14:schemeClr w14:val="tx1"/>
            </w14:solidFill>
          </w14:textFill>
        </w:rPr>
        <w:t>17．投标文件的</w:t>
      </w:r>
      <w:bookmarkEnd w:id="81"/>
      <w:bookmarkEnd w:id="82"/>
      <w:bookmarkEnd w:id="83"/>
      <w:bookmarkEnd w:id="84"/>
      <w:r>
        <w:rPr>
          <w:rFonts w:hint="eastAsia" w:ascii="仿宋" w:hAnsi="仿宋" w:eastAsia="仿宋"/>
          <w:bCs w:val="0"/>
          <w:color w:val="000000" w:themeColor="text1"/>
          <w:sz w:val="24"/>
          <w14:textFill>
            <w14:solidFill>
              <w14:schemeClr w14:val="tx1"/>
            </w14:solidFill>
          </w14:textFill>
        </w:rPr>
        <w:t>制作和签章、加密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85" w:name="_Toc183682364"/>
      <w:bookmarkStart w:id="86" w:name="_Toc183582227"/>
      <w:bookmarkStart w:id="87" w:name="_Toc308164804"/>
      <w:bookmarkStart w:id="88" w:name="_Toc217446054"/>
      <w:r>
        <w:rPr>
          <w:rFonts w:hint="eastAsia" w:ascii="仿宋" w:hAnsi="仿宋" w:eastAsia="仿宋"/>
          <w:bCs w:val="0"/>
          <w:color w:val="000000" w:themeColor="text1"/>
          <w:sz w:val="24"/>
          <w:szCs w:val="24"/>
          <w14:textFill>
            <w14:solidFill>
              <w14:schemeClr w14:val="tx1"/>
            </w14:solidFill>
          </w14:textFill>
        </w:rPr>
        <w:t>18</w:t>
      </w:r>
      <w:r>
        <w:rPr>
          <w:rFonts w:hint="eastAsia" w:ascii="仿宋" w:hAnsi="仿宋" w:eastAsia="仿宋"/>
          <w:bCs w:val="0"/>
          <w:color w:val="000000" w:themeColor="text1"/>
          <w:sz w:val="28"/>
          <w:szCs w:val="28"/>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投标文件的</w:t>
      </w:r>
      <w:bookmarkEnd w:id="85"/>
      <w:bookmarkEnd w:id="86"/>
      <w:r>
        <w:rPr>
          <w:rFonts w:hint="eastAsia" w:ascii="仿宋" w:hAnsi="仿宋" w:eastAsia="仿宋"/>
          <w:bCs w:val="0"/>
          <w:color w:val="000000" w:themeColor="text1"/>
          <w:sz w:val="24"/>
          <w:szCs w:val="24"/>
          <w14:textFill>
            <w14:solidFill>
              <w14:schemeClr w14:val="tx1"/>
            </w14:solidFill>
          </w14:textFill>
        </w:rPr>
        <w:t>递交</w:t>
      </w:r>
      <w:bookmarkEnd w:id="87"/>
      <w:bookmarkEnd w:id="88"/>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18.2投标人应充分考虑递交文件的不可预见因素，在投标截止时间后将无法递交。</w:t>
      </w:r>
      <w:bookmarkStart w:id="89" w:name="_Toc183582228"/>
      <w:bookmarkStart w:id="90" w:name="_Toc183682365"/>
      <w:bookmarkStart w:id="91" w:name="_Toc217446055"/>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19．投标文件的补充、修改或撤</w:t>
      </w:r>
      <w:bookmarkEnd w:id="89"/>
      <w:bookmarkEnd w:id="90"/>
      <w:r>
        <w:rPr>
          <w:rFonts w:hint="eastAsia" w:ascii="仿宋" w:hAnsi="仿宋" w:eastAsia="仿宋"/>
          <w:bCs w:val="0"/>
          <w:color w:val="000000" w:themeColor="text1"/>
          <w:sz w:val="24"/>
          <w:szCs w:val="24"/>
          <w14:textFill>
            <w14:solidFill>
              <w14:schemeClr w14:val="tx1"/>
            </w14:solidFill>
          </w14:textFill>
        </w:rPr>
        <w:t>回</w:t>
      </w:r>
      <w:bookmarkEnd w:id="91"/>
      <w:r>
        <w:rPr>
          <w:rFonts w:hint="eastAsia" w:ascii="仿宋" w:hAnsi="仿宋" w:eastAsia="仿宋"/>
          <w:bCs w:val="0"/>
          <w:color w:val="000000" w:themeColor="text1"/>
          <w:sz w:val="24"/>
          <w:szCs w:val="24"/>
          <w14:textFill>
            <w14:solidFill>
              <w14:schemeClr w14:val="tx1"/>
            </w14:solidFill>
          </w14:textFill>
        </w:rPr>
        <w:t>。</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000000" w:themeColor="text1"/>
          <w:sz w:val="24"/>
          <w14:textFill>
            <w14:solidFill>
              <w14:schemeClr w14:val="tx1"/>
            </w14:solidFill>
          </w14:textFill>
        </w:rPr>
        <w:t>撤回投标文件进行补充、修改，在投标截止时间前未重新递交的，视为撤回投标文件。</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19.2投标截止时间后，投标人不得对其递交的投标文件做任何补充、修改。</w:t>
      </w:r>
    </w:p>
    <w:p>
      <w:pPr>
        <w:spacing w:line="400" w:lineRule="exact"/>
        <w:ind w:firstLine="472" w:firstLineChars="196"/>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20</w:t>
      </w:r>
      <w:r>
        <w:rPr>
          <w:rFonts w:hint="eastAsia" w:ascii="仿宋" w:hAnsi="仿宋"/>
          <w:color w:val="000000" w:themeColor="text1"/>
          <w:sz w:val="24"/>
          <w14:textFill>
            <w14:solidFill>
              <w14:schemeClr w14:val="tx1"/>
            </w14:solidFill>
          </w14:textFill>
        </w:rPr>
        <w:t xml:space="preserve">. </w:t>
      </w:r>
      <w:r>
        <w:rPr>
          <w:rFonts w:hint="eastAsia" w:ascii="仿宋" w:hAnsi="仿宋" w:eastAsia="仿宋"/>
          <w:b/>
          <w:bCs/>
          <w:color w:val="000000" w:themeColor="text1"/>
          <w:sz w:val="24"/>
          <w14:textFill>
            <w14:solidFill>
              <w14:schemeClr w14:val="tx1"/>
            </w14:solidFill>
          </w14:textFill>
        </w:rPr>
        <w:t>投标文件的解密</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投标人登录政府采购云平台，点击“项目采购—开标评标”模块，进入本项目“开标大厅”，等待代理机构开启解密后，进行线上解密。</w:t>
      </w:r>
      <w:r>
        <w:rPr>
          <w:rFonts w:hint="eastAsia" w:ascii="仿宋" w:hAnsi="仿宋" w:eastAsia="仿宋"/>
          <w:b/>
          <w:bCs/>
          <w:color w:val="000000" w:themeColor="text1"/>
          <w:sz w:val="24"/>
          <w14:textFill>
            <w14:solidFill>
              <w14:schemeClr w14:val="tx1"/>
            </w14:solidFill>
          </w14:textFill>
        </w:rPr>
        <w:t>除因系统发生故障</w:t>
      </w:r>
      <w:r>
        <w:rPr>
          <w:rFonts w:hint="eastAsia" w:ascii="仿宋" w:hAnsi="仿宋" w:eastAsia="仿宋"/>
          <w:b/>
          <w:bCs/>
          <w:color w:val="000000" w:themeColor="text1"/>
          <w:sz w:val="24"/>
          <w:lang w:val="zh-CN"/>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包括组织场所停电、断网等）导致投标文件无法按时解密外，投标文件未按时解密的作为无效投标处理。</w:t>
      </w:r>
    </w:p>
    <w:p>
      <w:pPr>
        <w:pStyle w:val="4"/>
        <w:spacing w:line="400" w:lineRule="exact"/>
        <w:jc w:val="center"/>
        <w:rPr>
          <w:rFonts w:ascii="仿宋" w:hAnsi="仿宋" w:eastAsia="仿宋"/>
          <w:color w:val="000000" w:themeColor="text1"/>
          <w14:textFill>
            <w14:solidFill>
              <w14:schemeClr w14:val="tx1"/>
            </w14:solidFill>
          </w14:textFill>
        </w:rPr>
      </w:pPr>
      <w:bookmarkStart w:id="92" w:name="_Toc217446056"/>
      <w:bookmarkStart w:id="93" w:name="_Toc89075878"/>
      <w:bookmarkStart w:id="94" w:name="_Toc183682368"/>
      <w:bookmarkStart w:id="95" w:name="_Toc308164805"/>
      <w:bookmarkStart w:id="96" w:name="_Toc77400782"/>
      <w:bookmarkStart w:id="97" w:name="_Toc183582231"/>
      <w:r>
        <w:rPr>
          <w:rFonts w:hint="eastAsia" w:ascii="仿宋" w:hAnsi="仿宋" w:eastAsia="仿宋"/>
          <w:color w:val="000000" w:themeColor="text1"/>
          <w14:textFill>
            <w14:solidFill>
              <w14:schemeClr w14:val="tx1"/>
            </w14:solidFill>
          </w14:textFill>
        </w:rPr>
        <w:t>五、开标和中标</w:t>
      </w:r>
      <w:bookmarkEnd w:id="92"/>
      <w:bookmarkEnd w:id="93"/>
      <w:bookmarkEnd w:id="94"/>
      <w:bookmarkEnd w:id="95"/>
      <w:bookmarkEnd w:id="96"/>
      <w:bookmarkEnd w:id="97"/>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98" w:name="_Toc308164806"/>
      <w:bookmarkStart w:id="99" w:name="_Toc217446057"/>
      <w:bookmarkStart w:id="100" w:name="_Toc183682369"/>
      <w:bookmarkStart w:id="101" w:name="_Toc183582232"/>
      <w:r>
        <w:rPr>
          <w:rFonts w:hint="eastAsia" w:ascii="仿宋" w:hAnsi="仿宋" w:eastAsia="仿宋"/>
          <w:bCs w:val="0"/>
          <w:color w:val="000000" w:themeColor="text1"/>
          <w:sz w:val="24"/>
          <w14:textFill>
            <w14:solidFill>
              <w14:schemeClr w14:val="tx1"/>
            </w14:solidFill>
          </w14:textFill>
        </w:rPr>
        <w:t>21</w:t>
      </w:r>
      <w:bookmarkEnd w:id="98"/>
      <w:bookmarkEnd w:id="99"/>
      <w:bookmarkEnd w:id="100"/>
      <w:bookmarkEnd w:id="101"/>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bCs w:val="0"/>
          <w:color w:val="000000" w:themeColor="text1"/>
          <w:sz w:val="24"/>
          <w14:textFill>
            <w14:solidFill>
              <w14:schemeClr w14:val="tx1"/>
            </w14:solidFill>
          </w14:textFill>
        </w:rPr>
        <w:t>开标及开标程序</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21.1本项目为不见面开标项目。（递交电子投标文件的投标人不足3家的，不予开标。）</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21.3解密投标文件。等待代理机构开启解密后，投标人进行线上解密。开启解密后，投标人应在</w:t>
      </w:r>
      <w:r>
        <w:rPr>
          <w:rFonts w:hint="eastAsia" w:ascii="仿宋" w:hAnsi="仿宋" w:eastAsia="仿宋"/>
          <w:b/>
          <w:bCs/>
          <w:color w:val="000000" w:themeColor="text1"/>
          <w:sz w:val="24"/>
          <w14:textFill>
            <w14:solidFill>
              <w14:schemeClr w14:val="tx1"/>
            </w14:solidFill>
          </w14:textFill>
        </w:rPr>
        <w:t>60分钟</w:t>
      </w:r>
      <w:r>
        <w:rPr>
          <w:rFonts w:hint="eastAsia" w:ascii="仿宋" w:hAnsi="仿宋" w:eastAsia="仿宋"/>
          <w:color w:val="000000" w:themeColor="text1"/>
          <w:sz w:val="24"/>
          <w14:textFill>
            <w14:solidFill>
              <w14:schemeClr w14:val="tx1"/>
            </w14:solidFill>
          </w14:textFill>
        </w:rPr>
        <w:t>内，使用加密该投标文件的CA数字证书在线完成投标文件的解密。除因系统故障</w:t>
      </w:r>
      <w:r>
        <w:rPr>
          <w:rFonts w:hint="eastAsia" w:ascii="仿宋" w:hAnsi="仿宋" w:eastAsia="仿宋" w:cs="仿宋"/>
          <w:bCs/>
          <w:color w:val="000000" w:themeColor="text1"/>
          <w:sz w:val="24"/>
          <w:lang w:val="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000000" w:themeColor="text1"/>
          <w:sz w:val="24"/>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21.6因组织场所断电、断网、系统故障或其他不可抗力等因素导致不见面开标系统无法正常运行的，开标活动中止或延迟，待系统恢复正常后继续进行开标活动。</w:t>
      </w:r>
    </w:p>
    <w:p>
      <w:pPr>
        <w:spacing w:line="24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21.7不见面开标过程中，各方主体均应遵守互联网有关规定，不得发表与交易活动无关的言论。</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102" w:name="_Toc217446063"/>
      <w:bookmarkStart w:id="103" w:name="_Toc183582238"/>
      <w:bookmarkStart w:id="104" w:name="_Toc183682375"/>
      <w:bookmarkStart w:id="105" w:name="_Toc308164809"/>
      <w:r>
        <w:rPr>
          <w:rFonts w:hint="eastAsia" w:ascii="仿宋" w:hAnsi="仿宋" w:eastAsia="仿宋"/>
          <w:color w:val="000000" w:themeColor="text1"/>
          <w:sz w:val="24"/>
          <w14:textFill>
            <w14:solidFill>
              <w14:schemeClr w14:val="tx1"/>
            </w14:solidFill>
          </w14:textFill>
        </w:rPr>
        <w:t>22．开评标过程存档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开标和评标过程进行全过程电子监控，并将电子监控资料存储介质留存归档。</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评标情况公告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24</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bCs w:val="0"/>
          <w:color w:val="000000" w:themeColor="text1"/>
          <w:sz w:val="24"/>
          <w:szCs w:val="24"/>
          <w14:textFill>
            <w14:solidFill>
              <w14:schemeClr w14:val="tx1"/>
            </w14:solidFill>
          </w14:textFill>
        </w:rPr>
        <w:t>采购人确定中标人过程中，发现中标候选人有下列情形之一的，应当不予确定其为中标人：</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（1）发现中标候选人存在禁止参加本项目采购活动的违法行为的；</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（2）中标候选人因不可抗力，不能继续参加政府采购活动；</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（3）中标候选人无偿赠与或者低于成本价竞争；</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（4）中标候选人提供虚假材料；</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中标候选人恶意串通。</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25</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bCs w:val="0"/>
          <w:color w:val="000000" w:themeColor="text1"/>
          <w:sz w:val="24"/>
          <w:szCs w:val="24"/>
          <w14:textFill>
            <w14:solidFill>
              <w14:schemeClr w14:val="tx1"/>
            </w14:solidFill>
          </w14:textFill>
        </w:rPr>
        <w:t>中标通知书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25.4</w:t>
      </w:r>
      <w:r>
        <w:rPr>
          <w:rFonts w:hint="eastAsia" w:ascii="仿宋" w:hAnsi="仿宋" w:eastAsia="仿宋"/>
          <w:b/>
          <w:bCs/>
          <w:color w:val="000000" w:themeColor="text1"/>
          <w:sz w:val="24"/>
          <w:lang w:val="zh-CN"/>
          <w14:textFill>
            <w14:solidFill>
              <w14:schemeClr w14:val="tx1"/>
            </w14:solidFill>
          </w14:textFill>
        </w:rPr>
        <w:t>在四川政府采购网公告中标结果同时发出中标通知书，中标供应商自行登录政府采购云平台下载中标通知书</w:t>
      </w:r>
      <w:r>
        <w:rPr>
          <w:rFonts w:hint="eastAsia" w:ascii="仿宋" w:hAnsi="仿宋" w:eastAsia="仿宋"/>
          <w:color w:val="000000" w:themeColor="text1"/>
          <w:sz w:val="24"/>
          <w:lang w:val="zh-CN"/>
          <w14:textFill>
            <w14:solidFill>
              <w14:schemeClr w14:val="tx1"/>
            </w14:solidFill>
          </w14:textFill>
        </w:rPr>
        <w:t>。</w:t>
      </w:r>
      <w:bookmarkEnd w:id="102"/>
      <w:bookmarkEnd w:id="103"/>
      <w:bookmarkEnd w:id="104"/>
      <w:bookmarkEnd w:id="105"/>
      <w:bookmarkStart w:id="106" w:name="_Toc217446083"/>
    </w:p>
    <w:p>
      <w:pPr>
        <w:pStyle w:val="4"/>
        <w:spacing w:line="400" w:lineRule="exact"/>
        <w:jc w:val="center"/>
        <w:rPr>
          <w:rFonts w:ascii="仿宋" w:hAnsi="仿宋" w:eastAsia="仿宋"/>
          <w:color w:val="000000" w:themeColor="text1"/>
          <w:szCs w:val="28"/>
          <w14:textFill>
            <w14:solidFill>
              <w14:schemeClr w14:val="tx1"/>
            </w14:solidFill>
          </w14:textFill>
        </w:rPr>
      </w:pPr>
      <w:bookmarkStart w:id="107" w:name="_Toc308164810"/>
      <w:bookmarkStart w:id="108" w:name="_Toc217446064"/>
      <w:bookmarkStart w:id="109" w:name="_Toc183582240"/>
      <w:bookmarkStart w:id="110" w:name="_Toc183682377"/>
      <w:r>
        <w:rPr>
          <w:rFonts w:hint="eastAsia" w:ascii="仿宋" w:hAnsi="仿宋" w:eastAsia="仿宋"/>
          <w:color w:val="000000" w:themeColor="text1"/>
          <w:szCs w:val="28"/>
          <w14:textFill>
            <w14:solidFill>
              <w14:schemeClr w14:val="tx1"/>
            </w14:solidFill>
          </w14:textFill>
        </w:rPr>
        <w:t>六、签订及履行合同和验收</w:t>
      </w:r>
      <w:bookmarkEnd w:id="107"/>
      <w:bookmarkEnd w:id="108"/>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1" w:name="_Toc308164811"/>
      <w:bookmarkStart w:id="112" w:name="_Toc217446065"/>
      <w:r>
        <w:rPr>
          <w:rFonts w:hint="eastAsia" w:ascii="仿宋" w:hAnsi="仿宋" w:eastAsia="仿宋"/>
          <w:color w:val="000000" w:themeColor="text1"/>
          <w:sz w:val="24"/>
          <w14:textFill>
            <w14:solidFill>
              <w14:schemeClr w14:val="tx1"/>
            </w14:solidFill>
          </w14:textFill>
        </w:rPr>
        <w:t>26</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签订合同</w:t>
      </w:r>
      <w:bookmarkEnd w:id="111"/>
      <w:bookmarkEnd w:id="11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14:textFill>
            <w14:solidFill>
              <w14:schemeClr w14:val="tx1"/>
            </w14:solidFill>
          </w14:textFill>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.3 </w:t>
      </w:r>
      <w:r>
        <w:rPr>
          <w:rFonts w:hint="eastAsia" w:ascii="仿宋" w:hAnsi="仿宋" w:eastAsia="仿宋"/>
          <w:color w:val="000000" w:themeColor="text1"/>
          <w:sz w:val="24"/>
          <w14:textFill>
            <w14:solidFill>
              <w14:schemeClr w14:val="tx1"/>
            </w14:solidFill>
          </w14:textFill>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.4 </w:t>
      </w:r>
      <w:r>
        <w:rPr>
          <w:rFonts w:hint="eastAsia" w:ascii="仿宋" w:hAnsi="仿宋" w:eastAsia="仿宋"/>
          <w:color w:val="000000" w:themeColor="text1"/>
          <w:sz w:val="24"/>
          <w14:textFill>
            <w14:solidFill>
              <w14:schemeClr w14:val="tx1"/>
            </w14:solidFill>
          </w14:textFill>
        </w:rPr>
        <w:t>中标人在合同签订之后三个工作日内，将签订的合同（一式一份）发送至我司指定邮箱（postmaster@chengyucheng.onaliyun.com）。</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27. 合同分包（实质性要求）</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27.1本项目合同接受分包与否，以“投标人须知附表”勾选项为准。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28</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bCs w:val="0"/>
          <w:color w:val="000000" w:themeColor="text1"/>
          <w:sz w:val="24"/>
          <w:szCs w:val="24"/>
          <w14:textFill>
            <w14:solidFill>
              <w14:schemeClr w14:val="tx1"/>
            </w14:solidFill>
          </w14:textFill>
        </w:rPr>
        <w:t>合同转包（实质性要求）</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中标人转包的，视同拒绝履行政府采购合同义务，将依法追究法律责任。</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13" w:name="_Toc217446066"/>
      <w:r>
        <w:rPr>
          <w:rFonts w:hint="eastAsia" w:ascii="仿宋" w:hAnsi="仿宋" w:eastAsia="仿宋"/>
          <w:bCs w:val="0"/>
          <w:color w:val="000000" w:themeColor="text1"/>
          <w:sz w:val="24"/>
          <w:szCs w:val="24"/>
          <w14:textFill>
            <w14:solidFill>
              <w14:schemeClr w14:val="tx1"/>
            </w14:solidFill>
          </w14:textFill>
        </w:rPr>
        <w:t>29.</w:t>
      </w:r>
      <w:bookmarkEnd w:id="113"/>
      <w:r>
        <w:rPr>
          <w:rFonts w:hint="eastAsia" w:ascii="仿宋" w:hAnsi="仿宋" w:eastAsia="仿宋"/>
          <w:bCs w:val="0"/>
          <w:color w:val="000000" w:themeColor="text1"/>
          <w:sz w:val="24"/>
          <w:szCs w:val="24"/>
          <w14:textFill>
            <w14:solidFill>
              <w14:schemeClr w14:val="tx1"/>
            </w14:solidFill>
          </w14:textFill>
        </w:rPr>
        <w:t xml:space="preserve"> 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4" w:name="_Toc308164812"/>
      <w:bookmarkStart w:id="115" w:name="_Toc217446068"/>
      <w:r>
        <w:rPr>
          <w:rFonts w:hint="eastAsia" w:ascii="仿宋" w:hAnsi="仿宋" w:eastAsia="仿宋"/>
          <w:color w:val="000000" w:themeColor="text1"/>
          <w:sz w:val="24"/>
          <w:szCs w:val="24"/>
          <w14:textFill>
            <w14:solidFill>
              <w14:schemeClr w14:val="tx1"/>
            </w14:solidFill>
          </w14:textFill>
        </w:rPr>
        <w:t>30</w:t>
      </w:r>
      <w:r>
        <w:rPr>
          <w:rFonts w:ascii="仿宋" w:hAnsi="仿宋" w:eastAsia="仿宋"/>
          <w:b w:val="0"/>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履约保证金</w:t>
      </w:r>
      <w:bookmarkEnd w:id="114"/>
      <w:bookmarkEnd w:id="115"/>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0</w:t>
      </w:r>
      <w:r>
        <w:rPr>
          <w:rFonts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14:textFill>
            <w14:solidFill>
              <w14:schemeClr w14:val="tx1"/>
            </w14:solidFill>
          </w14:textFill>
        </w:rPr>
        <w:t>中标人应在合同签订之前交纳招标文件规定数额的履约保证金。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0</w:t>
      </w:r>
      <w:r>
        <w:rPr>
          <w:rFonts w:ascii="仿宋" w:hAnsi="仿宋" w:eastAsia="仿宋"/>
          <w:color w:val="000000" w:themeColor="text1"/>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6" w:name="_Toc308164813"/>
      <w:bookmarkStart w:id="117" w:name="_Toc217446069"/>
      <w:r>
        <w:rPr>
          <w:rFonts w:hint="eastAsia" w:ascii="仿宋" w:hAnsi="仿宋" w:eastAsia="仿宋"/>
          <w:color w:val="000000" w:themeColor="text1"/>
          <w:sz w:val="24"/>
          <w:szCs w:val="24"/>
          <w14:textFill>
            <w14:solidFill>
              <w14:schemeClr w14:val="tx1"/>
            </w14:solidFill>
          </w14:textFill>
        </w:rPr>
        <w:t>31</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采购人应当将政府采购合同副本自签订之日起七个工作日内报同级财政部门备案。</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3</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履行合同</w:t>
      </w:r>
      <w:bookmarkEnd w:id="116"/>
      <w:bookmarkEnd w:id="117"/>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14:textFill>
            <w14:solidFill>
              <w14:schemeClr w14:val="tx1"/>
            </w14:solidFill>
          </w14:textFill>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8" w:name="_Toc217446070"/>
      <w:bookmarkStart w:id="119" w:name="_Toc308164814"/>
      <w:r>
        <w:rPr>
          <w:rFonts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4</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验收</w:t>
      </w:r>
      <w:bookmarkEnd w:id="118"/>
      <w:bookmarkEnd w:id="11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 xml:space="preserve">.2 </w:t>
      </w:r>
      <w:r>
        <w:rPr>
          <w:rFonts w:hint="eastAsia" w:ascii="仿宋" w:hAnsi="仿宋" w:eastAsia="仿宋"/>
          <w:color w:val="000000" w:themeColor="text1"/>
          <w:sz w:val="24"/>
          <w14:textFill>
            <w14:solidFill>
              <w14:schemeClr w14:val="tx1"/>
            </w14:solidFill>
          </w14:textFill>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21" w:name="_Toc308164818"/>
      <w:bookmarkStart w:id="122" w:name="_Toc217446077"/>
      <w:r>
        <w:rPr>
          <w:rFonts w:hint="eastAsia" w:ascii="仿宋" w:hAnsi="仿宋" w:eastAsia="仿宋"/>
          <w:color w:val="000000" w:themeColor="text1"/>
          <w:sz w:val="24"/>
          <w:szCs w:val="24"/>
          <w14:textFill>
            <w14:solidFill>
              <w14:schemeClr w14:val="tx1"/>
            </w14:solidFill>
          </w14:textFill>
        </w:rPr>
        <w:t>35</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资金支付</w:t>
      </w:r>
      <w:bookmarkEnd w:id="121"/>
      <w:bookmarkEnd w:id="12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bookmarkEnd w:id="109"/>
      <w:bookmarkEnd w:id="110"/>
      <w:bookmarkEnd w:id="120"/>
    </w:p>
    <w:p>
      <w:pPr>
        <w:pStyle w:val="4"/>
        <w:spacing w:line="400" w:lineRule="exact"/>
        <w:jc w:val="center"/>
        <w:rPr>
          <w:rFonts w:ascii="仿宋" w:hAnsi="仿宋" w:eastAsia="仿宋"/>
          <w:color w:val="000000" w:themeColor="text1"/>
          <w:szCs w:val="28"/>
          <w14:textFill>
            <w14:solidFill>
              <w14:schemeClr w14:val="tx1"/>
            </w14:solidFill>
          </w14:textFill>
        </w:rPr>
      </w:pPr>
      <w:bookmarkStart w:id="123" w:name="_Toc217446074"/>
      <w:bookmarkStart w:id="124" w:name="_Toc308164815"/>
      <w:bookmarkStart w:id="125" w:name="_Toc183582243"/>
      <w:bookmarkStart w:id="126" w:name="_Toc183682380"/>
      <w:r>
        <w:rPr>
          <w:rFonts w:hint="eastAsia" w:ascii="仿宋" w:hAnsi="仿宋" w:eastAsia="仿宋"/>
          <w:color w:val="000000" w:themeColor="text1"/>
          <w:szCs w:val="28"/>
          <w14:textFill>
            <w14:solidFill>
              <w14:schemeClr w14:val="tx1"/>
            </w14:solidFill>
          </w14:textFill>
        </w:rPr>
        <w:t>七、投标纪律要求</w:t>
      </w:r>
      <w:bookmarkEnd w:id="123"/>
      <w:bookmarkEnd w:id="124"/>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27" w:name="_Toc217446075"/>
      <w:bookmarkStart w:id="128" w:name="_Toc308164816"/>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6</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bCs w:val="0"/>
          <w:color w:val="000000" w:themeColor="text1"/>
          <w:sz w:val="24"/>
          <w:szCs w:val="24"/>
          <w14:textFill>
            <w14:solidFill>
              <w14:schemeClr w14:val="tx1"/>
            </w14:solidFill>
          </w14:textFill>
        </w:rPr>
        <w:t>投标人</w:t>
      </w:r>
      <w:bookmarkEnd w:id="127"/>
      <w:bookmarkEnd w:id="128"/>
      <w:r>
        <w:rPr>
          <w:rFonts w:hint="eastAsia" w:ascii="仿宋" w:hAnsi="仿宋" w:eastAsia="仿宋"/>
          <w:bCs w:val="0"/>
          <w:color w:val="000000" w:themeColor="text1"/>
          <w:sz w:val="24"/>
          <w:szCs w:val="24"/>
          <w14:textFill>
            <w14:solidFill>
              <w14:schemeClr w14:val="tx1"/>
            </w14:solidFill>
          </w14:textFill>
        </w:rPr>
        <w:t>纪律要求</w:t>
      </w:r>
    </w:p>
    <w:p>
      <w:pPr>
        <w:pStyle w:val="7"/>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在评标过程中发现投标人有上述情形的，评标委员会应当认定其投标无效，并书面报告本级财政部门。</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 投标人参加本项目投标不得有下列情形：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投标人有上述情形的，按照规定追究法律责任，具备（1）-（10）条情形之一的，同时将取消中标资格或者认定中标无效。</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38</w:t>
      </w:r>
      <w:r>
        <w:rPr>
          <w:rFonts w:hint="eastAsia" w:ascii="仿宋" w:hAnsi="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投标人有下列情形之一的，视为投标人串通投标，其投标无效：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（5）不同投标人的投标文件相互混装；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（6）不同投标人的投标保证金从同一单位或者个人的账户转出。</w:t>
      </w:r>
    </w:p>
    <w:p>
      <w:pPr>
        <w:pStyle w:val="4"/>
        <w:spacing w:line="400" w:lineRule="exact"/>
        <w:jc w:val="center"/>
        <w:rPr>
          <w:rFonts w:ascii="仿宋" w:hAnsi="仿宋" w:eastAsia="仿宋"/>
          <w:bCs w:val="0"/>
          <w:color w:val="000000" w:themeColor="text1"/>
          <w:szCs w:val="28"/>
          <w14:textFill>
            <w14:solidFill>
              <w14:schemeClr w14:val="tx1"/>
            </w14:solidFill>
          </w14:textFill>
        </w:rPr>
      </w:pPr>
      <w:bookmarkStart w:id="129" w:name="_Toc308164819"/>
      <w:bookmarkStart w:id="130" w:name="_Toc217446078"/>
      <w:r>
        <w:rPr>
          <w:rFonts w:hint="eastAsia" w:ascii="仿宋" w:hAnsi="仿宋" w:eastAsia="仿宋"/>
          <w:bCs w:val="0"/>
          <w:color w:val="000000" w:themeColor="text1"/>
          <w:szCs w:val="28"/>
          <w14:textFill>
            <w14:solidFill>
              <w14:schemeClr w14:val="tx1"/>
            </w14:solidFill>
          </w14:textFill>
        </w:rPr>
        <w:t>八、询问、质疑和投诉</w:t>
      </w:r>
      <w:bookmarkEnd w:id="129"/>
      <w:bookmarkEnd w:id="130"/>
      <w:bookmarkStart w:id="131" w:name="_Toc217446079"/>
      <w:bookmarkEnd w:id="131"/>
    </w:p>
    <w:p>
      <w:pPr>
        <w:widowControl/>
        <w:spacing w:line="360" w:lineRule="atLeast"/>
        <w:ind w:firstLine="472" w:firstLineChars="196"/>
        <w:jc w:val="left"/>
        <w:outlineLvl w:val="1"/>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3</w:t>
      </w:r>
      <w:bookmarkEnd w:id="125"/>
      <w:bookmarkEnd w:id="126"/>
      <w:r>
        <w:rPr>
          <w:rFonts w:hint="eastAsia" w:ascii="仿宋" w:hAnsi="仿宋" w:eastAsia="仿宋"/>
          <w:b/>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000000" w:themeColor="text1"/>
          <w:szCs w:val="28"/>
          <w14:textFill>
            <w14:solidFill>
              <w14:schemeClr w14:val="tx1"/>
            </w14:solidFill>
          </w14:textFill>
        </w:rPr>
      </w:pPr>
      <w:r>
        <w:rPr>
          <w:rFonts w:hint="eastAsia" w:ascii="仿宋" w:hAnsi="仿宋" w:eastAsia="仿宋"/>
          <w:bCs w:val="0"/>
          <w:color w:val="000000" w:themeColor="text1"/>
          <w:szCs w:val="28"/>
          <w14:textFill>
            <w14:solidFill>
              <w14:schemeClr w14:val="tx1"/>
            </w14:solidFill>
          </w14:textFill>
        </w:rPr>
        <w:t>九、其他</w:t>
      </w:r>
    </w:p>
    <w:p>
      <w:pPr>
        <w:widowControl/>
        <w:spacing w:line="360" w:lineRule="atLeast"/>
        <w:ind w:firstLine="482" w:firstLineChars="200"/>
        <w:jc w:val="left"/>
        <w:outlineLvl w:val="1"/>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40</w:t>
      </w:r>
      <w:r>
        <w:rPr>
          <w:rFonts w:hint="eastAsia" w:ascii="仿宋" w:hAnsi="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ascii="仿宋" w:hAnsi="仿宋" w:eastAsia="仿宋"/>
          <w:b/>
          <w:color w:val="000000" w:themeColor="text1"/>
          <w:sz w:val="24"/>
          <w14:textFill>
            <w14:solidFill>
              <w14:schemeClr w14:val="tx1"/>
            </w14:solidFill>
          </w14:textFill>
        </w:rPr>
        <w:t>1</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Start w:id="132" w:name="_Toc1368"/>
      <w:r>
        <w:rPr>
          <w:rFonts w:ascii="仿宋" w:hAnsi="仿宋" w:eastAsia="仿宋"/>
          <w:b/>
          <w:bCs/>
          <w:color w:val="000000" w:themeColor="text1"/>
          <w:sz w:val="24"/>
          <w14:textFill>
            <w14:solidFill>
              <w14:schemeClr w14:val="tx1"/>
            </w14:solidFill>
          </w14:textFill>
        </w:rPr>
        <w:br w:type="page"/>
      </w:r>
    </w:p>
    <w:p>
      <w:pPr>
        <w:pStyle w:val="3"/>
        <w:jc w:val="center"/>
        <w:rPr>
          <w:rFonts w:ascii="仿宋" w:hAnsi="仿宋" w:eastAsia="仿宋"/>
          <w:color w:val="000000" w:themeColor="text1"/>
          <w:sz w:val="36"/>
          <w:szCs w:val="36"/>
          <w14:textFill>
            <w14:solidFill>
              <w14:schemeClr w14:val="tx1"/>
            </w14:solidFill>
          </w14:textFill>
        </w:rPr>
      </w:pPr>
      <w:bookmarkStart w:id="133" w:name="_Toc24136"/>
      <w:r>
        <w:rPr>
          <w:rFonts w:hint="eastAsia" w:ascii="仿宋" w:hAnsi="仿宋" w:eastAsia="仿宋"/>
          <w:color w:val="000000" w:themeColor="text1"/>
          <w:sz w:val="36"/>
          <w:szCs w:val="36"/>
          <w14:textFill>
            <w14:solidFill>
              <w14:schemeClr w14:val="tx1"/>
            </w14:solidFill>
          </w14:textFill>
        </w:rPr>
        <w:t>第三章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投标文件格式</w:t>
      </w:r>
      <w:bookmarkEnd w:id="132"/>
      <w:bookmarkEnd w:id="133"/>
      <w:bookmarkStart w:id="134" w:name="_Toc308164821"/>
      <w:bookmarkStart w:id="135" w:name="_Toc217446082"/>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2" w:firstLineChars="196"/>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四、提示本章中格式1-1、2-1封面，盖章为实质性要求，格式内容不作实质性要求。按照招标文件第二章17．2要求，加盖投标人（法定名称）电子印章。</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32"/>
          <w:szCs w:val="32"/>
          <w:lang w:eastAsia="zh-Hans"/>
          <w14:textFill>
            <w14:solidFill>
              <w14:schemeClr w14:val="tx1"/>
            </w14:solidFill>
          </w14:textFill>
        </w:rPr>
        <w:t>xxxxxx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lang w:eastAsia="zh-Hans"/>
          <w14:textFill>
            <w14:solidFill>
              <w14:schemeClr w14:val="tx1"/>
            </w14:solidFill>
          </w14:textFill>
        </w:rPr>
        <w:t>资格性</w:t>
      </w:r>
      <w:r>
        <w:rPr>
          <w:rFonts w:hint="eastAsia" w:ascii="仿宋" w:hAnsi="仿宋" w:eastAsia="仿宋"/>
          <w:b/>
          <w:color w:val="000000" w:themeColor="text1"/>
          <w:sz w:val="52"/>
          <w:szCs w:val="52"/>
          <w14:textFill>
            <w14:solidFill>
              <w14:schemeClr w14:val="tx1"/>
            </w14:solidFill>
          </w14:textFill>
        </w:rPr>
        <w:t>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标</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人</w:t>
      </w:r>
      <w:r>
        <w:rPr>
          <w:rFonts w:ascii="仿宋" w:hAnsi="仿宋" w:eastAsia="仿宋"/>
          <w:b/>
          <w:color w:val="000000" w:themeColor="text1"/>
          <w:sz w:val="32"/>
          <w14:textFill>
            <w14:solidFill>
              <w14:schemeClr w14:val="tx1"/>
            </w14:solidFill>
          </w14:textFill>
        </w:rPr>
        <w:t>名称</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年</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spacing w:after="0" w:line="360" w:lineRule="auto"/>
        <w:jc w:val="left"/>
        <w:outlineLvl w:val="9"/>
        <w:rPr>
          <w:rFonts w:ascii="仿宋" w:hAnsi="仿宋" w:eastAsia="仿宋"/>
          <w:b/>
          <w:color w:val="000000" w:themeColor="text1"/>
          <w:sz w:val="32"/>
          <w:szCs w:val="32"/>
          <w14:textFill>
            <w14:solidFill>
              <w14:schemeClr w14:val="tx1"/>
            </w14:solidFill>
          </w14:textFill>
        </w:rPr>
      </w:pPr>
    </w:p>
    <w:p>
      <w:pPr>
        <w:pStyle w:val="2"/>
        <w:rPr>
          <w:color w:val="000000" w:themeColor="text1"/>
          <w14:textFill>
            <w14:solidFill>
              <w14:schemeClr w14:val="tx1"/>
            </w14:solidFill>
          </w14:textFill>
        </w:rPr>
      </w:pPr>
    </w:p>
    <w:p>
      <w:pPr>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一、承诺函</w:t>
      </w:r>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期：XXXX。</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格式1-3</w:t>
      </w:r>
    </w:p>
    <w:p>
      <w:pPr>
        <w:spacing w:line="360" w:lineRule="auto"/>
        <w:ind w:firstLine="790" w:firstLineChars="246"/>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二、投标人和投标产品其他资格、资质性及其他类似效力要求的相关证明材料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widowControl/>
        <w:spacing w:line="360" w:lineRule="atLeas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三、承诺函（如涉及）</w:t>
      </w:r>
    </w:p>
    <w:p>
      <w:pPr>
        <w:widowControl/>
        <w:spacing w:line="360" w:lineRule="atLeast"/>
        <w:jc w:val="center"/>
        <w:rPr>
          <w:rFonts w:ascii="仿宋" w:hAnsi="仿宋" w:eastAsia="仿宋"/>
          <w:b/>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我单位作为本次采购项目的投标人，现郑重承诺如下：</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根据本项目招标文件</w:t>
      </w:r>
      <w:r>
        <w:rPr>
          <w:rFonts w:ascii="仿宋" w:hAnsi="仿宋" w:eastAsia="仿宋" w:cs="宋体"/>
          <w:bCs/>
          <w:color w:val="000000" w:themeColor="text1"/>
          <w:sz w:val="24"/>
          <w14:textFill>
            <w14:solidFill>
              <w14:schemeClr w14:val="tx1"/>
            </w14:solidFill>
          </w14:textFill>
        </w:rPr>
        <w:t>第四章资格证明要求中第</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项，</w:t>
      </w:r>
      <w:r>
        <w:rPr>
          <w:rFonts w:ascii="仿宋" w:hAnsi="仿宋" w:eastAsia="仿宋" w:cs="宋体"/>
          <w:bCs/>
          <w:color w:val="000000" w:themeColor="text1"/>
          <w:sz w:val="24"/>
          <w14:textFill>
            <w14:solidFill>
              <w14:schemeClr w14:val="tx1"/>
            </w14:solidFill>
          </w14:textFill>
        </w:rPr>
        <w:t>我</w:t>
      </w:r>
      <w:r>
        <w:rPr>
          <w:rFonts w:hint="eastAsia" w:ascii="仿宋" w:hAnsi="仿宋" w:eastAsia="仿宋" w:cs="宋体"/>
          <w:bCs/>
          <w:color w:val="000000" w:themeColor="text1"/>
          <w:sz w:val="24"/>
          <w14:textFill>
            <w14:solidFill>
              <w14:schemeClr w14:val="tx1"/>
            </w14:solidFill>
          </w14:textFill>
        </w:rPr>
        <w:t>单位</w:t>
      </w:r>
      <w:r>
        <w:rPr>
          <w:rFonts w:ascii="仿宋" w:hAnsi="仿宋" w:eastAsia="仿宋" w:cs="宋体"/>
          <w:bCs/>
          <w:color w:val="000000" w:themeColor="text1"/>
          <w:sz w:val="24"/>
          <w14:textFill>
            <w14:solidFill>
              <w14:schemeClr w14:val="tx1"/>
            </w14:solidFill>
          </w14:textFill>
        </w:rPr>
        <w:t>应具备</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）。但因</w:t>
      </w:r>
      <w:r>
        <w:rPr>
          <w:rFonts w:ascii="仿宋" w:hAnsi="仿宋" w:eastAsia="仿宋" w:cs="宋体"/>
          <w:bCs/>
          <w:color w:val="000000" w:themeColor="text1"/>
          <w:sz w:val="24"/>
          <w14:textFill>
            <w14:solidFill>
              <w14:schemeClr w14:val="tx1"/>
            </w14:solidFill>
          </w14:textFill>
        </w:rPr>
        <w:t>我单位所在地</w:t>
      </w:r>
      <w:r>
        <w:rPr>
          <w:rFonts w:hint="eastAsia" w:ascii="仿宋" w:hAnsi="仿宋" w:eastAsia="仿宋" w:cs="宋体"/>
          <w:bCs/>
          <w:color w:val="000000" w:themeColor="text1"/>
          <w:sz w:val="24"/>
          <w14:textFill>
            <w14:solidFill>
              <w14:schemeClr w14:val="tx1"/>
            </w14:solidFill>
          </w14:textFill>
        </w:rPr>
        <w:t>已对</w:t>
      </w:r>
      <w:r>
        <w:rPr>
          <w:rFonts w:ascii="仿宋" w:hAnsi="仿宋" w:eastAsia="仿宋" w:cs="宋体"/>
          <w:bCs/>
          <w:color w:val="000000" w:themeColor="text1"/>
          <w:sz w:val="24"/>
          <w14:textFill>
            <w14:solidFill>
              <w14:schemeClr w14:val="tx1"/>
            </w14:solidFill>
          </w14:textFill>
        </w:rPr>
        <w:t>上述</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投标人名称：</w:t>
      </w:r>
      <w:r>
        <w:rPr>
          <w:rFonts w:ascii="仿宋" w:hAnsi="仿宋" w:eastAsia="仿宋" w:cs="宋体"/>
          <w:bCs/>
          <w:color w:val="000000" w:themeColor="text1"/>
          <w:sz w:val="24"/>
          <w14:textFill>
            <w14:solidFill>
              <w14:schemeClr w14:val="tx1"/>
            </w14:solidFill>
          </w14:textFill>
        </w:rPr>
        <w:t>XXXX</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w:t>
      </w:r>
      <w:r>
        <w:rPr>
          <w:rFonts w:ascii="仿宋" w:hAnsi="仿宋" w:eastAsia="仿宋" w:cs="宋体"/>
          <w:bCs/>
          <w:color w:val="000000" w:themeColor="text1"/>
          <w:sz w:val="24"/>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期：</w:t>
      </w:r>
      <w:r>
        <w:rPr>
          <w:rFonts w:ascii="仿宋" w:hAnsi="仿宋" w:eastAsia="仿宋" w:cs="宋体"/>
          <w:bCs/>
          <w:color w:val="000000" w:themeColor="text1"/>
          <w:sz w:val="24"/>
          <w14:textFill>
            <w14:solidFill>
              <w14:schemeClr w14:val="tx1"/>
            </w14:solidFill>
          </w14:textFill>
        </w:rPr>
        <w:t>XXXX。</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w:t>
      </w:r>
      <w:r>
        <w:rPr>
          <w:rFonts w:ascii="仿宋" w:hAnsi="仿宋" w:eastAsia="仿宋" w:cs="宋体"/>
          <w:bCs/>
          <w:color w:val="000000" w:themeColor="text1"/>
          <w:sz w:val="24"/>
          <w14:textFill>
            <w14:solidFill>
              <w14:schemeClr w14:val="tx1"/>
            </w14:solidFill>
          </w14:textFill>
        </w:rPr>
        <w:t>1.根据国务院办公厅关于加快推进“多证合一”改革的指导意见（国办发</w:t>
      </w:r>
      <w:r>
        <w:rPr>
          <w:rFonts w:hint="eastAsia" w:ascii="仿宋" w:hAnsi="仿宋" w:eastAsia="仿宋"/>
          <w:color w:val="000000" w:themeColor="text1"/>
          <w:sz w:val="24"/>
          <w14:textFill>
            <w14:solidFill>
              <w14:schemeClr w14:val="tx1"/>
            </w14:solidFill>
          </w14:textFill>
        </w:rPr>
        <w:t>〔201</w:t>
      </w:r>
      <w:r>
        <w:rPr>
          <w:rFonts w:hint="eastAsia" w:ascii="仿宋" w:hAnsi="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2.若</w:t>
      </w:r>
      <w:r>
        <w:rPr>
          <w:rFonts w:hint="eastAsia" w:ascii="仿宋" w:hAnsi="仿宋" w:eastAsia="仿宋" w:cs="宋体"/>
          <w:bCs/>
          <w:color w:val="000000" w:themeColor="text1"/>
          <w:sz w:val="24"/>
          <w14:textFill>
            <w14:solidFill>
              <w14:schemeClr w14:val="tx1"/>
            </w14:solidFill>
          </w14:textFill>
        </w:rPr>
        <w:t>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3.若本项目资格要求不涉及，无需提供该承诺。</w:t>
      </w:r>
    </w:p>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w:t>
      </w:r>
      <w:r>
        <w:rPr>
          <w:rFonts w:ascii="仿宋" w:hAnsi="仿宋" w:eastAsia="仿宋"/>
          <w:b/>
          <w:color w:val="000000" w:themeColor="text1"/>
          <w:sz w:val="32"/>
          <w:szCs w:val="32"/>
          <w14:textFill>
            <w14:solidFill>
              <w14:schemeClr w14:val="tx1"/>
            </w14:solidFill>
          </w14:textFill>
        </w:rPr>
        <w:t>5</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bookmarkStart w:id="136" w:name="_Toc14002"/>
      <w:r>
        <w:rPr>
          <w:rFonts w:hint="eastAsia" w:ascii="仿宋" w:hAnsi="仿宋" w:eastAsia="仿宋"/>
          <w:b/>
          <w:color w:val="000000" w:themeColor="text1"/>
          <w:sz w:val="32"/>
          <w:szCs w:val="32"/>
          <w14:textFill>
            <w14:solidFill>
              <w14:schemeClr w14:val="tx1"/>
            </w14:solidFill>
          </w14:textFill>
        </w:rPr>
        <w:t>四、中小企业声明函（服务）</w:t>
      </w:r>
      <w:bookmarkEnd w:id="136"/>
    </w:p>
    <w:p>
      <w:pPr>
        <w:spacing w:line="360" w:lineRule="auto"/>
        <w:rPr>
          <w:rFonts w:asciiTheme="minorEastAsia" w:hAnsiTheme="minorEastAsia"/>
          <w:b/>
          <w:color w:val="000000" w:themeColor="text1"/>
          <w:szCs w:val="21"/>
          <w14:textFill>
            <w14:solidFill>
              <w14:schemeClr w14:val="tx1"/>
            </w14:solidFill>
          </w14:textFill>
        </w:rPr>
      </w:pPr>
    </w:p>
    <w:p>
      <w:pPr>
        <w:autoSpaceDE w:val="0"/>
        <w:autoSpaceDN w:val="0"/>
        <w:spacing w:after="0"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u w:val="single"/>
          <w14:textFill>
            <w14:solidFill>
              <w14:schemeClr w14:val="tx1"/>
            </w14:solidFill>
          </w14:textFill>
        </w:rPr>
        <w:t xml:space="preserve">（单位名称）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 xml:space="preserve">（项目名称） </w:t>
      </w:r>
      <w:r>
        <w:rPr>
          <w:rFonts w:hint="eastAsia" w:ascii="仿宋" w:hAnsi="仿宋" w:eastAsia="仿宋"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 xml:space="preserve">　　1. </w:t>
      </w:r>
      <w:r>
        <w:rPr>
          <w:rFonts w:hint="eastAsia" w:ascii="仿宋" w:hAnsi="仿宋" w:eastAsia="仿宋" w:cs="仿宋"/>
          <w:color w:val="000000" w:themeColor="text1"/>
          <w:sz w:val="24"/>
          <w:u w:val="single"/>
          <w14:textFill>
            <w14:solidFill>
              <w14:schemeClr w14:val="tx1"/>
            </w14:solidFill>
          </w14:textFill>
        </w:rPr>
        <w:t xml:space="preserve">（标的名称）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租赁和商务服务业行业 </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w:t>
      </w: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after="0"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 </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租赁和商务服务业行业 </w:t>
      </w:r>
      <w:r>
        <w:rPr>
          <w:rFonts w:hint="eastAsia" w:ascii="仿宋" w:hAnsi="仿宋" w:eastAsia="仿宋" w:cs="仿宋"/>
          <w:color w:val="000000" w:themeColor="text1"/>
          <w:sz w:val="24"/>
          <w14:textFill>
            <w14:solidFill>
              <w14:schemeClr w14:val="tx1"/>
            </w14:solidFill>
          </w14:textFill>
        </w:rPr>
        <w:t>；承建（承接）企业为</w:t>
      </w:r>
      <w:r>
        <w:rPr>
          <w:rFonts w:hint="eastAsia" w:ascii="仿宋" w:hAnsi="仿宋" w:eastAsia="仿宋" w:cs="仿宋"/>
          <w:color w:val="000000" w:themeColor="text1"/>
          <w:sz w:val="24"/>
          <w:u w:val="single"/>
          <w14:textFill>
            <w14:solidFill>
              <w14:schemeClr w14:val="tx1"/>
            </w14:solidFill>
          </w14:textFill>
        </w:rPr>
        <w:t xml:space="preserve"> （企业名称） </w:t>
      </w:r>
      <w:r>
        <w:rPr>
          <w:rFonts w:hint="eastAsia" w:ascii="仿宋" w:hAnsi="仿宋" w:eastAsia="仿宋" w:cs="仿宋"/>
          <w:color w:val="000000" w:themeColor="text1"/>
          <w:sz w:val="24"/>
          <w14:textFill>
            <w14:solidFill>
              <w14:schemeClr w14:val="tx1"/>
            </w14:solidFill>
          </w14:textFill>
        </w:rPr>
        <w:t>，从业人员</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人，营业收入为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万元，资产总额为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w:t>
      </w:r>
    </w:p>
    <w:p>
      <w:pPr>
        <w:autoSpaceDE w:val="0"/>
        <w:autoSpaceDN w:val="0"/>
        <w:spacing w:after="0"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autoSpaceDE w:val="0"/>
        <w:autoSpaceDN w:val="0"/>
        <w:spacing w:after="0"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after="0"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autoSpaceDE w:val="0"/>
        <w:autoSpaceDN w:val="0"/>
        <w:spacing w:after="0" w:line="360" w:lineRule="auto"/>
        <w:ind w:firstLine="600" w:firstLineChars="250"/>
        <w:rPr>
          <w:rFonts w:ascii="仿宋" w:hAnsi="仿宋" w:eastAsia="仿宋" w:cs="仿宋"/>
          <w:color w:val="000000" w:themeColor="text1"/>
          <w:sz w:val="24"/>
          <w14:textFill>
            <w14:solidFill>
              <w14:schemeClr w14:val="tx1"/>
            </w14:solidFill>
          </w14:textFill>
        </w:rPr>
      </w:pPr>
    </w:p>
    <w:p>
      <w:pPr>
        <w:autoSpaceDE w:val="0"/>
        <w:autoSpaceDN w:val="0"/>
        <w:spacing w:after="0"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企业名称（盖章）：</w:t>
      </w:r>
    </w:p>
    <w:p>
      <w:pPr>
        <w:autoSpaceDE w:val="0"/>
        <w:autoSpaceDN w:val="0"/>
        <w:spacing w:after="0"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spacing w:after="0" w:line="360" w:lineRule="auto"/>
        <w:rPr>
          <w:rFonts w:ascii="仿宋" w:hAnsi="仿宋" w:eastAsia="仿宋" w:cs="仿宋"/>
          <w:color w:val="000000" w:themeColor="text1"/>
          <w:sz w:val="24"/>
          <w14:textFill>
            <w14:solidFill>
              <w14:schemeClr w14:val="tx1"/>
            </w14:solidFill>
          </w14:textFill>
        </w:rPr>
      </w:pPr>
    </w:p>
    <w:p>
      <w:pPr>
        <w:autoSpaceDE w:val="0"/>
        <w:autoSpaceDN w:val="0"/>
        <w:spacing w:after="0" w:line="360" w:lineRule="auto"/>
        <w:rPr>
          <w:rFonts w:ascii="仿宋" w:hAnsi="仿宋" w:eastAsia="仿宋" w:cs="仿宋"/>
          <w:color w:val="000000" w:themeColor="text1"/>
          <w:sz w:val="24"/>
          <w14:textFill>
            <w14:solidFill>
              <w14:schemeClr w14:val="tx1"/>
            </w14:solidFill>
          </w14:textFill>
        </w:rPr>
      </w:pPr>
    </w:p>
    <w:p>
      <w:pPr>
        <w:autoSpaceDE w:val="0"/>
        <w:autoSpaceDN w:val="0"/>
        <w:spacing w:after="0"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vertAlign w:val="superscript"/>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从业人员、营业收入、资产总额填报上一年度数据，无上一年度数据的新成立企业可不填报。</w:t>
      </w:r>
    </w:p>
    <w:p>
      <w:pPr>
        <w:spacing w:after="0" w:line="360" w:lineRule="auto"/>
        <w:jc w:val="left"/>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w:t>
      </w:r>
      <w:r>
        <w:rPr>
          <w:rFonts w:ascii="仿宋" w:hAnsi="仿宋" w:eastAsia="仿宋"/>
          <w:b/>
          <w:color w:val="000000" w:themeColor="text1"/>
          <w:sz w:val="32"/>
          <w:szCs w:val="32"/>
          <w14:textFill>
            <w14:solidFill>
              <w14:schemeClr w14:val="tx1"/>
            </w14:solidFill>
          </w14:textFill>
        </w:rPr>
        <w:t>6</w:t>
      </w:r>
    </w:p>
    <w:p>
      <w:pPr>
        <w:widowControl/>
        <w:spacing w:line="360" w:lineRule="atLeast"/>
        <w:jc w:val="center"/>
        <w:outlineLvl w:val="1"/>
        <w:rPr>
          <w:rFonts w:ascii="仿宋" w:hAnsi="仿宋"/>
          <w:b/>
          <w:color w:val="000000" w:themeColor="text1"/>
          <w:sz w:val="32"/>
          <w:szCs w:val="32"/>
          <w14:textFill>
            <w14:solidFill>
              <w14:schemeClr w14:val="tx1"/>
            </w14:solidFill>
          </w14:textFill>
        </w:rPr>
      </w:pPr>
      <w:r>
        <w:rPr>
          <w:rFonts w:hint="eastAsia" w:ascii="仿宋" w:hAnsi="仿宋"/>
          <w:b/>
          <w:color w:val="000000" w:themeColor="text1"/>
          <w:sz w:val="32"/>
          <w:szCs w:val="32"/>
          <w14:textFill>
            <w14:solidFill>
              <w14:schemeClr w14:val="tx1"/>
            </w14:solidFill>
          </w14:textFill>
        </w:rPr>
        <w:t>五、残疾人福利性单位声明函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民政部</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w:t>
      </w:r>
      <w:r>
        <w:rPr>
          <w:rFonts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ascii="仿宋" w:hAnsi="仿宋" w:eastAsia="仿宋" w:cs="宋体"/>
          <w:color w:val="000000" w:themeColor="text1"/>
          <w:spacing w:val="6"/>
          <w:sz w:val="24"/>
          <w14:textFill>
            <w14:solidFill>
              <w14:schemeClr w14:val="tx1"/>
            </w14:solidFill>
          </w14:textFill>
        </w:rPr>
        <w:t>_</w:t>
      </w:r>
      <w:r>
        <w:rPr>
          <w:rFonts w:ascii="仿宋" w:hAnsi="仿宋" w:eastAsia="仿宋"/>
          <w:color w:val="000000" w:themeColor="text1"/>
          <w:sz w:val="24"/>
          <w:u w:val="single"/>
          <w14:textFill>
            <w14:solidFill>
              <w14:schemeClr w14:val="tx1"/>
            </w14:solidFill>
          </w14:textFill>
        </w:rPr>
        <w:t>XXXX</w:t>
      </w:r>
      <w:r>
        <w:rPr>
          <w:rFonts w:ascii="仿宋" w:hAnsi="仿宋" w:eastAsia="仿宋" w:cs="宋体"/>
          <w:color w:val="000000" w:themeColor="text1"/>
          <w:spacing w:val="6"/>
          <w:sz w:val="24"/>
          <w14:textFill>
            <w14:solidFill>
              <w14:schemeClr w14:val="tx1"/>
            </w14:solidFill>
          </w14:textFill>
        </w:rPr>
        <w:t>_单位的</w:t>
      </w:r>
      <w:r>
        <w:rPr>
          <w:rFonts w:ascii="仿宋" w:hAnsi="仿宋" w:eastAsia="仿宋"/>
          <w:color w:val="000000" w:themeColor="text1"/>
          <w:sz w:val="24"/>
          <w:u w:val="single"/>
          <w14:textFill>
            <w14:solidFill>
              <w14:schemeClr w14:val="tx1"/>
            </w14:solidFill>
          </w14:textFill>
        </w:rPr>
        <w:t>XXXX</w:t>
      </w:r>
      <w:r>
        <w:rPr>
          <w:rFonts w:ascii="仿宋" w:hAnsi="仿宋" w:eastAsia="仿宋" w:cs="宋体"/>
          <w:color w:val="000000" w:themeColor="text1"/>
          <w:spacing w:val="6"/>
          <w:sz w:val="24"/>
          <w14:textFill>
            <w14:solidFill>
              <w14:schemeClr w14:val="tx1"/>
            </w14:solidFill>
          </w14:textFill>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tabs>
          <w:tab w:val="left" w:pos="4860"/>
        </w:tabs>
        <w:spacing w:line="588" w:lineRule="exact"/>
        <w:ind w:right="156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单位名称（盖章）：</w:t>
      </w:r>
    </w:p>
    <w:p>
      <w:pPr>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日</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期：</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3"/>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spacing w:after="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投标人为非残疾人福利性单位的，可不提供此声明。</w:t>
      </w:r>
    </w:p>
    <w:p>
      <w:pPr>
        <w:spacing w:after="0"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w:t>
      </w:r>
      <w:r>
        <w:rPr>
          <w:rFonts w:ascii="仿宋" w:hAnsi="仿宋" w:eastAsia="仿宋"/>
          <w:b/>
          <w:color w:val="000000" w:themeColor="text1"/>
          <w:sz w:val="32"/>
          <w:szCs w:val="32"/>
          <w14:textFill>
            <w14:solidFill>
              <w14:schemeClr w14:val="tx1"/>
            </w14:solidFill>
          </w14:textFill>
        </w:rPr>
        <w:t>7</w:t>
      </w:r>
    </w:p>
    <w:p>
      <w:pPr>
        <w:widowControl/>
        <w:spacing w:line="360" w:lineRule="atLeast"/>
        <w:jc w:val="center"/>
        <w:outlineLvl w:val="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六、监狱企业</w:t>
      </w: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《政府采购支持监狱企业发展有关问题的通知》</w:t>
      </w:r>
      <w:r>
        <w:rPr>
          <w:rFonts w:hint="eastAsia" w:ascii="仿宋" w:hAnsi="仿宋" w:eastAsia="仿宋"/>
          <w:color w:val="000000" w:themeColor="text1"/>
          <w:sz w:val="24"/>
          <w14:textFill>
            <w14:solidFill>
              <w14:schemeClr w14:val="tx1"/>
            </w14:solidFill>
          </w14:textFill>
        </w:rPr>
        <w:t>（财库〔</w:t>
      </w:r>
      <w:r>
        <w:rPr>
          <w:rFonts w:ascii="仿宋" w:hAnsi="仿宋" w:eastAsia="仿宋"/>
          <w:color w:val="000000" w:themeColor="text1"/>
          <w:sz w:val="24"/>
          <w14:textFill>
            <w14:solidFill>
              <w14:schemeClr w14:val="tx1"/>
            </w14:solidFill>
          </w14:textFill>
        </w:rPr>
        <w:t>2014〕68号）的规定</w:t>
      </w:r>
      <w:r>
        <w:rPr>
          <w:rFonts w:hint="eastAsia" w:ascii="仿宋" w:hAnsi="仿宋" w:eastAsia="仿宋"/>
          <w:color w:val="000000" w:themeColor="text1"/>
          <w:sz w:val="24"/>
          <w14:textFill>
            <w14:solidFill>
              <w14:schemeClr w14:val="tx1"/>
            </w14:solidFill>
          </w14:textFill>
        </w:rPr>
        <w:t>监狱企业参加采购活动的，应</w:t>
      </w:r>
      <w:r>
        <w:rPr>
          <w:rFonts w:hint="eastAsia" w:ascii="仿宋" w:hAnsi="仿宋" w:eastAsia="仿宋" w:cs="宋体"/>
          <w:color w:val="000000" w:themeColor="text1"/>
          <w:sz w:val="24"/>
          <w14:textFill>
            <w14:solidFill>
              <w14:schemeClr w14:val="tx1"/>
            </w14:solidFill>
          </w14:textFill>
        </w:rPr>
        <w:t>提供由省级以上监狱管理局、戒毒管理局</w:t>
      </w:r>
      <w:r>
        <w:rPr>
          <w:rFonts w:ascii="仿宋" w:hAnsi="仿宋" w:eastAsia="仿宋" w:cs="宋体"/>
          <w:color w:val="000000" w:themeColor="text1"/>
          <w:sz w:val="24"/>
          <w14:textFill>
            <w14:solidFill>
              <w14:schemeClr w14:val="tx1"/>
            </w14:solidFill>
          </w14:textFill>
        </w:rPr>
        <w:t>(含新疆生产建设兵团)出具的属于监狱企业的证明文件。</w:t>
      </w:r>
    </w:p>
    <w:p>
      <w:pPr>
        <w:spacing w:after="0" w:line="360" w:lineRule="auto"/>
        <w:jc w:val="left"/>
        <w:rPr>
          <w:rFonts w:ascii="仿宋" w:hAnsi="仿宋" w:eastAsia="仿宋" w:cs="宋体"/>
          <w:color w:val="000000" w:themeColor="text1"/>
          <w:sz w:val="24"/>
          <w14:textFill>
            <w14:solidFill>
              <w14:schemeClr w14:val="tx1"/>
            </w14:solidFill>
          </w14:textFill>
        </w:rPr>
      </w:pP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1、投标人符合《政府采购支持监狱企业发展有关问题的通知》（财库〔2014〕68号）规定的划分标准为监狱企业</w:t>
      </w:r>
      <w:r>
        <w:rPr>
          <w:rFonts w:hint="eastAsia" w:ascii="仿宋" w:hAnsi="仿宋" w:eastAsia="仿宋" w:cs="宋体"/>
          <w:color w:val="000000" w:themeColor="text1"/>
          <w:sz w:val="24"/>
          <w14:textFill>
            <w14:solidFill>
              <w14:schemeClr w14:val="tx1"/>
            </w14:solidFill>
          </w14:textFill>
        </w:rPr>
        <w:t>的</w:t>
      </w:r>
      <w:r>
        <w:rPr>
          <w:rFonts w:ascii="仿宋" w:hAnsi="仿宋" w:eastAsia="仿宋" w:cs="宋体"/>
          <w:color w:val="000000" w:themeColor="text1"/>
          <w:sz w:val="24"/>
          <w14:textFill>
            <w14:solidFill>
              <w14:schemeClr w14:val="tx1"/>
            </w14:solidFill>
          </w14:textFill>
        </w:rPr>
        <w:t>适用。</w:t>
      </w:r>
    </w:p>
    <w:p>
      <w:pPr>
        <w:numPr>
          <w:ilvl w:val="255"/>
          <w:numId w:val="0"/>
        </w:numPr>
        <w:spacing w:line="300" w:lineRule="exac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14:textFill>
            <w14:solidFill>
              <w14:schemeClr w14:val="tx1"/>
            </w14:solidFill>
          </w14:textFill>
        </w:rPr>
        <w:t>价格扣除等政府采购促进中小企业发展的政府采购政策。</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“其他响应性投标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标</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人</w:t>
      </w:r>
      <w:r>
        <w:rPr>
          <w:rFonts w:ascii="仿宋" w:hAnsi="仿宋" w:eastAsia="仿宋"/>
          <w:b/>
          <w:color w:val="000000" w:themeColor="text1"/>
          <w:sz w:val="32"/>
          <w14:textFill>
            <w14:solidFill>
              <w14:schemeClr w14:val="tx1"/>
            </w14:solidFill>
          </w14:textFill>
        </w:rPr>
        <w:t>名称</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年</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widowControl/>
        <w:spacing w:after="0" w:line="240" w:lineRule="auto"/>
        <w:jc w:val="left"/>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一、投</w:t>
      </w:r>
      <w:r>
        <w:rPr>
          <w:rFonts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标</w:t>
      </w:r>
      <w:r>
        <w:rPr>
          <w:rFonts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函</w:t>
      </w:r>
      <w:bookmarkEnd w:id="134"/>
      <w:bookmarkEnd w:id="135"/>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w:t>
      </w:r>
      <w:r>
        <w:rPr>
          <w:rFonts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”项目（招标编号：</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）招标文件，决定参加贵单位组织的本项目投标。</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一、我方自愿按照招标文件规定的各项要求向采购人提供所需服务。</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二、一旦我方中标，我方将严格履行政府采购合同规定的责任和义务。</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三、我方同意本次招标的投标有效期为投标截止时间届满后</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天，并同意招标文件中其他关于投标有效期的实质性要求。</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四、我方愿意提供贵单位可能另外要求的，与投标有关的文件资料，并保证我方已提供和将要提供的文件资料是真实、准确的。</w:t>
      </w:r>
    </w:p>
    <w:p>
      <w:pPr>
        <w:pStyle w:val="2"/>
        <w:rPr>
          <w:color w:val="000000" w:themeColor="text1"/>
          <w14:textFill>
            <w14:solidFill>
              <w14:schemeClr w14:val="tx1"/>
            </w14:solidFill>
          </w14:textFill>
        </w:rPr>
      </w:pP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通讯地址：XXXX。</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邮政编码：XXXX。</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真：XXXX。</w:t>
      </w:r>
    </w:p>
    <w:p>
      <w:pPr>
        <w:widowControl/>
        <w:spacing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期：XXXX年XXXX月XXXX日。</w:t>
      </w:r>
    </w:p>
    <w:p>
      <w:pPr>
        <w:spacing w:after="0" w:line="360" w:lineRule="auto"/>
        <w:rPr>
          <w:rFonts w:ascii="仿宋" w:hAnsi="仿宋" w:eastAsia="仿宋"/>
          <w:b/>
          <w:color w:val="000000" w:themeColor="text1"/>
          <w:sz w:val="32"/>
          <w:szCs w:val="32"/>
          <w14:textFill>
            <w14:solidFill>
              <w14:schemeClr w14:val="tx1"/>
            </w14:solidFill>
          </w14:textFill>
        </w:rPr>
      </w:pPr>
      <w:bookmarkStart w:id="137" w:name="_Toc308164824"/>
      <w:r>
        <w:rPr>
          <w:rFonts w:ascii="仿宋" w:hAnsi="仿宋" w:eastAsia="仿宋"/>
          <w:b/>
          <w:color w:val="000000" w:themeColor="text1"/>
          <w:sz w:val="32"/>
          <w:szCs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after="0" w:line="240" w:lineRule="auto"/>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widowControl/>
        <w:spacing w:after="0" w:line="240" w:lineRule="auto"/>
        <w:jc w:val="center"/>
        <w:rPr>
          <w:rFonts w:ascii="仿宋" w:hAnsi="仿宋" w:eastAsia="仿宋"/>
          <w:b/>
          <w:color w:val="000000" w:themeColor="text1"/>
          <w:sz w:val="24"/>
          <w14:textFill>
            <w14:solidFill>
              <w14:schemeClr w14:val="tx1"/>
            </w14:solidFill>
          </w14:textFill>
        </w:rPr>
      </w:pPr>
    </w:p>
    <w:p>
      <w:pPr>
        <w:widowControl/>
        <w:spacing w:after="0"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一、我方已认真阅读并接受本项目招标文件第二章的全部实质性要求</w:t>
      </w:r>
      <w:r>
        <w:rPr>
          <w:rFonts w:ascii="仿宋" w:hAnsi="仿宋" w:eastAsia="仿宋"/>
          <w:color w:val="000000" w:themeColor="text1"/>
          <w:sz w:val="24"/>
          <w14:textFill>
            <w14:solidFill>
              <w14:schemeClr w14:val="tx1"/>
            </w14:solidFill>
          </w14:textFill>
        </w:rPr>
        <w:t>，如对招标文件有异议，</w:t>
      </w:r>
      <w:r>
        <w:rPr>
          <w:rFonts w:hint="eastAsia" w:ascii="仿宋" w:hAnsi="仿宋" w:eastAsia="仿宋"/>
          <w:color w:val="000000" w:themeColor="text1"/>
          <w:sz w:val="24"/>
          <w14:textFill>
            <w14:solidFill>
              <w14:schemeClr w14:val="tx1"/>
            </w14:solidFill>
          </w14:textFill>
        </w:rPr>
        <w:t>已</w:t>
      </w:r>
      <w:r>
        <w:rPr>
          <w:rFonts w:ascii="仿宋" w:hAnsi="仿宋" w:eastAsia="仿宋"/>
          <w:color w:val="000000" w:themeColor="text1"/>
          <w:sz w:val="24"/>
          <w14:textFill>
            <w14:solidFill>
              <w14:schemeClr w14:val="tx1"/>
            </w14:solidFill>
          </w14:textFill>
        </w:rPr>
        <w:t>依法进行维权救济，不存在对招标文件有异议的同时又参加投标以求侥幸中标或者为实现其他非法目的的行为。</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不属于此类禁止参加本项目的供应商</w:t>
      </w:r>
      <w:r>
        <w:rPr>
          <w:rFonts w:ascii="仿宋" w:hAnsi="仿宋" w:eastAsia="仿宋"/>
          <w:color w:val="000000" w:themeColor="text1"/>
          <w:sz w:val="24"/>
          <w14:textFill>
            <w14:solidFill>
              <w14:schemeClr w14:val="tx1"/>
            </w14:solidFill>
          </w14:textFill>
        </w:rPr>
        <w:t>。</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14:textFill>
            <w14:solidFill>
              <w14:schemeClr w14:val="tx1"/>
            </w14:solidFill>
          </w14:textFill>
        </w:rPr>
        <w:t>承诺符合其要求。</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八、参加本次招标采购活动，</w:t>
      </w:r>
      <w:r>
        <w:rPr>
          <w:rFonts w:ascii="仿宋" w:hAnsi="仿宋" w:eastAsia="仿宋"/>
          <w:color w:val="000000" w:themeColor="text1"/>
          <w:sz w:val="24"/>
          <w14:textFill>
            <w14:solidFill>
              <w14:schemeClr w14:val="tx1"/>
            </w14:solidFill>
          </w14:textFill>
        </w:rPr>
        <w:t>我方</w:t>
      </w:r>
      <w:r>
        <w:rPr>
          <w:rFonts w:hint="eastAsia" w:ascii="仿宋" w:hAnsi="仿宋" w:eastAsia="仿宋"/>
          <w:color w:val="000000" w:themeColor="text1"/>
          <w:sz w:val="24"/>
          <w14:textFill>
            <w14:solidFill>
              <w14:schemeClr w14:val="tx1"/>
            </w14:solidFill>
          </w14:textFill>
        </w:rPr>
        <w:t>完全同意</w:t>
      </w:r>
      <w:r>
        <w:rPr>
          <w:rFonts w:ascii="仿宋" w:hAnsi="仿宋" w:eastAsia="仿宋"/>
          <w:color w:val="000000" w:themeColor="text1"/>
          <w:sz w:val="24"/>
          <w14:textFill>
            <w14:solidFill>
              <w14:schemeClr w14:val="tx1"/>
            </w14:solidFill>
          </w14:textFill>
        </w:rPr>
        <w:t>招标文件第二章关于“</w:t>
      </w:r>
      <w:r>
        <w:rPr>
          <w:rFonts w:hint="eastAsia" w:ascii="仿宋" w:hAnsi="仿宋" w:eastAsia="仿宋"/>
          <w:color w:val="000000" w:themeColor="text1"/>
          <w:sz w:val="24"/>
          <w14:textFill>
            <w14:solidFill>
              <w14:schemeClr w14:val="tx1"/>
            </w14:solidFill>
          </w14:textFill>
        </w:rPr>
        <w:t>投标</w:t>
      </w:r>
      <w:r>
        <w:rPr>
          <w:rFonts w:ascii="仿宋" w:hAnsi="仿宋" w:eastAsia="仿宋"/>
          <w:color w:val="000000" w:themeColor="text1"/>
          <w:sz w:val="24"/>
          <w14:textFill>
            <w14:solidFill>
              <w14:schemeClr w14:val="tx1"/>
            </w14:solidFill>
          </w14:textFill>
        </w:rPr>
        <w:t>费用”</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分包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转包”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履约</w:t>
      </w:r>
      <w:r>
        <w:rPr>
          <w:rFonts w:ascii="仿宋" w:hAnsi="仿宋" w:eastAsia="仿宋"/>
          <w:color w:val="000000" w:themeColor="text1"/>
          <w:sz w:val="24"/>
          <w14:textFill>
            <w14:solidFill>
              <w14:schemeClr w14:val="tx1"/>
            </w14:solidFill>
          </w14:textFill>
        </w:rPr>
        <w:t>保证金”</w:t>
      </w:r>
      <w:r>
        <w:rPr>
          <w:rFonts w:hint="eastAsia" w:ascii="仿宋" w:hAnsi="仿宋" w:eastAsia="仿宋"/>
          <w:color w:val="000000" w:themeColor="text1"/>
          <w:sz w:val="24"/>
          <w14:textFill>
            <w14:solidFill>
              <w14:schemeClr w14:val="tx1"/>
            </w14:solidFill>
          </w14:textFill>
        </w:rPr>
        <w:t>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并承诺严格按照招标文件要求</w:t>
      </w:r>
      <w:r>
        <w:rPr>
          <w:rFonts w:hint="eastAsia" w:ascii="仿宋" w:hAnsi="仿宋" w:eastAsia="仿宋"/>
          <w:color w:val="000000" w:themeColor="text1"/>
          <w:sz w:val="24"/>
          <w14:textFill>
            <w14:solidFill>
              <w14:schemeClr w14:val="tx1"/>
            </w14:solidFill>
          </w14:textFill>
        </w:rPr>
        <w:t>履行</w:t>
      </w:r>
      <w:r>
        <w:rPr>
          <w:rFonts w:ascii="仿宋" w:hAnsi="仿宋" w:eastAsia="仿宋"/>
          <w:color w:val="000000" w:themeColor="text1"/>
          <w:sz w:val="24"/>
          <w14:textFill>
            <w14:solidFill>
              <w14:schemeClr w14:val="tx1"/>
            </w14:solidFill>
          </w14:textFill>
        </w:rPr>
        <w:t>。</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Hans"/>
          <w14:textFill>
            <w14:solidFill>
              <w14:schemeClr w14:val="tx1"/>
            </w14:solidFill>
          </w14:textFill>
        </w:rPr>
        <w:t>九</w:t>
      </w:r>
      <w:r>
        <w:rPr>
          <w:rFonts w:hint="eastAsia" w:ascii="仿宋" w:hAnsi="仿宋" w:eastAsia="仿宋"/>
          <w:color w:val="000000" w:themeColor="text1"/>
          <w:sz w:val="24"/>
          <w14:textFill>
            <w14:solidFill>
              <w14:schemeClr w14:val="tx1"/>
            </w14:solidFill>
          </w14:textFill>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十、本次投标报价是响应招标项目要求的全部工作内容的价格体现，包括完成本项目所需的一切费用。</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widowControl/>
        <w:spacing w:after="0" w:line="240" w:lineRule="auto"/>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spacing w:after="0" w:line="360" w:lineRule="auto"/>
        <w:jc w:val="center"/>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t>关联单位申明函</w:t>
      </w:r>
    </w:p>
    <w:p>
      <w:pPr>
        <w:widowControl/>
        <w:spacing w:after="0" w:line="360" w:lineRule="auto"/>
        <w:jc w:val="left"/>
        <w:rPr>
          <w:rFonts w:ascii="仿宋" w:hAnsi="仿宋" w:eastAsia="仿宋"/>
          <w:color w:val="000000" w:themeColor="text1"/>
          <w:sz w:val="24"/>
          <w14:textFill>
            <w14:solidFill>
              <w14:schemeClr w14:val="tx1"/>
            </w14:solidFill>
          </w14:textFill>
        </w:rPr>
      </w:pPr>
    </w:p>
    <w:p>
      <w:pPr>
        <w:widowControl/>
        <w:spacing w:after="0"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本项目与我方存在直接控股关系的单位为：XXX；存在管理关系单位为：XXX</w:t>
      </w:r>
    </w:p>
    <w:p>
      <w:pPr>
        <w:widowControl/>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after="0" w:line="36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widowControl/>
        <w:spacing w:after="0" w:line="240" w:lineRule="auto"/>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bookmarkEnd w:id="106"/>
      <w:bookmarkEnd w:id="137"/>
    </w:p>
    <w:p>
      <w:pPr>
        <w:spacing w:line="400" w:lineRule="exact"/>
        <w:ind w:firstLine="643" w:firstLineChars="200"/>
        <w:jc w:val="center"/>
        <w:outlineLvl w:val="1"/>
        <w:rPr>
          <w:rFonts w:ascii="仿宋" w:hAnsi="仿宋" w:eastAsia="仿宋"/>
          <w:b/>
          <w:color w:val="000000" w:themeColor="text1"/>
          <w:sz w:val="32"/>
          <w:szCs w:val="32"/>
          <w14:textFill>
            <w14:solidFill>
              <w14:schemeClr w14:val="tx1"/>
            </w14:solidFill>
          </w14:textFill>
        </w:rPr>
      </w:pPr>
      <w:bookmarkStart w:id="138" w:name="_Toc217446085"/>
      <w:r>
        <w:rPr>
          <w:rFonts w:hint="eastAsia" w:ascii="仿宋" w:hAnsi="仿宋" w:eastAsia="仿宋"/>
          <w:b/>
          <w:color w:val="000000" w:themeColor="text1"/>
          <w:sz w:val="32"/>
          <w:szCs w:val="32"/>
          <w14:textFill>
            <w14:solidFill>
              <w14:schemeClr w14:val="tx1"/>
            </w14:solidFill>
          </w14:textFill>
        </w:rPr>
        <w:t>三、开标一览表</w:t>
      </w:r>
      <w:bookmarkEnd w:id="138"/>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346"/>
        <w:gridCol w:w="1377"/>
        <w:gridCol w:w="2026"/>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43"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1485" w:type="pct"/>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1104" w:type="pct"/>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服务期限</w:t>
            </w:r>
          </w:p>
        </w:tc>
        <w:tc>
          <w:tcPr>
            <w:tcW w:w="1966"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3"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1</w:t>
            </w:r>
          </w:p>
        </w:tc>
        <w:tc>
          <w:tcPr>
            <w:tcW w:w="1485" w:type="pct"/>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棚改贷款资金审计</w:t>
            </w:r>
          </w:p>
        </w:tc>
        <w:tc>
          <w:tcPr>
            <w:tcW w:w="1104" w:type="pct"/>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66"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2</w:t>
            </w:r>
          </w:p>
        </w:tc>
        <w:tc>
          <w:tcPr>
            <w:tcW w:w="1485" w:type="pct"/>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其他来源资金投入审计</w:t>
            </w:r>
          </w:p>
        </w:tc>
        <w:tc>
          <w:tcPr>
            <w:tcW w:w="1104" w:type="pct"/>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66"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3</w:t>
            </w:r>
          </w:p>
        </w:tc>
        <w:tc>
          <w:tcPr>
            <w:tcW w:w="1485" w:type="pct"/>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高新区财政资金投入审计</w:t>
            </w:r>
          </w:p>
        </w:tc>
        <w:tc>
          <w:tcPr>
            <w:tcW w:w="1104" w:type="pct"/>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66" w:type="pct"/>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033" w:type="pct"/>
            <w:gridSpan w:val="4"/>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合</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计</w:t>
            </w:r>
            <w:r>
              <w:rPr>
                <w:rFonts w:ascii="仿宋" w:hAnsi="仿宋" w:eastAsia="仿宋" w:cs="宋体"/>
                <w:color w:val="000000" w:themeColor="text1"/>
                <w:kern w:val="0"/>
                <w:sz w:val="24"/>
                <w14:textFill>
                  <w14:solidFill>
                    <w14:schemeClr w14:val="tx1"/>
                  </w14:solidFill>
                </w14:textFill>
              </w:rPr>
              <w:t>(万元)</w:t>
            </w:r>
          </w:p>
        </w:tc>
        <w:tc>
          <w:tcPr>
            <w:tcW w:w="1966" w:type="pct"/>
            <w:vAlign w:val="center"/>
          </w:tcPr>
          <w:p>
            <w:pPr>
              <w:widowControl/>
              <w:spacing w:line="360" w:lineRule="auto"/>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1" w:hRule="atLeast"/>
        </w:trPr>
        <w:tc>
          <w:tcPr>
            <w:tcW w:w="1177" w:type="pct"/>
            <w:gridSpan w:val="2"/>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投标总价</w:t>
            </w:r>
          </w:p>
        </w:tc>
        <w:tc>
          <w:tcPr>
            <w:tcW w:w="3822" w:type="pct"/>
            <w:gridSpan w:val="3"/>
            <w:vAlign w:val="center"/>
          </w:tcPr>
          <w:p>
            <w:pPr>
              <w:widowControl/>
              <w:spacing w:line="360" w:lineRule="auto"/>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人民币大写： </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 xml:space="preserve">（人民币小写： </w:t>
            </w:r>
            <w:r>
              <w:rPr>
                <w:rFonts w:ascii="仿宋" w:hAnsi="仿宋" w:eastAsia="仿宋"/>
                <w:b/>
                <w:color w:val="000000" w:themeColor="text1"/>
                <w:sz w:val="24"/>
                <w14:textFill>
                  <w14:solidFill>
                    <w14:schemeClr w14:val="tx1"/>
                  </w14:solidFill>
                </w14:textFill>
              </w:rPr>
              <w:t xml:space="preserve">  </w:t>
            </w:r>
            <w:r>
              <w:rPr>
                <w:rFonts w:hint="eastAsia" w:ascii="仿宋" w:hAnsi="仿宋" w:eastAsia="仿宋"/>
                <w:b/>
                <w:color w:val="000000" w:themeColor="text1"/>
                <w:sz w:val="24"/>
                <w14:textFill>
                  <w14:solidFill>
                    <w14:schemeClr w14:val="tx1"/>
                  </w14:solidFill>
                </w14:textFill>
              </w:rPr>
              <w:t>万元）</w:t>
            </w:r>
          </w:p>
        </w:tc>
      </w:tr>
    </w:tbl>
    <w:p>
      <w:pPr>
        <w:widowControl/>
        <w:spacing w:line="360" w:lineRule="atLeast"/>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2、“开标一览表”以包为单位填写。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b/>
          <w:color w:val="000000" w:themeColor="text1"/>
          <w:sz w:val="24"/>
          <w14:textFill>
            <w14:solidFill>
              <w14:schemeClr w14:val="tx1"/>
            </w14:solidFill>
          </w14:textFill>
        </w:rPr>
        <w:sectPr>
          <w:pgSz w:w="11905" w:h="16838"/>
          <w:pgMar w:top="1440" w:right="1474" w:bottom="1440" w:left="1474" w:header="425" w:footer="992" w:gutter="0"/>
          <w:cols w:space="0" w:num="1"/>
          <w:titlePg/>
          <w:docGrid w:linePitch="312" w:charSpace="0"/>
        </w:sectPr>
      </w:pPr>
      <w:r>
        <w:rPr>
          <w:rFonts w:hint="eastAsia" w:ascii="仿宋" w:hAnsi="仿宋" w:eastAsia="仿宋"/>
          <w:color w:val="000000" w:themeColor="text1"/>
          <w:sz w:val="24"/>
          <w14:textFill>
            <w14:solidFill>
              <w14:schemeClr w14:val="tx1"/>
            </w14:solidFill>
          </w14:textFill>
        </w:rPr>
        <w:t>投标日期：XXXX。</w:t>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bookmarkStart w:id="139" w:name="_Toc217446086"/>
      <w:r>
        <w:rPr>
          <w:rFonts w:hint="eastAsia" w:ascii="仿宋" w:hAnsi="仿宋" w:eastAsia="仿宋"/>
          <w:b/>
          <w:color w:val="000000" w:themeColor="text1"/>
          <w:sz w:val="32"/>
          <w:szCs w:val="32"/>
          <w14:textFill>
            <w14:solidFill>
              <w14:schemeClr w14:val="tx1"/>
            </w14:solidFill>
          </w14:textFill>
        </w:rPr>
        <w:t>格式2-5</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四、分项报价明细表</w:t>
      </w:r>
      <w:bookmarkEnd w:id="139"/>
    </w:p>
    <w:p>
      <w:pPr>
        <w:widowControl/>
        <w:spacing w:after="0"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after="0"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417"/>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before="120"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序号</w:t>
            </w:r>
          </w:p>
        </w:tc>
        <w:tc>
          <w:tcPr>
            <w:tcW w:w="2407" w:type="pct"/>
            <w:vAlign w:val="center"/>
          </w:tcPr>
          <w:p>
            <w:pPr>
              <w:pStyle w:val="14"/>
              <w:spacing w:before="120"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服务内容</w:t>
            </w:r>
          </w:p>
        </w:tc>
        <w:tc>
          <w:tcPr>
            <w:tcW w:w="2042" w:type="pct"/>
            <w:vAlign w:val="center"/>
          </w:tcPr>
          <w:p>
            <w:pPr>
              <w:pStyle w:val="14"/>
              <w:spacing w:before="120"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w:t>
            </w: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407"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pct"/>
            <w:gridSpan w:val="2"/>
            <w:vAlign w:val="center"/>
          </w:tcPr>
          <w:p>
            <w:pPr>
              <w:pStyle w:val="14"/>
              <w:spacing w:after="0" w:line="360" w:lineRule="auto"/>
              <w:ind w:firstLine="361" w:firstLineChars="150"/>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总</w:t>
            </w:r>
            <w:r>
              <w:rPr>
                <w:rFonts w:ascii="仿宋" w:hAnsi="仿宋" w:eastAsia="仿宋"/>
                <w:b/>
                <w:color w:val="000000" w:themeColor="text1"/>
                <w:kern w:val="0"/>
                <w:sz w:val="24"/>
                <w14:textFill>
                  <w14:solidFill>
                    <w14:schemeClr w14:val="tx1"/>
                  </w14:solidFill>
                </w14:textFill>
              </w:rPr>
              <w:t xml:space="preserve">    </w:t>
            </w:r>
            <w:r>
              <w:rPr>
                <w:rFonts w:hint="eastAsia" w:ascii="仿宋" w:hAnsi="仿宋" w:eastAsia="仿宋"/>
                <w:b/>
                <w:color w:val="000000" w:themeColor="text1"/>
                <w:kern w:val="0"/>
                <w:sz w:val="24"/>
                <w14:textFill>
                  <w14:solidFill>
                    <w14:schemeClr w14:val="tx1"/>
                  </w14:solidFill>
                </w14:textFill>
              </w:rPr>
              <w:t>价</w:t>
            </w:r>
            <w:r>
              <w:rPr>
                <w:rFonts w:ascii="仿宋" w:hAnsi="仿宋" w:eastAsia="仿宋"/>
                <w:b/>
                <w:color w:val="000000" w:themeColor="text1"/>
                <w:kern w:val="0"/>
                <w:sz w:val="24"/>
                <w14:textFill>
                  <w14:solidFill>
                    <w14:schemeClr w14:val="tx1"/>
                  </w14:solidFill>
                </w14:textFill>
              </w:rPr>
              <w:t>(万元)</w:t>
            </w:r>
          </w:p>
        </w:tc>
        <w:tc>
          <w:tcPr>
            <w:tcW w:w="2042" w:type="pct"/>
            <w:vAlign w:val="center"/>
          </w:tcPr>
          <w:p>
            <w:pPr>
              <w:pStyle w:val="14"/>
              <w:spacing w:after="0" w:line="360" w:lineRule="auto"/>
              <w:jc w:val="center"/>
              <w:rPr>
                <w:rFonts w:ascii="仿宋" w:hAnsi="仿宋" w:eastAsia="仿宋"/>
                <w:color w:val="000000" w:themeColor="text1"/>
                <w:kern w:val="0"/>
                <w:sz w:val="24"/>
                <w14:textFill>
                  <w14:solidFill>
                    <w14:schemeClr w14:val="tx1"/>
                  </w14:solidFill>
                </w14:textFill>
              </w:rPr>
            </w:pPr>
          </w:p>
        </w:tc>
      </w:tr>
    </w:tbl>
    <w:p>
      <w:pPr>
        <w:widowControl/>
        <w:spacing w:after="0" w:line="360" w:lineRule="atLeast"/>
        <w:jc w:val="left"/>
        <w:rPr>
          <w:rFonts w:ascii="仿宋" w:hAnsi="仿宋" w:eastAsia="仿宋"/>
          <w:color w:val="000000" w:themeColor="text1"/>
          <w:sz w:val="24"/>
          <w14:textFill>
            <w14:solidFill>
              <w14:schemeClr w14:val="tx1"/>
            </w14:solidFill>
          </w14:textFill>
        </w:rPr>
      </w:pP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注：1、投标人应按“分项报价明细表”的格式详细报出投标总价的各个组成部分的报价。</w:t>
      </w: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2、“分项报价明细表”各分项报价合计应当与“开标一览表”报价合计相等。</w:t>
      </w:r>
    </w:p>
    <w:p>
      <w:pPr>
        <w:widowControl/>
        <w:spacing w:after="0"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after="0"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投标日期：XXXX。</w:t>
      </w:r>
      <w:bookmarkStart w:id="140" w:name="_Toc217446087"/>
    </w:p>
    <w:p>
      <w:pPr>
        <w:widowControl/>
        <w:spacing w:line="360" w:lineRule="atLeast"/>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五、商务应答表</w:t>
      </w:r>
      <w:bookmarkEnd w:id="140"/>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95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151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招标要求</w:t>
            </w:r>
          </w:p>
        </w:tc>
        <w:tc>
          <w:tcPr>
            <w:tcW w:w="485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供应商必须把招标文件</w:t>
      </w:r>
      <w:r>
        <w:rPr>
          <w:rFonts w:hint="eastAsia" w:ascii="仿宋" w:hAnsi="仿宋" w:eastAsia="仿宋"/>
          <w:b/>
          <w:bCs/>
          <w:color w:val="000000" w:themeColor="text1"/>
          <w:sz w:val="24"/>
          <w14:textFill>
            <w14:solidFill>
              <w14:schemeClr w14:val="tx1"/>
            </w14:solidFill>
          </w14:textFill>
        </w:rPr>
        <w:t>第六章全部商务要求</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2．按照招标项目商务要求的顺序逐条对应填写。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spacing w:after="0" w:line="240" w:lineRule="auto"/>
        <w:jc w:val="left"/>
        <w:rPr>
          <w:rFonts w:ascii="仿宋" w:hAnsi="仿宋" w:eastAsia="仿宋"/>
          <w:b/>
          <w:color w:val="000000" w:themeColor="text1"/>
          <w:sz w:val="32"/>
          <w:szCs w:val="32"/>
          <w14:textFill>
            <w14:solidFill>
              <w14:schemeClr w14:val="tx1"/>
            </w14:solidFill>
          </w14:textFill>
        </w:rPr>
      </w:pPr>
      <w:bookmarkStart w:id="141" w:name="_Toc217446088"/>
      <w:r>
        <w:rPr>
          <w:rFonts w:hint="eastAsia" w:ascii="仿宋" w:hAnsi="仿宋" w:eastAsia="仿宋"/>
          <w:b/>
          <w:color w:val="000000" w:themeColor="text1"/>
          <w:sz w:val="32"/>
          <w:szCs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格式2-7</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六、投标人基本情况表</w:t>
      </w:r>
      <w:bookmarkEnd w:id="141"/>
    </w:p>
    <w:tbl>
      <w:tblPr>
        <w:tblStyle w:val="26"/>
        <w:tblW w:w="4999"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7"/>
        <w:gridCol w:w="1068"/>
        <w:gridCol w:w="1383"/>
        <w:gridCol w:w="1392"/>
        <w:gridCol w:w="1473"/>
        <w:gridCol w:w="176"/>
        <w:gridCol w:w="771"/>
        <w:gridCol w:w="121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095" w:type="pct"/>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3"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联系方式</w:t>
            </w:r>
          </w:p>
        </w:tc>
        <w:tc>
          <w:tcPr>
            <w:tcW w:w="582"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p>
        </w:tc>
        <w:tc>
          <w:tcPr>
            <w:tcW w:w="1513"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3"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5" w:type="pct"/>
            <w:vMerge w:val="continue"/>
            <w:vAlign w:val="center"/>
          </w:tcPr>
          <w:p>
            <w:pPr>
              <w:spacing w:after="0"/>
              <w:rPr>
                <w:rFonts w:ascii="仿宋" w:hAnsi="仿宋" w:eastAsia="仿宋"/>
                <w:color w:val="000000" w:themeColor="text1"/>
                <w14:textFill>
                  <w14:solidFill>
                    <w14:schemeClr w14:val="tx1"/>
                  </w14:solidFill>
                </w14:textFill>
              </w:rPr>
            </w:pPr>
          </w:p>
        </w:tc>
        <w:tc>
          <w:tcPr>
            <w:tcW w:w="582"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w:t>
            </w:r>
          </w:p>
        </w:tc>
        <w:tc>
          <w:tcPr>
            <w:tcW w:w="1513"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3"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网址</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组织结构</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p>
        </w:tc>
        <w:tc>
          <w:tcPr>
            <w:tcW w:w="582"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754"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803"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516"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658"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技术负责人</w:t>
            </w:r>
          </w:p>
        </w:tc>
        <w:tc>
          <w:tcPr>
            <w:tcW w:w="582"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754"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803"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516"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658"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成立时间</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737" w:type="pct"/>
            <w:gridSpan w:val="5"/>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企业资质等级</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其中</w:t>
            </w:r>
          </w:p>
        </w:tc>
        <w:tc>
          <w:tcPr>
            <w:tcW w:w="899"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项目经理</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营业执照号</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Merge w:val="continue"/>
            <w:vAlign w:val="center"/>
          </w:tcPr>
          <w:p>
            <w:pPr>
              <w:spacing w:after="0"/>
              <w:rPr>
                <w:rFonts w:ascii="仿宋" w:hAnsi="仿宋" w:eastAsia="仿宋"/>
                <w:color w:val="000000" w:themeColor="text1"/>
                <w14:textFill>
                  <w14:solidFill>
                    <w14:schemeClr w14:val="tx1"/>
                  </w14:solidFill>
                </w14:textFill>
              </w:rPr>
            </w:pPr>
          </w:p>
        </w:tc>
        <w:tc>
          <w:tcPr>
            <w:tcW w:w="899"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注册资金</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Merge w:val="continue"/>
            <w:vAlign w:val="center"/>
          </w:tcPr>
          <w:p>
            <w:pPr>
              <w:spacing w:after="0"/>
              <w:rPr>
                <w:rFonts w:ascii="仿宋" w:hAnsi="仿宋" w:eastAsia="仿宋"/>
                <w:color w:val="000000" w:themeColor="text1"/>
                <w14:textFill>
                  <w14:solidFill>
                    <w14:schemeClr w14:val="tx1"/>
                  </w14:solidFill>
                </w14:textFill>
              </w:rPr>
            </w:pPr>
          </w:p>
        </w:tc>
        <w:tc>
          <w:tcPr>
            <w:tcW w:w="899"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Merge w:val="continue"/>
            <w:vAlign w:val="center"/>
          </w:tcPr>
          <w:p>
            <w:pPr>
              <w:spacing w:after="0"/>
              <w:rPr>
                <w:rFonts w:ascii="仿宋" w:hAnsi="仿宋" w:eastAsia="仿宋"/>
                <w:color w:val="000000" w:themeColor="text1"/>
                <w14:textFill>
                  <w14:solidFill>
                    <w14:schemeClr w14:val="tx1"/>
                  </w14:solidFill>
                </w14:textFill>
              </w:rPr>
            </w:pPr>
          </w:p>
        </w:tc>
        <w:tc>
          <w:tcPr>
            <w:tcW w:w="899" w:type="pct"/>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59" w:type="pct"/>
            <w:vMerge w:val="continue"/>
            <w:vAlign w:val="center"/>
          </w:tcPr>
          <w:p>
            <w:pPr>
              <w:spacing w:after="0"/>
              <w:rPr>
                <w:rFonts w:ascii="仿宋" w:hAnsi="仿宋" w:eastAsia="仿宋"/>
                <w:color w:val="000000" w:themeColor="text1"/>
                <w14:textFill>
                  <w14:solidFill>
                    <w14:schemeClr w14:val="tx1"/>
                  </w14:solidFill>
                </w14:textFill>
              </w:rPr>
            </w:pPr>
          </w:p>
        </w:tc>
        <w:tc>
          <w:tcPr>
            <w:tcW w:w="89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技工</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5" w:type="pc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经营范围</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5" w:type="pct"/>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4074" w:type="pct"/>
            <w:gridSpan w:val="7"/>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spacing w:line="360" w:lineRule="auto"/>
        <w:rPr>
          <w:rFonts w:ascii="仿宋" w:hAnsi="仿宋" w:eastAsia="仿宋"/>
          <w:b/>
          <w:color w:val="000000" w:themeColor="text1"/>
          <w:sz w:val="36"/>
          <w:szCs w:val="36"/>
          <w14:textFill>
            <w14:solidFill>
              <w14:schemeClr w14:val="tx1"/>
            </w14:solidFill>
          </w14:textFill>
        </w:rPr>
      </w:pPr>
      <w:bookmarkStart w:id="142" w:name="_Toc217446089"/>
      <w:r>
        <w:rPr>
          <w:rFonts w:ascii="仿宋" w:hAnsi="仿宋" w:eastAsia="仿宋"/>
          <w:b/>
          <w:color w:val="000000" w:themeColor="text1"/>
          <w:sz w:val="36"/>
          <w:szCs w:val="36"/>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格式2-8</w:t>
      </w:r>
    </w:p>
    <w:p>
      <w:pPr>
        <w:widowControl/>
        <w:spacing w:line="360" w:lineRule="atLeast"/>
        <w:jc w:val="center"/>
        <w:outlineLvl w:val="1"/>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七、类似项目业绩一览表</w:t>
      </w:r>
      <w:bookmarkEnd w:id="142"/>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0"/>
        <w:gridCol w:w="1403"/>
        <w:gridCol w:w="1235"/>
        <w:gridCol w:w="1338"/>
        <w:gridCol w:w="11"/>
        <w:gridCol w:w="1725"/>
        <w:gridCol w:w="10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年份</w:t>
            </w:r>
          </w:p>
        </w:tc>
        <w:tc>
          <w:tcPr>
            <w:tcW w:w="844"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用户名称</w:t>
            </w:r>
          </w:p>
        </w:tc>
        <w:tc>
          <w:tcPr>
            <w:tcW w:w="774"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81"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完成时间</w:t>
            </w:r>
          </w:p>
        </w:tc>
        <w:tc>
          <w:tcPr>
            <w:tcW w:w="738"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合同金额</w:t>
            </w:r>
          </w:p>
        </w:tc>
        <w:tc>
          <w:tcPr>
            <w:tcW w:w="956" w:type="pct"/>
            <w:gridSpan w:val="2"/>
            <w:tcBorders>
              <w:righ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是否通过验收</w:t>
            </w:r>
          </w:p>
        </w:tc>
        <w:tc>
          <w:tcPr>
            <w:tcW w:w="581" w:type="pct"/>
            <w:tcBorders>
              <w:lef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8"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8"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8"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8"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4" w:type="pct"/>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74" w:type="pct"/>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81" w:type="pct"/>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81" w:type="pct"/>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w:t>
      </w:r>
    </w:p>
    <w:p>
      <w:pPr>
        <w:widowControl/>
        <w:spacing w:line="360" w:lineRule="atLeast"/>
        <w:ind w:firstLine="470" w:firstLineChars="19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bookmarkStart w:id="143" w:name="_Toc217446090"/>
      <w:r>
        <w:rPr>
          <w:rFonts w:ascii="仿宋" w:hAnsi="仿宋" w:eastAsia="仿宋"/>
          <w:b/>
          <w:color w:val="000000" w:themeColor="text1"/>
          <w:sz w:val="32"/>
          <w:szCs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八、服务应答表</w:t>
      </w:r>
      <w:bookmarkEnd w:id="143"/>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29"/>
        <w:gridCol w:w="2104"/>
        <w:gridCol w:w="245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561"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包号 </w:t>
            </w:r>
          </w:p>
        </w:tc>
        <w:tc>
          <w:tcPr>
            <w:tcW w:w="1147"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招标文件条目号</w:t>
            </w:r>
          </w:p>
        </w:tc>
        <w:tc>
          <w:tcPr>
            <w:tcW w:w="1338"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招标文件要求</w:t>
            </w:r>
          </w:p>
        </w:tc>
        <w:tc>
          <w:tcPr>
            <w:tcW w:w="1490"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47"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38"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90"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供应商必须把招标文件</w:t>
      </w:r>
      <w:r>
        <w:rPr>
          <w:rFonts w:hint="eastAsia" w:ascii="仿宋" w:hAnsi="仿宋" w:eastAsia="仿宋"/>
          <w:b/>
          <w:bCs/>
          <w:color w:val="000000" w:themeColor="text1"/>
          <w:sz w:val="24"/>
          <w14:textFill>
            <w14:solidFill>
              <w14:schemeClr w14:val="tx1"/>
            </w14:solidFill>
          </w14:textFill>
        </w:rPr>
        <w:t>第六章技术服务要求全部</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2．按照招标项目技术要求的顺序逐条对应填写。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bookmarkStart w:id="144" w:name="_Toc217446091"/>
      <w:r>
        <w:rPr>
          <w:rFonts w:ascii="仿宋" w:hAnsi="仿宋" w:eastAsia="仿宋"/>
          <w:b/>
          <w:color w:val="000000" w:themeColor="text1"/>
          <w:sz w:val="32"/>
          <w:szCs w:val="32"/>
          <w14:textFill>
            <w14:solidFill>
              <w14:schemeClr w14:val="tx1"/>
            </w14:solidFill>
          </w14:textFill>
        </w:rPr>
        <w:br w:type="page"/>
      </w:r>
    </w:p>
    <w:p>
      <w:pPr>
        <w:spacing w:after="0" w:line="36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九、投标人本项目管理、技术、服务人员情况表</w:t>
      </w:r>
      <w:bookmarkEnd w:id="144"/>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76"/>
        <w:gridCol w:w="977"/>
        <w:gridCol w:w="977"/>
        <w:gridCol w:w="977"/>
        <w:gridCol w:w="1030"/>
        <w:gridCol w:w="1162"/>
        <w:gridCol w:w="1026"/>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532" w:type="pct"/>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532" w:type="pct"/>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532" w:type="pct"/>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532" w:type="pct"/>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2238" w:type="pct"/>
            <w:gridSpan w:val="4"/>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rPr>
                <w:rFonts w:ascii="仿宋" w:hAnsi="仿宋" w:eastAsia="仿宋"/>
                <w:color w:val="000000" w:themeColor="text1"/>
                <w14:textFill>
                  <w14:solidFill>
                    <w14:schemeClr w14:val="tx1"/>
                  </w14:solidFill>
                </w14:textFill>
              </w:rPr>
            </w:pPr>
          </w:p>
        </w:tc>
        <w:tc>
          <w:tcPr>
            <w:tcW w:w="532" w:type="pct"/>
            <w:vMerge w:val="continue"/>
            <w:vAlign w:val="center"/>
          </w:tcPr>
          <w:p>
            <w:pPr>
              <w:rPr>
                <w:rFonts w:ascii="仿宋" w:hAnsi="仿宋" w:eastAsia="仿宋"/>
                <w:color w:val="000000" w:themeColor="text1"/>
                <w14:textFill>
                  <w14:solidFill>
                    <w14:schemeClr w14:val="tx1"/>
                  </w14:solidFill>
                </w14:textFill>
              </w:rPr>
            </w:pPr>
          </w:p>
        </w:tc>
        <w:tc>
          <w:tcPr>
            <w:tcW w:w="532" w:type="pct"/>
            <w:vMerge w:val="continue"/>
            <w:vAlign w:val="center"/>
          </w:tcPr>
          <w:p>
            <w:pPr>
              <w:rPr>
                <w:rFonts w:ascii="仿宋" w:hAnsi="仿宋" w:eastAsia="仿宋"/>
                <w:color w:val="000000" w:themeColor="text1"/>
                <w14:textFill>
                  <w14:solidFill>
                    <w14:schemeClr w14:val="tx1"/>
                  </w14:solidFill>
                </w14:textFill>
              </w:rPr>
            </w:pPr>
          </w:p>
        </w:tc>
        <w:tc>
          <w:tcPr>
            <w:tcW w:w="532" w:type="pct"/>
            <w:vMerge w:val="continue"/>
            <w:vAlign w:val="center"/>
          </w:tcPr>
          <w:p>
            <w:pPr>
              <w:rPr>
                <w:rFonts w:ascii="仿宋" w:hAnsi="仿宋" w:eastAsia="仿宋"/>
                <w:color w:val="000000" w:themeColor="text1"/>
                <w14:textFill>
                  <w14:solidFill>
                    <w14:schemeClr w14:val="tx1"/>
                  </w14:solidFill>
                </w14:textFill>
              </w:rPr>
            </w:pPr>
          </w:p>
        </w:tc>
        <w:tc>
          <w:tcPr>
            <w:tcW w:w="532" w:type="pct"/>
            <w:vMerge w:val="continue"/>
            <w:vAlign w:val="center"/>
          </w:tcPr>
          <w:p>
            <w:pPr>
              <w:rPr>
                <w:rFonts w:ascii="仿宋" w:hAnsi="仿宋" w:eastAsia="仿宋"/>
                <w:color w:val="000000" w:themeColor="text1"/>
                <w14:textFill>
                  <w14:solidFill>
                    <w14:schemeClr w14:val="tx1"/>
                  </w14:solidFill>
                </w14:textFill>
              </w:rPr>
            </w:pPr>
          </w:p>
        </w:tc>
        <w:tc>
          <w:tcPr>
            <w:tcW w:w="561"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633"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559"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484" w:type="pc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color w:val="000000" w:themeColor="text1"/>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color w:val="000000" w:themeColor="text1"/>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color w:val="000000" w:themeColor="text1"/>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color w:val="000000" w:themeColor="text1"/>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tcPr>
          <w:p>
            <w:pPr>
              <w:rPr>
                <w:rFonts w:ascii="仿宋" w:hAnsi="仿宋" w:eastAsia="仿宋"/>
                <w:color w:val="000000" w:themeColor="text1"/>
                <w14:textFill>
                  <w14:solidFill>
                    <w14:schemeClr w14:val="tx1"/>
                  </w14:solidFill>
                </w14:textFill>
              </w:rPr>
            </w:pPr>
          </w:p>
        </w:tc>
        <w:tc>
          <w:tcPr>
            <w:tcW w:w="532" w:type="pct"/>
            <w:tcBorders>
              <w:bottom w:val="single" w:color="auto" w:sz="4" w:space="0"/>
            </w:tcBorders>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32"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61"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633"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559"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4" w:type="pct"/>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备注：此表填写的管理人员将作为判定87号令第37条依据。</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rPr>
          <w:color w:val="000000" w:themeColor="text1"/>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spacing w:line="300" w:lineRule="exact"/>
        <w:rPr>
          <w:rFonts w:ascii="仿宋" w:hAnsi="仿宋" w:eastAsia="仿宋" w:cs="宋体"/>
          <w:color w:val="000000" w:themeColor="text1"/>
          <w:sz w:val="24"/>
          <w14:textFill>
            <w14:solidFill>
              <w14:schemeClr w14:val="tx1"/>
            </w14:solidFill>
          </w14:textFill>
        </w:rPr>
        <w:sectPr>
          <w:footerReference r:id="rId16" w:type="default"/>
          <w:pgSz w:w="11905" w:h="16838"/>
          <w:pgMar w:top="1440" w:right="1474" w:bottom="1440" w:left="1474" w:header="425" w:footer="992" w:gutter="0"/>
          <w:cols w:space="0" w:num="1"/>
          <w:titlePg/>
          <w:docGrid w:linePitch="312" w:charSpace="0"/>
        </w:sectPr>
      </w:pPr>
      <w:bookmarkStart w:id="145" w:name="_Toc28495"/>
    </w:p>
    <w:p>
      <w:pPr>
        <w:pStyle w:val="3"/>
        <w:spacing w:line="240" w:lineRule="auto"/>
        <w:jc w:val="center"/>
        <w:rPr>
          <w:rFonts w:ascii="仿宋" w:hAnsi="仿宋" w:eastAsia="仿宋"/>
          <w:color w:val="000000" w:themeColor="text1"/>
          <w:sz w:val="36"/>
          <w:szCs w:val="36"/>
          <w14:textFill>
            <w14:solidFill>
              <w14:schemeClr w14:val="tx1"/>
            </w14:solidFill>
          </w14:textFill>
        </w:rPr>
      </w:pPr>
      <w:bookmarkStart w:id="146" w:name="_Toc32359"/>
      <w:r>
        <w:rPr>
          <w:rFonts w:hint="eastAsia" w:ascii="仿宋" w:hAnsi="仿宋" w:eastAsia="仿宋"/>
          <w:color w:val="000000" w:themeColor="text1"/>
          <w:sz w:val="36"/>
          <w:szCs w:val="36"/>
          <w14:textFill>
            <w14:solidFill>
              <w14:schemeClr w14:val="tx1"/>
            </w14:solidFill>
          </w14:textFill>
        </w:rPr>
        <w:t>第四章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投标人和投标产品的资格、资质性及其他类似效力要求</w:t>
      </w:r>
      <w:bookmarkEnd w:id="145"/>
      <w:bookmarkEnd w:id="146"/>
    </w:p>
    <w:p>
      <w:pPr>
        <w:pStyle w:val="4"/>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一、投标人资格、资质性及其他类似效力要求</w:t>
      </w:r>
    </w:p>
    <w:p>
      <w:pPr>
        <w:pStyle w:val="42"/>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（一）资格要求：详见第五章资格性审查。</w:t>
      </w:r>
    </w:p>
    <w:p>
      <w:pPr>
        <w:pStyle w:val="42"/>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（二）资质性要求：详见第五章资格性审查。</w:t>
      </w:r>
    </w:p>
    <w:p>
      <w:pPr>
        <w:pStyle w:val="42"/>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（三）其他类似效力要求：详见第五章资格性审查。</w:t>
      </w:r>
    </w:p>
    <w:p>
      <w:pPr>
        <w:pStyle w:val="4"/>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二、投标产品的资格、资质性及其他具有类似效力的要求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（一）资格要求：详见第五章资格性审查。</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（二）资质性要求：详见第五章资格性审查。</w:t>
      </w:r>
    </w:p>
    <w:p>
      <w:pPr>
        <w:pStyle w:val="42"/>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（三）其他类似效力要求：详见第五章资格性审查。</w:t>
      </w:r>
    </w:p>
    <w:p>
      <w:pPr>
        <w:pStyle w:val="42"/>
        <w:spacing w:line="420" w:lineRule="exact"/>
        <w:ind w:firstLine="0" w:firstLineChars="0"/>
        <w:rPr>
          <w:rFonts w:ascii="仿宋" w:hAnsi="仿宋" w:eastAsia="仿宋"/>
          <w:b/>
          <w:color w:val="000000" w:themeColor="text1"/>
          <w:sz w:val="24"/>
          <w14:textFill>
            <w14:solidFill>
              <w14:schemeClr w14:val="tx1"/>
            </w14:solidFill>
          </w14:textFill>
        </w:rPr>
      </w:pPr>
    </w:p>
    <w:p>
      <w:pPr>
        <w:pStyle w:val="3"/>
        <w:spacing w:line="240" w:lineRule="auto"/>
        <w:jc w:val="center"/>
        <w:rPr>
          <w:rFonts w:ascii="仿宋" w:hAnsi="仿宋" w:eastAsia="仿宋"/>
          <w:color w:val="000000" w:themeColor="text1"/>
          <w:sz w:val="36"/>
          <w:szCs w:val="36"/>
          <w14:textFill>
            <w14:solidFill>
              <w14:schemeClr w14:val="tx1"/>
            </w14:solidFill>
          </w14:textFill>
        </w:rPr>
      </w:pPr>
      <w:bookmarkStart w:id="147" w:name="_Toc1588"/>
      <w:r>
        <w:rPr>
          <w:rFonts w:ascii="仿宋" w:hAnsi="仿宋" w:eastAsia="仿宋"/>
          <w:color w:val="000000" w:themeColor="text1"/>
          <w:sz w:val="36"/>
          <w:szCs w:val="36"/>
          <w14:textFill>
            <w14:solidFill>
              <w14:schemeClr w14:val="tx1"/>
            </w14:solidFill>
          </w14:textFill>
        </w:rPr>
        <w:br w:type="page"/>
      </w:r>
      <w:bookmarkStart w:id="148" w:name="_Toc13090"/>
      <w:r>
        <w:rPr>
          <w:rFonts w:hint="eastAsia" w:ascii="仿宋" w:hAnsi="仿宋" w:eastAsia="仿宋"/>
          <w:color w:val="000000" w:themeColor="text1"/>
          <w:sz w:val="36"/>
          <w:szCs w:val="36"/>
          <w14:textFill>
            <w14:solidFill>
              <w14:schemeClr w14:val="tx1"/>
            </w14:solidFill>
          </w14:textFill>
        </w:rPr>
        <w:t>第五章</w:t>
      </w:r>
      <w:r>
        <w:rPr>
          <w:rFonts w:ascii="仿宋" w:hAnsi="仿宋" w:eastAsia="仿宋"/>
          <w:color w:val="000000" w:themeColor="text1"/>
          <w:sz w:val="36"/>
          <w:szCs w:val="36"/>
          <w14:textFill>
            <w14:solidFill>
              <w14:schemeClr w14:val="tx1"/>
            </w14:solidFill>
          </w14:textFill>
        </w:rPr>
        <w:t xml:space="preserve">  </w:t>
      </w:r>
      <w:bookmarkEnd w:id="147"/>
      <w:r>
        <w:rPr>
          <w:rFonts w:hint="eastAsia" w:ascii="仿宋" w:hAnsi="仿宋" w:eastAsia="仿宋"/>
          <w:color w:val="000000" w:themeColor="text1"/>
          <w:sz w:val="36"/>
          <w:szCs w:val="36"/>
          <w14:textFill>
            <w14:solidFill>
              <w14:schemeClr w14:val="tx1"/>
            </w14:solidFill>
          </w14:textFill>
        </w:rPr>
        <w:t>资格性审查要求</w:t>
      </w:r>
      <w:bookmarkEnd w:id="148"/>
    </w:p>
    <w:p>
      <w:pPr>
        <w:rPr>
          <w:rFonts w:ascii="仿宋" w:hAnsi="仿宋" w:eastAsia="仿宋"/>
          <w:color w:val="000000" w:themeColor="text1"/>
          <w14:textFill>
            <w14:solidFill>
              <w14:schemeClr w14:val="tx1"/>
            </w14:solidFill>
          </w14:textFill>
        </w:rPr>
      </w:pPr>
    </w:p>
    <w:p>
      <w:pPr>
        <w:spacing w:line="360" w:lineRule="auto"/>
        <w:jc w:val="left"/>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采购人或者采购代理机构应当依法对投标人的资格进行审查，资格审查内容详见下表。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524"/>
        <w:gridCol w:w="388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Align w:val="center"/>
          </w:tcPr>
          <w:p>
            <w:pPr>
              <w:tabs>
                <w:tab w:val="left" w:pos="851"/>
              </w:tabs>
              <w:spacing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376" w:type="pct"/>
            <w:vAlign w:val="center"/>
          </w:tcPr>
          <w:p>
            <w:pPr>
              <w:tabs>
                <w:tab w:val="left" w:pos="851"/>
              </w:tabs>
              <w:spacing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第四章  投标人和投标产品的资格、资质性及其他类似效力要求</w:t>
            </w:r>
          </w:p>
        </w:tc>
        <w:tc>
          <w:tcPr>
            <w:tcW w:w="2118" w:type="pct"/>
            <w:vAlign w:val="center"/>
          </w:tcPr>
          <w:p>
            <w:pPr>
              <w:tabs>
                <w:tab w:val="left" w:pos="851"/>
              </w:tabs>
              <w:spacing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资格审查要求</w:t>
            </w:r>
          </w:p>
        </w:tc>
        <w:tc>
          <w:tcPr>
            <w:tcW w:w="1043" w:type="pct"/>
            <w:vAlign w:val="center"/>
          </w:tcPr>
          <w:p>
            <w:pPr>
              <w:spacing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463" w:type="pct"/>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1376"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1、满足《中华人民共和国政府采购法》第二十二条规定；</w:t>
            </w:r>
          </w:p>
        </w:tc>
        <w:tc>
          <w:tcPr>
            <w:tcW w:w="2118" w:type="pct"/>
            <w:vAlign w:val="center"/>
          </w:tcPr>
          <w:p>
            <w:pPr>
              <w:pStyle w:val="42"/>
              <w:spacing w:line="240" w:lineRule="auto"/>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restart"/>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restart"/>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spacing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1.2、具备良好商业信誉的证明材料（可提供承诺函，格式详见第三章）</w:t>
            </w:r>
          </w:p>
          <w:p>
            <w:pPr>
              <w:spacing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continue"/>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pStyle w:val="42"/>
              <w:spacing w:line="240" w:lineRule="auto"/>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000000" w:themeColor="text1"/>
                <w:sz w:val="24"/>
                <w14:textFill>
                  <w14:solidFill>
                    <w14:schemeClr w14:val="tx1"/>
                  </w14:solidFill>
                </w14:textFill>
              </w:rPr>
              <w:t>部门印章</w:t>
            </w:r>
            <w:r>
              <w:rPr>
                <w:rFonts w:hint="eastAsia" w:ascii="仿宋" w:hAnsi="仿宋" w:eastAsia="仿宋"/>
                <w:color w:val="000000" w:themeColor="text1"/>
                <w:sz w:val="24"/>
                <w14:textFill>
                  <w14:solidFill>
                    <w14:schemeClr w14:val="tx1"/>
                  </w14:solidFill>
                </w14:textFill>
              </w:rPr>
              <w:t>的公司章程复印件。｝</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continue"/>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1.4、具有依法缴纳税收和社会保障资金的良好记录（可提供承诺函，格式详见第三章）；</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continue"/>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pStyle w:val="42"/>
              <w:spacing w:line="24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1.5、具备履行合同所必需的设备和专业技术能力的证明材料（可提供承诺函，格式详见第三章）；</w:t>
            </w:r>
          </w:p>
          <w:p>
            <w:pPr>
              <w:spacing w:line="240" w:lineRule="auto"/>
              <w:rPr>
                <w:rFonts w:ascii="仿宋" w:hAnsi="仿宋" w:eastAsia="仿宋" w:cs="仿宋"/>
                <w:bCs/>
                <w:color w:val="000000" w:themeColor="text1"/>
                <w:sz w:val="24"/>
                <w14:textFill>
                  <w14:solidFill>
                    <w14:schemeClr w14:val="tx1"/>
                  </w14:solidFill>
                </w14:textFill>
              </w:rPr>
            </w:pP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Merge w:val="continue"/>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continue"/>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pStyle w:val="42"/>
              <w:spacing w:line="24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1.6、参加政府采购活动前3年内在经营活动中没有重大违法记录的承诺函（格式详见第三章）；</w:t>
            </w:r>
          </w:p>
          <w:p>
            <w:pPr>
              <w:pStyle w:val="42"/>
              <w:spacing w:line="240" w:lineRule="auto"/>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p>
        </w:tc>
        <w:tc>
          <w:tcPr>
            <w:tcW w:w="1376" w:type="pct"/>
            <w:vMerge w:val="continue"/>
            <w:vAlign w:val="center"/>
          </w:tcPr>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1.7、具备法律、行政法规规定的其他条件的证明材料（可提供承诺函，格式详见第三章）；</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p>
        </w:tc>
        <w:tc>
          <w:tcPr>
            <w:tcW w:w="1376" w:type="pct"/>
            <w:vAlign w:val="center"/>
          </w:tcPr>
          <w:p>
            <w:pPr>
              <w:pStyle w:val="42"/>
              <w:spacing w:line="240" w:lineRule="auto"/>
              <w:ind w:firstLine="0" w:firstLineChars="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2、落实政府采购政策需满足的资格要求：</w:t>
            </w:r>
          </w:p>
          <w:p>
            <w:pPr>
              <w:pStyle w:val="42"/>
              <w:spacing w:line="240" w:lineRule="auto"/>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2.1 本项目专门面向中小企业采</w:t>
            </w:r>
            <w:r>
              <w:rPr>
                <w:rFonts w:hint="eastAsia" w:ascii="仿宋" w:hAnsi="仿宋" w:eastAsia="仿宋"/>
                <w:color w:val="000000" w:themeColor="text1"/>
                <w:sz w:val="24"/>
                <w14:textFill>
                  <w14:solidFill>
                    <w14:schemeClr w14:val="tx1"/>
                  </w14:solidFill>
                </w14:textFill>
              </w:rPr>
              <w:t>购（监狱企业、残疾人福利性单位均视同小微企业），非中小企业参与的将视为无效</w:t>
            </w:r>
            <w:r>
              <w:rPr>
                <w:rFonts w:hint="eastAsia" w:ascii="仿宋" w:hAnsi="仿宋" w:eastAsia="仿宋"/>
                <w:color w:val="000000" w:themeColor="text1"/>
                <w:sz w:val="24"/>
                <w:lang w:eastAsia="zh-Hans"/>
                <w14:textFill>
                  <w14:solidFill>
                    <w14:schemeClr w14:val="tx1"/>
                  </w14:solidFill>
                </w14:textFill>
              </w:rPr>
              <w:t>投标</w:t>
            </w:r>
            <w:r>
              <w:rPr>
                <w:rFonts w:ascii="仿宋" w:hAnsi="仿宋" w:eastAsia="仿宋"/>
                <w:color w:val="000000" w:themeColor="text1"/>
                <w:sz w:val="24"/>
                <w14:textFill>
                  <w14:solidFill>
                    <w14:schemeClr w14:val="tx1"/>
                  </w14:solidFill>
                </w14:textFill>
              </w:rPr>
              <w:t>。</w:t>
            </w:r>
          </w:p>
        </w:tc>
        <w:tc>
          <w:tcPr>
            <w:tcW w:w="2118" w:type="pct"/>
            <w:vAlign w:val="center"/>
          </w:tcPr>
          <w:p>
            <w:pPr>
              <w:pStyle w:val="42"/>
              <w:spacing w:line="240" w:lineRule="auto"/>
              <w:ind w:firstLine="0" w:firstLineChars="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2.落实政府采购政策需满足的资格要求：</w:t>
            </w:r>
          </w:p>
          <w:p>
            <w:pPr>
              <w:pStyle w:val="42"/>
              <w:spacing w:line="240" w:lineRule="auto"/>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2.1本项目专门面向中小企业采购（监狱企业、残疾人福利性单位均视同小微企业），非中小企业参与的将视为无效</w:t>
            </w:r>
            <w:r>
              <w:rPr>
                <w:rFonts w:hint="eastAsia" w:ascii="仿宋" w:hAnsi="仿宋" w:eastAsia="仿宋" w:cs="宋体"/>
                <w:color w:val="000000" w:themeColor="text1"/>
                <w:sz w:val="24"/>
                <w:lang w:eastAsia="zh-Hans"/>
                <w14:textFill>
                  <w14:solidFill>
                    <w14:schemeClr w14:val="tx1"/>
                  </w14:solidFill>
                </w14:textFill>
              </w:rPr>
              <w:t>投标</w:t>
            </w:r>
            <w:r>
              <w:rPr>
                <w:rFonts w:hint="eastAsia" w:ascii="仿宋" w:hAnsi="仿宋" w:eastAsia="仿宋" w:cs="宋体"/>
                <w:color w:val="000000" w:themeColor="text1"/>
                <w:sz w:val="24"/>
                <w14:textFill>
                  <w14:solidFill>
                    <w14:schemeClr w14:val="tx1"/>
                  </w14:solidFill>
                </w14:textFill>
              </w:rPr>
              <w:t>。（提供中小企业声明函或残疾人福利性单位声明函或由省级以上监狱管理局、戒毒管理局(含新疆生产建设兵团)出具的属于监狱企业的证明文件）</w:t>
            </w:r>
            <w:r>
              <w:rPr>
                <w:rFonts w:ascii="仿宋" w:hAnsi="仿宋" w:eastAsia="仿宋"/>
                <w:color w:val="000000" w:themeColor="text1"/>
                <w:sz w:val="24"/>
                <w14:textFill>
                  <w14:solidFill>
                    <w14:schemeClr w14:val="tx1"/>
                  </w14:solidFill>
                </w14:textFill>
              </w:rPr>
              <w:t>。</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olor w:val="000000" w:themeColor="text1"/>
                <w:sz w:val="24"/>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pct"/>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c>
          <w:tcPr>
            <w:tcW w:w="1376" w:type="pct"/>
            <w:vAlign w:val="center"/>
          </w:tcPr>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s="宋体"/>
                <w:color w:val="000000" w:themeColor="text1"/>
                <w:sz w:val="24"/>
                <w14:textFill>
                  <w14:solidFill>
                    <w14:schemeClr w14:val="tx1"/>
                  </w14:solidFill>
                </w14:textFill>
              </w:rPr>
              <w:t>本项目的特定资格要求：</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w:t>
            </w:r>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具有有效的会计师事务所执业许可证书。</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3.2</w:t>
            </w:r>
            <w:r>
              <w:rPr>
                <w:rFonts w:hint="eastAsia" w:ascii="仿宋" w:hAnsi="仿宋" w:eastAsia="仿宋" w:cs="宋体"/>
                <w:color w:val="000000" w:themeColor="text1"/>
                <w:sz w:val="24"/>
                <w14:textFill>
                  <w14:solidFill>
                    <w14:schemeClr w14:val="tx1"/>
                  </w14:solidFill>
                </w14:textFill>
              </w:rPr>
              <w:t>以联合体形式参加投标的，联合体各方均应当符合《政府采购法》第二十二条第一款规定的条件，并提交联合体协议，载明联合体各方承担的工作和相应的责任。</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3.3</w:t>
            </w:r>
            <w:r>
              <w:rPr>
                <w:rFonts w:hint="eastAsia" w:ascii="仿宋" w:hAnsi="仿宋" w:eastAsia="仿宋" w:cs="宋体"/>
                <w:color w:val="000000" w:themeColor="text1"/>
                <w:sz w:val="24"/>
                <w14:textFill>
                  <w14:solidFill>
                    <w14:schemeClr w14:val="tx1"/>
                  </w14:solidFill>
                </w14:textFill>
              </w:rPr>
              <w:t>联合体中有同类资质的供应商按照联合体分工承担相同工作的，应当按照资质等级较低的供应商确定资质等级。</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3.4</w:t>
            </w:r>
            <w:r>
              <w:rPr>
                <w:rFonts w:hint="eastAsia" w:ascii="仿宋" w:hAnsi="仿宋" w:eastAsia="仿宋" w:cs="宋体"/>
                <w:color w:val="000000" w:themeColor="text1"/>
                <w:sz w:val="24"/>
                <w14:textFill>
                  <w14:solidFill>
                    <w14:schemeClr w14:val="tx1"/>
                  </w14:solidFill>
                </w14:textFill>
              </w:rPr>
              <w:t>联合体各方不得再单独参加或者与其他供应商另外组成联合体参加同一合同项下的政府采购活动。</w:t>
            </w:r>
          </w:p>
          <w:p>
            <w:pPr>
              <w:spacing w:line="240" w:lineRule="auto"/>
              <w:rPr>
                <w:rFonts w:ascii="仿宋" w:hAnsi="仿宋" w:eastAsia="仿宋" w:cs="仿宋"/>
                <w:bCs/>
                <w:color w:val="000000" w:themeColor="text1"/>
                <w:sz w:val="24"/>
                <w14:textFill>
                  <w14:solidFill>
                    <w14:schemeClr w14:val="tx1"/>
                  </w14:solidFill>
                </w14:textFill>
              </w:rPr>
            </w:pPr>
          </w:p>
        </w:tc>
        <w:tc>
          <w:tcPr>
            <w:tcW w:w="2118" w:type="pct"/>
            <w:vAlign w:val="center"/>
          </w:tcPr>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3.1提供有效的会计师事务所执业许可证书。</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3.2以联合体形式参加投标的，联合体各方均应当符合《政府采购法》第二十二条第一款规定的条件，并提交联合体协议，载明联合体各方承担的工作和相应的责任。</w:t>
            </w:r>
          </w:p>
          <w:p>
            <w:pPr>
              <w:tabs>
                <w:tab w:val="left" w:pos="7665"/>
              </w:tabs>
              <w:spacing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3.3联合体中有同类资质的供应商按照联合体分工承担相同工作的，应当按照资质等级较低的供应商确定资质等级。</w:t>
            </w:r>
          </w:p>
          <w:p>
            <w:pPr>
              <w:spacing w:line="24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3.4联合体各方不得再单独参加或者与其他供应商另外组成联合体参加同一合同项下的政府采购活动。</w:t>
            </w:r>
          </w:p>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注：根据国务院办公厅关于加快推进“多证合一”改革的指导意见（国办发</w:t>
            </w:r>
            <w:r>
              <w:rPr>
                <w:rFonts w:hint="eastAsia" w:ascii="仿宋" w:hAnsi="仿宋" w:eastAsia="仿宋" w:cs="仿宋"/>
                <w:bCs/>
                <w:color w:val="000000" w:themeColor="text1"/>
                <w:sz w:val="24"/>
                <w14:textFill>
                  <w14:solidFill>
                    <w14:schemeClr w14:val="tx1"/>
                  </w14:solidFill>
                </w14:textFill>
              </w:rPr>
              <w:t>〔2017〕</w:t>
            </w:r>
            <w:r>
              <w:rPr>
                <w:rFonts w:hint="eastAsia" w:ascii="仿宋" w:hAnsi="仿宋" w:eastAsia="仿宋" w:cs="宋体"/>
                <w:color w:val="000000" w:themeColor="text1"/>
                <w:sz w:val="24"/>
                <w14:textFill>
                  <w14:solidFill>
                    <w14:schemeClr w14:val="tx1"/>
                  </w14:solidFill>
                </w14:textFill>
              </w:rPr>
              <w:t xml:space="preserve">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043" w:type="pct"/>
            <w:vAlign w:val="center"/>
          </w:tcPr>
          <w:p>
            <w:pPr>
              <w:spacing w:line="240" w:lineRule="auto"/>
              <w:rPr>
                <w:rFonts w:ascii="仿宋" w:hAnsi="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投标人按照要求上传证明材料，</w:t>
            </w:r>
            <w:r>
              <w:rPr>
                <w:rFonts w:hint="eastAsia" w:ascii="仿宋" w:hAnsi="仿宋" w:eastAsia="仿宋" w:cs="仿宋"/>
                <w:color w:val="000000" w:themeColor="text1"/>
                <w:sz w:val="24"/>
                <w14:textFill>
                  <w14:solidFill>
                    <w14:schemeClr w14:val="tx1"/>
                  </w14:solidFill>
                </w14:textFill>
              </w:rPr>
              <w:t>采购人或者采购代理机构</w:t>
            </w:r>
            <w:r>
              <w:rPr>
                <w:rFonts w:hint="eastAsia" w:ascii="仿宋" w:hAnsi="仿宋" w:eastAsia="仿宋" w:cs="仿宋"/>
                <w:bCs/>
                <w:color w:val="000000" w:themeColor="text1"/>
                <w:sz w:val="24"/>
                <w14:textFill>
                  <w14:solidFill>
                    <w14:schemeClr w14:val="tx1"/>
                  </w14:solidFill>
                </w14:textFill>
              </w:rPr>
              <w:t>根据上传内容</w:t>
            </w:r>
            <w:r>
              <w:rPr>
                <w:rFonts w:hint="eastAsia" w:ascii="仿宋" w:hAnsi="仿宋" w:eastAsia="仿宋" w:cs="仿宋"/>
                <w:color w:val="000000" w:themeColor="text1"/>
                <w:sz w:val="24"/>
                <w14:textFill>
                  <w14:solidFill>
                    <w14:schemeClr w14:val="tx1"/>
                  </w14:solidFill>
                </w14:textFill>
              </w:rPr>
              <w:t>对投标人的资格进行审查。</w:t>
            </w:r>
            <w:r>
              <w:rPr>
                <w:rStyle w:val="31"/>
                <w:rFonts w:hint="eastAsia" w:ascii="仿宋" w:hAnsi="仿宋" w:eastAsia="仿宋" w:cs="仿宋"/>
                <w:color w:val="000000" w:themeColor="text1"/>
                <w14:textFill>
                  <w14:solidFill>
                    <w14:schemeClr w14:val="tx1"/>
                  </w14:solidFill>
                </w14:textFill>
              </w:rPr>
              <w:t>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pPr>
              <w:spacing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w:t>
            </w:r>
          </w:p>
        </w:tc>
        <w:tc>
          <w:tcPr>
            <w:tcW w:w="1376" w:type="pct"/>
            <w:vAlign w:val="center"/>
          </w:tcPr>
          <w:p>
            <w:pPr>
              <w:spacing w:after="0" w:line="240" w:lineRule="auto"/>
              <w:ind w:right="105" w:rightChars="50"/>
              <w:rPr>
                <w:rFonts w:ascii="仿宋" w:hAnsi="仿宋" w:eastAsia="仿宋" w:cs="仿宋"/>
                <w:bCs/>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118"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000000" w:themeColor="text1"/>
                <w:sz w:val="24"/>
                <w14:textFill>
                  <w14:solidFill>
                    <w14:schemeClr w14:val="tx1"/>
                  </w14:solidFill>
                </w14:textFill>
              </w:rPr>
              <w:t>（此项由采购人或采购代理机构查询，投标人不提供证明材料）</w:t>
            </w:r>
          </w:p>
        </w:tc>
        <w:tc>
          <w:tcPr>
            <w:tcW w:w="1043" w:type="pct"/>
            <w:vAlign w:val="center"/>
          </w:tcPr>
          <w:p>
            <w:pPr>
              <w:spacing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投标人可上传空白页，上传内容不作资格审查。</w:t>
            </w:r>
          </w:p>
        </w:tc>
      </w:tr>
    </w:tbl>
    <w:p>
      <w:pPr>
        <w:rPr>
          <w:rFonts w:ascii="仿宋" w:hAnsi="仿宋" w:eastAsia="仿宋"/>
          <w:color w:val="000000" w:themeColor="text1"/>
          <w14:textFill>
            <w14:solidFill>
              <w14:schemeClr w14:val="tx1"/>
            </w14:solidFill>
          </w14:textFill>
        </w:rPr>
      </w:pPr>
    </w:p>
    <w:p>
      <w:pPr>
        <w:rPr>
          <w:rFonts w:ascii="仿宋" w:hAnsi="仿宋" w:eastAsia="仿宋" w:cs="宋体"/>
          <w:b/>
          <w:color w:val="000000" w:themeColor="text1"/>
          <w:kern w:val="0"/>
          <w:sz w:val="24"/>
          <w14:textFill>
            <w14:solidFill>
              <w14:schemeClr w14:val="tx1"/>
            </w14:solidFill>
          </w14:textFill>
        </w:rPr>
      </w:pPr>
      <w:bookmarkStart w:id="149" w:name="_Toc217446093"/>
    </w:p>
    <w:p>
      <w:pPr>
        <w:spacing w:line="360" w:lineRule="auto"/>
        <w:rPr>
          <w:rFonts w:ascii="仿宋" w:hAnsi="仿宋" w:eastAsia="仿宋"/>
          <w:color w:val="000000" w:themeColor="text1"/>
          <w:sz w:val="36"/>
          <w:szCs w:val="36"/>
          <w14:textFill>
            <w14:solidFill>
              <w14:schemeClr w14:val="tx1"/>
            </w14:solidFill>
          </w14:textFill>
        </w:rPr>
        <w:sectPr>
          <w:pgSz w:w="11905" w:h="16838"/>
          <w:pgMar w:top="1440" w:right="1474" w:bottom="1440" w:left="1474" w:header="425" w:footer="992" w:gutter="0"/>
          <w:cols w:space="0" w:num="1"/>
          <w:titlePg/>
          <w:docGrid w:linePitch="312" w:charSpace="0"/>
        </w:sectPr>
      </w:pPr>
    </w:p>
    <w:p>
      <w:pPr>
        <w:pStyle w:val="3"/>
        <w:spacing w:line="240" w:lineRule="auto"/>
        <w:jc w:val="center"/>
        <w:rPr>
          <w:rFonts w:ascii="仿宋" w:hAnsi="仿宋" w:eastAsia="仿宋"/>
          <w:color w:val="000000" w:themeColor="text1"/>
          <w:sz w:val="36"/>
          <w:szCs w:val="36"/>
          <w14:textFill>
            <w14:solidFill>
              <w14:schemeClr w14:val="tx1"/>
            </w14:solidFill>
          </w14:textFill>
        </w:rPr>
      </w:pPr>
      <w:bookmarkStart w:id="150" w:name="_Toc5020"/>
      <w:r>
        <w:rPr>
          <w:rFonts w:hint="eastAsia" w:ascii="仿宋" w:hAnsi="仿宋" w:eastAsia="仿宋"/>
          <w:color w:val="000000" w:themeColor="text1"/>
          <w:sz w:val="36"/>
          <w:szCs w:val="36"/>
          <w14:textFill>
            <w14:solidFill>
              <w14:schemeClr w14:val="tx1"/>
            </w14:solidFill>
          </w14:textFill>
        </w:rPr>
        <w:t>第六章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招标项目技术、服务、政府采购合同内容条款及其他商务要求</w:t>
      </w:r>
      <w:bookmarkEnd w:id="149"/>
      <w:bookmarkEnd w:id="150"/>
    </w:p>
    <w:p>
      <w:pPr>
        <w:spacing w:line="360" w:lineRule="auto"/>
        <w:rPr>
          <w:rFonts w:ascii="仿宋" w:hAnsi="仿宋" w:eastAsia="仿宋"/>
          <w:b/>
          <w:color w:val="000000" w:themeColor="text1"/>
          <w:sz w:val="24"/>
          <w14:textFill>
            <w14:solidFill>
              <w14:schemeClr w14:val="tx1"/>
            </w14:solidFill>
          </w14:textFill>
        </w:rPr>
      </w:pPr>
      <w:bookmarkStart w:id="151" w:name="_Toc217446094"/>
      <w:r>
        <w:rPr>
          <w:rFonts w:hint="eastAsia" w:ascii="仿宋" w:hAnsi="仿宋" w:eastAsia="仿宋"/>
          <w:b/>
          <w:color w:val="000000" w:themeColor="text1"/>
          <w:sz w:val="24"/>
          <w14:textFill>
            <w14:solidFill>
              <w14:schemeClr w14:val="tx1"/>
            </w14:solidFill>
          </w14:textFill>
        </w:rPr>
        <w:t>前提：本章中所有</w:t>
      </w:r>
      <w:r>
        <w:rPr>
          <w:rFonts w:ascii="仿宋" w:hAnsi="仿宋" w:eastAsia="仿宋"/>
          <w:b/>
          <w:color w:val="000000" w:themeColor="text1"/>
          <w:sz w:val="24"/>
          <w14:textFill>
            <w14:solidFill>
              <w14:schemeClr w14:val="tx1"/>
            </w14:solidFill>
          </w14:textFill>
        </w:rPr>
        <w:t>的条款为本项目的实质性条款，投标人不满足的，将按照无效投标处理。</w:t>
      </w:r>
      <w:bookmarkEnd w:id="151"/>
    </w:p>
    <w:p>
      <w:pPr>
        <w:rPr>
          <w:color w:val="000000" w:themeColor="text1"/>
          <w14:textFill>
            <w14:solidFill>
              <w14:schemeClr w14:val="tx1"/>
            </w14:solidFill>
          </w14:textFill>
        </w:rPr>
      </w:pPr>
    </w:p>
    <w:p>
      <w:pPr>
        <w:pStyle w:val="4"/>
        <w:spacing w:line="40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一</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项目概述</w:t>
      </w:r>
    </w:p>
    <w:p>
      <w:pPr>
        <w:pStyle w:val="4"/>
        <w:tabs>
          <w:tab w:val="left" w:pos="6938"/>
        </w:tabs>
        <w:spacing w:line="400" w:lineRule="exac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1.项目概况</w:t>
      </w:r>
    </w:p>
    <w:p>
      <w:pPr>
        <w:pStyle w:val="7"/>
        <w:spacing w:line="360" w:lineRule="auto"/>
        <w:ind w:firstLine="48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为贯彻成都市人民政府《研究成都东部新区债权债务划转有关工作的会议纪要》（成府阅[2020]100号）相关精神，以成都市审计局审计结果和《成都东部新区—成都高新区PPP、棚改贷款等项目移交框架协议》为基础，对高新区投入的前期征地拆迁投入资金进行清理审定，厘清双方责任，双方共同决定委托中介机构开展原空港新城区域内的征地拆迁资金专项审计工作</w:t>
      </w:r>
    </w:p>
    <w:p>
      <w:pPr>
        <w:pStyle w:val="7"/>
        <w:spacing w:line="360" w:lineRule="auto"/>
        <w:ind w:firstLine="48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本次采购由</w:t>
      </w:r>
      <w:r>
        <w:rPr>
          <w:rFonts w:ascii="仿宋" w:hAnsi="仿宋" w:eastAsia="仿宋" w:cs="仿宋"/>
          <w:bCs/>
          <w:color w:val="000000" w:themeColor="text1"/>
          <w:sz w:val="24"/>
          <w14:textFill>
            <w14:solidFill>
              <w14:schemeClr w14:val="tx1"/>
            </w14:solidFill>
          </w14:textFill>
        </w:rPr>
        <w:t>成都东部新区党工委管委会（成都市东部新城办）财政金融局</w:t>
      </w:r>
      <w:r>
        <w:rPr>
          <w:rFonts w:hint="eastAsia" w:ascii="仿宋" w:hAnsi="仿宋" w:eastAsia="仿宋" w:cs="仿宋"/>
          <w:bCs/>
          <w:color w:val="000000" w:themeColor="text1"/>
          <w:sz w:val="24"/>
          <w14:textFill>
            <w14:solidFill>
              <w14:schemeClr w14:val="tx1"/>
            </w14:solidFill>
          </w14:textFill>
        </w:rPr>
        <w:t>和成都高新技术产业开发区财政金融局联合采购，共同与</w:t>
      </w:r>
      <w:r>
        <w:rPr>
          <w:rFonts w:ascii="仿宋" w:hAnsi="仿宋" w:eastAsia="仿宋" w:cs="仿宋"/>
          <w:bCs/>
          <w:color w:val="000000" w:themeColor="text1"/>
          <w:sz w:val="24"/>
          <w14:textFill>
            <w14:solidFill>
              <w14:schemeClr w14:val="tx1"/>
            </w14:solidFill>
          </w14:textFill>
        </w:rPr>
        <w:t>中标人</w:t>
      </w:r>
      <w:r>
        <w:rPr>
          <w:rFonts w:hint="eastAsia" w:ascii="仿宋" w:hAnsi="仿宋" w:eastAsia="仿宋" w:cs="仿宋"/>
          <w:bCs/>
          <w:color w:val="000000" w:themeColor="text1"/>
          <w:sz w:val="24"/>
          <w14:textFill>
            <w14:solidFill>
              <w14:schemeClr w14:val="tx1"/>
            </w14:solidFill>
          </w14:textFill>
        </w:rPr>
        <w:t>签订采购合同。本项目涉及的经费双方各承担5</w:t>
      </w:r>
      <w:r>
        <w:rPr>
          <w:rFonts w:ascii="仿宋" w:hAnsi="仿宋"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%，由成都东部新区党工委管委会（成都市东部新城办）财政金融局和成都高新技术产业开发区财政金融局各自支付给</w:t>
      </w:r>
      <w:r>
        <w:rPr>
          <w:rFonts w:ascii="仿宋" w:hAnsi="仿宋" w:eastAsia="仿宋" w:cs="仿宋"/>
          <w:bCs/>
          <w:color w:val="000000" w:themeColor="text1"/>
          <w:sz w:val="24"/>
          <w14:textFill>
            <w14:solidFill>
              <w14:schemeClr w14:val="tx1"/>
            </w14:solidFill>
          </w14:textFill>
        </w:rPr>
        <w:t>中标人</w:t>
      </w:r>
      <w:r>
        <w:rPr>
          <w:rFonts w:hint="eastAsia" w:ascii="仿宋" w:hAnsi="仿宋" w:eastAsia="仿宋" w:cs="仿宋"/>
          <w:bCs/>
          <w:color w:val="000000" w:themeColor="text1"/>
          <w:sz w:val="24"/>
          <w14:textFill>
            <w14:solidFill>
              <w14:schemeClr w14:val="tx1"/>
            </w14:solidFill>
          </w14:textFill>
        </w:rPr>
        <w:t>，具体支付细节在采购合同中进行约定。</w:t>
      </w:r>
    </w:p>
    <w:p>
      <w:pPr>
        <w:pStyle w:val="4"/>
        <w:tabs>
          <w:tab w:val="left" w:pos="6938"/>
        </w:tabs>
        <w:spacing w:line="400" w:lineRule="exac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2.服务名称及所属行业：</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3058"/>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67" w:type="pct"/>
            <w:vMerge w:val="restart"/>
          </w:tcPr>
          <w:p>
            <w:pPr>
              <w:pStyle w:val="7"/>
              <w:spacing w:line="400" w:lineRule="exact"/>
              <w:ind w:firstLine="0" w:firstLineChars="0"/>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包号：01</w:t>
            </w:r>
          </w:p>
        </w:tc>
        <w:tc>
          <w:tcPr>
            <w:tcW w:w="1667" w:type="pct"/>
          </w:tcPr>
          <w:p>
            <w:pPr>
              <w:pStyle w:val="7"/>
              <w:spacing w:line="400" w:lineRule="exact"/>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标的名称</w:t>
            </w:r>
          </w:p>
        </w:tc>
        <w:tc>
          <w:tcPr>
            <w:tcW w:w="1666" w:type="pct"/>
          </w:tcPr>
          <w:p>
            <w:pPr>
              <w:pStyle w:val="7"/>
              <w:spacing w:line="400" w:lineRule="exact"/>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67" w:type="pct"/>
            <w:vMerge w:val="continue"/>
          </w:tcPr>
          <w:p>
            <w:pPr>
              <w:pStyle w:val="7"/>
              <w:spacing w:line="400" w:lineRule="exact"/>
              <w:ind w:firstLine="0" w:firstLineChars="0"/>
              <w:rPr>
                <w:rFonts w:ascii="仿宋" w:hAnsi="仿宋" w:eastAsia="仿宋" w:cs="仿宋"/>
                <w:bCs/>
                <w:color w:val="000000" w:themeColor="text1"/>
                <w:sz w:val="24"/>
                <w14:textFill>
                  <w14:solidFill>
                    <w14:schemeClr w14:val="tx1"/>
                  </w14:solidFill>
                </w14:textFill>
              </w:rPr>
            </w:pPr>
          </w:p>
        </w:tc>
        <w:tc>
          <w:tcPr>
            <w:tcW w:w="1667" w:type="pct"/>
          </w:tcPr>
          <w:p>
            <w:pPr>
              <w:pStyle w:val="7"/>
              <w:spacing w:line="400" w:lineRule="exact"/>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审计服务</w:t>
            </w:r>
          </w:p>
        </w:tc>
        <w:tc>
          <w:tcPr>
            <w:tcW w:w="1666" w:type="pct"/>
          </w:tcPr>
          <w:p>
            <w:pPr>
              <w:pStyle w:val="7"/>
              <w:spacing w:line="400" w:lineRule="exact"/>
              <w:ind w:firstLine="0" w:firstLineChars="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租赁和商务服务业</w:t>
            </w:r>
          </w:p>
        </w:tc>
      </w:tr>
    </w:tbl>
    <w:p>
      <w:pPr>
        <w:spacing w:line="360" w:lineRule="auto"/>
        <w:rPr>
          <w:rFonts w:ascii="仿宋" w:hAnsi="仿宋" w:eastAsia="仿宋"/>
          <w:color w:val="000000" w:themeColor="text1"/>
          <w:sz w:val="24"/>
          <w14:textFill>
            <w14:solidFill>
              <w14:schemeClr w14:val="tx1"/>
            </w14:solidFill>
          </w14:textFill>
        </w:rPr>
      </w:pPr>
    </w:p>
    <w:p>
      <w:pPr>
        <w:pStyle w:val="4"/>
        <w:spacing w:line="40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商务要求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1、服务期限</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棚改贷款资金审计：签订合同后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个工作日内出具审计报告，并提交</w:t>
      </w:r>
      <w:r>
        <w:rPr>
          <w:rFonts w:hint="eastAsia" w:ascii="仿宋" w:hAnsi="仿宋" w:eastAsia="仿宋"/>
          <w:bCs/>
          <w:color w:val="000000" w:themeColor="text1"/>
          <w:sz w:val="24"/>
          <w14:textFill>
            <w14:solidFill>
              <w14:schemeClr w14:val="tx1"/>
            </w14:solidFill>
          </w14:textFill>
        </w:rPr>
        <w:t>成都东部新区党工委管委会（成都市东部新城办）财政金融局和成都高新技术产业开发区财政金融局</w:t>
      </w:r>
      <w:r>
        <w:rPr>
          <w:rFonts w:hint="eastAsia" w:ascii="仿宋" w:hAnsi="仿宋" w:eastAsia="仿宋"/>
          <w:color w:val="000000" w:themeColor="text1"/>
          <w:sz w:val="24"/>
          <w14:textFill>
            <w14:solidFill>
              <w14:schemeClr w14:val="tx1"/>
            </w14:solidFill>
          </w14:textFill>
        </w:rPr>
        <w:t>对审计结果进行确认；</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1.2其他来源资金投入审计：棚改贷款资金审计完成后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个工作日内出具审计报告，并提交</w:t>
      </w:r>
      <w:r>
        <w:rPr>
          <w:rFonts w:hint="eastAsia" w:ascii="仿宋" w:hAnsi="仿宋" w:eastAsia="仿宋"/>
          <w:bCs/>
          <w:color w:val="000000" w:themeColor="text1"/>
          <w:sz w:val="24"/>
          <w14:textFill>
            <w14:solidFill>
              <w14:schemeClr w14:val="tx1"/>
            </w14:solidFill>
          </w14:textFill>
        </w:rPr>
        <w:t>成都东部新区党工委管委会（成都市东部新城办）财政金融局和成都高新技术产业开发区财政金融局</w:t>
      </w:r>
      <w:r>
        <w:rPr>
          <w:rFonts w:hint="eastAsia" w:ascii="仿宋" w:hAnsi="仿宋" w:eastAsia="仿宋"/>
          <w:color w:val="000000" w:themeColor="text1"/>
          <w:sz w:val="24"/>
          <w14:textFill>
            <w14:solidFill>
              <w14:schemeClr w14:val="tx1"/>
            </w14:solidFill>
          </w14:textFill>
        </w:rPr>
        <w:t>对审计结果进行确认；</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1.3高新区财政资金投入审计：其他来源资金投入审计完成后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个工作日内出具审计报告，并提交</w:t>
      </w:r>
      <w:r>
        <w:rPr>
          <w:rFonts w:hint="eastAsia" w:ascii="仿宋" w:hAnsi="仿宋" w:eastAsia="仿宋"/>
          <w:bCs/>
          <w:color w:val="000000" w:themeColor="text1"/>
          <w:sz w:val="24"/>
          <w14:textFill>
            <w14:solidFill>
              <w14:schemeClr w14:val="tx1"/>
            </w14:solidFill>
          </w14:textFill>
        </w:rPr>
        <w:t>成都东部新区党工委管委会（成都市东部新城办）财政金融局和成都高新技术产业开发区财政金融局</w:t>
      </w:r>
      <w:r>
        <w:rPr>
          <w:rFonts w:hint="eastAsia" w:ascii="仿宋" w:hAnsi="仿宋" w:eastAsia="仿宋"/>
          <w:color w:val="000000" w:themeColor="text1"/>
          <w:sz w:val="24"/>
          <w14:textFill>
            <w14:solidFill>
              <w14:schemeClr w14:val="tx1"/>
            </w14:solidFill>
          </w14:textFill>
        </w:rPr>
        <w:t xml:space="preserve">对审计结果进行确认。 </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2、服务地点</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成都市范围内，以招标人指定地点为准。</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3、付款方式：</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棚改贷款资金审计结果确认完成后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个日历日内，</w:t>
      </w:r>
      <w:r>
        <w:rPr>
          <w:rFonts w:hint="eastAsia" w:ascii="仿宋" w:hAnsi="仿宋" w:eastAsia="仿宋"/>
          <w:bCs/>
          <w:color w:val="000000" w:themeColor="text1"/>
          <w:sz w:val="24"/>
          <w14:textFill>
            <w14:solidFill>
              <w14:schemeClr w14:val="tx1"/>
            </w14:solidFill>
          </w14:textFill>
        </w:rPr>
        <w:t>由成都东部新区党工委管委会（成都市东部新城办）财政金融局和成都高新技术产业开发区财政金融局各自支付给</w:t>
      </w:r>
      <w:r>
        <w:rPr>
          <w:rFonts w:ascii="仿宋" w:hAnsi="仿宋" w:eastAsia="仿宋"/>
          <w:bCs/>
          <w:color w:val="000000" w:themeColor="text1"/>
          <w:sz w:val="24"/>
          <w14:textFill>
            <w14:solidFill>
              <w14:schemeClr w14:val="tx1"/>
            </w14:solidFill>
          </w14:textFill>
        </w:rPr>
        <w:t>中标人</w:t>
      </w:r>
      <w:r>
        <w:rPr>
          <w:rFonts w:hint="eastAsia" w:ascii="仿宋" w:hAnsi="仿宋" w:eastAsia="仿宋"/>
          <w:color w:val="000000" w:themeColor="text1"/>
          <w:sz w:val="24"/>
          <w14:textFill>
            <w14:solidFill>
              <w14:schemeClr w14:val="tx1"/>
            </w14:solidFill>
          </w14:textFill>
        </w:rPr>
        <w:t>此单项金额的5</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其他来源资金投入审计结果确认完成后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个日历日内，</w:t>
      </w:r>
      <w:r>
        <w:rPr>
          <w:rFonts w:hint="eastAsia" w:ascii="仿宋" w:hAnsi="仿宋" w:eastAsia="仿宋"/>
          <w:bCs/>
          <w:color w:val="000000" w:themeColor="text1"/>
          <w:sz w:val="24"/>
          <w14:textFill>
            <w14:solidFill>
              <w14:schemeClr w14:val="tx1"/>
            </w14:solidFill>
          </w14:textFill>
        </w:rPr>
        <w:t>由成都东部新区党工委管委会（成都市东部新城办）财政金融局和成都高新技术产业开发区财政金融局各自支付给</w:t>
      </w:r>
      <w:r>
        <w:rPr>
          <w:rFonts w:ascii="仿宋" w:hAnsi="仿宋" w:eastAsia="仿宋"/>
          <w:bCs/>
          <w:color w:val="000000" w:themeColor="text1"/>
          <w:sz w:val="24"/>
          <w14:textFill>
            <w14:solidFill>
              <w14:schemeClr w14:val="tx1"/>
            </w14:solidFill>
          </w14:textFill>
        </w:rPr>
        <w:t>中标人</w:t>
      </w:r>
      <w:r>
        <w:rPr>
          <w:rFonts w:hint="eastAsia" w:ascii="仿宋" w:hAnsi="仿宋" w:eastAsia="仿宋"/>
          <w:color w:val="000000" w:themeColor="text1"/>
          <w:sz w:val="24"/>
          <w14:textFill>
            <w14:solidFill>
              <w14:schemeClr w14:val="tx1"/>
            </w14:solidFill>
          </w14:textFill>
        </w:rPr>
        <w:t>此单项金额的5</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3.3</w:t>
      </w:r>
      <w:r>
        <w:rPr>
          <w:rFonts w:hint="eastAsia" w:ascii="仿宋" w:hAnsi="仿宋" w:eastAsia="仿宋"/>
          <w:color w:val="000000" w:themeColor="text1"/>
          <w:sz w:val="24"/>
          <w14:textFill>
            <w14:solidFill>
              <w14:schemeClr w14:val="tx1"/>
            </w14:solidFill>
          </w14:textFill>
        </w:rPr>
        <w:t>高新区财政资金投入审计结果确认完成后</w:t>
      </w:r>
      <w:r>
        <w:rPr>
          <w:rFonts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个日历日内，</w:t>
      </w:r>
      <w:r>
        <w:rPr>
          <w:rFonts w:hint="eastAsia" w:ascii="仿宋" w:hAnsi="仿宋" w:eastAsia="仿宋"/>
          <w:bCs/>
          <w:color w:val="000000" w:themeColor="text1"/>
          <w:sz w:val="24"/>
          <w14:textFill>
            <w14:solidFill>
              <w14:schemeClr w14:val="tx1"/>
            </w14:solidFill>
          </w14:textFill>
        </w:rPr>
        <w:t>由成都东部新区党工委管委会（成都市东部新城办）财政金融局和成都高新技术产业开发区财政金融局各自支付给</w:t>
      </w:r>
      <w:r>
        <w:rPr>
          <w:rFonts w:ascii="仿宋" w:hAnsi="仿宋" w:eastAsia="仿宋"/>
          <w:bCs/>
          <w:color w:val="000000" w:themeColor="text1"/>
          <w:sz w:val="24"/>
          <w14:textFill>
            <w14:solidFill>
              <w14:schemeClr w14:val="tx1"/>
            </w14:solidFill>
          </w14:textFill>
        </w:rPr>
        <w:t>中标人</w:t>
      </w:r>
      <w:r>
        <w:rPr>
          <w:rFonts w:hint="eastAsia" w:ascii="仿宋" w:hAnsi="仿宋" w:eastAsia="仿宋"/>
          <w:color w:val="000000" w:themeColor="text1"/>
          <w:sz w:val="24"/>
          <w14:textFill>
            <w14:solidFill>
              <w14:schemeClr w14:val="tx1"/>
            </w14:solidFill>
          </w14:textFill>
        </w:rPr>
        <w:t>此单项金额的5</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具体支付细节在合同中约定。 </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4、验收标准和方法</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严格按照《财政部关于进一步加强政府采购需求和履约验收管理的指导意见》（财库〔2016〕205 号）和招标人已制定或修订的管理办法进行验收。</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5、违约责任</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若因政策调整、计划变更或实施主体变更而不具备工作条件等非招标人原因导致审计服务内容调整或无法实施的，招标人有权根据工作需要无条件单方面调整合同内项目或者解除合同， 不视为招标人违约。</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中标人以及其指派人员应遵守招标人制定的相关管理制度，如违反管理制度，按管理制度相应规定予以处罚，并承担合同金额30%的违约责任，给招标人造成损失的，还应承担损失赔偿责任。</w:t>
      </w:r>
    </w:p>
    <w:p>
      <w:pPr>
        <w:spacing w:line="360" w:lineRule="auto"/>
        <w:rPr>
          <w:rFonts w:ascii="仿宋" w:hAnsi="仿宋" w:eastAsia="仿宋"/>
          <w:color w:val="000000" w:themeColor="text1"/>
          <w:sz w:val="24"/>
          <w14:textFill>
            <w14:solidFill>
              <w14:schemeClr w14:val="tx1"/>
            </w14:solidFill>
          </w14:textFill>
        </w:rPr>
      </w:pPr>
    </w:p>
    <w:p>
      <w:pPr>
        <w:pStyle w:val="4"/>
        <w:spacing w:line="400" w:lineRule="exact"/>
        <w:rPr>
          <w:rFonts w:ascii="仿宋" w:hAnsi="仿宋" w:eastAsia="仿宋"/>
          <w:b w:val="0"/>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三</w:t>
      </w:r>
      <w:r>
        <w:rPr>
          <w:rFonts w:hint="eastAsia" w:ascii="仿宋" w:hAnsi="仿宋" w:eastAsia="仿宋"/>
          <w:color w:val="000000" w:themeColor="text1"/>
          <w:sz w:val="24"/>
          <w:szCs w:val="24"/>
          <w14:textFill>
            <w14:solidFill>
              <w14:schemeClr w14:val="tx1"/>
            </w14:solidFill>
          </w14:textFill>
        </w:rPr>
        <w:t>、技术、</w:t>
      </w:r>
      <w:r>
        <w:rPr>
          <w:rFonts w:ascii="仿宋" w:hAnsi="仿宋" w:eastAsia="仿宋"/>
          <w:color w:val="000000" w:themeColor="text1"/>
          <w:sz w:val="24"/>
          <w:szCs w:val="24"/>
          <w14:textFill>
            <w14:solidFill>
              <w14:schemeClr w14:val="tx1"/>
            </w14:solidFill>
          </w14:textFill>
        </w:rPr>
        <w:t>服务要求</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（一）审计内容要求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针对原空港新城区域内涉及棚改贷款资金、其他来源资金投入、高新区财政资金投入的征地拆迁资金，按照区域属地管理主体原则，甄别出东部新区和高新区未来科技城范围上述资金使用情况以及双方需分担的金额，并分别对应到相应地块。具体如下：</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①棚改贷款资金</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截至2020年4月30日，已提款的原成都天府国际空港新城管理委员会（以下简称高新区空管委）与科技城集团签订的7个棚户区（城中村）改造项目实际到位贷款资金49.57亿元，以及项目资本金13.41亿元（纳入财政投入）。</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②其他来源资金</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截至2020年4月30日，其他来源资金投入的原空港新城区域征地拆迁资金28.65亿元。</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③高新区财政资金投入</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截至2020年4月30日，成都高新技术产业开发区财政金融局预算安排的81.27亿元，财政借款2亿元。</w:t>
      </w:r>
    </w:p>
    <w:p>
      <w:pPr>
        <w:pStyle w:val="7"/>
        <w:ind w:firstLine="0" w:firstLineChars="0"/>
        <w:rPr>
          <w:color w:val="000000" w:themeColor="text1"/>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（三）人员配置</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1、基本要求</w:t>
      </w:r>
    </w:p>
    <w:p>
      <w:pPr>
        <w:spacing w:line="360" w:lineRule="auto"/>
        <w:ind w:firstLine="720" w:firstLineChars="300"/>
        <w:rPr>
          <w:rFonts w:ascii="仿宋" w:hAnsi="仿宋" w:eastAsia="仿宋"/>
          <w:color w:val="000000" w:themeColor="text1"/>
          <w:sz w:val="24"/>
          <w14:textFill>
            <w14:solidFill>
              <w14:schemeClr w14:val="tx1"/>
            </w14:solidFill>
          </w14:textFill>
        </w:rPr>
      </w:pPr>
      <w:bookmarkStart w:id="152" w:name="_Hlk73365548"/>
      <w:r>
        <w:rPr>
          <w:rFonts w:hint="eastAsia" w:ascii="仿宋" w:hAnsi="仿宋" w:eastAsia="仿宋"/>
          <w:color w:val="000000" w:themeColor="text1"/>
          <w:sz w:val="24"/>
          <w14:textFill>
            <w14:solidFill>
              <w14:schemeClr w14:val="tx1"/>
            </w14:solidFill>
          </w14:textFill>
        </w:rPr>
        <w:t>须配备现场项目负责人1名（须为注册会计师且注册在本单位，提供有效证书复印件），其余项目组成员</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名。</w:t>
      </w:r>
      <w:bookmarkEnd w:id="152"/>
    </w:p>
    <w:p>
      <w:pPr>
        <w:spacing w:line="360" w:lineRule="auto"/>
        <w:ind w:firstLine="720" w:firstLineChars="3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注：审计正式开始前须提供现场项目负责人的注册会计师证书并且中途不得随意更换（提供承诺函，格式自拟）。</w:t>
      </w:r>
    </w:p>
    <w:p>
      <w:pPr>
        <w:pStyle w:val="2"/>
        <w:spacing w:line="360" w:lineRule="auto"/>
        <w:ind w:left="0" w:leftChars="0" w:firstLine="480"/>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2.其他相关要求</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(1)未经招标人同意不得更换</w:t>
      </w:r>
      <w:r>
        <w:rPr>
          <w:rFonts w:hint="eastAsia" w:ascii="仿宋" w:hAnsi="仿宋" w:eastAsia="仿宋"/>
          <w:color w:val="000000" w:themeColor="text1"/>
          <w:sz w:val="24"/>
          <w14:textFill>
            <w14:solidFill>
              <w14:schemeClr w14:val="tx1"/>
            </w14:solidFill>
          </w14:textFill>
        </w:rPr>
        <w:t>项目人员</w:t>
      </w:r>
      <w:r>
        <w:rPr>
          <w:rFonts w:ascii="仿宋" w:hAnsi="仿宋" w:eastAsia="仿宋"/>
          <w:color w:val="000000" w:themeColor="text1"/>
          <w:sz w:val="24"/>
          <w14:textFill>
            <w14:solidFill>
              <w14:schemeClr w14:val="tx1"/>
            </w14:solidFill>
          </w14:textFill>
        </w:rPr>
        <w:t>，直至项目所有内容完成经招标人验收合格。</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中标人</w:t>
      </w:r>
      <w:r>
        <w:rPr>
          <w:rFonts w:ascii="仿宋" w:hAnsi="仿宋" w:eastAsia="仿宋"/>
          <w:color w:val="000000" w:themeColor="text1"/>
          <w:sz w:val="24"/>
          <w14:textFill>
            <w14:solidFill>
              <w14:schemeClr w14:val="tx1"/>
            </w14:solidFill>
          </w14:textFill>
        </w:rPr>
        <w:t>应按照相关法律法规及管理制度要求，公平、公正地开展受托的相关工作。其工作过程及工作成果应符合法律法规的规定和招标人的要求。</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中标人</w:t>
      </w:r>
      <w:r>
        <w:rPr>
          <w:rFonts w:ascii="仿宋" w:hAnsi="仿宋" w:eastAsia="仿宋"/>
          <w:color w:val="000000" w:themeColor="text1"/>
          <w:sz w:val="24"/>
          <w14:textFill>
            <w14:solidFill>
              <w14:schemeClr w14:val="tx1"/>
            </w14:solidFill>
          </w14:textFill>
        </w:rPr>
        <w:t>及其投入本项目的审计人员应当恪守职业道德，廉洁自律，接受招标人的监督、指导和管理。</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(4)因</w:t>
      </w:r>
      <w:r>
        <w:rPr>
          <w:rFonts w:hint="eastAsia" w:ascii="仿宋" w:hAnsi="仿宋" w:eastAsia="仿宋"/>
          <w:color w:val="000000" w:themeColor="text1"/>
          <w:sz w:val="24"/>
          <w14:textFill>
            <w14:solidFill>
              <w14:schemeClr w14:val="tx1"/>
            </w14:solidFill>
          </w14:textFill>
        </w:rPr>
        <w:t>中标人</w:t>
      </w:r>
      <w:r>
        <w:rPr>
          <w:rFonts w:ascii="仿宋" w:hAnsi="仿宋" w:eastAsia="仿宋"/>
          <w:color w:val="000000" w:themeColor="text1"/>
          <w:sz w:val="24"/>
          <w14:textFill>
            <w14:solidFill>
              <w14:schemeClr w14:val="tx1"/>
            </w14:solidFill>
          </w14:textFill>
        </w:rPr>
        <w:t>责任造成时间延长的，不增加相关审计服务费用。</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中标人</w:t>
      </w:r>
      <w:r>
        <w:rPr>
          <w:rFonts w:ascii="仿宋" w:hAnsi="仿宋" w:eastAsia="仿宋"/>
          <w:color w:val="000000" w:themeColor="text1"/>
          <w:sz w:val="24"/>
          <w14:textFill>
            <w14:solidFill>
              <w14:schemeClr w14:val="tx1"/>
            </w14:solidFill>
          </w14:textFill>
        </w:rPr>
        <w:t>提供的审计服务(工作事项、审计人员、工作进度、工作质量等)不符合政府采购合同约定的，将按违约处理。此类情形下，招标人有权终止合同，并依约追究其违约责任。</w:t>
      </w:r>
    </w:p>
    <w:p>
      <w:p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中标人</w:t>
      </w:r>
      <w:r>
        <w:rPr>
          <w:rFonts w:ascii="仿宋" w:hAnsi="仿宋" w:eastAsia="仿宋"/>
          <w:color w:val="000000" w:themeColor="text1"/>
          <w:sz w:val="24"/>
          <w14:textFill>
            <w14:solidFill>
              <w14:schemeClr w14:val="tx1"/>
            </w14:solidFill>
          </w14:textFill>
        </w:rPr>
        <w:t>必须在指定的时间内将要求的审计资料及时报送招标人(包括纸质版、电子版和报表数据库)。报送的资料应符合招标人要求包含但不限于签章齐全，索引号、页码标示规范、清晰。</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（四）审计服务要求</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1.审计服务要求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(1)审计资料范围</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①与审计项目相关的各类财务资料及电子数据。</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②审计过程中需要的其他资料。</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(2)审计责任</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中标人协助招标人开展审计工作，确保审计质量、防范审计风险，推动分配的审计项目按时完成。中标人要按照采购文件中确定的审计服务内容进行服务,完成对所分配项目的审计工作，并完成档案装订等工作。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(3)工作机制</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招标人与中标人之间建立保密制度、定期沟通制度、固定联系人制度及重大问题请示报告制度。</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(4)中标人应按照审计工作方案要求，完成招标人委托项目的审计工作。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(5)中标人应在工作中严格执行审计实施方案，做好工作底稿、取证记录、调查了解记录的编制，收集保存好审计资料。</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(6)中标人应编制审计报告。</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(7)中标人应完成审计档案的整理、装订工作。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(8)中标人应完招标人交办的其他工作。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)对审计工作的要求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①保证时间进度</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中标人按招标人及审计工作方案对审计项目时间进度和审计内容的要求制定审计实施方案，保证审计项目按期完成。</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②保证审计质量</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中标人按照审计实施方案，严格执行，真实、准确、完整地反映发现的问题，确保审计内容全面实施。</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)为了控制风险,保证审计报告的质量，招标人可向中标人就有关事项下发工作要求，中标人应按要求及时提交有关资料。</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)为了保证审计工作进度,中标人应及时就审计工作进度等向招标人沟通。</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)中标人安排的项目负责人必须具备一定的相关审计工作经验,熟悉相关法律、法规，能充分胜任所从事的工作。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 中标人安排的参审人员必须遵守《审计“四严禁”“八不准”工作纪律》，因违反该纪律产生的后果由中标人全权承担，与招标人无关。</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)中标人对安排的参审人员在参与审计工作中的安全负责,招标人不承担责任。</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2、保密要求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本项目中标人在项目服务履约过程中，对招标人的财务信息等严格保密，中标人不得违法使用或泄漏（提供书面承诺函原件并加盖投标人鲜章，格式自拟）。</w:t>
      </w:r>
    </w:p>
    <w:p>
      <w:pPr>
        <w:pStyle w:val="2"/>
        <w:spacing w:line="360" w:lineRule="auto"/>
        <w:ind w:left="0" w:leftChars="0" w:firstLine="480"/>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（五）审计服务成果</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参与相应审计工作后出具符合现行法律法规、行业标准及招标人要求的审计报告。招标人认为中标人提交的审计报告不符合要求的或者缺少内容的，中标人应按招标人要求完善。</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rPr>
          <w:rFonts w:hint="eastAsia" w:ascii="仿宋" w:hAnsi="仿宋" w:eastAsia="仿宋"/>
          <w:color w:val="000000" w:themeColor="text1"/>
          <w:sz w:val="36"/>
          <w:szCs w:val="36"/>
          <w14:textFill>
            <w14:solidFill>
              <w14:schemeClr w14:val="tx1"/>
            </w14:solidFill>
          </w14:textFill>
        </w:rPr>
      </w:pPr>
      <w:bookmarkStart w:id="153" w:name="_Toc31835"/>
      <w:bookmarkStart w:id="154" w:name="_Toc24786"/>
      <w:r>
        <w:rPr>
          <w:rFonts w:hint="eastAsia" w:ascii="仿宋" w:hAnsi="仿宋" w:eastAsia="仿宋"/>
          <w:color w:val="000000" w:themeColor="text1"/>
          <w:sz w:val="36"/>
          <w:szCs w:val="36"/>
          <w14:textFill>
            <w14:solidFill>
              <w14:schemeClr w14:val="tx1"/>
            </w14:solidFill>
          </w14:textFill>
        </w:rPr>
        <w:br w:type="page"/>
      </w:r>
    </w:p>
    <w:p>
      <w:pPr>
        <w:pStyle w:val="3"/>
        <w:spacing w:line="400" w:lineRule="exac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第七章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评标办法</w:t>
      </w:r>
      <w:bookmarkEnd w:id="153"/>
      <w:bookmarkEnd w:id="154"/>
      <w:bookmarkStart w:id="155" w:name="_Hlt101846155"/>
      <w:bookmarkEnd w:id="155"/>
      <w:bookmarkStart w:id="156" w:name="_Toc183582280"/>
      <w:bookmarkStart w:id="157" w:name="_Toc217446097"/>
      <w:bookmarkStart w:id="158" w:name="_Toc183682415"/>
      <w:bookmarkStart w:id="159" w:name="_Toc208849007"/>
    </w:p>
    <w:p>
      <w:pPr>
        <w:pStyle w:val="4"/>
        <w:ind w:firstLine="482"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总则</w:t>
      </w:r>
      <w:bookmarkEnd w:id="156"/>
      <w:bookmarkEnd w:id="157"/>
      <w:bookmarkEnd w:id="158"/>
      <w:bookmarkEnd w:id="15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1.3 </w:t>
      </w:r>
      <w:r>
        <w:rPr>
          <w:rFonts w:hint="eastAsia" w:ascii="仿宋" w:hAnsi="仿宋" w:eastAsia="仿宋"/>
          <w:color w:val="000000" w:themeColor="text1"/>
          <w:sz w:val="24"/>
          <w14:textFill>
            <w14:solidFill>
              <w14:schemeClr w14:val="tx1"/>
            </w14:solidFill>
          </w14:textFill>
        </w:rPr>
        <w:t>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1.4 </w:t>
      </w:r>
      <w:r>
        <w:rPr>
          <w:rFonts w:hint="eastAsia" w:ascii="仿宋" w:hAnsi="仿宋" w:eastAsia="仿宋"/>
          <w:color w:val="000000" w:themeColor="text1"/>
          <w:sz w:val="24"/>
          <w14:textFill>
            <w14:solidFill>
              <w14:schemeClr w14:val="tx1"/>
            </w14:solidFill>
          </w14:textFill>
        </w:rPr>
        <w:t>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60" w:name="_Toc217446098"/>
      <w:r>
        <w:rPr>
          <w:rFonts w:hint="eastAsia" w:ascii="仿宋" w:hAnsi="仿宋" w:eastAsia="仿宋"/>
          <w:color w:val="000000" w:themeColor="text1"/>
          <w:sz w:val="24"/>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（五）起草评标报告并进行签署；</w:t>
      </w:r>
    </w:p>
    <w:p>
      <w:pPr>
        <w:spacing w:line="400" w:lineRule="exact"/>
        <w:ind w:firstLine="456" w:firstLineChars="200"/>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 </w:t>
      </w:r>
      <w:r>
        <w:rPr>
          <w:rFonts w:hint="eastAsia" w:ascii="仿宋" w:hAnsi="仿宋" w:eastAsia="仿宋"/>
          <w:color w:val="000000" w:themeColor="text1"/>
          <w:sz w:val="24"/>
          <w14:textFill>
            <w14:solidFill>
              <w14:schemeClr w14:val="tx1"/>
            </w14:solidFill>
          </w14:textFill>
        </w:rPr>
        <w:t>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1.6 </w:t>
      </w:r>
      <w:r>
        <w:rPr>
          <w:rFonts w:hint="eastAsia" w:ascii="仿宋" w:hAnsi="仿宋" w:eastAsia="仿宋"/>
          <w:color w:val="000000" w:themeColor="text1"/>
          <w:sz w:val="24"/>
          <w14:textFill>
            <w14:solidFill>
              <w14:schemeClr w14:val="tx1"/>
            </w14:solidFill>
          </w14:textFill>
        </w:rPr>
        <w:t>评标委员会评价投标文件的响应性，对于投标人而言，除评标委员会要求其澄清、说明或者更正而提供的资料外，仅依据投标文件本身的内容，不寻求其他外部证据。</w:t>
      </w:r>
    </w:p>
    <w:p>
      <w:pPr>
        <w:pStyle w:val="4"/>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评标</w:t>
      </w:r>
      <w:bookmarkEnd w:id="160"/>
      <w:r>
        <w:rPr>
          <w:rFonts w:hint="eastAsia" w:ascii="仿宋" w:hAnsi="仿宋" w:eastAsia="仿宋"/>
          <w:color w:val="000000" w:themeColor="text1"/>
          <w:sz w:val="24"/>
          <w:szCs w:val="24"/>
          <w14:textFill>
            <w14:solidFill>
              <w14:schemeClr w14:val="tx1"/>
            </w14:solidFill>
          </w14:textFill>
        </w:rPr>
        <w:t>方法</w:t>
      </w:r>
    </w:p>
    <w:p>
      <w:pPr>
        <w:spacing w:line="360" w:lineRule="auto"/>
        <w:ind w:firstLine="480" w:firstLineChars="200"/>
        <w:rPr>
          <w:rFonts w:ascii="仿宋" w:hAnsi="仿宋" w:eastAsia="仿宋"/>
          <w:color w:val="000000" w:themeColor="text1"/>
          <w:sz w:val="24"/>
          <w14:textFill>
            <w14:solidFill>
              <w14:schemeClr w14:val="tx1"/>
            </w14:solidFill>
          </w14:textFill>
        </w:rPr>
      </w:pPr>
      <w:bookmarkStart w:id="161" w:name="_Toc217446103"/>
      <w:bookmarkStart w:id="162" w:name="_Toc217446099"/>
      <w:r>
        <w:rPr>
          <w:rFonts w:ascii="仿宋" w:hAnsi="仿宋" w:eastAsia="仿宋"/>
          <w:color w:val="000000" w:themeColor="text1"/>
          <w:sz w:val="24"/>
          <w14:textFill>
            <w14:solidFill>
              <w14:schemeClr w14:val="tx1"/>
            </w14:solidFill>
          </w14:textFill>
        </w:rPr>
        <w:t>2.1本项目评标方法为：</w:t>
      </w:r>
      <w:r>
        <w:rPr>
          <w:rFonts w:hint="eastAsia" w:ascii="仿宋" w:hAnsi="仿宋" w:eastAsia="仿宋"/>
          <w:b/>
          <w:bCs/>
          <w:color w:val="000000" w:themeColor="text1"/>
          <w:sz w:val="24"/>
          <w14:textFill>
            <w14:solidFill>
              <w14:schemeClr w14:val="tx1"/>
            </w14:solidFill>
          </w14:textFill>
        </w:rPr>
        <w:t>综合评分法</w:t>
      </w:r>
      <w:r>
        <w:rPr>
          <w:rFonts w:hint="eastAsia" w:ascii="仿宋" w:hAnsi="仿宋" w:eastAsia="仿宋"/>
          <w:color w:val="000000" w:themeColor="text1"/>
          <w:sz w:val="24"/>
          <w14:textFill>
            <w14:solidFill>
              <w14:schemeClr w14:val="tx1"/>
            </w14:solidFill>
          </w14:textFill>
        </w:rPr>
        <w:t>。</w:t>
      </w:r>
    </w:p>
    <w:p>
      <w:pPr>
        <w:pStyle w:val="4"/>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评标程序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3.2.1评标委员会依据本招标文件的</w:t>
      </w:r>
      <w:r>
        <w:rPr>
          <w:rFonts w:hint="eastAsia" w:ascii="仿宋" w:hAnsi="仿宋" w:eastAsia="仿宋"/>
          <w:b/>
          <w:bCs/>
          <w:color w:val="000000" w:themeColor="text1"/>
          <w:sz w:val="24"/>
          <w14:textFill>
            <w14:solidFill>
              <w14:schemeClr w14:val="tx1"/>
            </w14:solidFill>
          </w14:textFill>
        </w:rPr>
        <w:t>实质性要求及无效投标情形</w:t>
      </w:r>
      <w:r>
        <w:rPr>
          <w:rFonts w:hint="eastAsia" w:ascii="仿宋" w:hAnsi="仿宋" w:eastAsia="仿宋"/>
          <w:color w:val="000000" w:themeColor="text1"/>
          <w:sz w:val="24"/>
          <w14:textFill>
            <w14:solidFill>
              <w14:schemeClr w14:val="tx1"/>
            </w14:solidFill>
          </w14:textFill>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5986"/>
        <w:gridCol w:w="2414"/>
        <w:gridCol w:w="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after="0" w:line="24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tabs>
                <w:tab w:val="left" w:pos="851"/>
              </w:tabs>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3263" w:type="pct"/>
            <w:vAlign w:val="center"/>
          </w:tcPr>
          <w:p>
            <w:pPr>
              <w:tabs>
                <w:tab w:val="left" w:pos="851"/>
              </w:tabs>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招标文件条目、实质性要求及无效投标情形</w:t>
            </w:r>
          </w:p>
        </w:tc>
        <w:tc>
          <w:tcPr>
            <w:tcW w:w="1316"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招标文件第二章一、投标人须知附表序号1采购预算、最高限价：</w:t>
            </w:r>
          </w:p>
          <w:p>
            <w:pPr>
              <w:widowControl/>
              <w:spacing w:after="0" w:line="240" w:lineRule="auto"/>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本项目采购预算为</w:t>
            </w:r>
            <w:r>
              <w:rPr>
                <w:rFonts w:ascii="仿宋" w:hAnsi="仿宋" w:eastAsia="仿宋" w:cs="仿宋"/>
                <w:bCs/>
                <w:color w:val="000000" w:themeColor="text1"/>
                <w:kern w:val="0"/>
                <w:sz w:val="24"/>
                <w14:textFill>
                  <w14:solidFill>
                    <w14:schemeClr w14:val="tx1"/>
                  </w14:solidFill>
                </w14:textFill>
              </w:rPr>
              <w:t>60</w:t>
            </w:r>
            <w:r>
              <w:rPr>
                <w:rFonts w:hint="eastAsia" w:ascii="仿宋" w:hAnsi="仿宋" w:eastAsia="仿宋" w:cs="仿宋"/>
                <w:bCs/>
                <w:color w:val="000000" w:themeColor="text1"/>
                <w:kern w:val="0"/>
                <w:sz w:val="24"/>
                <w14:textFill>
                  <w14:solidFill>
                    <w14:schemeClr w14:val="tx1"/>
                  </w14:solidFill>
                </w14:textFill>
              </w:rPr>
              <w:t>万元</w:t>
            </w:r>
          </w:p>
          <w:p>
            <w:pPr>
              <w:widowControl/>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超过采购预算的投标为无效投标。</w:t>
            </w:r>
          </w:p>
          <w:p>
            <w:pPr>
              <w:widowControl/>
              <w:spacing w:after="0" w:line="240" w:lineRule="auto"/>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本项目最高限价为</w:t>
            </w:r>
            <w:r>
              <w:rPr>
                <w:rFonts w:ascii="仿宋" w:hAnsi="仿宋" w:eastAsia="仿宋" w:cs="仿宋"/>
                <w:bCs/>
                <w:color w:val="000000" w:themeColor="text1"/>
                <w:kern w:val="0"/>
                <w:sz w:val="24"/>
                <w14:textFill>
                  <w14:solidFill>
                    <w14:schemeClr w14:val="tx1"/>
                  </w14:solidFill>
                </w14:textFill>
              </w:rPr>
              <w:t>60</w:t>
            </w:r>
            <w:r>
              <w:rPr>
                <w:rFonts w:hint="eastAsia" w:ascii="仿宋" w:hAnsi="仿宋" w:eastAsia="仿宋" w:cs="仿宋"/>
                <w:bCs/>
                <w:color w:val="000000" w:themeColor="text1"/>
                <w:kern w:val="0"/>
                <w:sz w:val="24"/>
                <w14:textFill>
                  <w14:solidFill>
                    <w14:schemeClr w14:val="tx1"/>
                  </w14:solidFill>
                </w14:textFill>
              </w:rPr>
              <w:t>万元</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超过最高限价的报价为无效投标。</w:t>
            </w:r>
          </w:p>
        </w:tc>
        <w:tc>
          <w:tcPr>
            <w:tcW w:w="1316" w:type="pct"/>
            <w:vAlign w:val="center"/>
          </w:tcPr>
          <w:p>
            <w:pPr>
              <w:spacing w:after="0" w:line="240"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投标人按照招标文件第三章格式2-4填写。评标委员会对上传内容按照招标文件要求进行评审。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p>
        </w:tc>
        <w:tc>
          <w:tcPr>
            <w:tcW w:w="3263" w:type="pct"/>
            <w:vAlign w:val="center"/>
          </w:tcPr>
          <w:p>
            <w:pPr>
              <w:widowControl/>
              <w:spacing w:after="0" w:line="240" w:lineRule="auto"/>
              <w:rPr>
                <w:rFonts w:ascii="仿宋" w:hAnsi="仿宋" w:eastAsia="仿宋" w:cs="仿宋"/>
                <w:bCs/>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招标文件第二章一、投标人须知附表序号2不正当竞争预防措施：</w:t>
            </w:r>
          </w:p>
          <w:p>
            <w:pPr>
              <w:pStyle w:val="44"/>
              <w:spacing w:after="0" w:line="240" w:lineRule="auto"/>
              <w:jc w:val="both"/>
              <w:rPr>
                <w:rFonts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w:t>
            </w:r>
            <w:r>
              <w:rPr>
                <w:rFonts w:hint="eastAsia" w:ascii="仿宋" w:hAnsi="仿宋" w:eastAsia="仿宋" w:cs="仿宋"/>
                <w:bCs/>
                <w:color w:val="000000" w:themeColor="text1"/>
                <w:sz w:val="24"/>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color w:val="000000" w:themeColor="text1"/>
                <w:sz w:val="24"/>
                <w14:textFill>
                  <w14:solidFill>
                    <w14:schemeClr w14:val="tx1"/>
                  </w14:solidFill>
                </w14:textFill>
              </w:rPr>
              <w:t>30分钟，供应商已明确表示澄清、说明完毕的除外</w:t>
            </w:r>
            <w:r>
              <w:rPr>
                <w:rFonts w:hint="eastAsia" w:ascii="仿宋" w:hAnsi="仿宋" w:eastAsia="仿宋" w:cs="仿宋"/>
                <w:bCs/>
                <w:color w:val="000000" w:themeColor="text1"/>
                <w:sz w:val="24"/>
                <w:lang w:val="zh-CN"/>
                <w14:textFill>
                  <w14:solidFill>
                    <w14:schemeClr w14:val="tx1"/>
                  </w14:solidFill>
                </w14:textFill>
              </w:rPr>
              <w:t>）。如因系统故障（</w:t>
            </w:r>
            <w:r>
              <w:rPr>
                <w:rFonts w:hint="eastAsia" w:ascii="仿宋" w:hAnsi="仿宋" w:eastAsia="仿宋" w:cs="仿宋"/>
                <w:bCs/>
                <w:color w:val="000000" w:themeColor="text1"/>
                <w:sz w:val="24"/>
                <w14:textFill>
                  <w14:solidFill>
                    <w14:schemeClr w14:val="tx1"/>
                  </w14:solidFill>
                </w14:textFill>
              </w:rPr>
              <w:t>包括组织场所停电、断网等）</w:t>
            </w:r>
            <w:r>
              <w:rPr>
                <w:rFonts w:hint="eastAsia" w:ascii="仿宋" w:hAnsi="仿宋" w:eastAsia="仿宋" w:cs="仿宋"/>
                <w:bCs/>
                <w:color w:val="000000" w:themeColor="text1"/>
                <w:sz w:val="24"/>
                <w:lang w:val="zh-CN"/>
                <w14:textFill>
                  <w14:solidFill>
                    <w14:schemeClr w14:val="tx1"/>
                  </w14:solidFill>
                </w14:textFill>
              </w:rPr>
              <w:t>导致系统无法使用的，由投标人按评标委员会的要求进行澄清或者说明。</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上传空白页即可，不对本项上传的材料作符合性审查。若有需要请按评标委员会要求提供书面说明、相关证明材料</w:t>
            </w:r>
            <w:r>
              <w:rPr>
                <w:rFonts w:hint="eastAsia" w:ascii="仿宋" w:hAnsi="仿宋" w:eastAsia="仿宋" w:cs="仿宋"/>
                <w:bCs/>
                <w:color w:val="000000" w:themeColor="text1"/>
                <w:sz w:val="24"/>
                <w:lang w:val="zh-CN"/>
                <w14:textFill>
                  <w14:solidFill>
                    <w14:schemeClr w14:val="tx1"/>
                  </w14:solidFill>
                </w14:textFill>
              </w:rPr>
              <w:t>（如涉及）</w:t>
            </w: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c>
          <w:tcPr>
            <w:tcW w:w="3263"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招标文件第二章一、投标人须知附表序号3进口产品：</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p>
        </w:tc>
        <w:tc>
          <w:tcPr>
            <w:tcW w:w="1316" w:type="pct"/>
            <w:vAlign w:val="center"/>
          </w:tcPr>
          <w:p>
            <w:pPr>
              <w:spacing w:after="0" w:line="240" w:lineRule="auto"/>
              <w:rPr>
                <w:rFonts w:ascii="仿宋" w:hAnsi="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招标文件第二章一、投标人须知附表序号5节能、环保及无线局域网产品政府采购政策：（本项目不适用）</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一、节能、环保产品政府采购政策：</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本项目采购的产品属于品目清单强制采购范围的，供应商应按上述要求提供产品认证证书复印件并加盖供应商单位公章，否则投标无效。</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招标文件第二章一、投标人须知附表序号9合同分包：</w:t>
            </w:r>
          </w:p>
          <w:p>
            <w:pPr>
              <w:pStyle w:val="44"/>
              <w:spacing w:after="0" w:line="240" w:lineRule="auto"/>
              <w:jc w:val="both"/>
              <w:rPr>
                <w:rFonts w:ascii="仿宋" w:hAnsi="仿宋" w:eastAsia="仿宋" w:cs="仿宋"/>
                <w:bCs/>
                <w:color w:val="000000" w:themeColor="text1"/>
                <w:kern w:val="2"/>
                <w14:textFill>
                  <w14:solidFill>
                    <w14:schemeClr w14:val="tx1"/>
                  </w14:solidFill>
                </w14:textFill>
              </w:rPr>
            </w:pPr>
            <w:r>
              <w:rPr>
                <w:rFonts w:hint="eastAsia" w:ascii="仿宋" w:hAnsi="仿宋" w:eastAsia="仿宋" w:cs="仿宋"/>
                <w:bCs/>
                <w:color w:val="000000" w:themeColor="text1"/>
                <w:kern w:val="2"/>
                <w14:textFill>
                  <w14:solidFill>
                    <w14:schemeClr w14:val="tx1"/>
                  </w14:solidFill>
                </w14:textFill>
              </w:rPr>
              <w:t>☑本项目不接受合同分包。</w:t>
            </w:r>
          </w:p>
          <w:p>
            <w:pPr>
              <w:pStyle w:val="44"/>
              <w:spacing w:after="0" w:line="240" w:lineRule="auto"/>
              <w:jc w:val="both"/>
              <w:rPr>
                <w:rFonts w:ascii="仿宋" w:hAnsi="仿宋" w:eastAsia="仿宋" w:cs="仿宋"/>
                <w:bCs/>
                <w:color w:val="000000" w:themeColor="text1"/>
                <w:kern w:val="2"/>
                <w14:textFill>
                  <w14:solidFill>
                    <w14:schemeClr w14:val="tx1"/>
                  </w14:solidFill>
                </w14:textFill>
              </w:rPr>
            </w:pPr>
            <w:r>
              <w:rPr>
                <w:rFonts w:hint="eastAsia" w:ascii="仿宋" w:hAnsi="仿宋" w:eastAsia="仿宋" w:cs="仿宋"/>
                <w:bCs/>
                <w:color w:val="000000" w:themeColor="text1"/>
                <w:kern w:val="2"/>
                <w14:textFill>
                  <w14:solidFill>
                    <w14:schemeClr w14:val="tx1"/>
                  </w14:solidFill>
                </w14:textFill>
              </w:rPr>
              <w:t>□本项目接受合同分包，具体要求如下：</w:t>
            </w:r>
          </w:p>
          <w:p>
            <w:pPr>
              <w:pStyle w:val="44"/>
              <w:spacing w:after="0" w:line="240" w:lineRule="auto"/>
              <w:jc w:val="both"/>
              <w:rPr>
                <w:rFonts w:ascii="仿宋" w:hAnsi="仿宋" w:eastAsia="仿宋" w:cs="仿宋"/>
                <w:bCs/>
                <w:color w:val="000000" w:themeColor="text1"/>
                <w:kern w:val="2"/>
                <w14:textFill>
                  <w14:solidFill>
                    <w14:schemeClr w14:val="tx1"/>
                  </w14:solidFill>
                </w14:textFill>
              </w:rPr>
            </w:pPr>
            <w:r>
              <w:rPr>
                <w:rFonts w:hint="eastAsia" w:ascii="仿宋" w:hAnsi="仿宋" w:eastAsia="仿宋" w:cs="仿宋"/>
                <w:bCs/>
                <w:color w:val="000000" w:themeColor="text1"/>
                <w:kern w:val="2"/>
                <w14:textFill>
                  <w14:solidFill>
                    <w14:schemeClr w14:val="tx1"/>
                  </w14:solidFill>
                </w14:textFill>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2.分包履行合同的部分应当为采购项目的非主体、非关键性工作，不属于中标人的主要合同义务。</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w:t>
            </w:r>
          </w:p>
        </w:tc>
        <w:tc>
          <w:tcPr>
            <w:tcW w:w="3263" w:type="pct"/>
            <w:vAlign w:val="center"/>
          </w:tcPr>
          <w:p>
            <w:pPr>
              <w:pStyle w:val="44"/>
              <w:spacing w:after="0" w:line="240" w:lineRule="auto"/>
              <w:jc w:val="both"/>
              <w:rPr>
                <w:rFonts w:ascii="仿宋" w:hAnsi="仿宋" w:eastAsia="仿宋" w:cs="仿宋"/>
                <w:b/>
                <w:color w:val="000000" w:themeColor="text1"/>
                <w:kern w:val="2"/>
                <w:lang w:val="zh-CN"/>
                <w14:textFill>
                  <w14:solidFill>
                    <w14:schemeClr w14:val="tx1"/>
                  </w14:solidFill>
                </w14:textFill>
              </w:rPr>
            </w:pPr>
            <w:r>
              <w:rPr>
                <w:rFonts w:hint="eastAsia" w:ascii="仿宋" w:hAnsi="仿宋" w:eastAsia="仿宋" w:cs="仿宋"/>
                <w:b/>
                <w:color w:val="000000" w:themeColor="text1"/>
                <w:kern w:val="2"/>
                <w14:textFill>
                  <w14:solidFill>
                    <w14:schemeClr w14:val="tx1"/>
                  </w14:solidFill>
                </w14:textFill>
              </w:rPr>
              <w:t>招标文件第二章一、投标人须知附表序号19</w:t>
            </w:r>
            <w:r>
              <w:rPr>
                <w:rFonts w:hint="eastAsia" w:ascii="仿宋" w:hAnsi="仿宋" w:eastAsia="仿宋" w:cs="仿宋"/>
                <w:b/>
                <w:color w:val="000000" w:themeColor="text1"/>
                <w:kern w:val="2"/>
                <w:lang w:val="zh-CN"/>
                <w14:textFill>
                  <w14:solidFill>
                    <w14:schemeClr w14:val="tx1"/>
                  </w14:solidFill>
                </w14:textFill>
              </w:rPr>
              <w:t>联合体：</w:t>
            </w:r>
          </w:p>
          <w:p>
            <w:pPr>
              <w:pStyle w:val="44"/>
              <w:spacing w:after="0" w:line="240" w:lineRule="auto"/>
              <w:jc w:val="both"/>
              <w:rPr>
                <w:rFonts w:ascii="仿宋" w:hAnsi="仿宋" w:eastAsia="仿宋" w:cs="仿宋"/>
                <w:bCs/>
                <w:color w:val="000000" w:themeColor="text1"/>
                <w:lang w:val="zh-CN"/>
                <w14:textFill>
                  <w14:solidFill>
                    <w14:schemeClr w14:val="tx1"/>
                  </w14:solidFill>
                </w14:textFill>
              </w:rPr>
            </w:pPr>
            <w:r>
              <w:rPr>
                <w:rFonts w:ascii="仿宋" w:hAnsi="仿宋" w:eastAsia="仿宋" w:cs="仿宋"/>
                <w:bCs/>
                <w:color w:val="000000" w:themeColor="text1"/>
                <w:kern w:val="2"/>
                <w14:textFill>
                  <w14:solidFill>
                    <w14:schemeClr w14:val="tx1"/>
                  </w14:solidFill>
                </w14:textFill>
              </w:rPr>
              <w:t>□</w:t>
            </w:r>
            <w:r>
              <w:rPr>
                <w:rFonts w:hint="eastAsia" w:ascii="仿宋" w:hAnsi="仿宋" w:eastAsia="仿宋" w:cs="仿宋"/>
                <w:bCs/>
                <w:color w:val="000000" w:themeColor="text1"/>
                <w:lang w:val="zh-CN"/>
                <w14:textFill>
                  <w14:solidFill>
                    <w14:schemeClr w14:val="tx1"/>
                  </w14:solidFill>
                </w14:textFill>
              </w:rPr>
              <w:t xml:space="preserve">本项目不允许联合体参加    </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sym w:font="Wingdings 2" w:char="0052"/>
            </w:r>
            <w:r>
              <w:rPr>
                <w:rFonts w:hint="eastAsia" w:ascii="仿宋" w:hAnsi="仿宋" w:eastAsia="仿宋" w:cs="仿宋"/>
                <w:bCs/>
                <w:color w:val="000000" w:themeColor="text1"/>
                <w:sz w:val="24"/>
                <w:lang w:val="zh-CN"/>
                <w14:textFill>
                  <w14:solidFill>
                    <w14:schemeClr w14:val="tx1"/>
                  </w14:solidFill>
                </w14:textFill>
              </w:rPr>
              <w:t>本项目允许联合体参加</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上传联合体协议（需各方加盖公章），评标委员会根据上传内容进行评审。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w:t>
            </w:r>
            <w:r>
              <w:rPr>
                <w:rFonts w:hint="eastAsia" w:ascii="仿宋" w:hAnsi="仿宋" w:eastAsia="仿宋" w:cs="仿宋"/>
                <w:b/>
                <w:color w:val="000000" w:themeColor="text1"/>
                <w:sz w:val="24"/>
                <w:lang w:val="zh-CN"/>
                <w14:textFill>
                  <w14:solidFill>
                    <w14:schemeClr w14:val="tx1"/>
                  </w14:solidFill>
                </w14:textFill>
              </w:rPr>
              <w:t>第二章</w:t>
            </w:r>
            <w:r>
              <w:rPr>
                <w:rFonts w:hint="eastAsia" w:ascii="仿宋" w:hAnsi="仿宋" w:eastAsia="仿宋" w:cs="仿宋"/>
                <w:b/>
                <w:color w:val="000000" w:themeColor="text1"/>
                <w:sz w:val="24"/>
                <w14:textFill>
                  <w14:solidFill>
                    <w14:schemeClr w14:val="tx1"/>
                  </w14:solidFill>
                </w14:textFill>
              </w:rPr>
              <w:t>4.</w:t>
            </w:r>
            <w:r>
              <w:rPr>
                <w:rFonts w:hint="eastAsia" w:ascii="仿宋" w:hAnsi="仿宋" w:eastAsia="仿宋" w:cs="仿宋"/>
                <w:b/>
                <w:color w:val="000000" w:themeColor="text1"/>
                <w:sz w:val="24"/>
                <w:lang w:val="zh-CN"/>
                <w14:textFill>
                  <w14:solidFill>
                    <w14:schemeClr w14:val="tx1"/>
                  </w14:solidFill>
                </w14:textFill>
              </w:rPr>
              <w:t>投标费用：</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投标人参加投标的有关费用由投标人自行承担。</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w:t>
            </w:r>
            <w:r>
              <w:rPr>
                <w:rFonts w:hint="eastAsia" w:ascii="仿宋" w:hAnsi="仿宋" w:eastAsia="仿宋" w:cs="仿宋"/>
                <w:b/>
                <w:color w:val="000000" w:themeColor="text1"/>
                <w:sz w:val="24"/>
                <w:lang w:val="zh-CN"/>
                <w14:textFill>
                  <w14:solidFill>
                    <w14:schemeClr w14:val="tx1"/>
                  </w14:solidFill>
                </w14:textFill>
              </w:rPr>
              <w:t>第二章5.充分、公平竞争保障措施：</w:t>
            </w:r>
          </w:p>
          <w:p>
            <w:pPr>
              <w:pStyle w:val="45"/>
              <w:spacing w:after="0" w:line="240" w:lineRule="auto"/>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5.1 </w:t>
            </w:r>
            <w:r>
              <w:rPr>
                <w:rFonts w:hint="eastAsia" w:ascii="仿宋" w:hAnsi="仿宋" w:eastAsia="仿宋"/>
                <w:b/>
                <w:color w:val="000000" w:themeColor="text1"/>
                <w:sz w:val="24"/>
                <w14:textFill>
                  <w14:solidFill>
                    <w14:schemeClr w14:val="tx1"/>
                  </w14:solidFill>
                </w14:textFill>
              </w:rPr>
              <w:t>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5"/>
              <w:spacing w:after="0" w:line="240" w:lineRule="auto"/>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5.2 </w:t>
            </w:r>
            <w:r>
              <w:rPr>
                <w:rFonts w:hint="eastAsia" w:ascii="仿宋" w:hAnsi="仿宋" w:eastAsia="仿宋"/>
                <w:b/>
                <w:color w:val="000000" w:themeColor="text1"/>
                <w:sz w:val="24"/>
                <w14:textFill>
                  <w14:solidFill>
                    <w14:schemeClr w14:val="tx1"/>
                  </w14:solidFill>
                </w14:textFill>
              </w:rPr>
              <w:t>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after="0" w:line="240" w:lineRule="auto"/>
              <w:rPr>
                <w:rFonts w:ascii="仿宋" w:hAnsi="仿宋" w:eastAsia="仿宋" w:cs="仿宋"/>
                <w:bCs/>
                <w:color w:val="000000" w:themeColor="text1"/>
                <w:sz w:val="24"/>
                <w:szCs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5.3 </w:t>
            </w:r>
            <w:r>
              <w:rPr>
                <w:rFonts w:hint="eastAsia" w:ascii="仿宋" w:hAnsi="仿宋" w:eastAsia="仿宋"/>
                <w:b/>
                <w:color w:val="000000" w:themeColor="text1"/>
                <w:sz w:val="24"/>
                <w14:textFill>
                  <w14:solidFill>
                    <w14:schemeClr w14:val="tx1"/>
                  </w14:solidFill>
                </w14:textFill>
              </w:rPr>
              <w:t>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9</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w:t>
            </w:r>
            <w:r>
              <w:rPr>
                <w:rFonts w:hint="eastAsia" w:ascii="仿宋" w:hAnsi="仿宋" w:eastAsia="仿宋" w:cs="仿宋"/>
                <w:b/>
                <w:color w:val="000000" w:themeColor="text1"/>
                <w:sz w:val="24"/>
                <w:lang w:val="zh-CN"/>
                <w14:textFill>
                  <w14:solidFill>
                    <w14:schemeClr w14:val="tx1"/>
                  </w14:solidFill>
                </w14:textFill>
              </w:rPr>
              <w:t>第二章10．计量单位：</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除招标文件中另有规定外，本次采购项目所有合同项下的投标均采用国家法定的计量单位。</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w:t>
            </w:r>
            <w:r>
              <w:rPr>
                <w:rFonts w:hint="eastAsia" w:ascii="仿宋" w:hAnsi="仿宋" w:eastAsia="仿宋" w:cs="仿宋"/>
                <w:color w:val="000000" w:themeColor="text1"/>
                <w:sz w:val="24"/>
                <w:szCs w:val="28"/>
                <w14:textFill>
                  <w14:solidFill>
                    <w14:schemeClr w14:val="tx1"/>
                  </w14:solidFill>
                </w14:textFill>
              </w:rPr>
              <w:t>不对本项上传的材料作符合性审查，</w:t>
            </w:r>
            <w:r>
              <w:rPr>
                <w:rFonts w:hint="eastAsia" w:ascii="仿宋" w:hAnsi="仿宋" w:eastAsia="仿宋" w:cs="仿宋"/>
                <w:bCs/>
                <w:color w:val="000000" w:themeColor="text1"/>
                <w:sz w:val="24"/>
                <w14:textFill>
                  <w14:solidFill>
                    <w14:schemeClr w14:val="tx1"/>
                  </w14:solidFill>
                </w14:textFill>
              </w:rPr>
              <w:t>评标委员会根据投标文件评审。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10</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招标文件第二章11. 投标货币：</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本次招标项目的投标均以人民币报价。</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w:t>
            </w:r>
            <w:r>
              <w:rPr>
                <w:rFonts w:hint="eastAsia" w:ascii="仿宋" w:hAnsi="仿宋" w:eastAsia="仿宋" w:cs="仿宋"/>
                <w:color w:val="000000" w:themeColor="text1"/>
                <w:sz w:val="24"/>
                <w:szCs w:val="28"/>
                <w14:textFill>
                  <w14:solidFill>
                    <w14:schemeClr w14:val="tx1"/>
                  </w14:solidFill>
                </w14:textFill>
              </w:rPr>
              <w:t>不对本项上传的材料作符合性审查，</w:t>
            </w:r>
            <w:r>
              <w:rPr>
                <w:rFonts w:hint="eastAsia" w:ascii="仿宋" w:hAnsi="仿宋" w:eastAsia="仿宋" w:cs="仿宋"/>
                <w:bCs/>
                <w:color w:val="000000" w:themeColor="text1"/>
                <w:sz w:val="24"/>
                <w14:textFill>
                  <w14:solidFill>
                    <w14:schemeClr w14:val="tx1"/>
                  </w14:solidFill>
                </w14:textFill>
              </w:rPr>
              <w:t>评标委员会根据投标文件评审。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招标文件第二章13. 知识产权：</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13.2 采购人享有本项目实施过程中产生的知识成果及知识产权。</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 xml:space="preserve">13.4 如采用投标人所不拥有的知识产权，则在投标报价中必须包括合法获取该知识产权的相关费用。 </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12</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招标文件第二章14．投标文件的组成，其他响应性投标文件（一）报价部分：</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2、本次招标报价要求：</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（1）投标人的报价是投标人响应招标项目要求的全部工作内容的价格体现，包括投标人完成本项目所需的一切费用。</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13</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招标文件第二章14．投标文件的组成，其他响应性投标文件（一）报价部分：</w:t>
            </w:r>
          </w:p>
          <w:p>
            <w:pPr>
              <w:spacing w:after="0" w:line="240" w:lineRule="auto"/>
              <w:rPr>
                <w:rFonts w:ascii="仿宋" w:hAnsi="仿宋" w:eastAsia="仿宋"/>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本次招标报价要求：</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（2）投标人每种</w:t>
            </w:r>
            <w:r>
              <w:rPr>
                <w:rFonts w:hint="eastAsia" w:ascii="仿宋" w:hAnsi="仿宋" w:eastAsia="仿宋" w:cs="仿宋"/>
                <w:bCs/>
                <w:color w:val="000000" w:themeColor="text1"/>
                <w:sz w:val="24"/>
                <w14:textFill>
                  <w14:solidFill>
                    <w14:schemeClr w14:val="tx1"/>
                  </w14:solidFill>
                </w14:textFill>
              </w:rPr>
              <w:t>服务</w:t>
            </w:r>
            <w:r>
              <w:rPr>
                <w:rFonts w:hint="eastAsia" w:ascii="仿宋" w:hAnsi="仿宋" w:eastAsia="仿宋" w:cs="仿宋"/>
                <w:bCs/>
                <w:color w:val="000000" w:themeColor="text1"/>
                <w:sz w:val="24"/>
                <w:lang w:val="zh-CN"/>
                <w14:textFill>
                  <w14:solidFill>
                    <w14:schemeClr w14:val="tx1"/>
                  </w14:solidFill>
                </w14:textFill>
              </w:rPr>
              <w:t>只允许有一个报价，并且在合同履行过程中是固定不变的，任何有选择或可调整的报价将不予接受，并按无效投标处理。</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w:t>
            </w:r>
          </w:p>
        </w:tc>
        <w:tc>
          <w:tcPr>
            <w:tcW w:w="3263" w:type="pct"/>
            <w:vAlign w:val="center"/>
          </w:tcPr>
          <w:p>
            <w:pPr>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招标文件第二章16．投标有效期：</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15</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招标文件第二章17．投标文件的制作和签章、加密：</w:t>
            </w:r>
          </w:p>
          <w:p>
            <w:pPr>
              <w:tabs>
                <w:tab w:val="left" w:pos="7665"/>
              </w:tabs>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17.2 资格性投标文件、其他响应性投标文件封面均应加盖投标人（法定名称）电子印章，不得使用投标人专用章（如经济合同章、投标专用章等）或下属单位印章代替。</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w:t>
            </w:r>
            <w:r>
              <w:rPr>
                <w:rFonts w:hint="eastAsia" w:ascii="仿宋" w:hAnsi="仿宋" w:eastAsia="仿宋" w:cs="仿宋"/>
                <w:color w:val="000000" w:themeColor="text1"/>
                <w:sz w:val="24"/>
                <w:szCs w:val="28"/>
                <w14:textFill>
                  <w14:solidFill>
                    <w14:schemeClr w14:val="tx1"/>
                  </w14:solidFill>
                </w14:textFill>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p>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16</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招标文件第二章27.合同分包：</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27.1本项目合同接受分包与否，以“投标人须知附表”勾选项为准。</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17</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招标文件第二章2</w:t>
            </w:r>
            <w:r>
              <w:rPr>
                <w:rFonts w:hint="eastAsia" w:ascii="仿宋" w:hAnsi="仿宋" w:eastAsia="仿宋" w:cs="仿宋"/>
                <w:b/>
                <w:color w:val="000000" w:themeColor="text1"/>
                <w:sz w:val="24"/>
                <w14:textFill>
                  <w14:solidFill>
                    <w14:schemeClr w14:val="tx1"/>
                  </w14:solidFill>
                </w14:textFill>
              </w:rPr>
              <w:t>8</w:t>
            </w:r>
            <w:r>
              <w:rPr>
                <w:rFonts w:hint="eastAsia" w:ascii="仿宋" w:hAnsi="仿宋" w:eastAsia="仿宋" w:cs="仿宋"/>
                <w:b/>
                <w:color w:val="000000" w:themeColor="text1"/>
                <w:sz w:val="24"/>
                <w:lang w:val="zh-CN"/>
                <w14:textFill>
                  <w14:solidFill>
                    <w14:schemeClr w14:val="tx1"/>
                  </w14:solidFill>
                </w14:textFill>
              </w:rPr>
              <w:t>.合同</w:t>
            </w:r>
            <w:r>
              <w:rPr>
                <w:rFonts w:hint="eastAsia" w:ascii="仿宋" w:hAnsi="仿宋" w:eastAsia="仿宋" w:cs="仿宋"/>
                <w:b/>
                <w:color w:val="000000" w:themeColor="text1"/>
                <w:sz w:val="24"/>
                <w14:textFill>
                  <w14:solidFill>
                    <w14:schemeClr w14:val="tx1"/>
                  </w14:solidFill>
                </w14:textFill>
              </w:rPr>
              <w:t>转</w:t>
            </w:r>
            <w:r>
              <w:rPr>
                <w:rFonts w:hint="eastAsia" w:ascii="仿宋" w:hAnsi="仿宋" w:eastAsia="仿宋" w:cs="仿宋"/>
                <w:b/>
                <w:color w:val="000000" w:themeColor="text1"/>
                <w:sz w:val="24"/>
                <w:lang w:val="zh-CN"/>
                <w14:textFill>
                  <w14:solidFill>
                    <w14:schemeClr w14:val="tx1"/>
                  </w14:solidFill>
                </w14:textFill>
              </w:rPr>
              <w:t>包：</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中标人转包的，视同拒绝履行政府采购合同义务，将依法追究法律责任。</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18</w:t>
            </w:r>
          </w:p>
        </w:tc>
        <w:tc>
          <w:tcPr>
            <w:tcW w:w="3263" w:type="pct"/>
            <w:vAlign w:val="center"/>
          </w:tcPr>
          <w:p>
            <w:pPr>
              <w:widowControl/>
              <w:spacing w:after="0" w:line="240" w:lineRule="auto"/>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招标文件第二章30. 履约保证金：</w:t>
            </w:r>
          </w:p>
          <w:p>
            <w:pPr>
              <w:spacing w:after="0" w:line="24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30.1 中标人应在合同签订之前交纳招标文件规定数额的履约保证金。</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30.2 如果中标人在规定的合同签订时间内，没有按照招标文件的规定交纳履约保证金，且又无正当理由的，将视为放弃中标。</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19</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w:t>
            </w:r>
            <w:r>
              <w:rPr>
                <w:rFonts w:hint="eastAsia" w:ascii="仿宋" w:hAnsi="仿宋" w:eastAsia="仿宋" w:cs="仿宋"/>
                <w:b/>
                <w:color w:val="000000" w:themeColor="text1"/>
                <w:sz w:val="24"/>
                <w14:textFill>
                  <w14:solidFill>
                    <w14:schemeClr w14:val="tx1"/>
                  </w14:solidFill>
                </w14:textFill>
              </w:rPr>
              <w:t>38：</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投标人有下列情形之一的，视为投标</w:t>
            </w:r>
            <w:r>
              <w:rPr>
                <w:rFonts w:hint="eastAsia" w:ascii="仿宋" w:hAnsi="仿宋" w:eastAsia="仿宋" w:cs="仿宋"/>
                <w:bCs/>
                <w:color w:val="000000" w:themeColor="text1"/>
                <w:sz w:val="24"/>
                <w:lang w:val="zh-CN"/>
                <w14:textFill>
                  <w14:solidFill>
                    <w14:schemeClr w14:val="tx1"/>
                  </w14:solidFill>
                </w14:textFill>
              </w:rPr>
              <w:t>人串通投标，其投标无效：</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（1）不同投标人的投标文件由同一单位或者个人编制；</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（2）不同投标人委托同一单位或者个人办理投标事宜；</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（3）不同投标人的投标文件载明的项目管理成员或者联系人员为同一人；</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（4）不同投标人的投标文件异常一致或者投标报价呈规律性差异；</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（5）不同投标人的投标文件相互混装；</w:t>
            </w:r>
          </w:p>
          <w:p>
            <w:pPr>
              <w:spacing w:after="0" w:line="24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（6）不同投标人的投标保证金从同一单位或者个人的账户转出。</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20</w:t>
            </w:r>
          </w:p>
        </w:tc>
        <w:tc>
          <w:tcPr>
            <w:tcW w:w="3263" w:type="pct"/>
            <w:vAlign w:val="center"/>
          </w:tcPr>
          <w:p>
            <w:pPr>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招标文件第二章</w:t>
            </w:r>
            <w:r>
              <w:rPr>
                <w:rFonts w:hint="eastAsia" w:ascii="仿宋" w:hAnsi="仿宋" w:eastAsia="仿宋" w:cs="仿宋"/>
                <w:b/>
                <w:color w:val="000000" w:themeColor="text1"/>
                <w:sz w:val="24"/>
                <w14:textFill>
                  <w14:solidFill>
                    <w14:schemeClr w14:val="tx1"/>
                  </w14:solidFill>
                </w14:textFill>
              </w:rPr>
              <w:t>41：</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lang w:val="zh-CN"/>
                <w14:textFill>
                  <w14:solidFill>
                    <w14:schemeClr w14:val="tx1"/>
                  </w14:solidFill>
                </w14:textFill>
              </w:rPr>
              <w:t>国家或行业主管部门对采购产品的技术标准、质量标准和资格资质条件等有强制性规定的，必须符合其要求。</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21</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招标文件第七章3.2.3：</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（一）投标文件组成明显不符合招标文件的规定要求，影响评标委员会评判的；</w:t>
            </w:r>
          </w:p>
          <w:p>
            <w:pPr>
              <w:spacing w:after="0" w:line="240" w:lineRule="auto"/>
              <w:rPr>
                <w:rFonts w:ascii="仿宋" w:hAnsi="仿宋" w:eastAsia="仿宋" w:cs="仿宋"/>
                <w:bCs/>
                <w:color w:val="000000" w:themeColor="text1"/>
                <w:sz w:val="24"/>
                <w:lang w:val="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（二）投标文件未按招标文件第二章17.2要求盖电子印章的；</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上传空白页即可，评标委员会根据投标文件按照招标文件第七章3.2.3第（一）、（二）项进行评审。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22</w:t>
            </w:r>
          </w:p>
        </w:tc>
        <w:tc>
          <w:tcPr>
            <w:tcW w:w="3263" w:type="pct"/>
            <w:vAlign w:val="center"/>
          </w:tcPr>
          <w:p>
            <w:pPr>
              <w:spacing w:line="24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招标文件第六章“二、商务要求”的实质性要求：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、服务期限</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 棚改贷款资金审计：签订合同后30个工作日内出具审计报告，并提交成都东部新区党工委管委会（成都市东部新城办）财政金融局和成都高新技术产业开发区财政金融局对审计结果进行确认；</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1.2其他来源资金投入审计：棚改贷款资金审计完成后30个工作日内出具审计报告，并提交成都东部新区党工委管委会（成都市东部新城办）财政金融局和成都高新技术产业开发区财政金融局对审计结果进行确认；</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1.3高新区财政资金投入审计：其他来源资金投入审计完成后30个工作日内出具审计报告，并提交成都东部新区党工委管委会（成都市东部新城办）财政金融局和成都高新技术产业开发区财政金融局对审计结果进行确认。 </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2、服务地点</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成都市范围内，以招标人指定地点为准。</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3、付款方式：</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3.1棚改贷款资金审计结果确认完成后30个日历日内，由成都东部新区党工委管委会（成都市东部新城办）财政金融局和成都高新技术产业开发区财政金融局各自支付给中标人此单项金额的50%；</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3.2其他来源资金投入审计结果确认完成后30个日历日内，由成都东部新区党工委管委会（成都市东部新城办）财政金融局和成都高新技术产业开发区财政金融局各自支付给中标人此单项金额的50%；</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3.3高新区财政资金投入审计结果确认完成后30个日历日内，由成都东部新区党工委管委会（成都市东部新城办）财政金融局和成都高新技术产业开发区财政金融局各自支付给中标人此单项金额的50%。</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具体支付细节在合同中约定。 </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4、验收标准和方法</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严格按照《财政部关于进一步加强政府采购需求和履约验收管理的指导意见》（财库〔2016〕205 号）和招标人已制定或修订的管理办法进行验收。</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5、违约责任</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若因政策调整、计划变更或实施主体变更而不具备工作条件等非招标人原因导致审计服务内容调整或无法实施的，招标人有权根据工作需要无条件单方面调整合同内项目或者解除合同， 不视为招标人违约。</w:t>
            </w:r>
          </w:p>
          <w:p>
            <w:pPr>
              <w:spacing w:after="0" w:line="240" w:lineRule="auto"/>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中标人以及其指派人员应遵守招标人制定的相关管理制度，如违反管理制度，按管理制度相应规定予以处罚，并承担合同金额30%的违约责任，给招标人造成损失的，还应承担损失赔偿责任。</w:t>
            </w: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投标人按照招标文件第三章格式2-6填写，评标委员会根据上传内容评审。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Pr>
        <w:tc>
          <w:tcPr>
            <w:tcW w:w="407" w:type="pct"/>
            <w:vAlign w:val="center"/>
          </w:tcPr>
          <w:p>
            <w:pPr>
              <w:spacing w:after="0" w:line="24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23</w:t>
            </w:r>
          </w:p>
        </w:tc>
        <w:tc>
          <w:tcPr>
            <w:tcW w:w="3263" w:type="pct"/>
            <w:vAlign w:val="center"/>
          </w:tcPr>
          <w:p>
            <w:pPr>
              <w:widowControl/>
              <w:spacing w:after="0" w:line="24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招标文件第六章|“三、技术服务要求”的实质性要求：</w:t>
            </w: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（一）审计内容要求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针</w:t>
            </w:r>
            <w:r>
              <w:rPr>
                <w:rFonts w:hint="eastAsia" w:ascii="仿宋" w:hAnsi="仿宋" w:eastAsia="仿宋" w:cs="仿宋"/>
                <w:bCs/>
                <w:color w:val="000000" w:themeColor="text1"/>
                <w:sz w:val="24"/>
                <w14:textFill>
                  <w14:solidFill>
                    <w14:schemeClr w14:val="tx1"/>
                  </w14:solidFill>
                </w14:textFill>
              </w:rPr>
              <w:t>对原空港新城区域内涉及棚改贷款资金、其他来源资金投入、高新区财政资金投入的征地拆迁资金，按照区域属地管理主体原则，甄别出东部新区和高新区未来科技城范围上述资金使用情况以及双方需分担的金额，并分别对应到相应地块。具体如下：</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①棚改贷款资金</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截至2020年4月30日，已提款的原成都天府国际空港新城管理委员会（以下简称高新区空管委）与科技城集团签订的7个棚户区（城中村）改造项目实际到位贷款资金49.57亿元，以及项目资本金13.41亿元（纳入财政投入）。</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②其他来源资金</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截至2020年4月30日，其他来源资金投入的原空港新城区域征地拆迁资金28.65亿元。</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③高新区财政资金投入</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截至2020年4月30日，成都高新技术产业开发区财政金融局预算安排的81.27亿元，财政借款2亿元。</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（三）人员配置</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1、基本要求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须配备现场项目负责人1名（须为注册会计师且注册在本单位，提供有效证书复印件），其余项目组成员6名。</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注：审计正式开始前须提供现场项目负责人的注册会计师证书并且中途不得随意更换（提供承诺函，格式自拟）。</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2.其他相关要求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(1)未经招标人同意不得更换项目人员，直至项目所有内容完成经招标人验收合格。</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(2)中标人应按照相关法律法规及管理制度要求，公平、公正地开展受托的相关工作。其工作过程及工作成果应符合法律法规的规定和招标人的要求。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(3)中标人及其投入本项目的审计人员应当恪守职业道德，廉洁自律，接受招标人的监督、指导和管理。</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(4)因中标人责任造成时间延长的，不增加相关审计服务费用。</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(5)中标人提供的审计服务(工作事项、审计人员、工作进度、工作质量等)不符合政府采购合同约定的，将按违约处理。此类情形下，招标人有权终止合同，并依约追究其违约责任。</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(6)中标人必须在指定的时间内将要求的审计资料及时报送招标人(包括纸质版、电子版和报表数据库)。报送的资料应符合招标人要求包含但不限于签章齐全，索引号、页码标示规范、清晰。</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（四）审计服务要求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1.审计服务要求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(1)审计资料范围</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①与审计项目相关的各类财务资料及电子数据。</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②审计过程中需要的其他资料。</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(2)审计责任</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中标人协助招标人开展审计工作，确保审计质量、防范审计风险，推动分配的审计项目按时完成。中标人要按照采购文件中确定的审计服务内容进行服务,完成对所分配项目的审计工作，并完成档案装订等工作。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(3)工作机制</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招标人与中标人之间建立保密制度、定期沟通制度、固定联系人制度及重大问题请示报告制度。</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(4)中标人应按照审计工作方案要求，完成招标人委托项目的审计工作。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(5)中标人应在工作中严格执行审计实施方案，做好工作底稿、取证记录、调查了解记录的编制，收集保存好审计资料。</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(6)中标人应编制审计报告。</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(7)中标人应完成审计档案的整理、装订工作。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(8)中标人应完招标人交办的其他工作。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(9)对审计工作的要求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①保证时间进度</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中标人按招标人及审计工作方案对审计项目时间进度和审计内容的要求制定审计实施方案，保证审计项目按期完成。</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②保证审计质量</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中标人按照审计实施方案，严格执行，真实、准确、完整地反映发现的问题，确保审计内容全面实施。</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(10)为了控制风险,保证审计报告的质量，招标人可向中标人就有关事项下发工作要求，中标人应按要求及时提交有关资料。</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(11)为了保证审计工作进度,中标人应及时就审计工作进度等向招标人沟通。</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(12)中标人安排的项目负责人必须具备一定的相关审计工作经验,熟悉相关法律、法规，能充分胜任所从事的工作。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(13) 中标人安排的参审人员必须遵守《审计“四严禁”“八不准”工作纪律》，因违反该纪律产生的后果由中标人全权承担，与招标人无关。</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(14)中标人对安排的参审人员在参与审计工作中的安全负责,招标人不承担责任。</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2、保密要求</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本项目中标人在项目服务履约过程中，对招标人的财务信息等严格保密，中标人不得违法使用或泄漏（提供书面承诺函原件并加盖投标人鲜章，格式自拟）。</w:t>
            </w:r>
          </w:p>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（五）审计服务成果</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参与相应审计工作后出具符合现行法律法规、行业标准及招标人要求的审计报告。招标人认为中标人提交的审计报告不符合要求的或者缺少内容的，中标人应按招标人要求完善。</w:t>
            </w:r>
          </w:p>
          <w:p>
            <w:pPr>
              <w:spacing w:line="240" w:lineRule="auto"/>
              <w:rPr>
                <w:rFonts w:ascii="仿宋" w:hAnsi="仿宋" w:eastAsia="仿宋" w:cs="仿宋"/>
                <w:bCs/>
                <w:color w:val="000000" w:themeColor="text1"/>
                <w:szCs w:val="21"/>
                <w:lang w:val="zh-CN"/>
                <w14:textFill>
                  <w14:solidFill>
                    <w14:schemeClr w14:val="tx1"/>
                  </w14:solidFill>
                </w14:textFill>
              </w:rPr>
            </w:pPr>
          </w:p>
        </w:tc>
        <w:tc>
          <w:tcPr>
            <w:tcW w:w="1316" w:type="pct"/>
            <w:vAlign w:val="center"/>
          </w:tcPr>
          <w:p>
            <w:pPr>
              <w:spacing w:after="0" w:line="240" w:lineRule="auto"/>
              <w:rPr>
                <w:rFonts w:ascii="仿宋" w:hAnsi="仿宋" w:eastAsia="仿宋" w:cs="仿宋"/>
                <w:bCs/>
                <w:color w:val="000000" w:themeColor="text1"/>
                <w:sz w:val="24"/>
                <w14:textFill>
                  <w14:solidFill>
                    <w14:schemeClr w14:val="tx1"/>
                  </w14:solidFill>
                </w14:textFill>
              </w:rPr>
            </w:pPr>
          </w:p>
          <w:p>
            <w:pPr>
              <w:spacing w:after="0" w:line="240" w:lineRule="auto"/>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须配备现场项目负责人1名（须为注册会计师且注册在本单位，提供有效证书复印件），其余项目组成员6名。</w:t>
            </w:r>
          </w:p>
          <w:p>
            <w:pPr>
              <w:spacing w:after="0" w:line="24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注：审计正式开始前须提供现场项目负责人的注册会计师证书并且中途不得随意更换（提供承诺函，格式自拟）。</w:t>
            </w:r>
          </w:p>
          <w:p>
            <w:pPr>
              <w:spacing w:after="0" w:line="240" w:lineRule="auto"/>
              <w:rPr>
                <w:color w:val="000000" w:themeColor="text1"/>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本项目中标人在项目服务履约过程中，对招标人的财务信息等严格保密，中标人不得违法使用或泄漏（提供书面承诺函原件并加盖投标人鲜章，格式自拟）。</w:t>
            </w:r>
          </w:p>
          <w:p>
            <w:pPr>
              <w:spacing w:after="0" w:line="240" w:lineRule="auto"/>
              <w:rPr>
                <w:rFonts w:ascii="仿宋" w:hAnsi="仿宋" w:eastAsia="仿宋" w:cs="仿宋"/>
                <w:bCs/>
                <w:color w:val="000000" w:themeColor="text1"/>
                <w:sz w:val="24"/>
                <w14:textFill>
                  <w14:solidFill>
                    <w14:schemeClr w14:val="tx1"/>
                  </w14:solidFill>
                </w14:textFill>
              </w:rPr>
            </w:pPr>
            <w:r>
              <w:rPr>
                <w:rFonts w:ascii="仿宋" w:hAnsi="仿宋" w:eastAsia="仿宋" w:cs="仿宋"/>
                <w:bCs/>
                <w:color w:val="000000" w:themeColor="text1"/>
                <w:sz w:val="24"/>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投标人按照招标文件第三章格式2-9填写，评标委员会根据上传内容评审。</w:t>
            </w:r>
          </w:p>
        </w:tc>
      </w:tr>
    </w:tbl>
    <w:p>
      <w:pPr>
        <w:spacing w:line="400" w:lineRule="exact"/>
        <w:ind w:firstLine="480" w:firstLineChars="20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（二）投标文件未按招标文件</w:t>
      </w:r>
      <w:r>
        <w:rPr>
          <w:rFonts w:hint="eastAsia" w:ascii="仿宋" w:hAnsi="仿宋" w:eastAsia="仿宋"/>
          <w:b/>
          <w:bCs/>
          <w:color w:val="000000" w:themeColor="text1"/>
          <w:sz w:val="24"/>
          <w14:textFill>
            <w14:solidFill>
              <w14:schemeClr w14:val="tx1"/>
            </w14:solidFill>
          </w14:textFill>
        </w:rPr>
        <w:t>第二章17.2</w:t>
      </w:r>
      <w:r>
        <w:rPr>
          <w:rFonts w:hint="eastAsia" w:ascii="仿宋" w:hAnsi="仿宋" w:eastAsia="仿宋"/>
          <w:color w:val="000000" w:themeColor="text1"/>
          <w:sz w:val="24"/>
          <w14:textFill>
            <w14:solidFill>
              <w14:schemeClr w14:val="tx1"/>
            </w14:solidFill>
          </w14:textFill>
        </w:rPr>
        <w:t>要求盖电子印章的。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3.8.2</w:t>
      </w:r>
      <w:r>
        <w:rPr>
          <w:rFonts w:hint="eastAsia" w:ascii="仿宋" w:hAnsi="仿宋" w:eastAsia="仿宋"/>
          <w:color w:val="000000" w:themeColor="text1"/>
          <w:sz w:val="24"/>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000000" w:themeColor="text1"/>
          <w:sz w:val="24"/>
          <w14:textFill>
            <w14:solidFill>
              <w14:schemeClr w14:val="tx1"/>
            </w14:solidFill>
          </w14:textFill>
        </w:rPr>
        <w:t>澄清、说明或者更正不影响投标文件的效力，有效的澄清、说明或者更正材料，是投标文件的组成部分。</w:t>
      </w:r>
      <w:r>
        <w:rPr>
          <w:rFonts w:hint="eastAsia" w:ascii="仿宋" w:hAnsi="仿宋" w:eastAsia="仿宋"/>
          <w:color w:val="000000" w:themeColor="text1"/>
          <w:sz w:val="24"/>
          <w:lang w:val="zh-CN"/>
          <w14:textFill>
            <w14:solidFill>
              <w14:schemeClr w14:val="tx1"/>
            </w14:solidFill>
          </w14:textFill>
        </w:rPr>
        <w:t>如因系统故障（</w:t>
      </w:r>
      <w:r>
        <w:rPr>
          <w:rFonts w:hint="eastAsia" w:ascii="仿宋" w:hAnsi="仿宋" w:eastAsia="仿宋"/>
          <w:color w:val="000000" w:themeColor="text1"/>
          <w:sz w:val="24"/>
          <w14:textFill>
            <w14:solidFill>
              <w14:schemeClr w14:val="tx1"/>
            </w14:solidFill>
          </w14:textFill>
        </w:rPr>
        <w:t>包括组织场所停电、断网等）</w:t>
      </w:r>
      <w:r>
        <w:rPr>
          <w:rFonts w:hint="eastAsia" w:ascii="仿宋" w:hAnsi="仿宋" w:eastAsia="仿宋"/>
          <w:color w:val="000000" w:themeColor="text1"/>
          <w:sz w:val="24"/>
          <w:lang w:val="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3.8.4 </w:t>
      </w:r>
      <w:r>
        <w:rPr>
          <w:rFonts w:hint="eastAsia" w:ascii="仿宋" w:hAnsi="仿宋" w:eastAsia="仿宋"/>
          <w:color w:val="000000" w:themeColor="text1"/>
          <w:sz w:val="24"/>
          <w14:textFill>
            <w14:solidFill>
              <w14:schemeClr w14:val="tx1"/>
            </w14:solidFill>
          </w14:textFill>
        </w:rPr>
        <w:t>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44"/>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 xml:space="preserve">3.9 </w:t>
      </w:r>
      <w:r>
        <w:rPr>
          <w:rFonts w:hint="eastAsia" w:ascii="仿宋" w:hAnsi="仿宋" w:eastAsia="仿宋"/>
          <w:color w:val="000000" w:themeColor="text1"/>
          <w14:textFill>
            <w14:solidFill>
              <w14:schemeClr w14:val="tx1"/>
            </w14:solidFill>
          </w14:textFill>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firstLine="482" w:firstLineChars="200"/>
        <w:jc w:val="both"/>
        <w:rPr>
          <w:rFonts w:ascii="仿宋" w:hAnsi="仿宋" w:eastAsia="仿宋"/>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注：</w:t>
      </w:r>
      <w:r>
        <w:rPr>
          <w:rFonts w:hint="eastAsia" w:ascii="仿宋" w:hAnsi="仿宋" w:eastAsia="仿宋"/>
          <w:b/>
          <w:bCs/>
          <w:color w:val="000000" w:themeColor="text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14:textFill>
            <w14:solidFill>
              <w14:schemeClr w14:val="tx1"/>
            </w14:solidFill>
          </w14:textFill>
        </w:rPr>
        <w:t>30分钟，供应商已明确表示澄清、说明完毕的除外</w:t>
      </w:r>
      <w:r>
        <w:rPr>
          <w:rFonts w:hint="eastAsia" w:ascii="仿宋" w:hAnsi="仿宋" w:eastAsia="仿宋"/>
          <w:b/>
          <w:bCs/>
          <w:color w:val="000000" w:themeColor="text1"/>
          <w:lang w:val="zh-CN"/>
          <w14:textFill>
            <w14:solidFill>
              <w14:schemeClr w14:val="tx1"/>
            </w14:solidFill>
          </w14:textFill>
        </w:rPr>
        <w:t>）。如因系统故障（</w:t>
      </w:r>
      <w:r>
        <w:rPr>
          <w:rFonts w:hint="eastAsia" w:ascii="仿宋" w:hAnsi="仿宋" w:eastAsia="仿宋"/>
          <w:b/>
          <w:bCs/>
          <w:color w:val="000000" w:themeColor="text1"/>
          <w14:textFill>
            <w14:solidFill>
              <w14:schemeClr w14:val="tx1"/>
            </w14:solidFill>
          </w14:textFill>
        </w:rPr>
        <w:t>包括组织场所停电、断网等）</w:t>
      </w:r>
      <w:r>
        <w:rPr>
          <w:rFonts w:hint="eastAsia" w:ascii="仿宋" w:hAnsi="仿宋" w:eastAsia="仿宋"/>
          <w:b/>
          <w:bCs/>
          <w:color w:val="000000" w:themeColor="text1"/>
          <w:lang w:val="zh-CN"/>
          <w14:textFill>
            <w14:solidFill>
              <w14:schemeClr w14:val="tx1"/>
            </w14:solidFill>
          </w14:textFill>
        </w:rPr>
        <w:t>导致系统无法使用的，由投标人按评标委员会的要求进行澄清或者说明。</w:t>
      </w:r>
    </w:p>
    <w:p>
      <w:pPr>
        <w:pStyle w:val="44"/>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3.10招标采购单位现场复核评标结果。</w:t>
      </w:r>
    </w:p>
    <w:p>
      <w:pPr>
        <w:pStyle w:val="44"/>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4"/>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3.10.2有下列情形之一的，不得修改评标结果或者重新评审：</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3.10.3出现下列情形之一的，应当中止电子化采购活动，并保留相关证明材料备查： </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（一）系统发生故障（包括感染病毒、应用或数据库出错）而无法正常使用的；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（二）因组织场所停电、断网等原因，导致采购活动无法继续通过交易系统实施的；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（三）其他无法保证电子化交易的公平、公正和安全的情况。</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4"/>
        <w:ind w:firstLine="482"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评标细则及标准</w:t>
      </w:r>
      <w:bookmarkEnd w:id="1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4.1本项目采用综合评分法，评分因素详见综合评分明细表。</w:t>
      </w:r>
    </w:p>
    <w:p>
      <w:pPr>
        <w:pStyle w:val="44"/>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 xml:space="preserve">4.2 </w:t>
      </w:r>
      <w:r>
        <w:rPr>
          <w:rFonts w:hint="eastAsia" w:ascii="仿宋" w:hAnsi="仿宋" w:eastAsia="仿宋"/>
          <w:color w:val="000000" w:themeColor="text1"/>
          <w14:textFill>
            <w14:solidFill>
              <w14:schemeClr w14:val="tx1"/>
            </w14:solidFill>
          </w14:textFill>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4.3综合评分明细表</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4.3.2 </w:t>
      </w:r>
      <w:r>
        <w:rPr>
          <w:rFonts w:hint="eastAsia" w:ascii="仿宋" w:hAnsi="仿宋" w:eastAsia="仿宋"/>
          <w:color w:val="000000" w:themeColor="text1"/>
          <w:sz w:val="24"/>
          <w14:textFill>
            <w14:solidFill>
              <w14:schemeClr w14:val="tx1"/>
            </w14:solidFill>
          </w14:textFill>
        </w:rPr>
        <w:t>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4.3.3综合评分明细表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063"/>
        <w:gridCol w:w="846"/>
        <w:gridCol w:w="4992"/>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17"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序号</w:t>
            </w:r>
          </w:p>
        </w:tc>
        <w:tc>
          <w:tcPr>
            <w:tcW w:w="1063"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评分因素</w:t>
            </w:r>
          </w:p>
        </w:tc>
        <w:tc>
          <w:tcPr>
            <w:tcW w:w="846"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权重分值</w:t>
            </w:r>
          </w:p>
        </w:tc>
        <w:tc>
          <w:tcPr>
            <w:tcW w:w="4992"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评分依据</w:t>
            </w:r>
          </w:p>
        </w:tc>
        <w:tc>
          <w:tcPr>
            <w:tcW w:w="1685"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517"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w:t>
            </w:r>
          </w:p>
        </w:tc>
        <w:tc>
          <w:tcPr>
            <w:tcW w:w="1063" w:type="dxa"/>
            <w:shd w:val="clear" w:color="auto" w:fill="auto"/>
            <w:vAlign w:val="center"/>
          </w:tcPr>
          <w:p>
            <w:pPr>
              <w:adjustRightInd w:val="0"/>
              <w:snapToGrid w:val="0"/>
              <w:spacing w:after="0" w:line="240" w:lineRule="auto"/>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报价</w:t>
            </w:r>
          </w:p>
        </w:tc>
        <w:tc>
          <w:tcPr>
            <w:tcW w:w="846"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30</w:t>
            </w:r>
            <w:r>
              <w:rPr>
                <w:rFonts w:hint="eastAsia" w:ascii="仿宋" w:hAnsi="仿宋" w:eastAsia="仿宋" w:cs="仿宋"/>
                <w:color w:val="000000" w:themeColor="text1"/>
                <w:szCs w:val="21"/>
                <w14:textFill>
                  <w14:solidFill>
                    <w14:schemeClr w14:val="tx1"/>
                  </w14:solidFill>
                </w14:textFill>
              </w:rPr>
              <w:t>分</w:t>
            </w:r>
          </w:p>
        </w:tc>
        <w:tc>
          <w:tcPr>
            <w:tcW w:w="4992" w:type="dxa"/>
            <w:shd w:val="clear" w:color="auto" w:fill="auto"/>
            <w:vAlign w:val="center"/>
          </w:tcPr>
          <w:p>
            <w:pPr>
              <w:pStyle w:val="2"/>
              <w:spacing w:line="240" w:lineRule="auto"/>
              <w:ind w:left="0" w:leftChars="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满足招标文件要求且投标价格最低的报价为基准价，其价格分为满分。其他供应商的价格分统一按照下列公式计算：报价得分=(基准价／报价)×</w:t>
            </w:r>
            <w:r>
              <w:rPr>
                <w:rFonts w:ascii="仿宋" w:hAnsi="仿宋" w:eastAsia="仿宋" w:cs="仿宋"/>
                <w:color w:val="000000" w:themeColor="text1"/>
                <w:szCs w:val="21"/>
                <w14:textFill>
                  <w14:solidFill>
                    <w14:schemeClr w14:val="tx1"/>
                  </w14:solidFill>
                </w14:textFill>
              </w:rPr>
              <w:t>30。</w:t>
            </w:r>
          </w:p>
        </w:tc>
        <w:tc>
          <w:tcPr>
            <w:tcW w:w="1685"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17" w:type="dxa"/>
            <w:shd w:val="clear" w:color="auto" w:fill="auto"/>
            <w:vAlign w:val="center"/>
          </w:tcPr>
          <w:p>
            <w:pPr>
              <w:autoSpaceDN w:val="0"/>
              <w:spacing w:after="0" w:line="240" w:lineRule="auto"/>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063" w:type="dxa"/>
            <w:shd w:val="clear" w:color="auto" w:fill="auto"/>
            <w:vAlign w:val="center"/>
          </w:tcPr>
          <w:p>
            <w:pPr>
              <w:autoSpaceDN w:val="0"/>
              <w:spacing w:after="0" w:line="24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投标人类似业绩</w:t>
            </w:r>
          </w:p>
        </w:tc>
        <w:tc>
          <w:tcPr>
            <w:tcW w:w="846" w:type="dxa"/>
            <w:shd w:val="clear" w:color="auto" w:fill="auto"/>
            <w:vAlign w:val="center"/>
          </w:tcPr>
          <w:p>
            <w:pPr>
              <w:autoSpaceDN w:val="0"/>
              <w:spacing w:after="0" w:line="240" w:lineRule="auto"/>
              <w:jc w:val="center"/>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20</w:t>
            </w:r>
            <w:r>
              <w:rPr>
                <w:rFonts w:hint="eastAsia" w:ascii="仿宋" w:hAnsi="仿宋" w:eastAsia="仿宋" w:cs="仿宋"/>
                <w:color w:val="000000" w:themeColor="text1"/>
                <w:szCs w:val="21"/>
                <w14:textFill>
                  <w14:solidFill>
                    <w14:schemeClr w14:val="tx1"/>
                  </w14:solidFill>
                </w14:textFill>
              </w:rPr>
              <w:t>分</w:t>
            </w:r>
          </w:p>
        </w:tc>
        <w:tc>
          <w:tcPr>
            <w:tcW w:w="4992" w:type="dxa"/>
            <w:shd w:val="clear" w:color="auto" w:fill="auto"/>
          </w:tcPr>
          <w:p>
            <w:pPr>
              <w:numPr>
                <w:ilvl w:val="0"/>
                <w:numId w:val="4"/>
              </w:numPr>
              <w:autoSpaceDN w:val="0"/>
              <w:spacing w:after="0" w:line="24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提供2018年1月1日以来具有征地拆迁资金专项审计（检查）业绩，每提供一个得2分，最多得1</w:t>
            </w:r>
            <w:r>
              <w:rPr>
                <w:rFonts w:ascii="仿宋" w:hAnsi="仿宋" w:eastAsia="仿宋" w:cs="仿宋"/>
                <w:color w:val="000000" w:themeColor="text1"/>
                <w:szCs w:val="21"/>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分；</w:t>
            </w:r>
          </w:p>
          <w:p>
            <w:pPr>
              <w:numPr>
                <w:ilvl w:val="0"/>
                <w:numId w:val="4"/>
              </w:numPr>
              <w:autoSpaceDN w:val="0"/>
              <w:spacing w:after="0" w:line="240" w:lineRule="auto"/>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提供2</w:t>
            </w:r>
            <w:r>
              <w:rPr>
                <w:rFonts w:ascii="仿宋" w:hAnsi="仿宋" w:eastAsia="仿宋"/>
                <w:color w:val="000000" w:themeColor="text1"/>
                <w14:textFill>
                  <w14:solidFill>
                    <w14:schemeClr w14:val="tx1"/>
                  </w14:solidFill>
                </w14:textFill>
              </w:rPr>
              <w:t>018</w:t>
            </w:r>
            <w:r>
              <w:rPr>
                <w:rFonts w:hint="eastAsia" w:ascii="仿宋" w:hAnsi="仿宋" w:eastAsia="仿宋"/>
                <w:color w:val="000000" w:themeColor="text1"/>
                <w14:textFill>
                  <w14:solidFill>
                    <w14:schemeClr w14:val="tx1"/>
                  </w14:solidFill>
                </w14:textFill>
              </w:rPr>
              <w:t>年1月1日以来具有棚户区（城中村）改造专项审计（检查）业绩，每提供一个得2分，最多得1</w:t>
            </w:r>
            <w:r>
              <w:rPr>
                <w:rFonts w:ascii="仿宋" w:hAnsi="仿宋" w:eastAsia="仿宋"/>
                <w:color w:val="000000" w:themeColor="text1"/>
                <w14:textFill>
                  <w14:solidFill>
                    <w14:schemeClr w14:val="tx1"/>
                  </w14:solidFill>
                </w14:textFill>
              </w:rPr>
              <w:t>0</w:t>
            </w:r>
            <w:r>
              <w:rPr>
                <w:rFonts w:hint="eastAsia" w:ascii="仿宋" w:hAnsi="仿宋" w:eastAsia="仿宋"/>
                <w:color w:val="000000" w:themeColor="text1"/>
                <w14:textFill>
                  <w14:solidFill>
                    <w14:schemeClr w14:val="tx1"/>
                  </w14:solidFill>
                </w14:textFill>
              </w:rPr>
              <w:t>分。</w:t>
            </w:r>
          </w:p>
          <w:p>
            <w:pPr>
              <w:autoSpaceDN w:val="0"/>
              <w:spacing w:after="0" w:line="240" w:lineRule="auto"/>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注：</w:t>
            </w:r>
            <w:r>
              <w:rPr>
                <w:rFonts w:hint="eastAsia" w:ascii="仿宋" w:hAnsi="仿宋" w:eastAsia="仿宋" w:cs="仿宋"/>
                <w:color w:val="000000" w:themeColor="text1"/>
                <w:szCs w:val="21"/>
                <w14:textFill>
                  <w14:solidFill>
                    <w14:schemeClr w14:val="tx1"/>
                  </w14:solidFill>
                </w14:textFill>
              </w:rPr>
              <w:t>如同一合同包含征地拆迁和棚户区（城中村）改造项目，则按照一项评分。</w:t>
            </w:r>
            <w:r>
              <w:rPr>
                <w:rFonts w:ascii="仿宋" w:hAnsi="仿宋" w:eastAsia="仿宋" w:cs="仿宋"/>
                <w:color w:val="000000" w:themeColor="text1"/>
                <w:szCs w:val="21"/>
                <w14:textFill>
                  <w14:solidFill>
                    <w14:schemeClr w14:val="tx1"/>
                  </w14:solidFill>
                </w14:textFill>
              </w:rPr>
              <w:t>上述业绩须提供业绩汇总表，并附相应业绩对应的审计报告复印件（只提供报告封面、正文第一页和最后一页复印件以及涉及加分项的相关内容）及委托合同复印件</w:t>
            </w:r>
            <w:r>
              <w:rPr>
                <w:rFonts w:hint="eastAsia" w:ascii="仿宋" w:hAnsi="仿宋" w:eastAsia="仿宋" w:cs="仿宋"/>
                <w:color w:val="000000" w:themeColor="text1"/>
                <w:szCs w:val="21"/>
                <w14:textFill>
                  <w14:solidFill>
                    <w14:schemeClr w14:val="tx1"/>
                  </w14:solidFill>
                </w14:textFill>
              </w:rPr>
              <w:t>。</w:t>
            </w:r>
          </w:p>
        </w:tc>
        <w:tc>
          <w:tcPr>
            <w:tcW w:w="1685" w:type="dxa"/>
            <w:shd w:val="clear" w:color="auto" w:fill="auto"/>
            <w:vAlign w:val="center"/>
          </w:tcPr>
          <w:p>
            <w:pPr>
              <w:autoSpaceDN w:val="0"/>
              <w:spacing w:after="0" w:line="240" w:lineRule="auto"/>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Hans"/>
                <w14:textFill>
                  <w14:solidFill>
                    <w14:schemeClr w14:val="tx1"/>
                  </w14:solidFill>
                </w14:textFill>
              </w:rPr>
              <w:t>共同</w:t>
            </w:r>
            <w:r>
              <w:rPr>
                <w:rFonts w:hint="eastAsia" w:ascii="仿宋" w:hAnsi="仿宋" w:eastAsia="仿宋" w:cs="仿宋"/>
                <w:color w:val="000000" w:themeColor="text1"/>
                <w:szCs w:val="21"/>
                <w14:textFill>
                  <w14:solidFill>
                    <w14:schemeClr w14:val="tx1"/>
                  </w14:solidFill>
                </w14:textFill>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517" w:type="dxa"/>
            <w:shd w:val="clear" w:color="auto" w:fill="auto"/>
            <w:vAlign w:val="center"/>
          </w:tcPr>
          <w:p>
            <w:pPr>
              <w:widowControl/>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w:t>
            </w:r>
          </w:p>
        </w:tc>
        <w:tc>
          <w:tcPr>
            <w:tcW w:w="1063" w:type="dxa"/>
            <w:shd w:val="clear" w:color="auto" w:fill="auto"/>
            <w:vAlign w:val="center"/>
          </w:tcPr>
          <w:p>
            <w:pPr>
              <w:adjustRightInd w:val="0"/>
              <w:snapToGrid w:val="0"/>
              <w:spacing w:after="0" w:line="240" w:lineRule="auto"/>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拟派</w:t>
            </w:r>
            <w:r>
              <w:rPr>
                <w:rFonts w:hint="eastAsia" w:ascii="仿宋" w:hAnsi="仿宋" w:eastAsia="仿宋" w:cs="仿宋"/>
                <w:color w:val="000000" w:themeColor="text1"/>
                <w:szCs w:val="21"/>
                <w14:textFill>
                  <w14:solidFill>
                    <w14:schemeClr w14:val="tx1"/>
                  </w14:solidFill>
                </w14:textFill>
              </w:rPr>
              <w:t>现场项目负责人</w:t>
            </w:r>
            <w:r>
              <w:rPr>
                <w:rFonts w:ascii="仿宋" w:hAnsi="仿宋" w:eastAsia="仿宋" w:cs="仿宋"/>
                <w:color w:val="000000" w:themeColor="text1"/>
                <w:szCs w:val="21"/>
                <w14:textFill>
                  <w14:solidFill>
                    <w14:schemeClr w14:val="tx1"/>
                  </w14:solidFill>
                </w14:textFill>
              </w:rPr>
              <w:t>业绩</w:t>
            </w:r>
          </w:p>
        </w:tc>
        <w:tc>
          <w:tcPr>
            <w:tcW w:w="846" w:type="dxa"/>
            <w:shd w:val="clear" w:color="auto" w:fill="auto"/>
            <w:vAlign w:val="center"/>
          </w:tcPr>
          <w:p>
            <w:pPr>
              <w:widowControl/>
              <w:adjustRightInd w:val="0"/>
              <w:snapToGrid w:val="0"/>
              <w:spacing w:after="0" w:line="240" w:lineRule="auto"/>
              <w:jc w:val="left"/>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20分</w:t>
            </w:r>
          </w:p>
        </w:tc>
        <w:tc>
          <w:tcPr>
            <w:tcW w:w="4992" w:type="dxa"/>
            <w:shd w:val="clear" w:color="auto" w:fill="auto"/>
            <w:vAlign w:val="center"/>
          </w:tcPr>
          <w:p>
            <w:pPr>
              <w:autoSpaceDN w:val="0"/>
              <w:spacing w:after="0" w:line="240" w:lineRule="auto"/>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提供拟委派的现场项目负责人</w:t>
            </w:r>
            <w:r>
              <w:rPr>
                <w:rFonts w:ascii="仿宋" w:hAnsi="仿宋" w:eastAsia="仿宋" w:cs="仿宋"/>
                <w:color w:val="000000" w:themeColor="text1"/>
                <w:szCs w:val="21"/>
                <w14:textFill>
                  <w14:solidFill>
                    <w14:schemeClr w14:val="tx1"/>
                  </w14:solidFill>
                </w14:textFill>
              </w:rPr>
              <w:t>2018年1月1日以来的相关项目业绩：</w:t>
            </w:r>
          </w:p>
          <w:p>
            <w:pPr>
              <w:autoSpaceDN w:val="0"/>
              <w:spacing w:after="0" w:line="240" w:lineRule="auto"/>
              <w:jc w:val="left"/>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、提供2018年1月1日以来具有征地拆迁资金专项审计（检查）业绩，每提供一个得2分，最多得10分；</w:t>
            </w:r>
          </w:p>
          <w:p>
            <w:pPr>
              <w:autoSpaceDN w:val="0"/>
              <w:spacing w:after="0" w:line="240" w:lineRule="auto"/>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w:t>
            </w:r>
            <w:r>
              <w:rPr>
                <w:rFonts w:hint="eastAsia" w:ascii="仿宋" w:hAnsi="仿宋"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018</w:t>
            </w:r>
            <w:r>
              <w:rPr>
                <w:rFonts w:hint="eastAsia" w:ascii="仿宋" w:hAnsi="仿宋" w:eastAsia="仿宋"/>
                <w:color w:val="000000" w:themeColor="text1"/>
                <w14:textFill>
                  <w14:solidFill>
                    <w14:schemeClr w14:val="tx1"/>
                  </w14:solidFill>
                </w14:textFill>
              </w:rPr>
              <w:t>年</w:t>
            </w:r>
            <w:r>
              <w:rPr>
                <w:rFonts w:hint="eastAsia" w:ascii="仿宋" w:hAnsi="仿宋" w:eastAsia="仿宋" w:cs="仿宋"/>
                <w:color w:val="000000" w:themeColor="text1"/>
                <w:szCs w:val="21"/>
                <w14:textFill>
                  <w14:solidFill>
                    <w14:schemeClr w14:val="tx1"/>
                  </w14:solidFill>
                </w14:textFill>
              </w:rPr>
              <w:t>1月1日以来具有棚户区（城中村）改造专项审计（检查）业绩，每提供一个得2分，最多得10分</w:t>
            </w:r>
            <w:r>
              <w:rPr>
                <w:rFonts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 xml:space="preserve">                                                              注：可与</w:t>
            </w:r>
            <w:r>
              <w:rPr>
                <w:rFonts w:hint="eastAsia" w:ascii="仿宋" w:hAnsi="仿宋" w:eastAsia="仿宋" w:cs="仿宋"/>
                <w:color w:val="000000" w:themeColor="text1"/>
                <w:szCs w:val="21"/>
                <w:lang w:eastAsia="zh-Hans"/>
                <w14:textFill>
                  <w14:solidFill>
                    <w14:schemeClr w14:val="tx1"/>
                  </w14:solidFill>
                </w14:textFill>
              </w:rPr>
              <w:t>序号</w:t>
            </w:r>
            <w:r>
              <w:rPr>
                <w:rFonts w:ascii="仿宋" w:hAnsi="仿宋" w:eastAsia="仿宋" w:cs="仿宋"/>
                <w:color w:val="000000" w:themeColor="text1"/>
                <w:szCs w:val="21"/>
                <w:lang w:eastAsia="zh-Hans"/>
                <w14:textFill>
                  <w14:solidFill>
                    <w14:schemeClr w14:val="tx1"/>
                  </w14:solidFill>
                </w14:textFill>
              </w:rPr>
              <w:t>2</w:t>
            </w:r>
            <w:r>
              <w:rPr>
                <w:rFonts w:hint="eastAsia" w:ascii="仿宋" w:hAnsi="仿宋" w:eastAsia="仿宋" w:cs="仿宋"/>
                <w:color w:val="000000" w:themeColor="text1"/>
                <w:szCs w:val="21"/>
                <w:lang w:eastAsia="zh-Hans"/>
                <w14:textFill>
                  <w14:solidFill>
                    <w14:schemeClr w14:val="tx1"/>
                  </w14:solidFill>
                </w14:textFill>
              </w:rPr>
              <w:t>评分项</w:t>
            </w:r>
            <w:r>
              <w:rPr>
                <w:rFonts w:hint="eastAsia" w:ascii="仿宋" w:hAnsi="仿宋" w:eastAsia="仿宋" w:cs="仿宋"/>
                <w:color w:val="000000" w:themeColor="text1"/>
                <w:szCs w:val="21"/>
                <w14:textFill>
                  <w14:solidFill>
                    <w14:schemeClr w14:val="tx1"/>
                  </w14:solidFill>
                </w14:textFill>
              </w:rPr>
              <w:t>投标人类似业绩重复。如同一合同包含征地拆迁和棚户区（城中村）改造项目，则按照一项评分。上述业绩须</w:t>
            </w:r>
            <w:r>
              <w:rPr>
                <w:rFonts w:ascii="仿宋" w:hAnsi="仿宋" w:eastAsia="仿宋" w:cs="仿宋"/>
                <w:color w:val="000000" w:themeColor="text1"/>
                <w:szCs w:val="21"/>
                <w14:textFill>
                  <w14:solidFill>
                    <w14:schemeClr w14:val="tx1"/>
                  </w14:solidFill>
                </w14:textFill>
              </w:rPr>
              <w:t>提供业绩汇总表，并附相应业绩对应的审计报告复印件（只提供报告封面、正文第一页和最后一页复印件以及涉及加分项的相关内容）及委托合同复印件，上述业绩需要在报告签字页有拟委派</w:t>
            </w:r>
            <w:r>
              <w:rPr>
                <w:rFonts w:hint="eastAsia" w:ascii="仿宋" w:hAnsi="仿宋" w:eastAsia="仿宋" w:cs="仿宋"/>
                <w:color w:val="000000" w:themeColor="text1"/>
                <w:szCs w:val="21"/>
                <w14:textFill>
                  <w14:solidFill>
                    <w14:schemeClr w14:val="tx1"/>
                  </w14:solidFill>
                </w14:textFill>
              </w:rPr>
              <w:t>现场项目负责人</w:t>
            </w:r>
            <w:r>
              <w:rPr>
                <w:rFonts w:ascii="仿宋" w:hAnsi="仿宋" w:eastAsia="仿宋" w:cs="仿宋"/>
                <w:color w:val="000000" w:themeColor="text1"/>
                <w:szCs w:val="21"/>
                <w14:textFill>
                  <w14:solidFill>
                    <w14:schemeClr w14:val="tx1"/>
                  </w14:solidFill>
                </w14:textFill>
              </w:rPr>
              <w:t>签章，或者在合同中约定拟委派</w:t>
            </w:r>
            <w:r>
              <w:rPr>
                <w:rFonts w:hint="eastAsia" w:ascii="仿宋" w:hAnsi="仿宋" w:eastAsia="仿宋" w:cs="仿宋"/>
                <w:color w:val="000000" w:themeColor="text1"/>
                <w:szCs w:val="21"/>
                <w14:textFill>
                  <w14:solidFill>
                    <w14:schemeClr w14:val="tx1"/>
                  </w14:solidFill>
                </w14:textFill>
              </w:rPr>
              <w:t>现场项目负责人</w:t>
            </w:r>
            <w:r>
              <w:rPr>
                <w:rFonts w:ascii="仿宋" w:hAnsi="仿宋" w:eastAsia="仿宋" w:cs="仿宋"/>
                <w:color w:val="000000" w:themeColor="text1"/>
                <w:szCs w:val="21"/>
                <w14:textFill>
                  <w14:solidFill>
                    <w14:schemeClr w14:val="tx1"/>
                  </w14:solidFill>
                </w14:textFill>
              </w:rPr>
              <w:t>负责，如报告、合同不能证明则需提供项目甲方单位书面证明。</w:t>
            </w:r>
          </w:p>
        </w:tc>
        <w:tc>
          <w:tcPr>
            <w:tcW w:w="1685" w:type="dxa"/>
            <w:shd w:val="clear" w:color="auto" w:fill="auto"/>
            <w:vAlign w:val="center"/>
          </w:tcPr>
          <w:p>
            <w:pPr>
              <w:widowControl/>
              <w:adjustRightInd w:val="0"/>
              <w:snapToGrid w:val="0"/>
              <w:spacing w:after="0" w:line="240" w:lineRule="auto"/>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Hans"/>
                <w14:textFill>
                  <w14:solidFill>
                    <w14:schemeClr w14:val="tx1"/>
                  </w14:solidFill>
                </w14:textFill>
              </w:rPr>
              <w:t>共同</w:t>
            </w:r>
            <w:r>
              <w:rPr>
                <w:rFonts w:hint="eastAsia" w:ascii="仿宋" w:hAnsi="仿宋" w:eastAsia="仿宋" w:cs="仿宋"/>
                <w:color w:val="000000" w:themeColor="text1"/>
                <w:szCs w:val="21"/>
                <w14:textFill>
                  <w14:solidFill>
                    <w14:schemeClr w14:val="tx1"/>
                  </w14:solidFill>
                </w14:textFill>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17"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ascii="仿宋" w:hAnsi="仿宋" w:eastAsia="仿宋" w:cs="仿宋"/>
                <w:bCs/>
                <w:color w:val="000000" w:themeColor="text1"/>
                <w:szCs w:val="21"/>
                <w14:textFill>
                  <w14:solidFill>
                    <w14:schemeClr w14:val="tx1"/>
                  </w14:solidFill>
                </w14:textFill>
              </w:rPr>
              <w:t>4</w:t>
            </w:r>
          </w:p>
        </w:tc>
        <w:tc>
          <w:tcPr>
            <w:tcW w:w="1063"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ascii="仿宋" w:hAnsi="仿宋" w:eastAsia="仿宋" w:cs="仿宋"/>
                <w:bCs/>
                <w:color w:val="000000" w:themeColor="text1"/>
                <w:szCs w:val="21"/>
                <w14:textFill>
                  <w14:solidFill>
                    <w14:schemeClr w14:val="tx1"/>
                  </w14:solidFill>
                </w14:textFill>
              </w:rPr>
              <w:t>人员配备</w:t>
            </w:r>
          </w:p>
        </w:tc>
        <w:tc>
          <w:tcPr>
            <w:tcW w:w="846"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w:t>
            </w:r>
            <w:r>
              <w:rPr>
                <w:rFonts w:ascii="仿宋" w:hAnsi="仿宋" w:eastAsia="仿宋" w:cs="仿宋"/>
                <w:bCs/>
                <w:color w:val="000000" w:themeColor="text1"/>
                <w:szCs w:val="21"/>
                <w14:textFill>
                  <w14:solidFill>
                    <w14:schemeClr w14:val="tx1"/>
                  </w14:solidFill>
                </w14:textFill>
              </w:rPr>
              <w:t>8</w:t>
            </w:r>
            <w:r>
              <w:rPr>
                <w:rFonts w:hint="eastAsia" w:ascii="仿宋" w:hAnsi="仿宋" w:eastAsia="仿宋" w:cs="仿宋"/>
                <w:bCs/>
                <w:color w:val="000000" w:themeColor="text1"/>
                <w:szCs w:val="21"/>
                <w14:textFill>
                  <w14:solidFill>
                    <w14:schemeClr w14:val="tx1"/>
                  </w14:solidFill>
                </w14:textFill>
              </w:rPr>
              <w:t>分</w:t>
            </w:r>
          </w:p>
        </w:tc>
        <w:tc>
          <w:tcPr>
            <w:tcW w:w="4992" w:type="dxa"/>
            <w:shd w:val="clear" w:color="auto" w:fill="auto"/>
            <w:vAlign w:val="center"/>
          </w:tcPr>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一、现场项目负责人：</w:t>
            </w:r>
          </w:p>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①截至本项目公告发布当日，执业15年以上的（含15年）得9分；执业10年至1</w:t>
            </w:r>
            <w:r>
              <w:rPr>
                <w:rFonts w:ascii="仿宋" w:hAnsi="仿宋" w:eastAsia="仿宋" w:cs="仿宋"/>
                <w:bCs/>
                <w:color w:val="000000" w:themeColor="text1"/>
                <w:szCs w:val="21"/>
                <w14:textFill>
                  <w14:solidFill>
                    <w14:schemeClr w14:val="tx1"/>
                  </w14:solidFill>
                </w14:textFill>
              </w:rPr>
              <w:t>5</w:t>
            </w:r>
            <w:r>
              <w:rPr>
                <w:rFonts w:hint="eastAsia" w:ascii="仿宋" w:hAnsi="仿宋" w:eastAsia="仿宋" w:cs="仿宋"/>
                <w:bCs/>
                <w:color w:val="000000" w:themeColor="text1"/>
                <w:szCs w:val="21"/>
                <w14:textFill>
                  <w14:solidFill>
                    <w14:schemeClr w14:val="tx1"/>
                  </w14:solidFill>
                </w14:textFill>
              </w:rPr>
              <w:t>年的（含10年）得6分；执业</w:t>
            </w:r>
            <w:r>
              <w:rPr>
                <w:rFonts w:ascii="仿宋" w:hAnsi="仿宋" w:eastAsia="仿宋" w:cs="仿宋"/>
                <w:bCs/>
                <w:color w:val="000000" w:themeColor="text1"/>
                <w:szCs w:val="21"/>
                <w14:textFill>
                  <w14:solidFill>
                    <w14:schemeClr w14:val="tx1"/>
                  </w14:solidFill>
                </w14:textFill>
              </w:rPr>
              <w:t>5</w:t>
            </w:r>
            <w:r>
              <w:rPr>
                <w:rFonts w:hint="eastAsia" w:ascii="仿宋" w:hAnsi="仿宋" w:eastAsia="仿宋" w:cs="仿宋"/>
                <w:bCs/>
                <w:color w:val="000000" w:themeColor="text1"/>
                <w:szCs w:val="21"/>
                <w14:textFill>
                  <w14:solidFill>
                    <w14:schemeClr w14:val="tx1"/>
                  </w14:solidFill>
                </w14:textFill>
              </w:rPr>
              <w:t>年至1</w:t>
            </w:r>
            <w:r>
              <w:rPr>
                <w:rFonts w:ascii="仿宋" w:hAnsi="仿宋" w:eastAsia="仿宋" w:cs="仿宋"/>
                <w:bCs/>
                <w:color w:val="000000" w:themeColor="text1"/>
                <w:szCs w:val="21"/>
                <w14:textFill>
                  <w14:solidFill>
                    <w14:schemeClr w14:val="tx1"/>
                  </w14:solidFill>
                </w14:textFill>
              </w:rPr>
              <w:t>0</w:t>
            </w:r>
            <w:r>
              <w:rPr>
                <w:rFonts w:hint="eastAsia" w:ascii="仿宋" w:hAnsi="仿宋" w:eastAsia="仿宋" w:cs="仿宋"/>
                <w:bCs/>
                <w:color w:val="000000" w:themeColor="text1"/>
                <w:szCs w:val="21"/>
                <w14:textFill>
                  <w14:solidFill>
                    <w14:schemeClr w14:val="tx1"/>
                  </w14:solidFill>
                </w14:textFill>
              </w:rPr>
              <w:t>年的（含</w:t>
            </w:r>
            <w:r>
              <w:rPr>
                <w:rFonts w:ascii="仿宋" w:hAnsi="仿宋" w:eastAsia="仿宋" w:cs="仿宋"/>
                <w:bCs/>
                <w:color w:val="000000" w:themeColor="text1"/>
                <w:szCs w:val="21"/>
                <w14:textFill>
                  <w14:solidFill>
                    <w14:schemeClr w14:val="tx1"/>
                  </w14:solidFill>
                </w14:textFill>
              </w:rPr>
              <w:t>5</w:t>
            </w:r>
            <w:r>
              <w:rPr>
                <w:rFonts w:hint="eastAsia" w:ascii="仿宋" w:hAnsi="仿宋" w:eastAsia="仿宋" w:cs="仿宋"/>
                <w:bCs/>
                <w:color w:val="000000" w:themeColor="text1"/>
                <w:szCs w:val="21"/>
                <w14:textFill>
                  <w14:solidFill>
                    <w14:schemeClr w14:val="tx1"/>
                  </w14:solidFill>
                </w14:textFill>
              </w:rPr>
              <w:t>年）得3分，低于五年不得分，本项最高得9分。                                                           二、其余项目组成员：</w:t>
            </w:r>
          </w:p>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①在6人的基础上，每增加一名人员，得0</w:t>
            </w:r>
            <w:r>
              <w:rPr>
                <w:rFonts w:ascii="仿宋" w:hAnsi="仿宋" w:eastAsia="仿宋" w:cs="仿宋"/>
                <w:bCs/>
                <w:color w:val="000000" w:themeColor="text1"/>
                <w:szCs w:val="21"/>
                <w14:textFill>
                  <w14:solidFill>
                    <w14:schemeClr w14:val="tx1"/>
                  </w14:solidFill>
                </w14:textFill>
              </w:rPr>
              <w:t>.5</w:t>
            </w:r>
            <w:r>
              <w:rPr>
                <w:rFonts w:hint="eastAsia" w:ascii="仿宋" w:hAnsi="仿宋" w:eastAsia="仿宋" w:cs="仿宋"/>
                <w:bCs/>
                <w:color w:val="000000" w:themeColor="text1"/>
                <w:szCs w:val="21"/>
                <w14:textFill>
                  <w14:solidFill>
                    <w14:schemeClr w14:val="tx1"/>
                  </w14:solidFill>
                </w14:textFill>
              </w:rPr>
              <w:t>分，最多得</w:t>
            </w:r>
            <w:r>
              <w:rPr>
                <w:rFonts w:ascii="仿宋" w:hAnsi="仿宋" w:eastAsia="仿宋" w:cs="仿宋"/>
                <w:bCs/>
                <w:color w:val="000000" w:themeColor="text1"/>
                <w:szCs w:val="21"/>
                <w14:textFill>
                  <w14:solidFill>
                    <w14:schemeClr w14:val="tx1"/>
                  </w14:solidFill>
                </w14:textFill>
              </w:rPr>
              <w:t>4</w:t>
            </w:r>
            <w:r>
              <w:rPr>
                <w:rFonts w:hint="eastAsia" w:ascii="仿宋" w:hAnsi="仿宋" w:eastAsia="仿宋" w:cs="仿宋"/>
                <w:bCs/>
                <w:color w:val="000000" w:themeColor="text1"/>
                <w:szCs w:val="21"/>
                <w14:textFill>
                  <w14:solidFill>
                    <w14:schemeClr w14:val="tx1"/>
                  </w14:solidFill>
                </w14:textFill>
              </w:rPr>
              <w:t>分；</w:t>
            </w:r>
          </w:p>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②其余项目组成员中，每包含一名注册会计师加1分，最高加5分。</w:t>
            </w:r>
          </w:p>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p>
          <w:p>
            <w:pPr>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注：以上需提供投标人为项目配置人员为本单位人员证明材料（如劳动合同）、项目负责人执业年限证明材料，其余项目组成员证书复印件，以上材料均应加盖供应商公章。</w:t>
            </w:r>
          </w:p>
        </w:tc>
        <w:tc>
          <w:tcPr>
            <w:tcW w:w="1685" w:type="dxa"/>
            <w:shd w:val="clear" w:color="auto" w:fill="auto"/>
            <w:vAlign w:val="center"/>
          </w:tcPr>
          <w:p>
            <w:pPr>
              <w:widowControl/>
              <w:adjustRightInd w:val="0"/>
              <w:snapToGrid w:val="0"/>
              <w:spacing w:after="0" w:line="240" w:lineRule="auto"/>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517" w:type="dxa"/>
            <w:shd w:val="clear" w:color="auto" w:fill="auto"/>
            <w:vAlign w:val="center"/>
          </w:tcPr>
          <w:p>
            <w:pPr>
              <w:widowControl/>
              <w:adjustRightInd w:val="0"/>
              <w:snapToGrid w:val="0"/>
              <w:spacing w:after="0" w:line="240" w:lineRule="auto"/>
              <w:jc w:val="center"/>
              <w:rPr>
                <w:rFonts w:ascii="仿宋" w:hAnsi="仿宋" w:eastAsia="仿宋" w:cs="仿宋"/>
                <w:b/>
                <w:bCs/>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5</w:t>
            </w:r>
          </w:p>
        </w:tc>
        <w:tc>
          <w:tcPr>
            <w:tcW w:w="1063"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实施方案</w:t>
            </w:r>
          </w:p>
        </w:tc>
        <w:tc>
          <w:tcPr>
            <w:tcW w:w="846"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w:t>
            </w:r>
          </w:p>
        </w:tc>
        <w:tc>
          <w:tcPr>
            <w:tcW w:w="4992" w:type="dxa"/>
            <w:shd w:val="clear" w:color="auto" w:fill="auto"/>
            <w:vAlign w:val="center"/>
          </w:tcPr>
          <w:p>
            <w:pPr>
              <w:widowControl/>
              <w:adjustRightInd w:val="0"/>
              <w:snapToGrid w:val="0"/>
              <w:spacing w:after="0" w:line="240" w:lineRule="auto"/>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实施方案至少</w:t>
            </w:r>
            <w:r>
              <w:rPr>
                <w:rFonts w:ascii="仿宋" w:hAnsi="仿宋" w:eastAsia="仿宋" w:cs="仿宋"/>
                <w:color w:val="000000" w:themeColor="text1"/>
                <w:szCs w:val="21"/>
                <w14:textFill>
                  <w14:solidFill>
                    <w14:schemeClr w14:val="tx1"/>
                  </w14:solidFill>
                </w14:textFill>
              </w:rPr>
              <w:t>应包括</w:t>
            </w:r>
            <w:r>
              <w:rPr>
                <w:rFonts w:hint="eastAsia" w:ascii="仿宋" w:hAnsi="仿宋" w:eastAsia="仿宋" w:cs="仿宋"/>
                <w:color w:val="000000" w:themeColor="text1"/>
                <w:szCs w:val="21"/>
                <w14:textFill>
                  <w14:solidFill>
                    <w14:schemeClr w14:val="tx1"/>
                  </w14:solidFill>
                </w14:textFill>
              </w:rPr>
              <w:t>①进度计划，②审计方法，③任务划分及安排，④成果提交，⑤应急保障，⑥项目保密管理措施等</w:t>
            </w:r>
            <w:r>
              <w:rPr>
                <w:rFonts w:ascii="仿宋" w:hAnsi="仿宋" w:eastAsia="仿宋" w:cs="仿宋"/>
                <w:color w:val="000000" w:themeColor="text1"/>
                <w:szCs w:val="21"/>
                <w14:textFill>
                  <w14:solidFill>
                    <w14:schemeClr w14:val="tx1"/>
                  </w14:solidFill>
                </w14:textFill>
              </w:rPr>
              <w:t>。</w:t>
            </w:r>
          </w:p>
          <w:p>
            <w:pPr>
              <w:widowControl/>
              <w:adjustRightInd w:val="0"/>
              <w:snapToGrid w:val="0"/>
              <w:spacing w:after="0" w:line="240" w:lineRule="auto"/>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以上</w:t>
            </w:r>
            <w:r>
              <w:rPr>
                <w:rFonts w:ascii="仿宋" w:hAnsi="仿宋" w:eastAsia="仿宋" w:cs="仿宋"/>
                <w:bCs/>
                <w:color w:val="000000" w:themeColor="text1"/>
                <w:szCs w:val="21"/>
                <w14:textFill>
                  <w14:solidFill>
                    <w14:schemeClr w14:val="tx1"/>
                  </w14:solidFill>
                </w14:textFill>
              </w:rPr>
              <w:t>6</w:t>
            </w:r>
            <w:r>
              <w:rPr>
                <w:rFonts w:hint="eastAsia" w:ascii="仿宋" w:hAnsi="仿宋" w:eastAsia="仿宋" w:cs="仿宋"/>
                <w:bCs/>
                <w:color w:val="000000" w:themeColor="text1"/>
                <w:szCs w:val="21"/>
                <w14:textFill>
                  <w14:solidFill>
                    <w14:schemeClr w14:val="tx1"/>
                  </w14:solidFill>
                </w14:textFill>
              </w:rPr>
              <w:t>项内容齐全的得1</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分。每缺少一个内容的扣</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分，1</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分扣完为止；内容描述存在内容不充分、前后矛盾、不符合项目及当地实际情况中任何一种情形或其他不足之处的，每有一处扣</w:t>
            </w:r>
            <w:r>
              <w:rPr>
                <w:rFonts w:ascii="仿宋" w:hAnsi="仿宋" w:eastAsia="仿宋" w:cs="仿宋"/>
                <w:bCs/>
                <w:color w:val="000000" w:themeColor="text1"/>
                <w:szCs w:val="21"/>
                <w14:textFill>
                  <w14:solidFill>
                    <w14:schemeClr w14:val="tx1"/>
                  </w14:solidFill>
                </w14:textFill>
              </w:rPr>
              <w:t>0.5</w:t>
            </w:r>
            <w:r>
              <w:rPr>
                <w:rFonts w:hint="eastAsia" w:ascii="仿宋" w:hAnsi="仿宋" w:eastAsia="仿宋" w:cs="仿宋"/>
                <w:bCs/>
                <w:color w:val="000000" w:themeColor="text1"/>
                <w:szCs w:val="21"/>
                <w14:textFill>
                  <w14:solidFill>
                    <w14:schemeClr w14:val="tx1"/>
                  </w14:solidFill>
                </w14:textFill>
              </w:rPr>
              <w:t>分，每项最多扣</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分，1</w:t>
            </w:r>
            <w:r>
              <w:rPr>
                <w:rFonts w:ascii="仿宋" w:hAnsi="仿宋" w:eastAsia="仿宋" w:cs="仿宋"/>
                <w:bCs/>
                <w:color w:val="000000" w:themeColor="text1"/>
                <w:szCs w:val="21"/>
                <w14:textFill>
                  <w14:solidFill>
                    <w14:schemeClr w14:val="tx1"/>
                  </w14:solidFill>
                </w14:textFill>
              </w:rPr>
              <w:t>2</w:t>
            </w:r>
            <w:r>
              <w:rPr>
                <w:rFonts w:hint="eastAsia" w:ascii="仿宋" w:hAnsi="仿宋" w:eastAsia="仿宋" w:cs="仿宋"/>
                <w:bCs/>
                <w:color w:val="000000" w:themeColor="text1"/>
                <w:szCs w:val="21"/>
                <w14:textFill>
                  <w14:solidFill>
                    <w14:schemeClr w14:val="tx1"/>
                  </w14:solidFill>
                </w14:textFill>
              </w:rPr>
              <w:t>分扣完为止。</w:t>
            </w:r>
          </w:p>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（注：其他不足之处是指内容套用或错用、凭空编造、科学原理错误以及不可能实现的夸大情形等。）</w:t>
            </w:r>
          </w:p>
        </w:tc>
        <w:tc>
          <w:tcPr>
            <w:tcW w:w="1685" w:type="dxa"/>
            <w:shd w:val="clear" w:color="auto" w:fill="auto"/>
            <w:vAlign w:val="center"/>
          </w:tcPr>
          <w:p>
            <w:pPr>
              <w:widowControl/>
              <w:adjustRightInd w:val="0"/>
              <w:snapToGrid w:val="0"/>
              <w:spacing w:after="0" w:line="240" w:lineRule="auto"/>
              <w:jc w:val="left"/>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技术类评分因素</w:t>
            </w:r>
          </w:p>
        </w:tc>
      </w:tr>
    </w:tbl>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评分的取值按四舍五入法，保留小数点后两位。</w:t>
      </w:r>
    </w:p>
    <w:p>
      <w:pPr>
        <w:pStyle w:val="9"/>
        <w:ind w:firstLine="420" w:firstLineChars="175"/>
        <w:rPr>
          <w:rFonts w:ascii="仿宋" w:hAnsi="仿宋" w:eastAsia="仿宋"/>
          <w:color w:val="000000" w:themeColor="text1"/>
          <w:sz w:val="24"/>
          <w14:textFill>
            <w14:solidFill>
              <w14:schemeClr w14:val="tx1"/>
            </w14:solidFill>
          </w14:textFill>
        </w:rPr>
      </w:pPr>
      <w:bookmarkStart w:id="163" w:name="_Toc217446059"/>
      <w:r>
        <w:rPr>
          <w:rFonts w:hint="eastAsia" w:ascii="仿宋" w:hAnsi="仿宋" w:eastAsia="仿宋"/>
          <w:color w:val="000000" w:themeColor="text1"/>
          <w:sz w:val="24"/>
          <w14:textFill>
            <w14:solidFill>
              <w14:schemeClr w14:val="tx1"/>
            </w14:solidFill>
          </w14:textFill>
        </w:rPr>
        <w:t>4.3.4 本次综合评分法由评标委员会各成员独立对通过初审（资格检查和符合性检查）的投标人的投标文件进行评审和打分，</w:t>
      </w:r>
    </w:p>
    <w:p>
      <w:pPr>
        <w:pStyle w:val="9"/>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评标得分＝（A1＋A2＋……＋An）/N</w:t>
      </w:r>
      <w:r>
        <w:rPr>
          <w:rFonts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D</w:t>
      </w:r>
    </w:p>
    <w:p>
      <w:pPr>
        <w:pStyle w:val="9"/>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分别为每个技术类评委（技术类专家和采购人代表）的打分，N</w:t>
      </w:r>
      <w:r>
        <w:rPr>
          <w:rFonts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分别为每个政策合同类评委（法律类专家）的打分，N</w:t>
      </w:r>
      <w:r>
        <w:rPr>
          <w:rFonts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w:t>
      </w:r>
      <w:r>
        <w:rPr>
          <w:rFonts w:hint="eastAsia" w:ascii="仿宋" w:hAnsi="仿宋" w:eastAsia="仿宋"/>
          <w:color w:val="000000" w:themeColor="text1"/>
          <w:spacing w:val="-6"/>
          <w:sz w:val="24"/>
          <w14:textFill>
            <w14:solidFill>
              <w14:schemeClr w14:val="tx1"/>
            </w14:solidFill>
          </w14:textFill>
        </w:rPr>
        <w:t>D1、D2……Dn 分别为评审委员会每个成员的打分（共同评分类），Nd为评标委员会人数。</w:t>
      </w:r>
      <w:bookmarkEnd w:id="163"/>
    </w:p>
    <w:p>
      <w:pPr>
        <w:pStyle w:val="4"/>
        <w:spacing w:line="400" w:lineRule="exact"/>
        <w:ind w:firstLine="472" w:firstLineChars="196"/>
        <w:rPr>
          <w:rFonts w:ascii="仿宋" w:hAnsi="仿宋" w:eastAsia="仿宋"/>
          <w:color w:val="000000" w:themeColor="text1"/>
          <w:sz w:val="24"/>
          <w:szCs w:val="24"/>
          <w14:textFill>
            <w14:solidFill>
              <w14:schemeClr w14:val="tx1"/>
            </w14:solidFill>
          </w14:textFill>
        </w:rPr>
      </w:pPr>
      <w:bookmarkStart w:id="164" w:name="_Toc217446060"/>
      <w:r>
        <w:rPr>
          <w:rFonts w:hint="eastAsia" w:ascii="仿宋" w:hAnsi="仿宋" w:eastAsia="仿宋"/>
          <w:color w:val="000000" w:themeColor="text1"/>
          <w:sz w:val="24"/>
          <w:szCs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废</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定标</w:t>
      </w:r>
      <w:bookmarkEnd w:id="164"/>
      <w:bookmarkStart w:id="165" w:name="_Toc2174460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6.1. </w:t>
      </w:r>
      <w:r>
        <w:rPr>
          <w:rFonts w:hint="eastAsia" w:ascii="仿宋" w:hAnsi="仿宋" w:eastAsia="仿宋"/>
          <w:color w:val="000000" w:themeColor="text1"/>
          <w:sz w:val="24"/>
          <w14:textFill>
            <w14:solidFill>
              <w14:schemeClr w14:val="tx1"/>
            </w14:solidFill>
          </w14:textFill>
        </w:rPr>
        <w:t>定标原则</w:t>
      </w:r>
      <w:bookmarkEnd w:id="165"/>
      <w:r>
        <w:rPr>
          <w:rFonts w:hint="eastAsia" w:ascii="仿宋" w:hAnsi="仿宋" w:eastAsia="仿宋"/>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66" w:name="_Toc217446062"/>
      <w:r>
        <w:rPr>
          <w:rFonts w:ascii="仿宋" w:hAnsi="仿宋" w:eastAsia="仿宋"/>
          <w:color w:val="000000" w:themeColor="text1"/>
          <w:sz w:val="24"/>
          <w14:textFill>
            <w14:solidFill>
              <w14:schemeClr w14:val="tx1"/>
            </w14:solidFill>
          </w14:textFill>
        </w:rPr>
        <w:t xml:space="preserve">6.2. </w:t>
      </w:r>
      <w:r>
        <w:rPr>
          <w:rFonts w:hint="eastAsia" w:ascii="仿宋" w:hAnsi="仿宋" w:eastAsia="仿宋"/>
          <w:color w:val="000000" w:themeColor="text1"/>
          <w:sz w:val="24"/>
          <w14:textFill>
            <w14:solidFill>
              <w14:schemeClr w14:val="tx1"/>
            </w14:solidFill>
          </w14:textFill>
        </w:rPr>
        <w:t>定标程序</w:t>
      </w:r>
      <w:bookmarkEnd w:id="16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6.2.1 </w:t>
      </w:r>
      <w:r>
        <w:rPr>
          <w:rFonts w:hint="eastAsia" w:ascii="仿宋" w:hAnsi="仿宋" w:eastAsia="仿宋"/>
          <w:color w:val="000000" w:themeColor="text1"/>
          <w:sz w:val="24"/>
          <w14:textFill>
            <w14:solidFill>
              <w14:schemeClr w14:val="tx1"/>
            </w14:solidFill>
          </w14:textFill>
        </w:rPr>
        <w:t>评标委员会将评标情况写出书面报告，推荐中标候选供应商。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6.2.2 </w:t>
      </w:r>
      <w:r>
        <w:rPr>
          <w:rFonts w:hint="eastAsia" w:ascii="仿宋" w:hAnsi="仿宋" w:eastAsia="仿宋"/>
          <w:color w:val="000000" w:themeColor="text1"/>
          <w:sz w:val="24"/>
          <w14:textFill>
            <w14:solidFill>
              <w14:schemeClr w14:val="tx1"/>
            </w14:solidFill>
          </w14:textFill>
        </w:rPr>
        <w:t>采购代理机构在评标结束后2个工作日内将评标报告送采购人。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6.2.4 </w:t>
      </w:r>
      <w:r>
        <w:rPr>
          <w:rFonts w:hint="eastAsia" w:ascii="仿宋" w:hAnsi="仿宋" w:eastAsia="仿宋"/>
          <w:color w:val="000000" w:themeColor="text1"/>
          <w:sz w:val="24"/>
          <w14:textFill>
            <w14:solidFill>
              <w14:schemeClr w14:val="tx1"/>
            </w14:solidFill>
          </w14:textFill>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6.2.5 </w:t>
      </w:r>
      <w:r>
        <w:rPr>
          <w:rFonts w:hint="eastAsia" w:ascii="仿宋" w:hAnsi="仿宋" w:eastAsia="仿宋"/>
          <w:color w:val="000000" w:themeColor="text1"/>
          <w:sz w:val="24"/>
          <w14:textFill>
            <w14:solidFill>
              <w14:schemeClr w14:val="tx1"/>
            </w14:solidFill>
          </w14:textFill>
        </w:rPr>
        <w:t>招标采购单位不退回投标人投标文件和其他投标资料。</w:t>
      </w:r>
      <w:bookmarkEnd w:id="162"/>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评标专家在政府采购活动中应当遵守以下工作纪律：</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000000" w:themeColor="text1"/>
          <w:sz w:val="36"/>
          <w:szCs w:val="36"/>
          <w14:textFill>
            <w14:solidFill>
              <w14:schemeClr w14:val="tx1"/>
            </w14:solidFill>
          </w14:textFill>
        </w:rPr>
      </w:pPr>
      <w:bookmarkStart w:id="167" w:name="_Toc23042"/>
      <w:r>
        <w:rPr>
          <w:rFonts w:ascii="仿宋" w:hAnsi="仿宋" w:eastAsia="仿宋"/>
          <w:color w:val="000000" w:themeColor="text1"/>
          <w:sz w:val="36"/>
          <w:szCs w:val="36"/>
          <w14:textFill>
            <w14:solidFill>
              <w14:schemeClr w14:val="tx1"/>
            </w14:solidFill>
          </w14:textFill>
        </w:rPr>
        <w:br w:type="page"/>
      </w:r>
      <w:bookmarkStart w:id="168" w:name="_Toc20745"/>
      <w:r>
        <w:rPr>
          <w:rFonts w:hint="eastAsia" w:ascii="仿宋" w:hAnsi="仿宋" w:eastAsia="仿宋"/>
          <w:color w:val="000000" w:themeColor="text1"/>
          <w:sz w:val="36"/>
          <w:szCs w:val="36"/>
          <w14:textFill>
            <w14:solidFill>
              <w14:schemeClr w14:val="tx1"/>
            </w14:solidFill>
          </w14:textFill>
        </w:rPr>
        <w:t>第八章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政府采购合同</w:t>
      </w:r>
      <w:bookmarkEnd w:id="167"/>
      <w:bookmarkEnd w:id="168"/>
      <w:r>
        <w:rPr>
          <w:rFonts w:hint="eastAsia" w:ascii="仿宋" w:hAnsi="仿宋" w:eastAsia="仿宋"/>
          <w:color w:val="000000" w:themeColor="text1"/>
          <w:sz w:val="36"/>
          <w:szCs w:val="36"/>
          <w14:textFill>
            <w14:solidFill>
              <w14:schemeClr w14:val="tx1"/>
            </w14:solidFill>
          </w14:textFill>
        </w:rPr>
        <w:t>（草案）</w:t>
      </w:r>
    </w:p>
    <w:p>
      <w:pPr>
        <w:pStyle w:val="3"/>
        <w:spacing w:line="400" w:lineRule="exact"/>
        <w:jc w:val="cente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eastAsia="zh-Hans"/>
          <w14:textFill>
            <w14:solidFill>
              <w14:schemeClr w14:val="tx1"/>
            </w14:solidFill>
          </w14:textFill>
        </w:rPr>
        <w:t>本合同为中小企业预留合同</w:t>
      </w:r>
      <w:r>
        <w:rPr>
          <w:rFonts w:ascii="仿宋" w:hAnsi="仿宋" w:eastAsia="仿宋"/>
          <w:color w:val="000000" w:themeColor="text1"/>
          <w:sz w:val="28"/>
          <w:szCs w:val="28"/>
          <w:lang w:eastAsia="zh-Hans"/>
          <w14:textFill>
            <w14:solidFill>
              <w14:schemeClr w14:val="tx1"/>
            </w14:solidFill>
          </w14:textFill>
        </w:rPr>
        <w:t>）</w:t>
      </w:r>
    </w:p>
    <w:p>
      <w:pPr>
        <w:spacing w:line="400" w:lineRule="exact"/>
        <w:rPr>
          <w:rFonts w:ascii="仿宋" w:hAnsi="仿宋" w:eastAsia="仿宋"/>
          <w:color w:val="000000" w:themeColor="text1"/>
          <w14:textFill>
            <w14:solidFill>
              <w14:schemeClr w14:val="tx1"/>
            </w14:solidFill>
          </w14:textFill>
        </w:rPr>
      </w:pP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合同编号：</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签订地点：</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签订时间：</w:t>
      </w:r>
      <w:r>
        <w:rPr>
          <w:rFonts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年</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月</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日。</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采购人1（甲方1，以下统称甲方）：成都高新技术产业开发区财政金融局</w:t>
      </w:r>
    </w:p>
    <w:p>
      <w:pPr>
        <w:spacing w:line="360" w:lineRule="auto"/>
        <w:ind w:firstLine="480" w:firstLineChars="200"/>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采购人2（甲方2，以下统称甲方）：</w:t>
      </w:r>
      <w:r>
        <w:rPr>
          <w:rFonts w:hint="eastAsia" w:ascii="仿宋" w:hAnsi="仿宋" w:eastAsia="仿宋"/>
          <w:color w:val="000000" w:themeColor="text1"/>
          <w:sz w:val="24"/>
          <w:u w:val="single"/>
          <w14:textFill>
            <w14:solidFill>
              <w14:schemeClr w14:val="tx1"/>
            </w14:solidFill>
          </w14:textFill>
        </w:rPr>
        <w:t>成都东部新区党工委管委会（成都市东部新城办）财政金融局</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供应商（乙方）：</w:t>
      </w:r>
    </w:p>
    <w:p>
      <w:pPr>
        <w:spacing w:line="400" w:lineRule="exact"/>
        <w:rPr>
          <w:rFonts w:ascii="仿宋" w:hAnsi="仿宋" w:eastAsia="仿宋"/>
          <w:color w:val="000000" w:themeColor="text1"/>
          <w:sz w:val="24"/>
          <w14:textFill>
            <w14:solidFill>
              <w14:schemeClr w14:val="tx1"/>
            </w14:solidFill>
          </w14:textFill>
        </w:rPr>
      </w:pP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根据《中华人民共和国政府采购法》、《中华人民共和国民法典》及</w:t>
      </w:r>
      <w:r>
        <w:rPr>
          <w:rFonts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14:textFill>
            <w14:solidFill>
              <w14:schemeClr w14:val="tx1"/>
            </w14:solidFill>
          </w14:textFill>
        </w:rPr>
        <w:t>采购项目（项目编号：</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5"/>
        </w:numPr>
        <w:spacing w:line="360" w:lineRule="auto"/>
        <w:rPr>
          <w:rFonts w:ascii="仿宋" w:hAnsi="仿宋" w:eastAsia="仿宋"/>
          <w:b/>
          <w:color w:val="000000" w:themeColor="text1"/>
          <w:sz w:val="24"/>
          <w14:textFill>
            <w14:solidFill>
              <w14:schemeClr w14:val="tx1"/>
            </w14:solidFill>
          </w14:textFill>
        </w:rPr>
      </w:pPr>
      <w:bookmarkStart w:id="169" w:name="_Toc217446115"/>
      <w:r>
        <w:rPr>
          <w:rFonts w:hint="eastAsia" w:ascii="仿宋" w:hAnsi="仿宋" w:eastAsia="仿宋"/>
          <w:b/>
          <w:color w:val="000000" w:themeColor="text1"/>
          <w:sz w:val="24"/>
          <w14:textFill>
            <w14:solidFill>
              <w14:schemeClr w14:val="tx1"/>
            </w14:solidFill>
          </w14:textFill>
        </w:rPr>
        <w:t>项目基本情况</w:t>
      </w:r>
    </w:p>
    <w:p>
      <w:pPr>
        <w:spacing w:line="360" w:lineRule="auto"/>
        <w:ind w:firstLine="630"/>
        <w:rPr>
          <w:rFonts w:ascii="仿宋" w:hAnsi="仿宋" w:eastAsia="仿宋"/>
          <w:b/>
          <w:color w:val="000000" w:themeColor="text1"/>
          <w:sz w:val="24"/>
          <w14:textFill>
            <w14:solidFill>
              <w14:schemeClr w14:val="tx1"/>
            </w14:solidFill>
          </w14:textFill>
        </w:rPr>
      </w:pP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合同期限</w:t>
      </w:r>
    </w:p>
    <w:p>
      <w:pPr>
        <w:spacing w:line="360" w:lineRule="auto"/>
        <w:ind w:firstLine="480" w:firstLineChars="200"/>
        <w:rPr>
          <w:rFonts w:ascii="仿宋" w:hAnsi="仿宋" w:eastAsia="仿宋"/>
          <w:color w:val="000000" w:themeColor="text1"/>
          <w:sz w:val="24"/>
          <w14:textFill>
            <w14:solidFill>
              <w14:schemeClr w14:val="tx1"/>
            </w14:solidFill>
          </w14:textFill>
        </w:rPr>
      </w:pPr>
    </w:p>
    <w:p>
      <w:pPr>
        <w:numPr>
          <w:ilvl w:val="0"/>
          <w:numId w:val="5"/>
        </w:numPr>
        <w:spacing w:line="360" w:lineRule="auto"/>
        <w:rPr>
          <w:rFonts w:ascii="仿宋" w:hAnsi="仿宋" w:eastAsia="仿宋"/>
          <w:b/>
          <w:color w:val="000000" w:themeColor="text1"/>
          <w:sz w:val="24"/>
          <w14:textFill>
            <w14:solidFill>
              <w14:schemeClr w14:val="tx1"/>
            </w14:solidFill>
          </w14:textFill>
        </w:rPr>
      </w:pPr>
      <w:bookmarkStart w:id="170" w:name="_Toc251768862"/>
      <w:bookmarkStart w:id="171" w:name="_Toc283019214"/>
      <w:bookmarkStart w:id="172" w:name="_Toc239568418"/>
      <w:bookmarkStart w:id="173" w:name="_Toc225654644"/>
      <w:bookmarkStart w:id="174" w:name="_Toc247334841"/>
      <w:bookmarkStart w:id="175" w:name="_Toc286993786"/>
      <w:bookmarkStart w:id="176" w:name="_Toc232492928"/>
      <w:bookmarkStart w:id="177" w:name="_Toc225670751"/>
      <w:bookmarkStart w:id="178" w:name="_Toc211854449"/>
      <w:bookmarkStart w:id="179" w:name="_Toc241833903"/>
      <w:bookmarkStart w:id="180" w:name="_Toc282696226"/>
      <w:bookmarkStart w:id="181" w:name="_Toc185395249"/>
      <w:bookmarkStart w:id="182" w:name="_Toc238984975"/>
      <w:bookmarkStart w:id="183" w:name="_Toc237145406"/>
      <w:bookmarkStart w:id="184" w:name="_Toc211911348"/>
      <w:bookmarkStart w:id="185" w:name="_Toc212019594"/>
      <w:bookmarkStart w:id="186" w:name="_Toc225244852"/>
      <w:bookmarkStart w:id="187" w:name="_Toc239233914"/>
      <w:r>
        <w:rPr>
          <w:rFonts w:hint="eastAsia" w:ascii="仿宋" w:hAnsi="仿宋" w:eastAsia="仿宋"/>
          <w:b/>
          <w:color w:val="000000" w:themeColor="text1"/>
          <w:sz w:val="24"/>
          <w14:textFill>
            <w14:solidFill>
              <w14:schemeClr w14:val="tx1"/>
            </w14:solidFill>
          </w14:textFill>
        </w:rPr>
        <w:t>服务内容与质量标准</w:t>
      </w:r>
    </w:p>
    <w:p>
      <w:pPr>
        <w:numPr>
          <w:ilvl w:val="0"/>
          <w:numId w:val="6"/>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6"/>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6"/>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6"/>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6"/>
        </w:numPr>
        <w:spacing w:line="360" w:lineRule="auto"/>
        <w:ind w:left="0" w:firstLine="567"/>
        <w:rPr>
          <w:rFonts w:ascii="仿宋" w:hAnsi="仿宋" w:eastAsia="仿宋"/>
          <w:color w:val="000000" w:themeColor="text1"/>
          <w:sz w:val="24"/>
          <w14:textFill>
            <w14:solidFill>
              <w14:schemeClr w14:val="tx1"/>
            </w14:solidFill>
          </w14:textFill>
        </w:rPr>
      </w:pPr>
    </w:p>
    <w:p>
      <w:pPr>
        <w:spacing w:line="360" w:lineRule="auto"/>
        <w:ind w:firstLine="63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服务费用及支付方式</w:t>
      </w:r>
    </w:p>
    <w:p>
      <w:pPr>
        <w:numPr>
          <w:ilvl w:val="0"/>
          <w:numId w:val="7"/>
        </w:numPr>
        <w:spacing w:line="360" w:lineRule="auto"/>
        <w:ind w:left="0" w:firstLine="56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本项目服务费用由以下组成：</w:t>
      </w:r>
    </w:p>
    <w:p>
      <w:pPr>
        <w:numPr>
          <w:ilvl w:val="0"/>
          <w:numId w:val="8"/>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万元；</w:t>
      </w:r>
    </w:p>
    <w:p>
      <w:pPr>
        <w:numPr>
          <w:ilvl w:val="0"/>
          <w:numId w:val="8"/>
        </w:num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        万元；</w:t>
      </w:r>
    </w:p>
    <w:p>
      <w:pPr>
        <w:numPr>
          <w:ilvl w:val="0"/>
          <w:numId w:val="8"/>
        </w:num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        万元。</w:t>
      </w:r>
    </w:p>
    <w:p>
      <w:pPr>
        <w:numPr>
          <w:ilvl w:val="0"/>
          <w:numId w:val="7"/>
        </w:numPr>
        <w:tabs>
          <w:tab w:val="left" w:pos="780"/>
        </w:tabs>
        <w:spacing w:line="360" w:lineRule="auto"/>
        <w:ind w:left="0" w:firstLine="56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服务费支付方式：</w:t>
      </w:r>
      <w:r>
        <w:rPr>
          <w:rFonts w:ascii="仿宋" w:hAnsi="仿宋" w:eastAsia="仿宋"/>
          <w:b/>
          <w:color w:val="000000" w:themeColor="text1"/>
          <w:sz w:val="24"/>
          <w14:textFill>
            <w14:solidFill>
              <w14:schemeClr w14:val="tx1"/>
            </w14:solidFill>
          </w14:textFill>
        </w:rPr>
        <w:t xml:space="preserve"> </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知识产权</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乙方应保证所提供的服务或其任何一部分均不会侵犯任何第双方的专利权、商标权或著作权。</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无产权瑕疵条款</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履约保证金</w:t>
      </w:r>
    </w:p>
    <w:p>
      <w:pPr>
        <w:pStyle w:val="14"/>
        <w:numPr>
          <w:ilvl w:val="0"/>
          <w:numId w:val="9"/>
        </w:numPr>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乙方交纳人民币</w:t>
      </w:r>
      <w:r>
        <w:rPr>
          <w:rFonts w:hint="eastAsia" w:ascii="仿宋" w:hAnsi="仿宋" w:eastAsia="仿宋"/>
          <w:color w:val="000000" w:themeColor="text1"/>
          <w:sz w:val="24"/>
          <w:u w:val="single"/>
          <w14:textFill>
            <w14:solidFill>
              <w14:schemeClr w14:val="tx1"/>
            </w14:solidFill>
          </w14:textFill>
        </w:rPr>
        <w:t>　　　　　　</w:t>
      </w:r>
      <w:r>
        <w:rPr>
          <w:rFonts w:hint="eastAsia" w:ascii="仿宋" w:hAnsi="仿宋" w:eastAsia="仿宋"/>
          <w:color w:val="000000" w:themeColor="text1"/>
          <w:sz w:val="24"/>
          <w14:textFill>
            <w14:solidFill>
              <w14:schemeClr w14:val="tx1"/>
            </w14:solidFill>
          </w14:textFill>
        </w:rPr>
        <w:t>元作为本合同的履约保证金。</w:t>
      </w:r>
    </w:p>
    <w:p>
      <w:pPr>
        <w:pStyle w:val="14"/>
        <w:numPr>
          <w:ilvl w:val="0"/>
          <w:numId w:val="9"/>
        </w:numPr>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履约保证金作为违约金的一部分及用于补偿甲方因乙方不能履行合同义务而蒙受的损失。</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甲方的权利和义务</w:t>
      </w:r>
    </w:p>
    <w:p>
      <w:pPr>
        <w:numPr>
          <w:ilvl w:val="0"/>
          <w:numId w:val="10"/>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甲方有权对合同规定范围内</w:t>
      </w:r>
      <w:r>
        <w:rPr>
          <w:rFonts w:hint="eastAsia" w:ascii="仿宋" w:hAnsi="仿宋" w:eastAsia="仿宋"/>
          <w:bCs/>
          <w:color w:val="000000" w:themeColor="text1"/>
          <w:sz w:val="24"/>
          <w14:textFill>
            <w14:solidFill>
              <w14:schemeClr w14:val="tx1"/>
            </w14:solidFill>
          </w14:textFill>
        </w:rPr>
        <w:t>乙方的服务行为</w:t>
      </w:r>
      <w:r>
        <w:rPr>
          <w:rFonts w:ascii="仿宋" w:hAnsi="仿宋" w:eastAsia="仿宋"/>
          <w:bCs/>
          <w:color w:val="000000" w:themeColor="text1"/>
          <w:sz w:val="24"/>
          <w14:textFill>
            <w14:solidFill>
              <w14:schemeClr w14:val="tx1"/>
            </w14:solidFill>
          </w14:textFill>
        </w:rPr>
        <w:t>进行监督和检查，拥有监管权。有权定期核对</w:t>
      </w:r>
      <w:r>
        <w:rPr>
          <w:rFonts w:hint="eastAsia" w:ascii="仿宋" w:hAnsi="仿宋" w:eastAsia="仿宋"/>
          <w:bCs/>
          <w:color w:val="000000" w:themeColor="text1"/>
          <w:sz w:val="24"/>
          <w14:textFill>
            <w14:solidFill>
              <w14:schemeClr w14:val="tx1"/>
            </w14:solidFill>
          </w14:textFill>
        </w:rPr>
        <w:t>乙方</w:t>
      </w:r>
      <w:r>
        <w:rPr>
          <w:rFonts w:ascii="仿宋" w:hAnsi="仿宋" w:eastAsia="仿宋"/>
          <w:bCs/>
          <w:color w:val="000000" w:themeColor="text1"/>
          <w:sz w:val="24"/>
          <w14:textFill>
            <w14:solidFill>
              <w14:schemeClr w14:val="tx1"/>
            </w14:solidFill>
          </w14:textFill>
        </w:rPr>
        <w:t>提供服务所配备的人员数量。对甲方认为不合理的部分有权</w:t>
      </w:r>
      <w:r>
        <w:rPr>
          <w:rFonts w:hint="eastAsia" w:ascii="仿宋" w:hAnsi="仿宋" w:eastAsia="仿宋"/>
          <w:bCs/>
          <w:color w:val="000000" w:themeColor="text1"/>
          <w:sz w:val="24"/>
          <w14:textFill>
            <w14:solidFill>
              <w14:schemeClr w14:val="tx1"/>
            </w14:solidFill>
          </w14:textFill>
        </w:rPr>
        <w:t>下达整改通知书，并</w:t>
      </w:r>
      <w:r>
        <w:rPr>
          <w:rFonts w:ascii="仿宋" w:hAnsi="仿宋" w:eastAsia="仿宋"/>
          <w:bCs/>
          <w:color w:val="000000" w:themeColor="text1"/>
          <w:sz w:val="24"/>
          <w14:textFill>
            <w14:solidFill>
              <w14:schemeClr w14:val="tx1"/>
            </w14:solidFill>
          </w14:textFill>
        </w:rPr>
        <w:t>要求</w:t>
      </w:r>
      <w:r>
        <w:rPr>
          <w:rFonts w:hint="eastAsia" w:ascii="仿宋" w:hAnsi="仿宋" w:eastAsia="仿宋"/>
          <w:bCs/>
          <w:color w:val="000000" w:themeColor="text1"/>
          <w:sz w:val="24"/>
          <w14:textFill>
            <w14:solidFill>
              <w14:schemeClr w14:val="tx1"/>
            </w14:solidFill>
          </w14:textFill>
        </w:rPr>
        <w:t>乙方限期整改</w:t>
      </w:r>
      <w:r>
        <w:rPr>
          <w:rFonts w:ascii="仿宋" w:hAnsi="仿宋" w:eastAsia="仿宋"/>
          <w:bCs/>
          <w:color w:val="000000" w:themeColor="text1"/>
          <w:sz w:val="24"/>
          <w14:textFill>
            <w14:solidFill>
              <w14:schemeClr w14:val="tx1"/>
            </w14:solidFill>
          </w14:textFill>
        </w:rPr>
        <w:t>。</w:t>
      </w:r>
    </w:p>
    <w:p>
      <w:pPr>
        <w:numPr>
          <w:ilvl w:val="0"/>
          <w:numId w:val="10"/>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甲方有权依据双方签订的考评办法对乙方提供的服务进行定期考评。当考评结果未达到标准时，有权依据考评办法约定的数额扣除履约保证金。</w:t>
      </w:r>
    </w:p>
    <w:p>
      <w:pPr>
        <w:numPr>
          <w:ilvl w:val="0"/>
          <w:numId w:val="10"/>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负责检查监督</w:t>
      </w:r>
      <w:r>
        <w:rPr>
          <w:rFonts w:hint="eastAsia" w:ascii="仿宋" w:hAnsi="仿宋" w:eastAsia="仿宋"/>
          <w:bCs/>
          <w:color w:val="000000" w:themeColor="text1"/>
          <w:sz w:val="24"/>
          <w14:textFill>
            <w14:solidFill>
              <w14:schemeClr w14:val="tx1"/>
            </w14:solidFill>
          </w14:textFill>
        </w:rPr>
        <w:t>乙方</w:t>
      </w:r>
      <w:r>
        <w:rPr>
          <w:rFonts w:ascii="仿宋" w:hAnsi="仿宋" w:eastAsia="仿宋"/>
          <w:bCs/>
          <w:color w:val="000000" w:themeColor="text1"/>
          <w:sz w:val="24"/>
          <w14:textFill>
            <w14:solidFill>
              <w14:schemeClr w14:val="tx1"/>
            </w14:solidFill>
          </w14:textFill>
        </w:rPr>
        <w:t>管理工作的实施及制度的执行情况。</w:t>
      </w:r>
    </w:p>
    <w:p>
      <w:pPr>
        <w:numPr>
          <w:ilvl w:val="0"/>
          <w:numId w:val="10"/>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根据本合同规定，按时向</w:t>
      </w:r>
      <w:r>
        <w:rPr>
          <w:rFonts w:hint="eastAsia" w:ascii="仿宋" w:hAnsi="仿宋" w:eastAsia="仿宋"/>
          <w:bCs/>
          <w:color w:val="000000" w:themeColor="text1"/>
          <w:sz w:val="24"/>
          <w14:textFill>
            <w14:solidFill>
              <w14:schemeClr w14:val="tx1"/>
            </w14:solidFill>
          </w14:textFill>
        </w:rPr>
        <w:t>乙方</w:t>
      </w:r>
      <w:r>
        <w:rPr>
          <w:rFonts w:ascii="仿宋" w:hAnsi="仿宋" w:eastAsia="仿宋"/>
          <w:bCs/>
          <w:color w:val="000000" w:themeColor="text1"/>
          <w:sz w:val="24"/>
          <w14:textFill>
            <w14:solidFill>
              <w14:schemeClr w14:val="tx1"/>
            </w14:solidFill>
          </w14:textFill>
        </w:rPr>
        <w:t>支付应付</w:t>
      </w:r>
      <w:r>
        <w:rPr>
          <w:rFonts w:hint="eastAsia" w:ascii="仿宋" w:hAnsi="仿宋" w:eastAsia="仿宋"/>
          <w:bCs/>
          <w:color w:val="000000" w:themeColor="text1"/>
          <w:sz w:val="24"/>
          <w14:textFill>
            <w14:solidFill>
              <w14:schemeClr w14:val="tx1"/>
            </w14:solidFill>
          </w14:textFill>
        </w:rPr>
        <w:t>服务费用</w:t>
      </w:r>
      <w:r>
        <w:rPr>
          <w:rFonts w:ascii="仿宋" w:hAnsi="仿宋" w:eastAsia="仿宋"/>
          <w:bCs/>
          <w:color w:val="000000" w:themeColor="text1"/>
          <w:sz w:val="24"/>
          <w14:textFill>
            <w14:solidFill>
              <w14:schemeClr w14:val="tx1"/>
            </w14:solidFill>
          </w14:textFill>
        </w:rPr>
        <w:t>。</w:t>
      </w:r>
    </w:p>
    <w:p>
      <w:pPr>
        <w:numPr>
          <w:ilvl w:val="0"/>
          <w:numId w:val="10"/>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国家法律、法规所规定由甲方承担的其它责任。</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乙方</w:t>
      </w:r>
      <w:r>
        <w:rPr>
          <w:rFonts w:ascii="仿宋" w:hAnsi="仿宋" w:eastAsia="仿宋"/>
          <w:b/>
          <w:color w:val="000000" w:themeColor="text1"/>
          <w:sz w:val="24"/>
          <w14:textFill>
            <w14:solidFill>
              <w14:schemeClr w14:val="tx1"/>
            </w14:solidFill>
          </w14:textFill>
        </w:rPr>
        <w:t>的权利和义务</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对本合同规定的委托</w:t>
      </w:r>
      <w:r>
        <w:rPr>
          <w:rFonts w:hint="eastAsia" w:ascii="仿宋" w:hAnsi="仿宋" w:eastAsia="仿宋"/>
          <w:bCs/>
          <w:color w:val="000000" w:themeColor="text1"/>
          <w:sz w:val="24"/>
          <w14:textFill>
            <w14:solidFill>
              <w14:schemeClr w14:val="tx1"/>
            </w14:solidFill>
          </w14:textFill>
        </w:rPr>
        <w:t>服务</w:t>
      </w:r>
      <w:r>
        <w:rPr>
          <w:rFonts w:ascii="仿宋" w:hAnsi="仿宋" w:eastAsia="仿宋"/>
          <w:bCs/>
          <w:color w:val="000000" w:themeColor="text1"/>
          <w:sz w:val="24"/>
          <w14:textFill>
            <w14:solidFill>
              <w14:schemeClr w14:val="tx1"/>
            </w14:solidFill>
          </w14:textFill>
        </w:rPr>
        <w:t>范围内的</w:t>
      </w:r>
      <w:r>
        <w:rPr>
          <w:rFonts w:hint="eastAsia" w:ascii="仿宋" w:hAnsi="仿宋" w:eastAsia="仿宋"/>
          <w:bCs/>
          <w:color w:val="000000" w:themeColor="text1"/>
          <w:sz w:val="24"/>
          <w14:textFill>
            <w14:solidFill>
              <w14:schemeClr w14:val="tx1"/>
            </w14:solidFill>
          </w14:textFill>
        </w:rPr>
        <w:t>项目</w:t>
      </w:r>
      <w:r>
        <w:rPr>
          <w:rFonts w:ascii="仿宋" w:hAnsi="仿宋" w:eastAsia="仿宋"/>
          <w:bCs/>
          <w:color w:val="000000" w:themeColor="text1"/>
          <w:sz w:val="24"/>
          <w14:textFill>
            <w14:solidFill>
              <w14:schemeClr w14:val="tx1"/>
            </w14:solidFill>
          </w14:textFill>
        </w:rPr>
        <w:t>享有管理权及服务义务。</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根据本合同的规定向甲方收取相关</w:t>
      </w:r>
      <w:r>
        <w:rPr>
          <w:rFonts w:hint="eastAsia" w:ascii="仿宋" w:hAnsi="仿宋" w:eastAsia="仿宋"/>
          <w:bCs/>
          <w:color w:val="000000" w:themeColor="text1"/>
          <w:sz w:val="24"/>
          <w14:textFill>
            <w14:solidFill>
              <w14:schemeClr w14:val="tx1"/>
            </w14:solidFill>
          </w14:textFill>
        </w:rPr>
        <w:t>服务</w:t>
      </w:r>
      <w:r>
        <w:rPr>
          <w:rFonts w:ascii="仿宋" w:hAnsi="仿宋" w:eastAsia="仿宋"/>
          <w:bCs/>
          <w:color w:val="000000" w:themeColor="text1"/>
          <w:sz w:val="24"/>
          <w14:textFill>
            <w14:solidFill>
              <w14:schemeClr w14:val="tx1"/>
            </w14:solidFill>
          </w14:textFill>
        </w:rPr>
        <w:t>费用，并有权</w:t>
      </w:r>
      <w:r>
        <w:rPr>
          <w:rFonts w:hint="eastAsia" w:ascii="仿宋" w:hAnsi="仿宋" w:eastAsia="仿宋"/>
          <w:bCs/>
          <w:color w:val="000000" w:themeColor="text1"/>
          <w:sz w:val="24"/>
          <w14:textFill>
            <w14:solidFill>
              <w14:schemeClr w14:val="tx1"/>
            </w14:solidFill>
          </w14:textFill>
        </w:rPr>
        <w:t>在本项目管理范围内</w:t>
      </w:r>
      <w:r>
        <w:rPr>
          <w:rFonts w:ascii="仿宋" w:hAnsi="仿宋" w:eastAsia="仿宋"/>
          <w:bCs/>
          <w:color w:val="000000" w:themeColor="text1"/>
          <w:sz w:val="24"/>
          <w14:textFill>
            <w14:solidFill>
              <w14:schemeClr w14:val="tx1"/>
            </w14:solidFill>
          </w14:textFill>
        </w:rPr>
        <w:t>管理及合理使用。</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及时向甲方通告本项目服务范围内有关服务的重大事项，及时配合处理投诉。</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接受</w:t>
      </w:r>
      <w:r>
        <w:rPr>
          <w:rFonts w:hint="eastAsia" w:ascii="仿宋" w:hAnsi="仿宋" w:eastAsia="仿宋"/>
          <w:bCs/>
          <w:color w:val="000000" w:themeColor="text1"/>
          <w:sz w:val="24"/>
          <w14:textFill>
            <w14:solidFill>
              <w14:schemeClr w14:val="tx1"/>
            </w14:solidFill>
          </w14:textFill>
        </w:rPr>
        <w:t>项目行</w:t>
      </w:r>
      <w:r>
        <w:rPr>
          <w:rFonts w:ascii="仿宋" w:hAnsi="仿宋" w:eastAsia="仿宋"/>
          <w:bCs/>
          <w:color w:val="000000" w:themeColor="text1"/>
          <w:sz w:val="24"/>
          <w14:textFill>
            <w14:solidFill>
              <w14:schemeClr w14:val="tx1"/>
            </w14:solidFill>
          </w14:textFill>
        </w:rPr>
        <w:t>业管理部门及政府有关部门的指导，接受甲方的监督。</w:t>
      </w:r>
    </w:p>
    <w:p>
      <w:pPr>
        <w:numPr>
          <w:ilvl w:val="0"/>
          <w:numId w:val="1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国家法律、法规所规定由</w:t>
      </w:r>
      <w:r>
        <w:rPr>
          <w:rFonts w:hint="eastAsia" w:ascii="仿宋" w:hAnsi="仿宋" w:eastAsia="仿宋"/>
          <w:bCs/>
          <w:color w:val="000000" w:themeColor="text1"/>
          <w:sz w:val="24"/>
          <w14:textFill>
            <w14:solidFill>
              <w14:schemeClr w14:val="tx1"/>
            </w14:solidFill>
          </w14:textFill>
        </w:rPr>
        <w:t>乙方</w:t>
      </w:r>
      <w:r>
        <w:rPr>
          <w:rFonts w:ascii="仿宋" w:hAnsi="仿宋" w:eastAsia="仿宋"/>
          <w:bCs/>
          <w:color w:val="000000" w:themeColor="text1"/>
          <w:sz w:val="24"/>
          <w14:textFill>
            <w14:solidFill>
              <w14:schemeClr w14:val="tx1"/>
            </w14:solidFill>
          </w14:textFill>
        </w:rPr>
        <w:t>承担的其它责任。</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违约责任</w:t>
      </w:r>
    </w:p>
    <w:p>
      <w:pPr>
        <w:numPr>
          <w:ilvl w:val="0"/>
          <w:numId w:val="12"/>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甲乙双方必须遵守本合同并执行合同中的各项规定，保证</w:t>
      </w:r>
      <w:r>
        <w:rPr>
          <w:rFonts w:hint="eastAsia" w:ascii="仿宋" w:hAnsi="仿宋" w:eastAsia="仿宋"/>
          <w:bCs/>
          <w:color w:val="000000" w:themeColor="text1"/>
          <w:sz w:val="24"/>
          <w14:textFill>
            <w14:solidFill>
              <w14:schemeClr w14:val="tx1"/>
            </w14:solidFill>
          </w14:textFill>
        </w:rPr>
        <w:t>本</w:t>
      </w:r>
      <w:r>
        <w:rPr>
          <w:rFonts w:ascii="仿宋" w:hAnsi="仿宋" w:eastAsia="仿宋"/>
          <w:bCs/>
          <w:color w:val="000000" w:themeColor="text1"/>
          <w:sz w:val="24"/>
          <w14:textFill>
            <w14:solidFill>
              <w14:schemeClr w14:val="tx1"/>
            </w14:solidFill>
          </w14:textFill>
        </w:rPr>
        <w:t>合同的正常</w:t>
      </w:r>
      <w:r>
        <w:rPr>
          <w:rFonts w:hint="eastAsia" w:ascii="仿宋" w:hAnsi="仿宋" w:eastAsia="仿宋"/>
          <w:bCs/>
          <w:color w:val="000000" w:themeColor="text1"/>
          <w:sz w:val="24"/>
          <w14:textFill>
            <w14:solidFill>
              <w14:schemeClr w14:val="tx1"/>
            </w14:solidFill>
          </w14:textFill>
        </w:rPr>
        <w:t>履行</w:t>
      </w:r>
      <w:r>
        <w:rPr>
          <w:rFonts w:ascii="仿宋" w:hAnsi="仿宋" w:eastAsia="仿宋"/>
          <w:bCs/>
          <w:color w:val="000000" w:themeColor="text1"/>
          <w:sz w:val="24"/>
          <w14:textFill>
            <w14:solidFill>
              <w14:schemeClr w14:val="tx1"/>
            </w14:solidFill>
          </w14:textFill>
        </w:rPr>
        <w:t>。</w:t>
      </w:r>
    </w:p>
    <w:p>
      <w:pPr>
        <w:numPr>
          <w:ilvl w:val="0"/>
          <w:numId w:val="12"/>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如因</w:t>
      </w:r>
      <w:r>
        <w:rPr>
          <w:rFonts w:hint="eastAsia" w:ascii="仿宋" w:hAnsi="仿宋" w:eastAsia="仿宋"/>
          <w:bCs/>
          <w:color w:val="000000" w:themeColor="text1"/>
          <w:sz w:val="24"/>
          <w14:textFill>
            <w14:solidFill>
              <w14:schemeClr w14:val="tx1"/>
            </w14:solidFill>
          </w14:textFill>
        </w:rPr>
        <w:t>乙方工作人员在履行职务过程中的</w:t>
      </w:r>
      <w:r>
        <w:rPr>
          <w:rFonts w:ascii="仿宋" w:hAnsi="仿宋" w:eastAsia="仿宋"/>
          <w:bCs/>
          <w:color w:val="000000" w:themeColor="text1"/>
          <w:sz w:val="24"/>
          <w14:textFill>
            <w14:solidFill>
              <w14:schemeClr w14:val="tx1"/>
            </w14:solidFill>
          </w14:textFill>
        </w:rPr>
        <w:t>的疏忽、失职、过错等</w:t>
      </w:r>
      <w:r>
        <w:rPr>
          <w:rFonts w:hint="eastAsia" w:ascii="仿宋" w:hAnsi="仿宋" w:eastAsia="仿宋"/>
          <w:bCs/>
          <w:color w:val="000000" w:themeColor="text1"/>
          <w:sz w:val="24"/>
          <w14:textFill>
            <w14:solidFill>
              <w14:schemeClr w14:val="tx1"/>
            </w14:solidFill>
          </w14:textFill>
        </w:rPr>
        <w:t>故意或者过失</w:t>
      </w:r>
      <w:r>
        <w:rPr>
          <w:rFonts w:ascii="仿宋" w:hAnsi="仿宋" w:eastAsia="仿宋"/>
          <w:bCs/>
          <w:color w:val="000000" w:themeColor="text1"/>
          <w:sz w:val="24"/>
          <w14:textFill>
            <w14:solidFill>
              <w14:schemeClr w14:val="tx1"/>
            </w14:solidFill>
          </w14:textFill>
        </w:rPr>
        <w:t>原因给甲方造成损失或侵害，</w:t>
      </w:r>
      <w:r>
        <w:rPr>
          <w:rFonts w:hint="eastAsia" w:ascii="仿宋" w:hAnsi="仿宋" w:eastAsia="仿宋"/>
          <w:bCs/>
          <w:color w:val="000000" w:themeColor="text1"/>
          <w:sz w:val="24"/>
          <w14:textFill>
            <w14:solidFill>
              <w14:schemeClr w14:val="tx1"/>
            </w14:solidFill>
          </w14:textFill>
        </w:rPr>
        <w:t>包括但不限于甲方本身的财产损失、由此而导致的甲方对任何第双方的法律责任等，乙方对此均应承担全部的赔偿责任</w:t>
      </w:r>
      <w:r>
        <w:rPr>
          <w:rFonts w:ascii="仿宋" w:hAnsi="仿宋" w:eastAsia="仿宋"/>
          <w:bCs/>
          <w:color w:val="000000" w:themeColor="text1"/>
          <w:sz w:val="24"/>
          <w14:textFill>
            <w14:solidFill>
              <w14:schemeClr w14:val="tx1"/>
            </w14:solidFill>
          </w14:textFill>
        </w:rPr>
        <w:t>。</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不可抗力事件处理</w:t>
      </w:r>
    </w:p>
    <w:p>
      <w:pPr>
        <w:numPr>
          <w:ilvl w:val="0"/>
          <w:numId w:val="13"/>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在合同有效期内，任何一方因不可抗力事件导致不能履行合同，则合同履行期可延长，其延长期与不可抗力影响期相同。</w:t>
      </w:r>
    </w:p>
    <w:p>
      <w:pPr>
        <w:numPr>
          <w:ilvl w:val="0"/>
          <w:numId w:val="13"/>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不可抗力事件发生后，应立即通知对方，并寄送有关权威机构出具的证明。</w:t>
      </w:r>
    </w:p>
    <w:p>
      <w:pPr>
        <w:numPr>
          <w:ilvl w:val="0"/>
          <w:numId w:val="13"/>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不可抗力事件延续</w:t>
      </w:r>
      <w:r>
        <w:rPr>
          <w:rFonts w:ascii="仿宋" w:hAnsi="仿宋" w:eastAsia="仿宋"/>
          <w:color w:val="000000" w:themeColor="text1"/>
          <w:sz w:val="24"/>
          <w14:textFill>
            <w14:solidFill>
              <w14:schemeClr w14:val="tx1"/>
            </w14:solidFill>
          </w14:textFill>
        </w:rPr>
        <w:t>120天以上，</w:t>
      </w:r>
      <w:r>
        <w:rPr>
          <w:rFonts w:hint="eastAsia" w:ascii="仿宋" w:hAnsi="仿宋" w:eastAsia="仿宋"/>
          <w:color w:val="000000" w:themeColor="text1"/>
          <w:sz w:val="24"/>
          <w14:textFill>
            <w14:solidFill>
              <w14:schemeClr w14:val="tx1"/>
            </w14:solidFill>
          </w14:textFill>
        </w:rPr>
        <w:t>双方</w:t>
      </w:r>
      <w:r>
        <w:rPr>
          <w:rFonts w:ascii="仿宋" w:hAnsi="仿宋" w:eastAsia="仿宋"/>
          <w:color w:val="000000" w:themeColor="text1"/>
          <w:sz w:val="24"/>
          <w14:textFill>
            <w14:solidFill>
              <w14:schemeClr w14:val="tx1"/>
            </w14:solidFill>
          </w14:textFill>
        </w:rPr>
        <w:t>应通过友好协商，确定是否继续履行合同。</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numPr>
          <w:ilvl w:val="0"/>
          <w:numId w:val="5"/>
        </w:numPr>
        <w:spacing w:line="360" w:lineRule="auto"/>
        <w:rPr>
          <w:rFonts w:ascii="仿宋" w:hAnsi="仿宋" w:eastAsia="仿宋"/>
          <w:b/>
          <w:color w:val="000000" w:themeColor="text1"/>
          <w:sz w:val="24"/>
          <w14:textFill>
            <w14:solidFill>
              <w14:schemeClr w14:val="tx1"/>
            </w14:solidFill>
          </w14:textFill>
        </w:rPr>
      </w:pPr>
      <w:bookmarkStart w:id="188" w:name="_Toc239233919"/>
      <w:bookmarkStart w:id="189" w:name="_Toc241833908"/>
      <w:bookmarkStart w:id="190" w:name="_Toc211854454"/>
      <w:bookmarkStart w:id="191" w:name="_Toc247334846"/>
      <w:bookmarkStart w:id="192" w:name="_Toc251768867"/>
      <w:bookmarkStart w:id="193" w:name="_Toc286993792"/>
      <w:bookmarkStart w:id="194" w:name="_Toc211911353"/>
      <w:bookmarkStart w:id="195" w:name="_Toc212019599"/>
      <w:bookmarkStart w:id="196" w:name="_Toc238984980"/>
      <w:bookmarkStart w:id="197" w:name="_Toc232492933"/>
      <w:bookmarkStart w:id="198" w:name="_Toc225654649"/>
      <w:bookmarkStart w:id="199" w:name="_Toc237145411"/>
      <w:bookmarkStart w:id="200" w:name="_Toc185395254"/>
      <w:bookmarkStart w:id="201" w:name="_Toc225670756"/>
      <w:bookmarkStart w:id="202" w:name="_Toc225244857"/>
      <w:bookmarkStart w:id="203" w:name="_Toc239568423"/>
      <w:r>
        <w:rPr>
          <w:rFonts w:hint="eastAsia" w:ascii="仿宋" w:hAnsi="仿宋" w:eastAsia="仿宋"/>
          <w:b/>
          <w:color w:val="000000" w:themeColor="text1"/>
          <w:sz w:val="24"/>
          <w14:textFill>
            <w14:solidFill>
              <w14:schemeClr w14:val="tx1"/>
            </w14:solidFill>
          </w14:textFill>
        </w:rPr>
        <w:t>解</w:t>
      </w:r>
      <w:r>
        <w:rPr>
          <w:rFonts w:ascii="仿宋" w:hAnsi="仿宋" w:eastAsia="仿宋"/>
          <w:b/>
          <w:color w:val="000000" w:themeColor="text1"/>
          <w:sz w:val="24"/>
          <w14:textFill>
            <w14:solidFill>
              <w14:schemeClr w14:val="tx1"/>
            </w14:solidFill>
          </w14:textFill>
        </w:rPr>
        <w:t>决合同纠纷的方式</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numPr>
          <w:ilvl w:val="0"/>
          <w:numId w:val="14"/>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在执行本合同中发生的或与本合同有关的争端，</w:t>
      </w:r>
      <w:r>
        <w:rPr>
          <w:rFonts w:hint="eastAsia" w:ascii="仿宋" w:hAnsi="仿宋" w:eastAsia="仿宋"/>
          <w:color w:val="000000" w:themeColor="text1"/>
          <w:sz w:val="24"/>
          <w14:textFill>
            <w14:solidFill>
              <w14:schemeClr w14:val="tx1"/>
            </w14:solidFill>
          </w14:textFill>
        </w:rPr>
        <w:t>双方</w:t>
      </w:r>
      <w:r>
        <w:rPr>
          <w:rFonts w:ascii="仿宋" w:hAnsi="仿宋" w:eastAsia="仿宋"/>
          <w:color w:val="000000" w:themeColor="text1"/>
          <w:sz w:val="24"/>
          <w14:textFill>
            <w14:solidFill>
              <w14:schemeClr w14:val="tx1"/>
            </w14:solidFill>
          </w14:textFill>
        </w:rPr>
        <w:t>应通过友好协商解决，经协商在60天内不能达成协议时，应提交成都仲裁委员会仲裁。</w:t>
      </w:r>
    </w:p>
    <w:p>
      <w:pPr>
        <w:numPr>
          <w:ilvl w:val="0"/>
          <w:numId w:val="14"/>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仲裁裁决应为最终决定，并对双方具有约束力。</w:t>
      </w:r>
    </w:p>
    <w:p>
      <w:pPr>
        <w:numPr>
          <w:ilvl w:val="0"/>
          <w:numId w:val="14"/>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除另有裁决外，仲裁费应由败诉方负担。 </w:t>
      </w:r>
    </w:p>
    <w:p>
      <w:pPr>
        <w:numPr>
          <w:ilvl w:val="0"/>
          <w:numId w:val="14"/>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在仲裁期间，除正在进行仲裁部分外，合同其他部分继续执行。  </w:t>
      </w:r>
    </w:p>
    <w:p>
      <w:pPr>
        <w:numPr>
          <w:ilvl w:val="0"/>
          <w:numId w:val="5"/>
        </w:numPr>
        <w:spacing w:line="360" w:lineRule="auto"/>
        <w:rPr>
          <w:rFonts w:ascii="仿宋" w:hAnsi="仿宋" w:eastAsia="仿宋"/>
          <w:b/>
          <w:color w:val="000000" w:themeColor="text1"/>
          <w:sz w:val="24"/>
          <w14:textFill>
            <w14:solidFill>
              <w14:schemeClr w14:val="tx1"/>
            </w14:solidFill>
          </w14:textFill>
        </w:rPr>
      </w:pPr>
      <w:bookmarkStart w:id="204" w:name="_Toc241833909"/>
      <w:bookmarkStart w:id="205" w:name="_Toc247334847"/>
      <w:bookmarkStart w:id="206" w:name="_Toc239233920"/>
      <w:bookmarkStart w:id="207" w:name="_Toc185395255"/>
      <w:bookmarkStart w:id="208" w:name="_Toc211854455"/>
      <w:bookmarkStart w:id="209" w:name="_Toc211911354"/>
      <w:bookmarkStart w:id="210" w:name="_Toc212019600"/>
      <w:bookmarkStart w:id="211" w:name="_Toc286993793"/>
      <w:bookmarkStart w:id="212" w:name="_Toc225670757"/>
      <w:bookmarkStart w:id="213" w:name="_Toc238984981"/>
      <w:bookmarkStart w:id="214" w:name="_Toc237145412"/>
      <w:bookmarkStart w:id="215" w:name="_Toc239568424"/>
      <w:bookmarkStart w:id="216" w:name="_Toc232492934"/>
      <w:bookmarkStart w:id="217" w:name="_Toc283019219"/>
      <w:bookmarkStart w:id="218" w:name="_Toc225244858"/>
      <w:bookmarkStart w:id="219" w:name="_Toc282696231"/>
      <w:bookmarkStart w:id="220" w:name="_Toc251768868"/>
      <w:bookmarkStart w:id="221" w:name="_Toc225654650"/>
      <w:r>
        <w:rPr>
          <w:rFonts w:ascii="仿宋" w:hAnsi="仿宋" w:eastAsia="仿宋"/>
          <w:b/>
          <w:color w:val="000000" w:themeColor="text1"/>
          <w:sz w:val="24"/>
          <w14:textFill>
            <w14:solidFill>
              <w14:schemeClr w14:val="tx1"/>
            </w14:solidFill>
          </w14:textFill>
        </w:rPr>
        <w:t>合同</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Fonts w:hint="eastAsia" w:ascii="仿宋" w:hAnsi="仿宋" w:eastAsia="仿宋"/>
          <w:b/>
          <w:color w:val="000000" w:themeColor="text1"/>
          <w:sz w:val="24"/>
          <w14:textFill>
            <w14:solidFill>
              <w14:schemeClr w14:val="tx1"/>
            </w14:solidFill>
          </w14:textFill>
        </w:rPr>
        <w:t>生效</w:t>
      </w:r>
    </w:p>
    <w:p>
      <w:pPr>
        <w:pStyle w:val="41"/>
        <w:numPr>
          <w:ilvl w:val="0"/>
          <w:numId w:val="15"/>
        </w:numPr>
        <w:spacing w:line="360" w:lineRule="auto"/>
        <w:ind w:left="0" w:firstLine="630"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合同经双方法定代表人</w:t>
      </w:r>
      <w:r>
        <w:rPr>
          <w:rFonts w:ascii="仿宋" w:hAnsi="仿宋" w:eastAsia="仿宋"/>
          <w:color w:val="000000" w:themeColor="text1"/>
          <w:sz w:val="24"/>
          <w:szCs w:val="24"/>
          <w14:textFill>
            <w14:solidFill>
              <w14:schemeClr w14:val="tx1"/>
            </w14:solidFill>
          </w14:textFill>
        </w:rPr>
        <w:t>/单位负责人或授权委托代理人签字并加盖单位公章后生效。</w:t>
      </w:r>
    </w:p>
    <w:p>
      <w:pPr>
        <w:pStyle w:val="41"/>
        <w:numPr>
          <w:ilvl w:val="0"/>
          <w:numId w:val="15"/>
        </w:numPr>
        <w:spacing w:line="360" w:lineRule="auto"/>
        <w:ind w:left="0" w:firstLine="630"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合同执行中涉及采购资金和采购内容修改或补充的，须经政府采购监管部门审批，并签书面补充协议报政府采购监督管理部门备案，方可作为主合同不可分割的一部分。</w:t>
      </w: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附件</w:t>
      </w:r>
    </w:p>
    <w:p>
      <w:pPr>
        <w:pStyle w:val="41"/>
        <w:numPr>
          <w:ilvl w:val="0"/>
          <w:numId w:val="16"/>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项目招标文件</w:t>
      </w:r>
    </w:p>
    <w:p>
      <w:pPr>
        <w:pStyle w:val="41"/>
        <w:numPr>
          <w:ilvl w:val="0"/>
          <w:numId w:val="16"/>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项目修改澄清文件</w:t>
      </w:r>
    </w:p>
    <w:p>
      <w:pPr>
        <w:pStyle w:val="41"/>
        <w:numPr>
          <w:ilvl w:val="0"/>
          <w:numId w:val="16"/>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项目投标文件</w:t>
      </w:r>
    </w:p>
    <w:p>
      <w:pPr>
        <w:pStyle w:val="41"/>
        <w:numPr>
          <w:ilvl w:val="0"/>
          <w:numId w:val="16"/>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中标通知书</w:t>
      </w:r>
    </w:p>
    <w:p>
      <w:pPr>
        <w:pStyle w:val="41"/>
        <w:numPr>
          <w:ilvl w:val="0"/>
          <w:numId w:val="16"/>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其他</w:t>
      </w:r>
      <w:bookmarkEnd w:id="169"/>
    </w:p>
    <w:p>
      <w:pPr>
        <w:numPr>
          <w:ilvl w:val="0"/>
          <w:numId w:val="5"/>
        </w:numPr>
        <w:spacing w:line="360" w:lineRule="auto"/>
        <w:rPr>
          <w:rFonts w:ascii="仿宋" w:hAnsi="仿宋" w:eastAsia="仿宋"/>
          <w:b/>
          <w:color w:val="000000" w:themeColor="text1"/>
          <w:sz w:val="24"/>
          <w14:textFill>
            <w14:solidFill>
              <w14:schemeClr w14:val="tx1"/>
            </w14:solidFill>
          </w14:textFill>
        </w:rPr>
        <w:sectPr>
          <w:pgSz w:w="11905" w:h="16838"/>
          <w:pgMar w:top="1440" w:right="1474" w:bottom="1440" w:left="1474" w:header="425" w:footer="992" w:gutter="0"/>
          <w:cols w:space="0" w:num="1"/>
          <w:titlePg/>
          <w:docGrid w:linePitch="312" w:charSpace="0"/>
        </w:sectPr>
      </w:pPr>
    </w:p>
    <w:p>
      <w:pPr>
        <w:numPr>
          <w:ilvl w:val="0"/>
          <w:numId w:val="5"/>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其他</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1、如有未尽事宜，由双方依法订立补充合同。</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2、本合同一式玖份，自双方签章之日起生效。甲方六份，乙方、政府采购管理部门、采购代理机构各一份。</w:t>
      </w:r>
    </w:p>
    <w:p>
      <w:pPr>
        <w:spacing w:line="400" w:lineRule="exact"/>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甲方1：   （盖章）   </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甲方2：   （盖章）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法定代表人/单位负责人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账号：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签约日期：XX年XX月XX日 </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签约日期：XX年XX月XX日</w:t>
      </w:r>
    </w:p>
    <w:p>
      <w:pPr>
        <w:spacing w:before="120" w:beforeLines="50" w:after="120" w:afterLines="50"/>
        <w:rPr>
          <w:rFonts w:ascii="仿宋" w:hAnsi="仿宋" w:eastAsia="仿宋"/>
          <w:color w:val="000000" w:themeColor="text1"/>
          <w:sz w:val="24"/>
          <w14:textFill>
            <w14:solidFill>
              <w14:schemeClr w14:val="tx1"/>
            </w14:solidFill>
          </w14:textFill>
        </w:rPr>
      </w:pPr>
    </w:p>
    <w:p>
      <w:pPr>
        <w:pStyle w:val="2"/>
        <w:rPr>
          <w:color w:val="000000" w:themeColor="text1"/>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乙方：   （盖章）   </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r>
        <w:rPr>
          <w:rFonts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r>
        <w:rPr>
          <w:rFonts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r>
        <w:rPr>
          <w:rFonts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r>
        <w:rPr>
          <w:rFonts w:ascii="仿宋" w:hAnsi="仿宋" w:eastAsia="仿宋"/>
          <w:color w:val="000000" w:themeColor="text1"/>
          <w:sz w:val="24"/>
          <w14:textFill>
            <w14:solidFill>
              <w14:schemeClr w14:val="tx1"/>
            </w14:solidFill>
          </w14:textFill>
        </w:rPr>
        <w:t xml:space="preserve">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r>
        <w:rPr>
          <w:rFonts w:ascii="仿宋" w:hAnsi="仿宋" w:eastAsia="仿宋"/>
          <w:color w:val="000000" w:themeColor="text1"/>
          <w:sz w:val="24"/>
          <w14:textFill>
            <w14:solidFill>
              <w14:schemeClr w14:val="tx1"/>
            </w14:solidFill>
          </w14:textFill>
        </w:rPr>
        <w:t xml:space="preserve">                         </w:t>
      </w:r>
    </w:p>
    <w:p>
      <w:pPr>
        <w:pStyle w:val="2"/>
        <w:rPr>
          <w:color w:val="000000" w:themeColor="text1"/>
          <w14:textFill>
            <w14:solidFill>
              <w14:schemeClr w14:val="tx1"/>
            </w14:solidFill>
          </w14:textFill>
        </w:rPr>
        <w:sectPr>
          <w:pgSz w:w="11905" w:h="16838"/>
          <w:pgMar w:top="1440" w:right="1474" w:bottom="1440" w:left="1474" w:header="425" w:footer="992" w:gutter="0"/>
          <w:cols w:space="0" w:num="1"/>
          <w:titlePg/>
          <w:docGrid w:linePitch="312" w:charSpace="0"/>
        </w:sectPr>
      </w:pPr>
      <w:r>
        <w:rPr>
          <w:rFonts w:hint="eastAsia" w:ascii="仿宋" w:hAnsi="仿宋" w:eastAsia="仿宋"/>
          <w:color w:val="000000" w:themeColor="text1"/>
          <w:sz w:val="24"/>
          <w14:textFill>
            <w14:solidFill>
              <w14:schemeClr w14:val="tx1"/>
            </w14:solidFill>
          </w14:textFill>
        </w:rPr>
        <w:t>签约日期：XX年XX月XX日</w:t>
      </w:r>
      <w:bookmarkEnd w:id="33"/>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附件一：川财采〔20</w:t>
      </w:r>
      <w:r>
        <w:rPr>
          <w:rFonts w:hint="eastAsia" w:ascii="仿宋" w:hAnsi="仿宋"/>
          <w:b/>
          <w:color w:val="000000" w:themeColor="text1"/>
          <w:sz w:val="32"/>
          <w:szCs w:val="32"/>
          <w14:textFill>
            <w14:solidFill>
              <w14:schemeClr w14:val="tx1"/>
            </w14:solidFill>
          </w14:textFill>
        </w:rPr>
        <w:t>18</w:t>
      </w:r>
      <w:r>
        <w:rPr>
          <w:rFonts w:hint="eastAsia" w:ascii="仿宋" w:hAnsi="仿宋" w:eastAsia="仿宋"/>
          <w:b/>
          <w:color w:val="000000" w:themeColor="text1"/>
          <w:sz w:val="32"/>
          <w:szCs w:val="32"/>
          <w14:textFill>
            <w14:solidFill>
              <w14:schemeClr w14:val="tx1"/>
            </w14:solidFill>
          </w14:textFill>
        </w:rPr>
        <w:t>〕123号</w:t>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br w:type="page"/>
      </w:r>
    </w:p>
    <w:p>
      <w:pPr>
        <w:rPr>
          <w:rFonts w:ascii="仿宋" w:hAnsi="仿宋"/>
          <w:color w:val="000000" w:themeColor="text1"/>
          <w14:textFill>
            <w14:solidFill>
              <w14:schemeClr w14:val="tx1"/>
            </w14:solidFill>
          </w14:textFill>
        </w:rPr>
      </w:pPr>
      <w:r>
        <w:rPr>
          <w:rFonts w:ascii="仿宋" w:hAnsi="仿宋"/>
          <w:color w:val="000000" w:themeColor="text1"/>
          <w14:textFill>
            <w14:solidFill>
              <w14:schemeClr w14:val="tx1"/>
            </w14:solidFill>
          </w14:textFill>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color w:val="000000" w:themeColor="text1"/>
          <w14:textFill>
            <w14:solidFill>
              <w14:schemeClr w14:val="tx1"/>
            </w14:solidFill>
          </w14:textFill>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outlineLvl w:val="1"/>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cs="仿宋"/>
          <w:b/>
          <w:bCs/>
          <w:color w:val="000000" w:themeColor="text1"/>
          <w:sz w:val="24"/>
          <w:szCs w:val="32"/>
          <w14:textFill>
            <w14:solidFill>
              <w14:schemeClr w14:val="tx1"/>
            </w14:solidFill>
          </w14:textFill>
        </w:rPr>
        <w:t>附件二：成财采〔2019〕17号</w:t>
      </w: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p>
    <w:p>
      <w:pPr>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7"/>
        <w:ind w:firstLine="420"/>
        <w:rPr>
          <w:rFonts w:ascii="仿宋" w:hAnsi="仿宋"/>
          <w:color w:val="000000" w:themeColor="text1"/>
          <w14:textFill>
            <w14:solidFill>
              <w14:schemeClr w14:val="tx1"/>
            </w14:solidFill>
          </w14:textFill>
        </w:rPr>
      </w:pPr>
    </w:p>
    <w:p>
      <w:pPr>
        <w:pStyle w:val="7"/>
        <w:ind w:firstLine="420"/>
        <w:rPr>
          <w:rFonts w:ascii="仿宋" w:hAnsi="仿宋"/>
          <w:color w:val="000000" w:themeColor="text1"/>
          <w14:textFill>
            <w14:solidFill>
              <w14:schemeClr w14:val="tx1"/>
            </w14:solidFill>
          </w14:textFill>
        </w:rPr>
      </w:pPr>
    </w:p>
    <w:p>
      <w:pPr>
        <w:pStyle w:val="7"/>
        <w:ind w:firstLine="420"/>
        <w:rPr>
          <w:rFonts w:ascii="仿宋" w:hAnsi="仿宋"/>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w:t>
      </w:r>
      <w:r>
        <w:rPr>
          <w:rFonts w:hint="eastAsia" w:ascii="仿宋" w:hAnsi="仿宋"/>
          <w:b/>
          <w:color w:val="000000" w:themeColor="text1"/>
          <w:sz w:val="32"/>
          <w:szCs w:val="32"/>
          <w14:textFill>
            <w14:solidFill>
              <w14:schemeClr w14:val="tx1"/>
            </w14:solidFill>
          </w14:textFill>
        </w:rPr>
        <w:t>三</w:t>
      </w:r>
      <w:r>
        <w:rPr>
          <w:rFonts w:hint="eastAsia" w:ascii="仿宋" w:hAnsi="仿宋" w:eastAsia="仿宋"/>
          <w:b/>
          <w:color w:val="000000" w:themeColor="text1"/>
          <w:sz w:val="32"/>
          <w:szCs w:val="32"/>
          <w14:textFill>
            <w14:solidFill>
              <w14:schemeClr w14:val="tx1"/>
            </w14:solidFill>
          </w14:textFill>
        </w:rPr>
        <w:t>：成财采〔20</w:t>
      </w:r>
      <w:r>
        <w:rPr>
          <w:rFonts w:hint="eastAsia" w:ascii="仿宋" w:hAnsi="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号</w:t>
      </w:r>
    </w:p>
    <w:p>
      <w:pPr>
        <w:pStyle w:val="7"/>
        <w:ind w:firstLine="42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6" cstate="print"/>
                    <a:stretch>
                      <a:fillRect/>
                    </a:stretch>
                  </pic:blipFill>
                  <pic:spPr>
                    <a:xfrm>
                      <a:off x="0" y="0"/>
                      <a:ext cx="5760085" cy="771906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7" cstate="print"/>
                    <a:stretch>
                      <a:fillRect/>
                    </a:stretch>
                  </pic:blipFill>
                  <pic:spPr>
                    <a:xfrm>
                      <a:off x="0" y="0"/>
                      <a:ext cx="5760085" cy="838962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8" cstate="print"/>
                    <a:stretch>
                      <a:fillRect/>
                    </a:stretch>
                  </pic:blipFill>
                  <pic:spPr>
                    <a:xfrm>
                      <a:off x="0" y="0"/>
                      <a:ext cx="5760085" cy="3675380"/>
                    </a:xfrm>
                    <a:prstGeom prst="rect">
                      <a:avLst/>
                    </a:prstGeom>
                  </pic:spPr>
                </pic:pic>
              </a:graphicData>
            </a:graphic>
          </wp:inline>
        </w:drawing>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br w:type="page"/>
      </w:r>
    </w:p>
    <w:p>
      <w:pPr>
        <w:outlineLvl w:val="1"/>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cs="仿宋"/>
          <w:b/>
          <w:bCs/>
          <w:color w:val="000000" w:themeColor="text1"/>
          <w:sz w:val="24"/>
          <w:szCs w:val="32"/>
          <w14:textFill>
            <w14:solidFill>
              <w14:schemeClr w14:val="tx1"/>
            </w14:solidFill>
          </w14:textFill>
        </w:rPr>
        <w:t>附件四：政府采购云平台使用介绍</w:t>
      </w:r>
    </w:p>
    <w:p>
      <w:pPr>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cs="仿宋"/>
          <w:b/>
          <w:bCs/>
          <w:color w:val="000000" w:themeColor="text1"/>
          <w:sz w:val="24"/>
          <w:szCs w:val="32"/>
          <w14:textFill>
            <w14:solidFill>
              <w14:schemeClr w14:val="tx1"/>
            </w14:solidFill>
          </w14:textFill>
        </w:rPr>
        <w:t>1.输入网址：</w:t>
      </w:r>
      <w:r>
        <w:fldChar w:fldCharType="begin"/>
      </w:r>
      <w:r>
        <w:instrText xml:space="preserve"> HYPERLINK "https://www.zcygov.cn" </w:instrText>
      </w:r>
      <w:r>
        <w:fldChar w:fldCharType="separate"/>
      </w:r>
      <w:r>
        <w:rPr>
          <w:rStyle w:val="30"/>
          <w:rFonts w:hint="eastAsia" w:ascii="仿宋" w:hAnsi="仿宋" w:eastAsia="仿宋" w:cs="仿宋"/>
          <w:b/>
          <w:bCs/>
          <w:color w:val="000000" w:themeColor="text1"/>
          <w:sz w:val="24"/>
          <w:szCs w:val="32"/>
          <w14:textFill>
            <w14:solidFill>
              <w14:schemeClr w14:val="tx1"/>
            </w14:solidFill>
          </w14:textFill>
        </w:rPr>
        <w:t>https://www.zcygov.cn</w:t>
      </w:r>
      <w:r>
        <w:rPr>
          <w:rStyle w:val="30"/>
          <w:rFonts w:hint="eastAsia" w:ascii="仿宋" w:hAnsi="仿宋" w:eastAsia="仿宋" w:cs="仿宋"/>
          <w:b/>
          <w:bCs/>
          <w:color w:val="000000" w:themeColor="text1"/>
          <w:sz w:val="24"/>
          <w:szCs w:val="32"/>
          <w14:textFill>
            <w14:solidFill>
              <w14:schemeClr w14:val="tx1"/>
            </w14:solidFill>
          </w14:textFill>
        </w:rPr>
        <w:fldChar w:fldCharType="end"/>
      </w:r>
    </w:p>
    <w:p>
      <w:pPr>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cs="仿宋"/>
          <w:b/>
          <w:bCs/>
          <w:color w:val="000000" w:themeColor="text1"/>
          <w:sz w:val="24"/>
          <w:szCs w:val="32"/>
          <w14:textFill>
            <w14:solidFill>
              <w14:schemeClr w14:val="tx1"/>
            </w14:solidFill>
          </w14:textFill>
        </w:rPr>
        <w:t>2.选择与项目对应的行政区域如：四川省-成都市-成都市本级</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9" cstate="print"/>
                    <a:stretch>
                      <a:fillRect/>
                    </a:stretch>
                  </pic:blipFill>
                  <pic:spPr>
                    <a:xfrm>
                      <a:off x="0" y="0"/>
                      <a:ext cx="5760085" cy="3602990"/>
                    </a:xfrm>
                    <a:prstGeom prst="rect">
                      <a:avLst/>
                    </a:prstGeom>
                    <a:noFill/>
                    <a:ln>
                      <a:noFill/>
                    </a:ln>
                  </pic:spPr>
                </pic:pic>
              </a:graphicData>
            </a:graphic>
          </wp:inline>
        </w:drawing>
      </w:r>
    </w:p>
    <w:p>
      <w:pPr>
        <w:rPr>
          <w:color w:val="000000" w:themeColor="text1"/>
          <w14:textFill>
            <w14:solidFill>
              <w14:schemeClr w14:val="tx1"/>
            </w14:solidFill>
          </w14:textFill>
        </w:rPr>
      </w:pPr>
    </w:p>
    <w:p>
      <w:pPr>
        <w:numPr>
          <w:ilvl w:val="0"/>
          <w:numId w:val="17"/>
        </w:num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点击操作指南-供应商</w:t>
      </w:r>
    </w:p>
    <w:p>
      <w:pPr>
        <w:rPr>
          <w:rFonts w:ascii="宋体" w:hAnsi="宋体" w:cs="宋体"/>
          <w:b/>
          <w:bCs/>
          <w:color w:val="000000" w:themeColor="text1"/>
          <w:sz w:val="24"/>
          <w:szCs w:val="32"/>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298259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0" cstate="print"/>
                    <a:stretch>
                      <a:fillRect/>
                    </a:stretch>
                  </pic:blipFill>
                  <pic:spPr>
                    <a:xfrm>
                      <a:off x="0" y="0"/>
                      <a:ext cx="5760085" cy="2982595"/>
                    </a:xfrm>
                    <a:prstGeom prst="rect">
                      <a:avLst/>
                    </a:prstGeom>
                    <a:noFill/>
                    <a:ln>
                      <a:noFill/>
                    </a:ln>
                  </pic:spPr>
                </pic:pic>
              </a:graphicData>
            </a:graphic>
          </wp:inline>
        </w:drawing>
      </w: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4.进入政采云供应商学习专题页面</w:t>
      </w:r>
    </w:p>
    <w:p>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（https://edu.zcygov.cn/luban/xxzt-chengdu-gys?utm=a0017.b1347.cl50.5.0917bc90b7bb11eb807c353645758db6）</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2867025"/>
            <wp:effectExtent l="0" t="0" r="1206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1" cstate="print"/>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color w:val="000000" w:themeColor="text1"/>
          <w:sz w:val="24"/>
          <w:szCs w:val="32"/>
          <w14:textFill>
            <w14:solidFill>
              <w14:schemeClr w14:val="tx1"/>
            </w14:solidFill>
          </w14:textFill>
        </w:rPr>
      </w:pP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5.供应商资讯服务渠道</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cstate="print"/>
                    <a:stretch>
                      <a:fillRect/>
                    </a:stretch>
                  </pic:blipFill>
                  <pic:spPr>
                    <a:xfrm>
                      <a:off x="0" y="0"/>
                      <a:ext cx="5760085" cy="206502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6.入驻政府采购云平台（注册）</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2345055"/>
            <wp:effectExtent l="0" t="0" r="12065" b="171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53" cstate="print"/>
                    <a:stretch>
                      <a:fillRect/>
                    </a:stretch>
                  </pic:blipFill>
                  <pic:spPr>
                    <a:xfrm>
                      <a:off x="0" y="0"/>
                      <a:ext cx="5760085" cy="2345055"/>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7.下载《供应商政府采购项目电子交易操作指南》</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4" cstate="print"/>
                    <a:stretch>
                      <a:fillRect/>
                    </a:stretch>
                  </pic:blipFill>
                  <pic:spPr>
                    <a:xfrm>
                      <a:off x="0" y="0"/>
                      <a:ext cx="5760085" cy="3191510"/>
                    </a:xfrm>
                    <a:prstGeom prst="rect">
                      <a:avLst/>
                    </a:prstGeom>
                    <a:noFill/>
                    <a:ln>
                      <a:noFill/>
                    </a:ln>
                  </pic:spPr>
                </pic:pic>
              </a:graphicData>
            </a:graphic>
          </wp:inline>
        </w:drawing>
      </w:r>
    </w:p>
    <w:p>
      <w:pPr>
        <w:pStyle w:val="7"/>
        <w:ind w:firstLine="420"/>
        <w:rPr>
          <w:color w:val="000000" w:themeColor="text1"/>
          <w14:textFill>
            <w14:solidFill>
              <w14:schemeClr w14:val="tx1"/>
            </w14:solidFill>
          </w14:textFill>
        </w:rPr>
      </w:pPr>
    </w:p>
    <w:p>
      <w:pPr>
        <w:rPr>
          <w:color w:val="000000" w:themeColor="text1"/>
          <w14:textFill>
            <w14:solidFill>
              <w14:schemeClr w14:val="tx1"/>
            </w14:solidFill>
          </w14:textFill>
        </w:rPr>
      </w:pPr>
    </w:p>
    <w:sectPr>
      <w:footerReference r:id="rId17" w:type="default"/>
      <w:pgSz w:w="11905" w:h="16838"/>
      <w:pgMar w:top="1440" w:right="1474" w:bottom="1440" w:left="1474" w:header="425"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Segoe UI Emoji">
    <w:panose1 w:val="020B0502040204020203"/>
    <w:charset w:val="00"/>
    <w:family w:val="swiss"/>
    <w:pitch w:val="default"/>
    <w:sig w:usb0="00000001" w:usb1="02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2</w: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252095"/>
              <wp:effectExtent l="0" t="0" r="0" b="0"/>
              <wp:wrapNone/>
              <wp:docPr id="35" name="Text Box 4"/>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wps:spPr>
                    <wps:txbx>
                      <w:txbxContent>
                        <w:p>
                          <w:pPr>
                            <w:pStyle w:val="17"/>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9.85pt;width:4.6pt;mso-position-horizontal:center;mso-position-horizontal-relative:margin;mso-wrap-style:none;z-index:251663360;mso-width-relative:page;mso-height-relative:page;" filled="f" stroked="f" coordsize="21600,21600" o:gfxdata="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IL5DRAAAAAgEAAA8AAAAAAAAAAQAgAAAAIgAAAGRycy9kb3ducmV2LnhtbFBLAQIU&#10;ABQAAAAIAIdO4kBrJLiA+gEAAAEEAAAOAAAAAAAAAAEAIAAAACABAABkcnMvZTJvRG9jLnhtbFBL&#10;BQYAAAAABgAGAFkBAACM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8420" cy="252095"/>
              <wp:effectExtent l="0" t="0" r="0" b="0"/>
              <wp:wrapNone/>
              <wp:docPr id="33" name="Text Box 5"/>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wps:spPr>
                    <wps:txbx>
                      <w:txbxContent>
                        <w:p>
                          <w:pPr>
                            <w:pStyle w:val="1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9.85pt;width:4.6pt;mso-position-horizontal:center;mso-position-horizontal-relative:margin;mso-wrap-style:none;z-index:251664384;mso-width-relative:page;mso-height-relative:page;" filled="f" stroked="f" coordsize="21600,21600" o:gfxdata="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IL5DRAAAAAgEAAA8AAAAAAAAAAQAgAAAAIgAAAGRycy9kb3ducmV2LnhtbFBLAQIU&#10;ABQAAAAIAIdO4kCeH0S2+gEAAAEEAAAOAAAAAAAAAAEAIAAAACABAABkcnMvZTJvRG9jLnhtbFBL&#10;BQYAAAAABgAGAFkBAACM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252095"/>
              <wp:effectExtent l="0" t="0" r="0" b="0"/>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wps:spPr>
                    <wps:txbx>
                      <w:txbxContent>
                        <w:p>
                          <w:pPr>
                            <w:pStyle w:val="17"/>
                            <w:jc w:val="center"/>
                            <w:rPr>
                              <w:rStyle w:val="29"/>
                            </w:rPr>
                          </w:pPr>
                          <w:r>
                            <w:fldChar w:fldCharType="begin"/>
                          </w:r>
                          <w:r>
                            <w:rPr>
                              <w:rStyle w:val="29"/>
                            </w:rPr>
                            <w:instrText xml:space="preserve">PAGE  </w:instrText>
                          </w:r>
                          <w:r>
                            <w:fldChar w:fldCharType="separate"/>
                          </w:r>
                          <w:r>
                            <w:rPr>
                              <w:rStyle w:val="29"/>
                            </w:rPr>
                            <w:t>36</w:t>
                          </w:r>
                          <w: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9.85pt;width:4.6pt;mso-position-horizontal:center;mso-position-horizontal-relative:margin;mso-wrap-style:none;z-index:251660288;mso-width-relative:page;mso-height-relative:page;" filled="f" stroked="f" coordsize="21600,21600" o:gfxdata="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IL5DRAAAAAgEAAA8AAAAAAAAAAQAgAAAAIgAAAGRycy9kb3ducmV2LnhtbFBLAQIU&#10;ABQAAAAIAIdO4kB2oASI+gEAAAEEAAAOAAAAAAAAAAEAIAAAACABAABkcnMvZTJvRG9jLnhtbFBL&#10;BQYAAAAABgAGAFkBAACMBQAAAAA=&#10;">
              <v:fill on="f" focussize="0,0"/>
              <v:stroke on="f"/>
              <v:imagedata o:title=""/>
              <o:lock v:ext="edit" aspectratio="f"/>
              <v:textbox inset="0mm,0mm,0mm,0mm" style="mso-fit-shape-to-text:t;">
                <w:txbxContent>
                  <w:p>
                    <w:pPr>
                      <w:pStyle w:val="17"/>
                      <w:jc w:val="center"/>
                      <w:rPr>
                        <w:rStyle w:val="29"/>
                      </w:rPr>
                    </w:pPr>
                    <w:r>
                      <w:fldChar w:fldCharType="begin"/>
                    </w:r>
                    <w:r>
                      <w:rPr>
                        <w:rStyle w:val="29"/>
                      </w:rPr>
                      <w:instrText xml:space="preserve">PAGE  </w:instrText>
                    </w:r>
                    <w:r>
                      <w:fldChar w:fldCharType="separate"/>
                    </w:r>
                    <w:r>
                      <w:rPr>
                        <w:rStyle w:val="29"/>
                      </w:rPr>
                      <w:t>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8420" cy="252095"/>
              <wp:effectExtent l="0" t="0" r="0" b="0"/>
              <wp:wrapNone/>
              <wp:docPr id="31" name="Text Box 3"/>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wps:spPr>
                    <wps:txbx>
                      <w:txbxContent>
                        <w:p>
                          <w:pPr>
                            <w:pStyle w:val="17"/>
                          </w:pPr>
                          <w:r>
                            <w:fldChar w:fldCharType="begin"/>
                          </w:r>
                          <w:r>
                            <w:instrText xml:space="preserve"> PAGE  \* MERGEFORMAT </w:instrText>
                          </w:r>
                          <w:r>
                            <w:fldChar w:fldCharType="separate"/>
                          </w:r>
                          <w:r>
                            <w:t>77</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9.85pt;width:4.6pt;mso-position-horizontal:center;mso-position-horizontal-relative:margin;mso-wrap-style:none;z-index:251661312;mso-width-relative:page;mso-height-relative:page;" filled="f" stroked="f" coordsize="21600,21600" o:gfxdata="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IL5DRAAAAAgEAAA8AAAAAAAAAAQAgAAAAIgAAAGRycy9kb3ducmV2LnhtbFBLAQIU&#10;ABQAAAAIAIdO4kCubwZh+gEAAAEEAAAOAAAAAAAAAAEAIAAAACABAABkcnMvZTJvRG9jLnhtbFBL&#10;BQYAAAAABgAGAFkBAACM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252095"/>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wps:spPr>
                    <wps:txbx>
                      <w:txbxContent>
                        <w:p>
                          <w:pPr>
                            <w:pStyle w:val="17"/>
                            <w:jc w:val="center"/>
                            <w:rPr>
                              <w:rStyle w:val="29"/>
                            </w:rPr>
                          </w:pPr>
                          <w:r>
                            <w:fldChar w:fldCharType="begin"/>
                          </w:r>
                          <w:r>
                            <w:rPr>
                              <w:rStyle w:val="29"/>
                            </w:rPr>
                            <w:instrText xml:space="preserve">PAGE  </w:instrText>
                          </w:r>
                          <w:r>
                            <w:fldChar w:fldCharType="separate"/>
                          </w:r>
                          <w:r>
                            <w:rPr>
                              <w:rStyle w:val="29"/>
                            </w:rPr>
                            <w:t>70</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9.85pt;width:9.15pt;mso-position-horizontal:center;mso-position-horizontal-relative:margin;mso-wrap-style:none;z-index:251662336;mso-width-relative:page;mso-height-relative:page;" filled="f" stroked="f" coordsize="21600,21600" o:gfxdata="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vQDz0QAAAAMBAAAPAAAAAAAAAAEAIAAAACIAAABkcnMvZG93bnJldi54bWxQSwECFAAU&#10;AAAACACHTuJAdCUAFfgBAAABBAAADgAAAAAAAAABACAAAAAgAQAAZHJzL2Uyb0RvYy54bWxQSwUG&#10;AAAAAAYABgBZAQAAigUAAAAA&#10;">
              <v:fill on="f" focussize="0,0"/>
              <v:stroke on="f"/>
              <v:imagedata o:title=""/>
              <o:lock v:ext="edit" aspectratio="f"/>
              <v:textbox inset="0mm,0mm,0mm,0mm" style="mso-fit-shape-to-text:t;">
                <w:txbxContent>
                  <w:p>
                    <w:pPr>
                      <w:pStyle w:val="17"/>
                      <w:jc w:val="center"/>
                      <w:rPr>
                        <w:rStyle w:val="29"/>
                      </w:rPr>
                    </w:pPr>
                    <w:r>
                      <w:fldChar w:fldCharType="begin"/>
                    </w:r>
                    <w:r>
                      <w:rPr>
                        <w:rStyle w:val="29"/>
                      </w:rPr>
                      <w:instrText xml:space="preserve">PAGE  </w:instrText>
                    </w:r>
                    <w:r>
                      <w:fldChar w:fldCharType="separate"/>
                    </w:r>
                    <w:r>
                      <w:rPr>
                        <w:rStyle w:val="29"/>
                      </w:rP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79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7456" behindDoc="1" locked="0" layoutInCell="1" allowOverlap="1">
          <wp:simplePos x="0" y="0"/>
          <wp:positionH relativeFrom="column">
            <wp:posOffset>-4445</wp:posOffset>
          </wp:positionH>
          <wp:positionV relativeFrom="paragraph">
            <wp:posOffset>-59690</wp:posOffset>
          </wp:positionV>
          <wp:extent cx="2219325" cy="474980"/>
          <wp:effectExtent l="0" t="0" r="317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after="0" w:line="360" w:lineRule="auto"/>
      <w:jc w:val="right"/>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64" name="图片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after="0" w:line="240" w:lineRule="auto"/>
      <w:jc w:val="right"/>
      <w:rPr>
        <w:rFonts w:ascii="华文隶书" w:hAnsi="华文行楷" w:eastAsia="华文隶书" w:cs="华文行楷"/>
        <w:color w:val="F28221"/>
        <w:sz w:val="20"/>
        <w:szCs w:val="28"/>
      </w:rPr>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5408" behindDoc="1" locked="0" layoutInCell="1" allowOverlap="1">
          <wp:simplePos x="0" y="0"/>
          <wp:positionH relativeFrom="column">
            <wp:posOffset>-4445</wp:posOffset>
          </wp:positionH>
          <wp:positionV relativeFrom="paragraph">
            <wp:posOffset>-66040</wp:posOffset>
          </wp:positionV>
          <wp:extent cx="2219325" cy="474980"/>
          <wp:effectExtent l="0" t="0" r="3175" b="825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after="0" w:line="360" w:lineRule="auto"/>
      <w:jc w:val="right"/>
      <w:rPr>
        <w:rFonts w:ascii="华文隶书" w:hAnsi="华文行楷" w:eastAsia="华文隶书" w:cs="华文行楷"/>
        <w:color w:val="F28221"/>
        <w:sz w:val="20"/>
        <w:szCs w:val="28"/>
      </w:rPr>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6432" behindDoc="1" locked="0" layoutInCell="1" allowOverlap="1">
          <wp:simplePos x="0" y="0"/>
          <wp:positionH relativeFrom="column">
            <wp:posOffset>-4445</wp:posOffset>
          </wp:positionH>
          <wp:positionV relativeFrom="paragraph">
            <wp:posOffset>-66040</wp:posOffset>
          </wp:positionV>
          <wp:extent cx="2219325" cy="474980"/>
          <wp:effectExtent l="0" t="0" r="3175" b="825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after="0" w:line="360" w:lineRule="auto"/>
      <w:jc w:val="right"/>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2A6ED"/>
    <w:multiLevelType w:val="singleLevel"/>
    <w:tmpl w:val="B662A6ED"/>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4">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2">
    <w:nsid w:val="1517B247"/>
    <w:multiLevelType w:val="singleLevel"/>
    <w:tmpl w:val="1517B247"/>
    <w:lvl w:ilvl="0" w:tentative="0">
      <w:start w:val="3"/>
      <w:numFmt w:val="decimal"/>
      <w:lvlText w:val="%1."/>
      <w:lvlJc w:val="left"/>
      <w:pPr>
        <w:tabs>
          <w:tab w:val="left" w:pos="312"/>
        </w:tabs>
      </w:pPr>
    </w:lvl>
  </w:abstractNum>
  <w:abstractNum w:abstractNumId="13">
    <w:nsid w:val="59C07086"/>
    <w:multiLevelType w:val="singleLevel"/>
    <w:tmpl w:val="59C07086"/>
    <w:lvl w:ilvl="0" w:tentative="0">
      <w:start w:val="1"/>
      <w:numFmt w:val="decimal"/>
      <w:suff w:val="nothing"/>
      <w:lvlText w:val="%1、"/>
      <w:lvlJc w:val="left"/>
    </w:lvl>
  </w:abstractNum>
  <w:abstractNum w:abstractNumId="14">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5">
    <w:nsid w:val="613076D0"/>
    <w:multiLevelType w:val="singleLevel"/>
    <w:tmpl w:val="613076D0"/>
    <w:lvl w:ilvl="0" w:tentative="0">
      <w:start w:val="1"/>
      <w:numFmt w:val="decimal"/>
      <w:suff w:val="nothing"/>
      <w:lvlText w:val="%1、"/>
      <w:lvlJc w:val="left"/>
    </w:lvl>
  </w:abstractNum>
  <w:abstractNum w:abstractNumId="16">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16"/>
  </w:num>
  <w:num w:numId="3">
    <w:abstractNumId w:val="13"/>
  </w:num>
  <w:num w:numId="4">
    <w:abstractNumId w:val="15"/>
  </w:num>
  <w:num w:numId="5">
    <w:abstractNumId w:val="8"/>
  </w:num>
  <w:num w:numId="6">
    <w:abstractNumId w:val="7"/>
  </w:num>
  <w:num w:numId="7">
    <w:abstractNumId w:val="10"/>
  </w:num>
  <w:num w:numId="8">
    <w:abstractNumId w:val="9"/>
  </w:num>
  <w:num w:numId="9">
    <w:abstractNumId w:val="3"/>
  </w:num>
  <w:num w:numId="10">
    <w:abstractNumId w:val="1"/>
  </w:num>
  <w:num w:numId="11">
    <w:abstractNumId w:val="6"/>
  </w:num>
  <w:num w:numId="12">
    <w:abstractNumId w:val="4"/>
  </w:num>
  <w:num w:numId="13">
    <w:abstractNumId w:val="5"/>
  </w:num>
  <w:num w:numId="14">
    <w:abstractNumId w:val="2"/>
  </w:num>
  <w:num w:numId="15">
    <w:abstractNumId w:val="14"/>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5DD3"/>
    <w:rsid w:val="0000731C"/>
    <w:rsid w:val="00012AD0"/>
    <w:rsid w:val="00013ADD"/>
    <w:rsid w:val="00020B5C"/>
    <w:rsid w:val="0003159C"/>
    <w:rsid w:val="0003174E"/>
    <w:rsid w:val="0003636B"/>
    <w:rsid w:val="00036EEF"/>
    <w:rsid w:val="0003748E"/>
    <w:rsid w:val="00046175"/>
    <w:rsid w:val="000504B2"/>
    <w:rsid w:val="000608CE"/>
    <w:rsid w:val="00080C10"/>
    <w:rsid w:val="00082BFC"/>
    <w:rsid w:val="00084443"/>
    <w:rsid w:val="00084ED2"/>
    <w:rsid w:val="000964BE"/>
    <w:rsid w:val="000A138A"/>
    <w:rsid w:val="000A1718"/>
    <w:rsid w:val="000A246A"/>
    <w:rsid w:val="000A6E82"/>
    <w:rsid w:val="000A70F2"/>
    <w:rsid w:val="000B10BB"/>
    <w:rsid w:val="000B20FB"/>
    <w:rsid w:val="000B6577"/>
    <w:rsid w:val="000C209D"/>
    <w:rsid w:val="000C297C"/>
    <w:rsid w:val="000C313E"/>
    <w:rsid w:val="000C6FE5"/>
    <w:rsid w:val="000D17A7"/>
    <w:rsid w:val="000D22E0"/>
    <w:rsid w:val="000D611D"/>
    <w:rsid w:val="000D717B"/>
    <w:rsid w:val="000E1D50"/>
    <w:rsid w:val="000E21F8"/>
    <w:rsid w:val="000F1AAA"/>
    <w:rsid w:val="000F2BED"/>
    <w:rsid w:val="000F3201"/>
    <w:rsid w:val="000F789C"/>
    <w:rsid w:val="00101EDC"/>
    <w:rsid w:val="00101FA6"/>
    <w:rsid w:val="00102E8C"/>
    <w:rsid w:val="00103B64"/>
    <w:rsid w:val="00106212"/>
    <w:rsid w:val="00106488"/>
    <w:rsid w:val="001068FD"/>
    <w:rsid w:val="00114138"/>
    <w:rsid w:val="00120F20"/>
    <w:rsid w:val="001241BC"/>
    <w:rsid w:val="00127731"/>
    <w:rsid w:val="001300AD"/>
    <w:rsid w:val="001324D0"/>
    <w:rsid w:val="00132EA0"/>
    <w:rsid w:val="001428A0"/>
    <w:rsid w:val="001442A1"/>
    <w:rsid w:val="0014469B"/>
    <w:rsid w:val="00151E37"/>
    <w:rsid w:val="00155AAC"/>
    <w:rsid w:val="00175D34"/>
    <w:rsid w:val="00180C78"/>
    <w:rsid w:val="001833F5"/>
    <w:rsid w:val="001924CA"/>
    <w:rsid w:val="001976B7"/>
    <w:rsid w:val="001A34F3"/>
    <w:rsid w:val="001A3C96"/>
    <w:rsid w:val="001A5C03"/>
    <w:rsid w:val="001A6131"/>
    <w:rsid w:val="001B1735"/>
    <w:rsid w:val="001B3D1C"/>
    <w:rsid w:val="001B4294"/>
    <w:rsid w:val="001B6171"/>
    <w:rsid w:val="001C03A0"/>
    <w:rsid w:val="001C2181"/>
    <w:rsid w:val="001C6ECA"/>
    <w:rsid w:val="001D4B8D"/>
    <w:rsid w:val="001D6576"/>
    <w:rsid w:val="001E1ED1"/>
    <w:rsid w:val="001E7DDD"/>
    <w:rsid w:val="001F1371"/>
    <w:rsid w:val="00204A0D"/>
    <w:rsid w:val="002120E1"/>
    <w:rsid w:val="002129B6"/>
    <w:rsid w:val="00213E1D"/>
    <w:rsid w:val="002216D6"/>
    <w:rsid w:val="002219F1"/>
    <w:rsid w:val="00223F63"/>
    <w:rsid w:val="0023234A"/>
    <w:rsid w:val="00243F3F"/>
    <w:rsid w:val="00245839"/>
    <w:rsid w:val="002549DD"/>
    <w:rsid w:val="00261B14"/>
    <w:rsid w:val="002636ED"/>
    <w:rsid w:val="002678E1"/>
    <w:rsid w:val="002703ED"/>
    <w:rsid w:val="00285CF5"/>
    <w:rsid w:val="00286A2D"/>
    <w:rsid w:val="00290157"/>
    <w:rsid w:val="00294FBE"/>
    <w:rsid w:val="002A3AA2"/>
    <w:rsid w:val="002A44C8"/>
    <w:rsid w:val="002B2897"/>
    <w:rsid w:val="002B3F90"/>
    <w:rsid w:val="002B5934"/>
    <w:rsid w:val="002B6198"/>
    <w:rsid w:val="002B734E"/>
    <w:rsid w:val="002C1197"/>
    <w:rsid w:val="002D2655"/>
    <w:rsid w:val="002E1380"/>
    <w:rsid w:val="002E1859"/>
    <w:rsid w:val="002E7C40"/>
    <w:rsid w:val="002F2C9B"/>
    <w:rsid w:val="002F56EB"/>
    <w:rsid w:val="002F5B9B"/>
    <w:rsid w:val="00301AC0"/>
    <w:rsid w:val="00303552"/>
    <w:rsid w:val="00303E08"/>
    <w:rsid w:val="00314A71"/>
    <w:rsid w:val="00314E30"/>
    <w:rsid w:val="0031619E"/>
    <w:rsid w:val="0033181B"/>
    <w:rsid w:val="00340DA5"/>
    <w:rsid w:val="0034212B"/>
    <w:rsid w:val="003523E4"/>
    <w:rsid w:val="00353219"/>
    <w:rsid w:val="00363398"/>
    <w:rsid w:val="003651A1"/>
    <w:rsid w:val="003738E0"/>
    <w:rsid w:val="00374D58"/>
    <w:rsid w:val="0038006F"/>
    <w:rsid w:val="00381DA3"/>
    <w:rsid w:val="00397889"/>
    <w:rsid w:val="003A0382"/>
    <w:rsid w:val="003A1953"/>
    <w:rsid w:val="003A25C4"/>
    <w:rsid w:val="003A377C"/>
    <w:rsid w:val="003A4DC9"/>
    <w:rsid w:val="003A7525"/>
    <w:rsid w:val="003B0748"/>
    <w:rsid w:val="003B2DCF"/>
    <w:rsid w:val="003C2287"/>
    <w:rsid w:val="003C3411"/>
    <w:rsid w:val="003C6641"/>
    <w:rsid w:val="003D13BA"/>
    <w:rsid w:val="003E1ABC"/>
    <w:rsid w:val="003E207C"/>
    <w:rsid w:val="003E77F8"/>
    <w:rsid w:val="003E7E7A"/>
    <w:rsid w:val="003F0AB3"/>
    <w:rsid w:val="003F5469"/>
    <w:rsid w:val="003F5BCC"/>
    <w:rsid w:val="00400DA8"/>
    <w:rsid w:val="00406398"/>
    <w:rsid w:val="00407EBE"/>
    <w:rsid w:val="00410564"/>
    <w:rsid w:val="00412BD8"/>
    <w:rsid w:val="00414296"/>
    <w:rsid w:val="00422803"/>
    <w:rsid w:val="00440990"/>
    <w:rsid w:val="00445E84"/>
    <w:rsid w:val="00447D55"/>
    <w:rsid w:val="00450099"/>
    <w:rsid w:val="0045072B"/>
    <w:rsid w:val="00453487"/>
    <w:rsid w:val="00460537"/>
    <w:rsid w:val="004669AB"/>
    <w:rsid w:val="00470F57"/>
    <w:rsid w:val="00475D4E"/>
    <w:rsid w:val="00476799"/>
    <w:rsid w:val="0047730B"/>
    <w:rsid w:val="00482EF1"/>
    <w:rsid w:val="0049311E"/>
    <w:rsid w:val="004941BE"/>
    <w:rsid w:val="004B0037"/>
    <w:rsid w:val="004C7F53"/>
    <w:rsid w:val="004D0D9D"/>
    <w:rsid w:val="004D104E"/>
    <w:rsid w:val="004D1906"/>
    <w:rsid w:val="004D1949"/>
    <w:rsid w:val="004D5DEF"/>
    <w:rsid w:val="004F18F5"/>
    <w:rsid w:val="004F7496"/>
    <w:rsid w:val="0050463C"/>
    <w:rsid w:val="00517396"/>
    <w:rsid w:val="00521311"/>
    <w:rsid w:val="00522DAA"/>
    <w:rsid w:val="00523645"/>
    <w:rsid w:val="00526E61"/>
    <w:rsid w:val="00544920"/>
    <w:rsid w:val="00550AED"/>
    <w:rsid w:val="005548CD"/>
    <w:rsid w:val="00554BA4"/>
    <w:rsid w:val="00563B72"/>
    <w:rsid w:val="00564436"/>
    <w:rsid w:val="005662BB"/>
    <w:rsid w:val="005717CE"/>
    <w:rsid w:val="00576950"/>
    <w:rsid w:val="005772D0"/>
    <w:rsid w:val="0057783F"/>
    <w:rsid w:val="00585EF9"/>
    <w:rsid w:val="00592FA0"/>
    <w:rsid w:val="00593D74"/>
    <w:rsid w:val="0059525C"/>
    <w:rsid w:val="005A3B30"/>
    <w:rsid w:val="005B02F9"/>
    <w:rsid w:val="005C29DA"/>
    <w:rsid w:val="005C5E35"/>
    <w:rsid w:val="005C5F85"/>
    <w:rsid w:val="005C7CD0"/>
    <w:rsid w:val="005D1E46"/>
    <w:rsid w:val="005D4480"/>
    <w:rsid w:val="005D4FD3"/>
    <w:rsid w:val="005D67AE"/>
    <w:rsid w:val="005D7984"/>
    <w:rsid w:val="005E2C23"/>
    <w:rsid w:val="005E3C6A"/>
    <w:rsid w:val="005E4968"/>
    <w:rsid w:val="005F5D17"/>
    <w:rsid w:val="006003CF"/>
    <w:rsid w:val="00600D64"/>
    <w:rsid w:val="006026E5"/>
    <w:rsid w:val="00613911"/>
    <w:rsid w:val="006200BC"/>
    <w:rsid w:val="00621179"/>
    <w:rsid w:val="006243C6"/>
    <w:rsid w:val="0063357F"/>
    <w:rsid w:val="00635EF8"/>
    <w:rsid w:val="006365BE"/>
    <w:rsid w:val="00646C87"/>
    <w:rsid w:val="00662E2F"/>
    <w:rsid w:val="0067387B"/>
    <w:rsid w:val="00681856"/>
    <w:rsid w:val="00683A41"/>
    <w:rsid w:val="006853DD"/>
    <w:rsid w:val="006919E6"/>
    <w:rsid w:val="006A1067"/>
    <w:rsid w:val="006A5C53"/>
    <w:rsid w:val="006B2F1B"/>
    <w:rsid w:val="006B6A44"/>
    <w:rsid w:val="006C0888"/>
    <w:rsid w:val="006C287B"/>
    <w:rsid w:val="006D5B77"/>
    <w:rsid w:val="006D68EE"/>
    <w:rsid w:val="006E0AC8"/>
    <w:rsid w:val="006E4735"/>
    <w:rsid w:val="006F1ACB"/>
    <w:rsid w:val="006F2FC8"/>
    <w:rsid w:val="006F518F"/>
    <w:rsid w:val="007012C6"/>
    <w:rsid w:val="007014F1"/>
    <w:rsid w:val="00707412"/>
    <w:rsid w:val="0071016D"/>
    <w:rsid w:val="00712E8B"/>
    <w:rsid w:val="0072050A"/>
    <w:rsid w:val="0072289E"/>
    <w:rsid w:val="007244E6"/>
    <w:rsid w:val="00727576"/>
    <w:rsid w:val="00727F70"/>
    <w:rsid w:val="00737D7E"/>
    <w:rsid w:val="0074232E"/>
    <w:rsid w:val="00752227"/>
    <w:rsid w:val="0076081B"/>
    <w:rsid w:val="00761BF0"/>
    <w:rsid w:val="007710FF"/>
    <w:rsid w:val="007729D3"/>
    <w:rsid w:val="00780725"/>
    <w:rsid w:val="007841F1"/>
    <w:rsid w:val="00791C59"/>
    <w:rsid w:val="007A06CA"/>
    <w:rsid w:val="007A21C4"/>
    <w:rsid w:val="007A5395"/>
    <w:rsid w:val="007A683D"/>
    <w:rsid w:val="007A6B90"/>
    <w:rsid w:val="007A71E9"/>
    <w:rsid w:val="007B6D5B"/>
    <w:rsid w:val="007C0E57"/>
    <w:rsid w:val="007C2E13"/>
    <w:rsid w:val="007C4463"/>
    <w:rsid w:val="007C5307"/>
    <w:rsid w:val="007C7C0F"/>
    <w:rsid w:val="007D0EDC"/>
    <w:rsid w:val="007D1567"/>
    <w:rsid w:val="007D60B4"/>
    <w:rsid w:val="00802EA2"/>
    <w:rsid w:val="00804993"/>
    <w:rsid w:val="00806CB2"/>
    <w:rsid w:val="00807AA2"/>
    <w:rsid w:val="00810496"/>
    <w:rsid w:val="008120D6"/>
    <w:rsid w:val="00812F02"/>
    <w:rsid w:val="00813725"/>
    <w:rsid w:val="00813DEB"/>
    <w:rsid w:val="00814FCC"/>
    <w:rsid w:val="00822F80"/>
    <w:rsid w:val="008246D6"/>
    <w:rsid w:val="008263D5"/>
    <w:rsid w:val="00827C4C"/>
    <w:rsid w:val="00831363"/>
    <w:rsid w:val="00835F45"/>
    <w:rsid w:val="0083602E"/>
    <w:rsid w:val="00840854"/>
    <w:rsid w:val="008455A7"/>
    <w:rsid w:val="00846872"/>
    <w:rsid w:val="008547C1"/>
    <w:rsid w:val="00855BAF"/>
    <w:rsid w:val="00860A8B"/>
    <w:rsid w:val="00864303"/>
    <w:rsid w:val="00864F1F"/>
    <w:rsid w:val="00866E74"/>
    <w:rsid w:val="008732C6"/>
    <w:rsid w:val="00874357"/>
    <w:rsid w:val="00880309"/>
    <w:rsid w:val="00882228"/>
    <w:rsid w:val="00884F0B"/>
    <w:rsid w:val="0088578D"/>
    <w:rsid w:val="00893DAE"/>
    <w:rsid w:val="008B3181"/>
    <w:rsid w:val="008C3587"/>
    <w:rsid w:val="008C3996"/>
    <w:rsid w:val="008C3E93"/>
    <w:rsid w:val="008D1ED9"/>
    <w:rsid w:val="008D2B3E"/>
    <w:rsid w:val="008D5047"/>
    <w:rsid w:val="008E4F83"/>
    <w:rsid w:val="008E5C45"/>
    <w:rsid w:val="008E7215"/>
    <w:rsid w:val="008F1AF9"/>
    <w:rsid w:val="00902161"/>
    <w:rsid w:val="00904A04"/>
    <w:rsid w:val="00905CB9"/>
    <w:rsid w:val="009069BA"/>
    <w:rsid w:val="00906E67"/>
    <w:rsid w:val="0090786D"/>
    <w:rsid w:val="00907E27"/>
    <w:rsid w:val="009103E6"/>
    <w:rsid w:val="009109D3"/>
    <w:rsid w:val="00912C7F"/>
    <w:rsid w:val="009135B4"/>
    <w:rsid w:val="009168D9"/>
    <w:rsid w:val="00916F97"/>
    <w:rsid w:val="00921344"/>
    <w:rsid w:val="0093449E"/>
    <w:rsid w:val="00937F10"/>
    <w:rsid w:val="00941BDB"/>
    <w:rsid w:val="009458C9"/>
    <w:rsid w:val="00960995"/>
    <w:rsid w:val="00967537"/>
    <w:rsid w:val="00976578"/>
    <w:rsid w:val="00980855"/>
    <w:rsid w:val="00992DFA"/>
    <w:rsid w:val="00996F31"/>
    <w:rsid w:val="009979FD"/>
    <w:rsid w:val="009A55F3"/>
    <w:rsid w:val="009B10BE"/>
    <w:rsid w:val="009B78C2"/>
    <w:rsid w:val="009C29A3"/>
    <w:rsid w:val="009C517C"/>
    <w:rsid w:val="009C5643"/>
    <w:rsid w:val="009C6DAD"/>
    <w:rsid w:val="009D5343"/>
    <w:rsid w:val="009D55C4"/>
    <w:rsid w:val="009E0530"/>
    <w:rsid w:val="009E49C7"/>
    <w:rsid w:val="009E4E72"/>
    <w:rsid w:val="009E7598"/>
    <w:rsid w:val="009F2F4A"/>
    <w:rsid w:val="009F4CCF"/>
    <w:rsid w:val="009F4CEA"/>
    <w:rsid w:val="00A03844"/>
    <w:rsid w:val="00A144F6"/>
    <w:rsid w:val="00A20E85"/>
    <w:rsid w:val="00A403CB"/>
    <w:rsid w:val="00A42BDC"/>
    <w:rsid w:val="00A44B42"/>
    <w:rsid w:val="00A5120C"/>
    <w:rsid w:val="00A53715"/>
    <w:rsid w:val="00A55A7F"/>
    <w:rsid w:val="00A63064"/>
    <w:rsid w:val="00A63261"/>
    <w:rsid w:val="00A70669"/>
    <w:rsid w:val="00A76E5A"/>
    <w:rsid w:val="00A835D4"/>
    <w:rsid w:val="00A84FEB"/>
    <w:rsid w:val="00A91EFE"/>
    <w:rsid w:val="00A977EC"/>
    <w:rsid w:val="00A97A6F"/>
    <w:rsid w:val="00AA60E0"/>
    <w:rsid w:val="00AB131C"/>
    <w:rsid w:val="00AC1677"/>
    <w:rsid w:val="00AC34F8"/>
    <w:rsid w:val="00AC42B7"/>
    <w:rsid w:val="00AC5B81"/>
    <w:rsid w:val="00AD0386"/>
    <w:rsid w:val="00AD36EA"/>
    <w:rsid w:val="00AD6974"/>
    <w:rsid w:val="00AD7692"/>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46BA8"/>
    <w:rsid w:val="00B52066"/>
    <w:rsid w:val="00B528C5"/>
    <w:rsid w:val="00B53500"/>
    <w:rsid w:val="00B54455"/>
    <w:rsid w:val="00B54E66"/>
    <w:rsid w:val="00B54EE8"/>
    <w:rsid w:val="00B80536"/>
    <w:rsid w:val="00B960A9"/>
    <w:rsid w:val="00B97136"/>
    <w:rsid w:val="00BA0384"/>
    <w:rsid w:val="00BA0A8B"/>
    <w:rsid w:val="00BB0997"/>
    <w:rsid w:val="00BB0F71"/>
    <w:rsid w:val="00BC1157"/>
    <w:rsid w:val="00BC1700"/>
    <w:rsid w:val="00BC3165"/>
    <w:rsid w:val="00BC58A7"/>
    <w:rsid w:val="00BC7B90"/>
    <w:rsid w:val="00BD715E"/>
    <w:rsid w:val="00BE414D"/>
    <w:rsid w:val="00BE547C"/>
    <w:rsid w:val="00BF2920"/>
    <w:rsid w:val="00C017FE"/>
    <w:rsid w:val="00C049EB"/>
    <w:rsid w:val="00C06829"/>
    <w:rsid w:val="00C11E56"/>
    <w:rsid w:val="00C160FB"/>
    <w:rsid w:val="00C173CC"/>
    <w:rsid w:val="00C421B6"/>
    <w:rsid w:val="00C508C1"/>
    <w:rsid w:val="00C54267"/>
    <w:rsid w:val="00C56CBE"/>
    <w:rsid w:val="00C603AA"/>
    <w:rsid w:val="00C6242C"/>
    <w:rsid w:val="00C64E97"/>
    <w:rsid w:val="00C758E2"/>
    <w:rsid w:val="00C92C88"/>
    <w:rsid w:val="00C96206"/>
    <w:rsid w:val="00C963F3"/>
    <w:rsid w:val="00C967AF"/>
    <w:rsid w:val="00CA422E"/>
    <w:rsid w:val="00CD2E71"/>
    <w:rsid w:val="00CE0EED"/>
    <w:rsid w:val="00CE4310"/>
    <w:rsid w:val="00CE48D7"/>
    <w:rsid w:val="00CE4D4F"/>
    <w:rsid w:val="00CE4D93"/>
    <w:rsid w:val="00CE796D"/>
    <w:rsid w:val="00CE7D39"/>
    <w:rsid w:val="00CF27A1"/>
    <w:rsid w:val="00D0220C"/>
    <w:rsid w:val="00D04AFE"/>
    <w:rsid w:val="00D05321"/>
    <w:rsid w:val="00D07B41"/>
    <w:rsid w:val="00D144B4"/>
    <w:rsid w:val="00D14F4B"/>
    <w:rsid w:val="00D23A6E"/>
    <w:rsid w:val="00D24346"/>
    <w:rsid w:val="00D25B44"/>
    <w:rsid w:val="00D27FD8"/>
    <w:rsid w:val="00D35FC7"/>
    <w:rsid w:val="00D37117"/>
    <w:rsid w:val="00D422DA"/>
    <w:rsid w:val="00D43CA1"/>
    <w:rsid w:val="00D453B3"/>
    <w:rsid w:val="00D473B6"/>
    <w:rsid w:val="00D47657"/>
    <w:rsid w:val="00D50515"/>
    <w:rsid w:val="00D52D79"/>
    <w:rsid w:val="00D611F5"/>
    <w:rsid w:val="00D61C23"/>
    <w:rsid w:val="00D67157"/>
    <w:rsid w:val="00D7091B"/>
    <w:rsid w:val="00D711D1"/>
    <w:rsid w:val="00D737D3"/>
    <w:rsid w:val="00D73B4C"/>
    <w:rsid w:val="00D7441E"/>
    <w:rsid w:val="00D75D75"/>
    <w:rsid w:val="00D805D4"/>
    <w:rsid w:val="00D91963"/>
    <w:rsid w:val="00D91D3F"/>
    <w:rsid w:val="00D932FE"/>
    <w:rsid w:val="00D93D42"/>
    <w:rsid w:val="00D95E46"/>
    <w:rsid w:val="00D97A2E"/>
    <w:rsid w:val="00DA4A29"/>
    <w:rsid w:val="00DA51BA"/>
    <w:rsid w:val="00DA61CE"/>
    <w:rsid w:val="00DB3D92"/>
    <w:rsid w:val="00DB3E57"/>
    <w:rsid w:val="00DB69CB"/>
    <w:rsid w:val="00DC05AA"/>
    <w:rsid w:val="00DC18EA"/>
    <w:rsid w:val="00DC1A76"/>
    <w:rsid w:val="00DC2145"/>
    <w:rsid w:val="00DC432D"/>
    <w:rsid w:val="00DD3E62"/>
    <w:rsid w:val="00DD4C4F"/>
    <w:rsid w:val="00DE238E"/>
    <w:rsid w:val="00DE3801"/>
    <w:rsid w:val="00DE421A"/>
    <w:rsid w:val="00DE6263"/>
    <w:rsid w:val="00DF1201"/>
    <w:rsid w:val="00DF20BE"/>
    <w:rsid w:val="00DF59FE"/>
    <w:rsid w:val="00E01326"/>
    <w:rsid w:val="00E13D86"/>
    <w:rsid w:val="00E21FCF"/>
    <w:rsid w:val="00E22201"/>
    <w:rsid w:val="00E2579F"/>
    <w:rsid w:val="00E32B91"/>
    <w:rsid w:val="00E46283"/>
    <w:rsid w:val="00E5084A"/>
    <w:rsid w:val="00E51536"/>
    <w:rsid w:val="00E5235C"/>
    <w:rsid w:val="00E527B7"/>
    <w:rsid w:val="00E52F39"/>
    <w:rsid w:val="00E54656"/>
    <w:rsid w:val="00E55CA7"/>
    <w:rsid w:val="00E56B37"/>
    <w:rsid w:val="00E60A0E"/>
    <w:rsid w:val="00E610B4"/>
    <w:rsid w:val="00E6226C"/>
    <w:rsid w:val="00E63325"/>
    <w:rsid w:val="00E64F68"/>
    <w:rsid w:val="00E71C7D"/>
    <w:rsid w:val="00E72359"/>
    <w:rsid w:val="00E72A42"/>
    <w:rsid w:val="00E730C2"/>
    <w:rsid w:val="00E75D42"/>
    <w:rsid w:val="00E83AF9"/>
    <w:rsid w:val="00E8533C"/>
    <w:rsid w:val="00E87531"/>
    <w:rsid w:val="00E909EF"/>
    <w:rsid w:val="00E912EA"/>
    <w:rsid w:val="00E93DEE"/>
    <w:rsid w:val="00E94233"/>
    <w:rsid w:val="00E97B37"/>
    <w:rsid w:val="00EA0C18"/>
    <w:rsid w:val="00EA7D77"/>
    <w:rsid w:val="00EB1EB0"/>
    <w:rsid w:val="00EB4664"/>
    <w:rsid w:val="00EB46CF"/>
    <w:rsid w:val="00EB6243"/>
    <w:rsid w:val="00EB6A49"/>
    <w:rsid w:val="00EC1E41"/>
    <w:rsid w:val="00EC334D"/>
    <w:rsid w:val="00EC7C8E"/>
    <w:rsid w:val="00ED203C"/>
    <w:rsid w:val="00ED2A8D"/>
    <w:rsid w:val="00EE2721"/>
    <w:rsid w:val="00EE2B3C"/>
    <w:rsid w:val="00EE6220"/>
    <w:rsid w:val="00EE6EC3"/>
    <w:rsid w:val="00EF4E77"/>
    <w:rsid w:val="00EF5F4B"/>
    <w:rsid w:val="00F161BE"/>
    <w:rsid w:val="00F16EB4"/>
    <w:rsid w:val="00F1700E"/>
    <w:rsid w:val="00F2082F"/>
    <w:rsid w:val="00F22710"/>
    <w:rsid w:val="00F24042"/>
    <w:rsid w:val="00F24E51"/>
    <w:rsid w:val="00F26FBC"/>
    <w:rsid w:val="00F311EF"/>
    <w:rsid w:val="00F347E1"/>
    <w:rsid w:val="00F35789"/>
    <w:rsid w:val="00F4497B"/>
    <w:rsid w:val="00F51745"/>
    <w:rsid w:val="00F67E3B"/>
    <w:rsid w:val="00F75689"/>
    <w:rsid w:val="00F81053"/>
    <w:rsid w:val="00F82C8A"/>
    <w:rsid w:val="00F84E58"/>
    <w:rsid w:val="00F86F59"/>
    <w:rsid w:val="00F8711E"/>
    <w:rsid w:val="00F9364C"/>
    <w:rsid w:val="00F94662"/>
    <w:rsid w:val="00F94F06"/>
    <w:rsid w:val="00F956B7"/>
    <w:rsid w:val="00FA0BD3"/>
    <w:rsid w:val="00FA126E"/>
    <w:rsid w:val="00FA7BC0"/>
    <w:rsid w:val="00FB4292"/>
    <w:rsid w:val="00FC1319"/>
    <w:rsid w:val="00FC4688"/>
    <w:rsid w:val="00FC57C4"/>
    <w:rsid w:val="00FC5AC5"/>
    <w:rsid w:val="00FC7AD4"/>
    <w:rsid w:val="00FD1CB6"/>
    <w:rsid w:val="00FD56EB"/>
    <w:rsid w:val="00FE12AA"/>
    <w:rsid w:val="00FE31E8"/>
    <w:rsid w:val="00FE4ABA"/>
    <w:rsid w:val="00FE7650"/>
    <w:rsid w:val="01526812"/>
    <w:rsid w:val="016B3CA6"/>
    <w:rsid w:val="01BC0AEB"/>
    <w:rsid w:val="01CD7511"/>
    <w:rsid w:val="02430B2B"/>
    <w:rsid w:val="03366EC4"/>
    <w:rsid w:val="03386882"/>
    <w:rsid w:val="034D2622"/>
    <w:rsid w:val="03BD6251"/>
    <w:rsid w:val="03CF276F"/>
    <w:rsid w:val="03E4059C"/>
    <w:rsid w:val="05052E25"/>
    <w:rsid w:val="05C01831"/>
    <w:rsid w:val="0662250D"/>
    <w:rsid w:val="069756C9"/>
    <w:rsid w:val="06D64DF9"/>
    <w:rsid w:val="06EA41D2"/>
    <w:rsid w:val="06F82B78"/>
    <w:rsid w:val="072E42E3"/>
    <w:rsid w:val="08866B3C"/>
    <w:rsid w:val="08A442E8"/>
    <w:rsid w:val="08D3679E"/>
    <w:rsid w:val="0968446C"/>
    <w:rsid w:val="09880AD8"/>
    <w:rsid w:val="0AA5328F"/>
    <w:rsid w:val="0B134589"/>
    <w:rsid w:val="0B4007D0"/>
    <w:rsid w:val="0B7E48FD"/>
    <w:rsid w:val="0BF976A8"/>
    <w:rsid w:val="0BFB0153"/>
    <w:rsid w:val="0CF92C66"/>
    <w:rsid w:val="0CFC2EE8"/>
    <w:rsid w:val="0D145694"/>
    <w:rsid w:val="0D417D41"/>
    <w:rsid w:val="0D9F0F57"/>
    <w:rsid w:val="0E0E72EC"/>
    <w:rsid w:val="0E545AFA"/>
    <w:rsid w:val="0E7D198F"/>
    <w:rsid w:val="0EEB1E79"/>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16B08"/>
    <w:rsid w:val="177941D0"/>
    <w:rsid w:val="17DC532F"/>
    <w:rsid w:val="17F138A8"/>
    <w:rsid w:val="18800267"/>
    <w:rsid w:val="19731B79"/>
    <w:rsid w:val="1A024AC4"/>
    <w:rsid w:val="1A532ADC"/>
    <w:rsid w:val="1AA57B5F"/>
    <w:rsid w:val="1B093F61"/>
    <w:rsid w:val="1B260840"/>
    <w:rsid w:val="1BE3189B"/>
    <w:rsid w:val="1C2407D2"/>
    <w:rsid w:val="1C392717"/>
    <w:rsid w:val="1CA058A4"/>
    <w:rsid w:val="1CAF5838"/>
    <w:rsid w:val="1D314742"/>
    <w:rsid w:val="1D947067"/>
    <w:rsid w:val="1E5006DD"/>
    <w:rsid w:val="1E626810"/>
    <w:rsid w:val="1E7C1444"/>
    <w:rsid w:val="1EAD7881"/>
    <w:rsid w:val="1EE44777"/>
    <w:rsid w:val="1F3544E8"/>
    <w:rsid w:val="1F3A1F0D"/>
    <w:rsid w:val="1F515A41"/>
    <w:rsid w:val="21432F64"/>
    <w:rsid w:val="215B1690"/>
    <w:rsid w:val="21D218F6"/>
    <w:rsid w:val="21EE38EF"/>
    <w:rsid w:val="2232764F"/>
    <w:rsid w:val="224A72AF"/>
    <w:rsid w:val="22547760"/>
    <w:rsid w:val="22723839"/>
    <w:rsid w:val="22BC30AB"/>
    <w:rsid w:val="23C823BC"/>
    <w:rsid w:val="24057464"/>
    <w:rsid w:val="24A42D4D"/>
    <w:rsid w:val="24F46692"/>
    <w:rsid w:val="24FE0C04"/>
    <w:rsid w:val="2531464F"/>
    <w:rsid w:val="25557F8E"/>
    <w:rsid w:val="264609DC"/>
    <w:rsid w:val="26D60601"/>
    <w:rsid w:val="26E51EF5"/>
    <w:rsid w:val="26FE01DA"/>
    <w:rsid w:val="27D81AE8"/>
    <w:rsid w:val="28012834"/>
    <w:rsid w:val="28017784"/>
    <w:rsid w:val="287F157E"/>
    <w:rsid w:val="28DD78F7"/>
    <w:rsid w:val="2B7A199A"/>
    <w:rsid w:val="2BB97180"/>
    <w:rsid w:val="2C0315C8"/>
    <w:rsid w:val="2C316AF3"/>
    <w:rsid w:val="2C5300D5"/>
    <w:rsid w:val="2D2864D4"/>
    <w:rsid w:val="2D6405B3"/>
    <w:rsid w:val="2DA50ED6"/>
    <w:rsid w:val="2DAA40C0"/>
    <w:rsid w:val="2DD24CCF"/>
    <w:rsid w:val="2DD32383"/>
    <w:rsid w:val="2DE50909"/>
    <w:rsid w:val="2EB1759E"/>
    <w:rsid w:val="2EE72320"/>
    <w:rsid w:val="2EE8455C"/>
    <w:rsid w:val="2F7C3139"/>
    <w:rsid w:val="2FC414F3"/>
    <w:rsid w:val="2FE60929"/>
    <w:rsid w:val="304B535E"/>
    <w:rsid w:val="308F2EFD"/>
    <w:rsid w:val="30D70117"/>
    <w:rsid w:val="3123695D"/>
    <w:rsid w:val="31274B61"/>
    <w:rsid w:val="314B29C9"/>
    <w:rsid w:val="3163707D"/>
    <w:rsid w:val="31986FB8"/>
    <w:rsid w:val="32252B0C"/>
    <w:rsid w:val="32A81084"/>
    <w:rsid w:val="32D70991"/>
    <w:rsid w:val="33DC14FA"/>
    <w:rsid w:val="34F34C56"/>
    <w:rsid w:val="357A5788"/>
    <w:rsid w:val="36530971"/>
    <w:rsid w:val="36561BAE"/>
    <w:rsid w:val="36610C56"/>
    <w:rsid w:val="366B24CA"/>
    <w:rsid w:val="376916D4"/>
    <w:rsid w:val="38095396"/>
    <w:rsid w:val="385666E5"/>
    <w:rsid w:val="38DB70E7"/>
    <w:rsid w:val="39131B39"/>
    <w:rsid w:val="3A006510"/>
    <w:rsid w:val="3A0562C0"/>
    <w:rsid w:val="3AD16F1E"/>
    <w:rsid w:val="3B146091"/>
    <w:rsid w:val="3B192EFF"/>
    <w:rsid w:val="3B787D9D"/>
    <w:rsid w:val="3BCE25E6"/>
    <w:rsid w:val="3C1222BB"/>
    <w:rsid w:val="3C1B106D"/>
    <w:rsid w:val="3C3D0825"/>
    <w:rsid w:val="3CA053BD"/>
    <w:rsid w:val="3CEA2ACF"/>
    <w:rsid w:val="3D0C77C5"/>
    <w:rsid w:val="3D7811AB"/>
    <w:rsid w:val="3EA7753D"/>
    <w:rsid w:val="3EAE72F5"/>
    <w:rsid w:val="3F3618F0"/>
    <w:rsid w:val="3FAE1CEA"/>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076910"/>
    <w:rsid w:val="482B5C12"/>
    <w:rsid w:val="489E2C81"/>
    <w:rsid w:val="492C3528"/>
    <w:rsid w:val="49A17919"/>
    <w:rsid w:val="49B4651F"/>
    <w:rsid w:val="49E329B9"/>
    <w:rsid w:val="4A31249C"/>
    <w:rsid w:val="4A9C1DE8"/>
    <w:rsid w:val="4AA012C3"/>
    <w:rsid w:val="4CE6400E"/>
    <w:rsid w:val="4CF906E8"/>
    <w:rsid w:val="4D24345F"/>
    <w:rsid w:val="4D5670A7"/>
    <w:rsid w:val="4D5D1F52"/>
    <w:rsid w:val="4D7B0BEE"/>
    <w:rsid w:val="4E390E43"/>
    <w:rsid w:val="4E540763"/>
    <w:rsid w:val="4EB0364A"/>
    <w:rsid w:val="4F1D59C7"/>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A626FD"/>
    <w:rsid w:val="58F05AD9"/>
    <w:rsid w:val="5A443F9B"/>
    <w:rsid w:val="5A812E59"/>
    <w:rsid w:val="5ABA7460"/>
    <w:rsid w:val="5AF779F8"/>
    <w:rsid w:val="5B9C24F1"/>
    <w:rsid w:val="5BB46CAC"/>
    <w:rsid w:val="5BF37197"/>
    <w:rsid w:val="5BF709E8"/>
    <w:rsid w:val="5CFA1CEF"/>
    <w:rsid w:val="5D0659E9"/>
    <w:rsid w:val="5D2C49EA"/>
    <w:rsid w:val="5D3A5DF4"/>
    <w:rsid w:val="5DB73653"/>
    <w:rsid w:val="5DE44F8E"/>
    <w:rsid w:val="5E1E0FE7"/>
    <w:rsid w:val="5E2F576D"/>
    <w:rsid w:val="5E42154B"/>
    <w:rsid w:val="5E4274C8"/>
    <w:rsid w:val="5F1D1B39"/>
    <w:rsid w:val="5F230F76"/>
    <w:rsid w:val="5F2447E2"/>
    <w:rsid w:val="602A170A"/>
    <w:rsid w:val="602E6168"/>
    <w:rsid w:val="605855B2"/>
    <w:rsid w:val="605A28BD"/>
    <w:rsid w:val="60D969BE"/>
    <w:rsid w:val="610B183C"/>
    <w:rsid w:val="61613AC5"/>
    <w:rsid w:val="61D640C8"/>
    <w:rsid w:val="621D5FD0"/>
    <w:rsid w:val="62553A9B"/>
    <w:rsid w:val="62A954D2"/>
    <w:rsid w:val="634A6326"/>
    <w:rsid w:val="6445786C"/>
    <w:rsid w:val="647734A0"/>
    <w:rsid w:val="6567607D"/>
    <w:rsid w:val="65C02314"/>
    <w:rsid w:val="66533E04"/>
    <w:rsid w:val="666653A9"/>
    <w:rsid w:val="6685543F"/>
    <w:rsid w:val="67AC14B0"/>
    <w:rsid w:val="68567627"/>
    <w:rsid w:val="69247457"/>
    <w:rsid w:val="695E5261"/>
    <w:rsid w:val="698A4060"/>
    <w:rsid w:val="69E14866"/>
    <w:rsid w:val="6A8D0CCF"/>
    <w:rsid w:val="6B0A5059"/>
    <w:rsid w:val="6B1242F8"/>
    <w:rsid w:val="6BA90006"/>
    <w:rsid w:val="6C161E18"/>
    <w:rsid w:val="6CBB08C6"/>
    <w:rsid w:val="6CE70ADE"/>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D611E7"/>
    <w:rsid w:val="73F94FD2"/>
    <w:rsid w:val="73FC1BEE"/>
    <w:rsid w:val="743E7D8E"/>
    <w:rsid w:val="74822716"/>
    <w:rsid w:val="74A77D79"/>
    <w:rsid w:val="74BB2C8C"/>
    <w:rsid w:val="74CC5805"/>
    <w:rsid w:val="74EE2280"/>
    <w:rsid w:val="75041DB2"/>
    <w:rsid w:val="750D3D28"/>
    <w:rsid w:val="756176A1"/>
    <w:rsid w:val="76471064"/>
    <w:rsid w:val="765A3D15"/>
    <w:rsid w:val="76661DD9"/>
    <w:rsid w:val="76D45B66"/>
    <w:rsid w:val="76FE2417"/>
    <w:rsid w:val="771E653D"/>
    <w:rsid w:val="77675BDB"/>
    <w:rsid w:val="77E43F55"/>
    <w:rsid w:val="77FD4A16"/>
    <w:rsid w:val="788E700F"/>
    <w:rsid w:val="78A44D2E"/>
    <w:rsid w:val="79D85CE8"/>
    <w:rsid w:val="7A1E0BB7"/>
    <w:rsid w:val="7A322C02"/>
    <w:rsid w:val="7A7B24FD"/>
    <w:rsid w:val="7AB451B9"/>
    <w:rsid w:val="7AC33E5C"/>
    <w:rsid w:val="7AF65F04"/>
    <w:rsid w:val="7B072853"/>
    <w:rsid w:val="7B34086B"/>
    <w:rsid w:val="7BA10F88"/>
    <w:rsid w:val="7CA44252"/>
    <w:rsid w:val="7CFC520A"/>
    <w:rsid w:val="7D2846D4"/>
    <w:rsid w:val="7DB479EE"/>
    <w:rsid w:val="7DCD6635"/>
    <w:rsid w:val="7EE36967"/>
    <w:rsid w:val="7F243CF6"/>
    <w:rsid w:val="7F4108E0"/>
    <w:rsid w:val="7F9663C3"/>
    <w:rsid w:val="7FA345E5"/>
    <w:rsid w:val="7FBE0FFC"/>
    <w:rsid w:val="85B3B0BA"/>
    <w:rsid w:val="AFEF2E6B"/>
    <w:rsid w:val="BFFF3FFB"/>
    <w:rsid w:val="DFFD0E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2">
    <w:name w:val="Body Text Indent 2"/>
    <w:basedOn w:val="1"/>
    <w:link w:val="50"/>
    <w:qFormat/>
    <w:uiPriority w:val="99"/>
    <w:pPr>
      <w:spacing w:after="120" w:line="480" w:lineRule="auto"/>
      <w:ind w:left="420" w:leftChars="200"/>
    </w:p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7"/>
    <w:qFormat/>
    <w:uiPriority w:val="0"/>
    <w:rPr>
      <w:rFonts w:ascii="宋体"/>
      <w:sz w:val="18"/>
      <w:szCs w:val="18"/>
    </w:rPr>
  </w:style>
  <w:style w:type="paragraph" w:styleId="9">
    <w:name w:val="annotation text"/>
    <w:basedOn w:val="1"/>
    <w:link w:val="40"/>
    <w:qFormat/>
    <w:uiPriority w:val="0"/>
    <w:pPr>
      <w:jc w:val="left"/>
    </w:pPr>
  </w:style>
  <w:style w:type="paragraph" w:styleId="10">
    <w:name w:val="Body Text"/>
    <w:basedOn w:val="1"/>
    <w:link w:val="51"/>
    <w:unhideWhenUsed/>
    <w:qFormat/>
    <w:uiPriority w:val="99"/>
    <w:pPr>
      <w:spacing w:after="120" w:line="240" w:lineRule="auto"/>
    </w:pPr>
    <w:rPr>
      <w:rFonts w:ascii="Times New Roman" w:hAnsi="Times New Roman"/>
    </w:r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alloon Text"/>
    <w:basedOn w:val="1"/>
    <w:link w:val="39"/>
    <w:qFormat/>
    <w:uiPriority w:val="0"/>
    <w:rPr>
      <w:sz w:val="18"/>
      <w:szCs w:val="18"/>
    </w:rPr>
  </w:style>
  <w:style w:type="paragraph" w:styleId="17">
    <w:name w:val="footer"/>
    <w:basedOn w:val="1"/>
    <w:link w:val="47"/>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kern w:val="0"/>
      <w:sz w:val="18"/>
      <w:szCs w:val="18"/>
    </w:rPr>
  </w:style>
  <w:style w:type="paragraph" w:styleId="25">
    <w:name w:val="annotation subject"/>
    <w:basedOn w:val="9"/>
    <w:next w:val="9"/>
    <w:link w:val="34"/>
    <w:qFormat/>
    <w:uiPriority w:val="0"/>
    <w:rPr>
      <w:b/>
      <w:bCs/>
    </w:rPr>
  </w:style>
  <w:style w:type="table" w:styleId="27">
    <w:name w:val="Table Grid"/>
    <w:basedOn w:val="2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qFormat/>
    <w:uiPriority w:val="0"/>
    <w:rPr>
      <w:sz w:val="21"/>
      <w:szCs w:val="21"/>
    </w:rPr>
  </w:style>
  <w:style w:type="character" w:customStyle="1" w:styleId="32">
    <w:name w:val="标题 1 字符"/>
    <w:link w:val="3"/>
    <w:qFormat/>
    <w:uiPriority w:val="0"/>
    <w:rPr>
      <w:b/>
      <w:bCs/>
      <w:kern w:val="44"/>
      <w:sz w:val="44"/>
      <w:szCs w:val="44"/>
    </w:rPr>
  </w:style>
  <w:style w:type="character" w:customStyle="1" w:styleId="33">
    <w:name w:val="font101"/>
    <w:qFormat/>
    <w:uiPriority w:val="0"/>
    <w:rPr>
      <w:rFonts w:hint="eastAsia" w:ascii="宋体" w:hAnsi="宋体" w:eastAsia="宋体" w:cs="宋体"/>
      <w:color w:val="000000"/>
      <w:sz w:val="21"/>
      <w:szCs w:val="21"/>
      <w:u w:val="single"/>
    </w:rPr>
  </w:style>
  <w:style w:type="character" w:customStyle="1" w:styleId="34">
    <w:name w:val="批注主题 字符"/>
    <w:link w:val="25"/>
    <w:qFormat/>
    <w:uiPriority w:val="0"/>
    <w:rPr>
      <w:b/>
      <w:bCs/>
      <w:kern w:val="2"/>
      <w:sz w:val="21"/>
      <w:szCs w:val="24"/>
    </w:rPr>
  </w:style>
  <w:style w:type="character" w:customStyle="1" w:styleId="35">
    <w:name w:val="font31"/>
    <w:qFormat/>
    <w:uiPriority w:val="0"/>
    <w:rPr>
      <w:rFonts w:hint="eastAsia" w:ascii="宋体" w:hAnsi="宋体" w:eastAsia="宋体" w:cs="宋体"/>
      <w:color w:val="000000"/>
      <w:sz w:val="21"/>
      <w:szCs w:val="21"/>
      <w:u w:val="none"/>
    </w:rPr>
  </w:style>
  <w:style w:type="character" w:customStyle="1" w:styleId="36">
    <w:name w:val="font111"/>
    <w:qFormat/>
    <w:uiPriority w:val="0"/>
    <w:rPr>
      <w:rFonts w:hint="default" w:ascii="Eʩ" w:hAnsi="Eʩ" w:eastAsia="Eʩ" w:cs="Eʩ"/>
      <w:color w:val="000000"/>
      <w:sz w:val="21"/>
      <w:szCs w:val="21"/>
      <w:u w:val="single"/>
    </w:rPr>
  </w:style>
  <w:style w:type="character" w:customStyle="1" w:styleId="37">
    <w:name w:val="文档结构图 字符"/>
    <w:link w:val="8"/>
    <w:qFormat/>
    <w:uiPriority w:val="0"/>
    <w:rPr>
      <w:rFonts w:ascii="宋体"/>
      <w:kern w:val="2"/>
      <w:sz w:val="18"/>
      <w:szCs w:val="18"/>
    </w:rPr>
  </w:style>
  <w:style w:type="character" w:customStyle="1" w:styleId="38">
    <w:name w:val="font91"/>
    <w:qFormat/>
    <w:uiPriority w:val="0"/>
    <w:rPr>
      <w:rFonts w:hint="eastAsia" w:ascii="宋体" w:hAnsi="宋体" w:eastAsia="宋体" w:cs="宋体"/>
      <w:color w:val="FF0000"/>
      <w:sz w:val="21"/>
      <w:szCs w:val="21"/>
      <w:u w:val="single"/>
    </w:rPr>
  </w:style>
  <w:style w:type="character" w:customStyle="1" w:styleId="39">
    <w:name w:val="批注框文本 字符"/>
    <w:link w:val="16"/>
    <w:qFormat/>
    <w:uiPriority w:val="0"/>
    <w:rPr>
      <w:kern w:val="2"/>
      <w:sz w:val="18"/>
      <w:szCs w:val="18"/>
    </w:rPr>
  </w:style>
  <w:style w:type="character" w:customStyle="1" w:styleId="40">
    <w:name w:val="批注文字 字符"/>
    <w:link w:val="9"/>
    <w:qFormat/>
    <w:uiPriority w:val="0"/>
    <w:rPr>
      <w:kern w:val="2"/>
      <w:sz w:val="21"/>
      <w:szCs w:val="24"/>
    </w:rPr>
  </w:style>
  <w:style w:type="paragraph" w:customStyle="1" w:styleId="41">
    <w:name w:val="_Style 2"/>
    <w:basedOn w:val="1"/>
    <w:qFormat/>
    <w:uiPriority w:val="0"/>
    <w:pPr>
      <w:ind w:firstLine="420" w:firstLineChars="200"/>
    </w:pPr>
    <w:rPr>
      <w:sz w:val="18"/>
      <w:szCs w:val="18"/>
    </w:rPr>
  </w:style>
  <w:style w:type="paragraph" w:customStyle="1" w:styleId="42">
    <w:name w:val="正文首行缩进两字符"/>
    <w:basedOn w:val="1"/>
    <w:qFormat/>
    <w:uiPriority w:val="0"/>
    <w:pPr>
      <w:spacing w:line="360" w:lineRule="auto"/>
      <w:ind w:firstLine="200" w:firstLineChars="200"/>
    </w:p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5">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6">
    <w:name w:val="列出段落1"/>
    <w:basedOn w:val="1"/>
    <w:unhideWhenUsed/>
    <w:qFormat/>
    <w:uiPriority w:val="99"/>
    <w:pPr>
      <w:ind w:firstLine="420" w:firstLineChars="200"/>
    </w:pPr>
  </w:style>
  <w:style w:type="character" w:customStyle="1" w:styleId="47">
    <w:name w:val="页脚 字符"/>
    <w:link w:val="17"/>
    <w:qFormat/>
    <w:uiPriority w:val="99"/>
    <w:rPr>
      <w:kern w:val="2"/>
      <w:sz w:val="18"/>
    </w:rPr>
  </w:style>
  <w:style w:type="character" w:customStyle="1" w:styleId="48">
    <w:name w:val="批注文字 Char1"/>
    <w:basedOn w:val="28"/>
    <w:qFormat/>
    <w:uiPriority w:val="0"/>
    <w:rPr>
      <w:rFonts w:ascii="Times New Roman" w:hAnsi="Times New Roman" w:eastAsia="宋体" w:cs="Times New Roman"/>
      <w:szCs w:val="24"/>
    </w:r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0">
    <w:name w:val="正文文本缩进 2 字符"/>
    <w:basedOn w:val="28"/>
    <w:link w:val="2"/>
    <w:qFormat/>
    <w:uiPriority w:val="99"/>
    <w:rPr>
      <w:kern w:val="2"/>
      <w:sz w:val="21"/>
      <w:szCs w:val="24"/>
    </w:rPr>
  </w:style>
  <w:style w:type="character" w:customStyle="1" w:styleId="51">
    <w:name w:val="正文文本 字符"/>
    <w:basedOn w:val="28"/>
    <w:link w:val="10"/>
    <w:semiHidden/>
    <w:qFormat/>
    <w:uiPriority w:val="99"/>
    <w:rPr>
      <w:rFonts w:ascii="Times New Roman" w:hAnsi="Times New Roman"/>
      <w:kern w:val="2"/>
      <w:sz w:val="21"/>
      <w:szCs w:val="24"/>
    </w:rPr>
  </w:style>
  <w:style w:type="paragraph" w:customStyle="1" w:styleId="52">
    <w:name w:val="_Style 45"/>
    <w:basedOn w:val="1"/>
    <w:qFormat/>
    <w:uiPriority w:val="0"/>
    <w:pPr>
      <w:spacing w:after="0" w:line="240" w:lineRule="auto"/>
    </w:pPr>
    <w:rPr>
      <w:rFonts w:ascii="Times New Roman" w:hAnsi="Times New Roman"/>
    </w:rPr>
  </w:style>
  <w:style w:type="paragraph" w:customStyle="1" w:styleId="53">
    <w:name w:val="修订1"/>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111</Pages>
  <Words>6811</Words>
  <Characters>38829</Characters>
  <Lines>323</Lines>
  <Paragraphs>91</Paragraphs>
  <TotalTime>11</TotalTime>
  <ScaleCrop>false</ScaleCrop>
  <LinksUpToDate>false</LinksUpToDate>
  <CharactersWithSpaces>45549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2021-09-08T02:22:00Z</dcterms:created>
  <dc:creator>s</dc:creator>
  <cp:lastModifiedBy>Ding</cp:lastModifiedBy>
  <cp:lastPrinted>2021-09-03T22:10:00Z</cp:lastPrinted>
  <dcterms:modified xsi:type="dcterms:W3CDTF">2021-09-09T00:45:27Z</dcterms:modified>
  <dc:title>招标编号：xxxx [xxxx] xx号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967C7A8D3EE24D63B2E43A7C48C6B676</vt:lpwstr>
  </property>
</Properties>
</file>