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成都市双流区文化馆2022年“成都文化四季风”双流区系列群众文化活动采购项目</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510122202200001</w:t>
      </w:r>
    </w:p>
    <w:p>
      <w:pPr>
        <w:pStyle w:val="2"/>
        <w:rPr>
          <w:color w:val="auto"/>
          <w:highlight w:val="none"/>
        </w:rPr>
      </w:pPr>
      <w:bookmarkStart w:id="381" w:name="_GoBack"/>
      <w:bookmarkEnd w:id="381"/>
    </w:p>
    <w:p>
      <w:pPr>
        <w:pStyle w:val="2"/>
        <w:rPr>
          <w:color w:val="auto"/>
          <w:highlight w:val="none"/>
        </w:rPr>
      </w:pPr>
    </w:p>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成都市双流区文化馆</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二○二二年</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9012"/>
      <w:bookmarkStart w:id="1" w:name="_Toc31916"/>
      <w:bookmarkStart w:id="2" w:name="_Toc9980"/>
      <w:bookmarkStart w:id="3" w:name="_Toc8149"/>
      <w:bookmarkStart w:id="4" w:name="_Toc189"/>
      <w:bookmarkStart w:id="5" w:name="_Toc5515"/>
      <w:bookmarkStart w:id="6" w:name="_Toc779"/>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bookmarkEnd w:id="5"/>
      <w:bookmarkEnd w:id="6"/>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7" w:name="_Toc7842"/>
      <w:bookmarkStart w:id="8" w:name="_Toc7605"/>
      <w:bookmarkStart w:id="9" w:name="_Toc29489"/>
      <w:bookmarkStart w:id="10" w:name="_Toc4549"/>
      <w:bookmarkStart w:id="11" w:name="_Toc17493"/>
      <w:bookmarkStart w:id="12" w:name="_Toc7667"/>
      <w:bookmarkStart w:id="13" w:name="_Toc5797"/>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7"/>
      <w:bookmarkEnd w:id="8"/>
      <w:bookmarkEnd w:id="9"/>
      <w:bookmarkEnd w:id="10"/>
      <w:bookmarkEnd w:id="11"/>
      <w:bookmarkEnd w:id="12"/>
      <w:bookmarkEnd w:id="13"/>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14" w:name="_Toc11470"/>
      <w:bookmarkStart w:id="15" w:name="_Toc26309"/>
      <w:bookmarkStart w:id="16" w:name="_Toc20067"/>
      <w:bookmarkStart w:id="17" w:name="_Toc5414"/>
      <w:bookmarkStart w:id="18" w:name="_Toc3992"/>
      <w:bookmarkStart w:id="19" w:name="_Toc24108"/>
      <w:bookmarkStart w:id="20" w:name="_Toc11945"/>
      <w:r>
        <w:rPr>
          <w:rFonts w:hint="eastAsia" w:ascii="宋体" w:hAnsi="宋体" w:eastAsia="宋体" w:cs="宋体"/>
          <w:b/>
          <w:bCs w:val="0"/>
          <w:color w:val="auto"/>
          <w:sz w:val="32"/>
          <w:szCs w:val="32"/>
          <w:highlight w:val="none"/>
          <w:lang w:eastAsia="zh-CN"/>
        </w:rPr>
        <w:t>“蓉采贷”业务介绍</w:t>
      </w:r>
      <w:bookmarkEnd w:id="14"/>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银行名称</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联系部门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成都银行</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中小企业部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中国建设银行成都第六支行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交通银行四川省分行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中国农业银行成都天府新区分行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四川天府银行成都分行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浦发银行成都分行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上海银行成都分行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成都农村商业银行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中国民生银行成都分行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中国工商银行成都分行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中国邮政储蓄银行成都分行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中国银行四川省分行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招商银行成都分行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广发银行成都分行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东大街支部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重庆银行成都分行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小微企业银行部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渤海银行成都分行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_Toc22045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_Toc22045 \h </w:instrText>
      </w:r>
      <w:r>
        <w:fldChar w:fldCharType="separate"/>
      </w:r>
      <w:r>
        <w:t>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_Toc26042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_Toc26042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_Toc28682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_Toc28682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_Toc9809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_Toc9809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_Toc16841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_Toc16841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_Toc15022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_Toc15022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_Toc7048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_Toc7048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_Toc19978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_Toc19978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_Toc20545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_Toc20545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_Toc29079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_Toc29079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_Toc30221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_Toc30221 \h </w:instrText>
      </w:r>
      <w:r>
        <w:fldChar w:fldCharType="separate"/>
      </w:r>
      <w:r>
        <w:t>12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_Toc19956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_Toc19956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_Toc31319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_Toc31319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_Toc27927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_Toc27927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_Toc12425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highlight w:val="none"/>
        </w:rPr>
        <w:t>签订合同</w:t>
      </w:r>
      <w:r>
        <w:tab/>
      </w:r>
      <w:r>
        <w:fldChar w:fldCharType="begin"/>
      </w:r>
      <w:r>
        <w:instrText xml:space="preserve"> PAGEREF _Toc12425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_Toc18639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_Toc18639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_Toc30491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_Toc30491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_Toc27146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_Toc27146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_Toc11831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_Toc11831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_Toc1913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_Toc1913 \h </w:instrText>
      </w:r>
      <w:r>
        <w:fldChar w:fldCharType="separate"/>
      </w:r>
      <w:r>
        <w:t>24</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_Toc21572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_Toc21572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_Toc18011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3.1 </w:t>
      </w:r>
      <w:r>
        <w:rPr>
          <w:rFonts w:hint="eastAsia" w:ascii="宋体" w:hAnsi="宋体" w:eastAsia="宋体" w:cs="宋体"/>
          <w:szCs w:val="24"/>
          <w:highlight w:val="none"/>
          <w:lang w:val="en-US" w:eastAsia="zh-CN"/>
        </w:rPr>
        <w:t>项目概述</w:t>
      </w:r>
      <w:r>
        <w:tab/>
      </w:r>
      <w:r>
        <w:fldChar w:fldCharType="begin"/>
      </w:r>
      <w:r>
        <w:instrText xml:space="preserve"> PAGEREF _Toc18011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_Toc33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ascii="宋体" w:hAnsi="宋体" w:eastAsia="宋体" w:cs="宋体"/>
          <w:szCs w:val="24"/>
          <w:highlight w:val="none"/>
          <w:lang w:val="en-US" w:eastAsia="zh-CN"/>
        </w:rPr>
        <w:t>服务内容</w:t>
      </w:r>
      <w:r>
        <w:tab/>
      </w:r>
      <w:r>
        <w:fldChar w:fldCharType="begin"/>
      </w:r>
      <w:r>
        <w:instrText xml:space="preserve"> PAGEREF _Toc33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_Toc5730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ascii="宋体" w:hAnsi="宋体" w:eastAsia="宋体" w:cs="宋体"/>
          <w:szCs w:val="24"/>
          <w:highlight w:val="none"/>
          <w:lang w:val="en-US" w:eastAsia="zh-CN"/>
        </w:rPr>
        <w:t>主题要求</w:t>
      </w:r>
      <w:r>
        <w:tab/>
      </w:r>
      <w:r>
        <w:fldChar w:fldCharType="begin"/>
      </w:r>
      <w:r>
        <w:instrText xml:space="preserve"> PAGEREF _Toc5730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_Toc28114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3.4 </w:t>
      </w:r>
      <w:r>
        <w:rPr>
          <w:rFonts w:hint="eastAsia" w:ascii="宋体" w:hAnsi="宋体" w:eastAsia="宋体" w:cs="宋体"/>
          <w:szCs w:val="24"/>
          <w:highlight w:val="none"/>
          <w:lang w:val="en-US" w:eastAsia="zh-CN"/>
        </w:rPr>
        <w:t>内容形式</w:t>
      </w:r>
      <w:r>
        <w:tab/>
      </w:r>
      <w:r>
        <w:fldChar w:fldCharType="begin"/>
      </w:r>
      <w:r>
        <w:instrText xml:space="preserve"> PAGEREF _Toc28114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_Toc10779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3.5 </w:t>
      </w:r>
      <w:r>
        <w:rPr>
          <w:rFonts w:hint="eastAsia" w:ascii="宋体" w:hAnsi="宋体" w:eastAsia="宋体" w:cs="宋体"/>
          <w:szCs w:val="24"/>
          <w:highlight w:val="none"/>
          <w:lang w:val="en-US" w:eastAsia="zh-CN"/>
        </w:rPr>
        <w:t>伴随服务</w:t>
      </w:r>
      <w:r>
        <w:tab/>
      </w:r>
      <w:r>
        <w:fldChar w:fldCharType="begin"/>
      </w:r>
      <w:r>
        <w:instrText xml:space="preserve"> PAGEREF _Toc10779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_Toc14822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3.6 </w:t>
      </w:r>
      <w:r>
        <w:rPr>
          <w:rFonts w:hint="eastAsia" w:ascii="宋体" w:hAnsi="宋体" w:eastAsia="宋体" w:cs="宋体"/>
          <w:szCs w:val="24"/>
          <w:highlight w:val="none"/>
          <w:lang w:val="en-US" w:eastAsia="zh-CN"/>
        </w:rPr>
        <w:t>成果体现</w:t>
      </w:r>
      <w:r>
        <w:tab/>
      </w:r>
      <w:r>
        <w:fldChar w:fldCharType="begin"/>
      </w:r>
      <w:r>
        <w:instrText xml:space="preserve"> PAGEREF _Toc14822 \h </w:instrText>
      </w:r>
      <w:r>
        <w:fldChar w:fldCharType="separate"/>
      </w:r>
      <w:r>
        <w:t>28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_Toc22336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3.7 </w:t>
      </w:r>
      <w:r>
        <w:rPr>
          <w:rFonts w:hint="eastAsia" w:ascii="宋体" w:hAnsi="宋体" w:eastAsia="宋体" w:cs="宋体"/>
          <w:szCs w:val="24"/>
          <w:highlight w:val="none"/>
          <w:lang w:val="en-US" w:eastAsia="zh-CN"/>
        </w:rPr>
        <w:t>商务要求</w:t>
      </w:r>
      <w:r>
        <w:tab/>
      </w:r>
      <w:r>
        <w:fldChar w:fldCharType="begin"/>
      </w:r>
      <w:r>
        <w:instrText xml:space="preserve"> PAGEREF _Toc22336 \h </w:instrText>
      </w:r>
      <w:r>
        <w:fldChar w:fldCharType="separate"/>
      </w:r>
      <w:r>
        <w:t>28</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_Toc2289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_Toc2289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_Toc18132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_Toc18132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_Toc955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_Toc955 \h </w:instrText>
      </w:r>
      <w:r>
        <w:fldChar w:fldCharType="separate"/>
      </w:r>
      <w:r>
        <w:t>42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_Toc23300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_Toc23300 \h </w:instrText>
      </w:r>
      <w:r>
        <w:fldChar w:fldCharType="separate"/>
      </w:r>
      <w:r>
        <w:t>51</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_Toc5663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_Toc5663 \h </w:instrText>
      </w:r>
      <w:r>
        <w:fldChar w:fldCharType="separate"/>
      </w:r>
      <w:r>
        <w:t>52</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r>
        <w:rPr>
          <w:rFonts w:hint="eastAsia"/>
          <w:color w:val="auto"/>
          <w:highlight w:val="none"/>
          <w:lang w:val="en-US" w:eastAsia="zh-CN"/>
        </w:rPr>
        <w:t xml:space="preserve"> </w:t>
      </w:r>
      <w:bookmarkStart w:id="21" w:name="_Toc22045"/>
      <w:r>
        <w:rPr>
          <w:rFonts w:hint="eastAsia"/>
          <w:color w:val="auto"/>
          <w:highlight w:val="none"/>
        </w:rPr>
        <w:t>竞争性磋商邀请</w:t>
      </w:r>
      <w:bookmarkEnd w:id="21"/>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成都市双流区文化馆</w:t>
      </w:r>
      <w:r>
        <w:rPr>
          <w:rFonts w:hint="eastAsia" w:ascii="宋体" w:hAnsi="宋体"/>
          <w:color w:val="auto"/>
          <w:highlight w:val="none"/>
        </w:rPr>
        <w:t>的委托，拟对</w:t>
      </w:r>
      <w:r>
        <w:rPr>
          <w:rFonts w:hint="eastAsia" w:ascii="宋体" w:hAnsi="宋体"/>
          <w:b/>
          <w:color w:val="auto"/>
          <w:highlight w:val="none"/>
          <w:u w:val="single"/>
          <w:lang w:eastAsia="zh-CN"/>
        </w:rPr>
        <w:t>成都市双流区文化馆2022年“成都文化四季风”双流区系列群众文化活动采购项目</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510122202200001</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成都市双流区文化馆2022年“成都文化四季风”双流区系列群众文化活动采购项目</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文化艺术服务</w:t>
      </w:r>
      <w:r>
        <w:rPr>
          <w:rFonts w:hint="eastAsia" w:ascii="宋体" w:hAnsi="宋体"/>
          <w:color w:val="auto"/>
          <w:highlight w:val="none"/>
        </w:rPr>
        <w:t>；预算金额：</w:t>
      </w:r>
      <w:r>
        <w:rPr>
          <w:rFonts w:hint="eastAsia" w:ascii="宋体" w:hAnsi="宋体"/>
          <w:color w:val="auto"/>
          <w:highlight w:val="none"/>
          <w:lang w:val="en-US" w:eastAsia="zh-CN"/>
        </w:rPr>
        <w:t>40万元</w:t>
      </w:r>
      <w:r>
        <w:rPr>
          <w:rFonts w:hint="eastAsia" w:ascii="宋体" w:hAnsi="宋体"/>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1"/>
          <w:numId w:val="7"/>
        </w:numPr>
        <w:tabs>
          <w:tab w:val="left" w:pos="1260"/>
          <w:tab w:val="clear" w:pos="1130"/>
        </w:tabs>
        <w:kinsoku/>
        <w:wordWrap/>
        <w:overflowPunct/>
        <w:topLinePunct w:val="0"/>
        <w:bidi w:val="0"/>
        <w:snapToGrid/>
        <w:spacing w:line="460" w:lineRule="exact"/>
        <w:ind w:left="0" w:firstLine="63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具备《中华人民共和国政府采购法》第二十二条规定的条件：</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1、具有独立承担民事责任的能力；</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2、具有良好的商业信誉和健全的财务会计制度；</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3、具有履行合同所必须的设备和专业技术能力；</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4、具有依法缴纳税收和社会保障资金的良好记录；</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5、参加本次政府采购活动前三年内，在经营活动中没有重大违法记录；</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6、法律、行政法规规定的其他条件。</w:t>
      </w:r>
    </w:p>
    <w:p>
      <w:pPr>
        <w:pStyle w:val="169"/>
        <w:keepNext w:val="0"/>
        <w:keepLines w:val="0"/>
        <w:pageBreakBefore w:val="0"/>
        <w:numPr>
          <w:ilvl w:val="1"/>
          <w:numId w:val="7"/>
        </w:numPr>
        <w:tabs>
          <w:tab w:val="left" w:pos="1260"/>
          <w:tab w:val="clear" w:pos="1130"/>
        </w:tabs>
        <w:kinsoku/>
        <w:wordWrap/>
        <w:overflowPunct/>
        <w:topLinePunct w:val="0"/>
        <w:autoSpaceDE/>
        <w:autoSpaceDN/>
        <w:bidi w:val="0"/>
        <w:adjustRightInd/>
        <w:snapToGrid/>
        <w:spacing w:line="460" w:lineRule="exact"/>
        <w:ind w:left="0" w:firstLine="63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0"/>
        </w:numPr>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yellow"/>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本项目专门面向中小企业采购；（供应商为监狱企业、残疾人福利性单位的视同小型、微型企业）</w:t>
      </w:r>
    </w:p>
    <w:p>
      <w:pPr>
        <w:keepNext w:val="0"/>
        <w:keepLines w:val="0"/>
        <w:pageBreakBefore w:val="0"/>
        <w:numPr>
          <w:ilvl w:val="0"/>
          <w:numId w:val="0"/>
        </w:numPr>
        <w:shd w:val="clear" w:color="auto" w:fill="FFFFFF"/>
        <w:tabs>
          <w:tab w:val="left" w:pos="0"/>
        </w:tabs>
        <w:kinsoku/>
        <w:wordWrap/>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pStyle w:val="169"/>
        <w:keepNext w:val="0"/>
        <w:keepLines w:val="0"/>
        <w:pageBreakBefore w:val="0"/>
        <w:numPr>
          <w:ilvl w:val="0"/>
          <w:numId w:val="0"/>
        </w:numPr>
        <w:tabs>
          <w:tab w:val="left" w:pos="0"/>
          <w:tab w:val="left" w:pos="1260"/>
        </w:tabs>
        <w:kinsoku/>
        <w:wordWrap/>
        <w:overflowPunct/>
        <w:topLinePunct w:val="0"/>
        <w:autoSpaceDE/>
        <w:autoSpaceDN/>
        <w:bidi w:val="0"/>
        <w:adjustRightInd/>
        <w:snapToGrid/>
        <w:spacing w:line="460" w:lineRule="exact"/>
        <w:ind w:left="720" w:leftChars="0"/>
        <w:textAlignment w:val="auto"/>
        <w:rPr>
          <w:rFonts w:hint="eastAsia" w:ascii="宋体" w:hAnsi="宋体" w:eastAsia="宋体" w:cs="宋体"/>
          <w:color w:val="auto"/>
          <w:kern w:val="2"/>
          <w:sz w:val="24"/>
          <w:highlight w:val="none"/>
        </w:rPr>
      </w:pPr>
      <w:r>
        <w:rPr>
          <w:rFonts w:hint="eastAsia" w:ascii="宋体" w:hAnsi="宋体" w:cs="宋体"/>
          <w:color w:val="auto"/>
          <w:kern w:val="2"/>
          <w:sz w:val="24"/>
          <w:highlight w:val="none"/>
          <w:lang w:val="en-US" w:eastAsia="zh-CN"/>
        </w:rPr>
        <w:t>6、</w:t>
      </w:r>
      <w:r>
        <w:rPr>
          <w:rFonts w:hint="eastAsia" w:ascii="宋体" w:hAnsi="宋体" w:eastAsia="宋体" w:cs="宋体"/>
          <w:color w:val="auto"/>
          <w:kern w:val="2"/>
          <w:sz w:val="24"/>
          <w:highlight w:val="none"/>
        </w:rPr>
        <w:t>本项目</w:t>
      </w:r>
      <w:r>
        <w:rPr>
          <w:rFonts w:hint="eastAsia" w:ascii="宋体" w:hAnsi="宋体" w:eastAsia="宋体" w:cs="宋体"/>
          <w:color w:val="auto"/>
          <w:kern w:val="2"/>
          <w:sz w:val="24"/>
          <w:highlight w:val="none"/>
          <w:lang w:val="en-US" w:eastAsia="zh-CN"/>
        </w:rPr>
        <w:t>不</w:t>
      </w:r>
      <w:r>
        <w:rPr>
          <w:rFonts w:hint="eastAsia" w:ascii="宋体" w:hAnsi="宋体" w:eastAsia="宋体" w:cs="宋体"/>
          <w:color w:val="auto"/>
          <w:kern w:val="2"/>
          <w:sz w:val="24"/>
          <w:highlight w:val="none"/>
        </w:rPr>
        <w:t>接受联合体</w:t>
      </w:r>
      <w:r>
        <w:rPr>
          <w:rFonts w:hint="eastAsia" w:ascii="宋体" w:hAnsi="宋体" w:eastAsia="宋体" w:cs="宋体"/>
          <w:color w:val="auto"/>
          <w:kern w:val="2"/>
          <w:sz w:val="24"/>
          <w:highlight w:val="none"/>
          <w:lang w:val="en-US" w:eastAsia="zh-CN"/>
        </w:rPr>
        <w:t>磋商</w:t>
      </w:r>
      <w:r>
        <w:rPr>
          <w:rFonts w:hint="eastAsia" w:ascii="宋体" w:hAnsi="宋体" w:eastAsia="宋体" w:cs="宋体"/>
          <w:color w:val="auto"/>
          <w:kern w:val="2"/>
          <w:sz w:val="24"/>
          <w:highlight w:val="none"/>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24</w:t>
      </w:r>
      <w:r>
        <w:rPr>
          <w:rFonts w:hint="eastAsia" w:ascii="宋体" w:hAnsi="宋体"/>
          <w:color w:val="auto"/>
          <w:highlight w:val="none"/>
        </w:rPr>
        <w:t>日至202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28</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40" w:lineRule="exact"/>
        <w:ind w:firstLine="494"/>
        <w:textAlignment w:val="auto"/>
        <w:rPr>
          <w:rFonts w:hint="eastAsia" w:ascii="宋体" w:hAnsi="宋体"/>
          <w:b/>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w:t>
      </w:r>
      <w:r>
        <w:rPr>
          <w:rFonts w:hint="eastAsia" w:ascii="宋体" w:hAnsi="宋体"/>
          <w:b/>
          <w:color w:val="auto"/>
          <w:highlight w:val="none"/>
        </w:rPr>
        <w:t>供应商从“政府采购云平台”获取磋商文件（网址：https://www.zcygov.cn）。登录政府采购云平台—项目采购—获取磋商文件—申请获取磋商文件。</w:t>
      </w:r>
    </w:p>
    <w:p>
      <w:pPr>
        <w:keepNext w:val="0"/>
        <w:keepLines w:val="0"/>
        <w:pageBreakBefore w:val="0"/>
        <w:numPr>
          <w:ilvl w:val="0"/>
          <w:numId w:val="0"/>
        </w:numPr>
        <w:kinsoku/>
        <w:wordWrap/>
        <w:overflowPunct/>
        <w:topLinePunct w:val="0"/>
        <w:bidi w:val="0"/>
        <w:snapToGrid/>
        <w:spacing w:line="440" w:lineRule="exact"/>
        <w:ind w:firstLine="482" w:firstLineChars="200"/>
        <w:textAlignment w:val="auto"/>
        <w:rPr>
          <w:rFonts w:hint="eastAsia" w:ascii="宋体" w:hAnsi="宋体"/>
          <w:b/>
          <w:color w:val="auto"/>
          <w:highlight w:val="none"/>
        </w:rPr>
      </w:pPr>
      <w:r>
        <w:rPr>
          <w:rFonts w:hint="eastAsia" w:ascii="宋体" w:hAnsi="宋体"/>
          <w:b/>
          <w:color w:val="auto"/>
          <w:highlight w:val="none"/>
        </w:rPr>
        <w:t>提示：（1）本项目磋商文件免费获取。（2）供应商只有在“政府采购云平台”完成获取磋商文件申请并下载磋商文件后才视作依法参与本项目。如未在“政府采购云平台”内完成相关流程，引起的</w:t>
      </w:r>
      <w:r>
        <w:rPr>
          <w:rFonts w:hint="eastAsia" w:ascii="宋体" w:hAnsi="宋体"/>
          <w:b/>
          <w:color w:val="auto"/>
          <w:highlight w:val="none"/>
          <w:lang w:val="en-US" w:eastAsia="zh-CN"/>
        </w:rPr>
        <w:t>磋商</w:t>
      </w:r>
      <w:r>
        <w:rPr>
          <w:rFonts w:hint="eastAsia" w:ascii="宋体" w:hAnsi="宋体"/>
          <w:b/>
          <w:color w:val="auto"/>
          <w:highlight w:val="none"/>
        </w:rPr>
        <w:t>无效责任自负。</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2</w:t>
      </w:r>
      <w:r>
        <w:rPr>
          <w:rFonts w:hint="eastAsia" w:ascii="宋体" w:hAnsi="宋体" w:cs="宋体"/>
          <w:b/>
          <w:color w:val="auto"/>
          <w:highlight w:val="none"/>
        </w:rPr>
        <w:t>年</w:t>
      </w:r>
      <w:r>
        <w:rPr>
          <w:rFonts w:hint="eastAsia" w:ascii="宋体" w:hAnsi="宋体" w:cs="宋体"/>
          <w:b/>
          <w:color w:val="auto"/>
          <w:highlight w:val="none"/>
          <w:lang w:val="en-US" w:eastAsia="zh-CN"/>
        </w:rPr>
        <w:t>2</w:t>
      </w:r>
      <w:r>
        <w:rPr>
          <w:rFonts w:hint="eastAsia" w:ascii="宋体" w:hAnsi="宋体" w:cs="宋体"/>
          <w:b/>
          <w:color w:val="auto"/>
          <w:highlight w:val="none"/>
        </w:rPr>
        <w:t>月</w:t>
      </w:r>
      <w:r>
        <w:rPr>
          <w:rFonts w:hint="eastAsia" w:ascii="宋体" w:hAnsi="宋体" w:cs="宋体"/>
          <w:b/>
          <w:color w:val="auto"/>
          <w:highlight w:val="none"/>
          <w:lang w:val="en-US" w:eastAsia="zh-CN"/>
        </w:rPr>
        <w:t>9</w:t>
      </w:r>
      <w:r>
        <w:rPr>
          <w:rFonts w:hint="eastAsia" w:ascii="宋体" w:hAnsi="宋体" w:cs="宋体"/>
          <w:b/>
          <w:color w:val="auto"/>
          <w:highlight w:val="none"/>
        </w:rPr>
        <w:t>日</w:t>
      </w:r>
      <w:r>
        <w:rPr>
          <w:rFonts w:hint="eastAsia" w:ascii="宋体" w:hAnsi="宋体" w:cs="宋体"/>
          <w:b/>
          <w:color w:val="auto"/>
          <w:highlight w:val="none"/>
          <w:lang w:val="en-US" w:eastAsia="zh-CN"/>
        </w:rPr>
        <w:t>上午</w:t>
      </w:r>
      <w:r>
        <w:rPr>
          <w:rFonts w:hint="eastAsia" w:ascii="宋体" w:hAnsi="宋体" w:cs="宋体"/>
          <w:b/>
          <w:color w:val="auto"/>
          <w:highlight w:val="none"/>
        </w:rPr>
        <w:t>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w:t>
      </w:r>
      <w:r>
        <w:rPr>
          <w:rFonts w:hint="eastAsia" w:ascii="宋体" w:hAnsi="宋体" w:cs="宋体"/>
          <w:color w:val="auto"/>
          <w:highlight w:val="none"/>
          <w:lang w:val="en-US" w:eastAsia="zh-CN"/>
        </w:rPr>
        <w:t>开标室</w:t>
      </w:r>
      <w:r>
        <w:rPr>
          <w:rFonts w:hint="eastAsia" w:ascii="宋体" w:hAnsi="宋体" w:cs="宋体"/>
          <w:color w:val="auto"/>
          <w:highlight w:val="none"/>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pStyle w:val="20"/>
        <w:keepNext w:val="0"/>
        <w:keepLines w:val="0"/>
        <w:pageBreakBefore w:val="0"/>
        <w:kinsoku/>
        <w:wordWrap/>
        <w:overflowPunct/>
        <w:topLinePunct w:val="0"/>
        <w:bidi w:val="0"/>
        <w:snapToGrid/>
        <w:spacing w:line="440" w:lineRule="exact"/>
        <w:textAlignment w:val="auto"/>
        <w:rPr>
          <w:rFonts w:hAnsi="宋体"/>
          <w:sz w:val="24"/>
          <w:highlight w:val="none"/>
          <w:lang w:val="zh-CN"/>
        </w:rPr>
      </w:pPr>
      <w:bookmarkStart w:id="22" w:name="_Toc391885334"/>
      <w:bookmarkStart w:id="23" w:name="_Toc287623638"/>
      <w:bookmarkStart w:id="24" w:name="_Toc381263230"/>
      <w:r>
        <w:rPr>
          <w:rFonts w:hint="eastAsia" w:hAnsi="宋体"/>
          <w:sz w:val="24"/>
          <w:highlight w:val="none"/>
        </w:rPr>
        <w:t>采 购 人：</w:t>
      </w:r>
      <w:r>
        <w:rPr>
          <w:rFonts w:hint="eastAsia" w:hAnsi="宋体"/>
          <w:sz w:val="24"/>
          <w:highlight w:val="none"/>
          <w:lang w:val="zh-CN"/>
        </w:rPr>
        <w:t>成都市双流区文化馆</w:t>
      </w:r>
    </w:p>
    <w:p>
      <w:pPr>
        <w:pStyle w:val="20"/>
        <w:ind w:firstLine="480" w:firstLineChars="200"/>
        <w:jc w:val="left"/>
        <w:rPr>
          <w:rFonts w:hAnsi="宋体" w:cs="宋体"/>
          <w:bCs/>
          <w:color w:val="auto"/>
          <w:sz w:val="24"/>
          <w:highlight w:val="none"/>
        </w:rPr>
      </w:pPr>
      <w:r>
        <w:rPr>
          <w:rFonts w:hint="eastAsia" w:hAnsi="宋体" w:cs="宋体"/>
          <w:bCs/>
          <w:color w:val="auto"/>
          <w:sz w:val="24"/>
          <w:highlight w:val="none"/>
        </w:rPr>
        <w:t>联系人：</w:t>
      </w:r>
      <w:r>
        <w:rPr>
          <w:rFonts w:hint="eastAsia" w:hAnsi="宋体" w:cs="宋体"/>
          <w:bCs/>
          <w:color w:val="auto"/>
          <w:sz w:val="24"/>
          <w:highlight w:val="none"/>
          <w:lang w:val="en-US" w:eastAsia="zh-CN"/>
        </w:rPr>
        <w:t>伍</w:t>
      </w:r>
      <w:r>
        <w:rPr>
          <w:rFonts w:hint="eastAsia" w:hAnsi="宋体" w:cs="宋体"/>
          <w:bCs/>
          <w:color w:val="auto"/>
          <w:sz w:val="24"/>
          <w:highlight w:val="none"/>
        </w:rPr>
        <w:t>老师</w:t>
      </w:r>
    </w:p>
    <w:p>
      <w:pPr>
        <w:pStyle w:val="20"/>
        <w:ind w:firstLine="480" w:firstLineChars="200"/>
        <w:jc w:val="left"/>
        <w:rPr>
          <w:rFonts w:hint="eastAsia" w:hAnsi="宋体" w:eastAsia="宋体" w:cs="宋体"/>
          <w:bCs/>
          <w:color w:val="auto"/>
          <w:sz w:val="24"/>
          <w:highlight w:val="none"/>
          <w:lang w:eastAsia="zh-CN"/>
        </w:rPr>
      </w:pPr>
      <w:r>
        <w:rPr>
          <w:rFonts w:hint="eastAsia" w:hAnsi="宋体" w:cs="宋体"/>
          <w:bCs/>
          <w:color w:val="auto"/>
          <w:sz w:val="24"/>
          <w:highlight w:val="none"/>
        </w:rPr>
        <w:t>联系电话：028-85823635</w:t>
      </w:r>
    </w:p>
    <w:p>
      <w:pPr>
        <w:widowControl w:val="0"/>
        <w:spacing w:line="560" w:lineRule="exact"/>
        <w:ind w:left="480" w:leftChars="200"/>
        <w:jc w:val="both"/>
        <w:rPr>
          <w:rFonts w:hint="eastAsia"/>
          <w:color w:val="auto"/>
          <w:kern w:val="2"/>
          <w:highlight w:val="none"/>
          <w:lang w:eastAsia="zh-CN"/>
        </w:rPr>
      </w:pPr>
      <w:r>
        <w:rPr>
          <w:rFonts w:hint="eastAsia"/>
          <w:color w:val="auto"/>
          <w:kern w:val="2"/>
          <w:highlight w:val="none"/>
          <w:lang w:eastAsia="zh-CN"/>
        </w:rPr>
        <w:t>通讯地址：</w:t>
      </w:r>
      <w:r>
        <w:rPr>
          <w:rFonts w:hint="eastAsia" w:hAnsi="宋体" w:cs="宋体"/>
          <w:bCs/>
          <w:color w:val="auto"/>
          <w:sz w:val="24"/>
          <w:highlight w:val="none"/>
        </w:rPr>
        <w:t>成都市双流区东升街道淳化街93号</w:t>
      </w:r>
      <w:r>
        <w:rPr>
          <w:rFonts w:hint="eastAsia"/>
          <w:color w:val="auto"/>
          <w:kern w:val="2"/>
          <w:highlight w:val="none"/>
          <w:lang w:val="en-US" w:eastAsia="zh-CN"/>
        </w:rPr>
        <w:t xml:space="preserve">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bCs/>
          <w:color w:val="auto"/>
          <w:sz w:val="24"/>
          <w:highlight w:val="none"/>
        </w:rPr>
      </w:pPr>
      <w:r>
        <w:rPr>
          <w:rFonts w:hint="eastAsia" w:hAnsi="宋体" w:cs="宋体"/>
          <w:bCs/>
          <w:color w:val="auto"/>
          <w:sz w:val="24"/>
          <w:highlight w:val="none"/>
        </w:rPr>
        <w:t>地 址：</w:t>
      </w:r>
      <w:r>
        <w:rPr>
          <w:rFonts w:hint="eastAsia" w:hAnsi="宋体"/>
          <w:bCs/>
          <w:color w:val="auto"/>
          <w:sz w:val="24"/>
          <w:highlight w:val="none"/>
        </w:rPr>
        <w:t>高新区天府三街288号大有智慧广场迈普大厦10楼1010室</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keepNext w:val="0"/>
        <w:keepLines w:val="0"/>
        <w:pageBreakBefore w:val="0"/>
        <w:kinsoku/>
        <w:wordWrap/>
        <w:overflowPunct/>
        <w:topLinePunct w:val="0"/>
        <w:bidi w:val="0"/>
        <w:snapToGrid/>
        <w:spacing w:line="440" w:lineRule="exact"/>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 真：028-61032618</w:t>
      </w:r>
    </w:p>
    <w:p>
      <w:pPr>
        <w:pStyle w:val="20"/>
        <w:ind w:firstLine="480" w:firstLineChars="200"/>
        <w:jc w:val="left"/>
        <w:rPr>
          <w:rFonts w:hint="eastAsia" w:hAnsi="宋体" w:cs="宋体"/>
          <w:bCs/>
          <w:color w:val="auto"/>
          <w:sz w:val="24"/>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5" w:name="_Toc26042"/>
      <w:r>
        <w:rPr>
          <w:rFonts w:hint="eastAsia"/>
          <w:color w:val="auto"/>
          <w:highlight w:val="none"/>
        </w:rPr>
        <w:t>磋商供应商须知</w:t>
      </w:r>
      <w:bookmarkEnd w:id="22"/>
      <w:bookmarkEnd w:id="25"/>
    </w:p>
    <w:p>
      <w:pPr>
        <w:pStyle w:val="4"/>
        <w:rPr>
          <w:color w:val="auto"/>
          <w:highlight w:val="none"/>
        </w:rPr>
      </w:pPr>
      <w:bookmarkStart w:id="26" w:name="_Toc28682"/>
      <w:r>
        <w:rPr>
          <w:rFonts w:hint="eastAsia"/>
          <w:color w:val="auto"/>
          <w:highlight w:val="none"/>
        </w:rPr>
        <w:t>磋商供应商须知附表</w:t>
      </w:r>
      <w:bookmarkEnd w:id="26"/>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60"/>
        <w:gridCol w:w="1710"/>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960"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序号</w:t>
            </w:r>
          </w:p>
        </w:tc>
        <w:tc>
          <w:tcPr>
            <w:tcW w:w="1710"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40万元</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60" w:type="dxa"/>
            <w:vAlign w:val="center"/>
          </w:tcPr>
          <w:p>
            <w:pPr>
              <w:numPr>
                <w:ilvl w:val="0"/>
                <w:numId w:val="8"/>
              </w:numPr>
              <w:spacing w:line="360" w:lineRule="exact"/>
              <w:jc w:val="center"/>
              <w:rPr>
                <w:rFonts w:ascii="宋体" w:hAnsi="宋体" w:cs="宋体"/>
                <w:color w:val="auto"/>
                <w:highlight w:val="none"/>
              </w:rPr>
            </w:pPr>
          </w:p>
        </w:tc>
        <w:tc>
          <w:tcPr>
            <w:tcW w:w="1710"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shd w:val="clear" w:color="auto" w:fill="auto"/>
            <w:vAlign w:val="center"/>
          </w:tcPr>
          <w:p>
            <w:pPr>
              <w:pStyle w:val="123"/>
              <w:spacing w:line="380" w:lineRule="exact"/>
              <w:jc w:val="center"/>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w:t>
            </w:r>
            <w:r>
              <w:rPr>
                <w:rFonts w:hint="eastAsia" w:ascii="宋体" w:hAnsi="宋体" w:eastAsia="宋体" w:cs="宋体"/>
                <w:b w:val="0"/>
                <w:bCs/>
                <w:color w:val="auto"/>
                <w:sz w:val="24"/>
                <w:szCs w:val="24"/>
                <w:highlight w:val="none"/>
                <w:lang w:eastAsia="zh-CN"/>
              </w:rPr>
              <w:t>〔20</w:t>
            </w:r>
            <w:r>
              <w:rPr>
                <w:rFonts w:hint="eastAsia"/>
                <w:color w:val="auto"/>
                <w:highlight w:val="none"/>
                <w:lang w:val="en-US" w:eastAsia="zh-CN"/>
              </w:rPr>
              <w:t>19〕405号）、《关于对政府采购领域严重违法失信主体开展联合惩戒的合作备案录》（发改财金</w:t>
            </w:r>
            <w:r>
              <w:rPr>
                <w:rFonts w:hint="eastAsia" w:ascii="宋体" w:hAnsi="宋体" w:eastAsia="宋体" w:cs="宋体"/>
                <w:b w:val="0"/>
                <w:bCs/>
                <w:color w:val="auto"/>
                <w:sz w:val="24"/>
                <w:szCs w:val="24"/>
                <w:highlight w:val="none"/>
                <w:lang w:eastAsia="zh-CN"/>
              </w:rPr>
              <w:t>〔201</w:t>
            </w:r>
            <w:r>
              <w:rPr>
                <w:rFonts w:hint="eastAsia" w:ascii="宋体" w:hAnsi="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lang w:eastAsia="zh-CN"/>
              </w:rPr>
              <w:t>〕</w:t>
            </w:r>
            <w:r>
              <w:rPr>
                <w:rFonts w:hint="eastAsia"/>
                <w:color w:val="auto"/>
                <w:highlight w:val="none"/>
                <w:lang w:val="en-US" w:eastAsia="zh-CN"/>
              </w:rPr>
              <w:t>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32"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pStyle w:val="123"/>
              <w:spacing w:line="380" w:lineRule="exact"/>
              <w:jc w:val="center"/>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80" w:lineRule="exact"/>
              <w:jc w:val="center"/>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80" w:lineRule="exact"/>
              <w:jc w:val="center"/>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777"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tcPr>
          <w:p>
            <w:pPr>
              <w:pStyle w:val="123"/>
              <w:spacing w:line="380" w:lineRule="exact"/>
              <w:jc w:val="center"/>
              <w:rPr>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rFonts w:hint="eastAsia"/>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9"/>
              </w:numPr>
              <w:spacing w:line="380" w:lineRule="exact"/>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9"/>
              </w:numPr>
              <w:spacing w:line="380" w:lineRule="exact"/>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80" w:lineRule="exact"/>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43"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双流区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85804726。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rPr>
                <w:color w:val="auto"/>
                <w:highlight w:val="none"/>
              </w:rPr>
            </w:pPr>
            <w:r>
              <w:rPr>
                <w:rFonts w:hint="eastAsia"/>
                <w:color w:val="auto"/>
                <w:highlight w:val="none"/>
              </w:rPr>
              <w:t>（1）资格性响应文件正本1份，副本2份；</w:t>
            </w:r>
          </w:p>
          <w:p>
            <w:pPr>
              <w:spacing w:line="360" w:lineRule="exact"/>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295" w:hRule="exac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pStyle w:val="123"/>
              <w:keepNext w:val="0"/>
              <w:keepLines w:val="0"/>
              <w:pageBreakBefore w:val="0"/>
              <w:kinsoku/>
              <w:wordWrap/>
              <w:overflowPunct/>
              <w:topLinePunct w:val="0"/>
              <w:bidi w:val="0"/>
              <w:snapToGrid/>
              <w:spacing w:line="360" w:lineRule="auto"/>
              <w:ind w:left="0" w:leftChars="0" w:right="0" w:rightChars="0" w:firstLine="0" w:firstLineChars="0"/>
              <w:jc w:val="center"/>
              <w:textAlignment w:val="auto"/>
              <w:rPr>
                <w:rFonts w:hint="eastAsia" w:ascii="宋体" w:hAnsi="宋体" w:cs="宋体"/>
                <w:color w:val="auto"/>
                <w:highlight w:val="none"/>
              </w:rPr>
            </w:pPr>
            <w:r>
              <w:rPr>
                <w:rFonts w:hint="eastAsia"/>
                <w:highlight w:val="none"/>
                <w:lang w:val="zh-CN"/>
              </w:rPr>
              <w:t>国家规定的优先、强制采购范围</w:t>
            </w:r>
          </w:p>
        </w:tc>
        <w:tc>
          <w:tcPr>
            <w:tcW w:w="7063" w:type="dxa"/>
            <w:vAlign w:val="center"/>
          </w:tcPr>
          <w:p>
            <w:pPr>
              <w:pStyle w:val="123"/>
              <w:keepNext w:val="0"/>
              <w:keepLines w:val="0"/>
              <w:pageBreakBefore w:val="0"/>
              <w:kinsoku/>
              <w:wordWrap/>
              <w:overflowPunct/>
              <w:topLinePunct w:val="0"/>
              <w:bidi w:val="0"/>
              <w:snapToGrid/>
              <w:spacing w:line="360" w:lineRule="auto"/>
              <w:ind w:left="0" w:leftChars="0" w:right="0" w:rightChars="0" w:firstLine="0" w:firstLineChars="0"/>
              <w:jc w:val="left"/>
              <w:textAlignment w:val="auto"/>
              <w:rPr>
                <w:rFonts w:hint="eastAsia"/>
                <w:color w:val="auto"/>
                <w:highlight w:val="none"/>
              </w:rPr>
            </w:pPr>
            <w:r>
              <w:rPr>
                <w:rFonts w:hint="eastAsia"/>
                <w:highlight w:val="none"/>
                <w:lang w:val="zh-CN"/>
              </w:rPr>
              <w:t>本项目采购需求中涉及国家规定的强制采购范围内产品，均应按照国家相关要求进行审核。不管磋商文件是否要求，供应商必须提供相关证明材料；若未提供，供应商自行承担由此带来的后果，其响应文件作无效响应处理。优先采购范围内的产品按采购文件约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050" w:hRule="atLeas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5"/>
              <w:rPr>
                <w:rFonts w:ascii="宋体" w:hAnsi="宋体" w:cs="宋体"/>
                <w:color w:val="auto"/>
                <w:highlight w:val="none"/>
                <w:lang w:val="zh-CN"/>
              </w:rPr>
            </w:pPr>
            <w:r>
              <w:rPr>
                <w:rFonts w:hint="eastAsia" w:ascii="Times New Roman" w:hAnsi="宋体" w:cs="宋体"/>
                <w:color w:val="auto"/>
                <w:highlight w:val="none"/>
                <w:lang w:val="zh-CN"/>
              </w:rPr>
              <w:t>代理服务费</w:t>
            </w:r>
            <w:r>
              <w:rPr>
                <w:rFonts w:hint="eastAsia" w:ascii="Times New Roman" w:hAnsi="宋体" w:cs="宋体"/>
                <w:color w:val="auto"/>
                <w:highlight w:val="none"/>
                <w:lang w:val="en-US" w:eastAsia="zh-CN"/>
              </w:rPr>
              <w:t>参照</w:t>
            </w:r>
            <w:r>
              <w:rPr>
                <w:rFonts w:hint="eastAsia" w:ascii="Times New Roman" w:hAnsi="宋体" w:cs="宋体"/>
                <w:color w:val="auto"/>
                <w:highlight w:val="none"/>
                <w:lang w:val="zh-CN"/>
              </w:rPr>
              <w:t>国家计委《招标代理服务收费管理暂行办法》（计价格[2002]1980号）标准</w:t>
            </w:r>
            <w:r>
              <w:rPr>
                <w:rFonts w:hint="eastAsia" w:ascii="Times New Roman" w:hAnsi="宋体" w:cs="宋体"/>
                <w:color w:val="auto"/>
                <w:highlight w:val="none"/>
                <w:lang w:val="en-US" w:eastAsia="zh-CN"/>
              </w:rPr>
              <w:t>收取</w:t>
            </w:r>
            <w:r>
              <w:rPr>
                <w:rFonts w:hint="eastAsia" w:ascii="宋体" w:hAnsi="宋体" w:cs="宋体"/>
                <w:color w:val="auto"/>
                <w:highlight w:val="none"/>
                <w:lang w:val="zh-CN"/>
              </w:rPr>
              <w:t>，由</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w:t>
            </w:r>
            <w:r>
              <w:rPr>
                <w:rFonts w:hint="eastAsia" w:ascii="宋体" w:hAnsi="宋体" w:cs="宋体"/>
                <w:color w:val="auto"/>
                <w:highlight w:val="none"/>
                <w:lang w:val="en-US" w:eastAsia="zh-CN"/>
              </w:rPr>
              <w:t>账号</w:t>
            </w:r>
            <w:r>
              <w:rPr>
                <w:rFonts w:hint="eastAsia" w:ascii="宋体" w:hAnsi="宋体" w:cs="宋体"/>
                <w:color w:val="auto"/>
                <w:highlight w:val="none"/>
                <w:lang w:val="zh-CN"/>
              </w:rPr>
              <w:t>：</w:t>
            </w:r>
            <w:r>
              <w:rPr>
                <w:rFonts w:hint="eastAsia" w:ascii="宋体" w:hAnsi="宋体" w:cs="宋体"/>
                <w:color w:val="auto"/>
                <w:highlight w:val="none"/>
                <w:u w:val="single"/>
                <w:lang w:val="zh-CN"/>
              </w:rPr>
              <w:t>5100 1527 9080 5152 8329</w:t>
            </w:r>
          </w:p>
          <w:p>
            <w:pPr>
              <w:spacing w:line="360" w:lineRule="exact"/>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510122202200001</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555" w:hRule="atLeast"/>
          <w:jc w:val="center"/>
        </w:trPr>
        <w:tc>
          <w:tcPr>
            <w:tcW w:w="960" w:type="dxa"/>
            <w:vAlign w:val="center"/>
          </w:tcPr>
          <w:p>
            <w:pPr>
              <w:numPr>
                <w:ilvl w:val="0"/>
                <w:numId w:val="8"/>
              </w:numPr>
              <w:spacing w:line="360" w:lineRule="exact"/>
              <w:ind w:right="62" w:rightChars="26"/>
              <w:jc w:val="center"/>
              <w:rPr>
                <w:rFonts w:ascii="宋体" w:hAnsi="宋体" w:cs="宋体"/>
                <w:color w:val="auto"/>
                <w:highlight w:val="none"/>
              </w:rPr>
            </w:pPr>
          </w:p>
        </w:tc>
        <w:tc>
          <w:tcPr>
            <w:tcW w:w="1710" w:type="dxa"/>
            <w:vAlign w:val="center"/>
          </w:tcPr>
          <w:p>
            <w:pPr>
              <w:spacing w:line="360" w:lineRule="exact"/>
              <w:jc w:val="center"/>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outlineLvl w:val="5"/>
              <w:rPr>
                <w:rFonts w:ascii="宋体" w:hAnsi="宋体" w:cs="宋体"/>
                <w:color w:val="auto"/>
                <w:highlight w:val="none"/>
                <w:lang w:val="zh-CN"/>
              </w:rPr>
            </w:pPr>
            <w:r>
              <w:rPr>
                <w:rFonts w:hint="eastAsia" w:ascii="宋体" w:hAnsi="宋体" w:cs="宋体"/>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号）等有关规定，上述文件请在四川政府采购网查询。双流区银行机构名单如下：</w:t>
            </w:r>
            <w:r>
              <w:rPr>
                <w:rFonts w:hint="eastAsia" w:ascii="宋体" w:hAnsi="宋体" w:cs="宋体"/>
                <w:szCs w:val="32"/>
                <w:highlight w:val="none"/>
                <w:lang w:val="en-US" w:eastAsia="zh-CN"/>
              </w:rPr>
              <w:t>①</w:t>
            </w:r>
            <w:r>
              <w:rPr>
                <w:rFonts w:hint="eastAsia" w:ascii="宋体" w:hAnsi="宋体" w:cs="宋体"/>
                <w:szCs w:val="32"/>
                <w:highlight w:val="none"/>
              </w:rPr>
              <w:t>成都银行双流支行</w:t>
            </w:r>
            <w:r>
              <w:rPr>
                <w:rFonts w:hint="eastAsia" w:ascii="宋体" w:hAnsi="宋体" w:cs="宋体"/>
                <w:szCs w:val="32"/>
                <w:highlight w:val="none"/>
                <w:lang w:eastAsia="zh-CN"/>
              </w:rPr>
              <w:t>、</w:t>
            </w:r>
            <w:r>
              <w:rPr>
                <w:rFonts w:hint="eastAsia" w:ascii="宋体" w:hAnsi="宋体" w:cs="宋体"/>
                <w:szCs w:val="32"/>
                <w:highlight w:val="none"/>
                <w:lang w:val="en-US" w:eastAsia="zh-CN"/>
              </w:rPr>
              <w:t>②</w:t>
            </w:r>
            <w:r>
              <w:rPr>
                <w:rFonts w:hint="eastAsia" w:ascii="宋体" w:hAnsi="宋体" w:cs="宋体"/>
                <w:szCs w:val="32"/>
                <w:highlight w:val="none"/>
              </w:rPr>
              <w:t>中国建设银行双流分行</w:t>
            </w:r>
            <w:r>
              <w:rPr>
                <w:rFonts w:hint="eastAsia" w:ascii="宋体" w:hAnsi="宋体" w:cs="宋体"/>
                <w:szCs w:val="32"/>
                <w:highlight w:val="none"/>
                <w:lang w:eastAsia="zh-CN"/>
              </w:rPr>
              <w:t>、</w:t>
            </w:r>
            <w:r>
              <w:rPr>
                <w:rFonts w:hint="eastAsia" w:ascii="宋体" w:hAnsi="宋体" w:cs="宋体"/>
                <w:szCs w:val="32"/>
                <w:highlight w:val="none"/>
                <w:lang w:val="en-US" w:eastAsia="zh-CN"/>
              </w:rPr>
              <w:t>③</w:t>
            </w:r>
            <w:r>
              <w:rPr>
                <w:rFonts w:hint="eastAsia" w:ascii="宋体" w:hAnsi="宋体" w:cs="宋体"/>
                <w:szCs w:val="32"/>
                <w:highlight w:val="none"/>
              </w:rPr>
              <w:t>交通银行双流分行</w:t>
            </w:r>
            <w:r>
              <w:rPr>
                <w:rFonts w:hint="eastAsia" w:ascii="宋体" w:hAnsi="宋体" w:cs="宋体"/>
                <w:szCs w:val="32"/>
                <w:highlight w:val="none"/>
                <w:lang w:eastAsia="zh-CN"/>
              </w:rPr>
              <w:t>、</w:t>
            </w:r>
            <w:r>
              <w:rPr>
                <w:rFonts w:hint="eastAsia" w:ascii="宋体" w:hAnsi="宋体" w:cs="宋体"/>
                <w:szCs w:val="32"/>
                <w:highlight w:val="none"/>
                <w:lang w:val="en-US" w:eastAsia="zh-CN"/>
              </w:rPr>
              <w:t>④</w:t>
            </w:r>
            <w:r>
              <w:rPr>
                <w:rFonts w:hint="eastAsia" w:ascii="宋体" w:hAnsi="宋体" w:cs="宋体"/>
                <w:szCs w:val="32"/>
                <w:highlight w:val="none"/>
              </w:rPr>
              <w:t>中国农业银行双流支行</w:t>
            </w:r>
            <w:r>
              <w:rPr>
                <w:rFonts w:hint="eastAsia" w:ascii="宋体" w:hAnsi="宋体" w:cs="宋体"/>
                <w:szCs w:val="32"/>
                <w:highlight w:val="none"/>
                <w:lang w:eastAsia="zh-CN"/>
              </w:rPr>
              <w:t>、</w:t>
            </w:r>
            <w:r>
              <w:rPr>
                <w:rFonts w:hint="eastAsia" w:ascii="宋体" w:hAnsi="宋体" w:cs="宋体"/>
                <w:szCs w:val="32"/>
                <w:highlight w:val="none"/>
                <w:lang w:val="en-US" w:eastAsia="zh-CN"/>
              </w:rPr>
              <w:t>⑤</w:t>
            </w:r>
            <w:r>
              <w:rPr>
                <w:rFonts w:hint="eastAsia" w:ascii="宋体" w:hAnsi="宋体" w:cs="宋体"/>
                <w:szCs w:val="32"/>
                <w:highlight w:val="none"/>
              </w:rPr>
              <w:t>成都农商银行双流支行</w:t>
            </w:r>
            <w:r>
              <w:rPr>
                <w:rFonts w:hint="eastAsia" w:ascii="宋体" w:hAnsi="宋体" w:cs="宋体"/>
                <w:szCs w:val="32"/>
                <w:highlight w:val="none"/>
                <w:lang w:eastAsia="zh-CN"/>
              </w:rPr>
              <w:t>、</w:t>
            </w:r>
            <w:r>
              <w:rPr>
                <w:rFonts w:hint="eastAsia" w:ascii="宋体" w:hAnsi="宋体" w:cs="宋体"/>
                <w:szCs w:val="32"/>
                <w:highlight w:val="none"/>
                <w:lang w:val="en-US" w:eastAsia="zh-CN"/>
              </w:rPr>
              <w:t>⑥</w:t>
            </w:r>
            <w:r>
              <w:rPr>
                <w:rFonts w:hint="eastAsia" w:ascii="宋体" w:hAnsi="宋体" w:cs="宋体"/>
                <w:szCs w:val="32"/>
                <w:highlight w:val="none"/>
              </w:rPr>
              <w:t>中国银行双流分行</w:t>
            </w:r>
            <w:r>
              <w:rPr>
                <w:rFonts w:hint="eastAsia" w:ascii="宋体" w:hAnsi="宋体" w:cs="宋体"/>
                <w:szCs w:val="32"/>
                <w:highlight w:val="none"/>
                <w:lang w:eastAsia="zh-CN"/>
              </w:rPr>
              <w:t>、</w:t>
            </w:r>
            <w:r>
              <w:rPr>
                <w:rFonts w:hint="eastAsia" w:ascii="宋体" w:hAnsi="宋体" w:cs="宋体"/>
                <w:szCs w:val="32"/>
                <w:highlight w:val="none"/>
                <w:lang w:val="en-US" w:eastAsia="zh-CN"/>
              </w:rPr>
              <w:t>⑦</w:t>
            </w:r>
            <w:r>
              <w:rPr>
                <w:rFonts w:hint="eastAsia" w:ascii="宋体" w:hAnsi="宋体" w:cs="宋体"/>
                <w:szCs w:val="32"/>
                <w:highlight w:val="none"/>
              </w:rPr>
              <w:t>上海银行成都双流支行</w:t>
            </w:r>
            <w:r>
              <w:rPr>
                <w:rFonts w:hint="eastAsia" w:ascii="宋体" w:hAnsi="宋体" w:cs="宋体"/>
                <w:szCs w:val="32"/>
                <w:highlight w:val="none"/>
                <w:lang w:eastAsia="zh-CN"/>
              </w:rPr>
              <w:t>、</w:t>
            </w:r>
            <w:r>
              <w:rPr>
                <w:rFonts w:hint="eastAsia" w:ascii="宋体" w:hAnsi="宋体" w:cs="宋体"/>
                <w:szCs w:val="32"/>
                <w:highlight w:val="none"/>
                <w:lang w:val="en-US" w:eastAsia="zh-CN"/>
              </w:rPr>
              <w:t>⑧</w:t>
            </w:r>
            <w:r>
              <w:rPr>
                <w:rFonts w:hint="eastAsia" w:ascii="宋体" w:hAnsi="宋体" w:cs="宋体"/>
                <w:szCs w:val="32"/>
                <w:highlight w:val="none"/>
              </w:rPr>
              <w:t>浙商银行成都双流支行</w:t>
            </w:r>
            <w:r>
              <w:rPr>
                <w:rFonts w:hint="eastAsia" w:ascii="宋体" w:hAnsi="宋体" w:cs="宋体"/>
                <w:szCs w:val="32"/>
                <w:highlight w:val="none"/>
                <w:lang w:eastAsia="zh-CN"/>
              </w:rPr>
              <w:t>、</w:t>
            </w:r>
            <w:r>
              <w:rPr>
                <w:rFonts w:hint="eastAsia" w:ascii="宋体" w:hAnsi="宋体" w:cs="宋体"/>
                <w:szCs w:val="32"/>
                <w:highlight w:val="none"/>
                <w:lang w:val="en-US" w:eastAsia="zh-CN"/>
              </w:rPr>
              <w:t>⑨</w:t>
            </w:r>
            <w:r>
              <w:rPr>
                <w:rFonts w:hint="eastAsia" w:ascii="宋体" w:hAnsi="宋体" w:cs="宋体"/>
                <w:szCs w:val="32"/>
                <w:highlight w:val="none"/>
              </w:rPr>
              <w:t>中国工商银行成都双流支行</w:t>
            </w:r>
            <w:r>
              <w:rPr>
                <w:rFonts w:hint="eastAsia" w:ascii="宋体" w:hAnsi="宋体" w:cs="宋体"/>
                <w:szCs w:val="32"/>
                <w:highlight w:val="none"/>
                <w:lang w:eastAsia="zh-CN"/>
              </w:rPr>
              <w:t>、</w:t>
            </w:r>
            <w:r>
              <w:rPr>
                <w:rFonts w:hint="eastAsia" w:ascii="宋体" w:hAnsi="宋体" w:cs="宋体"/>
                <w:szCs w:val="32"/>
                <w:highlight w:val="none"/>
                <w:lang w:val="en-US" w:eastAsia="zh-CN"/>
              </w:rPr>
              <w:t>⑩</w:t>
            </w:r>
            <w:r>
              <w:rPr>
                <w:rFonts w:hint="eastAsia" w:ascii="宋体" w:hAnsi="宋体" w:cs="宋体"/>
                <w:szCs w:val="32"/>
                <w:highlight w:val="none"/>
              </w:rPr>
              <w:t>中国邮政储蓄银行成都双流支行。</w:t>
            </w:r>
          </w:p>
        </w:tc>
      </w:tr>
    </w:tbl>
    <w:p>
      <w:pPr>
        <w:pStyle w:val="4"/>
        <w:rPr>
          <w:color w:val="auto"/>
          <w:sz w:val="24"/>
          <w:szCs w:val="24"/>
          <w:highlight w:val="none"/>
        </w:rPr>
      </w:pPr>
      <w:bookmarkStart w:id="27" w:name="_Toc9809"/>
      <w:r>
        <w:rPr>
          <w:rFonts w:hint="eastAsia"/>
          <w:color w:val="auto"/>
          <w:sz w:val="24"/>
          <w:szCs w:val="24"/>
          <w:highlight w:val="none"/>
        </w:rPr>
        <w:t>适用范围</w:t>
      </w:r>
      <w:bookmarkEnd w:id="23"/>
      <w:bookmarkEnd w:id="24"/>
      <w:bookmarkEnd w:id="27"/>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28" w:name="_Toc287623639"/>
      <w:bookmarkStart w:id="29" w:name="_Toc16841"/>
      <w:r>
        <w:rPr>
          <w:rFonts w:hint="eastAsia"/>
          <w:color w:val="auto"/>
          <w:sz w:val="24"/>
          <w:szCs w:val="24"/>
          <w:highlight w:val="none"/>
        </w:rPr>
        <w:t>定义</w:t>
      </w:r>
      <w:bookmarkEnd w:id="28"/>
      <w:bookmarkEnd w:id="29"/>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成都市双流区文化馆</w:t>
      </w:r>
      <w:r>
        <w:rPr>
          <w:rFonts w:hint="eastAsia" w:ascii="宋体" w:hAnsi="宋体" w:cs="宋体"/>
          <w:color w:val="auto"/>
          <w:highlight w:val="none"/>
        </w:rPr>
        <w:t>。</w:t>
      </w:r>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0"/>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30" w:name="_Toc15022"/>
      <w:r>
        <w:rPr>
          <w:rFonts w:hint="eastAsia"/>
          <w:color w:val="auto"/>
          <w:sz w:val="24"/>
          <w:szCs w:val="24"/>
          <w:highlight w:val="none"/>
        </w:rPr>
        <w:t>合格供应商的条件（实质性要求）</w:t>
      </w:r>
      <w:bookmarkEnd w:id="30"/>
    </w:p>
    <w:p>
      <w:pPr>
        <w:numPr>
          <w:ilvl w:val="0"/>
          <w:numId w:val="11"/>
        </w:numPr>
        <w:spacing w:line="360" w:lineRule="auto"/>
        <w:ind w:firstLine="480" w:firstLineChars="200"/>
        <w:rPr>
          <w:rFonts w:ascii="宋体" w:hAnsi="宋体" w:cs="宋体"/>
          <w:color w:val="auto"/>
          <w:sz w:val="24"/>
          <w:szCs w:val="24"/>
          <w:highlight w:val="none"/>
        </w:rPr>
      </w:pPr>
      <w:bookmarkStart w:id="31" w:name="_Toc320698717"/>
      <w:r>
        <w:rPr>
          <w:rFonts w:hint="eastAsia" w:ascii="宋体" w:hAnsi="宋体" w:cs="宋体"/>
          <w:color w:val="auto"/>
          <w:sz w:val="24"/>
          <w:szCs w:val="24"/>
          <w:highlight w:val="none"/>
        </w:rPr>
        <w:t>本竞争性磋商文件规定的供应商资格条件；</w:t>
      </w:r>
    </w:p>
    <w:p>
      <w:pPr>
        <w:numPr>
          <w:ilvl w:val="0"/>
          <w:numId w:val="1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向采购代理机构购买了竞争性磋商文件并登记备案；（由</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代理机构向磋商小组提供供应商购买磋商文件情况表）</w:t>
      </w:r>
    </w:p>
    <w:p>
      <w:pPr>
        <w:numPr>
          <w:ilvl w:val="0"/>
          <w:numId w:val="1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32" w:name="_Toc7048"/>
      <w:r>
        <w:rPr>
          <w:rFonts w:hint="eastAsia"/>
          <w:color w:val="auto"/>
          <w:sz w:val="24"/>
          <w:szCs w:val="24"/>
          <w:highlight w:val="none"/>
        </w:rPr>
        <w:t>拒绝参加本次采购活动的供应商</w:t>
      </w:r>
      <w:bookmarkEnd w:id="32"/>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31"/>
    <w:p>
      <w:pPr>
        <w:pStyle w:val="4"/>
        <w:rPr>
          <w:color w:val="auto"/>
          <w:highlight w:val="none"/>
        </w:rPr>
      </w:pPr>
      <w:bookmarkStart w:id="33" w:name="_Toc19978"/>
      <w:bookmarkStart w:id="34" w:name="_Toc287623640"/>
      <w:r>
        <w:rPr>
          <w:rFonts w:hint="eastAsia"/>
          <w:color w:val="auto"/>
          <w:highlight w:val="none"/>
        </w:rPr>
        <w:t>充分、公平竞争保障措施（实质性要求）</w:t>
      </w:r>
      <w:bookmarkEnd w:id="33"/>
    </w:p>
    <w:p>
      <w:pPr>
        <w:numPr>
          <w:ilvl w:val="0"/>
          <w:numId w:val="12"/>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2"/>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2"/>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2"/>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2家以上的供应商不得在同一合同项下的采购项目中，同时委托同一个自然人、同一家庭的人员、同一单位的人员作为其代理人，否则，其响应文件作为无效处理。</w:t>
      </w:r>
    </w:p>
    <w:p>
      <w:pPr>
        <w:pStyle w:val="4"/>
        <w:rPr>
          <w:color w:val="auto"/>
          <w:highlight w:val="none"/>
        </w:rPr>
      </w:pPr>
      <w:bookmarkStart w:id="35" w:name="_Toc20545"/>
      <w:r>
        <w:rPr>
          <w:rFonts w:hint="eastAsia"/>
          <w:color w:val="auto"/>
          <w:highlight w:val="none"/>
        </w:rPr>
        <w:t>竞争性磋商采购费用</w:t>
      </w:r>
      <w:bookmarkEnd w:id="34"/>
      <w:bookmarkEnd w:id="35"/>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36" w:name="_Toc320698720"/>
      <w:bookmarkStart w:id="37" w:name="_Toc29079"/>
      <w:r>
        <w:rPr>
          <w:rFonts w:hint="eastAsia"/>
          <w:color w:val="auto"/>
          <w:highlight w:val="none"/>
        </w:rPr>
        <w:t>响应文件</w:t>
      </w:r>
      <w:bookmarkEnd w:id="36"/>
      <w:bookmarkEnd w:id="37"/>
    </w:p>
    <w:p>
      <w:pPr>
        <w:pStyle w:val="5"/>
        <w:ind w:left="80" w:leftChars="0" w:firstLine="482" w:firstLineChars="0"/>
        <w:rPr>
          <w:rFonts w:cs="宋体"/>
          <w:color w:val="auto"/>
          <w:szCs w:val="24"/>
          <w:highlight w:val="none"/>
        </w:rPr>
      </w:pPr>
      <w:bookmarkStart w:id="38" w:name="_Toc320698721"/>
      <w:r>
        <w:rPr>
          <w:rFonts w:hint="eastAsia" w:cs="宋体"/>
          <w:color w:val="auto"/>
          <w:szCs w:val="24"/>
          <w:highlight w:val="none"/>
        </w:rPr>
        <w:t>响应文件的语言</w:t>
      </w:r>
      <w:bookmarkEnd w:id="38"/>
      <w:r>
        <w:rPr>
          <w:rFonts w:hint="eastAsia" w:cs="宋体"/>
          <w:color w:val="auto"/>
          <w:szCs w:val="24"/>
          <w:highlight w:val="none"/>
        </w:rPr>
        <w:t>、计量单位</w:t>
      </w:r>
      <w:r>
        <w:rPr>
          <w:rFonts w:hint="eastAsia"/>
          <w:color w:val="auto"/>
          <w:highlight w:val="none"/>
        </w:rPr>
        <w:t>（实质性要求）</w:t>
      </w:r>
    </w:p>
    <w:p>
      <w:pPr>
        <w:widowControl w:val="0"/>
        <w:numPr>
          <w:ilvl w:val="0"/>
          <w:numId w:val="1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r>
        <w:rPr>
          <w:rFonts w:hint="eastAsia" w:ascii="宋体" w:hAnsi="宋体" w:cs="宋体"/>
          <w:color w:val="auto"/>
          <w:highlight w:val="none"/>
          <w:lang w:eastAsia="zh-CN"/>
        </w:rPr>
        <w:t>）</w:t>
      </w:r>
      <w:r>
        <w:rPr>
          <w:rFonts w:hint="eastAsia" w:ascii="宋体" w:hAnsi="宋体" w:cs="宋体"/>
          <w:color w:val="auto"/>
          <w:highlight w:val="none"/>
        </w:rPr>
        <w:t>。</w:t>
      </w:r>
    </w:p>
    <w:p>
      <w:pPr>
        <w:widowControl w:val="0"/>
        <w:numPr>
          <w:ilvl w:val="0"/>
          <w:numId w:val="1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80" w:leftChars="0" w:firstLine="482" w:firstLineChars="0"/>
        <w:rPr>
          <w:rFonts w:cs="宋体"/>
          <w:color w:val="auto"/>
          <w:szCs w:val="24"/>
          <w:highlight w:val="none"/>
        </w:rPr>
      </w:pPr>
      <w:bookmarkStart w:id="39" w:name="_Toc320698722"/>
      <w:r>
        <w:rPr>
          <w:rFonts w:hint="eastAsia" w:cs="宋体"/>
          <w:color w:val="auto"/>
          <w:szCs w:val="24"/>
          <w:highlight w:val="none"/>
        </w:rPr>
        <w:t>报价货币</w:t>
      </w:r>
      <w:bookmarkEnd w:id="39"/>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40"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8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80" w:leftChars="0" w:firstLine="482" w:firstLineChars="0"/>
        <w:rPr>
          <w:rFonts w:cs="宋体"/>
          <w:color w:val="auto"/>
          <w:szCs w:val="24"/>
          <w:highlight w:val="none"/>
        </w:rPr>
      </w:pPr>
      <w:r>
        <w:rPr>
          <w:rFonts w:hint="eastAsia" w:cs="宋体"/>
          <w:color w:val="auto"/>
          <w:szCs w:val="24"/>
          <w:highlight w:val="none"/>
        </w:rPr>
        <w:t>联合体</w:t>
      </w:r>
      <w:bookmarkEnd w:id="40"/>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80" w:leftChars="0" w:firstLine="482" w:firstLineChars="0"/>
        <w:rPr>
          <w:rFonts w:cs="宋体"/>
          <w:color w:val="auto"/>
          <w:szCs w:val="24"/>
          <w:highlight w:val="none"/>
        </w:rPr>
      </w:pPr>
      <w:bookmarkStart w:id="41" w:name="_Toc320698724"/>
      <w:r>
        <w:rPr>
          <w:rFonts w:hint="eastAsia" w:cs="宋体"/>
          <w:color w:val="auto"/>
          <w:szCs w:val="24"/>
          <w:highlight w:val="none"/>
        </w:rPr>
        <w:t>响应文件的组成</w:t>
      </w:r>
      <w:bookmarkEnd w:id="41"/>
      <w:bookmarkStart w:id="42"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42"/>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9"/>
        <w:numPr>
          <w:ilvl w:val="0"/>
          <w:numId w:val="15"/>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5"/>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43" w:name="_Toc320698726"/>
      <w:r>
        <w:rPr>
          <w:rFonts w:hint="eastAsia" w:cs="宋体"/>
          <w:color w:val="auto"/>
          <w:szCs w:val="24"/>
          <w:highlight w:val="none"/>
        </w:rPr>
        <w:t>技术、服务性响应文件</w:t>
      </w:r>
      <w:bookmarkEnd w:id="43"/>
    </w:p>
    <w:p>
      <w:pPr>
        <w:pStyle w:val="2"/>
        <w:numPr>
          <w:ilvl w:val="0"/>
          <w:numId w:val="16"/>
        </w:numPr>
        <w:tabs>
          <w:tab w:val="left" w:pos="1134"/>
        </w:tabs>
        <w:spacing w:after="0" w:line="360" w:lineRule="auto"/>
        <w:ind w:firstLine="480" w:firstLineChars="200"/>
        <w:rPr>
          <w:rFonts w:ascii="宋体" w:hAnsi="宋体" w:cs="宋体"/>
          <w:bCs/>
          <w:color w:val="auto"/>
          <w:highlight w:val="none"/>
        </w:rPr>
      </w:pPr>
      <w:bookmarkStart w:id="44"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商务条款偏离表</w:t>
      </w:r>
      <w:r>
        <w:rPr>
          <w:rFonts w:hint="eastAsia" w:ascii="宋体" w:hAnsi="宋体" w:cs="宋体"/>
          <w:bCs/>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技术</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rPr>
        <w:t>方案</w:t>
      </w:r>
      <w:r>
        <w:rPr>
          <w:rFonts w:hint="eastAsia" w:ascii="宋体" w:hAnsi="宋体" w:cs="宋体"/>
          <w:color w:val="auto"/>
          <w:highlight w:val="none"/>
        </w:rPr>
        <w:t>；</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分项报价明细表；</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6"/>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〕124号文要求的除外)的供应商在规定时间内提交最后报价，最后报价是供应商响应文件的有效组成部分。</w:t>
      </w:r>
    </w:p>
    <w:p>
      <w:pPr>
        <w:numPr>
          <w:ilvl w:val="0"/>
          <w:numId w:val="17"/>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7"/>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18"/>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7"/>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19"/>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19"/>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19"/>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44"/>
    <w:p>
      <w:pPr>
        <w:pStyle w:val="5"/>
        <w:ind w:left="80" w:leftChars="0" w:firstLine="482" w:firstLineChars="0"/>
        <w:rPr>
          <w:rFonts w:cs="宋体"/>
          <w:color w:val="auto"/>
          <w:szCs w:val="24"/>
          <w:highlight w:val="none"/>
        </w:rPr>
      </w:pPr>
      <w:bookmarkStart w:id="45" w:name="_Toc320698728"/>
      <w:r>
        <w:rPr>
          <w:rFonts w:hint="eastAsia" w:cs="宋体"/>
          <w:color w:val="auto"/>
          <w:szCs w:val="24"/>
          <w:highlight w:val="none"/>
        </w:rPr>
        <w:t>响应文件有效期</w:t>
      </w:r>
      <w:bookmarkEnd w:id="45"/>
      <w:r>
        <w:rPr>
          <w:rFonts w:hint="eastAsia" w:cs="宋体"/>
          <w:color w:val="auto"/>
          <w:szCs w:val="24"/>
          <w:highlight w:val="none"/>
        </w:rPr>
        <w:t>（实质性要求）</w:t>
      </w:r>
    </w:p>
    <w:p>
      <w:pPr>
        <w:numPr>
          <w:ilvl w:val="0"/>
          <w:numId w:val="20"/>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0"/>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w:t>
      </w:r>
      <w:r>
        <w:rPr>
          <w:rFonts w:hint="eastAsia" w:ascii="宋体" w:hAnsi="宋体" w:cs="宋体"/>
          <w:color w:val="000000" w:themeColor="text1"/>
          <w:highlight w:val="none"/>
          <w14:textFill>
            <w14:solidFill>
              <w14:schemeClr w14:val="tx1"/>
            </w14:solidFill>
          </w14:textFill>
        </w:rPr>
        <w:t>其磋商保证金</w:t>
      </w:r>
      <w:r>
        <w:rPr>
          <w:rFonts w:hint="eastAsia" w:ascii="宋体" w:hAnsi="宋体" w:cs="宋体"/>
          <w:color w:val="000000" w:themeColor="text1"/>
          <w:spacing w:val="8"/>
          <w:highlight w:val="none"/>
          <w14:textFill>
            <w14:solidFill>
              <w14:schemeClr w14:val="tx1"/>
            </w14:solidFill>
          </w14:textFill>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80" w:leftChars="0" w:firstLine="482" w:firstLineChars="0"/>
        <w:rPr>
          <w:rFonts w:cs="宋体"/>
          <w:color w:val="auto"/>
          <w:szCs w:val="24"/>
          <w:highlight w:val="none"/>
        </w:rPr>
      </w:pPr>
      <w:bookmarkStart w:id="46" w:name="_Toc320698729"/>
      <w:r>
        <w:rPr>
          <w:rFonts w:hint="eastAsia" w:cs="宋体"/>
          <w:color w:val="auto"/>
          <w:szCs w:val="24"/>
          <w:highlight w:val="none"/>
        </w:rPr>
        <w:t>响应文件编制、签署</w:t>
      </w:r>
      <w:bookmarkEnd w:id="46"/>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80" w:leftChars="0" w:firstLine="482" w:firstLineChars="0"/>
        <w:rPr>
          <w:rFonts w:cs="宋体"/>
          <w:color w:val="auto"/>
          <w:szCs w:val="24"/>
          <w:highlight w:val="none"/>
        </w:rPr>
      </w:pPr>
      <w:bookmarkStart w:id="47" w:name="_Toc320698730"/>
      <w:r>
        <w:rPr>
          <w:rFonts w:hint="eastAsia" w:cs="宋体"/>
          <w:color w:val="auto"/>
          <w:szCs w:val="24"/>
          <w:highlight w:val="none"/>
        </w:rPr>
        <w:t>响应文件的包装、密封和标注</w:t>
      </w:r>
      <w:bookmarkEnd w:id="47"/>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3"/>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3"/>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w:t>
      </w:r>
      <w:r>
        <w:rPr>
          <w:rFonts w:hint="eastAsia" w:ascii="宋体" w:hAnsi="宋体" w:cs="宋体"/>
          <w:color w:val="auto"/>
          <w:kern w:val="2"/>
          <w:highlight w:val="none"/>
          <w:lang w:val="en-US" w:eastAsia="zh-CN"/>
        </w:rPr>
        <w:t>项目</w:t>
      </w:r>
      <w:r>
        <w:rPr>
          <w:rFonts w:hint="eastAsia" w:ascii="宋体" w:hAnsi="宋体" w:cs="宋体"/>
          <w:color w:val="auto"/>
          <w:highlight w:val="none"/>
        </w:rPr>
        <w:t>编号、项目名称、日期及包件号（如有分包）。</w:t>
      </w:r>
    </w:p>
    <w:p>
      <w:pPr>
        <w:pStyle w:val="2"/>
        <w:widowControl w:val="0"/>
        <w:numPr>
          <w:ilvl w:val="0"/>
          <w:numId w:val="23"/>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80" w:leftChars="0" w:firstLine="482" w:firstLineChars="0"/>
        <w:rPr>
          <w:rFonts w:cs="宋体"/>
          <w:color w:val="auto"/>
          <w:szCs w:val="24"/>
          <w:highlight w:val="none"/>
        </w:rPr>
      </w:pPr>
      <w:bookmarkStart w:id="48" w:name="_Toc320698731"/>
      <w:r>
        <w:rPr>
          <w:rFonts w:hint="eastAsia" w:cs="宋体"/>
          <w:color w:val="auto"/>
          <w:szCs w:val="24"/>
          <w:highlight w:val="none"/>
        </w:rPr>
        <w:t>响应文件的递交</w:t>
      </w:r>
      <w:bookmarkEnd w:id="48"/>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80" w:leftChars="0" w:firstLine="482" w:firstLineChars="0"/>
        <w:rPr>
          <w:rFonts w:cs="宋体"/>
          <w:color w:val="auto"/>
          <w:szCs w:val="24"/>
          <w:highlight w:val="none"/>
        </w:rPr>
      </w:pPr>
      <w:bookmarkStart w:id="49" w:name="_Toc446487098"/>
      <w:r>
        <w:rPr>
          <w:rFonts w:hint="eastAsia" w:cs="宋体"/>
          <w:color w:val="auto"/>
          <w:szCs w:val="24"/>
          <w:highlight w:val="none"/>
        </w:rPr>
        <w:t>响应文件的补充、修改和撤回</w:t>
      </w:r>
      <w:bookmarkEnd w:id="49"/>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50" w:name="_Toc30221"/>
      <w:bookmarkStart w:id="51" w:name="_Toc287623645"/>
      <w:r>
        <w:rPr>
          <w:rFonts w:hint="eastAsia"/>
          <w:color w:val="auto"/>
          <w:highlight w:val="none"/>
        </w:rPr>
        <w:t>竞争性磋商程序</w:t>
      </w:r>
      <w:bookmarkEnd w:id="50"/>
      <w:bookmarkEnd w:id="51"/>
    </w:p>
    <w:p>
      <w:pPr>
        <w:pStyle w:val="5"/>
        <w:ind w:left="80" w:leftChars="0" w:firstLine="482" w:firstLineChars="0"/>
        <w:rPr>
          <w:rFonts w:cs="宋体"/>
          <w:color w:val="auto"/>
          <w:szCs w:val="24"/>
          <w:highlight w:val="none"/>
        </w:rPr>
      </w:pPr>
      <w:bookmarkStart w:id="52" w:name="_Toc320698735"/>
      <w:r>
        <w:rPr>
          <w:rFonts w:hint="eastAsia" w:cs="宋体"/>
          <w:color w:val="auto"/>
          <w:szCs w:val="24"/>
          <w:highlight w:val="none"/>
        </w:rPr>
        <w:t>供应商报名</w:t>
      </w:r>
      <w:bookmarkEnd w:id="52"/>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53" w:name="_Toc320698736"/>
      <w:r>
        <w:rPr>
          <w:rFonts w:hint="eastAsia" w:cs="宋体"/>
          <w:color w:val="auto"/>
          <w:szCs w:val="24"/>
          <w:highlight w:val="none"/>
        </w:rPr>
        <w:t>接收响应文件</w:t>
      </w:r>
      <w:bookmarkEnd w:id="53"/>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80" w:leftChars="0" w:firstLine="482" w:firstLineChars="0"/>
        <w:rPr>
          <w:rFonts w:cs="宋体"/>
          <w:color w:val="auto"/>
          <w:szCs w:val="24"/>
          <w:highlight w:val="none"/>
        </w:rPr>
      </w:pPr>
      <w:bookmarkStart w:id="54" w:name="_Toc287623646"/>
      <w:r>
        <w:rPr>
          <w:rFonts w:hint="eastAsia" w:cs="宋体"/>
          <w:color w:val="auto"/>
          <w:szCs w:val="24"/>
          <w:highlight w:val="none"/>
        </w:rPr>
        <w:t>开标</w:t>
      </w:r>
    </w:p>
    <w:p>
      <w:pPr>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80" w:leftChars="0" w:firstLine="482" w:firstLineChars="0"/>
        <w:rPr>
          <w:rFonts w:cs="宋体"/>
          <w:color w:val="auto"/>
          <w:szCs w:val="24"/>
          <w:highlight w:val="none"/>
        </w:rPr>
      </w:pPr>
      <w:r>
        <w:rPr>
          <w:rFonts w:hint="eastAsia" w:cs="宋体"/>
          <w:color w:val="auto"/>
          <w:szCs w:val="24"/>
          <w:highlight w:val="none"/>
        </w:rPr>
        <w:t>成立磋商小组</w:t>
      </w:r>
      <w:bookmarkEnd w:id="54"/>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8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jc w:val="center"/>
              <w:rPr>
                <w:rFonts w:hint="eastAsia" w:ascii="宋体" w:hAnsi="宋体"/>
                <w:color w:val="auto"/>
                <w:highlight w:val="none"/>
              </w:rPr>
            </w:pPr>
            <w:r>
              <w:rPr>
                <w:rFonts w:hint="eastAsia" w:ascii="宋体" w:hAnsi="宋体"/>
                <w:color w:val="auto"/>
                <w:highlight w:val="none"/>
              </w:rPr>
              <w:t>（一）资格</w:t>
            </w:r>
          </w:p>
          <w:p>
            <w:pPr>
              <w:jc w:val="center"/>
              <w:rPr>
                <w:rFonts w:ascii="宋体" w:hAnsi="宋体" w:cs="宋体"/>
                <w:bCs/>
                <w:color w:val="auto"/>
                <w:highlight w:val="none"/>
              </w:rPr>
            </w:pPr>
            <w:r>
              <w:rPr>
                <w:rFonts w:hint="eastAsia" w:ascii="宋体" w:hAnsi="宋体"/>
                <w:color w:val="auto"/>
                <w:highlight w:val="none"/>
              </w:rPr>
              <w:t>要求</w:t>
            </w: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hint="eastAsia" w:ascii="宋体" w:hAnsi="宋体" w:eastAsia="宋体" w:cs="宋体"/>
                <w:bCs/>
                <w:color w:val="auto"/>
                <w:highlight w:val="none"/>
                <w:lang w:eastAsia="zh-CN"/>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w:t>
            </w:r>
            <w:r>
              <w:rPr>
                <w:rFonts w:hint="eastAsia" w:ascii="宋体" w:hAnsi="宋体" w:cs="宋体"/>
                <w:bCs/>
                <w:color w:val="auto"/>
                <w:highlight w:val="none"/>
                <w:lang w:eastAsia="zh-CN"/>
              </w:rPr>
              <w:t>；</w:t>
            </w:r>
            <w:r>
              <w:rPr>
                <w:rFonts w:hint="eastAsia" w:ascii="宋体" w:hAnsi="宋体" w:cs="宋体"/>
                <w:bCs/>
                <w:color w:val="auto"/>
                <w:highlight w:val="none"/>
              </w:rPr>
              <w:t>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未被列入经营异常名录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未被列入失信被执行人、重大税收违法案件当事人名单、政府采购严重违法失信行为记录名单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rPr>
              <w:t>的供应商</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任意时段的缴纳社保的银行电子回单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社保部门出具的社保缴纳证明材料复印件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任意时段的缴纳税收的银行电子回单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税务部门出具的纳税证明</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完税证明的复印件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15、本项目专门面向中小企业采购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jc w:val="center"/>
              <w:rPr>
                <w:rFonts w:hint="eastAsia" w:ascii="宋体" w:hAnsi="宋体" w:cs="宋体"/>
                <w:color w:val="auto"/>
                <w:highlight w:val="none"/>
              </w:rPr>
            </w:pPr>
            <w:r>
              <w:rPr>
                <w:rFonts w:hint="eastAsia" w:ascii="宋体" w:hAnsi="宋体" w:cs="宋体"/>
                <w:color w:val="auto"/>
                <w:highlight w:val="none"/>
              </w:rPr>
              <w:t>（二）资质</w:t>
            </w:r>
          </w:p>
          <w:p>
            <w:pPr>
              <w:jc w:val="center"/>
              <w:rPr>
                <w:rFonts w:ascii="宋体" w:hAnsi="宋体" w:cs="宋体"/>
                <w:color w:val="auto"/>
                <w:highlight w:val="none"/>
              </w:rPr>
            </w:pPr>
            <w:r>
              <w:rPr>
                <w:rFonts w:hint="eastAsia" w:ascii="宋体" w:hAnsi="宋体" w:cs="宋体"/>
                <w:color w:val="auto"/>
                <w:highlight w:val="none"/>
              </w:rPr>
              <w:t>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olor w:val="auto"/>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8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27"/>
        </w:numPr>
        <w:tabs>
          <w:tab w:val="left" w:pos="426"/>
          <w:tab w:val="left" w:pos="567"/>
        </w:tabs>
        <w:outlineLvl w:val="2"/>
        <w:rPr>
          <w:b w:val="0"/>
          <w:color w:val="auto"/>
          <w:sz w:val="24"/>
          <w:szCs w:val="24"/>
          <w:highlight w:val="none"/>
        </w:rPr>
      </w:pPr>
      <w:bookmarkStart w:id="55" w:name="_Toc24322"/>
      <w:bookmarkStart w:id="56" w:name="_Toc1186"/>
      <w:bookmarkStart w:id="57" w:name="_Toc30871"/>
      <w:bookmarkStart w:id="58" w:name="_Toc6686"/>
      <w:bookmarkStart w:id="59" w:name="_Toc28704"/>
      <w:bookmarkStart w:id="60" w:name="_Toc16430"/>
      <w:bookmarkStart w:id="61" w:name="_Toc28211"/>
      <w:bookmarkStart w:id="62" w:name="_Toc26653"/>
      <w:bookmarkStart w:id="63" w:name="_Toc5653"/>
      <w:bookmarkStart w:id="64" w:name="_Toc43566521"/>
      <w:bookmarkStart w:id="65" w:name="_Toc20686"/>
      <w:bookmarkStart w:id="66" w:name="_Toc12948"/>
      <w:bookmarkStart w:id="67" w:name="_Toc19824"/>
      <w:bookmarkStart w:id="68" w:name="_Toc13463"/>
      <w:bookmarkStart w:id="69" w:name="_Toc1823"/>
      <w:bookmarkStart w:id="70" w:name="_Toc24086"/>
      <w:bookmarkStart w:id="71" w:name="_Toc177"/>
      <w:bookmarkStart w:id="72" w:name="_Toc25820"/>
      <w:bookmarkStart w:id="73" w:name="_Toc8445"/>
      <w:bookmarkStart w:id="74" w:name="_Toc234"/>
      <w:bookmarkStart w:id="75" w:name="_Toc18863"/>
      <w:bookmarkStart w:id="76" w:name="_Toc30664"/>
      <w:bookmarkStart w:id="77" w:name="_Toc5957"/>
      <w:bookmarkStart w:id="78" w:name="_Toc21637"/>
      <w:bookmarkStart w:id="79" w:name="_Toc12921"/>
      <w:bookmarkStart w:id="80" w:name="_Toc7480"/>
      <w:bookmarkStart w:id="81" w:name="_Toc28961"/>
      <w:bookmarkStart w:id="82" w:name="_Toc9096"/>
      <w:bookmarkStart w:id="83" w:name="_Toc23472"/>
      <w:bookmarkStart w:id="84" w:name="_Toc11240"/>
      <w:bookmarkStart w:id="85" w:name="_Toc18778"/>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5"/>
        <w:keepNext w:val="0"/>
        <w:keepLines w:val="0"/>
        <w:numPr>
          <w:ilvl w:val="0"/>
          <w:numId w:val="27"/>
        </w:numPr>
        <w:tabs>
          <w:tab w:val="left" w:pos="426"/>
          <w:tab w:val="left" w:pos="567"/>
        </w:tabs>
        <w:outlineLvl w:val="2"/>
        <w:rPr>
          <w:b w:val="0"/>
          <w:color w:val="auto"/>
          <w:sz w:val="24"/>
          <w:szCs w:val="24"/>
          <w:highlight w:val="none"/>
        </w:rPr>
      </w:pPr>
      <w:bookmarkStart w:id="86" w:name="_Toc19239"/>
      <w:bookmarkStart w:id="87" w:name="_Toc7651"/>
      <w:bookmarkStart w:id="88" w:name="_Toc5759"/>
      <w:bookmarkStart w:id="89" w:name="_Toc20275"/>
      <w:bookmarkStart w:id="90" w:name="_Toc5725"/>
      <w:bookmarkStart w:id="91" w:name="_Toc19501"/>
      <w:bookmarkStart w:id="92" w:name="_Toc16346"/>
      <w:bookmarkStart w:id="93" w:name="_Toc7100"/>
      <w:bookmarkStart w:id="94" w:name="_Toc43566522"/>
      <w:bookmarkStart w:id="95" w:name="_Toc11203"/>
      <w:bookmarkStart w:id="96" w:name="_Toc13414"/>
      <w:bookmarkStart w:id="97" w:name="_Toc16300"/>
      <w:bookmarkStart w:id="98" w:name="_Toc21274"/>
      <w:bookmarkStart w:id="99" w:name="_Toc18309"/>
      <w:bookmarkStart w:id="100" w:name="_Toc8363"/>
      <w:bookmarkStart w:id="101" w:name="_Toc14644"/>
      <w:bookmarkStart w:id="102" w:name="_Toc17010"/>
      <w:bookmarkStart w:id="103" w:name="_Toc10664"/>
      <w:bookmarkStart w:id="104" w:name="_Toc12027"/>
      <w:bookmarkStart w:id="105" w:name="_Toc28551"/>
      <w:bookmarkStart w:id="106" w:name="_Toc3073"/>
      <w:bookmarkStart w:id="107" w:name="_Toc16950"/>
      <w:bookmarkStart w:id="108" w:name="_Toc5547"/>
      <w:bookmarkStart w:id="109" w:name="_Toc29643"/>
      <w:bookmarkStart w:id="110" w:name="_Toc1058"/>
      <w:bookmarkStart w:id="111" w:name="_Toc28752"/>
      <w:bookmarkStart w:id="112" w:name="_Toc24798"/>
      <w:bookmarkStart w:id="113" w:name="_Toc26144"/>
      <w:bookmarkStart w:id="114" w:name="_Toc22424"/>
      <w:bookmarkStart w:id="115" w:name="_Toc14958"/>
      <w:bookmarkStart w:id="116" w:name="_Toc13670"/>
      <w:r>
        <w:rPr>
          <w:rFonts w:hint="eastAsia"/>
          <w:b w:val="0"/>
          <w:color w:val="auto"/>
          <w:sz w:val="24"/>
          <w:szCs w:val="24"/>
          <w:highlight w:val="none"/>
        </w:rPr>
        <w:t>每轮磋商开始前，磋商小组应根据磋商文件的规定，并结合各供应商的响应文件拟定磋商内容。</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5"/>
        <w:keepNext w:val="0"/>
        <w:keepLines w:val="0"/>
        <w:numPr>
          <w:ilvl w:val="0"/>
          <w:numId w:val="27"/>
        </w:numPr>
        <w:tabs>
          <w:tab w:val="left" w:pos="426"/>
          <w:tab w:val="left" w:pos="567"/>
        </w:tabs>
        <w:outlineLvl w:val="2"/>
        <w:rPr>
          <w:b w:val="0"/>
          <w:color w:val="auto"/>
          <w:sz w:val="24"/>
          <w:szCs w:val="24"/>
          <w:highlight w:val="none"/>
        </w:rPr>
      </w:pPr>
      <w:bookmarkStart w:id="117" w:name="_Toc28031"/>
      <w:bookmarkStart w:id="118" w:name="_Toc12563"/>
      <w:bookmarkStart w:id="119" w:name="_Toc1260"/>
      <w:bookmarkStart w:id="120" w:name="_Toc3129"/>
      <w:bookmarkStart w:id="121" w:name="_Toc22981"/>
      <w:bookmarkStart w:id="122" w:name="_Toc8711"/>
      <w:bookmarkStart w:id="123" w:name="_Toc15259"/>
      <w:bookmarkStart w:id="124" w:name="_Toc5655"/>
      <w:bookmarkStart w:id="125" w:name="_Toc26003"/>
      <w:bookmarkStart w:id="126" w:name="_Toc3093"/>
      <w:bookmarkStart w:id="127" w:name="_Toc3854"/>
      <w:bookmarkStart w:id="128" w:name="_Toc7955"/>
      <w:bookmarkStart w:id="129" w:name="_Toc2076"/>
      <w:bookmarkStart w:id="130" w:name="_Toc29139"/>
      <w:bookmarkStart w:id="131" w:name="_Toc12444"/>
      <w:bookmarkStart w:id="132" w:name="_Toc31513"/>
      <w:bookmarkStart w:id="133" w:name="_Toc30727"/>
      <w:bookmarkStart w:id="134" w:name="_Toc32131"/>
      <w:bookmarkStart w:id="135" w:name="_Toc11261"/>
      <w:bookmarkStart w:id="136" w:name="_Toc12103"/>
      <w:bookmarkStart w:id="137" w:name="_Toc17631"/>
      <w:bookmarkStart w:id="138" w:name="_Toc1515"/>
      <w:bookmarkStart w:id="139" w:name="_Toc24429"/>
      <w:bookmarkStart w:id="140" w:name="_Toc7002"/>
      <w:bookmarkStart w:id="141" w:name="_Toc9387"/>
      <w:bookmarkStart w:id="142" w:name="_Toc14027"/>
      <w:bookmarkStart w:id="143" w:name="_Toc31379"/>
      <w:bookmarkStart w:id="144" w:name="_Toc18130"/>
      <w:bookmarkStart w:id="145" w:name="_Toc1822"/>
      <w:bookmarkStart w:id="146" w:name="_Toc43566523"/>
      <w:bookmarkStart w:id="147" w:name="_Toc14318"/>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5"/>
        <w:keepNext w:val="0"/>
        <w:keepLines w:val="0"/>
        <w:numPr>
          <w:ilvl w:val="0"/>
          <w:numId w:val="27"/>
        </w:numPr>
        <w:tabs>
          <w:tab w:val="left" w:pos="426"/>
          <w:tab w:val="left" w:pos="567"/>
        </w:tabs>
        <w:outlineLvl w:val="2"/>
        <w:rPr>
          <w:b w:val="0"/>
          <w:color w:val="auto"/>
          <w:sz w:val="24"/>
          <w:szCs w:val="24"/>
          <w:highlight w:val="none"/>
        </w:rPr>
      </w:pPr>
      <w:bookmarkStart w:id="148" w:name="_Toc12380"/>
      <w:bookmarkStart w:id="149" w:name="_Toc23592"/>
      <w:bookmarkStart w:id="150" w:name="_Toc30395"/>
      <w:bookmarkStart w:id="151" w:name="_Toc19446"/>
      <w:bookmarkStart w:id="152" w:name="_Toc15891"/>
      <w:bookmarkStart w:id="153" w:name="_Toc25538"/>
      <w:bookmarkStart w:id="154" w:name="_Toc12026"/>
      <w:bookmarkStart w:id="155" w:name="_Toc22086"/>
      <w:bookmarkStart w:id="156" w:name="_Toc23382"/>
      <w:bookmarkStart w:id="157" w:name="_Toc43566524"/>
      <w:bookmarkStart w:id="158" w:name="_Toc9861"/>
      <w:bookmarkStart w:id="159" w:name="_Toc30040"/>
      <w:bookmarkStart w:id="160" w:name="_Toc23880"/>
      <w:bookmarkStart w:id="161" w:name="_Toc23230"/>
      <w:bookmarkStart w:id="162" w:name="_Toc217"/>
      <w:bookmarkStart w:id="163" w:name="_Toc5170"/>
      <w:bookmarkStart w:id="164" w:name="_Toc20981"/>
      <w:bookmarkStart w:id="165" w:name="_Toc1947"/>
      <w:bookmarkStart w:id="166" w:name="_Toc5480"/>
      <w:bookmarkStart w:id="167" w:name="_Toc15406"/>
      <w:bookmarkStart w:id="168" w:name="_Toc20339"/>
      <w:bookmarkStart w:id="169" w:name="_Toc15692"/>
      <w:bookmarkStart w:id="170" w:name="_Toc24161"/>
      <w:bookmarkStart w:id="171" w:name="_Toc20165"/>
      <w:bookmarkStart w:id="172" w:name="_Toc17886"/>
      <w:bookmarkStart w:id="173" w:name="_Toc2802"/>
      <w:bookmarkStart w:id="174" w:name="_Toc15411"/>
      <w:bookmarkStart w:id="175" w:name="_Toc26943"/>
      <w:bookmarkStart w:id="176" w:name="_Toc14624"/>
      <w:bookmarkStart w:id="177" w:name="_Toc20322"/>
      <w:bookmarkStart w:id="178" w:name="_Toc18133"/>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5"/>
        <w:keepNext w:val="0"/>
        <w:keepLines w:val="0"/>
        <w:numPr>
          <w:ilvl w:val="0"/>
          <w:numId w:val="27"/>
        </w:numPr>
        <w:tabs>
          <w:tab w:val="left" w:pos="426"/>
          <w:tab w:val="left" w:pos="567"/>
        </w:tabs>
        <w:outlineLvl w:val="2"/>
        <w:rPr>
          <w:b w:val="0"/>
          <w:color w:val="auto"/>
          <w:sz w:val="24"/>
          <w:szCs w:val="24"/>
          <w:highlight w:val="none"/>
        </w:rPr>
      </w:pPr>
      <w:bookmarkStart w:id="179" w:name="_Toc15795"/>
      <w:bookmarkStart w:id="180" w:name="_Toc22337"/>
      <w:bookmarkStart w:id="181" w:name="_Toc18549"/>
      <w:bookmarkStart w:id="182" w:name="_Toc25226"/>
      <w:bookmarkStart w:id="183" w:name="_Toc29518"/>
      <w:bookmarkStart w:id="184" w:name="_Toc12219"/>
      <w:bookmarkStart w:id="185" w:name="_Toc11224"/>
      <w:bookmarkStart w:id="186" w:name="_Toc18506"/>
      <w:bookmarkStart w:id="187" w:name="_Toc29632"/>
      <w:bookmarkStart w:id="188" w:name="_Toc43566525"/>
      <w:bookmarkStart w:id="189" w:name="_Toc25838"/>
      <w:bookmarkStart w:id="190" w:name="_Toc2784"/>
      <w:bookmarkStart w:id="191" w:name="_Toc22606"/>
      <w:bookmarkStart w:id="192" w:name="_Toc31030"/>
      <w:bookmarkStart w:id="193" w:name="_Toc7936"/>
      <w:bookmarkStart w:id="194" w:name="_Toc7148"/>
      <w:bookmarkStart w:id="195" w:name="_Toc5435"/>
      <w:bookmarkStart w:id="196" w:name="_Toc23403"/>
      <w:bookmarkStart w:id="197" w:name="_Toc31776"/>
      <w:bookmarkStart w:id="198" w:name="_Toc13764"/>
      <w:bookmarkStart w:id="199" w:name="_Toc19144"/>
      <w:bookmarkStart w:id="200" w:name="_Toc17566"/>
      <w:bookmarkStart w:id="201" w:name="_Toc16727"/>
      <w:bookmarkStart w:id="202" w:name="_Toc19631"/>
      <w:bookmarkStart w:id="203" w:name="_Toc20410"/>
      <w:bookmarkStart w:id="204" w:name="_Toc15620"/>
      <w:bookmarkStart w:id="205" w:name="_Toc7430"/>
      <w:bookmarkStart w:id="206" w:name="_Toc26817"/>
      <w:bookmarkStart w:id="207" w:name="_Toc6250"/>
      <w:bookmarkStart w:id="208" w:name="_Toc18974"/>
      <w:bookmarkStart w:id="209" w:name="_Toc7401"/>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5"/>
        <w:keepNext w:val="0"/>
        <w:keepLines w:val="0"/>
        <w:numPr>
          <w:ilvl w:val="0"/>
          <w:numId w:val="27"/>
        </w:numPr>
        <w:tabs>
          <w:tab w:val="left" w:pos="426"/>
          <w:tab w:val="left" w:pos="567"/>
        </w:tabs>
        <w:outlineLvl w:val="2"/>
        <w:rPr>
          <w:b w:val="0"/>
          <w:color w:val="auto"/>
          <w:sz w:val="24"/>
          <w:szCs w:val="24"/>
          <w:highlight w:val="none"/>
        </w:rPr>
      </w:pPr>
      <w:bookmarkStart w:id="210" w:name="_Toc4343"/>
      <w:bookmarkStart w:id="211" w:name="_Toc9008"/>
      <w:bookmarkStart w:id="212" w:name="_Toc11758"/>
      <w:bookmarkStart w:id="213" w:name="_Toc25847"/>
      <w:bookmarkStart w:id="214" w:name="_Toc43566526"/>
      <w:bookmarkStart w:id="215" w:name="_Toc7797"/>
      <w:bookmarkStart w:id="216" w:name="_Toc18387"/>
      <w:bookmarkStart w:id="217" w:name="_Toc961"/>
      <w:bookmarkStart w:id="218" w:name="_Toc26127"/>
      <w:bookmarkStart w:id="219" w:name="_Toc10100"/>
      <w:bookmarkStart w:id="220" w:name="_Toc13223"/>
      <w:bookmarkStart w:id="221" w:name="_Toc1180"/>
      <w:bookmarkStart w:id="222" w:name="_Toc6346"/>
      <w:bookmarkStart w:id="223" w:name="_Toc14008"/>
      <w:bookmarkStart w:id="224" w:name="_Toc6692"/>
      <w:bookmarkStart w:id="225" w:name="_Toc14295"/>
      <w:bookmarkStart w:id="226" w:name="_Toc7926"/>
      <w:bookmarkStart w:id="227" w:name="_Toc11494"/>
      <w:bookmarkStart w:id="228" w:name="_Toc15180"/>
      <w:bookmarkStart w:id="229" w:name="_Toc4947"/>
      <w:bookmarkStart w:id="230" w:name="_Toc28606"/>
      <w:bookmarkStart w:id="231" w:name="_Toc4052"/>
      <w:bookmarkStart w:id="232" w:name="_Toc27402"/>
      <w:bookmarkStart w:id="233" w:name="_Toc3023"/>
      <w:bookmarkStart w:id="234" w:name="_Toc4895"/>
      <w:bookmarkStart w:id="235" w:name="_Toc12081"/>
      <w:bookmarkStart w:id="236" w:name="_Toc32216"/>
      <w:bookmarkStart w:id="237" w:name="_Toc30181"/>
      <w:bookmarkStart w:id="238" w:name="_Toc22757"/>
      <w:bookmarkStart w:id="239" w:name="_Toc685"/>
      <w:bookmarkStart w:id="240" w:name="_Toc5575"/>
      <w:r>
        <w:rPr>
          <w:rFonts w:hint="eastAsia"/>
          <w:b w:val="0"/>
          <w:color w:val="auto"/>
          <w:sz w:val="24"/>
          <w:szCs w:val="24"/>
          <w:highlight w:val="none"/>
        </w:rPr>
        <w:t>磋商过程中，磋商的任何一方不得透露与磋商有关的其他供应商的技术资料、价格和其他信息。</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5"/>
        <w:keepNext w:val="0"/>
        <w:keepLines w:val="0"/>
        <w:numPr>
          <w:ilvl w:val="0"/>
          <w:numId w:val="27"/>
        </w:numPr>
        <w:tabs>
          <w:tab w:val="left" w:pos="426"/>
          <w:tab w:val="left" w:pos="567"/>
        </w:tabs>
        <w:outlineLvl w:val="2"/>
        <w:rPr>
          <w:b w:val="0"/>
          <w:color w:val="auto"/>
          <w:sz w:val="24"/>
          <w:szCs w:val="24"/>
          <w:highlight w:val="none"/>
        </w:rPr>
      </w:pPr>
      <w:bookmarkStart w:id="241" w:name="_Toc15744"/>
      <w:bookmarkStart w:id="242" w:name="_Toc23573"/>
      <w:bookmarkStart w:id="243" w:name="_Toc6585"/>
      <w:bookmarkStart w:id="244" w:name="_Toc19525"/>
      <w:bookmarkStart w:id="245" w:name="_Toc30011"/>
      <w:bookmarkStart w:id="246" w:name="_Toc10212"/>
      <w:bookmarkStart w:id="247" w:name="_Toc7697"/>
      <w:bookmarkStart w:id="248" w:name="_Toc31442"/>
      <w:bookmarkStart w:id="249" w:name="_Toc30938"/>
      <w:bookmarkStart w:id="250" w:name="_Toc3944"/>
      <w:bookmarkStart w:id="251" w:name="_Toc25172"/>
      <w:bookmarkStart w:id="252" w:name="_Toc16194"/>
      <w:bookmarkStart w:id="253" w:name="_Toc22105"/>
      <w:bookmarkStart w:id="254" w:name="_Toc30367"/>
      <w:bookmarkStart w:id="255" w:name="_Toc9431"/>
      <w:bookmarkStart w:id="256" w:name="_Toc9766"/>
      <w:bookmarkStart w:id="257" w:name="_Toc5251"/>
      <w:bookmarkStart w:id="258" w:name="_Toc4331"/>
      <w:bookmarkStart w:id="259" w:name="_Toc26261"/>
      <w:bookmarkStart w:id="260" w:name="_Toc43566527"/>
      <w:bookmarkStart w:id="261" w:name="_Toc8490"/>
      <w:bookmarkStart w:id="262" w:name="_Toc20680"/>
      <w:bookmarkStart w:id="263" w:name="_Toc18334"/>
      <w:bookmarkStart w:id="264" w:name="_Toc3164"/>
      <w:bookmarkStart w:id="265" w:name="_Toc20292"/>
      <w:bookmarkStart w:id="266" w:name="_Toc31972"/>
      <w:bookmarkStart w:id="267" w:name="_Toc4159"/>
      <w:bookmarkStart w:id="268" w:name="_Toc9842"/>
      <w:bookmarkStart w:id="269" w:name="_Toc1340"/>
      <w:bookmarkStart w:id="270" w:name="_Toc4662"/>
      <w:bookmarkStart w:id="271" w:name="_Toc30506"/>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numPr>
          <w:ilvl w:val="0"/>
          <w:numId w:val="27"/>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8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8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w:t>
      </w:r>
      <w:r>
        <w:rPr>
          <w:rFonts w:hint="eastAsia" w:ascii="宋体" w:hAnsi="宋体" w:cs="宋体"/>
          <w:color w:val="auto"/>
          <w:highlight w:val="none"/>
          <w:lang w:val="en-US" w:eastAsia="zh-CN"/>
        </w:rPr>
        <w:t>5</w:t>
      </w:r>
      <w:r>
        <w:rPr>
          <w:rFonts w:hint="eastAsia" w:ascii="宋体" w:hAnsi="宋体" w:cs="宋体"/>
          <w:color w:val="auto"/>
          <w:highlight w:val="none"/>
        </w:rPr>
        <w:t>〕124号文要求的除外)。</w:t>
      </w:r>
    </w:p>
    <w:p>
      <w:pPr>
        <w:pStyle w:val="5"/>
        <w:ind w:left="8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28"/>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pPr w:leftFromText="180" w:rightFromText="180" w:vertAnchor="text" w:horzAnchor="page" w:tblpXSpec="center" w:tblpY="572"/>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54"/>
        <w:gridCol w:w="955"/>
        <w:gridCol w:w="5504"/>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51" w:type="dxa"/>
            <w:vAlign w:val="center"/>
          </w:tcPr>
          <w:p>
            <w:pPr>
              <w:pStyle w:val="202"/>
              <w:spacing w:line="360" w:lineRule="auto"/>
              <w:rPr>
                <w:rFonts w:ascii="宋体" w:hAnsi="宋体" w:cs="宋体"/>
                <w:sz w:val="24"/>
              </w:rPr>
            </w:pPr>
            <w:r>
              <w:rPr>
                <w:rFonts w:hint="eastAsia" w:ascii="宋体" w:hAnsi="宋体" w:cs="宋体"/>
                <w:sz w:val="24"/>
              </w:rPr>
              <w:t>专家类型</w:t>
            </w:r>
          </w:p>
        </w:tc>
        <w:tc>
          <w:tcPr>
            <w:tcW w:w="1909" w:type="dxa"/>
            <w:gridSpan w:val="2"/>
            <w:vAlign w:val="center"/>
          </w:tcPr>
          <w:p>
            <w:pPr>
              <w:pStyle w:val="202"/>
              <w:spacing w:line="360" w:lineRule="auto"/>
              <w:rPr>
                <w:rFonts w:ascii="宋体" w:hAnsi="宋体" w:cs="宋体"/>
                <w:sz w:val="24"/>
              </w:rPr>
            </w:pPr>
            <w:r>
              <w:rPr>
                <w:rFonts w:hint="eastAsia" w:ascii="宋体" w:hAnsi="宋体" w:cs="宋体"/>
                <w:sz w:val="24"/>
              </w:rPr>
              <w:t>评审项目</w:t>
            </w:r>
          </w:p>
        </w:tc>
        <w:tc>
          <w:tcPr>
            <w:tcW w:w="5504" w:type="dxa"/>
            <w:vAlign w:val="center"/>
          </w:tcPr>
          <w:p>
            <w:pPr>
              <w:pStyle w:val="202"/>
              <w:spacing w:line="360" w:lineRule="auto"/>
              <w:rPr>
                <w:rFonts w:ascii="宋体" w:hAnsi="宋体" w:cs="宋体"/>
                <w:sz w:val="24"/>
              </w:rPr>
            </w:pPr>
            <w:r>
              <w:rPr>
                <w:rFonts w:hint="eastAsia" w:ascii="宋体" w:hAnsi="宋体" w:cs="宋体"/>
                <w:sz w:val="24"/>
              </w:rPr>
              <w:t>评分标准</w:t>
            </w:r>
          </w:p>
        </w:tc>
        <w:tc>
          <w:tcPr>
            <w:tcW w:w="875" w:type="dxa"/>
            <w:vAlign w:val="center"/>
          </w:tcPr>
          <w:p>
            <w:pPr>
              <w:pStyle w:val="202"/>
              <w:spacing w:line="360" w:lineRule="auto"/>
              <w:rPr>
                <w:rFonts w:ascii="宋体" w:hAnsi="宋体" w:cs="宋体"/>
                <w:sz w:val="24"/>
              </w:rPr>
            </w:pPr>
            <w:r>
              <w:rPr>
                <w:rFonts w:hint="eastAsia" w:ascii="宋体" w:hAns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51" w:type="dxa"/>
            <w:vAlign w:val="center"/>
          </w:tcPr>
          <w:p>
            <w:pPr>
              <w:pStyle w:val="202"/>
              <w:spacing w:line="360" w:lineRule="auto"/>
              <w:rPr>
                <w:rFonts w:ascii="宋体" w:hAnsi="宋体" w:cs="宋体"/>
                <w:sz w:val="24"/>
              </w:rPr>
            </w:pPr>
            <w:r>
              <w:rPr>
                <w:rFonts w:hint="eastAsia" w:ascii="宋体" w:hAnsi="宋体" w:cs="宋体"/>
                <w:sz w:val="24"/>
              </w:rPr>
              <w:t>共同评审</w:t>
            </w:r>
          </w:p>
        </w:tc>
        <w:tc>
          <w:tcPr>
            <w:tcW w:w="1909" w:type="dxa"/>
            <w:gridSpan w:val="2"/>
            <w:vAlign w:val="center"/>
          </w:tcPr>
          <w:p>
            <w:pPr>
              <w:pStyle w:val="202"/>
              <w:spacing w:line="360" w:lineRule="auto"/>
              <w:rPr>
                <w:rFonts w:ascii="宋体" w:hAnsi="宋体" w:cs="宋体"/>
                <w:sz w:val="24"/>
              </w:rPr>
            </w:pPr>
            <w:r>
              <w:rPr>
                <w:rFonts w:hint="eastAsia" w:ascii="宋体" w:hAnsi="宋体" w:cs="宋体"/>
                <w:sz w:val="24"/>
              </w:rPr>
              <w:t>报价评审</w:t>
            </w:r>
          </w:p>
        </w:tc>
        <w:tc>
          <w:tcPr>
            <w:tcW w:w="5504" w:type="dxa"/>
            <w:vAlign w:val="center"/>
          </w:tcPr>
          <w:p>
            <w:pPr>
              <w:pStyle w:val="202"/>
              <w:spacing w:line="360" w:lineRule="auto"/>
              <w:jc w:val="left"/>
              <w:rPr>
                <w:rFonts w:hint="eastAsia" w:ascii="宋体" w:hAnsi="宋体" w:eastAsia="宋体" w:cs="宋体"/>
                <w:sz w:val="24"/>
                <w:lang w:eastAsia="zh-CN"/>
              </w:rPr>
            </w:pPr>
            <w:r>
              <w:rPr>
                <w:rFonts w:hint="eastAsia" w:ascii="宋体" w:hAnsi="宋体" w:cs="宋体"/>
                <w:sz w:val="24"/>
              </w:rPr>
              <w:t>1.  经专家评审的最低有效</w:t>
            </w:r>
            <w:r>
              <w:rPr>
                <w:rFonts w:hint="eastAsia" w:ascii="宋体" w:hAnsi="宋体" w:cs="宋体"/>
                <w:sz w:val="24"/>
                <w:lang w:val="en-US" w:eastAsia="zh-CN"/>
              </w:rPr>
              <w:t>最后报价</w:t>
            </w:r>
            <w:r>
              <w:rPr>
                <w:rFonts w:hint="eastAsia" w:ascii="宋体" w:hAnsi="宋体" w:cs="宋体"/>
                <w:sz w:val="24"/>
              </w:rPr>
              <w:t>作为评审基准价；</w:t>
            </w:r>
          </w:p>
          <w:p>
            <w:pPr>
              <w:pStyle w:val="202"/>
              <w:spacing w:line="360" w:lineRule="auto"/>
              <w:jc w:val="left"/>
              <w:rPr>
                <w:rFonts w:ascii="宋体" w:hAnsi="宋体" w:cs="宋体"/>
                <w:sz w:val="24"/>
              </w:rPr>
            </w:pPr>
            <w:r>
              <w:rPr>
                <w:rFonts w:hint="eastAsia" w:ascii="宋体" w:hAnsi="宋体" w:cs="宋体"/>
                <w:sz w:val="24"/>
              </w:rPr>
              <w:t>3.报价得分=(评审基准价／</w:t>
            </w:r>
            <w:r>
              <w:rPr>
                <w:rFonts w:hint="eastAsia" w:ascii="宋体" w:hAnsi="宋体" w:cs="宋体"/>
                <w:sz w:val="24"/>
                <w:lang w:val="en-US" w:eastAsia="zh-CN"/>
              </w:rPr>
              <w:t>最后</w:t>
            </w:r>
            <w:r>
              <w:rPr>
                <w:rFonts w:hint="eastAsia" w:ascii="宋体" w:hAnsi="宋体" w:cs="宋体"/>
                <w:sz w:val="24"/>
              </w:rPr>
              <w:t>报价)×1</w:t>
            </w:r>
            <w:r>
              <w:rPr>
                <w:rFonts w:hint="eastAsia" w:ascii="宋体" w:hAnsi="宋体" w:cs="宋体"/>
                <w:sz w:val="24"/>
                <w:lang w:val="en-US" w:eastAsia="zh-CN"/>
              </w:rPr>
              <w:t>5</w:t>
            </w:r>
            <w:r>
              <w:rPr>
                <w:rFonts w:hint="eastAsia" w:ascii="宋体" w:hAnsi="宋体" w:cs="宋体"/>
                <w:sz w:val="24"/>
              </w:rPr>
              <w:t>。</w:t>
            </w:r>
          </w:p>
        </w:tc>
        <w:tc>
          <w:tcPr>
            <w:tcW w:w="875" w:type="dxa"/>
            <w:vAlign w:val="center"/>
          </w:tcPr>
          <w:p>
            <w:pPr>
              <w:pStyle w:val="202"/>
              <w:spacing w:line="360" w:lineRule="auto"/>
              <w:rPr>
                <w:rFonts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51" w:type="dxa"/>
            <w:vMerge w:val="restart"/>
            <w:vAlign w:val="center"/>
          </w:tcPr>
          <w:p>
            <w:pPr>
              <w:pStyle w:val="202"/>
              <w:spacing w:line="360" w:lineRule="auto"/>
              <w:rPr>
                <w:rFonts w:hint="default" w:ascii="宋体" w:hAnsi="宋体" w:cs="宋体"/>
                <w:sz w:val="24"/>
                <w:lang w:val="en-US" w:eastAsia="zh-CN"/>
              </w:rPr>
            </w:pPr>
            <w:r>
              <w:rPr>
                <w:rFonts w:hint="eastAsia" w:ascii="宋体" w:hAnsi="宋体" w:cs="宋体"/>
                <w:sz w:val="24"/>
                <w:lang w:val="en-US" w:eastAsia="zh-CN"/>
              </w:rPr>
              <w:t>技术类评审</w:t>
            </w:r>
          </w:p>
        </w:tc>
        <w:tc>
          <w:tcPr>
            <w:tcW w:w="1909" w:type="dxa"/>
            <w:gridSpan w:val="2"/>
            <w:vAlign w:val="center"/>
          </w:tcPr>
          <w:p>
            <w:pPr>
              <w:pStyle w:val="202"/>
              <w:spacing w:line="360" w:lineRule="auto"/>
              <w:rPr>
                <w:rFonts w:hint="eastAsia" w:ascii="宋体" w:hAnsi="宋体" w:cs="宋体"/>
                <w:sz w:val="24"/>
                <w:lang w:val="en-US" w:eastAsia="zh-CN"/>
              </w:rPr>
            </w:pPr>
            <w:r>
              <w:rPr>
                <w:rFonts w:hint="eastAsia" w:ascii="宋体" w:hAnsi="宋体" w:cs="宋体"/>
                <w:sz w:val="24"/>
                <w:lang w:val="en-US" w:eastAsia="zh-CN"/>
              </w:rPr>
              <w:t>需求分析</w:t>
            </w:r>
          </w:p>
          <w:p>
            <w:pPr>
              <w:pStyle w:val="202"/>
              <w:spacing w:line="360" w:lineRule="auto"/>
              <w:rPr>
                <w:rFonts w:hint="eastAsia" w:ascii="宋体" w:hAnsi="宋体" w:cs="宋体"/>
                <w:sz w:val="24"/>
                <w:lang w:val="en-US" w:eastAsia="zh-CN"/>
              </w:rPr>
            </w:pPr>
          </w:p>
        </w:tc>
        <w:tc>
          <w:tcPr>
            <w:tcW w:w="5504"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供应商提供完整的需求分析【包含1、对“成都文化四季风”（民俗闹春、音乐消夏、欢歌庆秋、劲舞暖冬）广场群众文化活的了解并描述，对双流区本地文化的了解特别是双流经济社会各项事业的相关成就的了解及分析并描述2.对本项目服务的难点进行分析并提供响应的解决方案（需重点针对本项目服务要求从服务难点、解决方案两个方面逐条分析）】得12分，每缺一项方案的扣6分；提供的方案中每有一处具有缺陷（缺陷是指：存在不适用项目实际情况的情形、凭空编造、方案中内容前后不一致、前后逻辑错误、涉及的规范及标准错误、地点区域错误、内容缺失、不符合采购需求等）的扣3分，扣完为止。</w:t>
            </w:r>
          </w:p>
        </w:tc>
        <w:tc>
          <w:tcPr>
            <w:tcW w:w="875" w:type="dxa"/>
            <w:vAlign w:val="center"/>
          </w:tcPr>
          <w:p>
            <w:pPr>
              <w:pStyle w:val="202"/>
              <w:spacing w:line="360" w:lineRule="auto"/>
              <w:rPr>
                <w:rFonts w:hint="default" w:ascii="宋体" w:hAnsi="宋体" w:cs="宋体"/>
                <w:sz w:val="24"/>
                <w:lang w:val="en-US" w:eastAsia="zh-CN"/>
              </w:rPr>
            </w:pPr>
            <w:r>
              <w:rPr>
                <w:rFonts w:hint="eastAsia" w:ascii="宋体" w:hAnsi="宋体" w:cs="宋体"/>
                <w:sz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51" w:type="dxa"/>
            <w:vMerge w:val="continue"/>
            <w:vAlign w:val="center"/>
          </w:tcPr>
          <w:p>
            <w:pPr>
              <w:pStyle w:val="202"/>
              <w:spacing w:line="360" w:lineRule="auto"/>
              <w:rPr>
                <w:rFonts w:hint="eastAsia" w:ascii="宋体" w:hAnsi="宋体" w:cs="宋体"/>
                <w:sz w:val="24"/>
              </w:rPr>
            </w:pPr>
          </w:p>
        </w:tc>
        <w:tc>
          <w:tcPr>
            <w:tcW w:w="954" w:type="dxa"/>
            <w:vMerge w:val="restart"/>
            <w:vAlign w:val="center"/>
          </w:tcPr>
          <w:p>
            <w:pPr>
              <w:pStyle w:val="202"/>
              <w:spacing w:line="360" w:lineRule="auto"/>
              <w:jc w:val="left"/>
              <w:rPr>
                <w:rFonts w:hint="default" w:ascii="宋体" w:hAnsi="宋体" w:cs="宋体"/>
                <w:sz w:val="24"/>
                <w:lang w:val="en-US" w:eastAsia="zh-CN"/>
              </w:rPr>
            </w:pPr>
            <w:r>
              <w:rPr>
                <w:rFonts w:hint="eastAsia" w:ascii="宋体" w:hAnsi="宋体" w:cs="宋体"/>
                <w:sz w:val="24"/>
                <w:lang w:val="en-US" w:eastAsia="zh-CN"/>
              </w:rPr>
              <w:t>服务方案</w:t>
            </w:r>
          </w:p>
        </w:tc>
        <w:tc>
          <w:tcPr>
            <w:tcW w:w="955"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活动策划方案</w:t>
            </w:r>
          </w:p>
          <w:p>
            <w:pPr>
              <w:pStyle w:val="202"/>
              <w:spacing w:line="360" w:lineRule="auto"/>
              <w:jc w:val="left"/>
              <w:rPr>
                <w:rFonts w:hint="eastAsia" w:ascii="宋体" w:hAnsi="宋体" w:cs="宋体"/>
                <w:sz w:val="24"/>
                <w:lang w:val="en-US" w:eastAsia="zh-CN"/>
              </w:rPr>
            </w:pPr>
          </w:p>
        </w:tc>
        <w:tc>
          <w:tcPr>
            <w:tcW w:w="5504"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供应商提供完整的活动策划方案【1、主题策划方案（须围绕 “成都文化四季风”的主题，具有双流特色、反映出双流的辉煌成就，内容符合党和国家的政策）2、节目演出形式策划方案（至少包含演出形式种类、各类形式的节目清单）3、原创节目创作方案（至少包含创作大纲、创作思路）4、宣传策划方案（包含宣传方式、媒体资源、宣传计划、宣传频率等）】得24分，每缺一项方案的扣6分；提供的方案中每有一处具有缺陷（缺陷是指：存在不适用项目实际情况的情形、凭空编造、方案中内容前后不一致、前后逻辑错误、涉及的规范及标准错误、地点区域错误、内容缺失、不符合采购需求等）的扣3分，扣完为止。</w:t>
            </w:r>
          </w:p>
        </w:tc>
        <w:tc>
          <w:tcPr>
            <w:tcW w:w="875" w:type="dxa"/>
            <w:vAlign w:val="center"/>
          </w:tcPr>
          <w:p>
            <w:pPr>
              <w:pStyle w:val="202"/>
              <w:spacing w:line="360" w:lineRule="auto"/>
              <w:rPr>
                <w:rFonts w:hint="default" w:ascii="宋体" w:hAnsi="宋体" w:cs="宋体"/>
                <w:sz w:val="24"/>
                <w:lang w:val="en-US" w:eastAsia="zh-CN"/>
              </w:rPr>
            </w:pPr>
            <w:r>
              <w:rPr>
                <w:rFonts w:hint="eastAsia" w:ascii="宋体" w:hAnsi="宋体" w:cs="宋体"/>
                <w:sz w:val="24"/>
                <w:lang w:val="en-US" w:eastAsia="zh-CN"/>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51" w:type="dxa"/>
            <w:vMerge w:val="continue"/>
            <w:vAlign w:val="center"/>
          </w:tcPr>
          <w:p>
            <w:pPr>
              <w:pStyle w:val="202"/>
              <w:spacing w:line="360" w:lineRule="auto"/>
              <w:rPr>
                <w:rFonts w:hint="eastAsia" w:ascii="宋体" w:hAnsi="宋体" w:cs="宋体"/>
                <w:sz w:val="24"/>
              </w:rPr>
            </w:pPr>
          </w:p>
        </w:tc>
        <w:tc>
          <w:tcPr>
            <w:tcW w:w="954" w:type="dxa"/>
            <w:vMerge w:val="continue"/>
            <w:vAlign w:val="center"/>
          </w:tcPr>
          <w:p>
            <w:pPr>
              <w:pStyle w:val="202"/>
              <w:spacing w:line="360" w:lineRule="auto"/>
              <w:jc w:val="left"/>
              <w:rPr>
                <w:rFonts w:hint="eastAsia" w:ascii="宋体" w:hAnsi="宋体" w:cs="宋体"/>
                <w:sz w:val="24"/>
                <w:lang w:val="en-US" w:eastAsia="zh-CN"/>
              </w:rPr>
            </w:pPr>
          </w:p>
        </w:tc>
        <w:tc>
          <w:tcPr>
            <w:tcW w:w="955"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演出方案</w:t>
            </w:r>
          </w:p>
          <w:p>
            <w:pPr>
              <w:pStyle w:val="202"/>
              <w:spacing w:line="360" w:lineRule="auto"/>
              <w:jc w:val="left"/>
              <w:rPr>
                <w:rFonts w:hint="eastAsia" w:ascii="宋体" w:hAnsi="宋体" w:cs="宋体"/>
                <w:sz w:val="24"/>
                <w:lang w:val="en-US" w:eastAsia="zh-CN"/>
              </w:rPr>
            </w:pPr>
          </w:p>
        </w:tc>
        <w:tc>
          <w:tcPr>
            <w:tcW w:w="5504"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供应商提供完整的演出方案【1、人员配置清单（包括所有团队人员，列明岗位职责等）及设施设备配置计划（需列明设施设备的清单2、氛围营造方案（包含：融入的互动节目类型、氛围的形成效果和目的等）3、舞台搭建方案（包含：搭建完成时间计划、舞台的美术设计、搭建舞台规模等）】得12分，每缺一项方案的扣4分；提供的方案中每有一处具有缺陷（缺陷是指：存在不适用项目实际情况的情形、凭空编造、方案中内容前后不一致、前后逻辑错误、涉及的规范及标准错误、地点区域错误、内容缺失、不符合采购需求等）的扣2分，扣完为止。</w:t>
            </w:r>
          </w:p>
        </w:tc>
        <w:tc>
          <w:tcPr>
            <w:tcW w:w="875" w:type="dxa"/>
            <w:vAlign w:val="center"/>
          </w:tcPr>
          <w:p>
            <w:pPr>
              <w:pStyle w:val="202"/>
              <w:spacing w:line="360" w:lineRule="auto"/>
              <w:rPr>
                <w:rFonts w:hint="default" w:ascii="宋体" w:hAnsi="宋体" w:cs="宋体"/>
                <w:sz w:val="24"/>
                <w:lang w:val="en-US" w:eastAsia="zh-CN"/>
              </w:rPr>
            </w:pPr>
            <w:r>
              <w:rPr>
                <w:rFonts w:hint="eastAsia" w:ascii="宋体" w:hAnsi="宋体" w:cs="宋体"/>
                <w:sz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51" w:type="dxa"/>
            <w:vMerge w:val="continue"/>
            <w:vAlign w:val="center"/>
          </w:tcPr>
          <w:p>
            <w:pPr>
              <w:pStyle w:val="202"/>
              <w:spacing w:line="360" w:lineRule="auto"/>
              <w:rPr>
                <w:rFonts w:hint="eastAsia" w:ascii="宋体" w:hAnsi="宋体" w:cs="宋体"/>
                <w:sz w:val="24"/>
              </w:rPr>
            </w:pPr>
          </w:p>
        </w:tc>
        <w:tc>
          <w:tcPr>
            <w:tcW w:w="954" w:type="dxa"/>
            <w:vMerge w:val="continue"/>
            <w:vAlign w:val="center"/>
          </w:tcPr>
          <w:p>
            <w:pPr>
              <w:pStyle w:val="202"/>
              <w:spacing w:line="360" w:lineRule="auto"/>
              <w:jc w:val="left"/>
              <w:rPr>
                <w:rFonts w:hint="eastAsia" w:ascii="宋体" w:hAnsi="宋体" w:cs="宋体"/>
                <w:sz w:val="24"/>
                <w:lang w:val="en-US" w:eastAsia="zh-CN"/>
              </w:rPr>
            </w:pPr>
          </w:p>
        </w:tc>
        <w:tc>
          <w:tcPr>
            <w:tcW w:w="955"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应急 方案</w:t>
            </w:r>
          </w:p>
          <w:p>
            <w:pPr>
              <w:pStyle w:val="202"/>
              <w:spacing w:line="360" w:lineRule="auto"/>
              <w:jc w:val="left"/>
              <w:rPr>
                <w:rFonts w:hint="eastAsia" w:ascii="宋体" w:hAnsi="宋体" w:cs="宋体"/>
                <w:sz w:val="24"/>
                <w:lang w:val="en-US" w:eastAsia="zh-CN"/>
              </w:rPr>
            </w:pPr>
          </w:p>
        </w:tc>
        <w:tc>
          <w:tcPr>
            <w:tcW w:w="5504" w:type="dxa"/>
            <w:vAlign w:val="center"/>
          </w:tcPr>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供应商提供的应急方案【1、演出过程中及演出准备过程中的意外及突发时间的处理方案2、灾害天气的应对措施3、在演出活动中设施设备故障处理】得12分，每缺一项方案的扣4分；提供的方案中每有一处具有缺陷（缺陷是指：存在不适用项目实际情况的情形、凭空编造、方案中内容前后不一致、前后逻辑错误、涉及的规范及标准错误、地点区域错误、内容缺失、不符合采购需求等）的扣2分，扣完为止。</w:t>
            </w:r>
          </w:p>
        </w:tc>
        <w:tc>
          <w:tcPr>
            <w:tcW w:w="875" w:type="dxa"/>
            <w:vAlign w:val="center"/>
          </w:tcPr>
          <w:p>
            <w:pPr>
              <w:pStyle w:val="202"/>
              <w:spacing w:line="360" w:lineRule="auto"/>
              <w:rPr>
                <w:rFonts w:hint="default" w:ascii="宋体" w:hAnsi="宋体" w:cs="宋体"/>
                <w:sz w:val="24"/>
                <w:lang w:val="en-US" w:eastAsia="zh-CN"/>
              </w:rPr>
            </w:pPr>
            <w:r>
              <w:rPr>
                <w:rFonts w:hint="eastAsia" w:ascii="宋体" w:hAnsi="宋体" w:cs="宋体"/>
                <w:sz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51" w:type="dxa"/>
            <w:vMerge w:val="restart"/>
            <w:vAlign w:val="center"/>
          </w:tcPr>
          <w:p>
            <w:pPr>
              <w:pStyle w:val="202"/>
              <w:spacing w:line="360" w:lineRule="auto"/>
              <w:rPr>
                <w:rFonts w:hint="eastAsia" w:ascii="宋体" w:hAnsi="宋体" w:cs="宋体"/>
                <w:sz w:val="24"/>
              </w:rPr>
            </w:pPr>
            <w:r>
              <w:rPr>
                <w:rFonts w:hint="eastAsia" w:ascii="宋体" w:hAnsi="宋体" w:cs="宋体"/>
                <w:sz w:val="24"/>
              </w:rPr>
              <w:t>共同评审</w:t>
            </w:r>
          </w:p>
          <w:p>
            <w:pPr>
              <w:pStyle w:val="202"/>
              <w:spacing w:line="360" w:lineRule="auto"/>
              <w:rPr>
                <w:rFonts w:ascii="宋体" w:hAnsi="宋体" w:cs="宋体"/>
                <w:sz w:val="24"/>
              </w:rPr>
            </w:pPr>
          </w:p>
        </w:tc>
        <w:tc>
          <w:tcPr>
            <w:tcW w:w="1909" w:type="dxa"/>
            <w:gridSpan w:val="2"/>
            <w:vAlign w:val="center"/>
          </w:tcPr>
          <w:p>
            <w:pPr>
              <w:pStyle w:val="202"/>
              <w:spacing w:line="360" w:lineRule="auto"/>
              <w:rPr>
                <w:rFonts w:hint="eastAsia" w:ascii="宋体" w:hAnsi="宋体" w:cs="宋体"/>
                <w:sz w:val="24"/>
              </w:rPr>
            </w:pPr>
            <w:r>
              <w:rPr>
                <w:rFonts w:hint="eastAsia" w:ascii="宋体" w:hAnsi="宋体" w:cs="宋体"/>
                <w:sz w:val="24"/>
              </w:rPr>
              <w:t>人员配备</w:t>
            </w:r>
          </w:p>
          <w:p>
            <w:pPr>
              <w:pStyle w:val="202"/>
              <w:spacing w:line="360" w:lineRule="auto"/>
              <w:rPr>
                <w:rFonts w:hint="eastAsia" w:ascii="宋体" w:hAnsi="宋体" w:cs="宋体"/>
                <w:sz w:val="24"/>
              </w:rPr>
            </w:pPr>
          </w:p>
        </w:tc>
        <w:tc>
          <w:tcPr>
            <w:tcW w:w="5504" w:type="dxa"/>
          </w:tcPr>
          <w:p>
            <w:pPr>
              <w:pStyle w:val="202"/>
              <w:spacing w:line="360" w:lineRule="auto"/>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供应商针对本项目配备的主持人每具有1个主持人播音证书的</w:t>
            </w:r>
            <w:r>
              <w:rPr>
                <w:rFonts w:hint="eastAsia" w:ascii="宋体" w:hAnsi="宋体" w:cs="宋体"/>
                <w:sz w:val="24"/>
                <w:lang w:val="en-US" w:eastAsia="zh-CN"/>
              </w:rPr>
              <w:t>得</w:t>
            </w: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分，最多</w:t>
            </w:r>
            <w:r>
              <w:rPr>
                <w:rFonts w:hint="eastAsia" w:ascii="宋体" w:hAnsi="宋体" w:cs="宋体"/>
                <w:sz w:val="24"/>
                <w:lang w:val="en-US" w:eastAsia="zh-CN"/>
              </w:rPr>
              <w:t>得3</w:t>
            </w:r>
            <w:r>
              <w:rPr>
                <w:rFonts w:hint="eastAsia" w:ascii="宋体" w:hAnsi="宋体" w:cs="宋体"/>
                <w:sz w:val="24"/>
              </w:rPr>
              <w:t>分；</w:t>
            </w:r>
          </w:p>
          <w:p>
            <w:pPr>
              <w:pStyle w:val="202"/>
              <w:spacing w:line="360" w:lineRule="auto"/>
              <w:jc w:val="lef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供应商针对本项目配备的设计人员每具有1个舞台舞美设计专业证书的</w:t>
            </w:r>
            <w:r>
              <w:rPr>
                <w:rFonts w:hint="eastAsia" w:ascii="宋体" w:hAnsi="宋体" w:cs="宋体"/>
                <w:sz w:val="24"/>
                <w:lang w:val="en-US" w:eastAsia="zh-CN"/>
              </w:rPr>
              <w:t>得</w:t>
            </w:r>
            <w:r>
              <w:rPr>
                <w:rFonts w:hint="eastAsia" w:ascii="宋体" w:hAnsi="宋体" w:cs="宋体"/>
                <w:sz w:val="24"/>
              </w:rPr>
              <w:t>1分，最多</w:t>
            </w:r>
            <w:r>
              <w:rPr>
                <w:rFonts w:hint="eastAsia" w:ascii="宋体" w:hAnsi="宋体" w:cs="宋体"/>
                <w:sz w:val="24"/>
                <w:lang w:val="en-US" w:eastAsia="zh-CN"/>
              </w:rPr>
              <w:t>得</w:t>
            </w:r>
            <w:r>
              <w:rPr>
                <w:rFonts w:hint="eastAsia" w:ascii="宋体" w:hAnsi="宋体" w:cs="宋体"/>
                <w:sz w:val="24"/>
              </w:rPr>
              <w:t>2分；</w:t>
            </w:r>
          </w:p>
          <w:p>
            <w:pPr>
              <w:pStyle w:val="202"/>
              <w:spacing w:line="360" w:lineRule="auto"/>
              <w:jc w:val="left"/>
              <w:rPr>
                <w:rFonts w:hint="eastAsia" w:ascii="宋体" w:hAnsi="宋体" w:cs="宋体"/>
                <w:sz w:val="24"/>
                <w:lang w:val="en-US" w:eastAsia="zh-CN"/>
              </w:rPr>
            </w:pPr>
            <w:r>
              <w:rPr>
                <w:rFonts w:hint="eastAsia" w:ascii="宋体" w:hAnsi="宋体" w:cs="宋体"/>
                <w:sz w:val="24"/>
                <w:lang w:val="en-US" w:eastAsia="zh-CN"/>
              </w:rPr>
              <w:t>3、</w:t>
            </w:r>
            <w:r>
              <w:rPr>
                <w:rFonts w:hint="eastAsia" w:ascii="宋体" w:hAnsi="宋体" w:cs="宋体"/>
                <w:sz w:val="24"/>
              </w:rPr>
              <w:t>供应商针对本项目配备的导演具有导演证书的得</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lang w:val="en-US" w:eastAsia="zh-CN"/>
              </w:rPr>
              <w:t>最多得2分。</w:t>
            </w:r>
          </w:p>
          <w:p>
            <w:pPr>
              <w:pStyle w:val="202"/>
              <w:spacing w:line="360" w:lineRule="auto"/>
              <w:jc w:val="left"/>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供应商为本项目提供的灯光师具有舞美灯光师证的 ，得</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lang w:val="en-US" w:eastAsia="zh-CN"/>
              </w:rPr>
              <w:t>最多得2分</w:t>
            </w:r>
            <w:r>
              <w:rPr>
                <w:rFonts w:hint="eastAsia" w:ascii="宋体" w:hAnsi="宋体" w:cs="宋体"/>
                <w:sz w:val="24"/>
              </w:rPr>
              <w:t>；</w:t>
            </w:r>
          </w:p>
          <w:p>
            <w:pPr>
              <w:pStyle w:val="202"/>
              <w:spacing w:line="360" w:lineRule="auto"/>
              <w:jc w:val="left"/>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音响师具有舞美音响师证的，得</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lang w:val="en-US" w:eastAsia="zh-CN"/>
              </w:rPr>
              <w:t>最多得2分</w:t>
            </w:r>
            <w:r>
              <w:rPr>
                <w:rFonts w:hint="eastAsia" w:ascii="宋体" w:hAnsi="宋体" w:cs="宋体"/>
                <w:sz w:val="24"/>
              </w:rPr>
              <w:t>；</w:t>
            </w:r>
          </w:p>
          <w:p>
            <w:pPr>
              <w:pStyle w:val="202"/>
              <w:spacing w:line="360" w:lineRule="auto"/>
              <w:jc w:val="left"/>
              <w:rPr>
                <w:rFonts w:hint="default" w:ascii="宋体" w:hAnsi="宋体" w:cs="宋体"/>
                <w:sz w:val="24"/>
                <w:lang w:val="en-US" w:eastAsia="zh-CN"/>
              </w:rPr>
            </w:pPr>
            <w:r>
              <w:rPr>
                <w:rFonts w:hint="eastAsia" w:ascii="宋体" w:hAnsi="宋体" w:cs="宋体"/>
                <w:sz w:val="24"/>
                <w:lang w:val="en-US" w:eastAsia="zh-CN"/>
              </w:rPr>
              <w:t>6、</w:t>
            </w:r>
            <w:r>
              <w:rPr>
                <w:rFonts w:hint="eastAsia" w:ascii="宋体" w:hAnsi="宋体" w:cs="宋体"/>
                <w:sz w:val="24"/>
              </w:rPr>
              <w:t>工作人员中具有舞美视频工程师的，得</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lang w:val="en-US" w:eastAsia="zh-CN"/>
              </w:rPr>
              <w:t>最多得2分</w:t>
            </w:r>
            <w:r>
              <w:rPr>
                <w:rFonts w:hint="eastAsia" w:ascii="宋体" w:hAnsi="宋体" w:cs="宋体"/>
                <w:sz w:val="24"/>
              </w:rPr>
              <w:t>。</w:t>
            </w:r>
          </w:p>
          <w:p>
            <w:pPr>
              <w:pStyle w:val="202"/>
              <w:spacing w:line="360" w:lineRule="auto"/>
              <w:rPr>
                <w:rFonts w:hint="eastAsia" w:ascii="宋体" w:hAnsi="宋体" w:eastAsia="宋体" w:cs="宋体"/>
                <w:sz w:val="24"/>
                <w:lang w:eastAsia="zh-CN"/>
              </w:rPr>
            </w:pPr>
            <w:r>
              <w:rPr>
                <w:rFonts w:hint="eastAsia" w:ascii="宋体" w:hAnsi="宋体" w:cs="宋体"/>
                <w:sz w:val="24"/>
                <w:lang w:val="en-US" w:eastAsia="zh-CN"/>
              </w:rPr>
              <w:t>（说明</w:t>
            </w:r>
            <w:r>
              <w:rPr>
                <w:rFonts w:hint="eastAsia" w:ascii="宋体" w:hAnsi="宋体" w:cs="宋体"/>
                <w:sz w:val="24"/>
              </w:rPr>
              <w:t>：</w:t>
            </w:r>
            <w:r>
              <w:rPr>
                <w:rFonts w:hint="eastAsia" w:ascii="宋体" w:hAnsi="宋体" w:cs="宋体"/>
                <w:sz w:val="24"/>
                <w:lang w:val="en-US" w:eastAsia="zh-CN"/>
              </w:rPr>
              <w:t>以上1-6项</w:t>
            </w:r>
            <w:r>
              <w:rPr>
                <w:rFonts w:hint="eastAsia" w:ascii="宋体" w:hAnsi="宋体" w:cs="宋体"/>
                <w:sz w:val="24"/>
              </w:rPr>
              <w:t>需提供相关证明材料加盖供应商公章。</w:t>
            </w:r>
            <w:r>
              <w:rPr>
                <w:rFonts w:hint="eastAsia" w:ascii="宋体" w:hAnsi="宋体" w:cs="宋体"/>
                <w:sz w:val="24"/>
                <w:lang w:eastAsia="zh-CN"/>
              </w:rPr>
              <w:t>）</w:t>
            </w:r>
          </w:p>
        </w:tc>
        <w:tc>
          <w:tcPr>
            <w:tcW w:w="875" w:type="dxa"/>
            <w:vAlign w:val="center"/>
          </w:tcPr>
          <w:p>
            <w:pPr>
              <w:pStyle w:val="202"/>
              <w:spacing w:line="360" w:lineRule="auto"/>
              <w:rPr>
                <w:rFonts w:hint="default" w:ascii="宋体" w:hAnsi="宋体" w:cs="宋体"/>
                <w:sz w:val="24"/>
                <w:lang w:val="en-US" w:eastAsia="zh-CN"/>
              </w:rPr>
            </w:pPr>
            <w:r>
              <w:rPr>
                <w:rFonts w:hint="eastAsia" w:ascii="宋体" w:hAnsi="宋体" w:cs="宋体"/>
                <w:sz w:val="24"/>
                <w:lang w:val="en-US"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51" w:type="dxa"/>
            <w:vMerge w:val="continue"/>
            <w:vAlign w:val="center"/>
          </w:tcPr>
          <w:p>
            <w:pPr>
              <w:pStyle w:val="202"/>
              <w:spacing w:line="360" w:lineRule="auto"/>
              <w:rPr>
                <w:rFonts w:ascii="宋体" w:hAnsi="宋体" w:cs="宋体"/>
                <w:sz w:val="24"/>
              </w:rPr>
            </w:pPr>
          </w:p>
        </w:tc>
        <w:tc>
          <w:tcPr>
            <w:tcW w:w="1909" w:type="dxa"/>
            <w:gridSpan w:val="2"/>
            <w:vAlign w:val="center"/>
          </w:tcPr>
          <w:p>
            <w:pPr>
              <w:pStyle w:val="202"/>
              <w:spacing w:line="360" w:lineRule="auto"/>
              <w:rPr>
                <w:rFonts w:hint="eastAsia" w:ascii="宋体" w:hAnsi="宋体" w:cs="宋体"/>
                <w:sz w:val="24"/>
              </w:rPr>
            </w:pPr>
            <w:r>
              <w:rPr>
                <w:rFonts w:hint="eastAsia" w:ascii="宋体" w:hAnsi="宋体" w:cs="宋体"/>
                <w:sz w:val="24"/>
              </w:rPr>
              <w:t>履约能力</w:t>
            </w:r>
          </w:p>
        </w:tc>
        <w:tc>
          <w:tcPr>
            <w:tcW w:w="5504" w:type="dxa"/>
          </w:tcPr>
          <w:p>
            <w:pPr>
              <w:pStyle w:val="202"/>
              <w:spacing w:line="360" w:lineRule="auto"/>
              <w:jc w:val="left"/>
              <w:rPr>
                <w:rFonts w:hint="eastAsia" w:ascii="宋体" w:hAnsi="宋体" w:cs="宋体"/>
                <w:sz w:val="24"/>
                <w:highlight w:val="none"/>
              </w:rPr>
            </w:pPr>
            <w:r>
              <w:rPr>
                <w:rFonts w:hint="eastAsia" w:ascii="宋体" w:hAnsi="宋体" w:cs="宋体"/>
                <w:sz w:val="24"/>
              </w:rPr>
              <w:t>供应商20</w:t>
            </w:r>
            <w:r>
              <w:rPr>
                <w:rFonts w:hint="eastAsia" w:ascii="宋体" w:hAnsi="宋体" w:cs="宋体"/>
                <w:sz w:val="24"/>
                <w:highlight w:val="none"/>
              </w:rPr>
              <w:t>18年1月1日至递交响应文件截止日以来，每成功承办一场类似演出项目的得</w:t>
            </w:r>
            <w:r>
              <w:rPr>
                <w:rFonts w:hint="eastAsia" w:ascii="宋体" w:hAnsi="宋体" w:cs="宋体"/>
                <w:sz w:val="24"/>
                <w:highlight w:val="none"/>
                <w:lang w:val="en-US" w:eastAsia="zh-CN"/>
              </w:rPr>
              <w:t>3</w:t>
            </w:r>
            <w:r>
              <w:rPr>
                <w:rFonts w:hint="eastAsia" w:ascii="宋体" w:hAnsi="宋体" w:cs="宋体"/>
                <w:sz w:val="24"/>
                <w:highlight w:val="none"/>
              </w:rPr>
              <w:t>分，最多得1</w:t>
            </w:r>
            <w:r>
              <w:rPr>
                <w:rFonts w:hint="eastAsia" w:ascii="宋体" w:hAnsi="宋体" w:cs="宋体"/>
                <w:sz w:val="24"/>
                <w:highlight w:val="none"/>
                <w:lang w:val="en-US" w:eastAsia="zh-CN"/>
              </w:rPr>
              <w:t>2</w:t>
            </w:r>
            <w:r>
              <w:rPr>
                <w:rFonts w:hint="eastAsia" w:ascii="宋体" w:hAnsi="宋体" w:cs="宋体"/>
                <w:sz w:val="24"/>
                <w:highlight w:val="none"/>
              </w:rPr>
              <w:t>分。</w:t>
            </w:r>
          </w:p>
          <w:p>
            <w:pPr>
              <w:pStyle w:val="202"/>
              <w:spacing w:line="360" w:lineRule="auto"/>
              <w:jc w:val="left"/>
              <w:rPr>
                <w:rFonts w:hint="eastAsia" w:ascii="宋体" w:hAnsi="宋体" w:eastAsia="宋体" w:cs="宋体"/>
                <w:sz w:val="24"/>
                <w:lang w:eastAsia="zh-CN"/>
              </w:rPr>
            </w:pPr>
            <w:r>
              <w:rPr>
                <w:rFonts w:hint="eastAsia" w:ascii="宋体" w:hAnsi="宋体" w:cs="宋体"/>
                <w:sz w:val="24"/>
                <w:highlight w:val="none"/>
                <w:lang w:val="en-US" w:eastAsia="zh-CN"/>
              </w:rPr>
              <w:t>（说明</w:t>
            </w:r>
            <w:r>
              <w:rPr>
                <w:rFonts w:hint="eastAsia" w:ascii="宋体" w:hAnsi="宋体" w:cs="宋体"/>
                <w:sz w:val="24"/>
                <w:highlight w:val="none"/>
              </w:rPr>
              <w:t>：</w:t>
            </w:r>
            <w:r>
              <w:rPr>
                <w:rFonts w:hint="eastAsia" w:ascii="宋体" w:hAnsi="宋体" w:cs="宋体"/>
                <w:sz w:val="24"/>
                <w:highlight w:val="none"/>
                <w:lang w:val="en-US" w:eastAsia="zh-CN"/>
              </w:rPr>
              <w:t>提供合同复印件加</w:t>
            </w:r>
            <w:r>
              <w:rPr>
                <w:rFonts w:hint="eastAsia" w:ascii="宋体" w:hAnsi="宋体" w:cs="宋体"/>
                <w:sz w:val="24"/>
                <w:highlight w:val="none"/>
              </w:rPr>
              <w:t>盖供</w:t>
            </w:r>
            <w:r>
              <w:rPr>
                <w:rFonts w:hint="eastAsia" w:ascii="宋体" w:hAnsi="宋体" w:cs="宋体"/>
                <w:sz w:val="24"/>
              </w:rPr>
              <w:t>应商公章。</w:t>
            </w:r>
            <w:r>
              <w:rPr>
                <w:rFonts w:hint="eastAsia" w:ascii="宋体" w:hAnsi="宋体" w:cs="宋体"/>
                <w:sz w:val="24"/>
                <w:lang w:eastAsia="zh-CN"/>
              </w:rPr>
              <w:t>）</w:t>
            </w:r>
          </w:p>
        </w:tc>
        <w:tc>
          <w:tcPr>
            <w:tcW w:w="875" w:type="dxa"/>
            <w:vAlign w:val="center"/>
          </w:tcPr>
          <w:p>
            <w:pPr>
              <w:pStyle w:val="202"/>
              <w:spacing w:line="360" w:lineRule="auto"/>
              <w:rPr>
                <w:rFonts w:ascii="宋体" w:hAnsi="宋体" w:cs="宋体"/>
                <w:sz w:val="24"/>
              </w:rPr>
            </w:pPr>
            <w:r>
              <w:rPr>
                <w:rFonts w:hint="eastAsia" w:ascii="宋体" w:hAnsi="宋体" w:cs="宋体"/>
                <w:sz w:val="24"/>
                <w:lang w:val="en-US" w:eastAsia="zh-CN"/>
              </w:rPr>
              <w:t>12</w:t>
            </w:r>
            <w:r>
              <w:rPr>
                <w:rFonts w:hint="eastAsia" w:ascii="宋体" w:hAnsi="宋体" w:cs="宋体"/>
                <w:sz w:val="24"/>
              </w:rPr>
              <w:t>分</w:t>
            </w:r>
          </w:p>
        </w:tc>
      </w:tr>
    </w:tbl>
    <w:p>
      <w:pPr>
        <w:pStyle w:val="2"/>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80" w:leftChars="0" w:firstLine="482" w:firstLineChars="0"/>
        <w:rPr>
          <w:rFonts w:cs="宋体"/>
          <w:color w:val="auto"/>
          <w:szCs w:val="24"/>
          <w:highlight w:val="none"/>
        </w:rPr>
      </w:pPr>
      <w:r>
        <w:rPr>
          <w:rFonts w:hint="eastAsia" w:cs="宋体"/>
          <w:color w:val="auto"/>
          <w:szCs w:val="24"/>
          <w:highlight w:val="none"/>
        </w:rPr>
        <w:t>推荐成交候选供应商</w:t>
      </w:r>
    </w:p>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ascii="宋体" w:hAnsi="宋体" w:cs="宋体"/>
          <w:color w:val="auto"/>
          <w:highlight w:val="none"/>
        </w:rPr>
      </w:pPr>
      <w:r>
        <w:rPr>
          <w:rFonts w:hint="eastAsia" w:ascii="宋体" w:hAnsi="宋体" w:eastAsia="宋体" w:cs="宋体"/>
          <w:sz w:val="24"/>
          <w:szCs w:val="24"/>
          <w:highlight w:val="none"/>
          <w:lang w:val="en-US" w:eastAsia="zh-CN"/>
        </w:rPr>
        <w:t>磋商小组应当根据综合评分情况，按照评审得分由高到低顺序推荐3名以上成交候选供应商(符合《财政部关于政府采购竞争性磋商采购方式管理暂行办法有关问题的补充通知》财库</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2015</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124</w:t>
      </w:r>
      <w:r>
        <w:rPr>
          <w:rFonts w:hint="eastAsia" w:ascii="宋体" w:hAnsi="宋体" w:eastAsia="宋体" w:cs="宋体"/>
          <w:sz w:val="24"/>
          <w:szCs w:val="24"/>
          <w:highlight w:val="none"/>
          <w:lang w:val="en-US" w:eastAsia="zh-CN"/>
        </w:rPr>
        <w:t>号文要求的除外)，并编写评审报告。评审得分相同的，按照最后报价由低到高的顺序推荐。为扶持不发达地区和少数民族地区，得分且报价相同的，评审委员会优先推荐企业注册地在不发达地区和少数民族地区的供应商。</w:t>
      </w:r>
    </w:p>
    <w:p>
      <w:pPr>
        <w:pStyle w:val="4"/>
        <w:rPr>
          <w:color w:val="auto"/>
          <w:highlight w:val="none"/>
        </w:rPr>
      </w:pPr>
      <w:bookmarkStart w:id="272" w:name="_Toc287623648"/>
      <w:bookmarkStart w:id="273" w:name="_Toc19956"/>
      <w:r>
        <w:rPr>
          <w:rFonts w:hint="eastAsia"/>
          <w:color w:val="auto"/>
          <w:highlight w:val="none"/>
        </w:rPr>
        <w:t>确定成交供应商</w:t>
      </w:r>
      <w:bookmarkEnd w:id="272"/>
      <w:bookmarkEnd w:id="273"/>
    </w:p>
    <w:p>
      <w:pPr>
        <w:pStyle w:val="5"/>
        <w:ind w:left="8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8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2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29"/>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2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2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0"/>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74" w:name="_Toc287623649"/>
      <w:r>
        <w:rPr>
          <w:rFonts w:hint="eastAsia" w:ascii="宋体" w:hAnsi="宋体" w:cs="宋体"/>
          <w:color w:val="auto"/>
          <w:highlight w:val="none"/>
        </w:rPr>
        <w:t>成交候选供应商存在违法、违纪行为的；</w:t>
      </w:r>
    </w:p>
    <w:p>
      <w:pPr>
        <w:numPr>
          <w:ilvl w:val="1"/>
          <w:numId w:val="30"/>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75" w:name="_Toc31319"/>
      <w:r>
        <w:rPr>
          <w:rFonts w:hint="eastAsia"/>
          <w:color w:val="auto"/>
          <w:highlight w:val="none"/>
        </w:rPr>
        <w:t>成交</w:t>
      </w:r>
      <w:bookmarkEnd w:id="274"/>
      <w:r>
        <w:rPr>
          <w:rFonts w:hint="eastAsia"/>
          <w:color w:val="auto"/>
          <w:highlight w:val="none"/>
        </w:rPr>
        <w:t>结果</w:t>
      </w:r>
      <w:bookmarkEnd w:id="275"/>
    </w:p>
    <w:p>
      <w:pPr>
        <w:widowControl w:val="0"/>
        <w:numPr>
          <w:ilvl w:val="0"/>
          <w:numId w:val="31"/>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1"/>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76" w:name="_Toc405886181"/>
      <w:bookmarkStart w:id="277" w:name="_Toc27927"/>
      <w:r>
        <w:rPr>
          <w:rFonts w:hint="eastAsia"/>
          <w:color w:val="auto"/>
          <w:highlight w:val="none"/>
        </w:rPr>
        <w:t>询问、质疑</w:t>
      </w:r>
      <w:bookmarkEnd w:id="276"/>
      <w:r>
        <w:rPr>
          <w:rFonts w:hint="eastAsia"/>
          <w:color w:val="auto"/>
          <w:highlight w:val="none"/>
        </w:rPr>
        <w:t>和投诉</w:t>
      </w:r>
      <w:bookmarkEnd w:id="277"/>
    </w:p>
    <w:p>
      <w:pPr>
        <w:pStyle w:val="27"/>
        <w:keepNext w:val="0"/>
        <w:keepLines w:val="0"/>
        <w:pageBreakBefore w:val="0"/>
        <w:numPr>
          <w:ilvl w:val="0"/>
          <w:numId w:val="32"/>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eastAsia="宋体" w:cs="宋体"/>
          <w:bCs/>
          <w:color w:val="auto"/>
          <w:kern w:val="36"/>
          <w:sz w:val="24"/>
          <w:szCs w:val="24"/>
          <w:highlight w:val="none"/>
        </w:rPr>
        <w:t>&lt;中华人民共和国政府采购法实施条例&gt;等的若干规定</w:t>
      </w:r>
      <w:r>
        <w:rPr>
          <w:rFonts w:hint="eastAsia" w:ascii="宋体" w:hAnsi="宋体" w:eastAsia="宋体" w:cs="宋体"/>
          <w:color w:val="auto"/>
          <w:sz w:val="24"/>
          <w:szCs w:val="24"/>
          <w:highlight w:val="none"/>
        </w:rPr>
        <w:t>》的规定办理。</w:t>
      </w:r>
    </w:p>
    <w:p>
      <w:pPr>
        <w:pStyle w:val="27"/>
        <w:keepNext w:val="0"/>
        <w:keepLines w:val="0"/>
        <w:pageBreakBefore w:val="0"/>
        <w:numPr>
          <w:ilvl w:val="0"/>
          <w:numId w:val="32"/>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供应商提出的询问，应当明确询问事项，如以书面形式提出的，应由供应商签字并加盖单位公章。</w:t>
      </w:r>
    </w:p>
    <w:p>
      <w:pPr>
        <w:pStyle w:val="27"/>
        <w:keepNext w:val="0"/>
        <w:keepLines w:val="0"/>
        <w:pageBreakBefore w:val="0"/>
        <w:numPr>
          <w:ilvl w:val="0"/>
          <w:numId w:val="32"/>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pStyle w:val="27"/>
        <w:keepNext w:val="0"/>
        <w:keepLines w:val="0"/>
        <w:pageBreakBefore w:val="0"/>
        <w:numPr>
          <w:ilvl w:val="0"/>
          <w:numId w:val="32"/>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供应商提出质疑应当提交质疑函和必要的证明材料。质疑函应当包括下列内容</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（六）提出质疑的日期。</w:t>
      </w:r>
    </w:p>
    <w:p>
      <w:pPr>
        <w:pStyle w:val="4"/>
        <w:rPr>
          <w:color w:val="auto"/>
          <w:highlight w:val="none"/>
        </w:rPr>
      </w:pPr>
      <w:bookmarkStart w:id="278" w:name="_Toc12425"/>
      <w:bookmarkStart w:id="279" w:name="_Toc287623650"/>
      <w:r>
        <w:rPr>
          <w:rFonts w:hint="eastAsia"/>
          <w:color w:val="auto"/>
          <w:highlight w:val="none"/>
        </w:rPr>
        <w:t>签订合同</w:t>
      </w:r>
      <w:bookmarkEnd w:id="278"/>
      <w:bookmarkEnd w:id="279"/>
    </w:p>
    <w:p>
      <w:pPr>
        <w:numPr>
          <w:ilvl w:val="0"/>
          <w:numId w:val="33"/>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3"/>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3"/>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3"/>
        </w:numPr>
        <w:tabs>
          <w:tab w:val="left" w:pos="1134"/>
        </w:tabs>
        <w:snapToGrid w:val="0"/>
        <w:spacing w:line="360" w:lineRule="auto"/>
        <w:ind w:firstLine="480" w:firstLineChars="200"/>
        <w:rPr>
          <w:rFonts w:ascii="宋体" w:hAnsi="宋体" w:cs="宋体"/>
          <w:color w:val="auto"/>
          <w:highlight w:val="none"/>
        </w:rPr>
      </w:pPr>
      <w:bookmarkStart w:id="280"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80"/>
    <w:p>
      <w:pPr>
        <w:pStyle w:val="4"/>
        <w:rPr>
          <w:color w:val="auto"/>
          <w:highlight w:val="none"/>
        </w:rPr>
      </w:pPr>
      <w:bookmarkStart w:id="281" w:name="_Toc18639"/>
      <w:bookmarkStart w:id="282" w:name="_Toc217446070"/>
      <w:r>
        <w:rPr>
          <w:rFonts w:hint="eastAsia"/>
          <w:color w:val="auto"/>
          <w:highlight w:val="none"/>
        </w:rPr>
        <w:t>采购人增加合同的权利</w:t>
      </w:r>
      <w:bookmarkEnd w:id="281"/>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83" w:name="_Toc30491"/>
      <w:r>
        <w:rPr>
          <w:rFonts w:hint="eastAsia"/>
          <w:color w:val="auto"/>
          <w:highlight w:val="none"/>
        </w:rPr>
        <w:t>履行合同</w:t>
      </w:r>
      <w:bookmarkEnd w:id="283"/>
    </w:p>
    <w:p>
      <w:pPr>
        <w:widowControl w:val="0"/>
        <w:numPr>
          <w:ilvl w:val="0"/>
          <w:numId w:val="3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82"/>
    <w:p>
      <w:pPr>
        <w:pStyle w:val="4"/>
        <w:rPr>
          <w:color w:val="auto"/>
          <w:highlight w:val="none"/>
        </w:rPr>
      </w:pPr>
      <w:bookmarkStart w:id="284" w:name="_Toc27146"/>
      <w:r>
        <w:rPr>
          <w:rFonts w:hint="eastAsia"/>
          <w:color w:val="auto"/>
          <w:highlight w:val="none"/>
        </w:rPr>
        <w:t>竞争性磋商工作纪律及要求</w:t>
      </w:r>
      <w:bookmarkEnd w:id="284"/>
    </w:p>
    <w:p>
      <w:pPr>
        <w:pStyle w:val="5"/>
        <w:ind w:left="80" w:leftChars="0" w:firstLine="482" w:firstLineChars="0"/>
        <w:rPr>
          <w:rFonts w:cs="宋体"/>
          <w:color w:val="auto"/>
          <w:szCs w:val="24"/>
          <w:highlight w:val="none"/>
        </w:rPr>
      </w:pPr>
      <w:bookmarkStart w:id="285" w:name="_Toc421781446"/>
      <w:bookmarkStart w:id="286" w:name="_Toc320698748"/>
      <w:r>
        <w:rPr>
          <w:rFonts w:hint="eastAsia" w:cs="宋体"/>
          <w:color w:val="auto"/>
          <w:szCs w:val="24"/>
          <w:highlight w:val="none"/>
        </w:rPr>
        <w:t>采购人工作职责</w:t>
      </w:r>
      <w:bookmarkEnd w:id="28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86"/>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87" w:name="_Toc421781447"/>
      <w:bookmarkStart w:id="288" w:name="_Toc320698749"/>
      <w:r>
        <w:rPr>
          <w:rFonts w:hint="eastAsia" w:cs="宋体"/>
          <w:color w:val="auto"/>
          <w:szCs w:val="24"/>
          <w:highlight w:val="none"/>
        </w:rPr>
        <w:t>采购执行机构工作职责</w:t>
      </w:r>
      <w:bookmarkEnd w:id="287"/>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88"/>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89" w:name="_Toc421781448"/>
      <w:bookmarkStart w:id="290" w:name="_Toc320698750"/>
      <w:r>
        <w:rPr>
          <w:rFonts w:hint="eastAsia" w:cs="宋体"/>
          <w:color w:val="auto"/>
          <w:szCs w:val="24"/>
          <w:highlight w:val="none"/>
        </w:rPr>
        <w:t>磋商小组工作职责</w:t>
      </w:r>
      <w:bookmarkEnd w:id="289"/>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90"/>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80" w:leftChars="0" w:firstLine="482" w:firstLineChars="0"/>
        <w:rPr>
          <w:rFonts w:cs="宋体"/>
          <w:color w:val="auto"/>
          <w:szCs w:val="24"/>
          <w:highlight w:val="none"/>
        </w:rPr>
      </w:pPr>
      <w:bookmarkStart w:id="291" w:name="_Toc421781449"/>
      <w:bookmarkStart w:id="292" w:name="_Toc320698751"/>
      <w:r>
        <w:rPr>
          <w:rFonts w:hint="eastAsia" w:cs="宋体"/>
          <w:color w:val="auto"/>
          <w:szCs w:val="24"/>
          <w:highlight w:val="none"/>
        </w:rPr>
        <w:t>供应商职责</w:t>
      </w:r>
      <w:bookmarkEnd w:id="291"/>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92"/>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93" w:name="_Toc11831"/>
      <w:r>
        <w:rPr>
          <w:rFonts w:hint="eastAsia"/>
          <w:color w:val="auto"/>
          <w:highlight w:val="none"/>
        </w:rPr>
        <w:t>回避</w:t>
      </w:r>
      <w:bookmarkEnd w:id="293"/>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94" w:name="_Toc1913"/>
      <w:r>
        <w:rPr>
          <w:rFonts w:hint="eastAsia"/>
          <w:color w:val="auto"/>
          <w:highlight w:val="none"/>
        </w:rPr>
        <w:t>其他</w:t>
      </w:r>
      <w:bookmarkEnd w:id="294"/>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39"/>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295" w:name="_Toc21572"/>
      <w:r>
        <w:rPr>
          <w:rFonts w:hint="eastAsia"/>
          <w:color w:val="auto"/>
          <w:highlight w:val="none"/>
        </w:rPr>
        <w:t>项目技术、服务及其他要求</w:t>
      </w:r>
      <w:bookmarkEnd w:id="295"/>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bookmarkStart w:id="296" w:name="_Toc18011"/>
      <w:bookmarkStart w:id="297" w:name="_Toc23195"/>
      <w:r>
        <w:rPr>
          <w:rFonts w:hint="eastAsia" w:ascii="宋体" w:hAnsi="宋体" w:eastAsia="宋体" w:cs="宋体"/>
          <w:color w:val="auto"/>
          <w:sz w:val="24"/>
          <w:szCs w:val="24"/>
          <w:highlight w:val="none"/>
          <w:lang w:val="en-US" w:eastAsia="zh-CN"/>
        </w:rPr>
        <w:t>项目概述</w:t>
      </w:r>
      <w:bookmarkEnd w:id="296"/>
    </w:p>
    <w:bookmarkEnd w:id="297"/>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color w:val="auto"/>
          <w:kern w:val="2"/>
          <w:sz w:val="24"/>
          <w:szCs w:val="24"/>
          <w:highlight w:val="none"/>
          <w:lang w:val="en-US" w:eastAsia="zh-CN"/>
        </w:rPr>
      </w:pPr>
      <w:bookmarkStart w:id="298" w:name="_Toc26098"/>
      <w:r>
        <w:rPr>
          <w:rFonts w:hint="eastAsia" w:ascii="宋体" w:hAnsi="宋体" w:eastAsia="宋体" w:cs="宋体"/>
          <w:color w:val="auto"/>
          <w:kern w:val="2"/>
          <w:sz w:val="24"/>
          <w:szCs w:val="24"/>
          <w:highlight w:val="none"/>
          <w:lang w:val="en-US" w:eastAsia="zh-CN"/>
        </w:rPr>
        <w:t>本项目拟通过竞争性磋商，确定一名供应商为本项目提供相关服务。</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bookmarkStart w:id="299" w:name="_Toc33"/>
      <w:r>
        <w:rPr>
          <w:rFonts w:hint="eastAsia" w:ascii="宋体" w:hAnsi="宋体" w:eastAsia="宋体" w:cs="宋体"/>
          <w:color w:val="auto"/>
          <w:sz w:val="24"/>
          <w:szCs w:val="24"/>
          <w:highlight w:val="none"/>
          <w:lang w:val="en-US" w:eastAsia="zh-CN"/>
        </w:rPr>
        <w:t>服务内容</w:t>
      </w:r>
      <w:bookmarkEnd w:id="29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rPr>
        <w:t>4个系列的主题惠民文化活动（区级集中示范活动不少于4场，群众普及型活动、选送节目场次、线上相关活动由采购人根据实际情况确定）</w:t>
      </w:r>
      <w:r>
        <w:rPr>
          <w:rFonts w:hint="eastAsia" w:ascii="宋体" w:hAnsi="宋体" w:eastAsia="宋体" w:cs="宋体"/>
          <w:color w:val="000000"/>
          <w:sz w:val="24"/>
          <w:szCs w:val="24"/>
          <w:lang w:eastAsia="zh-CN"/>
        </w:rPr>
        <w:t>。</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bookmarkStart w:id="300" w:name="_Toc5730"/>
      <w:r>
        <w:rPr>
          <w:rFonts w:hint="eastAsia" w:ascii="宋体" w:hAnsi="宋体" w:eastAsia="宋体" w:cs="宋体"/>
          <w:sz w:val="24"/>
          <w:szCs w:val="24"/>
          <w:highlight w:val="none"/>
          <w:lang w:val="en-US" w:eastAsia="zh-CN"/>
        </w:rPr>
        <w:t>主题要求</w:t>
      </w:r>
      <w:bookmarkEnd w:id="300"/>
    </w:p>
    <w:p>
      <w:pPr>
        <w:pStyle w:val="5"/>
        <w:bidi w:val="0"/>
        <w:ind w:left="0" w:leftChars="0" w:firstLine="480" w:firstLineChars="200"/>
        <w:rPr>
          <w:rFonts w:hint="eastAsia"/>
          <w:b w:val="0"/>
          <w:bCs w:val="0"/>
        </w:rPr>
      </w:pPr>
      <w:r>
        <w:rPr>
          <w:rFonts w:hint="eastAsia"/>
          <w:b w:val="0"/>
          <w:bCs w:val="0"/>
        </w:rPr>
        <w:t>所有节目内容符合党和国家的政策，节目内容积极健康、群众喜闻乐见，具有较高的艺术水平、充分体现思想性、艺术性和观赏性的统一（每场演出由采购人确定演出主题）。</w:t>
      </w:r>
    </w:p>
    <w:p>
      <w:pPr>
        <w:pStyle w:val="5"/>
        <w:bidi w:val="0"/>
        <w:ind w:left="0" w:leftChars="0" w:firstLine="480" w:firstLineChars="2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演出节目应符合“成都文化四季风”（民俗闹春、音乐消夏、欢歌庆秋、劲舞暖冬）广场群众文化活动宗旨及要求进行节目组织（包括创作、编排、演出、选送、参演、线上活动的组织实施等）。</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bookmarkStart w:id="301" w:name="_Toc28114"/>
      <w:r>
        <w:rPr>
          <w:rFonts w:hint="eastAsia" w:ascii="宋体" w:hAnsi="宋体" w:eastAsia="宋体" w:cs="宋体"/>
          <w:sz w:val="24"/>
          <w:szCs w:val="24"/>
          <w:highlight w:val="none"/>
          <w:lang w:val="en-US" w:eastAsia="zh-CN"/>
        </w:rPr>
        <w:t>内容形式</w:t>
      </w:r>
      <w:bookmarkEnd w:id="301"/>
    </w:p>
    <w:p>
      <w:pPr>
        <w:pStyle w:val="5"/>
        <w:bidi w:val="0"/>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线下活动要求：</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如非特殊规定，每台演出节目应包含以下要求：</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每台节目艺术形式不低于三种（如：声乐、器乐、舞蹈、魔术、杂技、曲艺等），每场演出节目不低于12个，演出时长不得低于90分钟（具体情况由采购人根据实际情况确认）。</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000000"/>
          <w:sz w:val="24"/>
          <w:szCs w:val="24"/>
        </w:rPr>
        <w:t>节目应具有创新亮点，并具有双流特色，反映双流经济社会各项事业取得的辉煌成就，社会和谐、人民幸福、奋斗目标及城市精神等（除本土节目外，供应商按主题补充提供演出节目，有2个及</w:t>
      </w:r>
      <w:r>
        <w:rPr>
          <w:rFonts w:hint="eastAsia" w:ascii="宋体" w:hAnsi="宋体" w:eastAsia="宋体" w:cs="宋体"/>
          <w:color w:val="auto"/>
          <w:sz w:val="24"/>
          <w:szCs w:val="24"/>
        </w:rPr>
        <w:t>以上原创节目，由采购人审定）。</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有1—2个市级以上获奖节目。</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演职人员</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演员人数不得少于20人（含2名专业主持人），后勤保障人员不得少于8人（其中，活动执行不少于2人，专业音控、灯光师不少于2人，电工不少于1人）</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舞台舞美</w:t>
      </w:r>
    </w:p>
    <w:p>
      <w:pPr>
        <w:pStyle w:val="14"/>
        <w:keepNext w:val="0"/>
        <w:keepLines w:val="0"/>
        <w:pageBreakBefore w:val="0"/>
        <w:widowControl w:val="0"/>
        <w:numPr>
          <w:ilvl w:val="0"/>
          <w:numId w:val="4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根据采购人要求，进行舞台舞美设计、搭建及现场布置实施工作。演出舞台搭建、舞美设计、音响等舞台设施在满足整体呈现效果的前提下需满足以</w:t>
      </w:r>
      <w:r>
        <w:rPr>
          <w:rFonts w:hint="eastAsia" w:ascii="宋体" w:hAnsi="宋体" w:eastAsia="宋体" w:cs="宋体"/>
          <w:color w:val="auto"/>
          <w:sz w:val="24"/>
          <w:szCs w:val="24"/>
          <w:highlight w:val="none"/>
        </w:rPr>
        <w:t>下要求：舞台搭建面积不少于160平方米</w:t>
      </w:r>
      <w:r>
        <w:rPr>
          <w:rFonts w:hint="eastAsia" w:ascii="宋体" w:hAnsi="宋体" w:eastAsia="宋体" w:cs="宋体"/>
          <w:color w:val="auto"/>
          <w:sz w:val="24"/>
          <w:szCs w:val="24"/>
        </w:rPr>
        <w:t>；需配置舞台梯步及地毯；舞台背景设置高度不得低于5米，应与舞台完美匹配并确保安全（</w:t>
      </w:r>
      <w:r>
        <w:rPr>
          <w:rFonts w:hint="eastAsia" w:ascii="宋体" w:hAnsi="宋体" w:eastAsia="宋体" w:cs="宋体"/>
          <w:color w:val="auto"/>
          <w:sz w:val="24"/>
          <w:szCs w:val="24"/>
          <w:highlight w:val="none"/>
        </w:rPr>
        <w:t>是否使用室外LED屏</w:t>
      </w:r>
      <w:r>
        <w:rPr>
          <w:rFonts w:hint="eastAsia" w:ascii="宋体" w:hAnsi="宋体" w:cs="宋体"/>
          <w:color w:val="auto"/>
          <w:sz w:val="24"/>
          <w:szCs w:val="24"/>
          <w:highlight w:val="none"/>
          <w:lang w:val="en-US" w:eastAsia="zh-CN"/>
        </w:rPr>
        <w:t>由</w:t>
      </w:r>
      <w:r>
        <w:rPr>
          <w:rFonts w:hint="eastAsia" w:ascii="宋体" w:hAnsi="宋体" w:eastAsia="宋体" w:cs="宋体"/>
          <w:color w:val="auto"/>
          <w:sz w:val="24"/>
          <w:szCs w:val="24"/>
          <w:highlight w:val="none"/>
        </w:rPr>
        <w:t>采购方根据实际情况确定，但应不少于1场使用室外LED屏</w:t>
      </w:r>
      <w:r>
        <w:rPr>
          <w:rFonts w:hint="eastAsia" w:ascii="宋体" w:hAnsi="宋体" w:eastAsia="宋体" w:cs="宋体"/>
          <w:color w:val="auto"/>
          <w:sz w:val="24"/>
          <w:szCs w:val="24"/>
        </w:rPr>
        <w:t>）。</w:t>
      </w:r>
    </w:p>
    <w:p>
      <w:pPr>
        <w:pStyle w:val="14"/>
        <w:keepNext w:val="0"/>
        <w:keepLines w:val="0"/>
        <w:pageBreakBefore w:val="0"/>
        <w:widowControl w:val="0"/>
        <w:numPr>
          <w:ilvl w:val="0"/>
          <w:numId w:val="4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配备音响及反听不少于4对，功放器、调音台、效果器、音响处理器等专业设备齐全；配备无线话筒不得低于6支以及配备保证演出效果数量的耳麦及立式支架话筒等相关设施。</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相关配套</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每场不少于200张凳子。（根据现场条件及采购人要求提供）。</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评审桌及座牌等（根据采购人要求提供）。</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每场节目单不少于50张（材质及设计根据采购人要求制作、印刷）。</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铁马、护栏等安全设施（根据场条件及采购人要求提供）。</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更衣室、休息室等配套设施（根据场条件及采购人要求提供）。</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根据现场观众数量提供一次性雨衣、手帕、荧光棒等（根据采购人要求提供）。</w:t>
      </w:r>
    </w:p>
    <w:p>
      <w:pPr>
        <w:pStyle w:val="14"/>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节目串词（有一定文字功底，专门撰写节目串词的人员，并根据采购方要求于正式演出前3天提供）。</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其他要求</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活动必须具有本地特色，在开展集中示范活动之前，如有必要，需通过开展群众示范活动、筛选、推荐等方式确定本土优秀节目、原创优秀节目及获奖节目等（由采购人根据实际情况确定）。</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活动开展前需与采购方积极对接，根据采购人要求制定并提交演出方案，演出时间、具体地点由采购人根据实际情况确定。</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根据演出服务要求，对本项目方案设计、舞台搭建施工、演出项目实施等安全性的专业评估报告，并具备完备的突发事件应急预案，确保演出活动安全有</w:t>
      </w:r>
      <w:r>
        <w:rPr>
          <w:rFonts w:hint="eastAsia" w:ascii="宋体" w:hAnsi="宋体" w:eastAsia="宋体" w:cs="宋体"/>
          <w:color w:val="auto"/>
          <w:sz w:val="24"/>
          <w:szCs w:val="24"/>
          <w:highlight w:val="none"/>
        </w:rPr>
        <w:t>序</w:t>
      </w:r>
      <w:r>
        <w:rPr>
          <w:rFonts w:hint="eastAsia" w:ascii="宋体" w:hAnsi="宋体" w:cs="宋体"/>
          <w:color w:val="auto"/>
          <w:sz w:val="24"/>
          <w:szCs w:val="24"/>
          <w:highlight w:val="none"/>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★需承诺根据采购人要求，负责进行演出现场和舞台的美术设计及搭建实施工作，并确保舞台安全牢固。若因舞台、背景、电源、电线等问题造成的损失或事故由供应商全权负责。</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采购人有权选送本项目中的优秀节目参与区级及以上组织的汇演、评选等文化活动，不再另行支付相关费用（包括车辆租赁、人员劳务、误餐等）。</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演出活动制定宣传工作方案，在演出前演出现场及周边地区进行广泛宣传，演出现场还要进行适度的氛围营造，扩大演出地群众知晓率，邀请区级及以上主流媒体（包括平媒、电媒、网媒）围绕本项目开展全面的宣传报道。央级媒体宣传报道</w:t>
      </w:r>
      <w:r>
        <w:rPr>
          <w:rFonts w:hint="eastAsia" w:ascii="宋体" w:hAnsi="宋体" w:eastAsia="宋体" w:cs="宋体"/>
          <w:color w:val="auto"/>
          <w:sz w:val="24"/>
          <w:szCs w:val="24"/>
          <w:shd w:val="clear" w:color="auto" w:fill="FFFFFF"/>
        </w:rPr>
        <w:t>每场</w:t>
      </w:r>
      <w:r>
        <w:rPr>
          <w:rFonts w:hint="eastAsia" w:ascii="宋体" w:hAnsi="宋体" w:eastAsia="宋体" w:cs="宋体"/>
          <w:color w:val="auto"/>
          <w:sz w:val="24"/>
          <w:szCs w:val="24"/>
        </w:rPr>
        <w:t>不少于2篇，省级媒体宣传报道</w:t>
      </w:r>
      <w:r>
        <w:rPr>
          <w:rFonts w:hint="eastAsia" w:ascii="宋体" w:hAnsi="宋体" w:eastAsia="宋体" w:cs="宋体"/>
          <w:color w:val="auto"/>
          <w:sz w:val="24"/>
          <w:szCs w:val="24"/>
          <w:shd w:val="clear" w:color="auto" w:fill="FFFFFF"/>
        </w:rPr>
        <w:t>每场</w:t>
      </w:r>
      <w:r>
        <w:rPr>
          <w:rFonts w:hint="eastAsia" w:ascii="宋体" w:hAnsi="宋体" w:eastAsia="宋体" w:cs="宋体"/>
          <w:color w:val="auto"/>
          <w:sz w:val="24"/>
          <w:szCs w:val="24"/>
        </w:rPr>
        <w:t>不少于2篇，</w:t>
      </w:r>
      <w:r>
        <w:rPr>
          <w:rFonts w:hint="eastAsia" w:ascii="宋体" w:hAnsi="宋体" w:eastAsia="宋体" w:cs="宋体"/>
          <w:color w:val="auto"/>
          <w:sz w:val="24"/>
          <w:szCs w:val="24"/>
          <w:shd w:val="clear" w:color="auto" w:fill="FFFFFF"/>
        </w:rPr>
        <w:t>“成都文化四季风”市级宣传报道、</w:t>
      </w:r>
      <w:r>
        <w:rPr>
          <w:rFonts w:hint="eastAsia" w:ascii="宋体" w:hAnsi="宋体" w:eastAsia="宋体" w:cs="宋体"/>
          <w:color w:val="auto"/>
          <w:sz w:val="24"/>
          <w:szCs w:val="24"/>
        </w:rPr>
        <w:t>其他媒体宣传报道（成都市级媒体、主流商业媒体宣传推广、自行宣传推广）</w:t>
      </w:r>
      <w:r>
        <w:rPr>
          <w:rFonts w:hint="eastAsia" w:ascii="宋体" w:hAnsi="宋体" w:eastAsia="宋体" w:cs="宋体"/>
          <w:color w:val="auto"/>
          <w:sz w:val="24"/>
          <w:szCs w:val="24"/>
          <w:shd w:val="clear" w:color="auto" w:fill="FFFFFF"/>
        </w:rPr>
        <w:t>每场不少于3篇，</w:t>
      </w:r>
      <w:r>
        <w:rPr>
          <w:rFonts w:hint="eastAsia" w:ascii="宋体" w:hAnsi="宋体" w:eastAsia="宋体" w:cs="宋体"/>
          <w:color w:val="auto"/>
          <w:sz w:val="24"/>
          <w:szCs w:val="24"/>
        </w:rPr>
        <w:t>且阅读量或点赞数在1000以上。</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供应商需按照采购人要求做好至少4场符合要求、高水准的集中示范活动，其中至少有一场要使用LED大屏，并进行全程录像，确保项目符合评审要求。</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每场活动结束后，供应商应在3日之内，向采购人提供本次活动相关材料（含方案、简报、小结、照片、8-10秒有活动背景主题视频2份、光碟、满意度调查表及反馈情况等材料）。所有项目完成后5个工作日之内向采购人提供本项目的项目总结材料（含特色亮点）。</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在合理范围内，供应商应负责参与每场活动的相关人员的误餐、劳务等费用。</w:t>
      </w:r>
    </w:p>
    <w:p>
      <w:pPr>
        <w:pStyle w:val="14"/>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互动节目视情况所需穿插。</w:t>
      </w:r>
    </w:p>
    <w:p>
      <w:pPr>
        <w:pStyle w:val="5"/>
        <w:bidi w:val="0"/>
        <w:ind w:left="0" w:leftChars="0"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线上活动要求：</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若遇防控疫情的特殊情况，根据市级文件要求开展线上文化活动，应包含以下要求：</w:t>
      </w:r>
    </w:p>
    <w:p>
      <w:pPr>
        <w:pStyle w:val="14"/>
        <w:keepNext w:val="0"/>
        <w:keepLines w:val="0"/>
        <w:pageBreakBefore w:val="0"/>
        <w:widowControl w:val="0"/>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用于活动前期线上平台推广宣传的平面设计；</w:t>
      </w:r>
    </w:p>
    <w:p>
      <w:pPr>
        <w:pStyle w:val="14"/>
        <w:keepNext w:val="0"/>
        <w:keepLines w:val="0"/>
        <w:pageBreakBefore w:val="0"/>
        <w:widowControl w:val="0"/>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线上平台需上传的视频拍摄和制作；</w:t>
      </w:r>
    </w:p>
    <w:p>
      <w:pPr>
        <w:pStyle w:val="14"/>
        <w:keepNext w:val="0"/>
        <w:keepLines w:val="0"/>
        <w:pageBreakBefore w:val="0"/>
        <w:widowControl w:val="0"/>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活动前期及进行中的网络媒体报道</w:t>
      </w:r>
      <w:r>
        <w:rPr>
          <w:rFonts w:hint="eastAsia" w:ascii="宋体" w:hAnsi="宋体" w:eastAsia="宋体" w:cs="宋体"/>
          <w:color w:val="auto"/>
          <w:sz w:val="24"/>
          <w:szCs w:val="24"/>
          <w:lang w:eastAsia="zh-CN"/>
        </w:rPr>
        <w:t>；</w:t>
      </w:r>
    </w:p>
    <w:p>
      <w:pPr>
        <w:pStyle w:val="14"/>
        <w:keepNext w:val="0"/>
        <w:keepLines w:val="0"/>
        <w:pageBreakBefore w:val="0"/>
        <w:widowControl w:val="0"/>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线上活动中产生的物资奖励等。</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bookmarkStart w:id="302" w:name="_Toc10779"/>
      <w:r>
        <w:rPr>
          <w:rFonts w:hint="eastAsia" w:ascii="宋体" w:hAnsi="宋体" w:eastAsia="宋体" w:cs="宋体"/>
          <w:sz w:val="24"/>
          <w:szCs w:val="24"/>
          <w:highlight w:val="none"/>
          <w:lang w:val="en-US" w:eastAsia="zh-CN"/>
        </w:rPr>
        <w:t>伴随服务</w:t>
      </w:r>
      <w:bookmarkEnd w:id="302"/>
    </w:p>
    <w:p>
      <w:pPr>
        <w:pStyle w:val="1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包含在本项目内，由供应商全权承担（若因此产生相关费用，采购人不再另行支付）的服务包括：</w:t>
      </w:r>
    </w:p>
    <w:p>
      <w:pPr>
        <w:pStyle w:val="14"/>
        <w:keepNext w:val="0"/>
        <w:keepLines w:val="0"/>
        <w:pageBreakBefore w:val="0"/>
        <w:widowControl w:val="0"/>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舞台搭建施工、演出项目实施等安全性的专业评估报告及完备完善的突发事件应急预案包含在本项目内。</w:t>
      </w:r>
    </w:p>
    <w:p>
      <w:pPr>
        <w:pStyle w:val="14"/>
        <w:keepNext w:val="0"/>
        <w:keepLines w:val="0"/>
        <w:pageBreakBefore w:val="0"/>
        <w:widowControl w:val="0"/>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根据采购人需要，对优秀节目的选送、评比、汇演（调演）及其他评选活动包含在本项目内。</w:t>
      </w:r>
    </w:p>
    <w:p>
      <w:pPr>
        <w:pStyle w:val="14"/>
        <w:keepNext w:val="0"/>
        <w:keepLines w:val="0"/>
        <w:pageBreakBefore w:val="0"/>
        <w:widowControl w:val="0"/>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由供应商按照主题提供的优秀节目、原创节目，采购人拥有使用权、演出权、荣誉权。但在供应商创作过程或节目展演、评选过程中，所涉及知识产权、著作权等法律问题均由供应商承担并负责解释。</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bookmarkStart w:id="303" w:name="_Toc14822"/>
      <w:r>
        <w:rPr>
          <w:rFonts w:hint="eastAsia" w:ascii="宋体" w:hAnsi="宋体" w:eastAsia="宋体" w:cs="宋体"/>
          <w:sz w:val="24"/>
          <w:szCs w:val="24"/>
          <w:highlight w:val="none"/>
          <w:lang w:val="en-US" w:eastAsia="zh-CN"/>
        </w:rPr>
        <w:t>成果体现</w:t>
      </w:r>
      <w:bookmarkEnd w:id="303"/>
    </w:p>
    <w:p>
      <w:pPr>
        <w:pStyle w:val="5"/>
        <w:bidi w:val="0"/>
        <w:ind w:left="0" w:leftChars="0" w:firstLine="482" w:firstLineChars="200"/>
        <w:rPr>
          <w:rFonts w:hint="eastAsia"/>
        </w:rPr>
      </w:pPr>
      <w:r>
        <w:rPr>
          <w:rFonts w:hint="eastAsia"/>
        </w:rPr>
        <w:t>线下活动需提供：</w:t>
      </w:r>
    </w:p>
    <w:p>
      <w:pPr>
        <w:pStyle w:val="14"/>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央级媒体宣传报道每场不少于2篇，省级媒体宣传报道每场不少于2篇，“成都文化四季风”市级宣传报道、其他媒体宣传报道（成都市级媒体、主流商业媒体宣传推广、自行宣传推广）每场不少于3篇，且阅读量或点赞数在1000以上。（需提供承诺函）。</w:t>
      </w:r>
    </w:p>
    <w:p>
      <w:pPr>
        <w:pStyle w:val="14"/>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全程专业录像（音频内录、720P高清）及专业剪辑，制作光碟每场不少于2张，8-10秒有活动背景主题视频2份。</w:t>
      </w:r>
    </w:p>
    <w:p>
      <w:pPr>
        <w:pStyle w:val="14"/>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专业拍摄照片每场不少于20张。</w:t>
      </w:r>
    </w:p>
    <w:p>
      <w:pPr>
        <w:pStyle w:val="14"/>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现场点位群众满意度调查不少于50张（每场演出场次反馈表满意度不得低于90%）</w:t>
      </w:r>
    </w:p>
    <w:p>
      <w:pPr>
        <w:pStyle w:val="14"/>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方案、简报、小结及总结性材料。</w:t>
      </w:r>
    </w:p>
    <w:p>
      <w:pPr>
        <w:pStyle w:val="14"/>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节目单、串词、节目简介等相关材料。</w:t>
      </w:r>
    </w:p>
    <w:p>
      <w:pPr>
        <w:pStyle w:val="5"/>
        <w:bidi w:val="0"/>
        <w:ind w:left="0" w:leftChars="0" w:firstLine="482"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线上活动需要提供：</w:t>
      </w:r>
    </w:p>
    <w:p>
      <w:pPr>
        <w:pStyle w:val="14"/>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央级媒体宣传报道每场不少于2篇，省级媒体宣传报道每场不少于2篇，“成都文化四季风”市级宣传报道、其他媒体宣传报道（成都市级媒体、主流商业媒体宣传推广、自行宣传推广）每场不少于3篇，且阅读量或点赞数在1000以上（需提供承诺函）。</w:t>
      </w:r>
    </w:p>
    <w:p>
      <w:pPr>
        <w:pStyle w:val="14"/>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按市级文件及采购方要求的相关视频资料，8-10秒有活动背景主题视频2份。</w:t>
      </w:r>
    </w:p>
    <w:p>
      <w:pPr>
        <w:pStyle w:val="14"/>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专业拍摄照片每场不少于20张。</w:t>
      </w:r>
    </w:p>
    <w:p>
      <w:pPr>
        <w:pStyle w:val="14"/>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方案、简报、小结及总结性材料。</w:t>
      </w:r>
    </w:p>
    <w:p>
      <w:pPr>
        <w:pageBreakBefore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rPr>
        <w:t>推广宣传、视频拍摄和制作、发放物资奖励等相关印证材料。</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bookmarkStart w:id="304" w:name="_Toc22336"/>
      <w:r>
        <w:rPr>
          <w:rFonts w:hint="eastAsia" w:ascii="宋体" w:hAnsi="宋体" w:eastAsia="宋体" w:cs="宋体"/>
          <w:sz w:val="24"/>
          <w:szCs w:val="24"/>
          <w:highlight w:val="none"/>
          <w:lang w:val="en-US" w:eastAsia="zh-CN"/>
        </w:rPr>
        <w:t>商务要求</w:t>
      </w:r>
      <w:bookmarkEnd w:id="304"/>
    </w:p>
    <w:bookmarkEnd w:id="298"/>
    <w:p>
      <w:pPr>
        <w:pStyle w:val="5"/>
        <w:bidi w:val="0"/>
        <w:ind w:left="0"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服务期限</w:t>
      </w:r>
    </w:p>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自合同签订生效后一年。</w:t>
      </w:r>
    </w:p>
    <w:p>
      <w:pPr>
        <w:pStyle w:val="5"/>
        <w:bidi w:val="0"/>
        <w:ind w:left="0"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服务地点</w:t>
      </w:r>
    </w:p>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成都市双流区采购人指定地点。</w:t>
      </w:r>
    </w:p>
    <w:p>
      <w:pPr>
        <w:pStyle w:val="5"/>
        <w:bidi w:val="0"/>
        <w:ind w:left="0"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付款方式</w:t>
      </w:r>
    </w:p>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rPr>
        <w:t>在采购合同签订后5个工作日内支付合同总金额的30%，剩余款项在供应商按要求完成活动场次和服务要求，并向采购人提供相应完成场次的金额发票后，经采购人对供应商提供相应完成场次的活动实施、开展、服务、配合等情况及满意度调查表进行综合评议，按阶段付款（共4个阶段）。</w:t>
      </w:r>
    </w:p>
    <w:p>
      <w:pPr>
        <w:pStyle w:val="5"/>
        <w:bidi w:val="0"/>
        <w:ind w:left="0"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验收方式</w:t>
      </w:r>
    </w:p>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按照《财政部关于进一步加强政府采购需求和履约验收管理的指导意见》（财库〔2016〕205号）的要求进行验收。</w:t>
      </w:r>
    </w:p>
    <w:p>
      <w:pPr>
        <w:pStyle w:val="5"/>
        <w:bidi w:val="0"/>
        <w:ind w:left="0"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★最高限价</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本项目报价最高限价为40万元,供应商报价超过最高限价的，则其响应文件按无效响应文件处理。</w:t>
      </w:r>
    </w:p>
    <w:p>
      <w:pPr>
        <w:pStyle w:val="2"/>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注：本章及合同条款均属于磋商内容，在磋商过程中均可变更（含实质性变更）。</w:t>
      </w:r>
    </w:p>
    <w:p>
      <w:pPr>
        <w:pStyle w:val="2"/>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本章加★条款为采购项目实质性要求，不允许有负偏离。</w:t>
      </w:r>
    </w:p>
    <w:p>
      <w:pPr>
        <w:pStyle w:val="2"/>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本章所列内容（含加★的）均可在磋商过程中进行响应。</w:t>
      </w:r>
    </w:p>
    <w:p>
      <w:pPr>
        <w:pStyle w:val="2"/>
        <w:rPr>
          <w:color w:val="auto"/>
          <w:highlight w:val="none"/>
        </w:rPr>
      </w:pPr>
    </w:p>
    <w:p>
      <w:pPr>
        <w:rPr>
          <w:color w:val="auto"/>
          <w:highlight w:val="none"/>
        </w:rPr>
      </w:pPr>
    </w:p>
    <w:p>
      <w:pPr>
        <w:pStyle w:val="2"/>
        <w:rPr>
          <w:color w:val="auto"/>
          <w:highlight w:val="none"/>
        </w:rPr>
      </w:pPr>
    </w:p>
    <w:p>
      <w:pPr>
        <w:rPr>
          <w:highlight w:val="none"/>
        </w:rPr>
        <w:sectPr>
          <w:pgSz w:w="11906" w:h="16838"/>
          <w:pgMar w:top="1440" w:right="1274" w:bottom="1440" w:left="1418" w:header="851" w:footer="992" w:gutter="0"/>
          <w:cols w:space="720" w:num="1"/>
          <w:docGrid w:type="lines" w:linePitch="312" w:charSpace="0"/>
        </w:sectPr>
      </w:pPr>
    </w:p>
    <w:p>
      <w:pPr>
        <w:pStyle w:val="3"/>
        <w:rPr>
          <w:rFonts w:hint="eastAsia"/>
          <w:color w:val="auto"/>
          <w:highlight w:val="none"/>
        </w:rPr>
      </w:pPr>
      <w:bookmarkStart w:id="305" w:name="_Toc238581781"/>
      <w:bookmarkStart w:id="306" w:name="_Toc2289"/>
      <w:r>
        <w:rPr>
          <w:rFonts w:hint="eastAsia"/>
          <w:color w:val="auto"/>
          <w:highlight w:val="none"/>
        </w:rPr>
        <w:t>响应</w:t>
      </w:r>
      <w:bookmarkEnd w:id="305"/>
      <w:r>
        <w:rPr>
          <w:rFonts w:hint="eastAsia"/>
          <w:color w:val="auto"/>
          <w:highlight w:val="none"/>
        </w:rPr>
        <w:t>文件格式</w:t>
      </w:r>
      <w:bookmarkEnd w:id="306"/>
    </w:p>
    <w:p>
      <w:pPr>
        <w:pStyle w:val="4"/>
        <w:rPr>
          <w:color w:val="auto"/>
          <w:highlight w:val="none"/>
        </w:rPr>
      </w:pPr>
      <w:bookmarkStart w:id="307" w:name="_Toc18132"/>
      <w:r>
        <w:rPr>
          <w:rFonts w:hint="eastAsia"/>
          <w:color w:val="auto"/>
          <w:highlight w:val="none"/>
        </w:rPr>
        <w:t>资格性响应文件格式</w:t>
      </w:r>
      <w:bookmarkEnd w:id="307"/>
    </w:p>
    <w:p>
      <w:pPr>
        <w:pStyle w:val="5"/>
        <w:ind w:left="80" w:leftChars="0" w:firstLine="482" w:firstLineChars="0"/>
        <w:rPr>
          <w:color w:val="auto"/>
          <w:highlight w:val="none"/>
        </w:rPr>
      </w:pPr>
      <w:bookmarkStart w:id="308" w:name="_Toc320698761"/>
      <w:r>
        <w:rPr>
          <w:rFonts w:hint="eastAsia"/>
          <w:color w:val="auto"/>
          <w:highlight w:val="none"/>
        </w:rPr>
        <w:t>资格性响应件密封包装最外层格式</w:t>
      </w:r>
      <w:bookmarkEnd w:id="308"/>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成都市双流区文化馆2022年“成都文化四季风”双流区系列群众文化活动采购项目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510122202200001</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bookmarkStart w:id="309" w:name="_Toc320698762"/>
      <w:r>
        <w:rPr>
          <w:rFonts w:hint="eastAsia"/>
          <w:color w:val="auto"/>
          <w:highlight w:val="none"/>
        </w:rPr>
        <w:t>资格性响应文件封面格式</w:t>
      </w:r>
      <w:bookmarkEnd w:id="309"/>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成都市双流区文化馆2022年“成都文化四季风”双流区系列群众文化活动采购项目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510122202200001</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签字、盖章应符合竞争性磋商文件要求</w:t>
      </w:r>
      <w:r>
        <w:rPr>
          <w:rFonts w:hint="eastAsia" w:ascii="宋体" w:hAnsi="宋体"/>
          <w:b/>
          <w:color w:val="auto"/>
          <w:highlight w:val="none"/>
          <w:lang w:eastAsia="zh-CN"/>
        </w:rPr>
        <w:t>；</w:t>
      </w:r>
      <w:r>
        <w:rPr>
          <w:rFonts w:hint="eastAsia" w:ascii="宋体" w:hAnsi="宋体"/>
          <w:b/>
          <w:color w:val="auto"/>
          <w:highlight w:val="none"/>
        </w:rPr>
        <w:t>（实质性要求）</w:t>
      </w:r>
    </w:p>
    <w:p>
      <w:pPr>
        <w:numPr>
          <w:ilvl w:val="0"/>
          <w:numId w:val="48"/>
        </w:numPr>
        <w:spacing w:line="360" w:lineRule="auto"/>
        <w:ind w:left="0" w:leftChars="0" w:firstLine="420" w:firstLineChars="0"/>
        <w:rPr>
          <w:rFonts w:ascii="宋体" w:hAnsi="宋体"/>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left="8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10" w:name="_Toc238581782"/>
      <w:bookmarkStart w:id="311" w:name="_Toc119296788"/>
      <w:bookmarkStart w:id="312" w:name="_Toc119203988"/>
      <w:bookmarkStart w:id="313" w:name="_Toc52184753"/>
      <w:bookmarkStart w:id="314" w:name="_Toc119295087"/>
      <w:bookmarkStart w:id="315" w:name="_Toc146903609"/>
      <w:r>
        <w:rPr>
          <w:rFonts w:hint="eastAsia" w:ascii="宋体" w:hAnsi="宋体"/>
          <w:color w:val="auto"/>
          <w:highlight w:val="none"/>
        </w:rPr>
        <w:t>致：</w:t>
      </w:r>
      <w:bookmarkEnd w:id="310"/>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16"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成都市双流区文化馆2022年“成都文化四季风”双流区系列群众文化活动采购项目</w:t>
      </w:r>
      <w:r>
        <w:rPr>
          <w:rFonts w:hint="eastAsia" w:ascii="宋体" w:hAnsi="宋体"/>
          <w:b/>
          <w:color w:val="auto"/>
          <w:sz w:val="24"/>
          <w:highlight w:val="none"/>
        </w:rPr>
        <w:t>（项目编号：</w:t>
      </w:r>
      <w:r>
        <w:rPr>
          <w:rFonts w:hint="eastAsia" w:ascii="宋体" w:hAnsi="宋体"/>
          <w:b/>
          <w:color w:val="auto"/>
          <w:sz w:val="24"/>
          <w:highlight w:val="none"/>
          <w:lang w:eastAsia="zh-CN"/>
        </w:rPr>
        <w:t>510122202200001</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9"/>
        </w:numPr>
        <w:spacing w:line="360" w:lineRule="auto"/>
        <w:ind w:left="0" w:firstLine="480" w:firstLineChars="200"/>
        <w:rPr>
          <w:rFonts w:ascii="宋体" w:hAnsi="宋体"/>
          <w:color w:val="auto"/>
          <w:highlight w:val="none"/>
        </w:rPr>
      </w:pPr>
      <w:bookmarkStart w:id="317" w:name="_Toc238581784"/>
      <w:r>
        <w:rPr>
          <w:rFonts w:hint="eastAsia" w:ascii="宋体" w:hAnsi="宋体"/>
          <w:color w:val="auto"/>
          <w:highlight w:val="none"/>
        </w:rPr>
        <w:t>供应商名称及概况：</w:t>
      </w:r>
      <w:bookmarkEnd w:id="317"/>
    </w:p>
    <w:p>
      <w:pPr>
        <w:numPr>
          <w:ilvl w:val="0"/>
          <w:numId w:val="50"/>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5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50"/>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5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9"/>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11"/>
    <w:bookmarkEnd w:id="312"/>
    <w:bookmarkEnd w:id="313"/>
    <w:bookmarkEnd w:id="314"/>
    <w:bookmarkEnd w:id="315"/>
    <w:bookmarkEnd w:id="316"/>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left="80" w:leftChars="0" w:firstLine="482" w:firstLineChars="0"/>
        <w:rPr>
          <w:rFonts w:hint="eastAsia"/>
          <w:color w:val="auto"/>
          <w:highlight w:val="none"/>
        </w:rPr>
      </w:pPr>
      <w:bookmarkStart w:id="318" w:name="_Toc320698765"/>
      <w:r>
        <w:rPr>
          <w:rFonts w:hint="eastAsia"/>
          <w:color w:val="auto"/>
          <w:highlight w:val="none"/>
        </w:rPr>
        <w:t>具有独立承担民事责任的能力</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left="8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left="8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8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51"/>
        </w:numPr>
        <w:spacing w:after="0" w:line="360" w:lineRule="auto"/>
        <w:ind w:firstLine="480" w:firstLineChars="200"/>
        <w:rPr>
          <w:color w:val="auto"/>
          <w:highlight w:val="none"/>
        </w:rPr>
      </w:pPr>
      <w:r>
        <w:rPr>
          <w:rFonts w:hint="eastAsia"/>
          <w:color w:val="auto"/>
          <w:highlight w:val="none"/>
        </w:rPr>
        <w:t>我公司具有履行合同所必须的设备和专业技术能力。</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w:t>
      </w:r>
      <w:r>
        <w:rPr>
          <w:rFonts w:hint="default" w:ascii="Times New Roman" w:hAnsi="Times New Roman" w:cs="Times New Roman"/>
          <w:b w:val="0"/>
          <w:bCs/>
          <w:color w:val="auto"/>
          <w:sz w:val="24"/>
          <w:szCs w:val="24"/>
          <w:lang w:val="en-US" w:eastAsia="zh-CN"/>
        </w:rPr>
        <w:t>较大数额罚款的具体金额标准是：认定为200万元以上的罚款，法律、行政法规以及国务院有关部门明确规定相关领域“较大数额罚款”标准高于200万元的，从其规定</w:t>
      </w:r>
      <w:r>
        <w:rPr>
          <w:rFonts w:hint="eastAsia" w:cs="Times New Roman"/>
          <w:b w:val="0"/>
          <w:bCs/>
          <w:color w:val="auto"/>
          <w:sz w:val="24"/>
          <w:szCs w:val="24"/>
          <w:lang w:val="en-US" w:eastAsia="zh-CN"/>
        </w:rPr>
        <w:t>。</w:t>
      </w:r>
      <w:r>
        <w:rPr>
          <w:rFonts w:hint="eastAsia" w:ascii="宋体" w:hAnsi="宋体"/>
          <w:color w:val="auto"/>
          <w:highlight w:val="none"/>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未被列入经营异常名录</w:t>
      </w:r>
      <w:r>
        <w:rPr>
          <w:rFonts w:hint="eastAsia" w:ascii="宋体" w:hAnsi="宋体" w:eastAsia="宋体" w:cs="Times New Roman"/>
          <w:color w:val="auto"/>
          <w:szCs w:val="24"/>
          <w:highlight w:val="none"/>
          <w:lang w:eastAsia="zh-CN"/>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未被列入失信被执行人、重大税收违法案件当事人名单、政府采购严重违法失信行为记录名单</w:t>
      </w:r>
      <w:r>
        <w:rPr>
          <w:rFonts w:hint="eastAsia" w:ascii="宋体" w:hAnsi="宋体" w:eastAsia="宋体" w:cs="Times New Roman"/>
          <w:color w:val="auto"/>
          <w:szCs w:val="24"/>
          <w:highlight w:val="none"/>
          <w:lang w:eastAsia="zh-CN"/>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ascii="宋体" w:hAnsi="宋体"/>
          <w:color w:val="auto"/>
          <w:highlight w:val="none"/>
        </w:rPr>
      </w:pP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rPr>
        <w:t>的供应商</w:t>
      </w:r>
      <w:r>
        <w:rPr>
          <w:rFonts w:hint="eastAsia" w:ascii="宋体" w:hAnsi="宋体" w:eastAsia="宋体" w:cs="宋体"/>
          <w:color w:val="auto"/>
          <w:sz w:val="24"/>
          <w:highlight w:val="none"/>
          <w:lang w:eastAsia="zh-CN"/>
        </w:rPr>
        <w:t>。</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51"/>
        </w:numPr>
        <w:spacing w:line="360" w:lineRule="auto"/>
        <w:ind w:firstLine="480" w:firstLineChars="20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51"/>
        </w:numPr>
        <w:spacing w:line="360" w:lineRule="auto"/>
        <w:ind w:firstLine="480" w:firstLineChars="20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w:t>
      </w:r>
      <w:r>
        <w:rPr>
          <w:rFonts w:hint="eastAsia" w:ascii="宋体" w:hAnsi="宋体" w:cs="宋体"/>
          <w:color w:val="auto"/>
          <w:sz w:val="24"/>
          <w:highlight w:val="none"/>
        </w:rPr>
        <w:t>〔20</w:t>
      </w:r>
      <w:r>
        <w:rPr>
          <w:rFonts w:hint="eastAsia" w:ascii="宋体" w:hAnsi="宋体" w:cs="宋体"/>
          <w:color w:val="auto"/>
          <w:sz w:val="24"/>
          <w:highlight w:val="none"/>
          <w:lang w:val="en-US" w:eastAsia="zh-CN"/>
        </w:rPr>
        <w:t>1</w:t>
      </w:r>
      <w:r>
        <w:rPr>
          <w:rFonts w:hint="eastAsia"/>
          <w:color w:val="auto"/>
          <w:highlight w:val="none"/>
          <w:lang w:val="en-US" w:eastAsia="zh-CN"/>
        </w:rPr>
        <w:t>9〕405号）、《关于对政府采购领域严重违法失信主体开展联合惩戒的合作备案录》（发改财金〔2018〕1614号）规</w:t>
      </w:r>
      <w:r>
        <w:rPr>
          <w:rFonts w:hint="eastAsia" w:ascii="宋体" w:hAnsi="宋体"/>
          <w:color w:val="auto"/>
          <w:highlight w:val="none"/>
        </w:rPr>
        <w:t>定的失信行为，将在</w:t>
      </w:r>
      <w:r>
        <w:rPr>
          <w:rFonts w:hint="eastAsia" w:ascii="宋体" w:hAnsi="宋体"/>
          <w:color w:val="auto"/>
          <w:highlight w:val="none"/>
          <w:lang w:val="en-US" w:eastAsia="zh-CN"/>
        </w:rPr>
        <w:t>响应</w:t>
      </w:r>
      <w:r>
        <w:rPr>
          <w:rFonts w:hint="eastAsia" w:ascii="宋体" w:hAnsi="宋体"/>
          <w:color w:val="auto"/>
          <w:highlight w:val="none"/>
        </w:rPr>
        <w:t>文件中全面如实反映。</w:t>
      </w:r>
    </w:p>
    <w:p>
      <w:pPr>
        <w:widowControl w:val="0"/>
        <w:numPr>
          <w:ilvl w:val="0"/>
          <w:numId w:val="51"/>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51"/>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51"/>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51"/>
        </w:numPr>
        <w:spacing w:line="360" w:lineRule="auto"/>
        <w:ind w:firstLine="480" w:firstLineChars="20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51"/>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51"/>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u w:val="none"/>
          <w:lang w:val="en-US" w:eastAsia="zh-CN"/>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none"/>
          <w:lang w:val="en-US" w:eastAsia="zh-CN"/>
        </w:rPr>
        <w:t xml:space="preserve"> 日</w:t>
      </w:r>
    </w:p>
    <w:p>
      <w:pPr>
        <w:pStyle w:val="2"/>
        <w:rPr>
          <w:rFonts w:hint="eastAsia" w:ascii="宋体" w:hAnsi="宋体"/>
          <w:color w:val="auto"/>
          <w:highlight w:val="none"/>
          <w:u w:val="none"/>
          <w:lang w:val="en-US" w:eastAsia="zh-CN"/>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rPr>
      </w:pPr>
    </w:p>
    <w:p>
      <w:pPr>
        <w:pStyle w:val="2"/>
        <w:rPr>
          <w:rFonts w:hint="eastAsia"/>
          <w:highlight w:val="none"/>
        </w:rPr>
      </w:pPr>
    </w:p>
    <w:p>
      <w:pPr>
        <w:rPr>
          <w:rFonts w:hint="eastAsia"/>
        </w:rPr>
      </w:pPr>
    </w:p>
    <w:p>
      <w:pPr>
        <w:pStyle w:val="5"/>
        <w:ind w:left="8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bidi="ar"/>
        </w:rPr>
        <w:t>本公司（联合体）郑重声明，根据《政府采购促进中小企业发展管理办法》（财库﹝2020﹞46 号）的规定，本公司（联合体）参加</w:t>
      </w:r>
      <w:r>
        <w:rPr>
          <w:rFonts w:hint="eastAsia" w:ascii="宋体" w:hAnsi="宋体" w:cs="宋体"/>
          <w:color w:val="auto"/>
          <w:highlight w:val="none"/>
          <w:u w:val="single"/>
          <w:lang w:val="en-US" w:eastAsia="zh-CN" w:bidi="ar"/>
        </w:rPr>
        <w:t xml:space="preserve">   </w:t>
      </w:r>
      <w:r>
        <w:rPr>
          <w:rFonts w:hint="eastAsia" w:ascii="宋体" w:hAnsi="宋体" w:cs="宋体"/>
          <w:color w:val="auto"/>
          <w:highlight w:val="none"/>
          <w:lang w:bidi="ar"/>
        </w:rPr>
        <w:t>（单位名称）的</w:t>
      </w:r>
      <w:r>
        <w:rPr>
          <w:rFonts w:hint="eastAsia" w:ascii="宋体" w:hAnsi="宋体" w:cs="宋体"/>
          <w:color w:val="auto"/>
          <w:highlight w:val="none"/>
          <w:u w:val="single"/>
          <w:lang w:val="en-US" w:eastAsia="zh-CN" w:bidi="ar"/>
        </w:rPr>
        <w:t xml:space="preserve">   </w:t>
      </w:r>
      <w:r>
        <w:rPr>
          <w:rFonts w:hint="eastAsia" w:ascii="宋体" w:hAnsi="宋体" w:cs="宋体"/>
          <w:color w:val="auto"/>
          <w:highlight w:val="none"/>
          <w:lang w:bidi="ar"/>
        </w:rPr>
        <w:t>（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bidi="ar"/>
        </w:rPr>
        <w:t xml:space="preserve">1. </w:t>
      </w:r>
      <w:r>
        <w:rPr>
          <w:rFonts w:hint="eastAsia" w:ascii="宋体" w:hAnsi="宋体" w:cs="宋体"/>
          <w:color w:val="auto"/>
          <w:highlight w:val="none"/>
          <w:u w:val="single"/>
          <w:lang w:bidi="ar"/>
        </w:rPr>
        <w:t xml:space="preserve">         （标的名称）</w:t>
      </w:r>
      <w:r>
        <w:rPr>
          <w:rFonts w:hint="eastAsia" w:ascii="宋体" w:hAnsi="宋体" w:cs="宋体"/>
          <w:color w:val="auto"/>
          <w:highlight w:val="none"/>
          <w:lang w:bidi="ar"/>
        </w:rPr>
        <w:t xml:space="preserve"> ，属于</w:t>
      </w:r>
      <w:r>
        <w:rPr>
          <w:rFonts w:hint="eastAsia" w:ascii="宋体" w:hAnsi="宋体" w:cs="宋体"/>
          <w:color w:val="auto"/>
          <w:highlight w:val="none"/>
          <w:u w:val="single"/>
          <w:lang w:bidi="ar"/>
        </w:rPr>
        <w:t xml:space="preserve">         （采购文件中明确的所属行业）</w:t>
      </w:r>
      <w:r>
        <w:rPr>
          <w:rFonts w:hint="eastAsia" w:ascii="宋体" w:hAnsi="宋体" w:cs="宋体"/>
          <w:color w:val="auto"/>
          <w:highlight w:val="none"/>
          <w:lang w:bidi="ar"/>
        </w:rPr>
        <w:t>；承建（承接）企业为</w:t>
      </w:r>
      <w:r>
        <w:rPr>
          <w:rFonts w:hint="eastAsia" w:ascii="宋体" w:hAnsi="宋体" w:cs="宋体"/>
          <w:color w:val="auto"/>
          <w:highlight w:val="none"/>
          <w:u w:val="single"/>
          <w:lang w:bidi="ar"/>
        </w:rPr>
        <w:t xml:space="preserve">         （企业名称</w:t>
      </w:r>
      <w:r>
        <w:rPr>
          <w:rFonts w:hint="eastAsia" w:ascii="宋体" w:hAnsi="宋体" w:cs="宋体"/>
          <w:color w:val="auto"/>
          <w:highlight w:val="none"/>
          <w:lang w:bidi="ar"/>
        </w:rPr>
        <w:t>），从业人员</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人，营业收入</w:t>
      </w:r>
      <w:r>
        <w:rPr>
          <w:rFonts w:hint="eastAsia" w:ascii="宋体" w:hAnsi="宋体" w:cs="宋体"/>
          <w:color w:val="auto"/>
          <w:highlight w:val="none"/>
          <w:u w:val="none"/>
          <w:lang w:val="en-US" w:eastAsia="zh-CN" w:bidi="ar"/>
        </w:rPr>
        <w:t>为</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万元，资产总额为</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万元，属于</w:t>
      </w:r>
      <w:r>
        <w:rPr>
          <w:rFonts w:hint="eastAsia" w:ascii="宋体" w:hAnsi="宋体" w:cs="宋体"/>
          <w:color w:val="auto"/>
          <w:highlight w:val="none"/>
          <w:u w:val="single"/>
          <w:lang w:bidi="ar"/>
        </w:rPr>
        <w:t xml:space="preserve">         （中型企业、小型企业、微型企业）</w:t>
      </w:r>
      <w:r>
        <w:rPr>
          <w:rFonts w:hint="eastAsia" w:ascii="宋体" w:hAnsi="宋体" w:cs="宋体"/>
          <w:color w:val="auto"/>
          <w:highlight w:val="none"/>
          <w:lang w:bidi="ar"/>
        </w:rPr>
        <w:t xml:space="preserve">； </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bidi="ar"/>
        </w:rPr>
        <w:t xml:space="preserve">2. </w:t>
      </w:r>
      <w:r>
        <w:rPr>
          <w:rFonts w:hint="eastAsia" w:ascii="宋体" w:hAnsi="宋体" w:cs="宋体"/>
          <w:color w:val="auto"/>
          <w:highlight w:val="none"/>
          <w:u w:val="single"/>
          <w:lang w:bidi="ar"/>
        </w:rPr>
        <w:t xml:space="preserve">         （标的名称）</w:t>
      </w:r>
      <w:r>
        <w:rPr>
          <w:rFonts w:hint="eastAsia" w:ascii="宋体" w:hAnsi="宋体" w:cs="宋体"/>
          <w:color w:val="auto"/>
          <w:highlight w:val="none"/>
          <w:lang w:bidi="ar"/>
        </w:rPr>
        <w:t xml:space="preserve"> ，属于</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（采购文件中明确的所属行业）；承建（承接）企业为</w:t>
      </w:r>
      <w:r>
        <w:rPr>
          <w:rFonts w:hint="eastAsia" w:ascii="宋体" w:hAnsi="宋体" w:cs="宋体"/>
          <w:color w:val="auto"/>
          <w:highlight w:val="none"/>
          <w:u w:val="single"/>
          <w:lang w:bidi="ar"/>
        </w:rPr>
        <w:t xml:space="preserve">         （企业名称）</w:t>
      </w:r>
      <w:r>
        <w:rPr>
          <w:rFonts w:hint="eastAsia" w:ascii="宋体" w:hAnsi="宋体" w:cs="宋体"/>
          <w:color w:val="auto"/>
          <w:highlight w:val="none"/>
          <w:lang w:bidi="ar"/>
        </w:rPr>
        <w:t>，从业人员</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人，营业收入为</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万元，资产总额为</w:t>
      </w:r>
      <w:r>
        <w:rPr>
          <w:rFonts w:hint="eastAsia" w:ascii="宋体" w:hAnsi="宋体" w:cs="宋体"/>
          <w:color w:val="auto"/>
          <w:highlight w:val="none"/>
          <w:u w:val="single"/>
          <w:lang w:bidi="ar"/>
        </w:rPr>
        <w:t xml:space="preserve">         </w:t>
      </w:r>
      <w:r>
        <w:rPr>
          <w:rFonts w:hint="eastAsia" w:ascii="宋体" w:hAnsi="宋体" w:cs="宋体"/>
          <w:color w:val="auto"/>
          <w:highlight w:val="none"/>
          <w:lang w:bidi="ar"/>
        </w:rPr>
        <w:t>万元，属于</w:t>
      </w:r>
      <w:r>
        <w:rPr>
          <w:rFonts w:hint="eastAsia" w:ascii="宋体" w:hAnsi="宋体" w:cs="宋体"/>
          <w:color w:val="auto"/>
          <w:highlight w:val="none"/>
          <w:u w:val="single"/>
          <w:lang w:bidi="ar"/>
        </w:rPr>
        <w:t xml:space="preserve">         （中型企业、小型企业、微型企业</w:t>
      </w:r>
      <w:r>
        <w:rPr>
          <w:rFonts w:hint="eastAsia" w:ascii="宋体" w:hAnsi="宋体" w:cs="宋体"/>
          <w:color w:val="auto"/>
          <w:highlight w:val="none"/>
          <w:lang w:bidi="ar"/>
        </w:rPr>
        <w:t xml:space="preserve">）； </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bidi="ar"/>
        </w:rPr>
        <w:t>……</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bidi="ar"/>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bidi="ar"/>
        </w:rPr>
        <w:t xml:space="preserve">本企业对上述声明内容的真实性负责。如有虚假，将依法承担相应责任。 </w:t>
      </w:r>
    </w:p>
    <w:p>
      <w:pPr>
        <w:spacing w:line="360" w:lineRule="auto"/>
        <w:jc w:val="center"/>
        <w:rPr>
          <w:rFonts w:ascii="宋体" w:hAnsi="宋体" w:cs="宋体"/>
          <w:color w:val="auto"/>
          <w:highlight w:val="none"/>
          <w:lang w:bidi="ar"/>
        </w:rPr>
      </w:pPr>
    </w:p>
    <w:p>
      <w:pPr>
        <w:spacing w:line="360" w:lineRule="auto"/>
        <w:jc w:val="center"/>
        <w:rPr>
          <w:rFonts w:ascii="宋体" w:hAnsi="宋体" w:cs="宋体"/>
          <w:color w:val="auto"/>
          <w:highlight w:val="none"/>
        </w:rPr>
      </w:pPr>
      <w:r>
        <w:rPr>
          <w:rFonts w:hint="eastAsia" w:ascii="宋体" w:hAnsi="宋体" w:cs="宋体"/>
          <w:color w:val="auto"/>
          <w:highlight w:val="none"/>
          <w:lang w:bidi="ar"/>
        </w:rPr>
        <w:t xml:space="preserve">企业名称（盖章）： </w:t>
      </w:r>
    </w:p>
    <w:p>
      <w:pPr>
        <w:spacing w:line="360" w:lineRule="auto"/>
        <w:ind w:firstLine="3600" w:firstLineChars="1500"/>
        <w:jc w:val="both"/>
        <w:rPr>
          <w:rFonts w:ascii="宋体" w:hAnsi="宋体" w:cs="宋体"/>
          <w:color w:val="auto"/>
          <w:highlight w:val="none"/>
          <w:lang w:bidi="ar"/>
        </w:rPr>
      </w:pPr>
      <w:r>
        <w:rPr>
          <w:rFonts w:hint="eastAsia" w:ascii="宋体" w:hAnsi="宋体" w:cs="宋体"/>
          <w:color w:val="auto"/>
          <w:highlight w:val="none"/>
          <w:lang w:bidi="ar"/>
        </w:rPr>
        <w:t xml:space="preserve">日 期：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s="宋体"/>
          <w:b/>
          <w:bCs/>
          <w:color w:val="auto"/>
          <w:highlight w:val="none"/>
          <w:lang w:bidi="ar"/>
        </w:rPr>
      </w:pPr>
      <w:r>
        <w:rPr>
          <w:rFonts w:hint="eastAsia" w:ascii="宋体" w:hAnsi="宋体" w:cs="宋体"/>
          <w:b/>
          <w:bCs/>
          <w:color w:val="auto"/>
          <w:highlight w:val="none"/>
          <w:lang w:bidi="ar"/>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firstLine="506" w:firstLineChars="200"/>
        <w:textAlignment w:val="auto"/>
        <w:rPr>
          <w:rFonts w:ascii="宋体" w:hAnsi="宋体" w:cs="宋体"/>
          <w:b/>
          <w:bCs/>
          <w:color w:val="auto"/>
          <w:highlight w:val="none"/>
        </w:rPr>
      </w:pPr>
      <w:r>
        <w:rPr>
          <w:rFonts w:hint="eastAsia" w:ascii="宋体" w:hAnsi="宋体" w:cs="宋体"/>
          <w:b/>
          <w:bCs/>
          <w:color w:val="auto"/>
          <w:spacing w:val="6"/>
          <w:highlight w:val="none"/>
        </w:rPr>
        <w:t xml:space="preserve">说明： </w:t>
      </w:r>
      <w:r>
        <w:rPr>
          <w:rFonts w:hint="eastAsia" w:ascii="宋体" w:hAnsi="宋体" w:cs="宋体"/>
          <w:b/>
          <w:bCs/>
          <w:color w:val="auto"/>
          <w:highlight w:val="none"/>
        </w:rPr>
        <w:t>非中小企业不提供此声明函，如未提供中小企业声明函的，则其不能享受</w:t>
      </w:r>
      <w:r>
        <w:rPr>
          <w:rFonts w:hint="eastAsia" w:ascii="宋体" w:hAnsi="宋体" w:cs="宋体"/>
          <w:b/>
          <w:bCs/>
          <w:color w:val="auto"/>
          <w:highlight w:val="none"/>
          <w:lang w:eastAsia="zh-CN"/>
        </w:rPr>
        <w:t>竞争性磋商文件</w:t>
      </w:r>
      <w:r>
        <w:rPr>
          <w:rFonts w:hint="eastAsia" w:ascii="宋体" w:hAnsi="宋体" w:cs="宋体"/>
          <w:b/>
          <w:bCs/>
          <w:color w:val="auto"/>
          <w:highlight w:val="none"/>
        </w:rPr>
        <w:t>规定的价格扣除，但不影响</w:t>
      </w:r>
      <w:r>
        <w:rPr>
          <w:rFonts w:hint="eastAsia" w:ascii="宋体" w:hAnsi="宋体"/>
          <w:b/>
          <w:color w:val="auto"/>
          <w:spacing w:val="6"/>
          <w:szCs w:val="24"/>
          <w:highlight w:val="none"/>
          <w:lang w:val="en-US" w:eastAsia="zh-CN"/>
        </w:rPr>
        <w:t>响应文件</w:t>
      </w:r>
      <w:r>
        <w:rPr>
          <w:rFonts w:hint="eastAsia" w:ascii="宋体" w:hAnsi="宋体" w:cs="宋体"/>
          <w:b/>
          <w:bCs/>
          <w:color w:val="auto"/>
          <w:highlight w:val="none"/>
        </w:rPr>
        <w:t>的有效性。供应商为监狱企业的，提供由省级以上监狱管理局、戒毒管理局（含新疆生产建设兵团）出具的供应商属于监狱企业的证明文件复印件。</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highlight w:val="none"/>
        </w:rPr>
        <w:sectPr>
          <w:pgSz w:w="11906" w:h="16838"/>
          <w:pgMar w:top="1440" w:right="1274" w:bottom="1440"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bCs/>
          <w:color w:val="auto"/>
          <w:kern w:val="0"/>
          <w:sz w:val="24"/>
          <w:szCs w:val="24"/>
          <w:highlight w:val="none"/>
          <w:lang w:val="en-US" w:eastAsia="zh-CN" w:bidi="ar"/>
        </w:rPr>
        <w:t>本项目采购标的对应的中小企业划分标准所属行业为：其他未列明行业。[依据国务院批准的中小企业划分标准（工信部联企业〔2011〕300号）：从业人员300人以下的为中小微型企业。其中，从业人员100人及以上的为中型企业；从业人员10人及以上的为小型企业；从业人员10人以下的为微型企业。]</w:t>
      </w:r>
    </w:p>
    <w:p>
      <w:pPr>
        <w:rPr>
          <w:rFonts w:hint="eastAsia"/>
          <w:lang w:val="en-US" w:eastAsia="zh-CN"/>
        </w:rPr>
      </w:pP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w:t>
      </w:r>
      <w:r>
        <w:rPr>
          <w:rFonts w:hint="eastAsia" w:ascii="宋体" w:hAnsi="宋体"/>
          <w:b/>
          <w:spacing w:val="6"/>
          <w:szCs w:val="24"/>
          <w:highlight w:val="none"/>
          <w:lang w:val="en-US" w:eastAsia="zh-CN"/>
        </w:rPr>
        <w:t>中华人民共和国</w:t>
      </w:r>
      <w:r>
        <w:rPr>
          <w:rFonts w:hint="eastAsia" w:ascii="宋体" w:hAnsi="宋体"/>
          <w:b/>
          <w:spacing w:val="6"/>
          <w:szCs w:val="24"/>
          <w:highlight w:val="none"/>
        </w:rPr>
        <w:t>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ind w:left="8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 xml:space="preserve">（供应商名称）    </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spacing w:line="360" w:lineRule="auto"/>
        <w:ind w:firstLine="482" w:firstLineChars="200"/>
        <w:rPr>
          <w:color w:val="auto"/>
          <w:highlight w:val="none"/>
          <w:lang w:val="zh-CN"/>
        </w:rPr>
      </w:pPr>
      <w:r>
        <w:rPr>
          <w:rFonts w:hint="eastAsia" w:ascii="宋体" w:hAnsi="宋体"/>
          <w:b/>
          <w:color w:val="auto"/>
          <w:highlight w:val="none"/>
          <w:lang w:val="zh-CN"/>
        </w:rPr>
        <w:br w:type="page"/>
      </w:r>
    </w:p>
    <w:p>
      <w:pPr>
        <w:pStyle w:val="5"/>
        <w:ind w:left="8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成都市双流区文化馆2022年“成都文化四季风”双流区系列群众文化活动采购项目</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510122202200001</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p>
    <w:p>
      <w:pPr>
        <w:pStyle w:val="4"/>
        <w:rPr>
          <w:color w:val="auto"/>
          <w:highlight w:val="none"/>
        </w:rPr>
      </w:pPr>
      <w:bookmarkStart w:id="319" w:name="_Toc448403805"/>
      <w:bookmarkStart w:id="320" w:name="_Toc955"/>
      <w:r>
        <w:rPr>
          <w:rFonts w:hint="eastAsia"/>
          <w:color w:val="auto"/>
          <w:highlight w:val="none"/>
        </w:rPr>
        <w:t>技术、服务性响应文件格式</w:t>
      </w:r>
      <w:bookmarkEnd w:id="319"/>
      <w:bookmarkEnd w:id="320"/>
    </w:p>
    <w:p>
      <w:pPr>
        <w:pStyle w:val="5"/>
        <w:ind w:left="8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成都市双流区文化馆2022年“成都文化四季风”双流区系列群众文化活动采购项目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510122202200001</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8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成都市双流区文化馆2022年“成都文化四季风”双流区系列群众文化活动采购项目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510122202200001</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8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成都市双流区文化馆2022年“成都文化四季风”双流区系列群众文化活动采购项目</w:t>
      </w:r>
      <w:r>
        <w:rPr>
          <w:rFonts w:hint="eastAsia" w:ascii="宋体" w:hAnsi="宋体" w:cs="宋体"/>
          <w:color w:val="auto"/>
          <w:highlight w:val="none"/>
        </w:rPr>
        <w:t>（项目编号：</w:t>
      </w:r>
      <w:r>
        <w:rPr>
          <w:rFonts w:hint="eastAsia" w:ascii="宋体" w:hAnsi="宋体"/>
          <w:b/>
          <w:color w:val="auto"/>
          <w:highlight w:val="none"/>
          <w:u w:val="single"/>
          <w:lang w:eastAsia="zh-CN"/>
        </w:rPr>
        <w:t>510122202200001</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成都市双流区文化馆2022年“成都文化四季风”双流区系列群众文化活动采购项目</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18"/>
    <w:p>
      <w:pPr>
        <w:pStyle w:val="5"/>
        <w:ind w:left="80" w:leftChars="0" w:firstLine="482" w:firstLineChars="0"/>
        <w:rPr>
          <w:color w:val="auto"/>
          <w:highlight w:val="none"/>
        </w:rPr>
      </w:pPr>
      <w:bookmarkStart w:id="321" w:name="_Toc320698766"/>
      <w:r>
        <w:rPr>
          <w:rFonts w:hint="eastAsia"/>
          <w:color w:val="auto"/>
          <w:highlight w:val="none"/>
        </w:rPr>
        <w:t>商务条款偏离表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成都市双流区文化馆2022年“成都文化四季风”双流区系列群众文化活动采购项目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510122202200001</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pPr>
    </w:p>
    <w:p>
      <w:pPr>
        <w:rPr>
          <w:rFonts w:hint="eastAsia" w:ascii="宋体" w:hAnsi="宋体"/>
          <w:color w:val="auto"/>
          <w:highlight w:val="none"/>
        </w:rPr>
      </w:pPr>
    </w:p>
    <w:p>
      <w:pPr>
        <w:pStyle w:val="2"/>
      </w:pPr>
    </w:p>
    <w:bookmarkEnd w:id="321"/>
    <w:p>
      <w:pPr>
        <w:pStyle w:val="5"/>
        <w:ind w:left="80" w:leftChars="0" w:firstLine="482" w:firstLineChars="0"/>
        <w:rPr>
          <w:color w:val="auto"/>
          <w:highlight w:val="none"/>
        </w:rPr>
      </w:pPr>
      <w:bookmarkStart w:id="322" w:name="_Toc360696963"/>
      <w:bookmarkStart w:id="323" w:name="_Toc236285891"/>
      <w:bookmarkStart w:id="324" w:name="_Toc205604899"/>
      <w:bookmarkStart w:id="325" w:name="_Toc238273564"/>
      <w:r>
        <w:rPr>
          <w:rFonts w:hint="eastAsia"/>
          <w:color w:val="auto"/>
          <w:highlight w:val="none"/>
          <w:lang w:val="en-US" w:eastAsia="zh-CN"/>
        </w:rPr>
        <w:t>技术条款偏离表</w:t>
      </w:r>
    </w:p>
    <w:p>
      <w:pPr>
        <w:rPr>
          <w:rFonts w:hint="eastAsia"/>
          <w:color w:val="auto"/>
          <w:highlight w:val="none"/>
          <w:lang w:val="en-US" w:eastAsia="zh-CN"/>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成都市双流区文化馆2022年“成都文化四季风”双流区系列群众文化活动采购项目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510122202200001</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color w:val="auto"/>
          <w:highlight w:val="none"/>
          <w:lang w:val="en-US" w:eastAsia="zh-CN"/>
        </w:rPr>
        <w:t>技术</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hint="eastAsia" w:ascii="宋体" w:hAnsi="宋体"/>
          <w:color w:val="auto"/>
          <w:highlight w:val="none"/>
        </w:rPr>
      </w:pPr>
    </w:p>
    <w:p>
      <w:pPr>
        <w:spacing w:line="360" w:lineRule="auto"/>
        <w:ind w:firstLine="480" w:firstLineChars="200"/>
        <w:rPr>
          <w:color w:val="auto"/>
          <w:highlight w:val="none"/>
        </w:rPr>
      </w:pPr>
      <w:r>
        <w:rPr>
          <w:rFonts w:hint="eastAsia" w:ascii="宋体" w:hAnsi="宋体"/>
          <w:color w:val="auto"/>
          <w:highlight w:val="none"/>
        </w:rPr>
        <w:br w:type="page"/>
      </w:r>
    </w:p>
    <w:p>
      <w:pPr>
        <w:pStyle w:val="5"/>
        <w:ind w:left="80" w:leftChars="0" w:firstLine="482" w:firstLineChars="0"/>
        <w:rPr>
          <w:color w:val="auto"/>
          <w:highlight w:val="none"/>
        </w:rPr>
      </w:pPr>
      <w:r>
        <w:rPr>
          <w:rFonts w:hint="eastAsia" w:cs="宋体"/>
          <w:sz w:val="24"/>
          <w:szCs w:val="24"/>
          <w:highlight w:val="none"/>
          <w:lang w:val="en-US" w:eastAsia="zh-CN"/>
        </w:rPr>
        <w:t>服务</w:t>
      </w:r>
      <w:r>
        <w:rPr>
          <w:rFonts w:hint="eastAsia" w:ascii="宋体" w:hAnsi="宋体" w:eastAsia="宋体" w:cs="宋体"/>
          <w:sz w:val="24"/>
          <w:szCs w:val="24"/>
          <w:highlight w:val="none"/>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成都市双流区文化馆2022年“成都文化四季风”双流区系列群众文化活动采购项目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510122202200001</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8"/>
        <w:ind w:firstLine="480" w:firstLineChars="200"/>
        <w:jc w:val="left"/>
        <w:rPr>
          <w:rFonts w:ascii="宋体" w:hAnsi="宋体"/>
          <w:color w:val="auto"/>
          <w:sz w:val="24"/>
          <w:szCs w:val="24"/>
          <w:highlight w:val="none"/>
        </w:rPr>
      </w:pPr>
    </w:p>
    <w:p>
      <w:pPr>
        <w:pStyle w:val="68"/>
        <w:ind w:firstLine="480" w:firstLineChars="200"/>
        <w:jc w:val="left"/>
        <w:rPr>
          <w:rFonts w:ascii="宋体" w:hAnsi="宋体"/>
          <w:color w:val="auto"/>
          <w:sz w:val="24"/>
          <w:szCs w:val="24"/>
          <w:highlight w:val="none"/>
        </w:rPr>
      </w:pPr>
    </w:p>
    <w:p>
      <w:pPr>
        <w:pStyle w:val="68"/>
        <w:ind w:firstLine="480" w:firstLineChars="200"/>
        <w:jc w:val="left"/>
        <w:rPr>
          <w:rFonts w:ascii="宋体" w:hAnsi="宋体"/>
          <w:color w:val="auto"/>
          <w:sz w:val="24"/>
          <w:szCs w:val="24"/>
          <w:highlight w:val="none"/>
        </w:rPr>
      </w:pPr>
    </w:p>
    <w:p>
      <w:pPr>
        <w:pStyle w:val="5"/>
        <w:ind w:left="8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成都市双流区文化馆2022年“成都文化四季风”双流区系列群众文化活动采购项目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510122202200001</w:t>
      </w:r>
    </w:p>
    <w:p>
      <w:pPr>
        <w:pStyle w:val="2"/>
        <w:rPr>
          <w:color w:val="auto"/>
          <w:highlight w:val="none"/>
        </w:rPr>
      </w:pPr>
    </w:p>
    <w:tbl>
      <w:tblPr>
        <w:tblStyle w:val="44"/>
        <w:tblW w:w="9104" w:type="dxa"/>
        <w:tblInd w:w="0" w:type="dxa"/>
        <w:tblLayout w:type="fixed"/>
        <w:tblCellMar>
          <w:top w:w="0" w:type="dxa"/>
          <w:left w:w="0" w:type="dxa"/>
          <w:bottom w:w="0" w:type="dxa"/>
          <w:right w:w="0" w:type="dxa"/>
        </w:tblCellMar>
      </w:tblPr>
      <w:tblGrid>
        <w:gridCol w:w="659"/>
        <w:gridCol w:w="6006"/>
        <w:gridCol w:w="2439"/>
      </w:tblGrid>
      <w:tr>
        <w:tblPrEx>
          <w:tblCellMar>
            <w:top w:w="0" w:type="dxa"/>
            <w:left w:w="0" w:type="dxa"/>
            <w:bottom w:w="0" w:type="dxa"/>
            <w:right w:w="0" w:type="dxa"/>
          </w:tblCellMar>
        </w:tblPrEx>
        <w:trPr>
          <w:trHeight w:val="511"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6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名称</w:t>
            </w:r>
          </w:p>
        </w:tc>
        <w:tc>
          <w:tcPr>
            <w:tcW w:w="2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报价</w:t>
            </w:r>
          </w:p>
        </w:tc>
      </w:tr>
      <w:tr>
        <w:tblPrEx>
          <w:tblCellMar>
            <w:top w:w="0" w:type="dxa"/>
            <w:left w:w="0" w:type="dxa"/>
            <w:bottom w:w="0" w:type="dxa"/>
            <w:right w:w="0" w:type="dxa"/>
          </w:tblCellMar>
        </w:tblPrEx>
        <w:trPr>
          <w:trHeight w:val="1633"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60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b w:val="0"/>
                <w:bCs/>
                <w:color w:val="auto"/>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641985</wp:posOffset>
                  </wp:positionH>
                  <wp:positionV relativeFrom="paragraph">
                    <wp:posOffset>-600710</wp:posOffset>
                  </wp:positionV>
                  <wp:extent cx="904875"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10"/>
                          <a:stretch>
                            <a:fillRect/>
                          </a:stretch>
                        </pic:blipFill>
                        <pic:spPr>
                          <a:xfrm>
                            <a:off x="0" y="0"/>
                            <a:ext cx="904875" cy="0"/>
                          </a:xfrm>
                          <a:prstGeom prst="rect">
                            <a:avLst/>
                          </a:prstGeom>
                          <a:noFill/>
                          <a:ln>
                            <a:noFill/>
                          </a:ln>
                        </pic:spPr>
                      </pic:pic>
                    </a:graphicData>
                  </a:graphic>
                </wp:anchor>
              </w:drawing>
            </w:r>
            <w:r>
              <w:rPr>
                <w:rFonts w:hint="eastAsia" w:ascii="宋体" w:hAnsi="宋体" w:cs="宋体"/>
                <w:i w:val="0"/>
                <w:color w:val="auto"/>
                <w:sz w:val="24"/>
                <w:szCs w:val="24"/>
                <w:highlight w:val="none"/>
                <w:u w:val="none"/>
                <w:lang w:val="en-US" w:eastAsia="zh-CN"/>
              </w:rPr>
              <w:t>成都市双流区文化馆2022年“成都文化四季风”双流区系列群众文化活动采购项目</w:t>
            </w:r>
          </w:p>
        </w:tc>
        <w:tc>
          <w:tcPr>
            <w:tcW w:w="2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single"/>
                <w:lang w:val="en-US" w:eastAsia="zh-CN"/>
              </w:rPr>
              <w:t xml:space="preserve">          </w:t>
            </w:r>
            <w:r>
              <w:rPr>
                <w:rFonts w:hint="eastAsia" w:ascii="宋体" w:hAnsi="宋体" w:cs="宋体"/>
                <w:i w:val="0"/>
                <w:color w:val="auto"/>
                <w:sz w:val="24"/>
                <w:szCs w:val="24"/>
                <w:highlight w:val="none"/>
                <w:u w:val="none"/>
                <w:lang w:val="en-US" w:eastAsia="zh-CN"/>
              </w:rPr>
              <w:t>元</w:t>
            </w: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8"/>
        <w:ind w:firstLine="480" w:firstLineChars="200"/>
        <w:jc w:val="left"/>
        <w:rPr>
          <w:color w:val="auto"/>
          <w:sz w:val="24"/>
          <w:szCs w:val="24"/>
          <w:highlight w:val="none"/>
        </w:rPr>
      </w:pPr>
    </w:p>
    <w:p>
      <w:pPr>
        <w:pStyle w:val="68"/>
        <w:ind w:firstLine="480" w:firstLineChars="200"/>
        <w:jc w:val="left"/>
        <w:rPr>
          <w:color w:val="auto"/>
          <w:sz w:val="24"/>
          <w:szCs w:val="24"/>
          <w:highlight w:val="none"/>
        </w:rPr>
      </w:pPr>
    </w:p>
    <w:p>
      <w:pPr>
        <w:pStyle w:val="68"/>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left="420" w:firstLine="442" w:firstLineChars="200"/>
        <w:textAlignment w:val="auto"/>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2"/>
          <w:szCs w:val="22"/>
          <w:highlight w:val="none"/>
        </w:rPr>
        <w:t>说明：</w:t>
      </w:r>
      <w:r>
        <w:rPr>
          <w:rFonts w:hint="eastAsia" w:ascii="宋体" w:hAnsi="宋体" w:eastAsia="宋体" w:cs="Times New Roman"/>
          <w:color w:val="auto"/>
          <w:kern w:val="0"/>
          <w:sz w:val="24"/>
          <w:szCs w:val="24"/>
          <w:highlight w:val="none"/>
          <w:lang w:val="en-US" w:eastAsia="zh-CN" w:bidi="ar-SA"/>
        </w:rPr>
        <w:t>报价为综合包干价，包括完成本项目所需的所有服务、货物、利润、税金、保险及管理费等所有费用。</w:t>
      </w:r>
    </w:p>
    <w:p>
      <w:pPr>
        <w:widowControl w:val="0"/>
        <w:spacing w:line="360" w:lineRule="auto"/>
        <w:ind w:firstLine="480" w:firstLineChars="200"/>
        <w:rPr>
          <w:color w:val="auto"/>
          <w:highlight w:val="none"/>
        </w:rPr>
      </w:pPr>
      <w:r>
        <w:rPr>
          <w:rFonts w:hint="eastAsia" w:ascii="宋体" w:hAnsi="宋体" w:cs="宋体"/>
          <w:color w:val="auto"/>
          <w:highlight w:val="none"/>
        </w:rPr>
        <w:br w:type="page"/>
      </w:r>
    </w:p>
    <w:p>
      <w:pPr>
        <w:pStyle w:val="5"/>
        <w:ind w:left="80" w:leftChars="0" w:firstLine="482" w:firstLineChars="0"/>
        <w:rPr>
          <w:color w:val="auto"/>
          <w:highlight w:val="none"/>
        </w:rPr>
      </w:pPr>
      <w:bookmarkStart w:id="326" w:name="_Toc451340457"/>
      <w:r>
        <w:rPr>
          <w:rFonts w:hint="eastAsia"/>
          <w:color w:val="auto"/>
          <w:highlight w:val="none"/>
          <w:lang w:val="en-US" w:eastAsia="zh-CN"/>
        </w:rPr>
        <w:t>分项报价明细表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成都市双流区文化馆2022年“成都文化四季风”双流区系列群众文化活动采购项目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510122202200001</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ageBreakBefore w:val="0"/>
        <w:kinsoku/>
        <w:wordWrap/>
        <w:overflowPunct/>
        <w:topLinePunct w:val="0"/>
        <w:bidi w:val="0"/>
        <w:snapToGrid/>
        <w:spacing w:line="360" w:lineRule="auto"/>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供应商名称：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加盖单位公章</w:t>
      </w:r>
      <w:r>
        <w:rPr>
          <w:rFonts w:hint="eastAsia" w:ascii="宋体" w:hAnsi="宋体"/>
          <w:color w:val="auto"/>
          <w:sz w:val="24"/>
          <w:szCs w:val="24"/>
          <w:highlight w:val="none"/>
        </w:rPr>
        <w:t>）</w:t>
      </w:r>
    </w:p>
    <w:p>
      <w:pPr>
        <w:pageBreakBefore w:val="0"/>
        <w:kinsoku/>
        <w:wordWrap/>
        <w:overflowPunct/>
        <w:topLinePunct w:val="0"/>
        <w:bidi w:val="0"/>
        <w:snapToGrid/>
        <w:spacing w:line="360" w:lineRule="auto"/>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法定代表人或代理人：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w:t>
      </w:r>
    </w:p>
    <w:p>
      <w:pPr>
        <w:pageBreakBefore w:val="0"/>
        <w:kinsoku/>
        <w:wordWrap/>
        <w:overflowPunct/>
        <w:topLinePunct w:val="0"/>
        <w:bidi w:val="0"/>
        <w:snapToGrid/>
        <w:spacing w:line="360" w:lineRule="auto"/>
        <w:ind w:right="560"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日期：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68"/>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cs="宋体"/>
          <w:color w:val="auto"/>
          <w:sz w:val="24"/>
          <w:szCs w:val="24"/>
          <w:highlight w:val="none"/>
          <w:lang w:eastAsia="zh-CN"/>
        </w:rPr>
      </w:pPr>
    </w:p>
    <w:p>
      <w:pPr>
        <w:pStyle w:val="68"/>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cs="宋体"/>
          <w:color w:val="auto"/>
          <w:sz w:val="24"/>
          <w:szCs w:val="24"/>
          <w:highlight w:val="none"/>
          <w:lang w:eastAsia="zh-CN"/>
        </w:rPr>
      </w:pPr>
    </w:p>
    <w:p>
      <w:pPr>
        <w:pStyle w:val="68"/>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cs="宋体"/>
          <w:color w:val="auto"/>
          <w:sz w:val="24"/>
          <w:szCs w:val="24"/>
          <w:highlight w:val="none"/>
          <w:lang w:eastAsia="zh-CN"/>
        </w:rPr>
      </w:pPr>
    </w:p>
    <w:p>
      <w:pPr>
        <w:pStyle w:val="68"/>
        <w:ind w:firstLine="482" w:firstLineChars="200"/>
        <w:jc w:val="left"/>
        <w:rPr>
          <w:rFonts w:hint="eastAsia" w:ascii="宋体" w:hAnsi="宋体"/>
          <w:color w:val="auto"/>
          <w:sz w:val="24"/>
          <w:szCs w:val="24"/>
          <w:highlight w:val="none"/>
        </w:rPr>
        <w:sectPr>
          <w:pgSz w:w="11906" w:h="16838"/>
          <w:pgMar w:top="1440" w:right="1274" w:bottom="1440"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b/>
          <w:bCs/>
          <w:color w:val="auto"/>
          <w:sz w:val="24"/>
          <w:szCs w:val="24"/>
          <w:highlight w:val="none"/>
          <w:lang w:eastAsia="zh-CN"/>
        </w:rPr>
        <w:t>注：格式自拟，</w:t>
      </w:r>
      <w:r>
        <w:rPr>
          <w:rFonts w:ascii="宋体" w:hAnsi="宋体" w:eastAsia="宋体" w:cs="宋体"/>
          <w:b/>
          <w:bCs/>
          <w:color w:val="auto"/>
          <w:kern w:val="0"/>
          <w:sz w:val="24"/>
          <w:szCs w:val="24"/>
          <w:highlight w:val="none"/>
          <w:u w:val="none"/>
          <w:lang w:val="en-US" w:eastAsia="zh-CN" w:bidi="ar"/>
        </w:rPr>
        <w:t>“分项报价表”各分项报价合计应当与“</w:t>
      </w:r>
      <w:r>
        <w:rPr>
          <w:rFonts w:hint="eastAsia" w:ascii="宋体" w:hAnsi="宋体" w:cs="宋体"/>
          <w:b/>
          <w:bCs/>
          <w:color w:val="auto"/>
          <w:kern w:val="0"/>
          <w:sz w:val="24"/>
          <w:szCs w:val="24"/>
          <w:highlight w:val="none"/>
          <w:u w:val="none"/>
          <w:lang w:val="en-US" w:eastAsia="zh-CN" w:bidi="ar"/>
        </w:rPr>
        <w:t>报价表</w:t>
      </w:r>
      <w:r>
        <w:rPr>
          <w:rFonts w:ascii="宋体" w:hAnsi="宋体" w:eastAsia="宋体" w:cs="宋体"/>
          <w:b/>
          <w:bCs/>
          <w:color w:val="auto"/>
          <w:kern w:val="0"/>
          <w:sz w:val="24"/>
          <w:szCs w:val="24"/>
          <w:highlight w:val="none"/>
          <w:u w:val="none"/>
          <w:lang w:val="en-US" w:eastAsia="zh-CN" w:bidi="ar"/>
        </w:rPr>
        <w:t>”</w:t>
      </w:r>
      <w:r>
        <w:rPr>
          <w:rFonts w:hint="eastAsia" w:ascii="宋体" w:hAnsi="宋体" w:cs="宋体"/>
          <w:b/>
          <w:bCs/>
          <w:color w:val="auto"/>
          <w:kern w:val="0"/>
          <w:sz w:val="24"/>
          <w:szCs w:val="24"/>
          <w:highlight w:val="none"/>
          <w:u w:val="none"/>
          <w:lang w:val="en-US" w:eastAsia="zh-CN" w:bidi="ar"/>
        </w:rPr>
        <w:t>中</w:t>
      </w:r>
      <w:r>
        <w:rPr>
          <w:rFonts w:ascii="宋体" w:hAnsi="宋体" w:eastAsia="宋体" w:cs="宋体"/>
          <w:b/>
          <w:bCs/>
          <w:color w:val="auto"/>
          <w:kern w:val="0"/>
          <w:sz w:val="24"/>
          <w:szCs w:val="24"/>
          <w:highlight w:val="none"/>
          <w:u w:val="none"/>
          <w:lang w:val="en-US" w:eastAsia="zh-CN" w:bidi="ar"/>
        </w:rPr>
        <w:t>报价相等</w:t>
      </w:r>
      <w:r>
        <w:rPr>
          <w:rFonts w:hint="eastAsia" w:ascii="宋体" w:hAnsi="宋体" w:eastAsia="宋体" w:cs="宋体"/>
          <w:b/>
          <w:bCs/>
          <w:color w:val="auto"/>
          <w:kern w:val="0"/>
          <w:sz w:val="24"/>
          <w:szCs w:val="24"/>
          <w:highlight w:val="none"/>
          <w:u w:val="none"/>
          <w:lang w:val="en-US" w:eastAsia="zh-CN" w:bidi="ar"/>
        </w:rPr>
        <w:t>。</w:t>
      </w:r>
    </w:p>
    <w:p/>
    <w:p>
      <w:pPr>
        <w:pStyle w:val="5"/>
        <w:ind w:left="80" w:leftChars="0" w:firstLine="482" w:firstLineChars="0"/>
        <w:rPr>
          <w:color w:val="auto"/>
          <w:highlight w:val="none"/>
        </w:rPr>
      </w:pPr>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成都市双流区文化馆2022年“成都文化四季风”双流区系列群众文化活动采购项目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510122202200001</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2273"/>
        <w:gridCol w:w="1860"/>
        <w:gridCol w:w="1665"/>
        <w:gridCol w:w="16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jc w:val="center"/>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227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860"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665" w:type="dxa"/>
            <w:vAlign w:val="center"/>
          </w:tcPr>
          <w:p>
            <w:pPr>
              <w:spacing w:line="520" w:lineRule="exact"/>
              <w:ind w:firstLine="140" w:firstLineChars="50"/>
              <w:jc w:val="center"/>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65" w:type="dxa"/>
            <w:tcBorders>
              <w:left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2273" w:type="dxa"/>
            <w:vAlign w:val="center"/>
          </w:tcPr>
          <w:p>
            <w:pPr>
              <w:spacing w:line="520" w:lineRule="exact"/>
              <w:jc w:val="center"/>
              <w:rPr>
                <w:rFonts w:ascii="宋体" w:hAnsi="宋体" w:cs="宋体"/>
                <w:color w:val="auto"/>
                <w:sz w:val="28"/>
                <w:szCs w:val="28"/>
                <w:highlight w:val="none"/>
              </w:rPr>
            </w:pPr>
          </w:p>
        </w:tc>
        <w:tc>
          <w:tcPr>
            <w:tcW w:w="1860" w:type="dxa"/>
            <w:vAlign w:val="center"/>
          </w:tcPr>
          <w:p>
            <w:pPr>
              <w:spacing w:line="520" w:lineRule="exact"/>
              <w:jc w:val="center"/>
              <w:rPr>
                <w:rFonts w:ascii="宋体" w:hAnsi="宋体" w:cs="宋体"/>
                <w:color w:val="auto"/>
                <w:sz w:val="28"/>
                <w:szCs w:val="28"/>
                <w:highlight w:val="none"/>
              </w:rPr>
            </w:pPr>
          </w:p>
        </w:tc>
        <w:tc>
          <w:tcPr>
            <w:tcW w:w="166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66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227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860"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66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1649"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22"/>
    <w:bookmarkEnd w:id="326"/>
    <w:p>
      <w:pPr>
        <w:pStyle w:val="5"/>
        <w:ind w:left="8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27" w:name="_Toc23300"/>
      <w:r>
        <w:rPr>
          <w:rFonts w:hint="eastAsia"/>
          <w:color w:val="auto"/>
          <w:highlight w:val="none"/>
        </w:rPr>
        <w:t>最后报价（格式）</w:t>
      </w:r>
      <w:bookmarkEnd w:id="327"/>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成都市双流区文化馆2022年“成都文化四季风”双流区系列群众文化活动采购项目</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510122202200001</w:t>
      </w:r>
    </w:p>
    <w:tbl>
      <w:tblPr>
        <w:tblStyle w:val="44"/>
        <w:tblW w:w="9104" w:type="dxa"/>
        <w:tblInd w:w="0" w:type="dxa"/>
        <w:tblLayout w:type="fixed"/>
        <w:tblCellMar>
          <w:top w:w="0" w:type="dxa"/>
          <w:left w:w="0" w:type="dxa"/>
          <w:bottom w:w="0" w:type="dxa"/>
          <w:right w:w="0" w:type="dxa"/>
        </w:tblCellMar>
      </w:tblPr>
      <w:tblGrid>
        <w:gridCol w:w="659"/>
        <w:gridCol w:w="6006"/>
        <w:gridCol w:w="2439"/>
      </w:tblGrid>
      <w:tr>
        <w:tblPrEx>
          <w:tblCellMar>
            <w:top w:w="0" w:type="dxa"/>
            <w:left w:w="0" w:type="dxa"/>
            <w:bottom w:w="0" w:type="dxa"/>
            <w:right w:w="0" w:type="dxa"/>
          </w:tblCellMar>
        </w:tblPrEx>
        <w:trPr>
          <w:trHeight w:val="511"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6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名称</w:t>
            </w:r>
          </w:p>
        </w:tc>
        <w:tc>
          <w:tcPr>
            <w:tcW w:w="2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最后报价</w:t>
            </w:r>
          </w:p>
        </w:tc>
      </w:tr>
      <w:tr>
        <w:tblPrEx>
          <w:tblCellMar>
            <w:top w:w="0" w:type="dxa"/>
            <w:left w:w="0" w:type="dxa"/>
            <w:bottom w:w="0" w:type="dxa"/>
            <w:right w:w="0" w:type="dxa"/>
          </w:tblCellMar>
        </w:tblPrEx>
        <w:trPr>
          <w:trHeight w:val="1633"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60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b w:val="0"/>
                <w:bCs/>
                <w:color w:val="auto"/>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641985</wp:posOffset>
                  </wp:positionH>
                  <wp:positionV relativeFrom="paragraph">
                    <wp:posOffset>-600710</wp:posOffset>
                  </wp:positionV>
                  <wp:extent cx="90487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10"/>
                          <a:stretch>
                            <a:fillRect/>
                          </a:stretch>
                        </pic:blipFill>
                        <pic:spPr>
                          <a:xfrm>
                            <a:off x="0" y="0"/>
                            <a:ext cx="904875" cy="0"/>
                          </a:xfrm>
                          <a:prstGeom prst="rect">
                            <a:avLst/>
                          </a:prstGeom>
                          <a:noFill/>
                          <a:ln>
                            <a:noFill/>
                          </a:ln>
                        </pic:spPr>
                      </pic:pic>
                    </a:graphicData>
                  </a:graphic>
                </wp:anchor>
              </w:drawing>
            </w:r>
            <w:r>
              <w:rPr>
                <w:rFonts w:hint="eastAsia" w:ascii="宋体" w:hAnsi="宋体" w:cs="宋体"/>
                <w:i w:val="0"/>
                <w:color w:val="auto"/>
                <w:sz w:val="24"/>
                <w:szCs w:val="24"/>
                <w:highlight w:val="none"/>
                <w:u w:val="none"/>
                <w:lang w:val="en-US" w:eastAsia="zh-CN"/>
              </w:rPr>
              <w:t>成都市双流区文化馆2022年“成都文化四季风”双流区系列群众文化活动采购项目</w:t>
            </w:r>
          </w:p>
        </w:tc>
        <w:tc>
          <w:tcPr>
            <w:tcW w:w="2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single"/>
                <w:lang w:val="en-US" w:eastAsia="zh-CN"/>
              </w:rPr>
              <w:t xml:space="preserve">          </w:t>
            </w:r>
            <w:r>
              <w:rPr>
                <w:rFonts w:hint="eastAsia" w:ascii="宋体" w:hAnsi="宋体" w:cs="宋体"/>
                <w:i w:val="0"/>
                <w:color w:val="auto"/>
                <w:sz w:val="24"/>
                <w:szCs w:val="24"/>
                <w:highlight w:val="none"/>
                <w:u w:val="none"/>
                <w:lang w:val="en-US" w:eastAsia="zh-CN"/>
              </w:rPr>
              <w:t>元</w:t>
            </w: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8"/>
        <w:ind w:left="0" w:leftChars="0" w:firstLine="0" w:firstLineChars="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68"/>
        <w:numPr>
          <w:ilvl w:val="0"/>
          <w:numId w:val="53"/>
        </w:numPr>
        <w:ind w:left="0" w:leftChars="0" w:firstLine="0" w:firstLineChars="0"/>
        <w:jc w:val="left"/>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报价为综合包干价，包括完成本项目所需的所有服务、货物、利润、税金、保险及管理费等所有费用。</w:t>
      </w:r>
    </w:p>
    <w:p>
      <w:pPr>
        <w:pStyle w:val="68"/>
        <w:numPr>
          <w:ilvl w:val="0"/>
          <w:numId w:val="53"/>
        </w:numPr>
        <w:ind w:left="0" w:leftChars="0" w:firstLine="0" w:firstLineChars="0"/>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8"/>
        <w:widowControl w:val="0"/>
        <w:numPr>
          <w:ilvl w:val="0"/>
          <w:numId w:val="0"/>
        </w:numPr>
        <w:spacing w:line="360" w:lineRule="auto"/>
        <w:jc w:val="left"/>
        <w:rPr>
          <w:rFonts w:hint="eastAsia" w:ascii="宋体" w:hAnsi="宋体" w:cs="宋体"/>
          <w:b w:val="0"/>
          <w:bCs/>
          <w:color w:val="auto"/>
          <w:sz w:val="24"/>
          <w:szCs w:val="24"/>
          <w:highlight w:val="none"/>
        </w:rPr>
      </w:pPr>
    </w:p>
    <w:p>
      <w:pPr>
        <w:pStyle w:val="68"/>
        <w:widowControl w:val="0"/>
        <w:numPr>
          <w:ilvl w:val="0"/>
          <w:numId w:val="0"/>
        </w:numPr>
        <w:spacing w:line="360" w:lineRule="auto"/>
        <w:jc w:val="left"/>
        <w:rPr>
          <w:rFonts w:hint="eastAsia" w:ascii="宋体" w:hAnsi="宋体" w:cs="宋体"/>
          <w:b w:val="0"/>
          <w:bCs/>
          <w:color w:val="auto"/>
          <w:sz w:val="24"/>
          <w:szCs w:val="24"/>
          <w:highlight w:val="none"/>
        </w:rPr>
      </w:pPr>
    </w:p>
    <w:p>
      <w:pPr>
        <w:pStyle w:val="68"/>
        <w:widowControl w:val="0"/>
        <w:numPr>
          <w:ilvl w:val="0"/>
          <w:numId w:val="0"/>
        </w:numPr>
        <w:spacing w:line="360" w:lineRule="auto"/>
        <w:jc w:val="left"/>
        <w:rPr>
          <w:rFonts w:hint="eastAsia" w:ascii="宋体" w:hAnsi="宋体" w:cs="宋体"/>
          <w:b w:val="0"/>
          <w:bCs/>
          <w:color w:val="auto"/>
          <w:sz w:val="24"/>
          <w:szCs w:val="24"/>
          <w:highlight w:val="none"/>
        </w:rPr>
      </w:pPr>
    </w:p>
    <w:p>
      <w:pPr>
        <w:pStyle w:val="68"/>
        <w:widowControl w:val="0"/>
        <w:numPr>
          <w:ilvl w:val="0"/>
          <w:numId w:val="0"/>
        </w:numPr>
        <w:spacing w:line="360" w:lineRule="auto"/>
        <w:jc w:val="left"/>
        <w:rPr>
          <w:rFonts w:hint="eastAsia" w:ascii="宋体" w:hAnsi="宋体" w:cs="宋体"/>
          <w:b w:val="0"/>
          <w:bCs/>
          <w:color w:val="auto"/>
          <w:sz w:val="24"/>
          <w:szCs w:val="24"/>
          <w:highlight w:val="none"/>
        </w:rPr>
      </w:pPr>
    </w:p>
    <w:p>
      <w:pPr>
        <w:pStyle w:val="3"/>
        <w:rPr>
          <w:color w:val="auto"/>
          <w:highlight w:val="none"/>
        </w:rPr>
      </w:pPr>
      <w:bookmarkStart w:id="328" w:name="_Toc5663"/>
      <w:r>
        <w:rPr>
          <w:rFonts w:hint="eastAsia"/>
          <w:color w:val="auto"/>
          <w:highlight w:val="none"/>
        </w:rPr>
        <w:t>合同主要条款</w:t>
      </w:r>
      <w:bookmarkEnd w:id="328"/>
    </w:p>
    <w:bookmarkEnd w:id="323"/>
    <w:bookmarkEnd w:id="324"/>
    <w:bookmarkEnd w:id="325"/>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54"/>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54"/>
        </w:numPr>
        <w:spacing w:line="360" w:lineRule="auto"/>
        <w:ind w:left="0" w:firstLine="482" w:firstLineChars="200"/>
        <w:rPr>
          <w:rFonts w:ascii="宋体" w:hAnsi="宋体" w:cs="宋体"/>
          <w:b/>
          <w:color w:val="auto"/>
          <w:highlight w:val="none"/>
        </w:rPr>
      </w:pPr>
      <w:bookmarkStart w:id="329" w:name="_Toc185395249"/>
      <w:bookmarkStart w:id="330" w:name="_Toc239233914"/>
      <w:bookmarkStart w:id="331" w:name="_Toc212019594"/>
      <w:bookmarkStart w:id="332" w:name="_Toc225244852"/>
      <w:bookmarkStart w:id="333" w:name="_Toc282696226"/>
      <w:bookmarkStart w:id="334" w:name="_Toc225654644"/>
      <w:bookmarkStart w:id="335" w:name="_Toc211854449"/>
      <w:bookmarkStart w:id="336" w:name="_Toc232492928"/>
      <w:bookmarkStart w:id="337" w:name="_Toc286993786"/>
      <w:bookmarkStart w:id="338" w:name="_Toc211911348"/>
      <w:bookmarkStart w:id="339" w:name="_Toc238984975"/>
      <w:bookmarkStart w:id="340" w:name="_Toc247334841"/>
      <w:bookmarkStart w:id="341" w:name="_Toc283019214"/>
      <w:bookmarkStart w:id="342" w:name="_Toc225670751"/>
      <w:bookmarkStart w:id="343" w:name="_Toc251768862"/>
      <w:bookmarkStart w:id="344" w:name="_Toc237145406"/>
      <w:bookmarkStart w:id="345" w:name="_Toc241833903"/>
      <w:bookmarkStart w:id="346" w:name="_Toc239568418"/>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5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5"/>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Pr>
        <w:numPr>
          <w:ilvl w:val="0"/>
          <w:numId w:val="54"/>
        </w:numPr>
        <w:spacing w:line="360" w:lineRule="auto"/>
        <w:ind w:left="0" w:firstLine="482" w:firstLineChars="200"/>
        <w:rPr>
          <w:rFonts w:ascii="宋体" w:hAnsi="宋体" w:cs="宋体"/>
          <w:b/>
          <w:color w:val="auto"/>
          <w:highlight w:val="none"/>
        </w:rPr>
      </w:pPr>
      <w:bookmarkStart w:id="347" w:name="_Toc225654649"/>
      <w:bookmarkStart w:id="348" w:name="_Toc239568423"/>
      <w:bookmarkStart w:id="349" w:name="_Toc286993792"/>
      <w:bookmarkStart w:id="350" w:name="_Toc238984980"/>
      <w:bookmarkStart w:id="351" w:name="_Toc185395254"/>
      <w:bookmarkStart w:id="352" w:name="_Toc241833908"/>
      <w:bookmarkStart w:id="353" w:name="_Toc211854454"/>
      <w:bookmarkStart w:id="354" w:name="_Toc237145411"/>
      <w:bookmarkStart w:id="355" w:name="_Toc247334846"/>
      <w:bookmarkStart w:id="356" w:name="_Toc251768867"/>
      <w:bookmarkStart w:id="357" w:name="_Toc232492933"/>
      <w:bookmarkStart w:id="358" w:name="_Toc212019599"/>
      <w:bookmarkStart w:id="359" w:name="_Toc211911353"/>
      <w:bookmarkStart w:id="360" w:name="_Toc225670756"/>
      <w:bookmarkStart w:id="361" w:name="_Toc239233919"/>
      <w:bookmarkStart w:id="362" w:name="_Toc225244857"/>
      <w:r>
        <w:rPr>
          <w:rFonts w:hint="eastAsia" w:ascii="宋体" w:hAnsi="宋体" w:cs="宋体"/>
          <w:b/>
          <w:color w:val="auto"/>
          <w:highlight w:val="none"/>
        </w:rPr>
        <w:t>解决合同纠纷的方式</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54"/>
        </w:numPr>
        <w:spacing w:line="360" w:lineRule="auto"/>
        <w:ind w:left="0" w:firstLine="482" w:firstLineChars="200"/>
        <w:rPr>
          <w:rFonts w:ascii="宋体" w:hAnsi="宋体" w:cs="宋体"/>
          <w:b/>
          <w:color w:val="auto"/>
          <w:highlight w:val="none"/>
        </w:rPr>
      </w:pPr>
      <w:bookmarkStart w:id="363" w:name="_Toc185395255"/>
      <w:bookmarkStart w:id="364" w:name="_Toc225244858"/>
      <w:bookmarkStart w:id="365" w:name="_Toc241833909"/>
      <w:bookmarkStart w:id="366" w:name="_Toc283019219"/>
      <w:bookmarkStart w:id="367" w:name="_Toc212019600"/>
      <w:bookmarkStart w:id="368" w:name="_Toc282696231"/>
      <w:bookmarkStart w:id="369" w:name="_Toc239568424"/>
      <w:bookmarkStart w:id="370" w:name="_Toc225670757"/>
      <w:bookmarkStart w:id="371" w:name="_Toc237145412"/>
      <w:bookmarkStart w:id="372" w:name="_Toc239233920"/>
      <w:bookmarkStart w:id="373" w:name="_Toc225654650"/>
      <w:bookmarkStart w:id="374" w:name="_Toc286993793"/>
      <w:bookmarkStart w:id="375" w:name="_Toc247334847"/>
      <w:bookmarkStart w:id="376" w:name="_Toc211911354"/>
      <w:bookmarkStart w:id="377" w:name="_Toc232492934"/>
      <w:bookmarkStart w:id="378" w:name="_Toc251768868"/>
      <w:bookmarkStart w:id="379" w:name="_Toc238984981"/>
      <w:bookmarkStart w:id="380" w:name="_Toc211854455"/>
      <w:r>
        <w:rPr>
          <w:rFonts w:hint="eastAsia" w:ascii="宋体" w:hAnsi="宋体" w:cs="宋体"/>
          <w:b/>
          <w:color w:val="auto"/>
          <w:highlight w:val="none"/>
        </w:rPr>
        <w:t>合同</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6"/>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82B00"/>
    <w:multiLevelType w:val="singleLevel"/>
    <w:tmpl w:val="82182B00"/>
    <w:lvl w:ilvl="0" w:tentative="0">
      <w:start w:val="1"/>
      <w:numFmt w:val="chineseCounting"/>
      <w:suff w:val="nothing"/>
      <w:lvlText w:val="（%1）"/>
      <w:lvlJc w:val="left"/>
      <w:pPr>
        <w:ind w:left="0" w:firstLine="420"/>
      </w:pPr>
      <w:rPr>
        <w:rFonts w:hint="eastAsia"/>
      </w:rPr>
    </w:lvl>
  </w:abstractNum>
  <w:abstractNum w:abstractNumId="1">
    <w:nsid w:val="829766F0"/>
    <w:multiLevelType w:val="singleLevel"/>
    <w:tmpl w:val="829766F0"/>
    <w:lvl w:ilvl="0" w:tentative="0">
      <w:start w:val="1"/>
      <w:numFmt w:val="chineseCounting"/>
      <w:suff w:val="nothing"/>
      <w:lvlText w:val="%1、"/>
      <w:lvlJc w:val="left"/>
      <w:pPr>
        <w:ind w:left="0" w:firstLine="420"/>
      </w:pPr>
      <w:rPr>
        <w:rFonts w:hint="eastAsia"/>
      </w:rPr>
    </w:lvl>
  </w:abstractNum>
  <w:abstractNum w:abstractNumId="2">
    <w:nsid w:val="89C226B8"/>
    <w:multiLevelType w:val="singleLevel"/>
    <w:tmpl w:val="89C226B8"/>
    <w:lvl w:ilvl="0" w:tentative="0">
      <w:start w:val="1"/>
      <w:numFmt w:val="chineseCounting"/>
      <w:suff w:val="nothing"/>
      <w:lvlText w:val="（%1）"/>
      <w:lvlJc w:val="left"/>
      <w:pPr>
        <w:ind w:left="0" w:firstLine="420"/>
      </w:pPr>
      <w:rPr>
        <w:rFonts w:hint="eastAsia"/>
      </w:rPr>
    </w:lvl>
  </w:abstractNum>
  <w:abstractNum w:abstractNumId="3">
    <w:nsid w:val="99E86436"/>
    <w:multiLevelType w:val="singleLevel"/>
    <w:tmpl w:val="99E86436"/>
    <w:lvl w:ilvl="0" w:tentative="0">
      <w:start w:val="1"/>
      <w:numFmt w:val="chineseCounting"/>
      <w:suff w:val="nothing"/>
      <w:lvlText w:val="%1、"/>
      <w:lvlJc w:val="left"/>
      <w:pPr>
        <w:ind w:left="0" w:firstLine="420"/>
      </w:pPr>
      <w:rPr>
        <w:rFonts w:hint="eastAsia"/>
      </w:rPr>
    </w:lvl>
  </w:abstractNum>
  <w:abstractNum w:abstractNumId="4">
    <w:nsid w:val="E0DF0E50"/>
    <w:multiLevelType w:val="singleLevel"/>
    <w:tmpl w:val="E0DF0E50"/>
    <w:lvl w:ilvl="0" w:tentative="0">
      <w:start w:val="1"/>
      <w:numFmt w:val="chineseCounting"/>
      <w:suff w:val="nothing"/>
      <w:lvlText w:val="%1、"/>
      <w:lvlJc w:val="left"/>
      <w:pPr>
        <w:ind w:left="0" w:firstLine="420"/>
      </w:pPr>
      <w:rPr>
        <w:rFonts w:hint="eastAsia"/>
      </w:rPr>
    </w:lvl>
  </w:abstractNum>
  <w:abstractNum w:abstractNumId="5">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6">
    <w:nsid w:val="FF1BE020"/>
    <w:multiLevelType w:val="singleLevel"/>
    <w:tmpl w:val="FF1BE020"/>
    <w:lvl w:ilvl="0" w:tentative="0">
      <w:start w:val="1"/>
      <w:numFmt w:val="chineseCounting"/>
      <w:suff w:val="nothing"/>
      <w:lvlText w:val="%1、"/>
      <w:lvlJc w:val="left"/>
      <w:pPr>
        <w:ind w:left="0" w:firstLine="420"/>
      </w:pPr>
      <w:rPr>
        <w:rFonts w:hint="eastAsia"/>
      </w:rPr>
    </w:lvl>
  </w:abstractNum>
  <w:abstractNum w:abstractNumId="7">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93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A92227D"/>
    <w:multiLevelType w:val="multilevel"/>
    <w:tmpl w:val="0A92227D"/>
    <w:lvl w:ilvl="0" w:tentative="0">
      <w:start w:val="1"/>
      <w:numFmt w:val="bullet"/>
      <w:pStyle w:val="108"/>
      <w:lvlText w:val=""/>
      <w:lvlJc w:val="left"/>
      <w:pPr>
        <w:ind w:left="900" w:hanging="420"/>
      </w:pPr>
      <w:rPr>
        <w:rFonts w:hint="default" w:ascii="Wingdings" w:hAnsi="Wingdings"/>
      </w:rPr>
    </w:lvl>
    <w:lvl w:ilvl="1" w:tentative="0">
      <w:start w:val="1"/>
      <w:numFmt w:val="bullet"/>
      <w:pStyle w:val="107"/>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0">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0D5F655"/>
    <w:multiLevelType w:val="singleLevel"/>
    <w:tmpl w:val="20D5F655"/>
    <w:lvl w:ilvl="0" w:tentative="0">
      <w:start w:val="1"/>
      <w:numFmt w:val="chineseCounting"/>
      <w:suff w:val="nothing"/>
      <w:lvlText w:val="%1、"/>
      <w:lvlJc w:val="left"/>
      <w:pPr>
        <w:ind w:left="0" w:firstLine="420"/>
      </w:pPr>
      <w:rPr>
        <w:rFonts w:hint="eastAsia"/>
      </w:rPr>
    </w:lvl>
  </w:abstractNum>
  <w:abstractNum w:abstractNumId="13">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2"/>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4">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5">
    <w:nsid w:val="29ED291C"/>
    <w:multiLevelType w:val="singleLevel"/>
    <w:tmpl w:val="29ED291C"/>
    <w:lvl w:ilvl="0" w:tentative="0">
      <w:start w:val="1"/>
      <w:numFmt w:val="chineseCounting"/>
      <w:suff w:val="nothing"/>
      <w:lvlText w:val="（%1）"/>
      <w:lvlJc w:val="left"/>
      <w:pPr>
        <w:ind w:left="0" w:firstLine="420"/>
      </w:pPr>
      <w:rPr>
        <w:rFonts w:hint="eastAsia"/>
      </w:rPr>
    </w:lvl>
  </w:abstractNum>
  <w:abstractNum w:abstractNumId="16">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7">
    <w:nsid w:val="34AD0AFC"/>
    <w:multiLevelType w:val="singleLevel"/>
    <w:tmpl w:val="34AD0AFC"/>
    <w:lvl w:ilvl="0" w:tentative="0">
      <w:start w:val="1"/>
      <w:numFmt w:val="decimal"/>
      <w:suff w:val="nothing"/>
      <w:lvlText w:val="%1、"/>
      <w:lvlJc w:val="left"/>
    </w:lvl>
  </w:abstractNum>
  <w:abstractNum w:abstractNumId="18">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1">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23">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25">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6">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7">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8">
    <w:nsid w:val="58F5EE34"/>
    <w:multiLevelType w:val="singleLevel"/>
    <w:tmpl w:val="58F5EE34"/>
    <w:lvl w:ilvl="0" w:tentative="0">
      <w:start w:val="3"/>
      <w:numFmt w:val="chineseCounting"/>
      <w:suff w:val="nothing"/>
      <w:lvlText w:val="%1、"/>
      <w:lvlJc w:val="left"/>
    </w:lvl>
  </w:abstractNum>
  <w:abstractNum w:abstractNumId="29">
    <w:nsid w:val="59DEF6EB"/>
    <w:multiLevelType w:val="singleLevel"/>
    <w:tmpl w:val="59DEF6EB"/>
    <w:lvl w:ilvl="0" w:tentative="0">
      <w:start w:val="1"/>
      <w:numFmt w:val="chineseCounting"/>
      <w:suff w:val="nothing"/>
      <w:lvlText w:val="%1、"/>
      <w:lvlJc w:val="left"/>
    </w:lvl>
  </w:abstractNum>
  <w:abstractNum w:abstractNumId="30">
    <w:nsid w:val="5A1BBB23"/>
    <w:multiLevelType w:val="singleLevel"/>
    <w:tmpl w:val="5A1BBB23"/>
    <w:lvl w:ilvl="0" w:tentative="0">
      <w:start w:val="1"/>
      <w:numFmt w:val="chineseCounting"/>
      <w:suff w:val="nothing"/>
      <w:lvlText w:val="（%1）"/>
      <w:lvlJc w:val="left"/>
    </w:lvl>
  </w:abstractNum>
  <w:abstractNum w:abstractNumId="31">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32">
    <w:nsid w:val="5A1BCF5D"/>
    <w:multiLevelType w:val="singleLevel"/>
    <w:tmpl w:val="5A1BCF5D"/>
    <w:lvl w:ilvl="0" w:tentative="0">
      <w:start w:val="1"/>
      <w:numFmt w:val="decimal"/>
      <w:suff w:val="nothing"/>
      <w:lvlText w:val="%1、"/>
      <w:lvlJc w:val="left"/>
    </w:lvl>
  </w:abstractNum>
  <w:abstractNum w:abstractNumId="33">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34">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35">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6">
    <w:nsid w:val="5A1FB537"/>
    <w:multiLevelType w:val="singleLevel"/>
    <w:tmpl w:val="5A1FB537"/>
    <w:lvl w:ilvl="0" w:tentative="0">
      <w:start w:val="1"/>
      <w:numFmt w:val="decimal"/>
      <w:suff w:val="nothing"/>
      <w:lvlText w:val="%1、"/>
      <w:lvlJc w:val="left"/>
    </w:lvl>
  </w:abstractNum>
  <w:abstractNum w:abstractNumId="37">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8">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9">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40">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41">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42">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43">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44">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45">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6">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7">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8">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9">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50">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51">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52">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3">
    <w:nsid w:val="7AD9A7C4"/>
    <w:multiLevelType w:val="singleLevel"/>
    <w:tmpl w:val="7AD9A7C4"/>
    <w:lvl w:ilvl="0" w:tentative="0">
      <w:start w:val="1"/>
      <w:numFmt w:val="chineseCounting"/>
      <w:suff w:val="nothing"/>
      <w:lvlText w:val="%1、"/>
      <w:lvlJc w:val="left"/>
      <w:pPr>
        <w:ind w:left="0" w:firstLine="420"/>
      </w:pPr>
      <w:rPr>
        <w:rFonts w:hint="eastAsia"/>
      </w:rPr>
    </w:lvl>
  </w:abstractNum>
  <w:abstractNum w:abstractNumId="54">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23"/>
  </w:num>
  <w:num w:numId="3">
    <w:abstractNumId w:val="10"/>
  </w:num>
  <w:num w:numId="4">
    <w:abstractNumId w:val="13"/>
  </w:num>
  <w:num w:numId="5">
    <w:abstractNumId w:val="8"/>
  </w:num>
  <w:num w:numId="6">
    <w:abstractNumId w:val="14"/>
  </w:num>
  <w:num w:numId="7">
    <w:abstractNumId w:val="21"/>
  </w:num>
  <w:num w:numId="8">
    <w:abstractNumId w:val="22"/>
  </w:num>
  <w:num w:numId="9">
    <w:abstractNumId w:val="30"/>
  </w:num>
  <w:num w:numId="10">
    <w:abstractNumId w:val="24"/>
  </w:num>
  <w:num w:numId="11">
    <w:abstractNumId w:val="25"/>
  </w:num>
  <w:num w:numId="12">
    <w:abstractNumId w:val="26"/>
  </w:num>
  <w:num w:numId="13">
    <w:abstractNumId w:val="33"/>
  </w:num>
  <w:num w:numId="14">
    <w:abstractNumId w:val="27"/>
  </w:num>
  <w:num w:numId="15">
    <w:abstractNumId w:val="43"/>
  </w:num>
  <w:num w:numId="16">
    <w:abstractNumId w:val="44"/>
  </w:num>
  <w:num w:numId="17">
    <w:abstractNumId w:val="42"/>
  </w:num>
  <w:num w:numId="18">
    <w:abstractNumId w:val="54"/>
  </w:num>
  <w:num w:numId="19">
    <w:abstractNumId w:val="20"/>
  </w:num>
  <w:num w:numId="20">
    <w:abstractNumId w:val="49"/>
  </w:num>
  <w:num w:numId="21">
    <w:abstractNumId w:val="31"/>
  </w:num>
  <w:num w:numId="22">
    <w:abstractNumId w:val="34"/>
  </w:num>
  <w:num w:numId="23">
    <w:abstractNumId w:val="32"/>
  </w:num>
  <w:num w:numId="24">
    <w:abstractNumId w:val="46"/>
  </w:num>
  <w:num w:numId="25">
    <w:abstractNumId w:val="47"/>
  </w:num>
  <w:num w:numId="26">
    <w:abstractNumId w:val="48"/>
  </w:num>
  <w:num w:numId="27">
    <w:abstractNumId w:val="5"/>
  </w:num>
  <w:num w:numId="28">
    <w:abstractNumId w:val="28"/>
  </w:num>
  <w:num w:numId="29">
    <w:abstractNumId w:val="35"/>
  </w:num>
  <w:num w:numId="30">
    <w:abstractNumId w:val="9"/>
  </w:num>
  <w:num w:numId="31">
    <w:abstractNumId w:val="36"/>
  </w:num>
  <w:num w:numId="32">
    <w:abstractNumId w:val="50"/>
  </w:num>
  <w:num w:numId="33">
    <w:abstractNumId w:val="37"/>
  </w:num>
  <w:num w:numId="34">
    <w:abstractNumId w:val="45"/>
  </w:num>
  <w:num w:numId="35">
    <w:abstractNumId w:val="38"/>
  </w:num>
  <w:num w:numId="36">
    <w:abstractNumId w:val="39"/>
  </w:num>
  <w:num w:numId="37">
    <w:abstractNumId w:val="40"/>
  </w:num>
  <w:num w:numId="38">
    <w:abstractNumId w:val="41"/>
  </w:num>
  <w:num w:numId="39">
    <w:abstractNumId w:val="51"/>
  </w:num>
  <w:num w:numId="40">
    <w:abstractNumId w:val="12"/>
  </w:num>
  <w:num w:numId="41">
    <w:abstractNumId w:val="15"/>
  </w:num>
  <w:num w:numId="42">
    <w:abstractNumId w:val="0"/>
  </w:num>
  <w:num w:numId="43">
    <w:abstractNumId w:val="2"/>
  </w:num>
  <w:num w:numId="44">
    <w:abstractNumId w:val="1"/>
  </w:num>
  <w:num w:numId="45">
    <w:abstractNumId w:val="3"/>
  </w:num>
  <w:num w:numId="46">
    <w:abstractNumId w:val="6"/>
  </w:num>
  <w:num w:numId="47">
    <w:abstractNumId w:val="4"/>
  </w:num>
  <w:num w:numId="48">
    <w:abstractNumId w:val="53"/>
  </w:num>
  <w:num w:numId="49">
    <w:abstractNumId w:val="18"/>
  </w:num>
  <w:num w:numId="50">
    <w:abstractNumId w:val="52"/>
  </w:num>
  <w:num w:numId="51">
    <w:abstractNumId w:val="29"/>
  </w:num>
  <w:num w:numId="52">
    <w:abstractNumId w:val="19"/>
  </w:num>
  <w:num w:numId="53">
    <w:abstractNumId w:val="17"/>
  </w:num>
  <w:num w:numId="54">
    <w:abstractNumId w:val="16"/>
  </w:num>
  <w:num w:numId="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A60F3"/>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253502"/>
    <w:rsid w:val="013A34D2"/>
    <w:rsid w:val="017C4C4A"/>
    <w:rsid w:val="019845E5"/>
    <w:rsid w:val="01B0348D"/>
    <w:rsid w:val="01C1532E"/>
    <w:rsid w:val="01DC7096"/>
    <w:rsid w:val="01E2682C"/>
    <w:rsid w:val="020716AE"/>
    <w:rsid w:val="02507A52"/>
    <w:rsid w:val="02596255"/>
    <w:rsid w:val="025E45AD"/>
    <w:rsid w:val="02632E79"/>
    <w:rsid w:val="028242D4"/>
    <w:rsid w:val="02B9172A"/>
    <w:rsid w:val="02DD68E2"/>
    <w:rsid w:val="02E9497F"/>
    <w:rsid w:val="030C0571"/>
    <w:rsid w:val="03164D3E"/>
    <w:rsid w:val="03451B7A"/>
    <w:rsid w:val="03511D53"/>
    <w:rsid w:val="03766AE1"/>
    <w:rsid w:val="03A240C0"/>
    <w:rsid w:val="03C45689"/>
    <w:rsid w:val="03E812EC"/>
    <w:rsid w:val="04346E96"/>
    <w:rsid w:val="043F1946"/>
    <w:rsid w:val="045B7DE7"/>
    <w:rsid w:val="049A4A23"/>
    <w:rsid w:val="04CB1844"/>
    <w:rsid w:val="04D70CB5"/>
    <w:rsid w:val="04EA6A74"/>
    <w:rsid w:val="050D16BA"/>
    <w:rsid w:val="054A171F"/>
    <w:rsid w:val="055C340A"/>
    <w:rsid w:val="05625D31"/>
    <w:rsid w:val="058013F8"/>
    <w:rsid w:val="058B3782"/>
    <w:rsid w:val="0591421E"/>
    <w:rsid w:val="059A1517"/>
    <w:rsid w:val="05E71667"/>
    <w:rsid w:val="06273AC5"/>
    <w:rsid w:val="06701CF1"/>
    <w:rsid w:val="068E2877"/>
    <w:rsid w:val="06C40031"/>
    <w:rsid w:val="06C55BEF"/>
    <w:rsid w:val="06CF3C7F"/>
    <w:rsid w:val="06E21332"/>
    <w:rsid w:val="07156F47"/>
    <w:rsid w:val="07310670"/>
    <w:rsid w:val="07487F64"/>
    <w:rsid w:val="074F1D72"/>
    <w:rsid w:val="07607573"/>
    <w:rsid w:val="07641B88"/>
    <w:rsid w:val="0783216A"/>
    <w:rsid w:val="079C6C34"/>
    <w:rsid w:val="07C17285"/>
    <w:rsid w:val="07E464D4"/>
    <w:rsid w:val="07EB65E3"/>
    <w:rsid w:val="07F124E0"/>
    <w:rsid w:val="07FE3A66"/>
    <w:rsid w:val="08231048"/>
    <w:rsid w:val="082F71E8"/>
    <w:rsid w:val="084D34A3"/>
    <w:rsid w:val="085B51C1"/>
    <w:rsid w:val="08624F55"/>
    <w:rsid w:val="087D32AA"/>
    <w:rsid w:val="08947E10"/>
    <w:rsid w:val="089E3657"/>
    <w:rsid w:val="08AB3374"/>
    <w:rsid w:val="08B0644D"/>
    <w:rsid w:val="08C14A52"/>
    <w:rsid w:val="08C35B2B"/>
    <w:rsid w:val="08DD3EDA"/>
    <w:rsid w:val="08E80A7C"/>
    <w:rsid w:val="08FD1694"/>
    <w:rsid w:val="08FF7646"/>
    <w:rsid w:val="09195F9B"/>
    <w:rsid w:val="0938692D"/>
    <w:rsid w:val="093B4559"/>
    <w:rsid w:val="09423CB2"/>
    <w:rsid w:val="09551105"/>
    <w:rsid w:val="09732BAA"/>
    <w:rsid w:val="09957E1A"/>
    <w:rsid w:val="099B7A84"/>
    <w:rsid w:val="09AB0222"/>
    <w:rsid w:val="09AD23BE"/>
    <w:rsid w:val="09B124FA"/>
    <w:rsid w:val="09CD7056"/>
    <w:rsid w:val="09D83573"/>
    <w:rsid w:val="09EC0C7C"/>
    <w:rsid w:val="09FE6339"/>
    <w:rsid w:val="0A14574B"/>
    <w:rsid w:val="0A2C0381"/>
    <w:rsid w:val="0A39670A"/>
    <w:rsid w:val="0A744052"/>
    <w:rsid w:val="0A8254DA"/>
    <w:rsid w:val="0A9C41F4"/>
    <w:rsid w:val="0AA862B1"/>
    <w:rsid w:val="0AAF104A"/>
    <w:rsid w:val="0AAF3E31"/>
    <w:rsid w:val="0ADE6EA2"/>
    <w:rsid w:val="0AED7139"/>
    <w:rsid w:val="0B151573"/>
    <w:rsid w:val="0B4A0AB1"/>
    <w:rsid w:val="0B6E3207"/>
    <w:rsid w:val="0B73301E"/>
    <w:rsid w:val="0BAC0F2F"/>
    <w:rsid w:val="0C106DAE"/>
    <w:rsid w:val="0C1959E9"/>
    <w:rsid w:val="0C220AE9"/>
    <w:rsid w:val="0C316499"/>
    <w:rsid w:val="0C643F71"/>
    <w:rsid w:val="0C7F7977"/>
    <w:rsid w:val="0CA777FB"/>
    <w:rsid w:val="0CB25156"/>
    <w:rsid w:val="0CC90ECA"/>
    <w:rsid w:val="0CF95E06"/>
    <w:rsid w:val="0CF970C7"/>
    <w:rsid w:val="0D772A74"/>
    <w:rsid w:val="0D7D3D59"/>
    <w:rsid w:val="0D827683"/>
    <w:rsid w:val="0D8619FC"/>
    <w:rsid w:val="0D915916"/>
    <w:rsid w:val="0DD724F6"/>
    <w:rsid w:val="0DE05730"/>
    <w:rsid w:val="0DFB07CE"/>
    <w:rsid w:val="0E0148DC"/>
    <w:rsid w:val="0E0A3926"/>
    <w:rsid w:val="0E1C168C"/>
    <w:rsid w:val="0E1C6CD1"/>
    <w:rsid w:val="0E2F361C"/>
    <w:rsid w:val="0E3C5788"/>
    <w:rsid w:val="0E8A0397"/>
    <w:rsid w:val="0EA20E7A"/>
    <w:rsid w:val="0EAF3D7B"/>
    <w:rsid w:val="0EB04E92"/>
    <w:rsid w:val="0ECB0ECB"/>
    <w:rsid w:val="0ED80953"/>
    <w:rsid w:val="0EE47081"/>
    <w:rsid w:val="0EE923AC"/>
    <w:rsid w:val="0EF46447"/>
    <w:rsid w:val="0EFF300A"/>
    <w:rsid w:val="0F181FC8"/>
    <w:rsid w:val="0F333702"/>
    <w:rsid w:val="0F401705"/>
    <w:rsid w:val="0F4C64DA"/>
    <w:rsid w:val="0F4E4E37"/>
    <w:rsid w:val="0F5F037A"/>
    <w:rsid w:val="0F6D0D24"/>
    <w:rsid w:val="0F806FED"/>
    <w:rsid w:val="0F8D0BE8"/>
    <w:rsid w:val="0F900FC5"/>
    <w:rsid w:val="0FA91797"/>
    <w:rsid w:val="0FB33A4E"/>
    <w:rsid w:val="10126394"/>
    <w:rsid w:val="103B2A2B"/>
    <w:rsid w:val="104C2A9E"/>
    <w:rsid w:val="107B4D2F"/>
    <w:rsid w:val="10F748EC"/>
    <w:rsid w:val="10FF7F0B"/>
    <w:rsid w:val="11085F6F"/>
    <w:rsid w:val="11097388"/>
    <w:rsid w:val="113339FB"/>
    <w:rsid w:val="113B63CB"/>
    <w:rsid w:val="11686758"/>
    <w:rsid w:val="117B5CBE"/>
    <w:rsid w:val="118A1171"/>
    <w:rsid w:val="11985EF8"/>
    <w:rsid w:val="11C8127F"/>
    <w:rsid w:val="11E44062"/>
    <w:rsid w:val="11EB42EE"/>
    <w:rsid w:val="11F95B44"/>
    <w:rsid w:val="122C300C"/>
    <w:rsid w:val="12345CE1"/>
    <w:rsid w:val="12443276"/>
    <w:rsid w:val="1252238F"/>
    <w:rsid w:val="12A254E6"/>
    <w:rsid w:val="12A94F39"/>
    <w:rsid w:val="12B10A4C"/>
    <w:rsid w:val="12B130B4"/>
    <w:rsid w:val="12CF0A95"/>
    <w:rsid w:val="12DE1B3B"/>
    <w:rsid w:val="12E27BAC"/>
    <w:rsid w:val="12E76BDB"/>
    <w:rsid w:val="13133401"/>
    <w:rsid w:val="134D4C40"/>
    <w:rsid w:val="13575E34"/>
    <w:rsid w:val="136900C9"/>
    <w:rsid w:val="13722F5D"/>
    <w:rsid w:val="137C4F6D"/>
    <w:rsid w:val="139765D8"/>
    <w:rsid w:val="13DC39F1"/>
    <w:rsid w:val="13E9682A"/>
    <w:rsid w:val="13F516F1"/>
    <w:rsid w:val="13FB2D0D"/>
    <w:rsid w:val="14052EBB"/>
    <w:rsid w:val="14305551"/>
    <w:rsid w:val="14386FD6"/>
    <w:rsid w:val="14432CB6"/>
    <w:rsid w:val="146035E6"/>
    <w:rsid w:val="14C115D5"/>
    <w:rsid w:val="14CD6141"/>
    <w:rsid w:val="14DD4386"/>
    <w:rsid w:val="150B47D4"/>
    <w:rsid w:val="1521731E"/>
    <w:rsid w:val="1545428F"/>
    <w:rsid w:val="15480EAF"/>
    <w:rsid w:val="156D64AB"/>
    <w:rsid w:val="1580785E"/>
    <w:rsid w:val="1592432C"/>
    <w:rsid w:val="1593133A"/>
    <w:rsid w:val="15967133"/>
    <w:rsid w:val="15B86808"/>
    <w:rsid w:val="15D943E3"/>
    <w:rsid w:val="15F55D96"/>
    <w:rsid w:val="15F743BB"/>
    <w:rsid w:val="16011788"/>
    <w:rsid w:val="16145E18"/>
    <w:rsid w:val="161A2D22"/>
    <w:rsid w:val="162E6015"/>
    <w:rsid w:val="16300C8C"/>
    <w:rsid w:val="165D3CF8"/>
    <w:rsid w:val="16612092"/>
    <w:rsid w:val="168122B3"/>
    <w:rsid w:val="1688674A"/>
    <w:rsid w:val="16D400EF"/>
    <w:rsid w:val="16DD42E0"/>
    <w:rsid w:val="16F9234C"/>
    <w:rsid w:val="170F2880"/>
    <w:rsid w:val="17115465"/>
    <w:rsid w:val="17223771"/>
    <w:rsid w:val="173F3DB4"/>
    <w:rsid w:val="176E54A7"/>
    <w:rsid w:val="17884105"/>
    <w:rsid w:val="179405EF"/>
    <w:rsid w:val="17A70F3F"/>
    <w:rsid w:val="17A77F5D"/>
    <w:rsid w:val="17AD26A7"/>
    <w:rsid w:val="17CB0F48"/>
    <w:rsid w:val="17D406F7"/>
    <w:rsid w:val="17D8322F"/>
    <w:rsid w:val="1816511F"/>
    <w:rsid w:val="184F35DE"/>
    <w:rsid w:val="187D529B"/>
    <w:rsid w:val="1886755A"/>
    <w:rsid w:val="18983047"/>
    <w:rsid w:val="18A41337"/>
    <w:rsid w:val="18B50E36"/>
    <w:rsid w:val="18C30DC2"/>
    <w:rsid w:val="18CF5CB8"/>
    <w:rsid w:val="18D739B5"/>
    <w:rsid w:val="18DC6978"/>
    <w:rsid w:val="18F6604F"/>
    <w:rsid w:val="1936128D"/>
    <w:rsid w:val="193B5CC8"/>
    <w:rsid w:val="19A9567A"/>
    <w:rsid w:val="19BF527F"/>
    <w:rsid w:val="19C92DE2"/>
    <w:rsid w:val="19DD7342"/>
    <w:rsid w:val="19F32656"/>
    <w:rsid w:val="19F46A76"/>
    <w:rsid w:val="1A2F2A0B"/>
    <w:rsid w:val="1A4030A6"/>
    <w:rsid w:val="1A956D0C"/>
    <w:rsid w:val="1AA73CED"/>
    <w:rsid w:val="1AB5503B"/>
    <w:rsid w:val="1AC2553A"/>
    <w:rsid w:val="1ADE2C24"/>
    <w:rsid w:val="1AF6038F"/>
    <w:rsid w:val="1AFA6FFF"/>
    <w:rsid w:val="1AFE7A29"/>
    <w:rsid w:val="1B073922"/>
    <w:rsid w:val="1B5D08FA"/>
    <w:rsid w:val="1B604066"/>
    <w:rsid w:val="1B9B0BC6"/>
    <w:rsid w:val="1BBA2302"/>
    <w:rsid w:val="1C020069"/>
    <w:rsid w:val="1C4548E1"/>
    <w:rsid w:val="1C507121"/>
    <w:rsid w:val="1C7A32F9"/>
    <w:rsid w:val="1C8C4934"/>
    <w:rsid w:val="1C9242A4"/>
    <w:rsid w:val="1C931CB9"/>
    <w:rsid w:val="1CBE3649"/>
    <w:rsid w:val="1CC33C80"/>
    <w:rsid w:val="1D9C0926"/>
    <w:rsid w:val="1DA710C8"/>
    <w:rsid w:val="1E1A3FF8"/>
    <w:rsid w:val="1E26654D"/>
    <w:rsid w:val="1E323109"/>
    <w:rsid w:val="1E555EE9"/>
    <w:rsid w:val="1EA10F3E"/>
    <w:rsid w:val="1EB51DD8"/>
    <w:rsid w:val="1EC61F82"/>
    <w:rsid w:val="1EC93386"/>
    <w:rsid w:val="1EED0F1B"/>
    <w:rsid w:val="1EFF7244"/>
    <w:rsid w:val="1F010CE1"/>
    <w:rsid w:val="1F280757"/>
    <w:rsid w:val="1F59427A"/>
    <w:rsid w:val="1F6406C1"/>
    <w:rsid w:val="1FD945B0"/>
    <w:rsid w:val="1FEF1FFA"/>
    <w:rsid w:val="20090507"/>
    <w:rsid w:val="20AF05BD"/>
    <w:rsid w:val="20BB2E96"/>
    <w:rsid w:val="20DA6C2C"/>
    <w:rsid w:val="20DD668A"/>
    <w:rsid w:val="20E633FF"/>
    <w:rsid w:val="210D65EB"/>
    <w:rsid w:val="2119335A"/>
    <w:rsid w:val="211A5B8C"/>
    <w:rsid w:val="21592782"/>
    <w:rsid w:val="215A2EC4"/>
    <w:rsid w:val="217627D9"/>
    <w:rsid w:val="21A0370E"/>
    <w:rsid w:val="21B1797A"/>
    <w:rsid w:val="21B53287"/>
    <w:rsid w:val="21B814FB"/>
    <w:rsid w:val="21C52D02"/>
    <w:rsid w:val="21C52F88"/>
    <w:rsid w:val="220E3210"/>
    <w:rsid w:val="226E02A2"/>
    <w:rsid w:val="228D0852"/>
    <w:rsid w:val="229D03B1"/>
    <w:rsid w:val="22A355B8"/>
    <w:rsid w:val="22B00566"/>
    <w:rsid w:val="22C471DB"/>
    <w:rsid w:val="22D03D34"/>
    <w:rsid w:val="22D66746"/>
    <w:rsid w:val="22ED647C"/>
    <w:rsid w:val="231F769B"/>
    <w:rsid w:val="23422E27"/>
    <w:rsid w:val="235201DB"/>
    <w:rsid w:val="2359393E"/>
    <w:rsid w:val="238F1CC8"/>
    <w:rsid w:val="23BE0B86"/>
    <w:rsid w:val="243F1DE7"/>
    <w:rsid w:val="248A3A7F"/>
    <w:rsid w:val="249F4236"/>
    <w:rsid w:val="24C377D0"/>
    <w:rsid w:val="24D01574"/>
    <w:rsid w:val="24E52D6B"/>
    <w:rsid w:val="25046EA2"/>
    <w:rsid w:val="25251A25"/>
    <w:rsid w:val="25474606"/>
    <w:rsid w:val="256228E0"/>
    <w:rsid w:val="258F7DD5"/>
    <w:rsid w:val="25AC0E5C"/>
    <w:rsid w:val="25C25E13"/>
    <w:rsid w:val="25C908AF"/>
    <w:rsid w:val="25CE5311"/>
    <w:rsid w:val="25D3637D"/>
    <w:rsid w:val="25FA061E"/>
    <w:rsid w:val="260374EC"/>
    <w:rsid w:val="261B1D53"/>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81D243D"/>
    <w:rsid w:val="283322C9"/>
    <w:rsid w:val="285C72E1"/>
    <w:rsid w:val="285E1F2B"/>
    <w:rsid w:val="28932F3A"/>
    <w:rsid w:val="28B142D5"/>
    <w:rsid w:val="28BA0DD2"/>
    <w:rsid w:val="28C052EC"/>
    <w:rsid w:val="28C50201"/>
    <w:rsid w:val="28C608F6"/>
    <w:rsid w:val="28D1042F"/>
    <w:rsid w:val="28DD4BE9"/>
    <w:rsid w:val="28E03B7D"/>
    <w:rsid w:val="290C77C3"/>
    <w:rsid w:val="290D3996"/>
    <w:rsid w:val="290F10C4"/>
    <w:rsid w:val="29136CF0"/>
    <w:rsid w:val="29777818"/>
    <w:rsid w:val="29C80887"/>
    <w:rsid w:val="29F64D34"/>
    <w:rsid w:val="29FF6391"/>
    <w:rsid w:val="2A2F63F2"/>
    <w:rsid w:val="2A474027"/>
    <w:rsid w:val="2A4C44CF"/>
    <w:rsid w:val="2A7A5071"/>
    <w:rsid w:val="2A911A4E"/>
    <w:rsid w:val="2ADD7D86"/>
    <w:rsid w:val="2AE17E4F"/>
    <w:rsid w:val="2B0459FF"/>
    <w:rsid w:val="2B0F2074"/>
    <w:rsid w:val="2B4116FF"/>
    <w:rsid w:val="2B5258B1"/>
    <w:rsid w:val="2B8653EF"/>
    <w:rsid w:val="2BFE19D6"/>
    <w:rsid w:val="2C1B5789"/>
    <w:rsid w:val="2C3118DD"/>
    <w:rsid w:val="2C3562D8"/>
    <w:rsid w:val="2C37319A"/>
    <w:rsid w:val="2C5A63C9"/>
    <w:rsid w:val="2CB07001"/>
    <w:rsid w:val="2CB3280D"/>
    <w:rsid w:val="2CB922C1"/>
    <w:rsid w:val="2CD25725"/>
    <w:rsid w:val="2CF70F9E"/>
    <w:rsid w:val="2D124A1E"/>
    <w:rsid w:val="2D323752"/>
    <w:rsid w:val="2D3373D5"/>
    <w:rsid w:val="2D39787B"/>
    <w:rsid w:val="2D3B78BA"/>
    <w:rsid w:val="2D4340BD"/>
    <w:rsid w:val="2D4910C7"/>
    <w:rsid w:val="2D4A3339"/>
    <w:rsid w:val="2D6C2573"/>
    <w:rsid w:val="2D9A0AB9"/>
    <w:rsid w:val="2DCD259E"/>
    <w:rsid w:val="2DD97074"/>
    <w:rsid w:val="2E090193"/>
    <w:rsid w:val="2E0A7E69"/>
    <w:rsid w:val="2E3A03E5"/>
    <w:rsid w:val="2E5C26B6"/>
    <w:rsid w:val="2E7608C5"/>
    <w:rsid w:val="2E9D4664"/>
    <w:rsid w:val="2EAD6E42"/>
    <w:rsid w:val="2F046F53"/>
    <w:rsid w:val="2F154571"/>
    <w:rsid w:val="2F2F5279"/>
    <w:rsid w:val="2F314A30"/>
    <w:rsid w:val="2F385D1F"/>
    <w:rsid w:val="2F592C0A"/>
    <w:rsid w:val="2F6076E3"/>
    <w:rsid w:val="2F992B76"/>
    <w:rsid w:val="2F9F7149"/>
    <w:rsid w:val="2FD276BA"/>
    <w:rsid w:val="2FF61F3A"/>
    <w:rsid w:val="2FF76ADE"/>
    <w:rsid w:val="3012581E"/>
    <w:rsid w:val="30427DA1"/>
    <w:rsid w:val="30703AED"/>
    <w:rsid w:val="30D87142"/>
    <w:rsid w:val="30F90615"/>
    <w:rsid w:val="311427E1"/>
    <w:rsid w:val="31144F45"/>
    <w:rsid w:val="311E12EC"/>
    <w:rsid w:val="31263671"/>
    <w:rsid w:val="313D0673"/>
    <w:rsid w:val="313D7621"/>
    <w:rsid w:val="319D0C21"/>
    <w:rsid w:val="32096628"/>
    <w:rsid w:val="320F7CDE"/>
    <w:rsid w:val="321D07ED"/>
    <w:rsid w:val="321F2F90"/>
    <w:rsid w:val="321F3DAE"/>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690A64"/>
    <w:rsid w:val="3372638F"/>
    <w:rsid w:val="33781C4C"/>
    <w:rsid w:val="33C544C3"/>
    <w:rsid w:val="33D347BC"/>
    <w:rsid w:val="33DA0657"/>
    <w:rsid w:val="33EC666B"/>
    <w:rsid w:val="33F062D6"/>
    <w:rsid w:val="33F37344"/>
    <w:rsid w:val="33F50D78"/>
    <w:rsid w:val="33FD4196"/>
    <w:rsid w:val="341E6368"/>
    <w:rsid w:val="342F4322"/>
    <w:rsid w:val="34552CFD"/>
    <w:rsid w:val="34662C2B"/>
    <w:rsid w:val="346E04E1"/>
    <w:rsid w:val="34994215"/>
    <w:rsid w:val="34C539E4"/>
    <w:rsid w:val="34FE35BC"/>
    <w:rsid w:val="352422D0"/>
    <w:rsid w:val="35270D48"/>
    <w:rsid w:val="35312EA4"/>
    <w:rsid w:val="353B001C"/>
    <w:rsid w:val="354B78A0"/>
    <w:rsid w:val="355043BB"/>
    <w:rsid w:val="35593CAE"/>
    <w:rsid w:val="358C70A8"/>
    <w:rsid w:val="35C176A9"/>
    <w:rsid w:val="35D4584D"/>
    <w:rsid w:val="35DF2327"/>
    <w:rsid w:val="3607269A"/>
    <w:rsid w:val="3629503A"/>
    <w:rsid w:val="367B3297"/>
    <w:rsid w:val="36960637"/>
    <w:rsid w:val="36970D27"/>
    <w:rsid w:val="36E804BC"/>
    <w:rsid w:val="36ED7E3E"/>
    <w:rsid w:val="372B4C0C"/>
    <w:rsid w:val="37480859"/>
    <w:rsid w:val="376D2BCC"/>
    <w:rsid w:val="37B750BF"/>
    <w:rsid w:val="37CD02D8"/>
    <w:rsid w:val="37E54B0B"/>
    <w:rsid w:val="3832160D"/>
    <w:rsid w:val="38A0322F"/>
    <w:rsid w:val="38B44C92"/>
    <w:rsid w:val="38E0066F"/>
    <w:rsid w:val="38F36F42"/>
    <w:rsid w:val="38F81F10"/>
    <w:rsid w:val="38FF1F77"/>
    <w:rsid w:val="39001EE9"/>
    <w:rsid w:val="39050C3E"/>
    <w:rsid w:val="391425B7"/>
    <w:rsid w:val="39226068"/>
    <w:rsid w:val="3925063D"/>
    <w:rsid w:val="39387926"/>
    <w:rsid w:val="394346A0"/>
    <w:rsid w:val="39585C08"/>
    <w:rsid w:val="395E5DDB"/>
    <w:rsid w:val="39673DEE"/>
    <w:rsid w:val="3993401A"/>
    <w:rsid w:val="39975AFB"/>
    <w:rsid w:val="399D4762"/>
    <w:rsid w:val="39A21DBC"/>
    <w:rsid w:val="3A055985"/>
    <w:rsid w:val="3A0F1C59"/>
    <w:rsid w:val="3A233ECF"/>
    <w:rsid w:val="3A2D7BAB"/>
    <w:rsid w:val="3A4F2B4C"/>
    <w:rsid w:val="3A610625"/>
    <w:rsid w:val="3A684F39"/>
    <w:rsid w:val="3A764FDE"/>
    <w:rsid w:val="3A953982"/>
    <w:rsid w:val="3AC37553"/>
    <w:rsid w:val="3ACD34EE"/>
    <w:rsid w:val="3B291E32"/>
    <w:rsid w:val="3B4C1448"/>
    <w:rsid w:val="3B550C57"/>
    <w:rsid w:val="3B5653C0"/>
    <w:rsid w:val="3B5D79A7"/>
    <w:rsid w:val="3B64241F"/>
    <w:rsid w:val="3B934208"/>
    <w:rsid w:val="3B953CB8"/>
    <w:rsid w:val="3BBB63B0"/>
    <w:rsid w:val="3BEA6A4D"/>
    <w:rsid w:val="3BF975B9"/>
    <w:rsid w:val="3C0C324B"/>
    <w:rsid w:val="3C11779A"/>
    <w:rsid w:val="3C300073"/>
    <w:rsid w:val="3C3263C3"/>
    <w:rsid w:val="3C347876"/>
    <w:rsid w:val="3C3D7350"/>
    <w:rsid w:val="3C5077F0"/>
    <w:rsid w:val="3C5631C1"/>
    <w:rsid w:val="3C6319A5"/>
    <w:rsid w:val="3C6A4416"/>
    <w:rsid w:val="3C6D28C0"/>
    <w:rsid w:val="3CA16B01"/>
    <w:rsid w:val="3CA25450"/>
    <w:rsid w:val="3CB16C19"/>
    <w:rsid w:val="3CBD5B21"/>
    <w:rsid w:val="3CCA3030"/>
    <w:rsid w:val="3CCC585E"/>
    <w:rsid w:val="3CED282A"/>
    <w:rsid w:val="3CF306F7"/>
    <w:rsid w:val="3CF92AB7"/>
    <w:rsid w:val="3D0521B8"/>
    <w:rsid w:val="3D1F7B03"/>
    <w:rsid w:val="3D4E048A"/>
    <w:rsid w:val="3DE72505"/>
    <w:rsid w:val="3DFF3F57"/>
    <w:rsid w:val="3E2E1195"/>
    <w:rsid w:val="3E325ADE"/>
    <w:rsid w:val="3E3D5AF9"/>
    <w:rsid w:val="3EBE0637"/>
    <w:rsid w:val="3EDC43B2"/>
    <w:rsid w:val="3EF04D32"/>
    <w:rsid w:val="3F0424CF"/>
    <w:rsid w:val="3F4F0730"/>
    <w:rsid w:val="3F5564E5"/>
    <w:rsid w:val="3F576913"/>
    <w:rsid w:val="3F874ABF"/>
    <w:rsid w:val="3F886E54"/>
    <w:rsid w:val="3F8B6EB1"/>
    <w:rsid w:val="3FC02FF0"/>
    <w:rsid w:val="3FCE7634"/>
    <w:rsid w:val="40094869"/>
    <w:rsid w:val="400D38CA"/>
    <w:rsid w:val="401D13AA"/>
    <w:rsid w:val="402446DA"/>
    <w:rsid w:val="4031155A"/>
    <w:rsid w:val="40526CB6"/>
    <w:rsid w:val="40E07E77"/>
    <w:rsid w:val="40EB2FFB"/>
    <w:rsid w:val="40F92E90"/>
    <w:rsid w:val="41155838"/>
    <w:rsid w:val="412D4B19"/>
    <w:rsid w:val="416D6101"/>
    <w:rsid w:val="418A3309"/>
    <w:rsid w:val="419838B5"/>
    <w:rsid w:val="419D2F9D"/>
    <w:rsid w:val="41BD03DB"/>
    <w:rsid w:val="41C14BA5"/>
    <w:rsid w:val="41DA7D36"/>
    <w:rsid w:val="41DB446B"/>
    <w:rsid w:val="42001452"/>
    <w:rsid w:val="42107036"/>
    <w:rsid w:val="422100AF"/>
    <w:rsid w:val="42296309"/>
    <w:rsid w:val="422A4B00"/>
    <w:rsid w:val="42484C51"/>
    <w:rsid w:val="424851D2"/>
    <w:rsid w:val="4249668B"/>
    <w:rsid w:val="425E7D14"/>
    <w:rsid w:val="42635FEF"/>
    <w:rsid w:val="426A2760"/>
    <w:rsid w:val="42DC6B49"/>
    <w:rsid w:val="42F913BC"/>
    <w:rsid w:val="42FE5587"/>
    <w:rsid w:val="434C0275"/>
    <w:rsid w:val="43642F5E"/>
    <w:rsid w:val="43BE37E1"/>
    <w:rsid w:val="43EA034A"/>
    <w:rsid w:val="4409702F"/>
    <w:rsid w:val="44273C51"/>
    <w:rsid w:val="44443148"/>
    <w:rsid w:val="444824FB"/>
    <w:rsid w:val="44992D75"/>
    <w:rsid w:val="4499566D"/>
    <w:rsid w:val="44AA77F2"/>
    <w:rsid w:val="44AB3EBA"/>
    <w:rsid w:val="44AB6827"/>
    <w:rsid w:val="44B249B7"/>
    <w:rsid w:val="44B335CA"/>
    <w:rsid w:val="44B546E7"/>
    <w:rsid w:val="44C2688A"/>
    <w:rsid w:val="44D91FD9"/>
    <w:rsid w:val="44DE32E5"/>
    <w:rsid w:val="44FB2F62"/>
    <w:rsid w:val="44FF0F3A"/>
    <w:rsid w:val="451D414B"/>
    <w:rsid w:val="45407AD6"/>
    <w:rsid w:val="45553894"/>
    <w:rsid w:val="45671A03"/>
    <w:rsid w:val="457D260A"/>
    <w:rsid w:val="45903BF5"/>
    <w:rsid w:val="46100733"/>
    <w:rsid w:val="46331463"/>
    <w:rsid w:val="467C7DAD"/>
    <w:rsid w:val="468E066B"/>
    <w:rsid w:val="469C5960"/>
    <w:rsid w:val="46A120C6"/>
    <w:rsid w:val="46B12D45"/>
    <w:rsid w:val="46C05E45"/>
    <w:rsid w:val="46EB204D"/>
    <w:rsid w:val="46FC4CEF"/>
    <w:rsid w:val="471B2B70"/>
    <w:rsid w:val="475964A8"/>
    <w:rsid w:val="47CE2905"/>
    <w:rsid w:val="47F83359"/>
    <w:rsid w:val="47FC25FC"/>
    <w:rsid w:val="482D597D"/>
    <w:rsid w:val="488E64B7"/>
    <w:rsid w:val="48952A15"/>
    <w:rsid w:val="48967C88"/>
    <w:rsid w:val="489B7209"/>
    <w:rsid w:val="489D7312"/>
    <w:rsid w:val="48A474BC"/>
    <w:rsid w:val="48A633B7"/>
    <w:rsid w:val="48B6678D"/>
    <w:rsid w:val="48C8208F"/>
    <w:rsid w:val="48CD54FC"/>
    <w:rsid w:val="490D6EF1"/>
    <w:rsid w:val="49607C35"/>
    <w:rsid w:val="496A2326"/>
    <w:rsid w:val="496C770C"/>
    <w:rsid w:val="49833086"/>
    <w:rsid w:val="49E70C75"/>
    <w:rsid w:val="4A06251A"/>
    <w:rsid w:val="4A113DC0"/>
    <w:rsid w:val="4A2F2B46"/>
    <w:rsid w:val="4A547916"/>
    <w:rsid w:val="4A563835"/>
    <w:rsid w:val="4A5A4578"/>
    <w:rsid w:val="4A75653D"/>
    <w:rsid w:val="4A9470AF"/>
    <w:rsid w:val="4B0C4481"/>
    <w:rsid w:val="4B1D7FF9"/>
    <w:rsid w:val="4B3C1FE1"/>
    <w:rsid w:val="4B412FE7"/>
    <w:rsid w:val="4B50629D"/>
    <w:rsid w:val="4B5216F0"/>
    <w:rsid w:val="4B873C90"/>
    <w:rsid w:val="4BA82573"/>
    <w:rsid w:val="4BD319EC"/>
    <w:rsid w:val="4C0F3894"/>
    <w:rsid w:val="4C1603ED"/>
    <w:rsid w:val="4C265C32"/>
    <w:rsid w:val="4C5110C3"/>
    <w:rsid w:val="4C7607DD"/>
    <w:rsid w:val="4C77450A"/>
    <w:rsid w:val="4C935296"/>
    <w:rsid w:val="4C9C05A8"/>
    <w:rsid w:val="4CA93DA4"/>
    <w:rsid w:val="4D105E89"/>
    <w:rsid w:val="4D39550D"/>
    <w:rsid w:val="4D7E343F"/>
    <w:rsid w:val="4D853B8B"/>
    <w:rsid w:val="4DA82B08"/>
    <w:rsid w:val="4DB552EA"/>
    <w:rsid w:val="4DEA4DFF"/>
    <w:rsid w:val="4DF90F86"/>
    <w:rsid w:val="4E34085A"/>
    <w:rsid w:val="4E4E41E8"/>
    <w:rsid w:val="4E52351E"/>
    <w:rsid w:val="4E586CD5"/>
    <w:rsid w:val="4E6679FD"/>
    <w:rsid w:val="4E7E704C"/>
    <w:rsid w:val="4E995F96"/>
    <w:rsid w:val="4EAB3D0C"/>
    <w:rsid w:val="4EB418A0"/>
    <w:rsid w:val="4ECC738A"/>
    <w:rsid w:val="4F012EF7"/>
    <w:rsid w:val="4F0F5F83"/>
    <w:rsid w:val="4F767DE0"/>
    <w:rsid w:val="4FB71FA5"/>
    <w:rsid w:val="4FE11B58"/>
    <w:rsid w:val="4FF22F51"/>
    <w:rsid w:val="50061349"/>
    <w:rsid w:val="502571C3"/>
    <w:rsid w:val="502C7252"/>
    <w:rsid w:val="50330BAD"/>
    <w:rsid w:val="503F2AAA"/>
    <w:rsid w:val="506D2822"/>
    <w:rsid w:val="506F7531"/>
    <w:rsid w:val="507C775A"/>
    <w:rsid w:val="508101EA"/>
    <w:rsid w:val="50AC380C"/>
    <w:rsid w:val="50C13ED4"/>
    <w:rsid w:val="50CD580A"/>
    <w:rsid w:val="50E16CEE"/>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D6C07"/>
    <w:rsid w:val="527F35E6"/>
    <w:rsid w:val="52964727"/>
    <w:rsid w:val="52ED2480"/>
    <w:rsid w:val="52FA6AE0"/>
    <w:rsid w:val="53101841"/>
    <w:rsid w:val="53465512"/>
    <w:rsid w:val="536367EE"/>
    <w:rsid w:val="5376019D"/>
    <w:rsid w:val="5397438F"/>
    <w:rsid w:val="539B6DCD"/>
    <w:rsid w:val="54106881"/>
    <w:rsid w:val="541B28DE"/>
    <w:rsid w:val="54337620"/>
    <w:rsid w:val="54361AD6"/>
    <w:rsid w:val="543D7553"/>
    <w:rsid w:val="54771906"/>
    <w:rsid w:val="547C14C6"/>
    <w:rsid w:val="548F7C85"/>
    <w:rsid w:val="54A01754"/>
    <w:rsid w:val="54AD63EF"/>
    <w:rsid w:val="54C35373"/>
    <w:rsid w:val="54D37F7A"/>
    <w:rsid w:val="54D46F91"/>
    <w:rsid w:val="54F915DA"/>
    <w:rsid w:val="5522753E"/>
    <w:rsid w:val="552A0593"/>
    <w:rsid w:val="552E29AD"/>
    <w:rsid w:val="556866BD"/>
    <w:rsid w:val="55783F05"/>
    <w:rsid w:val="557E31B0"/>
    <w:rsid w:val="55821F23"/>
    <w:rsid w:val="558656D0"/>
    <w:rsid w:val="55953EBF"/>
    <w:rsid w:val="55A71EC6"/>
    <w:rsid w:val="55D95FFB"/>
    <w:rsid w:val="55E70A99"/>
    <w:rsid w:val="55FD1528"/>
    <w:rsid w:val="5603491C"/>
    <w:rsid w:val="56401B87"/>
    <w:rsid w:val="565F2A99"/>
    <w:rsid w:val="56733201"/>
    <w:rsid w:val="568C20C6"/>
    <w:rsid w:val="568D5773"/>
    <w:rsid w:val="569C61A7"/>
    <w:rsid w:val="56CD2B8A"/>
    <w:rsid w:val="56D3688C"/>
    <w:rsid w:val="56D400C1"/>
    <w:rsid w:val="56D95440"/>
    <w:rsid w:val="56FB7A14"/>
    <w:rsid w:val="570304E9"/>
    <w:rsid w:val="570E18BA"/>
    <w:rsid w:val="57151246"/>
    <w:rsid w:val="574C49B4"/>
    <w:rsid w:val="5790495D"/>
    <w:rsid w:val="57C919EB"/>
    <w:rsid w:val="57E6237B"/>
    <w:rsid w:val="57EC51AE"/>
    <w:rsid w:val="57EE169E"/>
    <w:rsid w:val="58427D22"/>
    <w:rsid w:val="58551AFF"/>
    <w:rsid w:val="587A31A5"/>
    <w:rsid w:val="58A72E55"/>
    <w:rsid w:val="58AC5C6F"/>
    <w:rsid w:val="58CD3534"/>
    <w:rsid w:val="58DB67BC"/>
    <w:rsid w:val="58DC7FF8"/>
    <w:rsid w:val="58FC5A0D"/>
    <w:rsid w:val="59074E50"/>
    <w:rsid w:val="59257BBA"/>
    <w:rsid w:val="59291040"/>
    <w:rsid w:val="595E18B4"/>
    <w:rsid w:val="596F6B90"/>
    <w:rsid w:val="5972330C"/>
    <w:rsid w:val="59960F0D"/>
    <w:rsid w:val="599D7DC6"/>
    <w:rsid w:val="59A37C3C"/>
    <w:rsid w:val="59A72AB3"/>
    <w:rsid w:val="59E17C1A"/>
    <w:rsid w:val="59E859EC"/>
    <w:rsid w:val="59F50949"/>
    <w:rsid w:val="5A01585A"/>
    <w:rsid w:val="5A064113"/>
    <w:rsid w:val="5A1B1406"/>
    <w:rsid w:val="5A4C6153"/>
    <w:rsid w:val="5A4D351C"/>
    <w:rsid w:val="5A5055E7"/>
    <w:rsid w:val="5A590DD3"/>
    <w:rsid w:val="5A5D7326"/>
    <w:rsid w:val="5A8D7A31"/>
    <w:rsid w:val="5AA92DA4"/>
    <w:rsid w:val="5ACA3EE7"/>
    <w:rsid w:val="5ACE7F27"/>
    <w:rsid w:val="5AEF78B5"/>
    <w:rsid w:val="5B0F40E8"/>
    <w:rsid w:val="5B18388D"/>
    <w:rsid w:val="5B2179CB"/>
    <w:rsid w:val="5B4C30C2"/>
    <w:rsid w:val="5B54540F"/>
    <w:rsid w:val="5B686D47"/>
    <w:rsid w:val="5B7331EF"/>
    <w:rsid w:val="5BBC63FA"/>
    <w:rsid w:val="5BC421DF"/>
    <w:rsid w:val="5BD769EA"/>
    <w:rsid w:val="5BE82415"/>
    <w:rsid w:val="5C085AF9"/>
    <w:rsid w:val="5C171659"/>
    <w:rsid w:val="5C222B39"/>
    <w:rsid w:val="5C6E50AB"/>
    <w:rsid w:val="5C724CD0"/>
    <w:rsid w:val="5C783EF8"/>
    <w:rsid w:val="5C797997"/>
    <w:rsid w:val="5C7B3C8C"/>
    <w:rsid w:val="5CAD2CE8"/>
    <w:rsid w:val="5CB52BAD"/>
    <w:rsid w:val="5CB836EE"/>
    <w:rsid w:val="5CD65063"/>
    <w:rsid w:val="5CFE733E"/>
    <w:rsid w:val="5D133FCC"/>
    <w:rsid w:val="5D1B059D"/>
    <w:rsid w:val="5D1E6004"/>
    <w:rsid w:val="5D376CBC"/>
    <w:rsid w:val="5D663E80"/>
    <w:rsid w:val="5D941A06"/>
    <w:rsid w:val="5DBA7B73"/>
    <w:rsid w:val="5DC219E4"/>
    <w:rsid w:val="5DE07F60"/>
    <w:rsid w:val="5E113766"/>
    <w:rsid w:val="5E215894"/>
    <w:rsid w:val="5E6A5417"/>
    <w:rsid w:val="5E9964FC"/>
    <w:rsid w:val="5EA527EB"/>
    <w:rsid w:val="5EA8001D"/>
    <w:rsid w:val="5EB6537C"/>
    <w:rsid w:val="5F3B65BB"/>
    <w:rsid w:val="5F772BB7"/>
    <w:rsid w:val="5F7770CC"/>
    <w:rsid w:val="5F843B10"/>
    <w:rsid w:val="5F923324"/>
    <w:rsid w:val="5F9516DC"/>
    <w:rsid w:val="5FC02283"/>
    <w:rsid w:val="6009601C"/>
    <w:rsid w:val="601E45D8"/>
    <w:rsid w:val="601F2556"/>
    <w:rsid w:val="60595F1D"/>
    <w:rsid w:val="60C91D88"/>
    <w:rsid w:val="60C96A5B"/>
    <w:rsid w:val="60E33A8A"/>
    <w:rsid w:val="60EC12B4"/>
    <w:rsid w:val="61576E4B"/>
    <w:rsid w:val="61BF22D5"/>
    <w:rsid w:val="61E3116A"/>
    <w:rsid w:val="62092D04"/>
    <w:rsid w:val="6257385F"/>
    <w:rsid w:val="62661F44"/>
    <w:rsid w:val="62806004"/>
    <w:rsid w:val="62863DF4"/>
    <w:rsid w:val="62986E29"/>
    <w:rsid w:val="629D419A"/>
    <w:rsid w:val="62AB7395"/>
    <w:rsid w:val="62C14349"/>
    <w:rsid w:val="62C16539"/>
    <w:rsid w:val="62DD7032"/>
    <w:rsid w:val="631B31EA"/>
    <w:rsid w:val="633E0BF6"/>
    <w:rsid w:val="635B0ADD"/>
    <w:rsid w:val="636C77D3"/>
    <w:rsid w:val="63C952A8"/>
    <w:rsid w:val="63D622B5"/>
    <w:rsid w:val="63D80532"/>
    <w:rsid w:val="63DB009C"/>
    <w:rsid w:val="63E547B2"/>
    <w:rsid w:val="63E66104"/>
    <w:rsid w:val="64157661"/>
    <w:rsid w:val="64171B21"/>
    <w:rsid w:val="64254827"/>
    <w:rsid w:val="644E32E2"/>
    <w:rsid w:val="644F08D2"/>
    <w:rsid w:val="644F22F7"/>
    <w:rsid w:val="64560745"/>
    <w:rsid w:val="646D2F9C"/>
    <w:rsid w:val="64B95B48"/>
    <w:rsid w:val="64E345D4"/>
    <w:rsid w:val="64ED2876"/>
    <w:rsid w:val="64F87F36"/>
    <w:rsid w:val="64FE57EB"/>
    <w:rsid w:val="6500669E"/>
    <w:rsid w:val="652B6960"/>
    <w:rsid w:val="652F4EAA"/>
    <w:rsid w:val="65536597"/>
    <w:rsid w:val="656C494A"/>
    <w:rsid w:val="659B2D80"/>
    <w:rsid w:val="65A51523"/>
    <w:rsid w:val="65B24D42"/>
    <w:rsid w:val="65F84382"/>
    <w:rsid w:val="660601A5"/>
    <w:rsid w:val="664F0C16"/>
    <w:rsid w:val="666D548D"/>
    <w:rsid w:val="667F0710"/>
    <w:rsid w:val="6694281E"/>
    <w:rsid w:val="669E749A"/>
    <w:rsid w:val="66A940F4"/>
    <w:rsid w:val="66AF25D7"/>
    <w:rsid w:val="66FA1F77"/>
    <w:rsid w:val="67363882"/>
    <w:rsid w:val="674628E6"/>
    <w:rsid w:val="67511783"/>
    <w:rsid w:val="67646470"/>
    <w:rsid w:val="676573C8"/>
    <w:rsid w:val="67947420"/>
    <w:rsid w:val="679D0397"/>
    <w:rsid w:val="67C95746"/>
    <w:rsid w:val="67E605BE"/>
    <w:rsid w:val="67F60E3F"/>
    <w:rsid w:val="67FD2B4E"/>
    <w:rsid w:val="680A3C32"/>
    <w:rsid w:val="68210723"/>
    <w:rsid w:val="682B4FCB"/>
    <w:rsid w:val="688658EC"/>
    <w:rsid w:val="68BA26EC"/>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32AB3"/>
    <w:rsid w:val="6ACE2F7D"/>
    <w:rsid w:val="6B074CBB"/>
    <w:rsid w:val="6B227D5F"/>
    <w:rsid w:val="6B2E5607"/>
    <w:rsid w:val="6B546867"/>
    <w:rsid w:val="6B572E41"/>
    <w:rsid w:val="6B58707C"/>
    <w:rsid w:val="6B6343EB"/>
    <w:rsid w:val="6B740145"/>
    <w:rsid w:val="6B746B02"/>
    <w:rsid w:val="6B782FC9"/>
    <w:rsid w:val="6BC2624C"/>
    <w:rsid w:val="6BD823E9"/>
    <w:rsid w:val="6BDF0D50"/>
    <w:rsid w:val="6BEA03C1"/>
    <w:rsid w:val="6C1063EA"/>
    <w:rsid w:val="6C180CD2"/>
    <w:rsid w:val="6C247095"/>
    <w:rsid w:val="6C44448D"/>
    <w:rsid w:val="6C482EED"/>
    <w:rsid w:val="6C82039E"/>
    <w:rsid w:val="6C852D49"/>
    <w:rsid w:val="6C8908D8"/>
    <w:rsid w:val="6C8F1565"/>
    <w:rsid w:val="6C995782"/>
    <w:rsid w:val="6C9D0FB1"/>
    <w:rsid w:val="6CFF4991"/>
    <w:rsid w:val="6D0A4265"/>
    <w:rsid w:val="6D164AC1"/>
    <w:rsid w:val="6D1F5F98"/>
    <w:rsid w:val="6D4E48F3"/>
    <w:rsid w:val="6D857735"/>
    <w:rsid w:val="6D8B427F"/>
    <w:rsid w:val="6D9B2DA9"/>
    <w:rsid w:val="6D9D3859"/>
    <w:rsid w:val="6DAA0F1E"/>
    <w:rsid w:val="6DB70AFA"/>
    <w:rsid w:val="6DEF3DE7"/>
    <w:rsid w:val="6DF219F0"/>
    <w:rsid w:val="6E200312"/>
    <w:rsid w:val="6E263A16"/>
    <w:rsid w:val="6E2F7E25"/>
    <w:rsid w:val="6E351DC2"/>
    <w:rsid w:val="6E7A34C8"/>
    <w:rsid w:val="6E822806"/>
    <w:rsid w:val="6EE06260"/>
    <w:rsid w:val="6EEA4C6C"/>
    <w:rsid w:val="6F17521C"/>
    <w:rsid w:val="6F7D00B0"/>
    <w:rsid w:val="6F9C689E"/>
    <w:rsid w:val="6FAB66F6"/>
    <w:rsid w:val="6FB361BB"/>
    <w:rsid w:val="6FD86C44"/>
    <w:rsid w:val="6FFB3BCE"/>
    <w:rsid w:val="6FFC5D64"/>
    <w:rsid w:val="70305B2F"/>
    <w:rsid w:val="70432C36"/>
    <w:rsid w:val="70490EE9"/>
    <w:rsid w:val="704A2680"/>
    <w:rsid w:val="70577091"/>
    <w:rsid w:val="706E7AC8"/>
    <w:rsid w:val="70901668"/>
    <w:rsid w:val="709B272B"/>
    <w:rsid w:val="70BB06A1"/>
    <w:rsid w:val="70BD07B0"/>
    <w:rsid w:val="70C0153A"/>
    <w:rsid w:val="70C9728E"/>
    <w:rsid w:val="71291DF8"/>
    <w:rsid w:val="712B0DA0"/>
    <w:rsid w:val="712D43F2"/>
    <w:rsid w:val="715251DD"/>
    <w:rsid w:val="717479DE"/>
    <w:rsid w:val="71842C09"/>
    <w:rsid w:val="71906A7F"/>
    <w:rsid w:val="71B2171A"/>
    <w:rsid w:val="71B51EDE"/>
    <w:rsid w:val="71C56127"/>
    <w:rsid w:val="71E16922"/>
    <w:rsid w:val="71E5591F"/>
    <w:rsid w:val="72194DCA"/>
    <w:rsid w:val="7231134F"/>
    <w:rsid w:val="724B7FD3"/>
    <w:rsid w:val="72632151"/>
    <w:rsid w:val="729E2AD1"/>
    <w:rsid w:val="72BD364C"/>
    <w:rsid w:val="72E12F64"/>
    <w:rsid w:val="730125F2"/>
    <w:rsid w:val="733A3AC2"/>
    <w:rsid w:val="734E4869"/>
    <w:rsid w:val="73983F11"/>
    <w:rsid w:val="73E24C63"/>
    <w:rsid w:val="740A6A4A"/>
    <w:rsid w:val="74123AF5"/>
    <w:rsid w:val="74193428"/>
    <w:rsid w:val="741B1524"/>
    <w:rsid w:val="742522EA"/>
    <w:rsid w:val="742B43B3"/>
    <w:rsid w:val="7459417B"/>
    <w:rsid w:val="7471785E"/>
    <w:rsid w:val="74832C68"/>
    <w:rsid w:val="74AC3A22"/>
    <w:rsid w:val="74C154BC"/>
    <w:rsid w:val="74C17090"/>
    <w:rsid w:val="74E837F7"/>
    <w:rsid w:val="74F74698"/>
    <w:rsid w:val="75105DB9"/>
    <w:rsid w:val="755B7303"/>
    <w:rsid w:val="756A42EA"/>
    <w:rsid w:val="75894D67"/>
    <w:rsid w:val="758F0B5D"/>
    <w:rsid w:val="75C31666"/>
    <w:rsid w:val="75C865CB"/>
    <w:rsid w:val="75DB6F21"/>
    <w:rsid w:val="75E95796"/>
    <w:rsid w:val="75F40BEE"/>
    <w:rsid w:val="75FE1C50"/>
    <w:rsid w:val="760653F5"/>
    <w:rsid w:val="76382D09"/>
    <w:rsid w:val="768250F6"/>
    <w:rsid w:val="76CE49B5"/>
    <w:rsid w:val="76CF0232"/>
    <w:rsid w:val="76D83568"/>
    <w:rsid w:val="76E35D13"/>
    <w:rsid w:val="76E51098"/>
    <w:rsid w:val="76FC0BDC"/>
    <w:rsid w:val="7734127E"/>
    <w:rsid w:val="77384934"/>
    <w:rsid w:val="77400BCC"/>
    <w:rsid w:val="77577B6E"/>
    <w:rsid w:val="77780912"/>
    <w:rsid w:val="77825766"/>
    <w:rsid w:val="7785352B"/>
    <w:rsid w:val="77A70DAE"/>
    <w:rsid w:val="77B75520"/>
    <w:rsid w:val="77BF49EB"/>
    <w:rsid w:val="77E97109"/>
    <w:rsid w:val="77E974BA"/>
    <w:rsid w:val="77FF0768"/>
    <w:rsid w:val="780920A2"/>
    <w:rsid w:val="781D06DC"/>
    <w:rsid w:val="781F41DD"/>
    <w:rsid w:val="782829F9"/>
    <w:rsid w:val="78381A5E"/>
    <w:rsid w:val="78446EC6"/>
    <w:rsid w:val="7855248D"/>
    <w:rsid w:val="788F2D63"/>
    <w:rsid w:val="789A28C7"/>
    <w:rsid w:val="78A57199"/>
    <w:rsid w:val="78AB163D"/>
    <w:rsid w:val="78B404AE"/>
    <w:rsid w:val="78BF1A88"/>
    <w:rsid w:val="78DB705D"/>
    <w:rsid w:val="791075CB"/>
    <w:rsid w:val="791302D5"/>
    <w:rsid w:val="796419CB"/>
    <w:rsid w:val="79794F50"/>
    <w:rsid w:val="7984239D"/>
    <w:rsid w:val="79991EEA"/>
    <w:rsid w:val="79B92076"/>
    <w:rsid w:val="79C03584"/>
    <w:rsid w:val="79C47176"/>
    <w:rsid w:val="79E361FE"/>
    <w:rsid w:val="79E978EB"/>
    <w:rsid w:val="79F0317F"/>
    <w:rsid w:val="7AA9391B"/>
    <w:rsid w:val="7AAB1658"/>
    <w:rsid w:val="7AB00F74"/>
    <w:rsid w:val="7AC52F60"/>
    <w:rsid w:val="7AEB58E2"/>
    <w:rsid w:val="7B117C64"/>
    <w:rsid w:val="7B48105E"/>
    <w:rsid w:val="7B534BF1"/>
    <w:rsid w:val="7B6B259F"/>
    <w:rsid w:val="7B980680"/>
    <w:rsid w:val="7BAD1212"/>
    <w:rsid w:val="7BF70CB6"/>
    <w:rsid w:val="7BF95732"/>
    <w:rsid w:val="7C11538B"/>
    <w:rsid w:val="7C220378"/>
    <w:rsid w:val="7C613D65"/>
    <w:rsid w:val="7C6723BD"/>
    <w:rsid w:val="7C8F4102"/>
    <w:rsid w:val="7C961098"/>
    <w:rsid w:val="7C9C0F16"/>
    <w:rsid w:val="7C9E7950"/>
    <w:rsid w:val="7CAA2DAF"/>
    <w:rsid w:val="7CB510B4"/>
    <w:rsid w:val="7CBD4E49"/>
    <w:rsid w:val="7CE25225"/>
    <w:rsid w:val="7CE31DA8"/>
    <w:rsid w:val="7CF2390F"/>
    <w:rsid w:val="7D166575"/>
    <w:rsid w:val="7D230305"/>
    <w:rsid w:val="7D2462B5"/>
    <w:rsid w:val="7D252BEB"/>
    <w:rsid w:val="7D287BAE"/>
    <w:rsid w:val="7D4234C4"/>
    <w:rsid w:val="7D606AA6"/>
    <w:rsid w:val="7D6336D6"/>
    <w:rsid w:val="7D671C04"/>
    <w:rsid w:val="7D843919"/>
    <w:rsid w:val="7DB317EB"/>
    <w:rsid w:val="7DBC5624"/>
    <w:rsid w:val="7DBD7FEA"/>
    <w:rsid w:val="7E077300"/>
    <w:rsid w:val="7E1070BD"/>
    <w:rsid w:val="7E225C2D"/>
    <w:rsid w:val="7E297044"/>
    <w:rsid w:val="7E3451AB"/>
    <w:rsid w:val="7E7B758A"/>
    <w:rsid w:val="7EB115E8"/>
    <w:rsid w:val="7EB44151"/>
    <w:rsid w:val="7EFD417D"/>
    <w:rsid w:val="7F5401B9"/>
    <w:rsid w:val="7F6A7194"/>
    <w:rsid w:val="7F6E2CB5"/>
    <w:rsid w:val="7F6F0485"/>
    <w:rsid w:val="7F6F7C74"/>
    <w:rsid w:val="7F736901"/>
    <w:rsid w:val="7F7403D8"/>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4"/>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8"/>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100"/>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6"/>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90"/>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8"/>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80"/>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7"/>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5"/>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6"/>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3"/>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6"/>
    <w:unhideWhenUsed/>
    <w:qFormat/>
    <w:uiPriority w:val="99"/>
    <w:rPr>
      <w:rFonts w:ascii="宋体"/>
      <w:sz w:val="18"/>
      <w:szCs w:val="18"/>
    </w:rPr>
  </w:style>
  <w:style w:type="paragraph" w:styleId="17">
    <w:name w:val="annotation text"/>
    <w:basedOn w:val="1"/>
    <w:link w:val="58"/>
    <w:qFormat/>
    <w:uiPriority w:val="0"/>
    <w:pPr>
      <w:widowControl w:val="0"/>
    </w:pPr>
    <w:rPr>
      <w:kern w:val="2"/>
      <w:sz w:val="18"/>
      <w:szCs w:val="20"/>
    </w:rPr>
  </w:style>
  <w:style w:type="paragraph" w:styleId="18">
    <w:name w:val="Salutation"/>
    <w:basedOn w:val="1"/>
    <w:next w:val="1"/>
    <w:link w:val="84"/>
    <w:qFormat/>
    <w:uiPriority w:val="0"/>
    <w:pPr>
      <w:widowControl w:val="0"/>
      <w:jc w:val="both"/>
    </w:pPr>
    <w:rPr>
      <w:rFonts w:eastAsia="黑体"/>
      <w:kern w:val="2"/>
      <w:szCs w:val="20"/>
    </w:rPr>
  </w:style>
  <w:style w:type="paragraph" w:styleId="19">
    <w:name w:val="Body Text 3"/>
    <w:basedOn w:val="1"/>
    <w:link w:val="97"/>
    <w:qFormat/>
    <w:uiPriority w:val="0"/>
    <w:pPr>
      <w:spacing w:after="120"/>
    </w:pPr>
    <w:rPr>
      <w:sz w:val="16"/>
      <w:szCs w:val="16"/>
    </w:rPr>
  </w:style>
  <w:style w:type="paragraph" w:styleId="20">
    <w:name w:val="Body Text Indent"/>
    <w:basedOn w:val="1"/>
    <w:link w:val="81"/>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2"/>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7"/>
    <w:qFormat/>
    <w:uiPriority w:val="0"/>
    <w:pPr>
      <w:ind w:left="100" w:leftChars="2500"/>
    </w:pPr>
  </w:style>
  <w:style w:type="paragraph" w:styleId="27">
    <w:name w:val="Body Text Indent 2"/>
    <w:basedOn w:val="1"/>
    <w:link w:val="95"/>
    <w:qFormat/>
    <w:uiPriority w:val="0"/>
    <w:pPr>
      <w:widowControl w:val="0"/>
      <w:ind w:firstLine="540" w:firstLineChars="257"/>
      <w:jc w:val="both"/>
    </w:pPr>
    <w:rPr>
      <w:kern w:val="2"/>
      <w:sz w:val="21"/>
    </w:rPr>
  </w:style>
  <w:style w:type="paragraph" w:styleId="28">
    <w:name w:val="Balloon Text"/>
    <w:basedOn w:val="1"/>
    <w:link w:val="89"/>
    <w:semiHidden/>
    <w:qFormat/>
    <w:uiPriority w:val="0"/>
    <w:rPr>
      <w:sz w:val="18"/>
      <w:szCs w:val="18"/>
    </w:rPr>
  </w:style>
  <w:style w:type="paragraph" w:styleId="29">
    <w:name w:val="footer"/>
    <w:basedOn w:val="1"/>
    <w:link w:val="74"/>
    <w:qFormat/>
    <w:uiPriority w:val="99"/>
    <w:pPr>
      <w:tabs>
        <w:tab w:val="center" w:pos="4153"/>
        <w:tab w:val="right" w:pos="8306"/>
      </w:tabs>
      <w:snapToGrid w:val="0"/>
    </w:pPr>
    <w:rPr>
      <w:sz w:val="18"/>
      <w:szCs w:val="18"/>
    </w:rPr>
  </w:style>
  <w:style w:type="paragraph" w:styleId="30">
    <w:name w:val="header"/>
    <w:basedOn w:val="1"/>
    <w:link w:val="94"/>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9"/>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70"/>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1"/>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6"/>
    <w:qFormat/>
    <w:uiPriority w:val="0"/>
    <w:rPr>
      <w:b/>
    </w:rPr>
  </w:style>
  <w:style w:type="paragraph" w:styleId="42">
    <w:name w:val="Body Text First Indent"/>
    <w:basedOn w:val="2"/>
    <w:link w:val="82"/>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customStyle="1" w:styleId="53">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54">
    <w:name w:val="Quote"/>
    <w:basedOn w:val="1"/>
    <w:next w:val="1"/>
    <w:qFormat/>
    <w:uiPriority w:val="0"/>
    <w:pPr>
      <w:wordWrap w:val="0"/>
      <w:spacing w:before="200" w:after="160"/>
      <w:ind w:left="864" w:right="864"/>
      <w:jc w:val="center"/>
    </w:pPr>
    <w:rPr>
      <w:i/>
    </w:rPr>
  </w:style>
  <w:style w:type="paragraph" w:customStyle="1" w:styleId="55">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6">
    <w:name w:val="批注主题 Char"/>
    <w:link w:val="41"/>
    <w:qFormat/>
    <w:uiPriority w:val="0"/>
    <w:rPr>
      <w:b/>
      <w:kern w:val="2"/>
      <w:sz w:val="18"/>
    </w:rPr>
  </w:style>
  <w:style w:type="character" w:customStyle="1" w:styleId="57">
    <w:name w:val="标题 8 Char"/>
    <w:link w:val="10"/>
    <w:qFormat/>
    <w:uiPriority w:val="0"/>
    <w:rPr>
      <w:rFonts w:ascii="Arial" w:hAnsi="Arial" w:eastAsia="黑体"/>
      <w:kern w:val="2"/>
      <w:sz w:val="24"/>
    </w:rPr>
  </w:style>
  <w:style w:type="character" w:customStyle="1" w:styleId="58">
    <w:name w:val="批注文字 Char"/>
    <w:link w:val="17"/>
    <w:qFormat/>
    <w:uiPriority w:val="0"/>
    <w:rPr>
      <w:kern w:val="2"/>
      <w:sz w:val="18"/>
    </w:rPr>
  </w:style>
  <w:style w:type="character" w:customStyle="1" w:styleId="59">
    <w:name w:val="fontblank12"/>
    <w:basedOn w:val="47"/>
    <w:qFormat/>
    <w:uiPriority w:val="0"/>
  </w:style>
  <w:style w:type="character" w:customStyle="1" w:styleId="60">
    <w:name w:val="标书（正文） Char"/>
    <w:link w:val="61"/>
    <w:qFormat/>
    <w:uiPriority w:val="0"/>
    <w:rPr>
      <w:rFonts w:ascii="宋体" w:hAnsi="宋体"/>
      <w:b/>
      <w:kern w:val="10"/>
      <w:sz w:val="21"/>
    </w:rPr>
  </w:style>
  <w:style w:type="paragraph" w:customStyle="1" w:styleId="61">
    <w:name w:val="标书（正文）"/>
    <w:basedOn w:val="1"/>
    <w:link w:val="60"/>
    <w:qFormat/>
    <w:uiPriority w:val="0"/>
    <w:pPr>
      <w:widowControl w:val="0"/>
      <w:spacing w:line="360" w:lineRule="auto"/>
      <w:ind w:firstLine="560" w:firstLineChars="200"/>
      <w:jc w:val="both"/>
    </w:pPr>
    <w:rPr>
      <w:rFonts w:ascii="宋体" w:hAnsi="宋体"/>
      <w:b/>
      <w:kern w:val="10"/>
      <w:sz w:val="21"/>
      <w:szCs w:val="20"/>
    </w:rPr>
  </w:style>
  <w:style w:type="character" w:customStyle="1" w:styleId="62">
    <w:name w:val="Char Char4"/>
    <w:qFormat/>
    <w:uiPriority w:val="0"/>
    <w:rPr>
      <w:rFonts w:ascii="宋体" w:hAnsi="Courier New" w:eastAsia="宋体"/>
      <w:kern w:val="2"/>
      <w:sz w:val="21"/>
      <w:lang w:val="en-US" w:eastAsia="zh-CN"/>
    </w:rPr>
  </w:style>
  <w:style w:type="character" w:customStyle="1" w:styleId="63">
    <w:name w:val="textnormchn1"/>
    <w:basedOn w:val="47"/>
    <w:qFormat/>
    <w:uiPriority w:val="0"/>
  </w:style>
  <w:style w:type="character" w:customStyle="1" w:styleId="64">
    <w:name w:val="标题 1 Char"/>
    <w:link w:val="3"/>
    <w:qFormat/>
    <w:uiPriority w:val="0"/>
    <w:rPr>
      <w:rFonts w:ascii="宋体" w:hAnsi="宋体"/>
      <w:b/>
      <w:bCs/>
      <w:kern w:val="44"/>
      <w:sz w:val="32"/>
      <w:szCs w:val="32"/>
    </w:rPr>
  </w:style>
  <w:style w:type="character" w:customStyle="1" w:styleId="65">
    <w:name w:val="列出段落 Char"/>
    <w:link w:val="66"/>
    <w:qFormat/>
    <w:uiPriority w:val="0"/>
    <w:rPr>
      <w:sz w:val="24"/>
      <w:szCs w:val="24"/>
    </w:rPr>
  </w:style>
  <w:style w:type="paragraph" w:customStyle="1" w:styleId="66">
    <w:name w:val="列出段落1"/>
    <w:basedOn w:val="1"/>
    <w:link w:val="65"/>
    <w:qFormat/>
    <w:uiPriority w:val="0"/>
    <w:pPr>
      <w:ind w:firstLine="420" w:firstLineChars="200"/>
    </w:pPr>
  </w:style>
  <w:style w:type="character" w:customStyle="1" w:styleId="67">
    <w:name w:val="CD正文 Char"/>
    <w:link w:val="68"/>
    <w:qFormat/>
    <w:uiPriority w:val="0"/>
    <w:rPr>
      <w:kern w:val="2"/>
      <w:sz w:val="30"/>
      <w:szCs w:val="28"/>
    </w:rPr>
  </w:style>
  <w:style w:type="paragraph" w:customStyle="1" w:styleId="68">
    <w:name w:val="CD正文"/>
    <w:basedOn w:val="69"/>
    <w:link w:val="67"/>
    <w:qFormat/>
    <w:uiPriority w:val="0"/>
    <w:pPr>
      <w:ind w:firstLine="493"/>
    </w:pPr>
    <w:rPr>
      <w:sz w:val="30"/>
      <w:szCs w:val="28"/>
    </w:rPr>
  </w:style>
  <w:style w:type="paragraph" w:customStyle="1" w:styleId="69">
    <w:name w:val="文章正文"/>
    <w:basedOn w:val="1"/>
    <w:link w:val="78"/>
    <w:qFormat/>
    <w:uiPriority w:val="0"/>
    <w:pPr>
      <w:widowControl w:val="0"/>
      <w:spacing w:line="360" w:lineRule="auto"/>
      <w:ind w:firstLine="420"/>
      <w:jc w:val="both"/>
    </w:pPr>
    <w:rPr>
      <w:kern w:val="2"/>
    </w:rPr>
  </w:style>
  <w:style w:type="character" w:customStyle="1" w:styleId="70">
    <w:name w:val="正文文本 2 Char"/>
    <w:link w:val="38"/>
    <w:qFormat/>
    <w:uiPriority w:val="0"/>
    <w:rPr>
      <w:sz w:val="21"/>
      <w:szCs w:val="21"/>
    </w:rPr>
  </w:style>
  <w:style w:type="character" w:customStyle="1" w:styleId="71">
    <w:name w:val="（符号）三标题1.1 Char Char"/>
    <w:link w:val="72"/>
    <w:qFormat/>
    <w:uiPriority w:val="0"/>
    <w:rPr>
      <w:rFonts w:ascii="宋体" w:hAnsi="宋体"/>
      <w:kern w:val="2"/>
      <w:sz w:val="24"/>
      <w:szCs w:val="24"/>
    </w:rPr>
  </w:style>
  <w:style w:type="paragraph" w:customStyle="1" w:styleId="72">
    <w:name w:val="（符号）三标题1.1"/>
    <w:basedOn w:val="1"/>
    <w:link w:val="71"/>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3">
    <w:name w:val="grame"/>
    <w:basedOn w:val="47"/>
    <w:qFormat/>
    <w:uiPriority w:val="0"/>
  </w:style>
  <w:style w:type="character" w:customStyle="1" w:styleId="74">
    <w:name w:val="页脚 Char"/>
    <w:link w:val="29"/>
    <w:qFormat/>
    <w:uiPriority w:val="99"/>
    <w:rPr>
      <w:sz w:val="18"/>
      <w:szCs w:val="18"/>
    </w:rPr>
  </w:style>
  <w:style w:type="character" w:customStyle="1" w:styleId="75">
    <w:name w:val="keyword"/>
    <w:basedOn w:val="47"/>
    <w:qFormat/>
    <w:uiPriority w:val="0"/>
  </w:style>
  <w:style w:type="character" w:customStyle="1" w:styleId="76">
    <w:name w:val="文档结构图 Char"/>
    <w:link w:val="16"/>
    <w:semiHidden/>
    <w:qFormat/>
    <w:uiPriority w:val="99"/>
    <w:rPr>
      <w:rFonts w:ascii="宋体"/>
      <w:sz w:val="18"/>
      <w:szCs w:val="18"/>
    </w:rPr>
  </w:style>
  <w:style w:type="character" w:customStyle="1" w:styleId="77">
    <w:name w:val="日期 Char"/>
    <w:link w:val="26"/>
    <w:qFormat/>
    <w:uiPriority w:val="0"/>
    <w:rPr>
      <w:sz w:val="24"/>
      <w:szCs w:val="24"/>
    </w:rPr>
  </w:style>
  <w:style w:type="character" w:customStyle="1" w:styleId="78">
    <w:name w:val="文章正文 Char"/>
    <w:link w:val="69"/>
    <w:qFormat/>
    <w:uiPriority w:val="0"/>
    <w:rPr>
      <w:kern w:val="2"/>
      <w:sz w:val="24"/>
      <w:szCs w:val="24"/>
    </w:rPr>
  </w:style>
  <w:style w:type="character" w:customStyle="1" w:styleId="79">
    <w:name w:val="正文文本缩进 3 Char"/>
    <w:link w:val="35"/>
    <w:qFormat/>
    <w:uiPriority w:val="0"/>
    <w:rPr>
      <w:kern w:val="2"/>
      <w:sz w:val="16"/>
      <w:szCs w:val="16"/>
    </w:rPr>
  </w:style>
  <w:style w:type="character" w:customStyle="1" w:styleId="80">
    <w:name w:val="标题 7 Char"/>
    <w:link w:val="9"/>
    <w:qFormat/>
    <w:uiPriority w:val="0"/>
    <w:rPr>
      <w:rFonts w:ascii="Arial Narrow" w:hAnsi="Arial Narrow"/>
      <w:b/>
      <w:lang w:eastAsia="en-US"/>
    </w:rPr>
  </w:style>
  <w:style w:type="character" w:customStyle="1" w:styleId="81">
    <w:name w:val="正文文本缩进 Char"/>
    <w:link w:val="20"/>
    <w:qFormat/>
    <w:uiPriority w:val="0"/>
    <w:rPr>
      <w:rFonts w:ascii="宋体"/>
      <w:sz w:val="30"/>
      <w:szCs w:val="24"/>
    </w:rPr>
  </w:style>
  <w:style w:type="character" w:customStyle="1" w:styleId="82">
    <w:name w:val="正文首行缩进 Char"/>
    <w:link w:val="42"/>
    <w:qFormat/>
    <w:uiPriority w:val="0"/>
    <w:rPr>
      <w:rFonts w:ascii="宋体" w:hAnsi="宋体"/>
      <w:kern w:val="2"/>
      <w:sz w:val="21"/>
      <w:szCs w:val="24"/>
    </w:rPr>
  </w:style>
  <w:style w:type="character" w:customStyle="1" w:styleId="83">
    <w:name w:val="正文缩进 Char"/>
    <w:link w:val="14"/>
    <w:qFormat/>
    <w:uiPriority w:val="0"/>
    <w:rPr>
      <w:kern w:val="2"/>
      <w:sz w:val="21"/>
      <w:szCs w:val="24"/>
    </w:rPr>
  </w:style>
  <w:style w:type="character" w:customStyle="1" w:styleId="84">
    <w:name w:val="称呼 Char"/>
    <w:link w:val="18"/>
    <w:qFormat/>
    <w:uiPriority w:val="0"/>
    <w:rPr>
      <w:rFonts w:eastAsia="黑体"/>
      <w:kern w:val="2"/>
      <w:sz w:val="24"/>
    </w:rPr>
  </w:style>
  <w:style w:type="character" w:customStyle="1" w:styleId="85">
    <w:name w:val="标题 9 Char"/>
    <w:link w:val="11"/>
    <w:qFormat/>
    <w:uiPriority w:val="0"/>
    <w:rPr>
      <w:rFonts w:ascii="Arial" w:hAnsi="Arial" w:eastAsia="黑体"/>
      <w:kern w:val="2"/>
      <w:sz w:val="21"/>
    </w:rPr>
  </w:style>
  <w:style w:type="character" w:customStyle="1" w:styleId="86">
    <w:name w:val="正文文本 Char"/>
    <w:link w:val="2"/>
    <w:qFormat/>
    <w:uiPriority w:val="0"/>
    <w:rPr>
      <w:sz w:val="24"/>
      <w:szCs w:val="24"/>
    </w:rPr>
  </w:style>
  <w:style w:type="character" w:customStyle="1" w:styleId="87">
    <w:name w:val="Char Char40"/>
    <w:qFormat/>
    <w:uiPriority w:val="0"/>
    <w:rPr>
      <w:kern w:val="2"/>
      <w:sz w:val="24"/>
      <w:szCs w:val="24"/>
    </w:rPr>
  </w:style>
  <w:style w:type="character" w:customStyle="1" w:styleId="88">
    <w:name w:val="标题 6 Char"/>
    <w:link w:val="8"/>
    <w:qFormat/>
    <w:uiPriority w:val="0"/>
    <w:rPr>
      <w:rFonts w:ascii="Arial" w:hAnsi="Arial" w:eastAsia="黑体"/>
      <w:b/>
      <w:bCs/>
      <w:kern w:val="2"/>
      <w:sz w:val="24"/>
      <w:szCs w:val="24"/>
    </w:rPr>
  </w:style>
  <w:style w:type="character" w:customStyle="1" w:styleId="89">
    <w:name w:val="批注框文本 Char"/>
    <w:link w:val="28"/>
    <w:semiHidden/>
    <w:qFormat/>
    <w:uiPriority w:val="0"/>
    <w:rPr>
      <w:sz w:val="18"/>
      <w:szCs w:val="18"/>
    </w:rPr>
  </w:style>
  <w:style w:type="character" w:customStyle="1" w:styleId="90">
    <w:name w:val="标题 5 Char"/>
    <w:link w:val="7"/>
    <w:qFormat/>
    <w:uiPriority w:val="0"/>
    <w:rPr>
      <w:rFonts w:ascii="Times New Roman" w:hAnsi="Times New Roman"/>
      <w:b/>
      <w:bCs/>
      <w:sz w:val="28"/>
      <w:szCs w:val="28"/>
    </w:rPr>
  </w:style>
  <w:style w:type="character" w:customStyle="1" w:styleId="91">
    <w:name w:val="WW8Num9z0"/>
    <w:qFormat/>
    <w:uiPriority w:val="0"/>
    <w:rPr>
      <w:rFonts w:ascii="Wingdings" w:hAnsi="Wingdings"/>
    </w:rPr>
  </w:style>
  <w:style w:type="character" w:customStyle="1" w:styleId="92">
    <w:name w:val="magic-list1"/>
    <w:qFormat/>
    <w:uiPriority w:val="0"/>
    <w:rPr>
      <w:rFonts w:hint="default" w:ascii="ˎ̥" w:hAnsi="ˎ̥"/>
      <w:color w:val="000000"/>
      <w:sz w:val="20"/>
      <w:u w:val="none"/>
    </w:rPr>
  </w:style>
  <w:style w:type="character" w:customStyle="1" w:styleId="93">
    <w:name w:val="small"/>
    <w:basedOn w:val="47"/>
    <w:qFormat/>
    <w:uiPriority w:val="0"/>
  </w:style>
  <w:style w:type="character" w:customStyle="1" w:styleId="94">
    <w:name w:val="页眉 Char"/>
    <w:link w:val="30"/>
    <w:qFormat/>
    <w:uiPriority w:val="0"/>
    <w:rPr>
      <w:sz w:val="18"/>
      <w:szCs w:val="18"/>
    </w:rPr>
  </w:style>
  <w:style w:type="character" w:customStyle="1" w:styleId="95">
    <w:name w:val="正文文本缩进 2 Char"/>
    <w:link w:val="27"/>
    <w:qFormat/>
    <w:uiPriority w:val="0"/>
    <w:rPr>
      <w:kern w:val="2"/>
      <w:sz w:val="21"/>
      <w:szCs w:val="24"/>
    </w:rPr>
  </w:style>
  <w:style w:type="character" w:customStyle="1" w:styleId="96">
    <w:name w:val="标题 4 Char"/>
    <w:link w:val="6"/>
    <w:qFormat/>
    <w:uiPriority w:val="0"/>
    <w:rPr>
      <w:rFonts w:ascii="宋体" w:hAnsi="宋体"/>
      <w:b/>
      <w:bCs/>
      <w:sz w:val="28"/>
      <w:szCs w:val="28"/>
    </w:rPr>
  </w:style>
  <w:style w:type="character" w:customStyle="1" w:styleId="97">
    <w:name w:val="正文文本 3 Char"/>
    <w:link w:val="19"/>
    <w:qFormat/>
    <w:uiPriority w:val="0"/>
    <w:rPr>
      <w:sz w:val="16"/>
      <w:szCs w:val="16"/>
    </w:rPr>
  </w:style>
  <w:style w:type="character" w:customStyle="1" w:styleId="98">
    <w:name w:val="标题 2 Char"/>
    <w:link w:val="4"/>
    <w:qFormat/>
    <w:uiPriority w:val="0"/>
    <w:rPr>
      <w:rFonts w:ascii="宋体" w:hAnsi="宋体"/>
      <w:b/>
      <w:bCs/>
      <w:iCs/>
      <w:sz w:val="28"/>
      <w:szCs w:val="28"/>
    </w:rPr>
  </w:style>
  <w:style w:type="character" w:customStyle="1" w:styleId="99">
    <w:name w:val="纯文本 Char1"/>
    <w:unhideWhenUsed/>
    <w:qFormat/>
    <w:uiPriority w:val="99"/>
    <w:rPr>
      <w:rFonts w:hint="eastAsia" w:ascii="宋体" w:hAnsi="Tms Rmn" w:eastAsia="宋体"/>
      <w:sz w:val="21"/>
      <w:lang w:val="en-US" w:eastAsia="zh-CN"/>
    </w:rPr>
  </w:style>
  <w:style w:type="character" w:customStyle="1" w:styleId="100">
    <w:name w:val="标题 3 Char"/>
    <w:link w:val="5"/>
    <w:qFormat/>
    <w:uiPriority w:val="0"/>
    <w:rPr>
      <w:rFonts w:ascii="宋体" w:hAnsi="宋体"/>
      <w:b/>
      <w:bCs/>
      <w:color w:val="000000"/>
      <w:kern w:val="2"/>
      <w:sz w:val="24"/>
      <w:szCs w:val="28"/>
    </w:rPr>
  </w:style>
  <w:style w:type="character" w:customStyle="1" w:styleId="101">
    <w:name w:val="标题 Char"/>
    <w:link w:val="40"/>
    <w:qFormat/>
    <w:uiPriority w:val="0"/>
    <w:rPr>
      <w:rFonts w:ascii="Cambria" w:hAnsi="Cambria"/>
      <w:b/>
      <w:bCs/>
      <w:kern w:val="2"/>
      <w:sz w:val="32"/>
      <w:szCs w:val="32"/>
    </w:rPr>
  </w:style>
  <w:style w:type="character" w:customStyle="1" w:styleId="102">
    <w:name w:val="纯文本 Char"/>
    <w:link w:val="24"/>
    <w:qFormat/>
    <w:uiPriority w:val="0"/>
    <w:rPr>
      <w:rFonts w:ascii="宋体" w:hAnsi="Tms Rmn" w:cs="宋体"/>
      <w:sz w:val="21"/>
      <w:szCs w:val="21"/>
    </w:rPr>
  </w:style>
  <w:style w:type="character" w:customStyle="1" w:styleId="103">
    <w:name w:val="H4 Char"/>
    <w:qFormat/>
    <w:uiPriority w:val="0"/>
    <w:rPr>
      <w:rFonts w:ascii="Arial" w:hAnsi="Arial" w:eastAsia="宋体"/>
      <w:b/>
      <w:kern w:val="2"/>
      <w:sz w:val="28"/>
      <w:lang w:val="en-US" w:eastAsia="zh-CN"/>
    </w:rPr>
  </w:style>
  <w:style w:type="character" w:customStyle="1" w:styleId="104">
    <w:name w:val="正文缩进 Char1"/>
    <w:qFormat/>
    <w:uiPriority w:val="0"/>
    <w:rPr>
      <w:kern w:val="2"/>
      <w:sz w:val="21"/>
      <w:szCs w:val="24"/>
    </w:rPr>
  </w:style>
  <w:style w:type="paragraph" w:customStyle="1" w:styleId="105">
    <w:name w:val="MM Topic 9"/>
    <w:basedOn w:val="11"/>
    <w:qFormat/>
    <w:uiPriority w:val="0"/>
    <w:pPr>
      <w:tabs>
        <w:tab w:val="left" w:pos="5102"/>
      </w:tabs>
    </w:pPr>
  </w:style>
  <w:style w:type="paragraph" w:customStyle="1" w:styleId="106">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7">
    <w:name w:val="强调2"/>
    <w:basedOn w:val="108"/>
    <w:qFormat/>
    <w:uiPriority w:val="0"/>
    <w:pPr>
      <w:numPr>
        <w:ilvl w:val="1"/>
      </w:numPr>
      <w:tabs>
        <w:tab w:val="left" w:pos="360"/>
        <w:tab w:val="left" w:pos="1918"/>
      </w:tabs>
      <w:ind w:left="1918"/>
    </w:pPr>
  </w:style>
  <w:style w:type="paragraph" w:customStyle="1" w:styleId="108">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9">
    <w:name w:val="Char Char Char Char"/>
    <w:basedOn w:val="1"/>
    <w:next w:val="1"/>
    <w:qFormat/>
    <w:uiPriority w:val="0"/>
    <w:pPr>
      <w:widowControl w:val="0"/>
      <w:spacing w:line="240" w:lineRule="atLeast"/>
      <w:ind w:left="420" w:firstLine="420"/>
    </w:pPr>
    <w:rPr>
      <w:sz w:val="21"/>
      <w:szCs w:val="21"/>
    </w:rPr>
  </w:style>
  <w:style w:type="paragraph" w:customStyle="1" w:styleId="110">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1">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2">
    <w:name w:val="默认段落字体 Para Char Char Char Char"/>
    <w:basedOn w:val="1"/>
    <w:qFormat/>
    <w:uiPriority w:val="0"/>
    <w:pPr>
      <w:widowControl w:val="0"/>
      <w:jc w:val="both"/>
    </w:pPr>
    <w:rPr>
      <w:kern w:val="2"/>
      <w:sz w:val="21"/>
    </w:rPr>
  </w:style>
  <w:style w:type="paragraph" w:customStyle="1" w:styleId="113">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4">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6">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7">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8">
    <w:name w:val="MM Topic 6"/>
    <w:basedOn w:val="8"/>
    <w:qFormat/>
    <w:uiPriority w:val="0"/>
    <w:pPr>
      <w:numPr>
        <w:ilvl w:val="0"/>
        <w:numId w:val="0"/>
      </w:numPr>
      <w:tabs>
        <w:tab w:val="left" w:pos="3260"/>
      </w:tabs>
      <w:spacing w:line="317" w:lineRule="auto"/>
    </w:pPr>
    <w:rPr>
      <w:bCs w:val="0"/>
      <w:sz w:val="28"/>
      <w:szCs w:val="20"/>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 w:type="character" w:customStyle="1" w:styleId="200">
    <w:name w:val="font41"/>
    <w:qFormat/>
    <w:uiPriority w:val="0"/>
    <w:rPr>
      <w:rFonts w:hint="eastAsia" w:ascii="宋体" w:hAnsi="宋体" w:eastAsia="宋体" w:cs="宋体"/>
      <w:color w:val="000000"/>
      <w:sz w:val="21"/>
      <w:szCs w:val="21"/>
      <w:u w:val="none"/>
    </w:rPr>
  </w:style>
  <w:style w:type="paragraph" w:customStyle="1" w:styleId="201">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2">
    <w:name w:val="表格"/>
    <w:basedOn w:val="1"/>
    <w:qFormat/>
    <w:uiPriority w:val="3"/>
    <w:pPr>
      <w:spacing w:line="300" w:lineRule="exact"/>
      <w:jc w:val="cente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8</TotalTime>
  <ScaleCrop>false</ScaleCrop>
  <LinksUpToDate>false</LinksUpToDate>
  <CharactersWithSpaces>28099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L</cp:lastModifiedBy>
  <cp:lastPrinted>2014-07-14T08:51:00Z</cp:lastPrinted>
  <dcterms:modified xsi:type="dcterms:W3CDTF">2022-01-21T02:53:00Z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C92DFADECA9846EB8E6CF9C84D8E2199</vt:lpwstr>
  </property>
</Properties>
</file>